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C3121" w14:textId="77777777" w:rsidR="00B84211" w:rsidRPr="007E663E" w:rsidRDefault="00CF5271" w:rsidP="007E6104">
      <w:pPr>
        <w:pStyle w:val="Title"/>
        <w:tabs>
          <w:tab w:val="clear" w:pos="1440"/>
          <w:tab w:val="clear" w:pos="3060"/>
        </w:tabs>
        <w:ind w:left="567" w:hanging="567"/>
        <w:outlineLvl w:val="9"/>
        <w:rPr>
          <w:rFonts w:ascii="Arial" w:hAnsi="Arial" w:cs="Arial"/>
          <w:smallCaps/>
          <w:szCs w:val="24"/>
          <w:lang w:val="es-ES"/>
        </w:rPr>
      </w:pPr>
      <w:r w:rsidRPr="007E663E">
        <w:rPr>
          <w:rFonts w:ascii="Arial" w:hAnsi="Arial" w:cs="Arial"/>
          <w:smallCaps/>
          <w:szCs w:val="24"/>
          <w:lang w:val="es-ES"/>
        </w:rPr>
        <w:t>Document</w:t>
      </w:r>
      <w:r w:rsidR="007A1860" w:rsidRPr="007E663E">
        <w:rPr>
          <w:rFonts w:ascii="Arial" w:hAnsi="Arial" w:cs="Arial"/>
          <w:smallCaps/>
          <w:szCs w:val="24"/>
          <w:lang w:val="es-ES"/>
        </w:rPr>
        <w:t>o del Banco Interameric</w:t>
      </w:r>
      <w:r w:rsidR="0002382F" w:rsidRPr="007E663E">
        <w:rPr>
          <w:rFonts w:ascii="Arial" w:hAnsi="Arial" w:cs="Arial"/>
          <w:smallCaps/>
          <w:szCs w:val="24"/>
          <w:lang w:val="es-ES"/>
        </w:rPr>
        <w:t>a</w:t>
      </w:r>
      <w:r w:rsidR="007D03A1" w:rsidRPr="007E663E">
        <w:rPr>
          <w:rFonts w:ascii="Arial" w:hAnsi="Arial" w:cs="Arial"/>
          <w:smallCaps/>
          <w:szCs w:val="24"/>
          <w:lang w:val="es-ES"/>
        </w:rPr>
        <w:t>n</w:t>
      </w:r>
      <w:r w:rsidR="0002382F" w:rsidRPr="007E663E">
        <w:rPr>
          <w:rFonts w:ascii="Arial" w:hAnsi="Arial" w:cs="Arial"/>
          <w:smallCaps/>
          <w:szCs w:val="24"/>
          <w:lang w:val="es-ES"/>
        </w:rPr>
        <w:t>o</w:t>
      </w:r>
      <w:r w:rsidR="007A1860" w:rsidRPr="007E663E">
        <w:rPr>
          <w:rFonts w:ascii="Arial" w:hAnsi="Arial" w:cs="Arial"/>
          <w:smallCaps/>
          <w:szCs w:val="24"/>
          <w:lang w:val="es-ES"/>
        </w:rPr>
        <w:t xml:space="preserve"> de Desarrollo</w:t>
      </w:r>
    </w:p>
    <w:p w14:paraId="0935B29B"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
        </w:rPr>
      </w:pPr>
    </w:p>
    <w:p w14:paraId="6C11A246"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7B8B3995"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272D0789"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0586D6BC"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bookmarkStart w:id="0" w:name="_GoBack"/>
      <w:bookmarkEnd w:id="0"/>
    </w:p>
    <w:p w14:paraId="20E8941C" w14:textId="77777777" w:rsidR="00C75575" w:rsidRPr="007E663E" w:rsidRDefault="00C75575" w:rsidP="007E6104">
      <w:pPr>
        <w:tabs>
          <w:tab w:val="left" w:pos="1440"/>
          <w:tab w:val="left" w:pos="3060"/>
        </w:tabs>
        <w:ind w:left="567" w:hanging="567"/>
        <w:jc w:val="center"/>
        <w:rPr>
          <w:rFonts w:ascii="Arial" w:hAnsi="Arial" w:cs="Arial"/>
          <w:b/>
          <w:smallCaps/>
          <w:sz w:val="24"/>
          <w:szCs w:val="24"/>
          <w:lang w:val="es-ES"/>
        </w:rPr>
      </w:pPr>
    </w:p>
    <w:p w14:paraId="1586B74A" w14:textId="77777777" w:rsidR="00B84211" w:rsidRPr="007E663E" w:rsidRDefault="00B84211" w:rsidP="007E6104">
      <w:pPr>
        <w:tabs>
          <w:tab w:val="left" w:pos="1440"/>
          <w:tab w:val="left" w:pos="3060"/>
        </w:tabs>
        <w:ind w:left="567" w:hanging="567"/>
        <w:jc w:val="center"/>
        <w:rPr>
          <w:rFonts w:ascii="Arial" w:hAnsi="Arial" w:cs="Arial"/>
          <w:b/>
          <w:smallCaps/>
          <w:sz w:val="24"/>
          <w:szCs w:val="24"/>
          <w:lang w:val="es-ES"/>
        </w:rPr>
      </w:pPr>
    </w:p>
    <w:p w14:paraId="6C323F70" w14:textId="77777777" w:rsidR="00F54627" w:rsidRPr="007E663E" w:rsidRDefault="00C54573" w:rsidP="00F54627">
      <w:pPr>
        <w:tabs>
          <w:tab w:val="left" w:pos="1440"/>
          <w:tab w:val="left" w:pos="3060"/>
        </w:tabs>
        <w:jc w:val="center"/>
        <w:rPr>
          <w:rFonts w:ascii="Arial" w:eastAsia="Arial" w:hAnsi="Arial" w:cs="Arial"/>
          <w:b/>
          <w:bCs/>
          <w:sz w:val="28"/>
          <w:szCs w:val="28"/>
          <w:lang w:val="es-ES"/>
        </w:rPr>
      </w:pPr>
      <w:r>
        <w:rPr>
          <w:rFonts w:ascii="Arial" w:eastAsia="Arial" w:hAnsi="Arial" w:cs="Arial"/>
          <w:b/>
          <w:bCs/>
          <w:smallCaps/>
          <w:sz w:val="28"/>
          <w:szCs w:val="28"/>
          <w:lang w:val="es-ES"/>
        </w:rPr>
        <w:t>Ecuador</w:t>
      </w:r>
    </w:p>
    <w:p w14:paraId="5EB8964F" w14:textId="77777777" w:rsidR="00F54627" w:rsidRPr="007E663E" w:rsidRDefault="00F54627" w:rsidP="00F54627">
      <w:pPr>
        <w:tabs>
          <w:tab w:val="left" w:pos="1440"/>
          <w:tab w:val="left" w:pos="3060"/>
        </w:tabs>
        <w:jc w:val="center"/>
        <w:rPr>
          <w:rFonts w:ascii="Arial" w:eastAsia="Times New Roman" w:hAnsi="Arial" w:cs="Arial"/>
          <w:smallCaps/>
          <w:lang w:val="es-ES"/>
        </w:rPr>
      </w:pPr>
    </w:p>
    <w:p w14:paraId="6A6B40D2" w14:textId="77777777" w:rsidR="00F54627" w:rsidRPr="007E663E" w:rsidRDefault="00F54627" w:rsidP="00F54627">
      <w:pPr>
        <w:tabs>
          <w:tab w:val="left" w:pos="1440"/>
          <w:tab w:val="left" w:pos="3060"/>
        </w:tabs>
        <w:jc w:val="center"/>
        <w:rPr>
          <w:rFonts w:ascii="Arial" w:hAnsi="Arial" w:cs="Arial"/>
          <w:smallCaps/>
          <w:lang w:val="es-ES"/>
        </w:rPr>
      </w:pPr>
    </w:p>
    <w:p w14:paraId="2FA29640" w14:textId="77777777" w:rsidR="00F54627" w:rsidRPr="007E663E" w:rsidRDefault="00F54627" w:rsidP="00F54627">
      <w:pPr>
        <w:tabs>
          <w:tab w:val="left" w:pos="1440"/>
          <w:tab w:val="left" w:pos="3060"/>
        </w:tabs>
        <w:jc w:val="center"/>
        <w:rPr>
          <w:rFonts w:ascii="Arial" w:hAnsi="Arial" w:cs="Arial"/>
          <w:smallCaps/>
          <w:lang w:val="es-ES"/>
        </w:rPr>
      </w:pPr>
    </w:p>
    <w:p w14:paraId="0B6AE68D" w14:textId="77777777" w:rsidR="00F54627" w:rsidRPr="007E663E" w:rsidRDefault="00F54627" w:rsidP="00F54627">
      <w:pPr>
        <w:tabs>
          <w:tab w:val="left" w:pos="1440"/>
          <w:tab w:val="left" w:pos="3060"/>
        </w:tabs>
        <w:jc w:val="center"/>
        <w:rPr>
          <w:rFonts w:ascii="Arial" w:hAnsi="Arial" w:cs="Arial"/>
          <w:smallCaps/>
          <w:lang w:val="es-ES"/>
        </w:rPr>
      </w:pPr>
    </w:p>
    <w:p w14:paraId="1F1B65C6" w14:textId="77777777" w:rsidR="00F54627" w:rsidRPr="007E663E" w:rsidRDefault="00F54627" w:rsidP="00F54627">
      <w:pPr>
        <w:tabs>
          <w:tab w:val="left" w:pos="1440"/>
          <w:tab w:val="left" w:pos="3060"/>
        </w:tabs>
        <w:jc w:val="center"/>
        <w:rPr>
          <w:rFonts w:ascii="Arial" w:hAnsi="Arial" w:cs="Arial"/>
          <w:smallCaps/>
          <w:lang w:val="es-ES"/>
        </w:rPr>
      </w:pPr>
    </w:p>
    <w:p w14:paraId="791C1965" w14:textId="77777777" w:rsidR="00F54627" w:rsidRPr="007E663E" w:rsidRDefault="00F54627" w:rsidP="00F54627">
      <w:pPr>
        <w:tabs>
          <w:tab w:val="left" w:pos="1440"/>
          <w:tab w:val="left" w:pos="3060"/>
        </w:tabs>
        <w:jc w:val="center"/>
        <w:rPr>
          <w:rFonts w:ascii="Arial" w:hAnsi="Arial" w:cs="Arial"/>
          <w:smallCaps/>
          <w:lang w:val="es-ES"/>
        </w:rPr>
      </w:pPr>
    </w:p>
    <w:p w14:paraId="38BB95BE" w14:textId="77777777" w:rsidR="00762862" w:rsidRPr="00762862" w:rsidRDefault="00762862" w:rsidP="00762862">
      <w:pPr>
        <w:tabs>
          <w:tab w:val="left" w:pos="1440"/>
          <w:tab w:val="left" w:pos="3060"/>
        </w:tabs>
        <w:jc w:val="center"/>
        <w:rPr>
          <w:rFonts w:ascii="Arial" w:hAnsi="Arial" w:cs="Arial"/>
          <w:smallCaps/>
          <w:szCs w:val="24"/>
          <w:lang w:val="es-ES_tradnl"/>
        </w:rPr>
      </w:pPr>
      <w:r w:rsidRPr="0079530F">
        <w:rPr>
          <w:rFonts w:ascii="Arial" w:eastAsiaTheme="minorEastAsia" w:hAnsi="Arial" w:cs="Arial"/>
          <w:b/>
          <w:bCs/>
          <w:szCs w:val="24"/>
          <w:lang w:val="es-ES"/>
        </w:rPr>
        <w:t xml:space="preserve">PROGRAMA MULTIFASE DE </w:t>
      </w:r>
      <w:r w:rsidRPr="00762862">
        <w:rPr>
          <w:rFonts w:ascii="Arial" w:eastAsiaTheme="minorEastAsia" w:hAnsi="Arial" w:cs="Arial"/>
          <w:b/>
          <w:bCs/>
          <w:szCs w:val="24"/>
          <w:lang w:val="es-ES_tradnl"/>
        </w:rPr>
        <w:t>MEJORA DE LA CALIDAD EN LA PRESTACIÓN DE LOS SERVICIOS SOCIALES - FASE I</w:t>
      </w:r>
    </w:p>
    <w:p w14:paraId="120E25B5" w14:textId="77777777" w:rsidR="00F54627" w:rsidRPr="007E663E" w:rsidRDefault="00F54627" w:rsidP="00F54627">
      <w:pPr>
        <w:pStyle w:val="Newpage"/>
        <w:rPr>
          <w:rFonts w:ascii="Arial" w:hAnsi="Arial"/>
          <w:b w:val="0"/>
          <w:caps/>
          <w:sz w:val="22"/>
          <w:szCs w:val="22"/>
          <w:lang w:val="es-ES_tradnl"/>
        </w:rPr>
      </w:pPr>
    </w:p>
    <w:p w14:paraId="43C953AA" w14:textId="77777777" w:rsidR="00F54627" w:rsidRPr="007E663E" w:rsidRDefault="00F54627" w:rsidP="00F54627">
      <w:pPr>
        <w:tabs>
          <w:tab w:val="left" w:pos="1440"/>
          <w:tab w:val="left" w:pos="3060"/>
        </w:tabs>
        <w:jc w:val="center"/>
        <w:rPr>
          <w:rFonts w:ascii="Arial" w:eastAsia="Arial" w:hAnsi="Arial" w:cs="Arial"/>
          <w:b/>
          <w:bCs/>
          <w:lang w:val="es-ES"/>
        </w:rPr>
      </w:pPr>
      <w:r w:rsidRPr="007E663E">
        <w:rPr>
          <w:rFonts w:ascii="Arial" w:eastAsia="Arial" w:hAnsi="Arial" w:cs="Arial"/>
          <w:b/>
          <w:bCs/>
          <w:smallCaps/>
          <w:lang w:val="es-ES"/>
        </w:rPr>
        <w:t>E</w:t>
      </w:r>
      <w:r w:rsidR="00371649">
        <w:rPr>
          <w:rFonts w:ascii="Arial" w:eastAsia="Arial" w:hAnsi="Arial" w:cs="Arial"/>
          <w:b/>
          <w:bCs/>
          <w:smallCaps/>
          <w:lang w:val="es-ES"/>
        </w:rPr>
        <w:t>C</w:t>
      </w:r>
      <w:r w:rsidRPr="007E663E">
        <w:rPr>
          <w:rFonts w:ascii="Arial" w:eastAsia="Arial" w:hAnsi="Arial" w:cs="Arial"/>
          <w:b/>
          <w:bCs/>
          <w:smallCaps/>
          <w:lang w:val="es-ES"/>
        </w:rPr>
        <w:t>-L1</w:t>
      </w:r>
      <w:r w:rsidR="00371649">
        <w:rPr>
          <w:rFonts w:ascii="Arial" w:eastAsia="Arial" w:hAnsi="Arial" w:cs="Arial"/>
          <w:b/>
          <w:bCs/>
          <w:smallCaps/>
          <w:lang w:val="es-ES"/>
        </w:rPr>
        <w:t>22</w:t>
      </w:r>
      <w:r w:rsidRPr="007E663E">
        <w:rPr>
          <w:rFonts w:ascii="Arial" w:eastAsia="Arial" w:hAnsi="Arial" w:cs="Arial"/>
          <w:b/>
          <w:bCs/>
          <w:smallCaps/>
          <w:lang w:val="es-ES"/>
        </w:rPr>
        <w:t>7</w:t>
      </w:r>
    </w:p>
    <w:p w14:paraId="1D9B8277" w14:textId="77777777" w:rsidR="00C75575" w:rsidRPr="007E663E" w:rsidRDefault="00C75575" w:rsidP="007E6104">
      <w:pPr>
        <w:tabs>
          <w:tab w:val="left" w:pos="1440"/>
          <w:tab w:val="left" w:pos="3060"/>
        </w:tabs>
        <w:ind w:left="567" w:hanging="567"/>
        <w:jc w:val="center"/>
        <w:rPr>
          <w:rFonts w:ascii="Arial" w:hAnsi="Arial" w:cs="Arial"/>
          <w:smallCaps/>
          <w:sz w:val="24"/>
          <w:szCs w:val="24"/>
          <w:lang w:val="es-ES"/>
        </w:rPr>
      </w:pPr>
    </w:p>
    <w:p w14:paraId="71E8E3AC" w14:textId="77777777" w:rsidR="00B84211" w:rsidRPr="007E663E" w:rsidRDefault="007A1860" w:rsidP="007E6104">
      <w:pPr>
        <w:tabs>
          <w:tab w:val="left" w:pos="1440"/>
          <w:tab w:val="left" w:pos="3060"/>
        </w:tabs>
        <w:ind w:left="567" w:hanging="567"/>
        <w:jc w:val="center"/>
        <w:outlineLvl w:val="0"/>
        <w:rPr>
          <w:rFonts w:ascii="Arial" w:hAnsi="Arial" w:cs="Arial"/>
          <w:b/>
          <w:smallCaps/>
          <w:sz w:val="24"/>
          <w:szCs w:val="24"/>
          <w:lang w:val="es-ES_tradnl"/>
        </w:rPr>
      </w:pPr>
      <w:r w:rsidRPr="007E663E">
        <w:rPr>
          <w:rFonts w:ascii="Arial" w:hAnsi="Arial" w:cs="Arial"/>
          <w:b/>
          <w:smallCaps/>
          <w:sz w:val="24"/>
          <w:szCs w:val="24"/>
          <w:lang w:val="es-ES_tradnl"/>
        </w:rPr>
        <w:t>Análisis Económico</w:t>
      </w:r>
    </w:p>
    <w:p w14:paraId="0E733287" w14:textId="77777777" w:rsidR="00B84211" w:rsidRPr="007E663E" w:rsidRDefault="00B84211" w:rsidP="007E6104">
      <w:pPr>
        <w:tabs>
          <w:tab w:val="left" w:pos="1440"/>
          <w:tab w:val="left" w:pos="3060"/>
        </w:tabs>
        <w:ind w:left="567" w:hanging="567"/>
        <w:jc w:val="center"/>
        <w:outlineLvl w:val="0"/>
        <w:rPr>
          <w:rFonts w:ascii="Arial" w:hAnsi="Arial" w:cs="Arial"/>
          <w:b/>
          <w:smallCaps/>
          <w:sz w:val="24"/>
          <w:szCs w:val="24"/>
          <w:lang w:val="es-ES_tradnl"/>
        </w:rPr>
      </w:pPr>
    </w:p>
    <w:p w14:paraId="74660E07" w14:textId="77777777" w:rsidR="00B84211" w:rsidRPr="007E663E" w:rsidRDefault="00B84211" w:rsidP="007E6104">
      <w:pPr>
        <w:pStyle w:val="ListParagraph"/>
        <w:spacing w:before="120" w:after="0" w:line="360" w:lineRule="auto"/>
        <w:ind w:left="567" w:hanging="567"/>
        <w:jc w:val="center"/>
        <w:rPr>
          <w:rFonts w:ascii="Arial" w:hAnsi="Arial" w:cs="Arial"/>
          <w:b/>
          <w:sz w:val="24"/>
          <w:szCs w:val="24"/>
          <w:lang w:val="es-ES_tradnl"/>
        </w:rPr>
      </w:pPr>
    </w:p>
    <w:p w14:paraId="0A350A19"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2FD115C2"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033C818E" w14:textId="77777777" w:rsidR="00B84211" w:rsidRPr="007E663E" w:rsidRDefault="00B84211" w:rsidP="007E6104">
      <w:pPr>
        <w:pStyle w:val="ListParagraph"/>
        <w:spacing w:before="120" w:after="0" w:line="360" w:lineRule="auto"/>
        <w:ind w:left="567" w:hanging="567"/>
        <w:jc w:val="both"/>
        <w:rPr>
          <w:rFonts w:ascii="Arial" w:hAnsi="Arial" w:cs="Arial"/>
          <w:b/>
          <w:sz w:val="24"/>
          <w:szCs w:val="24"/>
          <w:lang w:val="es-ES_tradnl"/>
        </w:rPr>
      </w:pPr>
    </w:p>
    <w:p w14:paraId="4342E267"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77F45DA3" w14:textId="77777777" w:rsidR="00B84211" w:rsidRPr="007E663E" w:rsidRDefault="00B84211" w:rsidP="007E6104">
      <w:pPr>
        <w:tabs>
          <w:tab w:val="left" w:pos="1440"/>
          <w:tab w:val="left" w:pos="3060"/>
        </w:tabs>
        <w:ind w:left="567" w:hanging="567"/>
        <w:jc w:val="both"/>
        <w:rPr>
          <w:rFonts w:ascii="Arial" w:hAnsi="Arial" w:cs="Arial"/>
          <w:sz w:val="24"/>
          <w:szCs w:val="24"/>
          <w:lang w:val="es-ES_tradnl"/>
        </w:rPr>
      </w:pPr>
    </w:p>
    <w:p w14:paraId="7F0DA856" w14:textId="51A4397A" w:rsidR="00B84211" w:rsidRPr="00762862" w:rsidRDefault="007A1860" w:rsidP="00762862">
      <w:pPr>
        <w:pStyle w:val="BodyText"/>
        <w:pBdr>
          <w:top w:val="single" w:sz="4" w:space="1" w:color="auto"/>
          <w:left w:val="single" w:sz="4" w:space="4" w:color="auto"/>
          <w:bottom w:val="single" w:sz="4" w:space="1" w:color="auto"/>
          <w:right w:val="single" w:sz="4" w:space="4" w:color="auto"/>
        </w:pBdr>
        <w:tabs>
          <w:tab w:val="left" w:pos="1440"/>
        </w:tabs>
        <w:ind w:left="90"/>
        <w:jc w:val="both"/>
        <w:rPr>
          <w:rFonts w:ascii="Arial" w:hAnsi="Arial" w:cs="Arial"/>
          <w:b/>
          <w:sz w:val="20"/>
          <w:lang w:val="es-ES"/>
        </w:rPr>
      </w:pPr>
      <w:r w:rsidRPr="00762862">
        <w:rPr>
          <w:rFonts w:ascii="Arial" w:hAnsi="Arial" w:cs="Arial"/>
          <w:sz w:val="20"/>
          <w:lang w:val="es-ES"/>
        </w:rPr>
        <w:t xml:space="preserve">Este documento ha sido preparado por: </w:t>
      </w:r>
      <w:r w:rsidR="00371649" w:rsidRPr="00762862">
        <w:rPr>
          <w:rFonts w:ascii="Arial" w:hAnsi="Arial" w:cs="Arial"/>
          <w:sz w:val="20"/>
          <w:lang w:val="es-ES"/>
        </w:rPr>
        <w:t xml:space="preserve">Roberto Fernández (ICS/CUR) y </w:t>
      </w:r>
      <w:r w:rsidR="00F54627" w:rsidRPr="00762862">
        <w:rPr>
          <w:rFonts w:ascii="Arial" w:hAnsi="Arial" w:cs="Arial"/>
          <w:sz w:val="20"/>
          <w:lang w:val="es-ES"/>
        </w:rPr>
        <w:t>Benjamin Roseth</w:t>
      </w:r>
      <w:r w:rsidR="00762862">
        <w:rPr>
          <w:rFonts w:ascii="Arial" w:hAnsi="Arial" w:cs="Arial"/>
          <w:sz w:val="20"/>
          <w:lang w:val="es-ES"/>
        </w:rPr>
        <w:t xml:space="preserve"> </w:t>
      </w:r>
      <w:r w:rsidR="00BD1E78" w:rsidRPr="00762862">
        <w:rPr>
          <w:rFonts w:ascii="Arial" w:hAnsi="Arial" w:cs="Arial"/>
          <w:sz w:val="20"/>
          <w:lang w:val="es-ES"/>
        </w:rPr>
        <w:t>(IFD/ICS)</w:t>
      </w:r>
    </w:p>
    <w:p w14:paraId="49FFF8EE" w14:textId="77777777" w:rsidR="00B84211" w:rsidRPr="007E663E" w:rsidRDefault="007A1860" w:rsidP="007E6104">
      <w:pPr>
        <w:numPr>
          <w:ilvl w:val="0"/>
          <w:numId w:val="1"/>
        </w:numPr>
        <w:spacing w:after="0" w:line="480" w:lineRule="auto"/>
        <w:ind w:left="567" w:hanging="567"/>
        <w:jc w:val="both"/>
        <w:rPr>
          <w:rFonts w:ascii="Arial" w:hAnsi="Arial" w:cs="Arial"/>
          <w:b/>
          <w:sz w:val="24"/>
          <w:szCs w:val="24"/>
          <w:lang w:val="es-ES"/>
        </w:rPr>
      </w:pPr>
      <w:r w:rsidRPr="007E663E">
        <w:rPr>
          <w:rFonts w:ascii="Arial" w:hAnsi="Arial" w:cs="Arial"/>
          <w:b/>
          <w:sz w:val="24"/>
          <w:szCs w:val="24"/>
          <w:lang w:val="es-ES"/>
        </w:rPr>
        <w:lastRenderedPageBreak/>
        <w:t>Introducció</w:t>
      </w:r>
      <w:r w:rsidR="001C3DCA" w:rsidRPr="007E663E">
        <w:rPr>
          <w:rFonts w:ascii="Arial" w:hAnsi="Arial" w:cs="Arial"/>
          <w:b/>
          <w:sz w:val="24"/>
          <w:szCs w:val="24"/>
          <w:lang w:val="es-ES"/>
        </w:rPr>
        <w:t>n</w:t>
      </w:r>
    </w:p>
    <w:p w14:paraId="7BFDAEE1" w14:textId="0254D613" w:rsidR="00B84211" w:rsidRPr="00762862" w:rsidRDefault="00D433EF" w:rsidP="00D433EF">
      <w:pPr>
        <w:pStyle w:val="Paragraph"/>
        <w:numPr>
          <w:ilvl w:val="1"/>
          <w:numId w:val="1"/>
        </w:numPr>
        <w:rPr>
          <w:rFonts w:ascii="Arial" w:hAnsi="Arial" w:cs="Arial"/>
          <w:kern w:val="28"/>
          <w:sz w:val="22"/>
          <w:szCs w:val="22"/>
        </w:rPr>
      </w:pPr>
      <w:r w:rsidRPr="00762862">
        <w:rPr>
          <w:rFonts w:ascii="Arial" w:hAnsi="Arial" w:cs="Arial"/>
          <w:kern w:val="28"/>
          <w:sz w:val="22"/>
          <w:szCs w:val="22"/>
        </w:rPr>
        <w:t>Este documento presenta el análisis e</w:t>
      </w:r>
      <w:r w:rsidR="00F54627" w:rsidRPr="00762862">
        <w:rPr>
          <w:rFonts w:ascii="Arial" w:hAnsi="Arial" w:cs="Arial"/>
          <w:kern w:val="28"/>
          <w:sz w:val="22"/>
          <w:szCs w:val="22"/>
        </w:rPr>
        <w:t xml:space="preserve">conómico ex-ante del Proyecto de </w:t>
      </w:r>
      <w:r w:rsidR="00371649" w:rsidRPr="00762862">
        <w:rPr>
          <w:rFonts w:ascii="Arial" w:hAnsi="Arial" w:cs="Arial"/>
          <w:kern w:val="28"/>
          <w:sz w:val="22"/>
          <w:szCs w:val="22"/>
        </w:rPr>
        <w:t xml:space="preserve">Mejora de la Calidad en la Prestación de los Servicios Sociales </w:t>
      </w:r>
      <w:r w:rsidR="00F54627" w:rsidRPr="00762862">
        <w:rPr>
          <w:rFonts w:ascii="Arial" w:hAnsi="Arial" w:cs="Arial"/>
          <w:kern w:val="28"/>
          <w:sz w:val="22"/>
          <w:szCs w:val="22"/>
        </w:rPr>
        <w:t>(E</w:t>
      </w:r>
      <w:r w:rsidR="00371649" w:rsidRPr="00762862">
        <w:rPr>
          <w:rFonts w:ascii="Arial" w:hAnsi="Arial" w:cs="Arial"/>
          <w:kern w:val="28"/>
          <w:sz w:val="22"/>
          <w:szCs w:val="22"/>
        </w:rPr>
        <w:t>C</w:t>
      </w:r>
      <w:r w:rsidR="00F54627" w:rsidRPr="00762862">
        <w:rPr>
          <w:rFonts w:ascii="Arial" w:hAnsi="Arial" w:cs="Arial"/>
          <w:kern w:val="28"/>
          <w:sz w:val="22"/>
          <w:szCs w:val="22"/>
        </w:rPr>
        <w:t>-L1</w:t>
      </w:r>
      <w:r w:rsidR="00371649" w:rsidRPr="00762862">
        <w:rPr>
          <w:rFonts w:ascii="Arial" w:hAnsi="Arial" w:cs="Arial"/>
          <w:kern w:val="28"/>
          <w:sz w:val="22"/>
          <w:szCs w:val="22"/>
        </w:rPr>
        <w:t>227</w:t>
      </w:r>
      <w:r w:rsidRPr="00762862">
        <w:rPr>
          <w:rFonts w:ascii="Arial" w:hAnsi="Arial" w:cs="Arial"/>
          <w:kern w:val="28"/>
          <w:sz w:val="22"/>
          <w:szCs w:val="22"/>
        </w:rPr>
        <w:t>)</w:t>
      </w:r>
      <w:r w:rsidR="00161975" w:rsidRPr="00762862">
        <w:rPr>
          <w:rFonts w:ascii="Arial" w:hAnsi="Arial" w:cs="Arial"/>
          <w:kern w:val="28"/>
          <w:sz w:val="22"/>
          <w:szCs w:val="22"/>
        </w:rPr>
        <w:t xml:space="preserve"> </w:t>
      </w:r>
      <w:r w:rsidR="00CC071E" w:rsidRPr="00762862">
        <w:rPr>
          <w:rFonts w:ascii="Arial" w:hAnsi="Arial" w:cs="Arial"/>
          <w:kern w:val="28"/>
          <w:sz w:val="22"/>
          <w:szCs w:val="22"/>
        </w:rPr>
        <w:t xml:space="preserve">(en adelante, </w:t>
      </w:r>
      <w:r w:rsidR="00161975" w:rsidRPr="00762862">
        <w:rPr>
          <w:rFonts w:ascii="Arial" w:hAnsi="Arial" w:cs="Arial"/>
          <w:kern w:val="28"/>
          <w:sz w:val="22"/>
          <w:szCs w:val="22"/>
        </w:rPr>
        <w:t>“el Proyecto”)</w:t>
      </w:r>
      <w:r w:rsidRPr="00762862">
        <w:rPr>
          <w:rFonts w:ascii="Arial" w:hAnsi="Arial" w:cs="Arial"/>
          <w:kern w:val="28"/>
          <w:sz w:val="22"/>
          <w:szCs w:val="22"/>
        </w:rPr>
        <w:t>, cuya ejecución se tie</w:t>
      </w:r>
      <w:r w:rsidR="00F54627" w:rsidRPr="00762862">
        <w:rPr>
          <w:rFonts w:ascii="Arial" w:hAnsi="Arial" w:cs="Arial"/>
          <w:kern w:val="28"/>
          <w:sz w:val="22"/>
          <w:szCs w:val="22"/>
        </w:rPr>
        <w:t>ne prevista para el período 201</w:t>
      </w:r>
      <w:r w:rsidR="00371649" w:rsidRPr="00762862">
        <w:rPr>
          <w:rFonts w:ascii="Arial" w:hAnsi="Arial" w:cs="Arial"/>
          <w:kern w:val="28"/>
          <w:sz w:val="22"/>
          <w:szCs w:val="22"/>
        </w:rPr>
        <w:t>7</w:t>
      </w:r>
      <w:r w:rsidR="00F54627" w:rsidRPr="00762862">
        <w:rPr>
          <w:rFonts w:ascii="Arial" w:hAnsi="Arial" w:cs="Arial"/>
          <w:kern w:val="28"/>
          <w:sz w:val="22"/>
          <w:szCs w:val="22"/>
        </w:rPr>
        <w:t>-</w:t>
      </w:r>
      <w:r w:rsidR="00762862">
        <w:rPr>
          <w:rFonts w:ascii="Arial" w:hAnsi="Arial" w:cs="Arial"/>
          <w:kern w:val="28"/>
          <w:sz w:val="22"/>
          <w:szCs w:val="22"/>
        </w:rPr>
        <w:t> </w:t>
      </w:r>
      <w:r w:rsidR="00F54627" w:rsidRPr="00762862">
        <w:rPr>
          <w:rFonts w:ascii="Arial" w:hAnsi="Arial" w:cs="Arial"/>
          <w:kern w:val="28"/>
          <w:sz w:val="22"/>
          <w:szCs w:val="22"/>
        </w:rPr>
        <w:t>202</w:t>
      </w:r>
      <w:r w:rsidR="00371649" w:rsidRPr="00762862">
        <w:rPr>
          <w:rFonts w:ascii="Arial" w:hAnsi="Arial" w:cs="Arial"/>
          <w:kern w:val="28"/>
          <w:sz w:val="22"/>
          <w:szCs w:val="22"/>
        </w:rPr>
        <w:t>0</w:t>
      </w:r>
      <w:r w:rsidRPr="00762862">
        <w:rPr>
          <w:rFonts w:ascii="Arial" w:hAnsi="Arial" w:cs="Arial"/>
          <w:kern w:val="28"/>
          <w:sz w:val="22"/>
          <w:szCs w:val="22"/>
        </w:rPr>
        <w:t>. El análisis se lleva a cabo mediante la metodología de costo-</w:t>
      </w:r>
      <w:r w:rsidR="00762862">
        <w:rPr>
          <w:rFonts w:ascii="Arial" w:hAnsi="Arial" w:cs="Arial"/>
          <w:kern w:val="28"/>
          <w:sz w:val="22"/>
          <w:szCs w:val="22"/>
        </w:rPr>
        <w:t> </w:t>
      </w:r>
      <w:r w:rsidRPr="00762862">
        <w:rPr>
          <w:rFonts w:ascii="Arial" w:hAnsi="Arial" w:cs="Arial"/>
          <w:kern w:val="28"/>
          <w:sz w:val="22"/>
          <w:szCs w:val="22"/>
        </w:rPr>
        <w:t>beneficio</w:t>
      </w:r>
      <w:r w:rsidR="004C19AB" w:rsidRPr="00762862">
        <w:rPr>
          <w:rFonts w:ascii="Arial" w:hAnsi="Arial" w:cs="Arial"/>
          <w:kern w:val="28"/>
          <w:sz w:val="22"/>
          <w:szCs w:val="22"/>
        </w:rPr>
        <w:t>.</w:t>
      </w:r>
    </w:p>
    <w:p w14:paraId="4E2AE792" w14:textId="77777777" w:rsidR="00B84211" w:rsidRPr="00762862" w:rsidRDefault="001F52BD" w:rsidP="00FD7752">
      <w:pPr>
        <w:pStyle w:val="Paragraph"/>
        <w:numPr>
          <w:ilvl w:val="1"/>
          <w:numId w:val="1"/>
        </w:numPr>
        <w:rPr>
          <w:rFonts w:ascii="Arial" w:hAnsi="Arial" w:cs="Arial"/>
          <w:kern w:val="28"/>
          <w:sz w:val="22"/>
          <w:szCs w:val="22"/>
        </w:rPr>
      </w:pPr>
      <w:r w:rsidRPr="00762862">
        <w:rPr>
          <w:rFonts w:ascii="Arial" w:hAnsi="Arial" w:cs="Arial"/>
          <w:kern w:val="28"/>
          <w:sz w:val="22"/>
          <w:szCs w:val="22"/>
        </w:rPr>
        <w:t>El Pr</w:t>
      </w:r>
      <w:r w:rsidR="00F54627" w:rsidRPr="00762862">
        <w:rPr>
          <w:rFonts w:ascii="Arial" w:hAnsi="Arial" w:cs="Arial"/>
          <w:kern w:val="28"/>
          <w:sz w:val="22"/>
          <w:szCs w:val="22"/>
        </w:rPr>
        <w:t xml:space="preserve">oyecto </w:t>
      </w:r>
      <w:r w:rsidRPr="00762862">
        <w:rPr>
          <w:rFonts w:ascii="Arial" w:hAnsi="Arial" w:cs="Arial"/>
          <w:kern w:val="28"/>
          <w:sz w:val="22"/>
          <w:szCs w:val="22"/>
        </w:rPr>
        <w:t>tiene como objetivo</w:t>
      </w:r>
      <w:r w:rsidR="00C54573" w:rsidRPr="00762862">
        <w:rPr>
          <w:rFonts w:ascii="Arial" w:hAnsi="Arial" w:cs="Arial"/>
          <w:kern w:val="28"/>
          <w:sz w:val="22"/>
          <w:szCs w:val="22"/>
        </w:rPr>
        <w:t xml:space="preserve"> </w:t>
      </w:r>
      <w:r w:rsidR="00FD7752" w:rsidRPr="00762862">
        <w:rPr>
          <w:rFonts w:ascii="Arial" w:hAnsi="Arial" w:cs="Arial"/>
          <w:kern w:val="28"/>
          <w:sz w:val="22"/>
          <w:szCs w:val="22"/>
        </w:rPr>
        <w:t xml:space="preserve">general </w:t>
      </w:r>
      <w:r w:rsidR="00C54573" w:rsidRPr="00762862">
        <w:rPr>
          <w:rFonts w:ascii="Arial" w:hAnsi="Arial" w:cs="Arial"/>
          <w:kern w:val="28"/>
          <w:sz w:val="22"/>
          <w:szCs w:val="22"/>
        </w:rPr>
        <w:t>contribuir a mejorar la calidad en la prestación de servicios sociales en Ecuador, particularmente en lo</w:t>
      </w:r>
      <w:r w:rsidR="00FD7752" w:rsidRPr="00762862">
        <w:rPr>
          <w:rFonts w:ascii="Arial" w:hAnsi="Arial" w:cs="Arial"/>
          <w:kern w:val="28"/>
          <w:sz w:val="22"/>
          <w:szCs w:val="22"/>
        </w:rPr>
        <w:t>s sectores de educación y salud</w:t>
      </w:r>
      <w:r w:rsidR="00161975" w:rsidRPr="00762862">
        <w:rPr>
          <w:rFonts w:ascii="Arial" w:hAnsi="Arial" w:cs="Arial"/>
          <w:kern w:val="28"/>
          <w:sz w:val="22"/>
          <w:szCs w:val="22"/>
        </w:rPr>
        <w:t>. La operación procurará este objetivo mediante</w:t>
      </w:r>
      <w:r w:rsidR="00FD7752" w:rsidRPr="00762862">
        <w:rPr>
          <w:rFonts w:ascii="Arial" w:hAnsi="Arial" w:cs="Arial"/>
          <w:kern w:val="28"/>
          <w:sz w:val="22"/>
          <w:szCs w:val="22"/>
        </w:rPr>
        <w:t xml:space="preserve"> los siguientes objetivos específicos:</w:t>
      </w:r>
      <w:r w:rsidR="00CC071E" w:rsidRPr="00762862">
        <w:rPr>
          <w:rFonts w:ascii="Arial" w:hAnsi="Arial" w:cs="Arial"/>
          <w:kern w:val="28"/>
          <w:sz w:val="22"/>
          <w:szCs w:val="22"/>
        </w:rPr>
        <w:t xml:space="preserve"> </w:t>
      </w:r>
      <w:r w:rsidR="00FD7752" w:rsidRPr="00762862">
        <w:rPr>
          <w:rFonts w:ascii="Arial" w:hAnsi="Arial" w:cs="Arial"/>
          <w:kern w:val="28"/>
          <w:sz w:val="22"/>
          <w:szCs w:val="22"/>
        </w:rPr>
        <w:t>(i) el apoyo a la adecuación del perfil del talento humano</w:t>
      </w:r>
      <w:r w:rsidR="00A7196E" w:rsidRPr="00762862">
        <w:rPr>
          <w:rFonts w:ascii="Arial" w:hAnsi="Arial" w:cs="Arial"/>
          <w:kern w:val="28"/>
          <w:sz w:val="22"/>
          <w:szCs w:val="22"/>
        </w:rPr>
        <w:t xml:space="preserve"> (TH) en ambos sectores, y (ii) </w:t>
      </w:r>
      <w:r w:rsidR="00FD7752" w:rsidRPr="00762862">
        <w:rPr>
          <w:rFonts w:ascii="Arial" w:hAnsi="Arial" w:cs="Arial"/>
          <w:kern w:val="28"/>
          <w:sz w:val="22"/>
          <w:szCs w:val="22"/>
        </w:rPr>
        <w:t xml:space="preserve">el mejor aprovechamiento de las tecnologías de la información y las comunicaciones </w:t>
      </w:r>
      <w:r w:rsidR="00A7196E" w:rsidRPr="00762862">
        <w:rPr>
          <w:rFonts w:ascii="Arial" w:hAnsi="Arial" w:cs="Arial"/>
          <w:kern w:val="28"/>
          <w:sz w:val="22"/>
          <w:szCs w:val="22"/>
        </w:rPr>
        <w:t xml:space="preserve">(TIC) </w:t>
      </w:r>
      <w:r w:rsidR="00FD7752" w:rsidRPr="00762862">
        <w:rPr>
          <w:rFonts w:ascii="Arial" w:hAnsi="Arial" w:cs="Arial"/>
          <w:kern w:val="28"/>
          <w:sz w:val="22"/>
          <w:szCs w:val="22"/>
        </w:rPr>
        <w:t>para la modernización de la gestión de los servicios</w:t>
      </w:r>
      <w:r w:rsidR="00161975" w:rsidRPr="00762862">
        <w:rPr>
          <w:rFonts w:ascii="Arial" w:hAnsi="Arial" w:cs="Arial"/>
          <w:kern w:val="28"/>
          <w:sz w:val="22"/>
          <w:szCs w:val="22"/>
        </w:rPr>
        <w:t xml:space="preserve">. </w:t>
      </w:r>
    </w:p>
    <w:p w14:paraId="5F02B35D" w14:textId="6EF9B798" w:rsidR="0048244D" w:rsidRPr="00762862" w:rsidRDefault="00FD7752" w:rsidP="00A7196E">
      <w:pPr>
        <w:pStyle w:val="Paragraph"/>
        <w:numPr>
          <w:ilvl w:val="1"/>
          <w:numId w:val="1"/>
        </w:numPr>
        <w:rPr>
          <w:rFonts w:ascii="Arial" w:hAnsi="Arial" w:cs="Arial"/>
          <w:sz w:val="22"/>
          <w:szCs w:val="22"/>
        </w:rPr>
      </w:pPr>
      <w:r w:rsidRPr="00762862">
        <w:rPr>
          <w:rFonts w:ascii="Arial" w:hAnsi="Arial" w:cs="Arial"/>
          <w:sz w:val="22"/>
          <w:szCs w:val="22"/>
        </w:rPr>
        <w:t>E</w:t>
      </w:r>
      <w:r w:rsidR="00D433EF" w:rsidRPr="00762862">
        <w:rPr>
          <w:rFonts w:ascii="Arial" w:hAnsi="Arial" w:cs="Arial"/>
          <w:sz w:val="22"/>
          <w:szCs w:val="22"/>
        </w:rPr>
        <w:t>l impacto espera</w:t>
      </w:r>
      <w:r w:rsidR="0048244D" w:rsidRPr="00762862">
        <w:rPr>
          <w:rFonts w:ascii="Arial" w:hAnsi="Arial" w:cs="Arial"/>
          <w:sz w:val="22"/>
          <w:szCs w:val="22"/>
        </w:rPr>
        <w:t>do del proyecto</w:t>
      </w:r>
      <w:r w:rsidR="00D433EF" w:rsidRPr="00762862">
        <w:rPr>
          <w:rFonts w:ascii="Arial" w:hAnsi="Arial" w:cs="Arial"/>
          <w:sz w:val="22"/>
          <w:szCs w:val="22"/>
        </w:rPr>
        <w:t xml:space="preserve"> </w:t>
      </w:r>
      <w:r w:rsidRPr="00762862">
        <w:rPr>
          <w:rFonts w:ascii="Arial" w:hAnsi="Arial" w:cs="Arial"/>
          <w:sz w:val="22"/>
          <w:szCs w:val="22"/>
        </w:rPr>
        <w:t>se medirá mediante los siguientes indicadores:</w:t>
      </w:r>
      <w:r w:rsidR="001A60AB" w:rsidRPr="00762862">
        <w:rPr>
          <w:rFonts w:ascii="Arial" w:hAnsi="Arial" w:cs="Arial"/>
          <w:sz w:val="22"/>
          <w:szCs w:val="22"/>
        </w:rPr>
        <w:t xml:space="preserve"> </w:t>
      </w:r>
      <w:r w:rsidR="006B4647">
        <w:rPr>
          <w:rFonts w:ascii="Arial" w:hAnsi="Arial" w:cs="Arial"/>
          <w:sz w:val="22"/>
          <w:szCs w:val="22"/>
        </w:rPr>
        <w:t xml:space="preserve">(i) disminución de mortalidad materna; (ii) disminución de mortalidad neonatal; (iii) </w:t>
      </w:r>
      <w:r w:rsidR="00EA5B8C">
        <w:rPr>
          <w:rFonts w:ascii="Arial" w:hAnsi="Arial" w:cs="Arial"/>
          <w:sz w:val="22"/>
          <w:szCs w:val="22"/>
        </w:rPr>
        <w:t xml:space="preserve">porcentaje de estudiantes con nivel suficiente en pruebas estandarizadas “Ser Estudiante” de lengua, literatura y matemática. Los efectos directos esperados tienen relación con: (i) aumento de profesionales de la salud dedicados a la atención primaria como porcentaje de la fuerza laboral en servicios; (ii) número de docentes </w:t>
      </w:r>
      <w:r w:rsidR="00A5612B">
        <w:rPr>
          <w:rFonts w:ascii="Arial" w:hAnsi="Arial" w:cs="Arial"/>
          <w:sz w:val="22"/>
          <w:szCs w:val="22"/>
        </w:rPr>
        <w:t>capacitados; y (iii) número de pacientes que cuentan con registro médico electrónico.</w:t>
      </w:r>
    </w:p>
    <w:p w14:paraId="05A7E323" w14:textId="79E4BA37" w:rsidR="00B84211" w:rsidRDefault="001F52BD" w:rsidP="00A7196E">
      <w:pPr>
        <w:pStyle w:val="Paragraph"/>
        <w:numPr>
          <w:ilvl w:val="1"/>
          <w:numId w:val="1"/>
        </w:numPr>
        <w:rPr>
          <w:rFonts w:ascii="Arial" w:hAnsi="Arial" w:cs="Arial"/>
          <w:kern w:val="28"/>
          <w:sz w:val="22"/>
          <w:szCs w:val="22"/>
        </w:rPr>
      </w:pPr>
      <w:r w:rsidRPr="00762862">
        <w:rPr>
          <w:rFonts w:ascii="Arial" w:hAnsi="Arial" w:cs="Arial"/>
          <w:kern w:val="28"/>
          <w:sz w:val="22"/>
          <w:szCs w:val="22"/>
        </w:rPr>
        <w:t>Las activ</w:t>
      </w:r>
      <w:r w:rsidR="0048244D" w:rsidRPr="00762862">
        <w:rPr>
          <w:rFonts w:ascii="Arial" w:hAnsi="Arial" w:cs="Arial"/>
          <w:kern w:val="28"/>
          <w:sz w:val="22"/>
          <w:szCs w:val="22"/>
        </w:rPr>
        <w:t>idades pueden encuadrarse en tres</w:t>
      </w:r>
      <w:r w:rsidRPr="00762862">
        <w:rPr>
          <w:rFonts w:ascii="Arial" w:hAnsi="Arial" w:cs="Arial"/>
          <w:kern w:val="28"/>
          <w:sz w:val="22"/>
          <w:szCs w:val="22"/>
        </w:rPr>
        <w:t xml:space="preserve"> componentes: </w:t>
      </w:r>
      <w:r w:rsidR="002E26C6" w:rsidRPr="00762862">
        <w:rPr>
          <w:rFonts w:ascii="Arial" w:hAnsi="Arial" w:cs="Arial"/>
          <w:kern w:val="28"/>
          <w:sz w:val="22"/>
          <w:szCs w:val="22"/>
        </w:rPr>
        <w:t>(</w:t>
      </w:r>
      <w:r w:rsidR="00762862">
        <w:rPr>
          <w:rFonts w:ascii="Arial" w:hAnsi="Arial" w:cs="Arial"/>
          <w:kern w:val="28"/>
          <w:sz w:val="22"/>
          <w:szCs w:val="22"/>
        </w:rPr>
        <w:t>i</w:t>
      </w:r>
      <w:r w:rsidR="002E26C6" w:rsidRPr="00762862">
        <w:rPr>
          <w:rFonts w:ascii="Arial" w:hAnsi="Arial" w:cs="Arial"/>
          <w:kern w:val="28"/>
          <w:sz w:val="22"/>
          <w:szCs w:val="22"/>
        </w:rPr>
        <w:t>)</w:t>
      </w:r>
      <w:r w:rsidR="00762862">
        <w:rPr>
          <w:rFonts w:ascii="Arial" w:hAnsi="Arial" w:cs="Arial"/>
          <w:kern w:val="28"/>
          <w:sz w:val="22"/>
          <w:szCs w:val="22"/>
        </w:rPr>
        <w:t xml:space="preserve"> m</w:t>
      </w:r>
      <w:r w:rsidR="00A7196E" w:rsidRPr="00762862">
        <w:rPr>
          <w:rFonts w:ascii="Arial" w:hAnsi="Arial" w:cs="Arial"/>
          <w:kern w:val="28"/>
          <w:sz w:val="22"/>
          <w:szCs w:val="22"/>
        </w:rPr>
        <w:t>ejora de la gestión y optimización del TH;</w:t>
      </w:r>
      <w:r w:rsidRPr="00762862">
        <w:rPr>
          <w:rFonts w:ascii="Arial" w:hAnsi="Arial" w:cs="Arial"/>
          <w:kern w:val="28"/>
          <w:sz w:val="22"/>
          <w:szCs w:val="22"/>
        </w:rPr>
        <w:t xml:space="preserve"> </w:t>
      </w:r>
      <w:r w:rsidR="002E26C6" w:rsidRPr="00762862">
        <w:rPr>
          <w:rFonts w:ascii="Arial" w:hAnsi="Arial" w:cs="Arial"/>
          <w:kern w:val="28"/>
          <w:sz w:val="22"/>
          <w:szCs w:val="22"/>
        </w:rPr>
        <w:t>(</w:t>
      </w:r>
      <w:r w:rsidR="00762862">
        <w:rPr>
          <w:rFonts w:ascii="Arial" w:hAnsi="Arial" w:cs="Arial"/>
          <w:kern w:val="28"/>
          <w:sz w:val="22"/>
          <w:szCs w:val="22"/>
        </w:rPr>
        <w:t>ii</w:t>
      </w:r>
      <w:r w:rsidR="002E26C6" w:rsidRPr="00762862">
        <w:rPr>
          <w:rFonts w:ascii="Arial" w:hAnsi="Arial" w:cs="Arial"/>
          <w:kern w:val="28"/>
          <w:sz w:val="22"/>
          <w:szCs w:val="22"/>
        </w:rPr>
        <w:t>)</w:t>
      </w:r>
      <w:r w:rsidR="0048244D" w:rsidRPr="00762862">
        <w:rPr>
          <w:rFonts w:ascii="Arial" w:hAnsi="Arial" w:cs="Arial"/>
          <w:kern w:val="28"/>
          <w:sz w:val="22"/>
          <w:szCs w:val="22"/>
        </w:rPr>
        <w:t xml:space="preserve"> </w:t>
      </w:r>
      <w:r w:rsidR="00762862">
        <w:rPr>
          <w:rFonts w:ascii="Arial" w:hAnsi="Arial" w:cs="Arial"/>
          <w:kern w:val="28"/>
          <w:sz w:val="22"/>
          <w:szCs w:val="22"/>
        </w:rPr>
        <w:t>m</w:t>
      </w:r>
      <w:r w:rsidR="00A7196E" w:rsidRPr="00762862">
        <w:rPr>
          <w:rFonts w:ascii="Arial" w:hAnsi="Arial" w:cs="Arial"/>
          <w:kern w:val="28"/>
          <w:sz w:val="22"/>
          <w:szCs w:val="22"/>
        </w:rPr>
        <w:t xml:space="preserve">ejora de la calidad de la provisión de servicios en el sector educación; </w:t>
      </w:r>
      <w:r w:rsidR="0048244D" w:rsidRPr="00762862">
        <w:rPr>
          <w:rFonts w:ascii="Arial" w:hAnsi="Arial" w:cs="Arial"/>
          <w:kern w:val="28"/>
          <w:sz w:val="22"/>
          <w:szCs w:val="22"/>
        </w:rPr>
        <w:t xml:space="preserve">y </w:t>
      </w:r>
      <w:r w:rsidR="002E26C6" w:rsidRPr="00762862">
        <w:rPr>
          <w:rFonts w:ascii="Arial" w:hAnsi="Arial" w:cs="Arial"/>
          <w:kern w:val="28"/>
          <w:sz w:val="22"/>
          <w:szCs w:val="22"/>
        </w:rPr>
        <w:t>(</w:t>
      </w:r>
      <w:r w:rsidR="00762862">
        <w:rPr>
          <w:rFonts w:ascii="Arial" w:hAnsi="Arial" w:cs="Arial"/>
          <w:kern w:val="28"/>
          <w:sz w:val="22"/>
          <w:szCs w:val="22"/>
        </w:rPr>
        <w:t>iii</w:t>
      </w:r>
      <w:r w:rsidR="002E26C6" w:rsidRPr="00762862">
        <w:rPr>
          <w:rFonts w:ascii="Arial" w:hAnsi="Arial" w:cs="Arial"/>
          <w:kern w:val="28"/>
          <w:sz w:val="22"/>
          <w:szCs w:val="22"/>
        </w:rPr>
        <w:t>)</w:t>
      </w:r>
      <w:r w:rsidR="00A7196E" w:rsidRPr="00762862">
        <w:rPr>
          <w:sz w:val="22"/>
          <w:szCs w:val="22"/>
        </w:rPr>
        <w:t xml:space="preserve"> </w:t>
      </w:r>
      <w:r w:rsidR="00762862">
        <w:rPr>
          <w:rFonts w:ascii="Arial" w:hAnsi="Arial" w:cs="Arial"/>
          <w:kern w:val="28"/>
          <w:sz w:val="22"/>
          <w:szCs w:val="22"/>
        </w:rPr>
        <w:t>m</w:t>
      </w:r>
      <w:r w:rsidR="00A7196E" w:rsidRPr="00762862">
        <w:rPr>
          <w:rFonts w:ascii="Arial" w:hAnsi="Arial" w:cs="Arial"/>
          <w:kern w:val="28"/>
          <w:sz w:val="22"/>
          <w:szCs w:val="22"/>
        </w:rPr>
        <w:t>ejora de la calidad de la provisión de servicios en el sector salud</w:t>
      </w:r>
      <w:r w:rsidRPr="00762862">
        <w:rPr>
          <w:rFonts w:ascii="Arial" w:hAnsi="Arial" w:cs="Arial"/>
          <w:kern w:val="28"/>
          <w:sz w:val="22"/>
          <w:szCs w:val="22"/>
        </w:rPr>
        <w:t xml:space="preserve">. </w:t>
      </w:r>
    </w:p>
    <w:p w14:paraId="18FEE684" w14:textId="1614358D" w:rsidR="009E0A2F" w:rsidRPr="009E0A2F" w:rsidRDefault="0028600B" w:rsidP="00F226AF">
      <w:pPr>
        <w:pStyle w:val="Paragraph"/>
        <w:numPr>
          <w:ilvl w:val="1"/>
          <w:numId w:val="1"/>
        </w:numPr>
        <w:rPr>
          <w:rFonts w:ascii="Arial" w:hAnsi="Arial" w:cs="Arial"/>
          <w:bCs/>
          <w:spacing w:val="-6"/>
          <w:sz w:val="22"/>
          <w:lang w:val="es-PE"/>
        </w:rPr>
      </w:pPr>
      <w:r w:rsidRPr="009E0A2F">
        <w:rPr>
          <w:rFonts w:ascii="Arial" w:hAnsi="Arial" w:cs="Arial"/>
          <w:kern w:val="28"/>
          <w:sz w:val="22"/>
          <w:szCs w:val="22"/>
        </w:rPr>
        <w:t xml:space="preserve">Descripción de la intervención- </w:t>
      </w:r>
      <w:r w:rsidR="009E0A2F" w:rsidRPr="009E0A2F">
        <w:rPr>
          <w:rFonts w:ascii="Arial" w:hAnsi="Arial" w:cs="Arial"/>
          <w:kern w:val="28"/>
          <w:sz w:val="22"/>
          <w:szCs w:val="22"/>
        </w:rPr>
        <w:t xml:space="preserve">Componente 1. </w:t>
      </w:r>
      <w:r w:rsidR="009E0A2F" w:rsidRPr="009E0A2F">
        <w:rPr>
          <w:rFonts w:ascii="Arial" w:hAnsi="Arial" w:cs="Arial"/>
          <w:bCs/>
          <w:spacing w:val="-6"/>
          <w:sz w:val="22"/>
        </w:rPr>
        <w:t>Mejora</w:t>
      </w:r>
      <w:r w:rsidR="009E0A2F" w:rsidRPr="009E0A2F">
        <w:rPr>
          <w:rFonts w:ascii="Arial" w:hAnsi="Arial" w:cs="Arial"/>
          <w:bCs/>
          <w:spacing w:val="-6"/>
          <w:sz w:val="22"/>
          <w:lang w:val="es-PE"/>
        </w:rPr>
        <w:t xml:space="preserve"> de la gestión y optimización del TH (US$191,41 millones). Su objetivo es apoyar la adecuación del perfil </w:t>
      </w:r>
      <w:r w:rsidR="009E0A2F" w:rsidRPr="009E0A2F">
        <w:rPr>
          <w:rFonts w:ascii="Arial" w:hAnsi="Arial" w:cs="Arial"/>
          <w:bCs/>
          <w:spacing w:val="-6"/>
          <w:sz w:val="22"/>
        </w:rPr>
        <w:t>del TH de los sectores educación y salud, al de los puestos requeridos por los nuevos modelos de prestación.</w:t>
      </w:r>
      <w:r w:rsidR="009E0A2F" w:rsidRPr="009E0A2F">
        <w:rPr>
          <w:rFonts w:ascii="Arial" w:hAnsi="Arial" w:cs="Arial"/>
          <w:bCs/>
          <w:spacing w:val="-6"/>
          <w:sz w:val="22"/>
          <w:lang w:val="es-PE"/>
        </w:rPr>
        <w:t xml:space="preserve"> Para ello, se apoyará el financiamiento de</w:t>
      </w:r>
      <w:r w:rsidR="009E0A2F" w:rsidRPr="009E0A2F">
        <w:rPr>
          <w:rFonts w:ascii="Arial" w:hAnsi="Arial" w:cs="Arial"/>
          <w:bCs/>
          <w:spacing w:val="-6"/>
          <w:sz w:val="22"/>
        </w:rPr>
        <w:t xml:space="preserve"> desvinculaciones</w:t>
      </w:r>
      <w:bookmarkStart w:id="1" w:name="_Ref493607783"/>
      <w:r w:rsidR="009E0A2F" w:rsidRPr="00964BFC">
        <w:rPr>
          <w:rFonts w:ascii="Arial" w:hAnsi="Arial" w:cs="Arial"/>
          <w:bCs/>
          <w:spacing w:val="-6"/>
          <w:sz w:val="22"/>
          <w:vertAlign w:val="superscript"/>
        </w:rPr>
        <w:footnoteReference w:id="1"/>
      </w:r>
      <w:bookmarkEnd w:id="1"/>
      <w:r w:rsidR="009E0A2F" w:rsidRPr="009E0A2F">
        <w:rPr>
          <w:rFonts w:ascii="Arial" w:hAnsi="Arial" w:cs="Arial"/>
          <w:bCs/>
          <w:spacing w:val="-6"/>
          <w:sz w:val="22"/>
        </w:rPr>
        <w:t xml:space="preserve"> priorizadas en las</w:t>
      </w:r>
      <w:r w:rsidR="009E0A2F" w:rsidRPr="009E0A2F">
        <w:rPr>
          <w:rFonts w:ascii="Arial" w:hAnsi="Arial" w:cs="Arial"/>
          <w:bCs/>
          <w:spacing w:val="-6"/>
          <w:sz w:val="22"/>
          <w:lang w:val="es-PE"/>
        </w:rPr>
        <w:t xml:space="preserve"> modalidades de: (i) jubilación obligatoria por edad (más de 70 años); (ii) jubilación voluntaria por enfermedad catastrófica, invalidez o discapacidad; y (iii) renuncia voluntaria</w:t>
      </w:r>
      <w:r w:rsidR="009E0A2F" w:rsidRPr="00964BFC">
        <w:rPr>
          <w:rFonts w:ascii="Arial" w:hAnsi="Arial" w:cs="Arial"/>
          <w:bCs/>
          <w:spacing w:val="-6"/>
          <w:sz w:val="22"/>
          <w:vertAlign w:val="superscript"/>
          <w:lang w:val="es-PE"/>
        </w:rPr>
        <w:footnoteReference w:id="2"/>
      </w:r>
      <w:r w:rsidR="009E0A2F" w:rsidRPr="009E0A2F">
        <w:rPr>
          <w:rFonts w:ascii="Arial" w:eastAsia="Arial" w:hAnsi="Arial" w:cs="Arial"/>
          <w:bCs/>
          <w:spacing w:val="-6"/>
          <w:sz w:val="22"/>
        </w:rPr>
        <w:t>, las cuales deberán cumplir con los requisitos de elegibilidad y demás requerimientos establecidos para tal fin en el ROP. Dichas modalidades se encuentran avaladas por el marco legal vigente.</w:t>
      </w:r>
      <w:r w:rsidR="009E0A2F" w:rsidRPr="009E0A2F">
        <w:rPr>
          <w:rFonts w:ascii="Arial" w:hAnsi="Arial" w:cs="Arial"/>
          <w:bCs/>
          <w:spacing w:val="-6"/>
          <w:sz w:val="22"/>
          <w:lang w:val="es-PE"/>
        </w:rPr>
        <w:t xml:space="preserve"> Estas jubilaciones beneficiarán a 2.167 funcionarios de educación y 743 de salud; con una bonificación </w:t>
      </w:r>
      <w:r w:rsidR="009E0A2F" w:rsidRPr="009E0A2F">
        <w:rPr>
          <w:rFonts w:ascii="Arial" w:hAnsi="Arial" w:cs="Arial"/>
          <w:bCs/>
          <w:spacing w:val="-6"/>
          <w:sz w:val="22"/>
          <w:lang w:val="es-PE"/>
        </w:rPr>
        <w:lastRenderedPageBreak/>
        <w:t>promedio de US$52.112</w:t>
      </w:r>
      <w:r w:rsidR="009E0A2F" w:rsidRPr="00964BFC">
        <w:rPr>
          <w:rFonts w:ascii="Arial" w:hAnsi="Arial" w:cs="Arial"/>
          <w:bCs/>
          <w:spacing w:val="-6"/>
          <w:sz w:val="22"/>
          <w:vertAlign w:val="superscript"/>
          <w:lang w:val="es-PE"/>
        </w:rPr>
        <w:footnoteReference w:id="3"/>
      </w:r>
      <w:r w:rsidR="009E0A2F" w:rsidRPr="009E0A2F">
        <w:rPr>
          <w:rFonts w:ascii="Arial" w:hAnsi="Arial" w:cs="Arial"/>
          <w:bCs/>
          <w:spacing w:val="-6"/>
          <w:sz w:val="22"/>
          <w:lang w:val="es-PE"/>
        </w:rPr>
        <w:t>. Este proceso viene acompañado por el reclutamiento de servidores en ambos sectores mediante concursos abiertos, públicos y de méritos y será financiado con recursos presupuestarios.</w:t>
      </w:r>
    </w:p>
    <w:p w14:paraId="51512E3C" w14:textId="76AC282E" w:rsidR="001A60AB" w:rsidRPr="00762862" w:rsidRDefault="009E0A2F" w:rsidP="009E0A2F">
      <w:pPr>
        <w:pStyle w:val="Paragraph"/>
        <w:numPr>
          <w:ilvl w:val="1"/>
          <w:numId w:val="1"/>
        </w:numPr>
        <w:rPr>
          <w:rFonts w:ascii="Arial" w:hAnsi="Arial" w:cs="Arial"/>
          <w:kern w:val="28"/>
          <w:sz w:val="22"/>
          <w:szCs w:val="22"/>
          <w:lang w:val="es-PE"/>
        </w:rPr>
      </w:pPr>
      <w:r w:rsidRPr="00964BFC">
        <w:rPr>
          <w:rFonts w:ascii="Arial" w:hAnsi="Arial" w:cs="Arial"/>
          <w:bCs/>
          <w:spacing w:val="-6"/>
          <w:sz w:val="22"/>
          <w:lang w:val="es-PE"/>
        </w:rPr>
        <w:t xml:space="preserve">Asimismo, el </w:t>
      </w:r>
      <w:r w:rsidRPr="00964BFC">
        <w:rPr>
          <w:rFonts w:ascii="Arial" w:eastAsia="Arial" w:hAnsi="Arial" w:cs="Arial"/>
          <w:bCs/>
          <w:spacing w:val="-6"/>
          <w:sz w:val="22"/>
          <w:lang w:val="es-PE"/>
        </w:rPr>
        <w:t>componente</w:t>
      </w:r>
      <w:r w:rsidRPr="00964BFC">
        <w:rPr>
          <w:rFonts w:ascii="Arial" w:hAnsi="Arial" w:cs="Arial"/>
          <w:bCs/>
          <w:spacing w:val="-6"/>
          <w:sz w:val="22"/>
          <w:lang w:val="es-PE"/>
        </w:rPr>
        <w:t xml:space="preserve"> apoyará el mejor </w:t>
      </w:r>
      <w:r w:rsidRPr="00964BFC">
        <w:rPr>
          <w:rFonts w:ascii="Arial" w:eastAsia="Arial" w:hAnsi="Arial" w:cs="Arial"/>
          <w:bCs/>
          <w:spacing w:val="-6"/>
          <w:sz w:val="22"/>
        </w:rPr>
        <w:t xml:space="preserve">conocimiento de los costos de las desvinculaciones, además de acciones que fortalezcan la sostenibilidad fiscal, mediante: </w:t>
      </w:r>
      <w:r w:rsidRPr="00964BFC">
        <w:rPr>
          <w:rFonts w:ascii="Arial" w:hAnsi="Arial" w:cs="Arial"/>
          <w:bCs/>
          <w:spacing w:val="-6"/>
          <w:sz w:val="22"/>
          <w:lang w:val="es-PE"/>
        </w:rPr>
        <w:t>(i) elaboración de un plan estratégico que permita la planificación prospectiva de los requerimientos de TH en salud y educación, poniendo particular atención en el tema de género; (ii) el análisis de propuestas de mecanismos para garantizar la solvencia fiscal de los pagos por concepto de desvinculaciones; y (iii)</w:t>
      </w:r>
      <w:r w:rsidR="00667E20">
        <w:rPr>
          <w:rFonts w:ascii="Arial" w:hAnsi="Arial" w:cs="Arial"/>
          <w:bCs/>
          <w:spacing w:val="-6"/>
          <w:sz w:val="22"/>
          <w:lang w:val="es-PE"/>
        </w:rPr>
        <w:t xml:space="preserve"> </w:t>
      </w:r>
      <w:r w:rsidRPr="00964BFC">
        <w:rPr>
          <w:rFonts w:ascii="Arial" w:hAnsi="Arial" w:cs="Arial"/>
          <w:bCs/>
          <w:spacing w:val="-6"/>
          <w:sz w:val="22"/>
          <w:lang w:val="es-PE"/>
        </w:rPr>
        <w:t>un mecanismo de rendición de cuentas y medidas correctivas del proceso de optimización del TH</w:t>
      </w:r>
      <w:r>
        <w:rPr>
          <w:rFonts w:ascii="Arial" w:hAnsi="Arial" w:cs="Arial"/>
          <w:bCs/>
          <w:spacing w:val="-6"/>
          <w:sz w:val="22"/>
          <w:lang w:val="es-PE"/>
        </w:rPr>
        <w:t>.</w:t>
      </w:r>
    </w:p>
    <w:p w14:paraId="32679A9A" w14:textId="418FBD8A" w:rsidR="001A60AB" w:rsidRPr="00762862" w:rsidRDefault="001A60AB" w:rsidP="00BE7801">
      <w:pPr>
        <w:pStyle w:val="Paragraph"/>
        <w:numPr>
          <w:ilvl w:val="1"/>
          <w:numId w:val="1"/>
        </w:numPr>
        <w:rPr>
          <w:rFonts w:ascii="Arial" w:hAnsi="Arial" w:cs="Arial"/>
          <w:kern w:val="28"/>
          <w:sz w:val="22"/>
          <w:szCs w:val="22"/>
        </w:rPr>
      </w:pPr>
      <w:r w:rsidRPr="00762862">
        <w:rPr>
          <w:rFonts w:ascii="Arial" w:hAnsi="Arial" w:cs="Arial"/>
          <w:b/>
          <w:bCs/>
          <w:kern w:val="28"/>
          <w:sz w:val="22"/>
          <w:szCs w:val="22"/>
        </w:rPr>
        <w:t xml:space="preserve">Componente 2. </w:t>
      </w:r>
      <w:r w:rsidR="009E0A2F" w:rsidRPr="00FD44EC">
        <w:rPr>
          <w:rFonts w:ascii="Arial" w:eastAsia="Arial" w:hAnsi="Arial" w:cs="Arial"/>
          <w:b/>
          <w:bCs/>
          <w:spacing w:val="-6"/>
          <w:sz w:val="22"/>
        </w:rPr>
        <w:t xml:space="preserve">Mejora de la calidad de la provisión de servicios en el sector educación </w:t>
      </w:r>
      <w:r w:rsidR="009E0A2F" w:rsidRPr="00FD44EC">
        <w:rPr>
          <w:rFonts w:ascii="Arial" w:eastAsia="Arial" w:hAnsi="Arial" w:cs="Arial"/>
          <w:b/>
          <w:bCs/>
          <w:spacing w:val="-6"/>
          <w:sz w:val="22"/>
          <w:lang w:val="es-PE"/>
        </w:rPr>
        <w:t>(US$25,76 millones)</w:t>
      </w:r>
      <w:r w:rsidR="009E0A2F" w:rsidRPr="00FD44EC">
        <w:rPr>
          <w:rFonts w:ascii="Arial" w:eastAsia="Arial" w:hAnsi="Arial" w:cs="Arial"/>
          <w:b/>
          <w:bCs/>
          <w:spacing w:val="-6"/>
          <w:sz w:val="22"/>
        </w:rPr>
        <w:t xml:space="preserve">. </w:t>
      </w:r>
      <w:r w:rsidR="009E0A2F" w:rsidRPr="00964BFC">
        <w:rPr>
          <w:rFonts w:ascii="Arial" w:eastAsia="Arial" w:hAnsi="Arial" w:cs="Arial"/>
          <w:bCs/>
          <w:spacing w:val="-6"/>
          <w:sz w:val="22"/>
        </w:rPr>
        <w:t xml:space="preserve">Pretende fortalecer los procesos de gestión </w:t>
      </w:r>
      <w:r w:rsidR="009E0A2F" w:rsidRPr="00964BFC">
        <w:rPr>
          <w:rFonts w:ascii="Arial" w:eastAsia="Arial" w:hAnsi="Arial" w:cs="Arial"/>
          <w:bCs/>
          <w:spacing w:val="-6"/>
          <w:sz w:val="22"/>
          <w:lang w:val="es-PE"/>
        </w:rPr>
        <w:t>educativa</w:t>
      </w:r>
      <w:r w:rsidR="009E0A2F" w:rsidRPr="00964BFC">
        <w:rPr>
          <w:rFonts w:ascii="Arial" w:eastAsia="Arial" w:hAnsi="Arial" w:cs="Arial"/>
          <w:bCs/>
          <w:spacing w:val="-6"/>
          <w:sz w:val="22"/>
        </w:rPr>
        <w:t xml:space="preserve"> contribuyendo a la mejora de la calidad del servicio. Se fortalecerá al MINEDUC para la gestión del TH, así como las capacidades y competencias de los docentes para que puedan mejorar sus prácticas pedagógicas y los procesos de enseñanza-aprendizaje. Financiará intervenciones de modernización institucional para garantizar una más eficiente prestación del servicio, entre las que se destacan: (i)</w:t>
      </w:r>
      <w:r w:rsidR="009E0A2F">
        <w:rPr>
          <w:rFonts w:ascii="Arial" w:eastAsia="Arial" w:hAnsi="Arial" w:cs="Arial"/>
          <w:bCs/>
          <w:spacing w:val="-6"/>
          <w:sz w:val="22"/>
        </w:rPr>
        <w:t> </w:t>
      </w:r>
      <w:r w:rsidR="009E0A2F" w:rsidRPr="00964BFC">
        <w:rPr>
          <w:rFonts w:ascii="Arial" w:eastAsia="Arial" w:hAnsi="Arial" w:cs="Arial"/>
          <w:bCs/>
          <w:spacing w:val="-6"/>
          <w:sz w:val="22"/>
        </w:rPr>
        <w:t>automatización de los procesos de SGD, que incluye, la información y administración de los movimientos del personal durante su carrera profesional (incluyendo la re-</w:t>
      </w:r>
      <w:r w:rsidR="009E0A2F">
        <w:rPr>
          <w:rFonts w:ascii="Arial" w:eastAsia="Arial" w:hAnsi="Arial" w:cs="Arial"/>
          <w:bCs/>
          <w:spacing w:val="-6"/>
          <w:sz w:val="22"/>
        </w:rPr>
        <w:t> </w:t>
      </w:r>
      <w:r w:rsidR="009E0A2F" w:rsidRPr="00964BFC">
        <w:rPr>
          <w:rFonts w:ascii="Arial" w:eastAsia="Arial" w:hAnsi="Arial" w:cs="Arial"/>
          <w:bCs/>
          <w:spacing w:val="-6"/>
          <w:sz w:val="22"/>
        </w:rPr>
        <w:t>categorización según la nuevas normas y los resultados de los sistemas de evaluación); y (ii) adquisición de infraestructura tecnológica para apoyar la implantación del nuevo SGD en MINEDUC y en las instituciones escolares. Además, financiará el mejoramiento del TH mediante: (i) capacitación y formación continua de docentes (incluyendo la cualificación docente en áreas disciplinares, bachillerato técnico e inclusivo y la profesionalización de los docentes intercultural-</w:t>
      </w:r>
      <w:r w:rsidR="00667E20">
        <w:rPr>
          <w:rFonts w:ascii="Arial" w:eastAsia="Arial" w:hAnsi="Arial" w:cs="Arial"/>
          <w:bCs/>
          <w:spacing w:val="-6"/>
          <w:sz w:val="22"/>
        </w:rPr>
        <w:t> </w:t>
      </w:r>
      <w:r w:rsidR="009E0A2F" w:rsidRPr="00964BFC">
        <w:rPr>
          <w:rFonts w:ascii="Arial" w:eastAsia="Arial" w:hAnsi="Arial" w:cs="Arial"/>
          <w:bCs/>
          <w:spacing w:val="-6"/>
          <w:sz w:val="22"/>
        </w:rPr>
        <w:t xml:space="preserve">bilingüe); (ii) desarrollo de cursos de formación docente y redes de acompañamiento en la plataforma </w:t>
      </w:r>
      <w:r w:rsidR="009E0A2F" w:rsidRPr="00964BFC">
        <w:rPr>
          <w:rFonts w:ascii="Arial" w:eastAsia="Arial" w:hAnsi="Arial" w:cs="Arial"/>
          <w:bCs/>
          <w:i/>
          <w:iCs/>
          <w:spacing w:val="-6"/>
          <w:sz w:val="22"/>
        </w:rPr>
        <w:t>online</w:t>
      </w:r>
      <w:r w:rsidR="009E0A2F" w:rsidRPr="00964BFC">
        <w:rPr>
          <w:rFonts w:ascii="Arial" w:eastAsia="Arial" w:hAnsi="Arial" w:cs="Arial"/>
          <w:bCs/>
          <w:spacing w:val="-6"/>
          <w:sz w:val="22"/>
        </w:rPr>
        <w:t xml:space="preserve"> del MINEDUC y de estrategias de cualificación y mejora de las habilidades en ciencias computacionales; y (iii) el equipamiento para mejorar la docencia en escuelas de bachillerato técnico.</w:t>
      </w:r>
    </w:p>
    <w:p w14:paraId="6319B6FB" w14:textId="1EA36D2B" w:rsidR="00667E20" w:rsidRPr="00F226AF" w:rsidRDefault="001A60AB" w:rsidP="00F226AF">
      <w:pPr>
        <w:pStyle w:val="Paragraph"/>
        <w:numPr>
          <w:ilvl w:val="1"/>
          <w:numId w:val="1"/>
        </w:numPr>
        <w:spacing w:before="0" w:after="0"/>
        <w:rPr>
          <w:rFonts w:ascii="Arial" w:hAnsi="Arial" w:cs="Arial"/>
          <w:kern w:val="28"/>
          <w:sz w:val="22"/>
          <w:szCs w:val="22"/>
        </w:rPr>
      </w:pPr>
      <w:r w:rsidRPr="00762862">
        <w:rPr>
          <w:rFonts w:ascii="Arial" w:hAnsi="Arial" w:cs="Arial"/>
          <w:b/>
          <w:bCs/>
          <w:kern w:val="28"/>
          <w:sz w:val="22"/>
          <w:szCs w:val="22"/>
          <w:lang w:val="es-ES_tradnl"/>
        </w:rPr>
        <w:t>Componente</w:t>
      </w:r>
      <w:r w:rsidRPr="00762862">
        <w:rPr>
          <w:rFonts w:ascii="Arial" w:hAnsi="Arial" w:cs="Arial"/>
          <w:b/>
          <w:bCs/>
          <w:kern w:val="28"/>
          <w:sz w:val="22"/>
          <w:szCs w:val="22"/>
          <w:lang w:val="es-PE"/>
        </w:rPr>
        <w:t xml:space="preserve"> 3. </w:t>
      </w:r>
      <w:r w:rsidR="009E0A2F" w:rsidRPr="004D06CD">
        <w:rPr>
          <w:rFonts w:ascii="Arial" w:hAnsi="Arial" w:cs="Arial"/>
          <w:b/>
          <w:bCs/>
          <w:spacing w:val="-6"/>
          <w:sz w:val="22"/>
          <w:lang w:val="es-PE"/>
        </w:rPr>
        <w:t>Mejora</w:t>
      </w:r>
      <w:r w:rsidR="009E0A2F" w:rsidRPr="004D06CD">
        <w:rPr>
          <w:rFonts w:ascii="Arial" w:hAnsi="Arial" w:cs="Arial"/>
          <w:b/>
          <w:bCs/>
          <w:spacing w:val="-6"/>
          <w:sz w:val="22"/>
        </w:rPr>
        <w:t xml:space="preserve"> de la calidad de la provisión de servicios en el sector salud </w:t>
      </w:r>
      <w:r w:rsidR="009E0A2F" w:rsidRPr="004D06CD">
        <w:rPr>
          <w:rFonts w:ascii="Arial" w:hAnsi="Arial" w:cs="Arial"/>
          <w:b/>
          <w:bCs/>
          <w:spacing w:val="-6"/>
          <w:sz w:val="22"/>
          <w:lang w:val="es-PE"/>
        </w:rPr>
        <w:t>(US$29,44 millones)</w:t>
      </w:r>
      <w:r w:rsidR="009E0A2F" w:rsidRPr="004D06CD">
        <w:rPr>
          <w:rFonts w:ascii="Arial" w:hAnsi="Arial" w:cs="Arial"/>
          <w:b/>
          <w:bCs/>
          <w:spacing w:val="-6"/>
          <w:sz w:val="22"/>
        </w:rPr>
        <w:t xml:space="preserve">. </w:t>
      </w:r>
      <w:r w:rsidR="009E0A2F" w:rsidRPr="00964BFC">
        <w:rPr>
          <w:rFonts w:ascii="Arial" w:hAnsi="Arial" w:cs="Arial"/>
          <w:bCs/>
          <w:spacing w:val="-6"/>
          <w:sz w:val="22"/>
        </w:rPr>
        <w:t>Pretende fortalecer la capacidad del talento humano, la funcionalidad de equipamiento tecnológico-médico en áreas críticas y los procesos de gestión de salud mediante el uso de TICs, lo que contribuirá a la mejora de la calidad de servicios materno-infantiles seleccionados. Para ello, se financiará: (i) capacitación y/o educación continua del personal asistencial en temas relacionados a la reducción de mortalidades materno-infantiles; (ii)</w:t>
      </w:r>
      <w:r w:rsidR="00667E20">
        <w:rPr>
          <w:rFonts w:ascii="Arial" w:hAnsi="Arial" w:cs="Arial"/>
          <w:bCs/>
          <w:spacing w:val="-6"/>
          <w:sz w:val="22"/>
        </w:rPr>
        <w:t xml:space="preserve"> </w:t>
      </w:r>
      <w:r w:rsidR="009E0A2F" w:rsidRPr="00964BFC">
        <w:rPr>
          <w:rFonts w:ascii="Arial" w:hAnsi="Arial" w:cs="Arial"/>
          <w:bCs/>
          <w:spacing w:val="-6"/>
          <w:sz w:val="22"/>
        </w:rPr>
        <w:t>instalación de equipamiento de neonatología en hospitales</w:t>
      </w:r>
      <w:r w:rsidR="00667E20">
        <w:rPr>
          <w:rFonts w:ascii="Arial" w:hAnsi="Arial" w:cs="Arial"/>
          <w:bCs/>
          <w:spacing w:val="-6"/>
          <w:sz w:val="22"/>
        </w:rPr>
        <w:t>;</w:t>
      </w:r>
      <w:r w:rsidR="009E0A2F" w:rsidRPr="00964BFC">
        <w:rPr>
          <w:rFonts w:ascii="Arial" w:hAnsi="Arial" w:cs="Arial"/>
          <w:bCs/>
          <w:spacing w:val="-6"/>
          <w:sz w:val="22"/>
        </w:rPr>
        <w:t xml:space="preserve"> (iii) instalación de un hemocentro (banco de sangre) que proveerá sangre donada al nivel nacional y prestará capacitación en transfusión sanguínea</w:t>
      </w:r>
      <w:r w:rsidR="00667E20">
        <w:rPr>
          <w:rFonts w:ascii="Arial" w:hAnsi="Arial" w:cs="Arial"/>
          <w:bCs/>
          <w:spacing w:val="-6"/>
          <w:sz w:val="22"/>
          <w:lang w:val="es-ES_tradnl"/>
        </w:rPr>
        <w:t>;</w:t>
      </w:r>
      <w:r w:rsidR="009E0A2F" w:rsidRPr="00964BFC">
        <w:rPr>
          <w:rFonts w:ascii="Arial" w:hAnsi="Arial" w:cs="Arial"/>
          <w:bCs/>
          <w:spacing w:val="-6"/>
          <w:sz w:val="22"/>
        </w:rPr>
        <w:t xml:space="preserve"> (iv)</w:t>
      </w:r>
      <w:r w:rsidR="009E0A2F">
        <w:rPr>
          <w:rFonts w:ascii="Arial" w:hAnsi="Arial" w:cs="Arial"/>
          <w:bCs/>
          <w:spacing w:val="-6"/>
          <w:sz w:val="22"/>
        </w:rPr>
        <w:t> </w:t>
      </w:r>
      <w:r w:rsidR="009E0A2F" w:rsidRPr="00964BFC">
        <w:rPr>
          <w:rFonts w:ascii="Arial" w:hAnsi="Arial" w:cs="Arial"/>
          <w:bCs/>
          <w:spacing w:val="-6"/>
          <w:sz w:val="22"/>
        </w:rPr>
        <w:t>elaboración de modelos de gestión funcionales para servicios esenciales y/o de apoyo (por ejemplo, gestión de inventarios, laboratorio y/o imagenología) y de componentes de una agenda digital a largo, mediano y/o corto plazo, considerando la definición de funcionalidades, dimensionamiento y especificaciones para sus proyectos prioritarios</w:t>
      </w:r>
      <w:r w:rsidR="009E0A2F" w:rsidRPr="00964BFC">
        <w:rPr>
          <w:rFonts w:ascii="Arial" w:hAnsi="Arial" w:cs="Arial"/>
          <w:bCs/>
          <w:spacing w:val="-6"/>
          <w:sz w:val="22"/>
          <w:vertAlign w:val="superscript"/>
        </w:rPr>
        <w:footnoteReference w:id="4"/>
      </w:r>
      <w:r w:rsidR="009E0A2F" w:rsidRPr="00964BFC">
        <w:rPr>
          <w:rFonts w:ascii="Arial" w:hAnsi="Arial" w:cs="Arial"/>
          <w:bCs/>
          <w:spacing w:val="-6"/>
          <w:sz w:val="22"/>
        </w:rPr>
        <w:t xml:space="preserve">; y </w:t>
      </w:r>
      <w:r w:rsidR="009E0A2F" w:rsidRPr="00964BFC">
        <w:rPr>
          <w:rFonts w:ascii="Arial" w:hAnsi="Arial" w:cs="Arial"/>
          <w:bCs/>
          <w:spacing w:val="-6"/>
          <w:sz w:val="22"/>
        </w:rPr>
        <w:lastRenderedPageBreak/>
        <w:t>(v)</w:t>
      </w:r>
      <w:r w:rsidR="00667E20">
        <w:rPr>
          <w:rFonts w:ascii="Arial" w:hAnsi="Arial" w:cs="Arial"/>
          <w:bCs/>
          <w:spacing w:val="-6"/>
          <w:sz w:val="22"/>
        </w:rPr>
        <w:t> </w:t>
      </w:r>
      <w:r w:rsidR="009E0A2F" w:rsidRPr="00964BFC">
        <w:rPr>
          <w:rFonts w:ascii="Arial" w:hAnsi="Arial" w:cs="Arial"/>
          <w:bCs/>
          <w:spacing w:val="-6"/>
          <w:sz w:val="22"/>
        </w:rPr>
        <w:t xml:space="preserve">implementación inicial de componentes críticos priorizados en la estrategia digital, incluyendo la adquisición, desarrollo y/o instalación de infraestructura básica de TIC en Unidades Operativas de Salud (UOS). </w:t>
      </w:r>
    </w:p>
    <w:p w14:paraId="14C15BDB" w14:textId="7D912B90" w:rsidR="001A60AB" w:rsidRPr="00762862" w:rsidRDefault="001A60AB" w:rsidP="00F226AF">
      <w:pPr>
        <w:pStyle w:val="Paragraph"/>
        <w:numPr>
          <w:ilvl w:val="0"/>
          <w:numId w:val="0"/>
        </w:numPr>
        <w:spacing w:before="0" w:after="0"/>
        <w:ind w:left="567"/>
        <w:rPr>
          <w:rFonts w:ascii="Arial" w:hAnsi="Arial" w:cs="Arial"/>
          <w:kern w:val="28"/>
          <w:sz w:val="22"/>
          <w:szCs w:val="22"/>
        </w:rPr>
      </w:pPr>
    </w:p>
    <w:p w14:paraId="1E582706" w14:textId="506AFE5F" w:rsidR="0048244D" w:rsidRDefault="00C355F9" w:rsidP="00F226AF">
      <w:pPr>
        <w:pStyle w:val="ListParagraph"/>
        <w:numPr>
          <w:ilvl w:val="0"/>
          <w:numId w:val="1"/>
        </w:numPr>
        <w:spacing w:after="0" w:line="240" w:lineRule="auto"/>
        <w:ind w:left="562" w:hanging="562"/>
        <w:jc w:val="both"/>
        <w:rPr>
          <w:rFonts w:ascii="Arial" w:hAnsi="Arial" w:cs="Arial"/>
          <w:b/>
          <w:sz w:val="24"/>
          <w:szCs w:val="24"/>
          <w:lang w:val="es-ES"/>
        </w:rPr>
      </w:pPr>
      <w:r w:rsidRPr="007E663E">
        <w:rPr>
          <w:rFonts w:ascii="Arial" w:hAnsi="Arial" w:cs="Arial"/>
          <w:b/>
          <w:sz w:val="24"/>
          <w:szCs w:val="24"/>
          <w:lang w:val="es-ES"/>
        </w:rPr>
        <w:t>Metodología</w:t>
      </w:r>
    </w:p>
    <w:p w14:paraId="33AD61F9" w14:textId="77777777" w:rsidR="00762862" w:rsidRPr="00762862" w:rsidRDefault="00762862" w:rsidP="00F226AF">
      <w:pPr>
        <w:pStyle w:val="ListParagraph"/>
        <w:spacing w:after="0" w:line="240" w:lineRule="auto"/>
        <w:ind w:left="562"/>
        <w:jc w:val="both"/>
        <w:rPr>
          <w:rFonts w:ascii="Arial" w:hAnsi="Arial" w:cs="Arial"/>
          <w:b/>
          <w:sz w:val="24"/>
          <w:szCs w:val="24"/>
          <w:lang w:val="es-ES"/>
        </w:rPr>
      </w:pPr>
    </w:p>
    <w:p w14:paraId="36DDCE06" w14:textId="7B9CBAB7" w:rsidR="00F03F11" w:rsidRPr="00762862" w:rsidRDefault="00860114" w:rsidP="00F226AF">
      <w:pPr>
        <w:pStyle w:val="Paragraph"/>
        <w:numPr>
          <w:ilvl w:val="1"/>
          <w:numId w:val="1"/>
        </w:numPr>
        <w:spacing w:before="0" w:after="0"/>
        <w:rPr>
          <w:rFonts w:ascii="Arial" w:hAnsi="Arial" w:cs="Arial"/>
          <w:kern w:val="28"/>
          <w:sz w:val="22"/>
          <w:szCs w:val="22"/>
        </w:rPr>
      </w:pPr>
      <w:r w:rsidRPr="00762862">
        <w:rPr>
          <w:rFonts w:ascii="Arial" w:hAnsi="Arial" w:cs="Arial"/>
          <w:b/>
          <w:sz w:val="22"/>
          <w:szCs w:val="22"/>
        </w:rPr>
        <w:t>Benefici</w:t>
      </w:r>
      <w:r w:rsidR="007D3775" w:rsidRPr="00762862">
        <w:rPr>
          <w:rFonts w:ascii="Arial" w:hAnsi="Arial" w:cs="Arial"/>
          <w:b/>
          <w:sz w:val="22"/>
          <w:szCs w:val="22"/>
        </w:rPr>
        <w:t>arios del proyecto</w:t>
      </w:r>
      <w:r w:rsidRPr="00762862">
        <w:rPr>
          <w:rFonts w:ascii="Arial" w:hAnsi="Arial" w:cs="Arial"/>
          <w:b/>
          <w:sz w:val="22"/>
          <w:szCs w:val="22"/>
        </w:rPr>
        <w:t>.</w:t>
      </w:r>
      <w:r w:rsidR="00B815F3" w:rsidRPr="00762862">
        <w:rPr>
          <w:rFonts w:ascii="Arial" w:hAnsi="Arial" w:cs="Arial"/>
          <w:kern w:val="28"/>
          <w:sz w:val="22"/>
          <w:szCs w:val="22"/>
        </w:rPr>
        <w:t xml:space="preserve"> </w:t>
      </w:r>
      <w:r w:rsidR="00F03F11" w:rsidRPr="00762862">
        <w:rPr>
          <w:rFonts w:ascii="Arial" w:hAnsi="Arial" w:cs="Arial"/>
          <w:kern w:val="28"/>
          <w:sz w:val="22"/>
          <w:szCs w:val="22"/>
        </w:rPr>
        <w:t xml:space="preserve">Al mejorar la calidad en la prestación de servicios sociales de </w:t>
      </w:r>
      <w:r w:rsidR="004823EF" w:rsidRPr="00762862">
        <w:rPr>
          <w:rFonts w:ascii="Arial" w:hAnsi="Arial" w:cs="Arial"/>
          <w:kern w:val="28"/>
          <w:sz w:val="22"/>
          <w:szCs w:val="22"/>
        </w:rPr>
        <w:t>gran</w:t>
      </w:r>
      <w:r w:rsidR="00F03F11" w:rsidRPr="00762862">
        <w:rPr>
          <w:rFonts w:ascii="Arial" w:hAnsi="Arial" w:cs="Arial"/>
          <w:kern w:val="28"/>
          <w:sz w:val="22"/>
          <w:szCs w:val="22"/>
        </w:rPr>
        <w:t xml:space="preserve"> importancia y </w:t>
      </w:r>
      <w:r w:rsidR="004823EF" w:rsidRPr="00762862">
        <w:rPr>
          <w:rFonts w:ascii="Arial" w:hAnsi="Arial" w:cs="Arial"/>
          <w:kern w:val="28"/>
          <w:sz w:val="22"/>
          <w:szCs w:val="22"/>
        </w:rPr>
        <w:t>alto nivel</w:t>
      </w:r>
      <w:r w:rsidR="00F03F11" w:rsidRPr="00762862">
        <w:rPr>
          <w:rFonts w:ascii="Arial" w:hAnsi="Arial" w:cs="Arial"/>
          <w:kern w:val="28"/>
          <w:sz w:val="22"/>
          <w:szCs w:val="22"/>
        </w:rPr>
        <w:t xml:space="preserve"> de demanda</w:t>
      </w:r>
      <w:r w:rsidR="009F462A" w:rsidRPr="00762862">
        <w:rPr>
          <w:rFonts w:ascii="Arial" w:hAnsi="Arial" w:cs="Arial"/>
          <w:kern w:val="28"/>
          <w:sz w:val="22"/>
          <w:szCs w:val="22"/>
        </w:rPr>
        <w:t xml:space="preserve"> como la educación y la salud</w:t>
      </w:r>
      <w:r w:rsidR="00F03F11" w:rsidRPr="00762862">
        <w:rPr>
          <w:rFonts w:ascii="Arial" w:hAnsi="Arial" w:cs="Arial"/>
          <w:kern w:val="28"/>
          <w:sz w:val="22"/>
          <w:szCs w:val="22"/>
        </w:rPr>
        <w:t xml:space="preserve">, sus beneficios </w:t>
      </w:r>
      <w:r w:rsidR="009F462A" w:rsidRPr="00762862">
        <w:rPr>
          <w:rFonts w:ascii="Arial" w:hAnsi="Arial" w:cs="Arial"/>
          <w:kern w:val="28"/>
          <w:sz w:val="22"/>
          <w:szCs w:val="22"/>
        </w:rPr>
        <w:t xml:space="preserve">alcanzan a un alto número de ciudadanos en todo el país. </w:t>
      </w:r>
      <w:r w:rsidR="00F03F11" w:rsidRPr="00762862">
        <w:rPr>
          <w:rFonts w:ascii="Arial" w:hAnsi="Arial" w:cs="Arial"/>
          <w:kern w:val="28"/>
          <w:sz w:val="22"/>
          <w:szCs w:val="22"/>
        </w:rPr>
        <w:t>Asimismo, los funcionarios de los organismos participantes también se beneficiarán al contar con nuevas herramientas de gestión para el ejercicio de sus labores, lo que permitirá aumentar su eficiencia.</w:t>
      </w:r>
    </w:p>
    <w:p w14:paraId="76358289" w14:textId="50EFD1F8" w:rsidR="0024520F" w:rsidRPr="00762862" w:rsidRDefault="007D3775" w:rsidP="00F03F11">
      <w:pPr>
        <w:pStyle w:val="Paragraph"/>
        <w:numPr>
          <w:ilvl w:val="1"/>
          <w:numId w:val="1"/>
        </w:numPr>
        <w:rPr>
          <w:rFonts w:ascii="Arial" w:hAnsi="Arial" w:cs="Arial"/>
          <w:kern w:val="28"/>
          <w:sz w:val="22"/>
          <w:szCs w:val="22"/>
        </w:rPr>
      </w:pPr>
      <w:r w:rsidRPr="00762862">
        <w:rPr>
          <w:rFonts w:ascii="Arial" w:hAnsi="Arial" w:cs="Arial"/>
          <w:b/>
          <w:kern w:val="28"/>
          <w:sz w:val="22"/>
          <w:szCs w:val="22"/>
        </w:rPr>
        <w:t>Beneficios.</w:t>
      </w:r>
      <w:r w:rsidRPr="00762862">
        <w:rPr>
          <w:rFonts w:ascii="Arial" w:hAnsi="Arial" w:cs="Arial"/>
          <w:kern w:val="28"/>
          <w:sz w:val="22"/>
          <w:szCs w:val="22"/>
        </w:rPr>
        <w:t xml:space="preserve"> </w:t>
      </w:r>
      <w:r w:rsidR="00F03F11" w:rsidRPr="00762862">
        <w:rPr>
          <w:rFonts w:ascii="Arial" w:hAnsi="Arial" w:cs="Arial"/>
          <w:kern w:val="28"/>
          <w:sz w:val="22"/>
          <w:szCs w:val="22"/>
        </w:rPr>
        <w:t xml:space="preserve">Los </w:t>
      </w:r>
      <w:r w:rsidRPr="00762862">
        <w:rPr>
          <w:rFonts w:ascii="Arial" w:hAnsi="Arial" w:cs="Arial"/>
          <w:kern w:val="28"/>
          <w:sz w:val="22"/>
          <w:szCs w:val="22"/>
        </w:rPr>
        <w:t xml:space="preserve">Indicadores </w:t>
      </w:r>
      <w:r w:rsidR="00F03F11" w:rsidRPr="00762862">
        <w:rPr>
          <w:rFonts w:ascii="Arial" w:hAnsi="Arial" w:cs="Arial"/>
          <w:kern w:val="28"/>
          <w:sz w:val="22"/>
          <w:szCs w:val="22"/>
        </w:rPr>
        <w:t xml:space="preserve">a nivel de impacto reflejados en la matriz de resultados hacen referencia </w:t>
      </w:r>
      <w:r w:rsidRPr="00762862">
        <w:rPr>
          <w:rFonts w:ascii="Arial" w:hAnsi="Arial" w:cs="Arial"/>
          <w:kern w:val="28"/>
          <w:sz w:val="22"/>
          <w:szCs w:val="22"/>
        </w:rPr>
        <w:t xml:space="preserve">por una parte, </w:t>
      </w:r>
      <w:r w:rsidR="00D44557" w:rsidRPr="00762862">
        <w:rPr>
          <w:rFonts w:ascii="Arial" w:hAnsi="Arial" w:cs="Arial"/>
          <w:kern w:val="28"/>
          <w:sz w:val="22"/>
          <w:szCs w:val="22"/>
        </w:rPr>
        <w:t xml:space="preserve">a la mejora </w:t>
      </w:r>
      <w:r w:rsidR="0083606F">
        <w:rPr>
          <w:rFonts w:ascii="Arial" w:hAnsi="Arial" w:cs="Arial"/>
          <w:kern w:val="28"/>
          <w:sz w:val="22"/>
          <w:szCs w:val="22"/>
        </w:rPr>
        <w:t>de la mortalidad materna y neonatal; y en segundo lugar, a la mejora de los niveles de aprendizaje de los estudiantes (cuarto grado de educación general básica). A nivel de resultados, se prevén</w:t>
      </w:r>
      <w:r w:rsidR="00AB003C">
        <w:rPr>
          <w:rFonts w:ascii="Arial" w:hAnsi="Arial" w:cs="Arial"/>
          <w:kern w:val="28"/>
          <w:sz w:val="22"/>
          <w:szCs w:val="22"/>
        </w:rPr>
        <w:t>: (i)</w:t>
      </w:r>
      <w:r w:rsidR="0083606F">
        <w:rPr>
          <w:rFonts w:ascii="Arial" w:hAnsi="Arial" w:cs="Arial"/>
          <w:kern w:val="28"/>
          <w:sz w:val="22"/>
          <w:szCs w:val="22"/>
        </w:rPr>
        <w:t xml:space="preserve"> mejoras </w:t>
      </w:r>
      <w:r w:rsidR="00D44557" w:rsidRPr="00762862">
        <w:rPr>
          <w:rFonts w:ascii="Arial" w:hAnsi="Arial" w:cs="Arial"/>
          <w:kern w:val="28"/>
          <w:sz w:val="22"/>
          <w:szCs w:val="22"/>
        </w:rPr>
        <w:t>en el perfil de los trabajadores de cada uno de los sectores sociales abarcados</w:t>
      </w:r>
      <w:r w:rsidR="0024520F" w:rsidRPr="00762862">
        <w:rPr>
          <w:rFonts w:ascii="Arial" w:hAnsi="Arial" w:cs="Arial"/>
          <w:kern w:val="28"/>
          <w:sz w:val="22"/>
          <w:szCs w:val="22"/>
        </w:rPr>
        <w:t xml:space="preserve">; </w:t>
      </w:r>
      <w:r w:rsidR="00AB003C">
        <w:rPr>
          <w:rFonts w:ascii="Arial" w:hAnsi="Arial" w:cs="Arial"/>
          <w:kern w:val="28"/>
          <w:sz w:val="22"/>
          <w:szCs w:val="22"/>
        </w:rPr>
        <w:t>(ii)</w:t>
      </w:r>
      <w:r w:rsidR="004823EF" w:rsidRPr="00762862">
        <w:rPr>
          <w:rFonts w:ascii="Arial" w:hAnsi="Arial" w:cs="Arial"/>
          <w:kern w:val="28"/>
          <w:sz w:val="22"/>
          <w:szCs w:val="22"/>
        </w:rPr>
        <w:t xml:space="preserve">, </w:t>
      </w:r>
      <w:r w:rsidR="0024520F" w:rsidRPr="00762862">
        <w:rPr>
          <w:rFonts w:ascii="Arial" w:hAnsi="Arial" w:cs="Arial"/>
          <w:kern w:val="28"/>
          <w:sz w:val="22"/>
          <w:szCs w:val="22"/>
        </w:rPr>
        <w:t xml:space="preserve">mejoras en los sistemas de gestión de los servicios </w:t>
      </w:r>
      <w:r w:rsidR="004823EF" w:rsidRPr="00762862">
        <w:rPr>
          <w:rFonts w:ascii="Arial" w:hAnsi="Arial" w:cs="Arial"/>
          <w:kern w:val="28"/>
          <w:sz w:val="22"/>
          <w:szCs w:val="22"/>
        </w:rPr>
        <w:t xml:space="preserve">educativos y de salud, </w:t>
      </w:r>
      <w:r w:rsidR="0083606F">
        <w:rPr>
          <w:rFonts w:ascii="Arial" w:hAnsi="Arial" w:cs="Arial"/>
          <w:kern w:val="28"/>
          <w:sz w:val="22"/>
          <w:szCs w:val="22"/>
        </w:rPr>
        <w:t>y en</w:t>
      </w:r>
      <w:r w:rsidR="004823EF" w:rsidRPr="00762862">
        <w:rPr>
          <w:rFonts w:ascii="Arial" w:hAnsi="Arial" w:cs="Arial"/>
          <w:kern w:val="28"/>
          <w:sz w:val="22"/>
          <w:szCs w:val="22"/>
        </w:rPr>
        <w:t xml:space="preserve"> la gestión </w:t>
      </w:r>
      <w:r w:rsidR="0024520F" w:rsidRPr="00762862">
        <w:rPr>
          <w:rFonts w:ascii="Arial" w:hAnsi="Arial" w:cs="Arial"/>
          <w:kern w:val="28"/>
          <w:sz w:val="22"/>
          <w:szCs w:val="22"/>
        </w:rPr>
        <w:t>del talento humano</w:t>
      </w:r>
      <w:r w:rsidR="00AB003C">
        <w:rPr>
          <w:rFonts w:ascii="Arial" w:hAnsi="Arial" w:cs="Arial"/>
          <w:kern w:val="28"/>
          <w:sz w:val="22"/>
          <w:szCs w:val="22"/>
        </w:rPr>
        <w:t>; y (iii) aumento del porcentaje de docentes con nivel “excelente” o “favorable” en las pruebas estandarizadas “Ser Maestro”</w:t>
      </w:r>
      <w:r w:rsidRPr="00762862">
        <w:rPr>
          <w:rFonts w:ascii="Arial" w:hAnsi="Arial" w:cs="Arial"/>
          <w:kern w:val="28"/>
          <w:sz w:val="22"/>
          <w:szCs w:val="22"/>
        </w:rPr>
        <w:t>.</w:t>
      </w:r>
    </w:p>
    <w:p w14:paraId="7DDDB11C" w14:textId="70E7582F" w:rsidR="007D3775" w:rsidRPr="00762862" w:rsidRDefault="004823EF" w:rsidP="00F03F11">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En el </w:t>
      </w:r>
      <w:r w:rsidR="007D3775" w:rsidRPr="00762862">
        <w:rPr>
          <w:rFonts w:ascii="Arial" w:hAnsi="Arial" w:cs="Arial"/>
          <w:kern w:val="28"/>
          <w:sz w:val="22"/>
          <w:szCs w:val="22"/>
        </w:rPr>
        <w:t xml:space="preserve">ámbito </w:t>
      </w:r>
      <w:r w:rsidR="00D44557" w:rsidRPr="00762862">
        <w:rPr>
          <w:rFonts w:ascii="Arial" w:hAnsi="Arial" w:cs="Arial"/>
          <w:kern w:val="28"/>
          <w:sz w:val="22"/>
          <w:szCs w:val="22"/>
        </w:rPr>
        <w:t xml:space="preserve">del sector educación, </w:t>
      </w:r>
      <w:r w:rsidR="009F462A" w:rsidRPr="00762862">
        <w:rPr>
          <w:rFonts w:ascii="Arial" w:hAnsi="Arial" w:cs="Arial"/>
          <w:kern w:val="28"/>
          <w:sz w:val="22"/>
          <w:szCs w:val="22"/>
        </w:rPr>
        <w:t>los</w:t>
      </w:r>
      <w:r w:rsidRPr="00762862">
        <w:rPr>
          <w:rFonts w:ascii="Arial" w:hAnsi="Arial" w:cs="Arial"/>
          <w:kern w:val="28"/>
          <w:sz w:val="22"/>
          <w:szCs w:val="22"/>
        </w:rPr>
        <w:t xml:space="preserve"> beneficio</w:t>
      </w:r>
      <w:r w:rsidR="009F462A" w:rsidRPr="00762862">
        <w:rPr>
          <w:rFonts w:ascii="Arial" w:hAnsi="Arial" w:cs="Arial"/>
          <w:kern w:val="28"/>
          <w:sz w:val="22"/>
          <w:szCs w:val="22"/>
        </w:rPr>
        <w:t>s</w:t>
      </w:r>
      <w:r w:rsidRPr="00762862">
        <w:rPr>
          <w:rFonts w:ascii="Arial" w:hAnsi="Arial" w:cs="Arial"/>
          <w:kern w:val="28"/>
          <w:sz w:val="22"/>
          <w:szCs w:val="22"/>
        </w:rPr>
        <w:t xml:space="preserve"> </w:t>
      </w:r>
      <w:r w:rsidR="00C51158" w:rsidRPr="00762862">
        <w:rPr>
          <w:rFonts w:ascii="Arial" w:hAnsi="Arial" w:cs="Arial"/>
          <w:kern w:val="28"/>
          <w:sz w:val="22"/>
          <w:szCs w:val="22"/>
        </w:rPr>
        <w:t>económico</w:t>
      </w:r>
      <w:r w:rsidR="009F462A" w:rsidRPr="00762862">
        <w:rPr>
          <w:rFonts w:ascii="Arial" w:hAnsi="Arial" w:cs="Arial"/>
          <w:kern w:val="28"/>
          <w:sz w:val="22"/>
          <w:szCs w:val="22"/>
        </w:rPr>
        <w:t>s</w:t>
      </w:r>
      <w:r w:rsidR="00C51158" w:rsidRPr="00762862">
        <w:rPr>
          <w:rFonts w:ascii="Arial" w:hAnsi="Arial" w:cs="Arial"/>
          <w:kern w:val="28"/>
          <w:sz w:val="22"/>
          <w:szCs w:val="22"/>
        </w:rPr>
        <w:t xml:space="preserve"> </w:t>
      </w:r>
      <w:r w:rsidRPr="00762862">
        <w:rPr>
          <w:rFonts w:ascii="Arial" w:hAnsi="Arial" w:cs="Arial"/>
          <w:kern w:val="28"/>
          <w:sz w:val="22"/>
          <w:szCs w:val="22"/>
        </w:rPr>
        <w:t>proviene</w:t>
      </w:r>
      <w:r w:rsidR="009F462A" w:rsidRPr="00762862">
        <w:rPr>
          <w:rFonts w:ascii="Arial" w:hAnsi="Arial" w:cs="Arial"/>
          <w:kern w:val="28"/>
          <w:sz w:val="22"/>
          <w:szCs w:val="22"/>
        </w:rPr>
        <w:t>n</w:t>
      </w:r>
      <w:r w:rsidRPr="00762862">
        <w:rPr>
          <w:rFonts w:ascii="Arial" w:hAnsi="Arial" w:cs="Arial"/>
          <w:kern w:val="28"/>
          <w:sz w:val="22"/>
          <w:szCs w:val="22"/>
        </w:rPr>
        <w:t xml:space="preserve"> de la mejora en los resultados educativos de los estudiantes</w:t>
      </w:r>
      <w:r w:rsidR="00B0514E" w:rsidRPr="00762862">
        <w:rPr>
          <w:rFonts w:ascii="Arial" w:hAnsi="Arial" w:cs="Arial"/>
          <w:kern w:val="28"/>
          <w:sz w:val="22"/>
          <w:szCs w:val="22"/>
        </w:rPr>
        <w:t xml:space="preserve">, </w:t>
      </w:r>
      <w:r w:rsidR="0083606F">
        <w:rPr>
          <w:rFonts w:ascii="Arial" w:hAnsi="Arial" w:cs="Arial"/>
          <w:kern w:val="28"/>
          <w:sz w:val="22"/>
          <w:szCs w:val="22"/>
        </w:rPr>
        <w:t>lo</w:t>
      </w:r>
      <w:r w:rsidR="00B0514E" w:rsidRPr="00762862">
        <w:rPr>
          <w:rFonts w:ascii="Arial" w:hAnsi="Arial" w:cs="Arial"/>
          <w:kern w:val="28"/>
          <w:sz w:val="22"/>
          <w:szCs w:val="22"/>
        </w:rPr>
        <w:t xml:space="preserve"> cual les permite </w:t>
      </w:r>
      <w:r w:rsidR="00535025" w:rsidRPr="00762862">
        <w:rPr>
          <w:rFonts w:ascii="Arial" w:hAnsi="Arial" w:cs="Arial"/>
          <w:kern w:val="28"/>
          <w:sz w:val="22"/>
          <w:szCs w:val="22"/>
        </w:rPr>
        <w:t xml:space="preserve">aumentar los ingresos laborales durante el ciclo de vida, ya ser por </w:t>
      </w:r>
      <w:r w:rsidR="00B0514E" w:rsidRPr="00762862">
        <w:rPr>
          <w:rFonts w:ascii="Arial" w:hAnsi="Arial" w:cs="Arial"/>
          <w:kern w:val="28"/>
          <w:sz w:val="22"/>
          <w:szCs w:val="22"/>
        </w:rPr>
        <w:t>egresar con un mayor nivel educativo y así acceder a mayores</w:t>
      </w:r>
      <w:r w:rsidR="00C51158" w:rsidRPr="00762862">
        <w:rPr>
          <w:rFonts w:ascii="Arial" w:hAnsi="Arial" w:cs="Arial"/>
          <w:kern w:val="28"/>
          <w:sz w:val="22"/>
          <w:szCs w:val="22"/>
        </w:rPr>
        <w:t xml:space="preserve"> ingresos </w:t>
      </w:r>
      <w:r w:rsidR="00535025" w:rsidRPr="00762862">
        <w:rPr>
          <w:rFonts w:ascii="Arial" w:hAnsi="Arial" w:cs="Arial"/>
          <w:kern w:val="28"/>
          <w:sz w:val="22"/>
          <w:szCs w:val="22"/>
        </w:rPr>
        <w:t>mensuales o bien por egresar antes con el mismo nivel educativo,</w:t>
      </w:r>
      <w:r w:rsidR="00762862">
        <w:rPr>
          <w:rFonts w:ascii="Arial" w:hAnsi="Arial" w:cs="Arial"/>
          <w:kern w:val="28"/>
          <w:sz w:val="22"/>
          <w:szCs w:val="22"/>
        </w:rPr>
        <w:t xml:space="preserve"> por reducción de la repetición</w:t>
      </w:r>
      <w:r w:rsidR="00C51158" w:rsidRPr="00762862">
        <w:rPr>
          <w:rFonts w:ascii="Arial" w:hAnsi="Arial" w:cs="Arial"/>
          <w:kern w:val="28"/>
          <w:sz w:val="22"/>
          <w:szCs w:val="22"/>
        </w:rPr>
        <w:t>.</w:t>
      </w:r>
      <w:r w:rsidR="00B0514E" w:rsidRPr="00762862">
        <w:rPr>
          <w:rFonts w:ascii="Arial" w:hAnsi="Arial" w:cs="Arial"/>
          <w:kern w:val="28"/>
          <w:sz w:val="22"/>
          <w:szCs w:val="22"/>
        </w:rPr>
        <w:t xml:space="preserve"> </w:t>
      </w:r>
      <w:r w:rsidR="00C51158" w:rsidRPr="00762862">
        <w:rPr>
          <w:rFonts w:ascii="Arial" w:hAnsi="Arial" w:cs="Arial"/>
          <w:kern w:val="28"/>
          <w:sz w:val="22"/>
          <w:szCs w:val="22"/>
        </w:rPr>
        <w:t>A</w:t>
      </w:r>
      <w:r w:rsidR="007D3775" w:rsidRPr="00762862">
        <w:rPr>
          <w:rFonts w:ascii="Arial" w:hAnsi="Arial" w:cs="Arial"/>
          <w:kern w:val="28"/>
          <w:sz w:val="22"/>
          <w:szCs w:val="22"/>
        </w:rPr>
        <w:t>demás</w:t>
      </w:r>
      <w:r w:rsidR="00B0514E" w:rsidRPr="00762862">
        <w:rPr>
          <w:rFonts w:ascii="Arial" w:hAnsi="Arial" w:cs="Arial"/>
          <w:kern w:val="28"/>
          <w:sz w:val="22"/>
          <w:szCs w:val="22"/>
        </w:rPr>
        <w:t>, por el lado de los costos operativos del sector, los resultados educativos superior</w:t>
      </w:r>
      <w:r w:rsidR="009A0F0A" w:rsidRPr="00762862">
        <w:rPr>
          <w:rFonts w:ascii="Arial" w:hAnsi="Arial" w:cs="Arial"/>
          <w:kern w:val="28"/>
          <w:sz w:val="22"/>
          <w:szCs w:val="22"/>
        </w:rPr>
        <w:t>es</w:t>
      </w:r>
      <w:r w:rsidR="00B0514E" w:rsidRPr="00762862">
        <w:rPr>
          <w:rFonts w:ascii="Arial" w:hAnsi="Arial" w:cs="Arial"/>
          <w:kern w:val="28"/>
          <w:sz w:val="22"/>
          <w:szCs w:val="22"/>
        </w:rPr>
        <w:t xml:space="preserve"> se reflejan en parte en que el trayecto educativo se logra con una menor duración (por menor repetición), coadyuvando de ese modo a una reducción del costo por alumno egresado</w:t>
      </w:r>
      <w:r w:rsidR="00246DC1" w:rsidRPr="00762862">
        <w:rPr>
          <w:rFonts w:ascii="Arial" w:hAnsi="Arial" w:cs="Arial"/>
          <w:kern w:val="28"/>
          <w:sz w:val="22"/>
          <w:szCs w:val="22"/>
        </w:rPr>
        <w:t xml:space="preserve"> (para un nivel dado de escolaridad), combinado con un aumento del costo por alumno por concepto de la mayor permanencia promedio de los estudiantes</w:t>
      </w:r>
      <w:r w:rsidRPr="00762862">
        <w:rPr>
          <w:rFonts w:ascii="Arial" w:hAnsi="Arial" w:cs="Arial"/>
          <w:kern w:val="28"/>
          <w:sz w:val="22"/>
          <w:szCs w:val="22"/>
        </w:rPr>
        <w:t xml:space="preserve">. </w:t>
      </w:r>
    </w:p>
    <w:p w14:paraId="01C8E485" w14:textId="4369CA5C" w:rsidR="00437A6E" w:rsidRPr="00762862" w:rsidRDefault="00450D3B" w:rsidP="00F03F11">
      <w:pPr>
        <w:pStyle w:val="Paragraph"/>
        <w:numPr>
          <w:ilvl w:val="1"/>
          <w:numId w:val="1"/>
        </w:numPr>
        <w:rPr>
          <w:rFonts w:ascii="Arial" w:hAnsi="Arial" w:cs="Arial"/>
          <w:kern w:val="28"/>
          <w:sz w:val="22"/>
          <w:szCs w:val="22"/>
        </w:rPr>
      </w:pPr>
      <w:r w:rsidRPr="00762862">
        <w:rPr>
          <w:rFonts w:ascii="Arial" w:hAnsi="Arial" w:cs="Arial"/>
          <w:kern w:val="28"/>
          <w:sz w:val="22"/>
          <w:szCs w:val="22"/>
        </w:rPr>
        <w:t>Según un e</w:t>
      </w:r>
      <w:r w:rsidR="00D44557" w:rsidRPr="00762862">
        <w:rPr>
          <w:rFonts w:ascii="Arial" w:hAnsi="Arial" w:cs="Arial"/>
          <w:kern w:val="28"/>
          <w:sz w:val="22"/>
          <w:szCs w:val="22"/>
        </w:rPr>
        <w:t xml:space="preserve">studio </w:t>
      </w:r>
      <w:r w:rsidRPr="00762862">
        <w:rPr>
          <w:rFonts w:ascii="Arial" w:hAnsi="Arial" w:cs="Arial"/>
          <w:kern w:val="28"/>
          <w:sz w:val="22"/>
          <w:szCs w:val="22"/>
        </w:rPr>
        <w:t>realizado por el Instituto de Evaluación Educativa (INEVAL) de Ecuador</w:t>
      </w:r>
      <w:r w:rsidR="00D44557" w:rsidRPr="00762862">
        <w:rPr>
          <w:rFonts w:ascii="Arial" w:hAnsi="Arial" w:cs="Arial"/>
          <w:kern w:val="28"/>
          <w:sz w:val="22"/>
          <w:szCs w:val="22"/>
        </w:rPr>
        <w:t xml:space="preserve">, </w:t>
      </w:r>
      <w:r w:rsidRPr="00762862">
        <w:rPr>
          <w:rFonts w:ascii="Arial" w:hAnsi="Arial" w:cs="Arial"/>
          <w:kern w:val="28"/>
          <w:sz w:val="22"/>
          <w:szCs w:val="22"/>
        </w:rPr>
        <w:t xml:space="preserve">con base en </w:t>
      </w:r>
      <w:r w:rsidR="0024520F" w:rsidRPr="00762862">
        <w:rPr>
          <w:rFonts w:ascii="Arial" w:hAnsi="Arial" w:cs="Arial"/>
          <w:kern w:val="28"/>
          <w:sz w:val="22"/>
          <w:szCs w:val="22"/>
        </w:rPr>
        <w:t xml:space="preserve">los resultados de las </w:t>
      </w:r>
      <w:r w:rsidR="004F4D21" w:rsidRPr="00762862">
        <w:rPr>
          <w:rFonts w:ascii="Arial" w:hAnsi="Arial" w:cs="Arial"/>
          <w:kern w:val="28"/>
          <w:sz w:val="22"/>
          <w:szCs w:val="22"/>
        </w:rPr>
        <w:t xml:space="preserve">pruebas de desempeño </w:t>
      </w:r>
      <w:r w:rsidR="0024520F" w:rsidRPr="00762862">
        <w:rPr>
          <w:rFonts w:ascii="Arial" w:hAnsi="Arial" w:cs="Arial"/>
          <w:kern w:val="28"/>
          <w:sz w:val="22"/>
          <w:szCs w:val="22"/>
        </w:rPr>
        <w:t xml:space="preserve">de docentes (“Ser Maestro”) </w:t>
      </w:r>
      <w:r w:rsidR="009E0BCA" w:rsidRPr="00762862">
        <w:rPr>
          <w:rFonts w:ascii="Arial" w:hAnsi="Arial" w:cs="Arial"/>
          <w:kern w:val="28"/>
          <w:sz w:val="22"/>
          <w:szCs w:val="22"/>
        </w:rPr>
        <w:t>realizadas en el año 2015</w:t>
      </w:r>
      <w:r w:rsidRPr="00762862">
        <w:rPr>
          <w:rFonts w:ascii="Arial" w:hAnsi="Arial" w:cs="Arial"/>
          <w:kern w:val="28"/>
          <w:sz w:val="22"/>
          <w:szCs w:val="22"/>
        </w:rPr>
        <w:t>,</w:t>
      </w:r>
      <w:r w:rsidR="009E0BCA" w:rsidRPr="00762862">
        <w:rPr>
          <w:rFonts w:ascii="Arial" w:hAnsi="Arial" w:cs="Arial"/>
          <w:kern w:val="28"/>
          <w:sz w:val="22"/>
          <w:szCs w:val="22"/>
        </w:rPr>
        <w:t xml:space="preserve"> </w:t>
      </w:r>
      <w:r w:rsidRPr="00762862">
        <w:rPr>
          <w:rFonts w:ascii="Arial" w:hAnsi="Arial" w:cs="Arial"/>
          <w:kern w:val="28"/>
          <w:sz w:val="22"/>
          <w:szCs w:val="22"/>
        </w:rPr>
        <w:t xml:space="preserve">existe una elevada correlación entre la edad, el nivel de calificación previa y los resultados obtenidos por los profesores en las pruebas. </w:t>
      </w:r>
      <w:r w:rsidR="00A4125F" w:rsidRPr="00762862">
        <w:rPr>
          <w:rFonts w:ascii="Arial" w:hAnsi="Arial" w:cs="Arial"/>
          <w:kern w:val="28"/>
          <w:sz w:val="22"/>
          <w:szCs w:val="22"/>
        </w:rPr>
        <w:t xml:space="preserve">Asimismo, los docentes de reciente contratación obtuvieron calificaciones más elevadas que el promedio. </w:t>
      </w:r>
      <w:r w:rsidRPr="00762862">
        <w:rPr>
          <w:rFonts w:ascii="Arial" w:hAnsi="Arial" w:cs="Arial"/>
          <w:kern w:val="28"/>
          <w:sz w:val="22"/>
          <w:szCs w:val="22"/>
        </w:rPr>
        <w:t xml:space="preserve">De acuerdo con ello, </w:t>
      </w:r>
      <w:r w:rsidR="00437A6E" w:rsidRPr="00762862">
        <w:rPr>
          <w:rFonts w:ascii="Arial" w:hAnsi="Arial" w:cs="Arial"/>
          <w:kern w:val="28"/>
          <w:sz w:val="22"/>
          <w:szCs w:val="22"/>
        </w:rPr>
        <w:t xml:space="preserve">es razonable </w:t>
      </w:r>
      <w:r w:rsidR="00A4125F" w:rsidRPr="00762862">
        <w:rPr>
          <w:rFonts w:ascii="Arial" w:hAnsi="Arial" w:cs="Arial"/>
          <w:kern w:val="28"/>
          <w:sz w:val="22"/>
          <w:szCs w:val="22"/>
        </w:rPr>
        <w:t xml:space="preserve">proyectar </w:t>
      </w:r>
      <w:r w:rsidR="00D44557" w:rsidRPr="00762862">
        <w:rPr>
          <w:rFonts w:ascii="Arial" w:hAnsi="Arial" w:cs="Arial"/>
          <w:kern w:val="28"/>
          <w:sz w:val="22"/>
          <w:szCs w:val="22"/>
        </w:rPr>
        <w:t>que los nuevos docentes que ingresarán</w:t>
      </w:r>
      <w:r w:rsidR="004F4D21" w:rsidRPr="00762862">
        <w:rPr>
          <w:rFonts w:ascii="Arial" w:hAnsi="Arial" w:cs="Arial"/>
          <w:kern w:val="28"/>
          <w:sz w:val="22"/>
          <w:szCs w:val="22"/>
        </w:rPr>
        <w:t xml:space="preserve"> tendrán mejores resultados que los pro</w:t>
      </w:r>
      <w:r w:rsidRPr="00762862">
        <w:rPr>
          <w:rFonts w:ascii="Arial" w:hAnsi="Arial" w:cs="Arial"/>
          <w:kern w:val="28"/>
          <w:sz w:val="22"/>
          <w:szCs w:val="22"/>
        </w:rPr>
        <w:t>fesores que se desvinculan pues tienen a su favor tanto el nivel de calificación como la edad</w:t>
      </w:r>
      <w:r w:rsidR="009E0BCA" w:rsidRPr="00762862">
        <w:rPr>
          <w:rFonts w:ascii="Arial" w:hAnsi="Arial" w:cs="Arial"/>
          <w:kern w:val="28"/>
          <w:sz w:val="22"/>
          <w:szCs w:val="22"/>
        </w:rPr>
        <w:t xml:space="preserve">. </w:t>
      </w:r>
      <w:r w:rsidR="00842214" w:rsidRPr="00762862">
        <w:rPr>
          <w:rFonts w:ascii="Arial" w:hAnsi="Arial" w:cs="Arial"/>
          <w:kern w:val="28"/>
          <w:sz w:val="22"/>
          <w:szCs w:val="22"/>
        </w:rPr>
        <w:t>Los nuevos profesores se contratan en su totalidad por concurso de méritos y tienen un perfil superior a los que se desvinculan de la institución (t</w:t>
      </w:r>
      <w:r w:rsidR="00437A6E" w:rsidRPr="00762862">
        <w:rPr>
          <w:rFonts w:ascii="Arial" w:hAnsi="Arial" w:cs="Arial"/>
          <w:kern w:val="28"/>
          <w:sz w:val="22"/>
          <w:szCs w:val="22"/>
        </w:rPr>
        <w:t>a</w:t>
      </w:r>
      <w:r w:rsidR="00842214" w:rsidRPr="00762862">
        <w:rPr>
          <w:rFonts w:ascii="Arial" w:hAnsi="Arial" w:cs="Arial"/>
          <w:kern w:val="28"/>
          <w:sz w:val="22"/>
          <w:szCs w:val="22"/>
        </w:rPr>
        <w:t xml:space="preserve">nto en edad como en perfil académico). </w:t>
      </w:r>
    </w:p>
    <w:p w14:paraId="3CE07C61" w14:textId="4C8514EC" w:rsidR="00F03F11" w:rsidRPr="00762862" w:rsidRDefault="009E0BCA" w:rsidP="00F03F11">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Por otra parte, </w:t>
      </w:r>
      <w:r w:rsidR="00450D3B" w:rsidRPr="00762862">
        <w:rPr>
          <w:rFonts w:ascii="Arial" w:hAnsi="Arial" w:cs="Arial"/>
          <w:kern w:val="28"/>
          <w:sz w:val="22"/>
          <w:szCs w:val="22"/>
        </w:rPr>
        <w:t xml:space="preserve">el mismo INEVAL ha encontrado una muy elevada y positiva </w:t>
      </w:r>
      <w:r w:rsidRPr="00762862">
        <w:rPr>
          <w:rFonts w:ascii="Arial" w:hAnsi="Arial" w:cs="Arial"/>
          <w:kern w:val="28"/>
          <w:sz w:val="22"/>
          <w:szCs w:val="22"/>
        </w:rPr>
        <w:t xml:space="preserve">correlación entre los puntajes de los </w:t>
      </w:r>
      <w:r w:rsidR="00450D3B" w:rsidRPr="00762862">
        <w:rPr>
          <w:rFonts w:ascii="Arial" w:hAnsi="Arial" w:cs="Arial"/>
          <w:kern w:val="28"/>
          <w:sz w:val="22"/>
          <w:szCs w:val="22"/>
        </w:rPr>
        <w:t xml:space="preserve">profesores </w:t>
      </w:r>
      <w:r w:rsidRPr="00762862">
        <w:rPr>
          <w:rFonts w:ascii="Arial" w:hAnsi="Arial" w:cs="Arial"/>
          <w:kern w:val="28"/>
          <w:sz w:val="22"/>
          <w:szCs w:val="22"/>
        </w:rPr>
        <w:t xml:space="preserve">en </w:t>
      </w:r>
      <w:r w:rsidR="00450D3B" w:rsidRPr="00762862">
        <w:rPr>
          <w:rFonts w:ascii="Arial" w:hAnsi="Arial" w:cs="Arial"/>
          <w:kern w:val="28"/>
          <w:sz w:val="22"/>
          <w:szCs w:val="22"/>
        </w:rPr>
        <w:t>la</w:t>
      </w:r>
      <w:r w:rsidRPr="00762862">
        <w:rPr>
          <w:rFonts w:ascii="Arial" w:hAnsi="Arial" w:cs="Arial"/>
          <w:kern w:val="28"/>
          <w:sz w:val="22"/>
          <w:szCs w:val="22"/>
        </w:rPr>
        <w:t>s pruebas de “Ser Maestro” y los resultados de los alumnos en sus pruebas de aprendizaje (“</w:t>
      </w:r>
      <w:r w:rsidR="00437A6E" w:rsidRPr="00762862">
        <w:rPr>
          <w:rFonts w:ascii="Arial" w:hAnsi="Arial" w:cs="Arial"/>
          <w:kern w:val="28"/>
          <w:sz w:val="22"/>
          <w:szCs w:val="22"/>
        </w:rPr>
        <w:t>Ser Bachiller</w:t>
      </w:r>
      <w:r w:rsidRPr="00762862">
        <w:rPr>
          <w:rFonts w:ascii="Arial" w:hAnsi="Arial" w:cs="Arial"/>
          <w:kern w:val="28"/>
          <w:sz w:val="22"/>
          <w:szCs w:val="22"/>
        </w:rPr>
        <w:t>”). Por ende</w:t>
      </w:r>
      <w:r w:rsidR="00450D3B" w:rsidRPr="00762862">
        <w:rPr>
          <w:rFonts w:ascii="Arial" w:hAnsi="Arial" w:cs="Arial"/>
          <w:kern w:val="28"/>
          <w:sz w:val="22"/>
          <w:szCs w:val="22"/>
        </w:rPr>
        <w:t>,</w:t>
      </w:r>
      <w:r w:rsidRPr="00762862">
        <w:rPr>
          <w:rFonts w:ascii="Arial" w:hAnsi="Arial" w:cs="Arial"/>
          <w:kern w:val="28"/>
          <w:sz w:val="22"/>
          <w:szCs w:val="22"/>
        </w:rPr>
        <w:t xml:space="preserve"> es</w:t>
      </w:r>
      <w:r w:rsidR="00450D3B" w:rsidRPr="00762862">
        <w:rPr>
          <w:rFonts w:ascii="Arial" w:hAnsi="Arial" w:cs="Arial"/>
          <w:kern w:val="28"/>
          <w:sz w:val="22"/>
          <w:szCs w:val="22"/>
        </w:rPr>
        <w:t xml:space="preserve">tá </w:t>
      </w:r>
      <w:r w:rsidRPr="00762862">
        <w:rPr>
          <w:rFonts w:ascii="Arial" w:hAnsi="Arial" w:cs="Arial"/>
          <w:kern w:val="28"/>
          <w:sz w:val="22"/>
          <w:szCs w:val="22"/>
        </w:rPr>
        <w:t xml:space="preserve">justificado </w:t>
      </w:r>
      <w:r w:rsidR="00450D3B" w:rsidRPr="00762862">
        <w:rPr>
          <w:rFonts w:ascii="Arial" w:hAnsi="Arial" w:cs="Arial"/>
          <w:kern w:val="28"/>
          <w:sz w:val="22"/>
          <w:szCs w:val="22"/>
        </w:rPr>
        <w:t xml:space="preserve">tanto teórica como </w:t>
      </w:r>
      <w:r w:rsidRPr="00762862">
        <w:rPr>
          <w:rFonts w:ascii="Arial" w:hAnsi="Arial" w:cs="Arial"/>
          <w:kern w:val="28"/>
          <w:sz w:val="22"/>
          <w:szCs w:val="22"/>
        </w:rPr>
        <w:t>empíricamente postular que el proyecto tendrá un efecto positivo en los niveles de aprendizaje de lo</w:t>
      </w:r>
      <w:r w:rsidR="00450D3B" w:rsidRPr="00762862">
        <w:rPr>
          <w:rFonts w:ascii="Arial" w:hAnsi="Arial" w:cs="Arial"/>
          <w:kern w:val="28"/>
          <w:sz w:val="22"/>
          <w:szCs w:val="22"/>
        </w:rPr>
        <w:t>s</w:t>
      </w:r>
      <w:r w:rsidRPr="00762862">
        <w:rPr>
          <w:rFonts w:ascii="Arial" w:hAnsi="Arial" w:cs="Arial"/>
          <w:kern w:val="28"/>
          <w:sz w:val="22"/>
          <w:szCs w:val="22"/>
        </w:rPr>
        <w:t xml:space="preserve"> estudiantes. </w:t>
      </w:r>
    </w:p>
    <w:p w14:paraId="3DF04558" w14:textId="193B6385" w:rsidR="00E717FE" w:rsidRPr="00762862" w:rsidRDefault="007D3775" w:rsidP="004F4D21">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En el ámbito del sector salud, </w:t>
      </w:r>
      <w:r w:rsidR="004F4D21" w:rsidRPr="00762862">
        <w:rPr>
          <w:rFonts w:ascii="Arial" w:hAnsi="Arial" w:cs="Arial"/>
          <w:kern w:val="28"/>
          <w:sz w:val="22"/>
          <w:szCs w:val="22"/>
        </w:rPr>
        <w:t xml:space="preserve">los beneficios </w:t>
      </w:r>
      <w:r w:rsidRPr="00762862">
        <w:rPr>
          <w:rFonts w:ascii="Arial" w:hAnsi="Arial" w:cs="Arial"/>
          <w:kern w:val="28"/>
          <w:sz w:val="22"/>
          <w:szCs w:val="22"/>
        </w:rPr>
        <w:t>se originan en</w:t>
      </w:r>
      <w:r w:rsidR="004F4D21" w:rsidRPr="00762862">
        <w:rPr>
          <w:rFonts w:ascii="Arial" w:hAnsi="Arial" w:cs="Arial"/>
          <w:kern w:val="28"/>
          <w:sz w:val="22"/>
          <w:szCs w:val="22"/>
        </w:rPr>
        <w:t xml:space="preserve"> la profundización del modelo de atención de salud basado en la promoción y prevención</w:t>
      </w:r>
      <w:r w:rsidR="00BF5685" w:rsidRPr="00762862">
        <w:rPr>
          <w:rFonts w:ascii="Arial" w:hAnsi="Arial" w:cs="Arial"/>
          <w:kern w:val="28"/>
          <w:sz w:val="22"/>
          <w:szCs w:val="22"/>
        </w:rPr>
        <w:t xml:space="preserve">. </w:t>
      </w:r>
      <w:r w:rsidRPr="00762862">
        <w:rPr>
          <w:rFonts w:ascii="Arial" w:hAnsi="Arial" w:cs="Arial"/>
          <w:kern w:val="28"/>
          <w:sz w:val="22"/>
          <w:szCs w:val="22"/>
        </w:rPr>
        <w:t xml:space="preserve">Diversos </w:t>
      </w:r>
      <w:r w:rsidRPr="00762862">
        <w:rPr>
          <w:rFonts w:ascii="Arial" w:hAnsi="Arial" w:cs="Arial"/>
          <w:kern w:val="28"/>
          <w:sz w:val="22"/>
          <w:szCs w:val="22"/>
        </w:rPr>
        <w:lastRenderedPageBreak/>
        <w:t xml:space="preserve">estudios han analizado y comprobado la mayor efectividad del enfoque preventivo en salud, en términos de </w:t>
      </w:r>
      <w:r w:rsidR="00E717FE" w:rsidRPr="00762862">
        <w:rPr>
          <w:rFonts w:ascii="Arial" w:hAnsi="Arial" w:cs="Arial"/>
          <w:kern w:val="28"/>
          <w:sz w:val="22"/>
          <w:szCs w:val="22"/>
        </w:rPr>
        <w:t xml:space="preserve">menores costos </w:t>
      </w:r>
      <w:r w:rsidRPr="00762862">
        <w:rPr>
          <w:rFonts w:ascii="Arial" w:hAnsi="Arial" w:cs="Arial"/>
          <w:kern w:val="28"/>
          <w:sz w:val="22"/>
          <w:szCs w:val="22"/>
        </w:rPr>
        <w:t>en el conjunto del sistema de salud, gracias a que se evitan enfermedades o se las trata en una etapa temprana de su evolución.</w:t>
      </w:r>
      <w:r w:rsidR="001F7A4D" w:rsidRPr="00762862">
        <w:rPr>
          <w:rFonts w:ascii="Arial" w:hAnsi="Arial" w:cs="Arial"/>
          <w:kern w:val="28"/>
          <w:sz w:val="22"/>
          <w:szCs w:val="22"/>
        </w:rPr>
        <w:t xml:space="preserve"> Según reportado por Sassi, McDaid y Merkur (2015) en “</w:t>
      </w:r>
      <w:r w:rsidR="001F7A4D" w:rsidRPr="00762862">
        <w:rPr>
          <w:rFonts w:ascii="Arial" w:hAnsi="Arial" w:cs="Arial"/>
          <w:i/>
          <w:kern w:val="28"/>
          <w:sz w:val="22"/>
          <w:szCs w:val="22"/>
        </w:rPr>
        <w:t>Introduction to the economics of health promotion and disease prevention</w:t>
      </w:r>
      <w:r w:rsidR="001F7A4D" w:rsidRPr="00762862">
        <w:rPr>
          <w:rFonts w:ascii="Arial" w:hAnsi="Arial" w:cs="Arial"/>
          <w:kern w:val="28"/>
          <w:sz w:val="22"/>
          <w:szCs w:val="22"/>
        </w:rPr>
        <w:t>”</w:t>
      </w:r>
      <w:r w:rsidRPr="00762862">
        <w:rPr>
          <w:rFonts w:ascii="Arial" w:hAnsi="Arial" w:cs="Arial"/>
          <w:kern w:val="28"/>
          <w:sz w:val="22"/>
          <w:szCs w:val="22"/>
        </w:rPr>
        <w:t xml:space="preserve"> </w:t>
      </w:r>
      <w:r w:rsidR="001F7A4D" w:rsidRPr="00762862">
        <w:rPr>
          <w:rFonts w:ascii="Arial" w:hAnsi="Arial" w:cs="Arial"/>
          <w:kern w:val="28"/>
          <w:sz w:val="22"/>
          <w:szCs w:val="22"/>
        </w:rPr>
        <w:t xml:space="preserve">existen una amplia gama de factores que sustentan la racionalidad de la actuación de los gobiernos en campañas y otras medidas de promoción y prevención. Una diversidad de estudios se han dedicado a medir la efectividad comparativa de los enfoques preventivos en comparación con otras alternativas por medio de medidas tales como la Años de Vida Ajustados por Discapacidad (AVAD o DALYS por su sigla en inglés para </w:t>
      </w:r>
      <w:r w:rsidR="001F7A4D" w:rsidRPr="00762862">
        <w:rPr>
          <w:rFonts w:ascii="Arial" w:hAnsi="Arial" w:cs="Arial"/>
          <w:i/>
          <w:kern w:val="28"/>
          <w:sz w:val="22"/>
          <w:szCs w:val="22"/>
        </w:rPr>
        <w:t>Di</w:t>
      </w:r>
      <w:r w:rsidR="006C5199" w:rsidRPr="00762862">
        <w:rPr>
          <w:rFonts w:ascii="Arial" w:hAnsi="Arial" w:cs="Arial"/>
          <w:i/>
          <w:kern w:val="28"/>
          <w:sz w:val="22"/>
          <w:szCs w:val="22"/>
        </w:rPr>
        <w:t>sability Adjusted Life Years</w:t>
      </w:r>
      <w:r w:rsidR="006C5199" w:rsidRPr="00762862">
        <w:rPr>
          <w:rFonts w:ascii="Arial" w:hAnsi="Arial" w:cs="Arial"/>
          <w:kern w:val="28"/>
          <w:sz w:val="22"/>
          <w:szCs w:val="22"/>
        </w:rPr>
        <w:t>). De acuerdo con una exhaustiva revisión de evaluaciones realizada por Neuman PJ et al (2016) en “</w:t>
      </w:r>
      <w:r w:rsidR="006C5199" w:rsidRPr="00762862">
        <w:rPr>
          <w:rFonts w:ascii="Arial" w:hAnsi="Arial" w:cs="Arial"/>
          <w:i/>
          <w:kern w:val="28"/>
          <w:sz w:val="22"/>
          <w:szCs w:val="22"/>
        </w:rPr>
        <w:t>A Systematic Review of Cost-Effectiveness Studies Reporting Cost-per-DALY Averted</w:t>
      </w:r>
      <w:r w:rsidR="006C5199" w:rsidRPr="00762862">
        <w:rPr>
          <w:rFonts w:ascii="Arial" w:hAnsi="Arial" w:cs="Arial"/>
          <w:kern w:val="28"/>
          <w:sz w:val="22"/>
          <w:szCs w:val="22"/>
        </w:rPr>
        <w:t xml:space="preserve">” (PLoS ONE 11-12), </w:t>
      </w:r>
      <w:r w:rsidR="00A453AB" w:rsidRPr="00762862">
        <w:rPr>
          <w:rFonts w:ascii="Arial" w:hAnsi="Arial" w:cs="Arial"/>
          <w:kern w:val="28"/>
          <w:sz w:val="22"/>
          <w:szCs w:val="22"/>
        </w:rPr>
        <w:t xml:space="preserve">entre 2000 y 2015 se realizaron 479 evaluaciones de intervenciones en salud basadas en la utilización del indicador AVAD para medir su efectividad comparativa en relación con al menos una intervención alternativa. La relevancia de las acciones y medidas de promoción y prevención queda evidenciada en el hecho que una porción muy significativa (59%) del total de estudios evaluaron intervenciones </w:t>
      </w:r>
      <w:r w:rsidR="005D35ED" w:rsidRPr="00762862">
        <w:rPr>
          <w:rFonts w:ascii="Arial" w:hAnsi="Arial" w:cs="Arial"/>
          <w:kern w:val="28"/>
          <w:sz w:val="22"/>
          <w:szCs w:val="22"/>
        </w:rPr>
        <w:t xml:space="preserve">de tipo </w:t>
      </w:r>
      <w:r w:rsidR="00A453AB" w:rsidRPr="00762862">
        <w:rPr>
          <w:rFonts w:ascii="Arial" w:hAnsi="Arial" w:cs="Arial"/>
          <w:kern w:val="28"/>
          <w:sz w:val="22"/>
          <w:szCs w:val="22"/>
        </w:rPr>
        <w:t>preventiv</w:t>
      </w:r>
      <w:r w:rsidR="005D35ED" w:rsidRPr="00762862">
        <w:rPr>
          <w:rFonts w:ascii="Arial" w:hAnsi="Arial" w:cs="Arial"/>
          <w:kern w:val="28"/>
          <w:sz w:val="22"/>
          <w:szCs w:val="22"/>
        </w:rPr>
        <w:t>o tales como campañas de detección de afecciones</w:t>
      </w:r>
      <w:r w:rsidR="00A453AB" w:rsidRPr="00762862">
        <w:rPr>
          <w:rFonts w:ascii="Arial" w:hAnsi="Arial" w:cs="Arial"/>
          <w:kern w:val="28"/>
          <w:sz w:val="22"/>
          <w:szCs w:val="22"/>
        </w:rPr>
        <w:t>.</w:t>
      </w:r>
      <w:r w:rsidR="006C5199" w:rsidRPr="00762862">
        <w:rPr>
          <w:rFonts w:ascii="Arial" w:hAnsi="Arial" w:cs="Arial"/>
          <w:kern w:val="28"/>
          <w:sz w:val="22"/>
          <w:szCs w:val="22"/>
        </w:rPr>
        <w:t xml:space="preserve"> </w:t>
      </w:r>
    </w:p>
    <w:p w14:paraId="0B105CCC" w14:textId="328A32EC" w:rsidR="007D3775" w:rsidRDefault="00246DC1" w:rsidP="004F4D21">
      <w:pPr>
        <w:pStyle w:val="Paragraph"/>
        <w:numPr>
          <w:ilvl w:val="1"/>
          <w:numId w:val="1"/>
        </w:numPr>
        <w:rPr>
          <w:rFonts w:ascii="Arial" w:hAnsi="Arial" w:cs="Arial"/>
          <w:kern w:val="28"/>
        </w:rPr>
      </w:pPr>
      <w:r w:rsidRPr="00762862">
        <w:rPr>
          <w:rFonts w:ascii="Arial" w:hAnsi="Arial" w:cs="Arial"/>
          <w:kern w:val="28"/>
          <w:sz w:val="22"/>
          <w:szCs w:val="22"/>
        </w:rPr>
        <w:t xml:space="preserve">Con base en estimaciones de Años de Vida Ajustados por Discapacidad para Ecuador, realizadas por la Organización Mundial de la Salud para </w:t>
      </w:r>
      <w:r w:rsidR="009E3834" w:rsidRPr="00762862">
        <w:rPr>
          <w:rFonts w:ascii="Arial" w:hAnsi="Arial" w:cs="Arial"/>
          <w:kern w:val="28"/>
          <w:sz w:val="22"/>
          <w:szCs w:val="22"/>
        </w:rPr>
        <w:t>Ecuador</w:t>
      </w:r>
      <w:r w:rsidR="0083606F">
        <w:rPr>
          <w:rFonts w:ascii="Arial" w:hAnsi="Arial" w:cs="Arial"/>
          <w:kern w:val="28"/>
          <w:sz w:val="22"/>
          <w:szCs w:val="22"/>
        </w:rPr>
        <w:t xml:space="preserve"> en 2004 (último dato disponible)</w:t>
      </w:r>
      <w:r w:rsidR="009E3834" w:rsidRPr="00762862">
        <w:rPr>
          <w:rFonts w:ascii="Arial" w:hAnsi="Arial" w:cs="Arial"/>
          <w:kern w:val="28"/>
          <w:sz w:val="22"/>
          <w:szCs w:val="22"/>
        </w:rPr>
        <w:t xml:space="preserve">, y en una estimación de la cantidad de pacientes que serían atendidos por los servicios de atención primaria de salud que serán fortalecidos con la incorporación de nuevo personal, </w:t>
      </w:r>
      <w:r w:rsidRPr="00762862">
        <w:rPr>
          <w:rFonts w:ascii="Arial" w:hAnsi="Arial" w:cs="Arial"/>
          <w:kern w:val="28"/>
          <w:sz w:val="22"/>
          <w:szCs w:val="22"/>
        </w:rPr>
        <w:t>se estim</w:t>
      </w:r>
      <w:r w:rsidR="00A4125F" w:rsidRPr="00762862">
        <w:rPr>
          <w:rFonts w:ascii="Arial" w:hAnsi="Arial" w:cs="Arial"/>
          <w:kern w:val="28"/>
          <w:sz w:val="22"/>
          <w:szCs w:val="22"/>
        </w:rPr>
        <w:t>ó</w:t>
      </w:r>
      <w:r w:rsidRPr="00762862">
        <w:rPr>
          <w:rFonts w:ascii="Arial" w:hAnsi="Arial" w:cs="Arial"/>
          <w:kern w:val="28"/>
          <w:sz w:val="22"/>
          <w:szCs w:val="22"/>
        </w:rPr>
        <w:t xml:space="preserve"> </w:t>
      </w:r>
      <w:r w:rsidR="00A4125F" w:rsidRPr="00762862">
        <w:rPr>
          <w:rFonts w:ascii="Arial" w:hAnsi="Arial" w:cs="Arial"/>
          <w:kern w:val="28"/>
          <w:sz w:val="22"/>
          <w:szCs w:val="22"/>
        </w:rPr>
        <w:t>la cantidad de</w:t>
      </w:r>
      <w:r w:rsidRPr="00762862">
        <w:rPr>
          <w:rFonts w:ascii="Arial" w:hAnsi="Arial" w:cs="Arial"/>
          <w:kern w:val="28"/>
          <w:sz w:val="22"/>
          <w:szCs w:val="22"/>
        </w:rPr>
        <w:t xml:space="preserve"> años de vida saludable </w:t>
      </w:r>
      <w:r w:rsidR="00A4125F" w:rsidRPr="00762862">
        <w:rPr>
          <w:rFonts w:ascii="Arial" w:hAnsi="Arial" w:cs="Arial"/>
          <w:kern w:val="28"/>
          <w:sz w:val="22"/>
          <w:szCs w:val="22"/>
        </w:rPr>
        <w:t>que se dejar</w:t>
      </w:r>
      <w:r w:rsidR="009E3834" w:rsidRPr="00762862">
        <w:rPr>
          <w:rFonts w:ascii="Arial" w:hAnsi="Arial" w:cs="Arial"/>
          <w:kern w:val="28"/>
          <w:sz w:val="22"/>
          <w:szCs w:val="22"/>
        </w:rPr>
        <w:t>ía</w:t>
      </w:r>
      <w:r w:rsidR="00A4125F" w:rsidRPr="00762862">
        <w:rPr>
          <w:rFonts w:ascii="Arial" w:hAnsi="Arial" w:cs="Arial"/>
          <w:kern w:val="28"/>
          <w:sz w:val="22"/>
          <w:szCs w:val="22"/>
        </w:rPr>
        <w:t xml:space="preserve"> de perder</w:t>
      </w:r>
      <w:r w:rsidRPr="00762862">
        <w:rPr>
          <w:rFonts w:ascii="Arial" w:hAnsi="Arial" w:cs="Arial"/>
          <w:kern w:val="28"/>
          <w:sz w:val="22"/>
          <w:szCs w:val="22"/>
        </w:rPr>
        <w:t xml:space="preserve"> merced a una intervención preventiva oportuna</w:t>
      </w:r>
      <w:r w:rsidR="00A4125F" w:rsidRPr="00762862">
        <w:rPr>
          <w:rFonts w:ascii="Arial" w:hAnsi="Arial" w:cs="Arial"/>
          <w:kern w:val="28"/>
          <w:sz w:val="22"/>
          <w:szCs w:val="22"/>
        </w:rPr>
        <w:t xml:space="preserve"> en enfermedades tales como afecciones respiratorias, infecciones gastrointestinales, afecciones del aparato genital y lesiones accidentales, en las cuales la atención primaria en salud tiene una influencia relevante en su resolución. A partir de ello, se e</w:t>
      </w:r>
      <w:r w:rsidR="009E3834" w:rsidRPr="00762862">
        <w:rPr>
          <w:rFonts w:ascii="Arial" w:hAnsi="Arial" w:cs="Arial"/>
          <w:kern w:val="28"/>
          <w:sz w:val="22"/>
          <w:szCs w:val="22"/>
        </w:rPr>
        <w:t>stimó el valor económico de l</w:t>
      </w:r>
      <w:r w:rsidR="00A4125F" w:rsidRPr="00762862">
        <w:rPr>
          <w:rFonts w:ascii="Arial" w:hAnsi="Arial" w:cs="Arial"/>
          <w:kern w:val="28"/>
          <w:sz w:val="22"/>
          <w:szCs w:val="22"/>
        </w:rPr>
        <w:t>os años de vida que se dejaría de perder</w:t>
      </w:r>
      <w:r w:rsidR="005D35ED" w:rsidRPr="00762862">
        <w:rPr>
          <w:rFonts w:ascii="Arial" w:hAnsi="Arial" w:cs="Arial"/>
          <w:kern w:val="28"/>
          <w:sz w:val="22"/>
          <w:szCs w:val="22"/>
        </w:rPr>
        <w:t xml:space="preserve"> (DALYs averted)</w:t>
      </w:r>
      <w:r w:rsidR="00A4125F" w:rsidRPr="00762862">
        <w:rPr>
          <w:rFonts w:ascii="Arial" w:hAnsi="Arial" w:cs="Arial"/>
          <w:kern w:val="28"/>
          <w:sz w:val="22"/>
          <w:szCs w:val="22"/>
        </w:rPr>
        <w:t>.</w:t>
      </w:r>
    </w:p>
    <w:p w14:paraId="508C9A41" w14:textId="77777777" w:rsidR="00C6631A" w:rsidRPr="007E663E" w:rsidRDefault="00C6631A" w:rsidP="00002B2F">
      <w:pPr>
        <w:pStyle w:val="Paragraph"/>
        <w:numPr>
          <w:ilvl w:val="0"/>
          <w:numId w:val="0"/>
        </w:numPr>
        <w:ind w:left="567"/>
        <w:rPr>
          <w:rFonts w:ascii="Arial" w:hAnsi="Arial" w:cs="Arial"/>
          <w:kern w:val="28"/>
        </w:rPr>
      </w:pPr>
    </w:p>
    <w:p w14:paraId="3D069584" w14:textId="77777777" w:rsidR="001F589F" w:rsidRPr="001F589F" w:rsidRDefault="006F2B12" w:rsidP="00C26BB6">
      <w:pPr>
        <w:pStyle w:val="Paragraph"/>
        <w:numPr>
          <w:ilvl w:val="0"/>
          <w:numId w:val="0"/>
        </w:numPr>
        <w:ind w:left="567"/>
        <w:rPr>
          <w:rFonts w:ascii="Arial" w:hAnsi="Arial" w:cs="Arial"/>
          <w:kern w:val="28"/>
        </w:rPr>
      </w:pPr>
      <w:r>
        <w:rPr>
          <w:rFonts w:ascii="Arial" w:hAnsi="Arial" w:cs="Arial"/>
          <w:b/>
        </w:rPr>
        <w:t>Metodología de estimación de beneficios.</w:t>
      </w:r>
      <w:r w:rsidR="004E6927" w:rsidRPr="007E663E">
        <w:rPr>
          <w:rFonts w:ascii="Arial" w:hAnsi="Arial" w:cs="Arial"/>
          <w:b/>
        </w:rPr>
        <w:t xml:space="preserve"> </w:t>
      </w:r>
    </w:p>
    <w:p w14:paraId="40A2C3FE" w14:textId="36B569F2" w:rsidR="001F589F" w:rsidRPr="00762862" w:rsidRDefault="001F589F" w:rsidP="001F589F">
      <w:pPr>
        <w:spacing w:before="240"/>
        <w:ind w:left="562"/>
        <w:rPr>
          <w:rFonts w:ascii="Arial" w:hAnsi="Arial" w:cs="Arial"/>
          <w:kern w:val="28"/>
          <w:u w:val="single"/>
          <w:lang w:val="es-UY"/>
        </w:rPr>
      </w:pPr>
      <w:r w:rsidRPr="00762862">
        <w:rPr>
          <w:rFonts w:ascii="Arial" w:hAnsi="Arial" w:cs="Arial"/>
          <w:kern w:val="28"/>
          <w:u w:val="single"/>
          <w:lang w:val="es-UY"/>
        </w:rPr>
        <w:t xml:space="preserve">Beneficio 1: Ganancias y ahorros en </w:t>
      </w:r>
      <w:r w:rsidR="00373484" w:rsidRPr="00762862">
        <w:rPr>
          <w:rFonts w:ascii="Arial" w:hAnsi="Arial" w:cs="Arial"/>
          <w:kern w:val="28"/>
          <w:u w:val="single"/>
          <w:lang w:val="es-UY"/>
        </w:rPr>
        <w:t>el S</w:t>
      </w:r>
      <w:r w:rsidRPr="00762862">
        <w:rPr>
          <w:rFonts w:ascii="Arial" w:hAnsi="Arial" w:cs="Arial"/>
          <w:kern w:val="28"/>
          <w:u w:val="single"/>
          <w:lang w:val="es-UY"/>
        </w:rPr>
        <w:t xml:space="preserve">ector </w:t>
      </w:r>
      <w:r w:rsidR="00373484" w:rsidRPr="00762862">
        <w:rPr>
          <w:rFonts w:ascii="Arial" w:hAnsi="Arial" w:cs="Arial"/>
          <w:kern w:val="28"/>
          <w:u w:val="single"/>
          <w:lang w:val="es-UY"/>
        </w:rPr>
        <w:t>E</w:t>
      </w:r>
      <w:r w:rsidRPr="00762862">
        <w:rPr>
          <w:rFonts w:ascii="Arial" w:hAnsi="Arial" w:cs="Arial"/>
          <w:kern w:val="28"/>
          <w:u w:val="single"/>
          <w:lang w:val="es-UY"/>
        </w:rPr>
        <w:t>duca</w:t>
      </w:r>
      <w:r w:rsidR="00373484" w:rsidRPr="00762862">
        <w:rPr>
          <w:rFonts w:ascii="Arial" w:hAnsi="Arial" w:cs="Arial"/>
          <w:kern w:val="28"/>
          <w:u w:val="single"/>
          <w:lang w:val="es-UY"/>
        </w:rPr>
        <w:t>ción</w:t>
      </w:r>
    </w:p>
    <w:p w14:paraId="3F45B559" w14:textId="17E4FC6B" w:rsidR="00B84211" w:rsidRDefault="001F52BD" w:rsidP="006F2B12">
      <w:pPr>
        <w:pStyle w:val="Paragraph"/>
        <w:numPr>
          <w:ilvl w:val="1"/>
          <w:numId w:val="1"/>
        </w:numPr>
        <w:rPr>
          <w:rFonts w:ascii="Arial" w:hAnsi="Arial" w:cs="Arial"/>
          <w:kern w:val="28"/>
          <w:sz w:val="22"/>
          <w:szCs w:val="22"/>
        </w:rPr>
      </w:pPr>
      <w:r w:rsidRPr="00762862">
        <w:rPr>
          <w:rFonts w:ascii="Arial" w:hAnsi="Arial" w:cs="Arial"/>
          <w:kern w:val="28"/>
          <w:sz w:val="22"/>
          <w:szCs w:val="22"/>
        </w:rPr>
        <w:t>El cálculo de los beneficios derivad</w:t>
      </w:r>
      <w:r w:rsidR="00B815F3" w:rsidRPr="00762862">
        <w:rPr>
          <w:rFonts w:ascii="Arial" w:hAnsi="Arial" w:cs="Arial"/>
          <w:kern w:val="28"/>
          <w:sz w:val="22"/>
          <w:szCs w:val="22"/>
        </w:rPr>
        <w:t>os de</w:t>
      </w:r>
      <w:r w:rsidR="006F2B12" w:rsidRPr="00762862">
        <w:rPr>
          <w:rFonts w:ascii="Arial" w:hAnsi="Arial" w:cs="Arial"/>
          <w:kern w:val="28"/>
          <w:sz w:val="22"/>
          <w:szCs w:val="22"/>
        </w:rPr>
        <w:t xml:space="preserve"> </w:t>
      </w:r>
      <w:r w:rsidR="00B815F3" w:rsidRPr="00762862">
        <w:rPr>
          <w:rFonts w:ascii="Arial" w:hAnsi="Arial" w:cs="Arial"/>
          <w:kern w:val="28"/>
          <w:sz w:val="22"/>
          <w:szCs w:val="22"/>
        </w:rPr>
        <w:t>l</w:t>
      </w:r>
      <w:r w:rsidR="006F2B12" w:rsidRPr="00762862">
        <w:rPr>
          <w:rFonts w:ascii="Arial" w:hAnsi="Arial" w:cs="Arial"/>
          <w:kern w:val="28"/>
          <w:sz w:val="22"/>
          <w:szCs w:val="22"/>
        </w:rPr>
        <w:t>os</w:t>
      </w:r>
      <w:r w:rsidR="00B815F3" w:rsidRPr="00762862">
        <w:rPr>
          <w:rFonts w:ascii="Arial" w:hAnsi="Arial" w:cs="Arial"/>
          <w:kern w:val="28"/>
          <w:sz w:val="22"/>
          <w:szCs w:val="22"/>
        </w:rPr>
        <w:t xml:space="preserve"> </w:t>
      </w:r>
      <w:r w:rsidR="00C51FE2" w:rsidRPr="00762862">
        <w:rPr>
          <w:rFonts w:ascii="Arial" w:hAnsi="Arial" w:cs="Arial"/>
          <w:kern w:val="28"/>
          <w:sz w:val="22"/>
          <w:szCs w:val="22"/>
        </w:rPr>
        <w:t>c</w:t>
      </w:r>
      <w:r w:rsidR="00B815F3" w:rsidRPr="00762862">
        <w:rPr>
          <w:rFonts w:ascii="Arial" w:hAnsi="Arial" w:cs="Arial"/>
          <w:kern w:val="28"/>
          <w:sz w:val="22"/>
          <w:szCs w:val="22"/>
        </w:rPr>
        <w:t>omponente</w:t>
      </w:r>
      <w:r w:rsidR="006F2B12" w:rsidRPr="00762862">
        <w:rPr>
          <w:rFonts w:ascii="Arial" w:hAnsi="Arial" w:cs="Arial"/>
          <w:kern w:val="28"/>
          <w:sz w:val="22"/>
          <w:szCs w:val="22"/>
        </w:rPr>
        <w:t>s</w:t>
      </w:r>
      <w:r w:rsidR="00B815F3" w:rsidRPr="00762862">
        <w:rPr>
          <w:rFonts w:ascii="Arial" w:hAnsi="Arial" w:cs="Arial"/>
          <w:kern w:val="28"/>
          <w:sz w:val="22"/>
          <w:szCs w:val="22"/>
        </w:rPr>
        <w:t xml:space="preserve"> </w:t>
      </w:r>
      <w:r w:rsidR="006F2B12" w:rsidRPr="00762862">
        <w:rPr>
          <w:rFonts w:ascii="Arial" w:hAnsi="Arial" w:cs="Arial"/>
          <w:kern w:val="28"/>
          <w:sz w:val="22"/>
          <w:szCs w:val="22"/>
        </w:rPr>
        <w:t xml:space="preserve">1 </w:t>
      </w:r>
      <w:r w:rsidR="00B815F3" w:rsidRPr="00762862">
        <w:rPr>
          <w:rFonts w:ascii="Arial" w:hAnsi="Arial" w:cs="Arial"/>
          <w:kern w:val="28"/>
          <w:sz w:val="22"/>
          <w:szCs w:val="22"/>
        </w:rPr>
        <w:t xml:space="preserve">de </w:t>
      </w:r>
      <w:r w:rsidR="006F2B12" w:rsidRPr="00762862">
        <w:rPr>
          <w:rFonts w:ascii="Arial" w:hAnsi="Arial" w:cs="Arial"/>
          <w:kern w:val="28"/>
          <w:sz w:val="22"/>
          <w:szCs w:val="22"/>
        </w:rPr>
        <w:t>Mejora de la gestión y optimización del TH, y 2 Mejora de la calidad de la provisión de servicios en el sector educación</w:t>
      </w:r>
      <w:r w:rsidR="00D62651" w:rsidRPr="00762862">
        <w:rPr>
          <w:rFonts w:ascii="Arial" w:hAnsi="Arial" w:cs="Arial"/>
          <w:kern w:val="28"/>
          <w:sz w:val="22"/>
          <w:szCs w:val="22"/>
        </w:rPr>
        <w:t xml:space="preserve"> se b</w:t>
      </w:r>
      <w:r w:rsidRPr="00762862">
        <w:rPr>
          <w:rFonts w:ascii="Arial" w:hAnsi="Arial" w:cs="Arial"/>
          <w:kern w:val="28"/>
          <w:sz w:val="22"/>
          <w:szCs w:val="22"/>
        </w:rPr>
        <w:t>asa en el siguiente diseño</w:t>
      </w:r>
      <w:r w:rsidR="007B3237" w:rsidRPr="00762862">
        <w:rPr>
          <w:rFonts w:ascii="Arial" w:hAnsi="Arial" w:cs="Arial"/>
          <w:kern w:val="28"/>
          <w:sz w:val="22"/>
          <w:szCs w:val="22"/>
        </w:rPr>
        <w:t>:</w:t>
      </w:r>
    </w:p>
    <w:p w14:paraId="704AFB82" w14:textId="5BF6F401" w:rsidR="00855444" w:rsidRDefault="000D5F98" w:rsidP="00F226AF">
      <w:pPr>
        <w:pStyle w:val="Paragraph"/>
        <w:numPr>
          <w:ilvl w:val="1"/>
          <w:numId w:val="1"/>
        </w:numPr>
        <w:rPr>
          <w:rFonts w:ascii="Arial" w:hAnsi="Arial" w:cs="Arial"/>
          <w:kern w:val="28"/>
          <w:sz w:val="22"/>
          <w:szCs w:val="22"/>
        </w:rPr>
      </w:pPr>
      <w:r w:rsidRPr="008C1169">
        <w:rPr>
          <w:rFonts w:ascii="Arial" w:hAnsi="Arial" w:cs="Arial"/>
          <w:kern w:val="28"/>
          <w:sz w:val="22"/>
          <w:szCs w:val="22"/>
        </w:rPr>
        <w:t xml:space="preserve">De acuerdo con las pruebas de INEVAL (2015) existe una </w:t>
      </w:r>
      <w:r w:rsidR="008F007E" w:rsidRPr="008C1169">
        <w:rPr>
          <w:rFonts w:ascii="Arial" w:hAnsi="Arial" w:cs="Arial"/>
          <w:kern w:val="28"/>
          <w:sz w:val="22"/>
          <w:szCs w:val="22"/>
        </w:rPr>
        <w:t xml:space="preserve">alta y positiva </w:t>
      </w:r>
      <w:r w:rsidRPr="008C1169">
        <w:rPr>
          <w:rFonts w:ascii="Arial" w:hAnsi="Arial" w:cs="Arial"/>
          <w:kern w:val="28"/>
          <w:sz w:val="22"/>
          <w:szCs w:val="22"/>
        </w:rPr>
        <w:t>correlación entre los resultados obtenidos por los profesores en sus pruebas (“Ser Maestro”) y los resultados conseguidos por los respectivos estudiantes</w:t>
      </w:r>
      <w:r w:rsidR="006D5A1B" w:rsidRPr="008C1169">
        <w:rPr>
          <w:rFonts w:ascii="Arial" w:hAnsi="Arial" w:cs="Arial"/>
          <w:kern w:val="28"/>
          <w:sz w:val="22"/>
          <w:szCs w:val="22"/>
        </w:rPr>
        <w:t xml:space="preserve"> en las pruebas estandarizadas</w:t>
      </w:r>
      <w:r w:rsidR="008F007E" w:rsidRPr="008C1169">
        <w:rPr>
          <w:rFonts w:ascii="Arial" w:hAnsi="Arial" w:cs="Arial"/>
          <w:kern w:val="28"/>
          <w:sz w:val="22"/>
          <w:szCs w:val="22"/>
        </w:rPr>
        <w:t xml:space="preserve"> </w:t>
      </w:r>
      <w:r w:rsidR="00842214" w:rsidRPr="008C1169">
        <w:rPr>
          <w:rFonts w:ascii="Arial" w:hAnsi="Arial" w:cs="Arial"/>
          <w:kern w:val="28"/>
          <w:sz w:val="22"/>
          <w:szCs w:val="22"/>
        </w:rPr>
        <w:t>(</w:t>
      </w:r>
      <w:r w:rsidR="008F007E" w:rsidRPr="008C1169">
        <w:rPr>
          <w:rFonts w:ascii="Arial" w:hAnsi="Arial" w:cs="Arial"/>
          <w:kern w:val="28"/>
          <w:sz w:val="22"/>
          <w:szCs w:val="22"/>
        </w:rPr>
        <w:t>“S</w:t>
      </w:r>
      <w:r w:rsidR="00842214" w:rsidRPr="008C1169">
        <w:rPr>
          <w:rFonts w:ascii="Arial" w:hAnsi="Arial" w:cs="Arial"/>
          <w:kern w:val="28"/>
          <w:sz w:val="22"/>
          <w:szCs w:val="22"/>
        </w:rPr>
        <w:t xml:space="preserve">er </w:t>
      </w:r>
      <w:r w:rsidR="008F007E" w:rsidRPr="008C1169">
        <w:rPr>
          <w:rFonts w:ascii="Arial" w:hAnsi="Arial" w:cs="Arial"/>
          <w:kern w:val="28"/>
          <w:sz w:val="22"/>
          <w:szCs w:val="22"/>
        </w:rPr>
        <w:t>B</w:t>
      </w:r>
      <w:r w:rsidR="00842214" w:rsidRPr="008C1169">
        <w:rPr>
          <w:rFonts w:ascii="Arial" w:hAnsi="Arial" w:cs="Arial"/>
          <w:kern w:val="28"/>
          <w:sz w:val="22"/>
          <w:szCs w:val="22"/>
        </w:rPr>
        <w:t>achiller</w:t>
      </w:r>
      <w:r w:rsidR="008F007E" w:rsidRPr="008C1169">
        <w:rPr>
          <w:rFonts w:ascii="Arial" w:hAnsi="Arial" w:cs="Arial"/>
          <w:kern w:val="28"/>
          <w:sz w:val="22"/>
          <w:szCs w:val="22"/>
        </w:rPr>
        <w:t>)</w:t>
      </w:r>
      <w:r w:rsidR="006D5A1B" w:rsidRPr="008C1169">
        <w:rPr>
          <w:rFonts w:ascii="Arial" w:hAnsi="Arial" w:cs="Arial"/>
          <w:kern w:val="28"/>
          <w:sz w:val="22"/>
          <w:szCs w:val="22"/>
        </w:rPr>
        <w:t xml:space="preserve"> a nivel nacional</w:t>
      </w:r>
      <w:r w:rsidRPr="008C1169">
        <w:rPr>
          <w:rFonts w:ascii="Arial" w:hAnsi="Arial" w:cs="Arial"/>
          <w:kern w:val="28"/>
          <w:sz w:val="22"/>
          <w:szCs w:val="22"/>
        </w:rPr>
        <w:t xml:space="preserve">. Por </w:t>
      </w:r>
      <w:r w:rsidR="001F589F" w:rsidRPr="008C1169">
        <w:rPr>
          <w:rFonts w:ascii="Arial" w:hAnsi="Arial" w:cs="Arial"/>
          <w:kern w:val="28"/>
          <w:sz w:val="22"/>
          <w:szCs w:val="22"/>
        </w:rPr>
        <w:t>el</w:t>
      </w:r>
      <w:r w:rsidRPr="008C1169">
        <w:rPr>
          <w:rFonts w:ascii="Arial" w:hAnsi="Arial" w:cs="Arial"/>
          <w:kern w:val="28"/>
          <w:sz w:val="22"/>
          <w:szCs w:val="22"/>
        </w:rPr>
        <w:t xml:space="preserve">lo, </w:t>
      </w:r>
      <w:r w:rsidR="009A0F0A" w:rsidRPr="008C1169">
        <w:rPr>
          <w:rFonts w:ascii="Arial" w:hAnsi="Arial" w:cs="Arial"/>
          <w:kern w:val="28"/>
          <w:sz w:val="22"/>
          <w:szCs w:val="22"/>
        </w:rPr>
        <w:t xml:space="preserve">la estimación de </w:t>
      </w:r>
      <w:r w:rsidRPr="008C1169">
        <w:rPr>
          <w:rFonts w:ascii="Arial" w:hAnsi="Arial" w:cs="Arial"/>
          <w:kern w:val="28"/>
          <w:sz w:val="22"/>
          <w:szCs w:val="22"/>
        </w:rPr>
        <w:t>beneficios del proyecto en</w:t>
      </w:r>
      <w:r w:rsidR="0010256E" w:rsidRPr="008C1169">
        <w:rPr>
          <w:rFonts w:ascii="Arial" w:hAnsi="Arial" w:cs="Arial"/>
          <w:kern w:val="28"/>
          <w:sz w:val="22"/>
          <w:szCs w:val="22"/>
        </w:rPr>
        <w:t xml:space="preserve"> el ámbito del sector educación </w:t>
      </w:r>
      <w:r w:rsidR="009A0F0A" w:rsidRPr="008C1169">
        <w:rPr>
          <w:rFonts w:ascii="Arial" w:hAnsi="Arial" w:cs="Arial"/>
          <w:kern w:val="28"/>
          <w:sz w:val="22"/>
          <w:szCs w:val="22"/>
        </w:rPr>
        <w:t xml:space="preserve">se basa en </w:t>
      </w:r>
      <w:r w:rsidR="00996C81" w:rsidRPr="008C1169">
        <w:rPr>
          <w:rFonts w:ascii="Arial" w:hAnsi="Arial" w:cs="Arial"/>
          <w:kern w:val="28"/>
          <w:sz w:val="22"/>
          <w:szCs w:val="22"/>
        </w:rPr>
        <w:t>lo</w:t>
      </w:r>
      <w:r w:rsidR="0010256E" w:rsidRPr="008C1169">
        <w:rPr>
          <w:rFonts w:ascii="Arial" w:hAnsi="Arial" w:cs="Arial"/>
          <w:kern w:val="28"/>
          <w:sz w:val="22"/>
          <w:szCs w:val="22"/>
        </w:rPr>
        <w:t xml:space="preserve"> siguiente: </w:t>
      </w:r>
    </w:p>
    <w:p w14:paraId="079FA4D0" w14:textId="740D84A3" w:rsidR="000D5F98" w:rsidRDefault="004E66A4" w:rsidP="00F226AF">
      <w:pPr>
        <w:pStyle w:val="Paragraph"/>
        <w:numPr>
          <w:ilvl w:val="1"/>
          <w:numId w:val="1"/>
        </w:numPr>
        <w:rPr>
          <w:rFonts w:ascii="Arial" w:hAnsi="Arial" w:cs="Arial"/>
          <w:kern w:val="28"/>
          <w:sz w:val="22"/>
          <w:szCs w:val="22"/>
        </w:rPr>
      </w:pPr>
      <w:r w:rsidRPr="00345F0A">
        <w:rPr>
          <w:rFonts w:ascii="Arial" w:hAnsi="Arial" w:cs="Arial"/>
          <w:kern w:val="28"/>
          <w:sz w:val="22"/>
          <w:szCs w:val="22"/>
        </w:rPr>
        <w:t>L</w:t>
      </w:r>
      <w:r w:rsidR="001F589F" w:rsidRPr="00345F0A">
        <w:rPr>
          <w:rFonts w:ascii="Arial" w:hAnsi="Arial" w:cs="Arial"/>
          <w:kern w:val="28"/>
          <w:sz w:val="22"/>
          <w:szCs w:val="22"/>
        </w:rPr>
        <w:t>as mejoras en l</w:t>
      </w:r>
      <w:r w:rsidRPr="00345F0A">
        <w:rPr>
          <w:rFonts w:ascii="Arial" w:hAnsi="Arial" w:cs="Arial"/>
          <w:kern w:val="28"/>
          <w:sz w:val="22"/>
          <w:szCs w:val="22"/>
        </w:rPr>
        <w:t xml:space="preserve">os sistemas de gestión </w:t>
      </w:r>
      <w:r w:rsidR="001F589F" w:rsidRPr="00345F0A">
        <w:rPr>
          <w:rFonts w:ascii="Arial" w:hAnsi="Arial" w:cs="Arial"/>
          <w:kern w:val="28"/>
          <w:sz w:val="22"/>
          <w:szCs w:val="22"/>
        </w:rPr>
        <w:t xml:space="preserve">sectoriales </w:t>
      </w:r>
      <w:r w:rsidR="006D5A1B" w:rsidRPr="00345F0A">
        <w:rPr>
          <w:rFonts w:ascii="Arial" w:hAnsi="Arial" w:cs="Arial"/>
          <w:kern w:val="28"/>
          <w:sz w:val="22"/>
          <w:szCs w:val="22"/>
        </w:rPr>
        <w:t xml:space="preserve">en el sector educación </w:t>
      </w:r>
      <w:r w:rsidR="001F589F" w:rsidRPr="00345F0A">
        <w:rPr>
          <w:rFonts w:ascii="Arial" w:hAnsi="Arial" w:cs="Arial"/>
          <w:kern w:val="28"/>
          <w:sz w:val="22"/>
          <w:szCs w:val="22"/>
        </w:rPr>
        <w:t>(</w:t>
      </w:r>
      <w:r w:rsidRPr="00345F0A">
        <w:rPr>
          <w:rFonts w:ascii="Arial" w:hAnsi="Arial" w:cs="Arial"/>
          <w:kern w:val="28"/>
          <w:sz w:val="22"/>
          <w:szCs w:val="22"/>
        </w:rPr>
        <w:t xml:space="preserve">Componente </w:t>
      </w:r>
      <w:r w:rsidR="006D5A1B" w:rsidRPr="00345F0A">
        <w:rPr>
          <w:rFonts w:ascii="Arial" w:hAnsi="Arial" w:cs="Arial"/>
          <w:kern w:val="28"/>
          <w:sz w:val="22"/>
          <w:szCs w:val="22"/>
        </w:rPr>
        <w:t>2</w:t>
      </w:r>
      <w:r w:rsidR="001F589F" w:rsidRPr="00345F0A">
        <w:rPr>
          <w:rFonts w:ascii="Arial" w:hAnsi="Arial" w:cs="Arial"/>
          <w:kern w:val="28"/>
          <w:sz w:val="22"/>
          <w:szCs w:val="22"/>
        </w:rPr>
        <w:t>) junto con el c</w:t>
      </w:r>
      <w:r w:rsidR="0010256E" w:rsidRPr="00345F0A">
        <w:rPr>
          <w:rFonts w:ascii="Arial" w:hAnsi="Arial" w:cs="Arial"/>
          <w:kern w:val="28"/>
          <w:sz w:val="22"/>
          <w:szCs w:val="22"/>
        </w:rPr>
        <w:t xml:space="preserve">ambio en el perfil de los docentes </w:t>
      </w:r>
      <w:r w:rsidR="0062380D" w:rsidRPr="00345F0A">
        <w:rPr>
          <w:rFonts w:ascii="Arial" w:hAnsi="Arial" w:cs="Arial"/>
          <w:kern w:val="28"/>
          <w:sz w:val="22"/>
          <w:szCs w:val="22"/>
        </w:rPr>
        <w:t>(Componente 1)</w:t>
      </w:r>
      <w:r w:rsidRPr="00345F0A">
        <w:rPr>
          <w:rFonts w:ascii="Arial" w:hAnsi="Arial" w:cs="Arial"/>
          <w:kern w:val="28"/>
          <w:sz w:val="22"/>
          <w:szCs w:val="22"/>
        </w:rPr>
        <w:t>,</w:t>
      </w:r>
      <w:r w:rsidR="0062380D" w:rsidRPr="00345F0A">
        <w:rPr>
          <w:rFonts w:ascii="Arial" w:hAnsi="Arial" w:cs="Arial"/>
          <w:kern w:val="28"/>
          <w:sz w:val="22"/>
          <w:szCs w:val="22"/>
        </w:rPr>
        <w:t xml:space="preserve"> </w:t>
      </w:r>
      <w:r w:rsidR="0010256E" w:rsidRPr="00345F0A">
        <w:rPr>
          <w:rFonts w:ascii="Arial" w:hAnsi="Arial" w:cs="Arial"/>
          <w:kern w:val="28"/>
          <w:sz w:val="22"/>
          <w:szCs w:val="22"/>
        </w:rPr>
        <w:t>lleva</w:t>
      </w:r>
      <w:r w:rsidRPr="00345F0A">
        <w:rPr>
          <w:rFonts w:ascii="Arial" w:hAnsi="Arial" w:cs="Arial"/>
          <w:kern w:val="28"/>
          <w:sz w:val="22"/>
          <w:szCs w:val="22"/>
        </w:rPr>
        <w:t>n</w:t>
      </w:r>
      <w:r w:rsidR="0010256E" w:rsidRPr="00345F0A">
        <w:rPr>
          <w:rFonts w:ascii="Arial" w:hAnsi="Arial" w:cs="Arial"/>
          <w:kern w:val="28"/>
          <w:sz w:val="22"/>
          <w:szCs w:val="22"/>
        </w:rPr>
        <w:t xml:space="preserve"> a un </w:t>
      </w:r>
      <w:r w:rsidR="000D5F98" w:rsidRPr="00345F0A">
        <w:rPr>
          <w:rFonts w:ascii="Arial" w:hAnsi="Arial" w:cs="Arial"/>
          <w:kern w:val="28"/>
          <w:sz w:val="22"/>
          <w:szCs w:val="22"/>
        </w:rPr>
        <w:t xml:space="preserve">mejor desempeño </w:t>
      </w:r>
      <w:r w:rsidR="0010256E" w:rsidRPr="00345F0A">
        <w:rPr>
          <w:rFonts w:ascii="Arial" w:hAnsi="Arial" w:cs="Arial"/>
          <w:kern w:val="28"/>
          <w:sz w:val="22"/>
          <w:szCs w:val="22"/>
        </w:rPr>
        <w:t>promedio de</w:t>
      </w:r>
      <w:r w:rsidR="00855444" w:rsidRPr="00345F0A">
        <w:rPr>
          <w:rFonts w:ascii="Arial" w:hAnsi="Arial" w:cs="Arial"/>
          <w:kern w:val="28"/>
          <w:sz w:val="22"/>
          <w:szCs w:val="22"/>
        </w:rPr>
        <w:t xml:space="preserve"> </w:t>
      </w:r>
      <w:r w:rsidR="000D5F98" w:rsidRPr="00345F0A">
        <w:rPr>
          <w:rFonts w:ascii="Arial" w:hAnsi="Arial" w:cs="Arial"/>
          <w:kern w:val="28"/>
          <w:sz w:val="22"/>
          <w:szCs w:val="22"/>
        </w:rPr>
        <w:t>l</w:t>
      </w:r>
      <w:r w:rsidR="00855444" w:rsidRPr="00345F0A">
        <w:rPr>
          <w:rFonts w:ascii="Arial" w:hAnsi="Arial" w:cs="Arial"/>
          <w:kern w:val="28"/>
          <w:sz w:val="22"/>
          <w:szCs w:val="22"/>
        </w:rPr>
        <w:t>os</w:t>
      </w:r>
      <w:r w:rsidR="0010256E" w:rsidRPr="00345F0A">
        <w:rPr>
          <w:rFonts w:ascii="Arial" w:hAnsi="Arial" w:cs="Arial"/>
          <w:kern w:val="28"/>
          <w:sz w:val="22"/>
          <w:szCs w:val="22"/>
        </w:rPr>
        <w:t xml:space="preserve"> </w:t>
      </w:r>
      <w:r w:rsidR="000D5F98" w:rsidRPr="00345F0A">
        <w:rPr>
          <w:rFonts w:ascii="Arial" w:hAnsi="Arial" w:cs="Arial"/>
          <w:kern w:val="28"/>
          <w:sz w:val="22"/>
          <w:szCs w:val="22"/>
        </w:rPr>
        <w:t>docentes</w:t>
      </w:r>
      <w:r w:rsidR="008A7B88" w:rsidRPr="00345F0A">
        <w:rPr>
          <w:rFonts w:ascii="Arial" w:hAnsi="Arial" w:cs="Arial"/>
          <w:kern w:val="28"/>
          <w:sz w:val="22"/>
          <w:szCs w:val="22"/>
        </w:rPr>
        <w:t>.</w:t>
      </w:r>
    </w:p>
    <w:p w14:paraId="12827956" w14:textId="6D700D7B" w:rsidR="00855444" w:rsidRDefault="00855444" w:rsidP="00F226AF">
      <w:pPr>
        <w:pStyle w:val="Paragraph"/>
        <w:numPr>
          <w:ilvl w:val="1"/>
          <w:numId w:val="1"/>
        </w:numPr>
        <w:rPr>
          <w:rFonts w:ascii="Arial" w:hAnsi="Arial" w:cs="Arial"/>
          <w:kern w:val="28"/>
          <w:sz w:val="22"/>
          <w:szCs w:val="22"/>
        </w:rPr>
      </w:pPr>
      <w:r w:rsidRPr="00345F0A">
        <w:rPr>
          <w:rFonts w:ascii="Arial" w:hAnsi="Arial" w:cs="Arial"/>
          <w:kern w:val="28"/>
          <w:sz w:val="22"/>
          <w:szCs w:val="22"/>
        </w:rPr>
        <w:t xml:space="preserve">El mejor desempeño promedio de los docentes </w:t>
      </w:r>
      <w:r w:rsidR="004E66A4" w:rsidRPr="00345F0A">
        <w:rPr>
          <w:rFonts w:ascii="Arial" w:hAnsi="Arial" w:cs="Arial"/>
          <w:kern w:val="28"/>
          <w:sz w:val="22"/>
          <w:szCs w:val="22"/>
        </w:rPr>
        <w:t>conduce a mejores resultados de aprendizaje de los estudiante</w:t>
      </w:r>
      <w:r w:rsidR="008A7B88" w:rsidRPr="00345F0A">
        <w:rPr>
          <w:rFonts w:ascii="Arial" w:hAnsi="Arial" w:cs="Arial"/>
          <w:kern w:val="28"/>
          <w:sz w:val="22"/>
          <w:szCs w:val="22"/>
        </w:rPr>
        <w:t>s en las pruebas estandarizadas.</w:t>
      </w:r>
    </w:p>
    <w:p w14:paraId="32758D71" w14:textId="2FA8B39C" w:rsidR="008A7B88" w:rsidRDefault="008A7B88" w:rsidP="00F226AF">
      <w:pPr>
        <w:pStyle w:val="Paragraph"/>
        <w:numPr>
          <w:ilvl w:val="1"/>
          <w:numId w:val="1"/>
        </w:numPr>
        <w:rPr>
          <w:rFonts w:ascii="Arial" w:hAnsi="Arial" w:cs="Arial"/>
          <w:kern w:val="28"/>
          <w:sz w:val="22"/>
          <w:szCs w:val="22"/>
        </w:rPr>
      </w:pPr>
      <w:r w:rsidRPr="00345F0A">
        <w:rPr>
          <w:rFonts w:ascii="Arial" w:hAnsi="Arial" w:cs="Arial"/>
          <w:kern w:val="28"/>
          <w:sz w:val="22"/>
          <w:szCs w:val="22"/>
        </w:rPr>
        <w:t xml:space="preserve">Las mejoras en los aprendizajes de los alumnos inciden en los </w:t>
      </w:r>
      <w:r w:rsidR="00450D3B" w:rsidRPr="00345F0A">
        <w:rPr>
          <w:rFonts w:ascii="Arial" w:hAnsi="Arial" w:cs="Arial"/>
          <w:kern w:val="28"/>
          <w:sz w:val="22"/>
          <w:szCs w:val="22"/>
        </w:rPr>
        <w:t>beneficios económicos del proyecto</w:t>
      </w:r>
      <w:r w:rsidRPr="00345F0A">
        <w:rPr>
          <w:rFonts w:ascii="Arial" w:hAnsi="Arial" w:cs="Arial"/>
          <w:kern w:val="28"/>
          <w:sz w:val="22"/>
          <w:szCs w:val="22"/>
        </w:rPr>
        <w:t xml:space="preserve"> por las siguientes vías:</w:t>
      </w:r>
    </w:p>
    <w:p w14:paraId="53EC481E" w14:textId="77777777" w:rsidR="00345F0A" w:rsidRPr="00762862" w:rsidRDefault="00345F0A" w:rsidP="00345F0A">
      <w:pPr>
        <w:pStyle w:val="Paragraph"/>
        <w:numPr>
          <w:ilvl w:val="1"/>
          <w:numId w:val="11"/>
        </w:numPr>
        <w:ind w:left="990"/>
        <w:rPr>
          <w:rFonts w:ascii="Arial" w:hAnsi="Arial" w:cs="Arial"/>
          <w:kern w:val="28"/>
          <w:sz w:val="22"/>
          <w:szCs w:val="22"/>
        </w:rPr>
      </w:pPr>
      <w:r w:rsidRPr="00762862">
        <w:rPr>
          <w:rFonts w:ascii="Arial" w:hAnsi="Arial" w:cs="Arial"/>
          <w:kern w:val="28"/>
          <w:sz w:val="22"/>
          <w:szCs w:val="22"/>
        </w:rPr>
        <w:t>1) Reducción de la deserción: Menos niños y adolescentes abandonan sus estudios debido a sus desempeños y notas menos que satisfactorias; la menor deserción conduce de por sí a un aumento del nivel educativo medio. El mayor nivel educativo medio implica un mayor valor presente neto del flujo futuro de ingresos de los estudiantes, en la comparación con y sin proyecto.</w:t>
      </w:r>
    </w:p>
    <w:p w14:paraId="2A9794EF" w14:textId="77777777" w:rsidR="00345F0A" w:rsidRPr="00762862" w:rsidRDefault="00345F0A" w:rsidP="00345F0A">
      <w:pPr>
        <w:pStyle w:val="Paragraph"/>
        <w:numPr>
          <w:ilvl w:val="1"/>
          <w:numId w:val="11"/>
        </w:numPr>
        <w:ind w:left="990"/>
        <w:rPr>
          <w:rFonts w:ascii="Arial" w:hAnsi="Arial" w:cs="Arial"/>
          <w:kern w:val="28"/>
          <w:sz w:val="22"/>
          <w:szCs w:val="22"/>
        </w:rPr>
      </w:pPr>
      <w:r w:rsidRPr="00762862">
        <w:rPr>
          <w:rFonts w:ascii="Arial" w:hAnsi="Arial" w:cs="Arial"/>
          <w:kern w:val="28"/>
          <w:sz w:val="22"/>
          <w:szCs w:val="22"/>
        </w:rPr>
        <w:t xml:space="preserve">2) Reducción de la repetición: La menor repetición conduce a una menor repetición y a una menor duración efectiva del ciclo educativo del estudiante medio. Por ello, gracias al proyecto los estudiantes culminarán su ciclo educativo en un </w:t>
      </w:r>
      <w:r>
        <w:rPr>
          <w:rFonts w:ascii="Arial" w:hAnsi="Arial" w:cs="Arial"/>
          <w:kern w:val="28"/>
          <w:sz w:val="22"/>
          <w:szCs w:val="22"/>
        </w:rPr>
        <w:t>t</w:t>
      </w:r>
      <w:r w:rsidRPr="00762862">
        <w:rPr>
          <w:rFonts w:ascii="Arial" w:hAnsi="Arial" w:cs="Arial"/>
          <w:kern w:val="28"/>
          <w:sz w:val="22"/>
          <w:szCs w:val="22"/>
        </w:rPr>
        <w:t>iempo total menor a la situación sin proyecto. En consecuencia, se generan dos beneficios económicos: (a) un menor costo por egresado; y (b) una salida más rápida de los estudiantes al mercado laboral, con el consiguiente aumento del valor presente neto del flujo de ingresos de los estudiantes a lo largo de su vida laboral; y</w:t>
      </w:r>
    </w:p>
    <w:p w14:paraId="14395185" w14:textId="77777777" w:rsidR="00345F0A" w:rsidRPr="00762862" w:rsidRDefault="00345F0A" w:rsidP="00345F0A">
      <w:pPr>
        <w:pStyle w:val="Paragraph"/>
        <w:numPr>
          <w:ilvl w:val="1"/>
          <w:numId w:val="11"/>
        </w:numPr>
        <w:ind w:left="990"/>
        <w:rPr>
          <w:rFonts w:ascii="Arial" w:hAnsi="Arial" w:cs="Arial"/>
          <w:kern w:val="28"/>
          <w:sz w:val="22"/>
          <w:szCs w:val="22"/>
        </w:rPr>
      </w:pPr>
      <w:r w:rsidRPr="00762862">
        <w:rPr>
          <w:rFonts w:ascii="Arial" w:hAnsi="Arial" w:cs="Arial"/>
          <w:kern w:val="28"/>
          <w:sz w:val="22"/>
          <w:szCs w:val="22"/>
        </w:rPr>
        <w:t>3) Aumento del nivel educativo medio: Es de esperar que los mejores resultados en evaluaciones estandarizadas de aprendizaje, se verán reflejadas en ciertos estudiantes en un mayor número de años de permanencia en el sistema educativo, con el consiguiente aumento del número medio de años de educación y por ende el aumento del valor presente neto de su flujo de ingresos a lo largo de su vida.</w:t>
      </w:r>
    </w:p>
    <w:p w14:paraId="75FF3DC3" w14:textId="40E0329C" w:rsidR="00345F0A"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Lo anterior puede resumirse en dos tipos de beneficios económicos: (i)</w:t>
      </w:r>
      <w:r>
        <w:rPr>
          <w:rFonts w:ascii="Arial" w:hAnsi="Arial" w:cs="Arial"/>
          <w:kern w:val="28"/>
          <w:sz w:val="22"/>
          <w:szCs w:val="22"/>
        </w:rPr>
        <w:t> </w:t>
      </w:r>
      <w:r w:rsidRPr="00762862">
        <w:rPr>
          <w:rFonts w:ascii="Arial" w:hAnsi="Arial" w:cs="Arial"/>
          <w:kern w:val="28"/>
          <w:sz w:val="22"/>
          <w:szCs w:val="22"/>
        </w:rPr>
        <w:t>teoría del capital humano: aumento en los niveles de ingreso futuros, de los actuales estudiantes durante su vida laboral, en virtud o bien de un mayor nivel educativo o de una salida más temprana al mercado laboral con el mismo nivel educativo; y (ii) mayor eficiencia del sistema: disminución del costo para el sistema educativo por cada estudiante que egresa, en términos de horas de profesores, uso de aulas, consumo de materiales educativos, debido a la menor duración del ciclo educativo medio, gracias a la menor repetición</w:t>
      </w:r>
      <w:r>
        <w:rPr>
          <w:rFonts w:ascii="Arial" w:hAnsi="Arial" w:cs="Arial"/>
          <w:kern w:val="28"/>
          <w:sz w:val="22"/>
          <w:szCs w:val="22"/>
        </w:rPr>
        <w:t>.</w:t>
      </w:r>
    </w:p>
    <w:p w14:paraId="740265B5" w14:textId="1ACE25E6" w:rsidR="00345F0A"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Según lo establecido en la Matriz de Resultados del Proyecto, el porcentaje del total de docentes que subirán de nivel en las pruebas “Ser Maestro” pasará del nivel actual de 29,2% (línea de base) a 33% hacia el final del proyecto. Esto equivale a 8.637 docentes con perfiles de calificación aumentada. Según datos de Registros Administrativos del Ministerio de Educación, al inicio del período escolar 2016-2017 existían 227.292 cargos docentes (161.425 en educación general básica y 65.867 en bachillerato</w:t>
      </w:r>
      <w:r>
        <w:rPr>
          <w:rFonts w:ascii="Arial" w:hAnsi="Arial" w:cs="Arial"/>
          <w:kern w:val="28"/>
          <w:sz w:val="22"/>
          <w:szCs w:val="22"/>
        </w:rPr>
        <w:t>).</w:t>
      </w:r>
    </w:p>
    <w:p w14:paraId="71909BE1" w14:textId="02F9DF6D" w:rsidR="00345F0A"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Por otra parte, de acuerdo a lo previsto en el Componente 1 del proyecto, en el sector educación se desvincularán 2.7</w:t>
      </w:r>
      <w:r>
        <w:rPr>
          <w:rFonts w:ascii="Arial" w:hAnsi="Arial" w:cs="Arial"/>
          <w:kern w:val="28"/>
          <w:sz w:val="22"/>
          <w:szCs w:val="22"/>
        </w:rPr>
        <w:t>15</w:t>
      </w:r>
      <w:r w:rsidRPr="00762862">
        <w:rPr>
          <w:rFonts w:ascii="Arial" w:hAnsi="Arial" w:cs="Arial"/>
          <w:kern w:val="28"/>
          <w:sz w:val="22"/>
          <w:szCs w:val="22"/>
        </w:rPr>
        <w:t xml:space="preserve"> funcionarios. Según información provista por el Ministerio de Economía, las nuevas contrataciones conllevan un menor costo unitario para el estado, en una proporción de 1,69 dólares de ingreso del docente al egreso por cada dólar de ingreso del docente al ingreso. En virtud de ello, la desvinculación de los </w:t>
      </w:r>
      <w:r>
        <w:rPr>
          <w:rFonts w:ascii="Arial" w:hAnsi="Arial" w:cs="Arial"/>
          <w:kern w:val="28"/>
          <w:sz w:val="22"/>
          <w:szCs w:val="22"/>
        </w:rPr>
        <w:t>2.715</w:t>
      </w:r>
      <w:r w:rsidRPr="00762862">
        <w:rPr>
          <w:rFonts w:ascii="Arial" w:hAnsi="Arial" w:cs="Arial"/>
          <w:kern w:val="28"/>
          <w:sz w:val="22"/>
          <w:szCs w:val="22"/>
        </w:rPr>
        <w:t xml:space="preserve"> docentes viabilizada por el financiamiento provisto por el proyecto, hace posible la contratación de </w:t>
      </w:r>
      <w:r>
        <w:rPr>
          <w:rFonts w:ascii="Arial" w:hAnsi="Arial" w:cs="Arial"/>
          <w:kern w:val="28"/>
          <w:sz w:val="22"/>
          <w:szCs w:val="22"/>
        </w:rPr>
        <w:t>4.599</w:t>
      </w:r>
      <w:r w:rsidR="004F62F9">
        <w:rPr>
          <w:rFonts w:ascii="Arial" w:hAnsi="Arial" w:cs="Arial"/>
          <w:kern w:val="28"/>
          <w:sz w:val="22"/>
          <w:szCs w:val="22"/>
        </w:rPr>
        <w:t> </w:t>
      </w:r>
      <w:r w:rsidRPr="00762862">
        <w:rPr>
          <w:rFonts w:ascii="Arial" w:hAnsi="Arial" w:cs="Arial"/>
          <w:kern w:val="28"/>
          <w:sz w:val="22"/>
          <w:szCs w:val="22"/>
        </w:rPr>
        <w:t>docentes con nuevos perfiles, manteniendo el mismo nivel de gasto público corriente anual</w:t>
      </w:r>
      <w:r>
        <w:rPr>
          <w:rFonts w:ascii="Arial" w:hAnsi="Arial" w:cs="Arial"/>
          <w:kern w:val="28"/>
          <w:sz w:val="22"/>
          <w:szCs w:val="22"/>
        </w:rPr>
        <w:t>.</w:t>
      </w:r>
    </w:p>
    <w:p w14:paraId="6F1684AB" w14:textId="27D220A1" w:rsidR="00345F0A"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Tomando en cuenta este dato, para los efectos del análisis económico se ha considerado que el total de 8.637 docentes con nuevos perfiles previstos en la Matriz de resultados se compondrán de: (i)</w:t>
      </w:r>
      <w:r>
        <w:rPr>
          <w:rFonts w:ascii="Arial" w:hAnsi="Arial" w:cs="Arial"/>
          <w:kern w:val="28"/>
          <w:sz w:val="22"/>
          <w:szCs w:val="22"/>
        </w:rPr>
        <w:t> 4.599 </w:t>
      </w:r>
      <w:r w:rsidRPr="00762862">
        <w:rPr>
          <w:rFonts w:ascii="Arial" w:hAnsi="Arial" w:cs="Arial"/>
          <w:kern w:val="28"/>
          <w:sz w:val="22"/>
          <w:szCs w:val="22"/>
        </w:rPr>
        <w:t>docentes nuevos (Componente 1); y (ii) 4.</w:t>
      </w:r>
      <w:r>
        <w:rPr>
          <w:rFonts w:ascii="Arial" w:hAnsi="Arial" w:cs="Arial"/>
          <w:kern w:val="28"/>
          <w:sz w:val="22"/>
          <w:szCs w:val="22"/>
        </w:rPr>
        <w:t>038</w:t>
      </w:r>
      <w:r w:rsidRPr="00762862">
        <w:rPr>
          <w:rFonts w:ascii="Arial" w:hAnsi="Arial" w:cs="Arial"/>
          <w:kern w:val="28"/>
          <w:sz w:val="22"/>
          <w:szCs w:val="22"/>
        </w:rPr>
        <w:t xml:space="preserve"> docentes que ya revistan en la educación, que se capacitan y re-califican (Componente 2). Cabe destacar que esta distribución entre nuevos docentes y docentes re-calificados no conlleva consecuencias significativas en la evaluación económica ya que no altera el volumen total de docentes y estudiantes incrementales, sino solo el año de ingreso del docente (entre 2018 y 2020</w:t>
      </w:r>
      <w:r>
        <w:rPr>
          <w:rFonts w:ascii="Arial" w:hAnsi="Arial" w:cs="Arial"/>
          <w:kern w:val="28"/>
          <w:sz w:val="22"/>
          <w:szCs w:val="22"/>
        </w:rPr>
        <w:t>).</w:t>
      </w:r>
    </w:p>
    <w:p w14:paraId="64555015" w14:textId="73F05025" w:rsidR="00345F0A" w:rsidRPr="00F226AF" w:rsidRDefault="00345F0A" w:rsidP="00F226AF">
      <w:pPr>
        <w:pStyle w:val="Paragraph"/>
        <w:numPr>
          <w:ilvl w:val="1"/>
          <w:numId w:val="1"/>
        </w:numPr>
        <w:rPr>
          <w:rFonts w:ascii="Arial" w:hAnsi="Arial" w:cs="Arial"/>
          <w:kern w:val="28"/>
          <w:sz w:val="18"/>
          <w:szCs w:val="18"/>
        </w:rPr>
      </w:pPr>
      <w:r w:rsidRPr="00762862">
        <w:rPr>
          <w:rFonts w:ascii="Arial" w:hAnsi="Arial" w:cs="Arial"/>
          <w:kern w:val="28"/>
          <w:sz w:val="22"/>
          <w:szCs w:val="22"/>
        </w:rPr>
        <w:t>Para efectos de los cálculos se supone que los nuevos docentes ingresan en su totalidad en 2018, mientras que la re-calificación se realiza gradualmente durante los 3 años de implementación del proyecto (2018 a 2020), a razón de un tercio en cada año:</w:t>
      </w:r>
    </w:p>
    <w:p w14:paraId="37EE2965" w14:textId="77777777" w:rsidR="00345F0A" w:rsidRPr="00F226AF" w:rsidRDefault="00345F0A" w:rsidP="00F226AF">
      <w:pPr>
        <w:spacing w:after="0" w:line="240" w:lineRule="auto"/>
        <w:jc w:val="center"/>
        <w:rPr>
          <w:rFonts w:ascii="Arial" w:hAnsi="Arial" w:cs="Arial"/>
          <w:kern w:val="28"/>
          <w:sz w:val="18"/>
          <w:szCs w:val="18"/>
          <w:lang w:val="es-ES"/>
        </w:rPr>
      </w:pPr>
      <w:r w:rsidRPr="00F226AF">
        <w:rPr>
          <w:rFonts w:ascii="Arial" w:hAnsi="Arial" w:cs="Arial"/>
          <w:kern w:val="28"/>
          <w:sz w:val="18"/>
          <w:szCs w:val="18"/>
          <w:lang w:val="es-ES"/>
        </w:rPr>
        <w:t>Cuadro. Incorporación de docentes con nuevos perfiles</w:t>
      </w:r>
    </w:p>
    <w:tbl>
      <w:tblPr>
        <w:tblStyle w:val="TableGrid"/>
        <w:tblW w:w="0" w:type="auto"/>
        <w:tblInd w:w="1254" w:type="dxa"/>
        <w:tblLook w:val="04A0" w:firstRow="1" w:lastRow="0" w:firstColumn="1" w:lastColumn="0" w:noHBand="0" w:noVBand="1"/>
      </w:tblPr>
      <w:tblGrid>
        <w:gridCol w:w="2875"/>
        <w:gridCol w:w="1086"/>
        <w:gridCol w:w="1022"/>
        <w:gridCol w:w="1022"/>
        <w:gridCol w:w="1038"/>
      </w:tblGrid>
      <w:tr w:rsidR="00345F0A" w:rsidRPr="00762862" w14:paraId="6E949456" w14:textId="77777777" w:rsidTr="00EA6A86">
        <w:tc>
          <w:tcPr>
            <w:tcW w:w="3505" w:type="dxa"/>
            <w:vAlign w:val="center"/>
          </w:tcPr>
          <w:p w14:paraId="46B6D385" w14:textId="77777777" w:rsidR="00345F0A" w:rsidRPr="00762862" w:rsidRDefault="00345F0A" w:rsidP="00EA6A86">
            <w:pPr>
              <w:spacing w:after="0" w:line="240" w:lineRule="auto"/>
              <w:rPr>
                <w:rFonts w:ascii="Arial" w:hAnsi="Arial" w:cs="Arial"/>
                <w:kern w:val="28"/>
                <w:sz w:val="18"/>
                <w:szCs w:val="18"/>
                <w:lang w:val="es-ES"/>
              </w:rPr>
            </w:pPr>
          </w:p>
        </w:tc>
        <w:tc>
          <w:tcPr>
            <w:tcW w:w="1260" w:type="dxa"/>
            <w:vAlign w:val="center"/>
          </w:tcPr>
          <w:p w14:paraId="6EDD6842" w14:textId="77777777" w:rsidR="00345F0A" w:rsidRPr="00762862" w:rsidRDefault="00345F0A" w:rsidP="00EA6A86">
            <w:pPr>
              <w:spacing w:after="0" w:line="240" w:lineRule="auto"/>
              <w:rPr>
                <w:rFonts w:ascii="Arial" w:hAnsi="Arial" w:cs="Arial"/>
                <w:b/>
                <w:kern w:val="28"/>
                <w:sz w:val="18"/>
                <w:szCs w:val="18"/>
                <w:lang w:val="es-ES"/>
              </w:rPr>
            </w:pPr>
            <w:r w:rsidRPr="00762862">
              <w:rPr>
                <w:rFonts w:ascii="Arial" w:hAnsi="Arial" w:cs="Arial"/>
                <w:b/>
                <w:kern w:val="28"/>
                <w:sz w:val="18"/>
                <w:szCs w:val="18"/>
                <w:lang w:val="es-ES"/>
              </w:rPr>
              <w:t>2018</w:t>
            </w:r>
          </w:p>
        </w:tc>
        <w:tc>
          <w:tcPr>
            <w:tcW w:w="1170" w:type="dxa"/>
            <w:vAlign w:val="center"/>
          </w:tcPr>
          <w:p w14:paraId="3EF5AF1A" w14:textId="77777777" w:rsidR="00345F0A" w:rsidRPr="00762862" w:rsidRDefault="00345F0A" w:rsidP="00EA6A86">
            <w:pPr>
              <w:spacing w:after="0" w:line="240" w:lineRule="auto"/>
              <w:rPr>
                <w:rFonts w:ascii="Arial" w:hAnsi="Arial" w:cs="Arial"/>
                <w:b/>
                <w:kern w:val="28"/>
                <w:sz w:val="18"/>
                <w:szCs w:val="18"/>
                <w:lang w:val="es-ES"/>
              </w:rPr>
            </w:pPr>
            <w:r w:rsidRPr="00762862">
              <w:rPr>
                <w:rFonts w:ascii="Arial" w:hAnsi="Arial" w:cs="Arial"/>
                <w:b/>
                <w:kern w:val="28"/>
                <w:sz w:val="18"/>
                <w:szCs w:val="18"/>
                <w:lang w:val="es-ES"/>
              </w:rPr>
              <w:t>2019</w:t>
            </w:r>
          </w:p>
        </w:tc>
        <w:tc>
          <w:tcPr>
            <w:tcW w:w="1170" w:type="dxa"/>
            <w:vAlign w:val="center"/>
          </w:tcPr>
          <w:p w14:paraId="724B4D7C" w14:textId="77777777" w:rsidR="00345F0A" w:rsidRPr="00762862" w:rsidRDefault="00345F0A" w:rsidP="00EA6A86">
            <w:pPr>
              <w:spacing w:after="0" w:line="240" w:lineRule="auto"/>
              <w:rPr>
                <w:rFonts w:ascii="Arial" w:hAnsi="Arial" w:cs="Arial"/>
                <w:b/>
                <w:kern w:val="28"/>
                <w:sz w:val="18"/>
                <w:szCs w:val="18"/>
                <w:lang w:val="es-ES"/>
              </w:rPr>
            </w:pPr>
            <w:r w:rsidRPr="00762862">
              <w:rPr>
                <w:rFonts w:ascii="Arial" w:hAnsi="Arial" w:cs="Arial"/>
                <w:b/>
                <w:kern w:val="28"/>
                <w:sz w:val="18"/>
                <w:szCs w:val="18"/>
                <w:lang w:val="es-ES"/>
              </w:rPr>
              <w:t>2020</w:t>
            </w:r>
          </w:p>
        </w:tc>
        <w:tc>
          <w:tcPr>
            <w:tcW w:w="1192" w:type="dxa"/>
            <w:vAlign w:val="center"/>
          </w:tcPr>
          <w:p w14:paraId="4DE89478" w14:textId="77777777" w:rsidR="00345F0A" w:rsidRPr="00762862" w:rsidRDefault="00345F0A" w:rsidP="00EA6A86">
            <w:pPr>
              <w:spacing w:after="0" w:line="240" w:lineRule="auto"/>
              <w:rPr>
                <w:rFonts w:ascii="Arial" w:hAnsi="Arial" w:cs="Arial"/>
                <w:b/>
                <w:kern w:val="28"/>
                <w:sz w:val="18"/>
                <w:szCs w:val="18"/>
                <w:lang w:val="es-ES"/>
              </w:rPr>
            </w:pPr>
            <w:r w:rsidRPr="00762862">
              <w:rPr>
                <w:rFonts w:ascii="Arial" w:hAnsi="Arial" w:cs="Arial"/>
                <w:b/>
                <w:kern w:val="28"/>
                <w:sz w:val="18"/>
                <w:szCs w:val="18"/>
                <w:lang w:val="es-ES"/>
              </w:rPr>
              <w:t>Total</w:t>
            </w:r>
          </w:p>
        </w:tc>
      </w:tr>
      <w:tr w:rsidR="00345F0A" w:rsidRPr="00762862" w14:paraId="3B69D852" w14:textId="77777777" w:rsidTr="00EA6A86">
        <w:tc>
          <w:tcPr>
            <w:tcW w:w="3505" w:type="dxa"/>
            <w:vAlign w:val="center"/>
          </w:tcPr>
          <w:p w14:paraId="550B91CA"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Incremento anual re- calificación</w:t>
            </w:r>
          </w:p>
        </w:tc>
        <w:tc>
          <w:tcPr>
            <w:tcW w:w="1260" w:type="dxa"/>
            <w:vAlign w:val="center"/>
          </w:tcPr>
          <w:p w14:paraId="37E4D79D"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1.</w:t>
            </w:r>
            <w:r>
              <w:rPr>
                <w:rFonts w:ascii="Arial" w:hAnsi="Arial" w:cs="Arial"/>
                <w:kern w:val="28"/>
                <w:sz w:val="18"/>
                <w:szCs w:val="18"/>
                <w:lang w:val="es-ES"/>
              </w:rPr>
              <w:t>34</w:t>
            </w:r>
            <w:r w:rsidRPr="00762862">
              <w:rPr>
                <w:rFonts w:ascii="Arial" w:hAnsi="Arial" w:cs="Arial"/>
                <w:kern w:val="28"/>
                <w:sz w:val="18"/>
                <w:szCs w:val="18"/>
                <w:lang w:val="es-ES"/>
              </w:rPr>
              <w:t>6</w:t>
            </w:r>
          </w:p>
        </w:tc>
        <w:tc>
          <w:tcPr>
            <w:tcW w:w="1170" w:type="dxa"/>
            <w:vAlign w:val="center"/>
          </w:tcPr>
          <w:p w14:paraId="613064B8"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1.</w:t>
            </w:r>
            <w:r>
              <w:rPr>
                <w:rFonts w:ascii="Arial" w:hAnsi="Arial" w:cs="Arial"/>
                <w:kern w:val="28"/>
                <w:sz w:val="18"/>
                <w:szCs w:val="18"/>
                <w:lang w:val="es-ES"/>
              </w:rPr>
              <w:t>34</w:t>
            </w:r>
            <w:r w:rsidRPr="00762862">
              <w:rPr>
                <w:rFonts w:ascii="Arial" w:hAnsi="Arial" w:cs="Arial"/>
                <w:kern w:val="28"/>
                <w:sz w:val="18"/>
                <w:szCs w:val="18"/>
                <w:lang w:val="es-ES"/>
              </w:rPr>
              <w:t>6</w:t>
            </w:r>
          </w:p>
        </w:tc>
        <w:tc>
          <w:tcPr>
            <w:tcW w:w="1170" w:type="dxa"/>
            <w:vAlign w:val="center"/>
          </w:tcPr>
          <w:p w14:paraId="1894DA03"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1.</w:t>
            </w:r>
            <w:r>
              <w:rPr>
                <w:rFonts w:ascii="Arial" w:hAnsi="Arial" w:cs="Arial"/>
                <w:kern w:val="28"/>
                <w:sz w:val="18"/>
                <w:szCs w:val="18"/>
                <w:lang w:val="es-ES"/>
              </w:rPr>
              <w:t>34</w:t>
            </w:r>
            <w:r w:rsidRPr="00762862">
              <w:rPr>
                <w:rFonts w:ascii="Arial" w:hAnsi="Arial" w:cs="Arial"/>
                <w:kern w:val="28"/>
                <w:sz w:val="18"/>
                <w:szCs w:val="18"/>
                <w:lang w:val="es-ES"/>
              </w:rPr>
              <w:t>5</w:t>
            </w:r>
          </w:p>
        </w:tc>
        <w:tc>
          <w:tcPr>
            <w:tcW w:w="1192" w:type="dxa"/>
            <w:vAlign w:val="center"/>
          </w:tcPr>
          <w:p w14:paraId="217C5F89"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4.</w:t>
            </w:r>
            <w:r>
              <w:rPr>
                <w:rFonts w:ascii="Arial" w:hAnsi="Arial" w:cs="Arial"/>
                <w:kern w:val="28"/>
                <w:sz w:val="18"/>
                <w:szCs w:val="18"/>
                <w:lang w:val="es-ES"/>
              </w:rPr>
              <w:t>038</w:t>
            </w:r>
          </w:p>
        </w:tc>
      </w:tr>
      <w:tr w:rsidR="00345F0A" w:rsidRPr="00762862" w14:paraId="3EAA024D" w14:textId="77777777" w:rsidTr="00EA6A86">
        <w:tc>
          <w:tcPr>
            <w:tcW w:w="3505" w:type="dxa"/>
            <w:vAlign w:val="center"/>
          </w:tcPr>
          <w:p w14:paraId="669C9B8D"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Nuevos contratados</w:t>
            </w:r>
          </w:p>
        </w:tc>
        <w:tc>
          <w:tcPr>
            <w:tcW w:w="1260" w:type="dxa"/>
            <w:vAlign w:val="center"/>
          </w:tcPr>
          <w:p w14:paraId="2108614B" w14:textId="77777777" w:rsidR="00345F0A" w:rsidRPr="00762862" w:rsidRDefault="00345F0A" w:rsidP="00EA6A86">
            <w:pPr>
              <w:spacing w:after="0" w:line="240" w:lineRule="auto"/>
              <w:rPr>
                <w:rFonts w:ascii="Arial" w:hAnsi="Arial" w:cs="Arial"/>
                <w:kern w:val="28"/>
                <w:sz w:val="18"/>
                <w:szCs w:val="18"/>
                <w:lang w:val="es-ES"/>
              </w:rPr>
            </w:pPr>
            <w:r>
              <w:rPr>
                <w:rFonts w:ascii="Arial" w:hAnsi="Arial" w:cs="Arial"/>
                <w:kern w:val="28"/>
                <w:sz w:val="18"/>
                <w:szCs w:val="18"/>
                <w:lang w:val="es-ES"/>
              </w:rPr>
              <w:t>4.599</w:t>
            </w:r>
          </w:p>
        </w:tc>
        <w:tc>
          <w:tcPr>
            <w:tcW w:w="1170" w:type="dxa"/>
            <w:vAlign w:val="center"/>
          </w:tcPr>
          <w:p w14:paraId="59893164" w14:textId="77777777" w:rsidR="00345F0A" w:rsidRPr="00762862" w:rsidRDefault="00345F0A" w:rsidP="00EA6A86">
            <w:pPr>
              <w:spacing w:after="0" w:line="240" w:lineRule="auto"/>
              <w:rPr>
                <w:rFonts w:ascii="Arial" w:hAnsi="Arial" w:cs="Arial"/>
                <w:kern w:val="28"/>
                <w:sz w:val="18"/>
                <w:szCs w:val="18"/>
                <w:lang w:val="es-ES"/>
              </w:rPr>
            </w:pPr>
          </w:p>
        </w:tc>
        <w:tc>
          <w:tcPr>
            <w:tcW w:w="1170" w:type="dxa"/>
            <w:vAlign w:val="center"/>
          </w:tcPr>
          <w:p w14:paraId="7F38BD8A" w14:textId="77777777" w:rsidR="00345F0A" w:rsidRPr="00762862" w:rsidRDefault="00345F0A" w:rsidP="00EA6A86">
            <w:pPr>
              <w:spacing w:after="0" w:line="240" w:lineRule="auto"/>
              <w:rPr>
                <w:rFonts w:ascii="Arial" w:hAnsi="Arial" w:cs="Arial"/>
                <w:kern w:val="28"/>
                <w:sz w:val="18"/>
                <w:szCs w:val="18"/>
                <w:lang w:val="es-ES"/>
              </w:rPr>
            </w:pPr>
          </w:p>
        </w:tc>
        <w:tc>
          <w:tcPr>
            <w:tcW w:w="1192" w:type="dxa"/>
            <w:vAlign w:val="center"/>
          </w:tcPr>
          <w:p w14:paraId="3ECC4CC5" w14:textId="77777777" w:rsidR="00345F0A" w:rsidRPr="00762862" w:rsidRDefault="00345F0A" w:rsidP="00EA6A86">
            <w:pPr>
              <w:spacing w:after="0" w:line="240" w:lineRule="auto"/>
              <w:rPr>
                <w:rFonts w:ascii="Arial" w:hAnsi="Arial" w:cs="Arial"/>
                <w:kern w:val="28"/>
                <w:sz w:val="18"/>
                <w:szCs w:val="18"/>
                <w:lang w:val="es-ES"/>
              </w:rPr>
            </w:pPr>
            <w:r>
              <w:rPr>
                <w:rFonts w:ascii="Arial" w:hAnsi="Arial" w:cs="Arial"/>
                <w:kern w:val="28"/>
                <w:sz w:val="18"/>
                <w:szCs w:val="18"/>
                <w:lang w:val="es-ES"/>
              </w:rPr>
              <w:t>4</w:t>
            </w:r>
            <w:r w:rsidRPr="00762862">
              <w:rPr>
                <w:rFonts w:ascii="Arial" w:hAnsi="Arial" w:cs="Arial"/>
                <w:kern w:val="28"/>
                <w:sz w:val="18"/>
                <w:szCs w:val="18"/>
                <w:lang w:val="es-ES"/>
              </w:rPr>
              <w:t>.</w:t>
            </w:r>
            <w:r>
              <w:rPr>
                <w:rFonts w:ascii="Arial" w:hAnsi="Arial" w:cs="Arial"/>
                <w:kern w:val="28"/>
                <w:sz w:val="18"/>
                <w:szCs w:val="18"/>
                <w:lang w:val="es-ES"/>
              </w:rPr>
              <w:t>599</w:t>
            </w:r>
          </w:p>
        </w:tc>
      </w:tr>
      <w:tr w:rsidR="00345F0A" w:rsidRPr="00762862" w14:paraId="1F2E23C4" w14:textId="77777777" w:rsidTr="00EA6A86">
        <w:tc>
          <w:tcPr>
            <w:tcW w:w="3505" w:type="dxa"/>
            <w:vAlign w:val="center"/>
          </w:tcPr>
          <w:p w14:paraId="1B270A8F"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Total</w:t>
            </w:r>
          </w:p>
        </w:tc>
        <w:tc>
          <w:tcPr>
            <w:tcW w:w="1260" w:type="dxa"/>
            <w:vAlign w:val="center"/>
          </w:tcPr>
          <w:p w14:paraId="43CCC779"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5.</w:t>
            </w:r>
            <w:r>
              <w:rPr>
                <w:rFonts w:ascii="Arial" w:hAnsi="Arial" w:cs="Arial"/>
                <w:kern w:val="28"/>
                <w:sz w:val="18"/>
                <w:szCs w:val="18"/>
                <w:lang w:val="es-ES"/>
              </w:rPr>
              <w:t>945</w:t>
            </w:r>
          </w:p>
        </w:tc>
        <w:tc>
          <w:tcPr>
            <w:tcW w:w="1170" w:type="dxa"/>
            <w:vAlign w:val="center"/>
          </w:tcPr>
          <w:p w14:paraId="220D374A"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1.</w:t>
            </w:r>
            <w:r>
              <w:rPr>
                <w:rFonts w:ascii="Arial" w:hAnsi="Arial" w:cs="Arial"/>
                <w:kern w:val="28"/>
                <w:sz w:val="18"/>
                <w:szCs w:val="18"/>
                <w:lang w:val="es-ES"/>
              </w:rPr>
              <w:t>34</w:t>
            </w:r>
            <w:r w:rsidRPr="00762862">
              <w:rPr>
                <w:rFonts w:ascii="Arial" w:hAnsi="Arial" w:cs="Arial"/>
                <w:kern w:val="28"/>
                <w:sz w:val="18"/>
                <w:szCs w:val="18"/>
                <w:lang w:val="es-ES"/>
              </w:rPr>
              <w:t>6</w:t>
            </w:r>
          </w:p>
        </w:tc>
        <w:tc>
          <w:tcPr>
            <w:tcW w:w="1170" w:type="dxa"/>
            <w:vAlign w:val="center"/>
          </w:tcPr>
          <w:p w14:paraId="700ECC8D"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1.</w:t>
            </w:r>
            <w:r>
              <w:rPr>
                <w:rFonts w:ascii="Arial" w:hAnsi="Arial" w:cs="Arial"/>
                <w:kern w:val="28"/>
                <w:sz w:val="18"/>
                <w:szCs w:val="18"/>
                <w:lang w:val="es-ES"/>
              </w:rPr>
              <w:t>346</w:t>
            </w:r>
          </w:p>
        </w:tc>
        <w:tc>
          <w:tcPr>
            <w:tcW w:w="1192" w:type="dxa"/>
            <w:vAlign w:val="center"/>
          </w:tcPr>
          <w:p w14:paraId="02CA1FAF" w14:textId="77777777" w:rsidR="00345F0A" w:rsidRPr="00762862" w:rsidRDefault="00345F0A" w:rsidP="00EA6A86">
            <w:pPr>
              <w:spacing w:after="0" w:line="240" w:lineRule="auto"/>
              <w:rPr>
                <w:rFonts w:ascii="Arial" w:hAnsi="Arial" w:cs="Arial"/>
                <w:kern w:val="28"/>
                <w:sz w:val="18"/>
                <w:szCs w:val="18"/>
                <w:lang w:val="es-ES"/>
              </w:rPr>
            </w:pPr>
            <w:r w:rsidRPr="00762862">
              <w:rPr>
                <w:rFonts w:ascii="Arial" w:hAnsi="Arial" w:cs="Arial"/>
                <w:kern w:val="28"/>
                <w:sz w:val="18"/>
                <w:szCs w:val="18"/>
                <w:lang w:val="es-ES"/>
              </w:rPr>
              <w:t>8.637</w:t>
            </w:r>
          </w:p>
        </w:tc>
      </w:tr>
    </w:tbl>
    <w:p w14:paraId="481EC99B" w14:textId="77777777" w:rsidR="00345F0A" w:rsidRPr="00345F0A" w:rsidRDefault="00345F0A" w:rsidP="00F226AF">
      <w:pPr>
        <w:pStyle w:val="ListParagraph"/>
        <w:spacing w:after="0" w:line="240" w:lineRule="auto"/>
        <w:ind w:left="360"/>
        <w:rPr>
          <w:rFonts w:ascii="Arial" w:hAnsi="Arial" w:cs="Arial"/>
          <w:kern w:val="28"/>
          <w:lang w:val="es-ES"/>
        </w:rPr>
      </w:pPr>
    </w:p>
    <w:p w14:paraId="78947EDB" w14:textId="0C9F4A15" w:rsidR="00345F0A" w:rsidRPr="00F226AF"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Con base en la relación estudiantes-docentes promedio nacional de 18,5</w:t>
      </w:r>
      <w:r w:rsidR="00667E20">
        <w:rPr>
          <w:rFonts w:ascii="Arial" w:hAnsi="Arial" w:cs="Arial"/>
          <w:kern w:val="28"/>
          <w:sz w:val="22"/>
          <w:szCs w:val="22"/>
        </w:rPr>
        <w:t> </w:t>
      </w:r>
      <w:r w:rsidRPr="00762862">
        <w:rPr>
          <w:rFonts w:ascii="Arial" w:hAnsi="Arial" w:cs="Arial"/>
          <w:kern w:val="28"/>
          <w:sz w:val="22"/>
          <w:szCs w:val="22"/>
        </w:rPr>
        <w:t xml:space="preserve">estudiantes por docente (educación general básica más bachillerato), y adoptando un supuesto de </w:t>
      </w:r>
      <w:r>
        <w:rPr>
          <w:rFonts w:ascii="Arial" w:hAnsi="Arial" w:cs="Arial"/>
          <w:kern w:val="28"/>
          <w:sz w:val="22"/>
          <w:szCs w:val="22"/>
        </w:rPr>
        <w:t>4</w:t>
      </w:r>
      <w:r w:rsidRPr="00762862">
        <w:rPr>
          <w:rFonts w:ascii="Arial" w:hAnsi="Arial" w:cs="Arial"/>
          <w:kern w:val="28"/>
          <w:sz w:val="22"/>
          <w:szCs w:val="22"/>
        </w:rPr>
        <w:t xml:space="preserve">0% de reiteración inter-anual de los alumnos con un mismo docente, se estimó el número de estudiantes que se benefician en cada año del contacto con docentes más calificados. Por criterio conservador, solo se tomaron en consideración los estudiantes que entran en contacto con los docentes nuevos o re-calificados dentro del período 2018-2022 (5 años). Con estos criterios, el número de estudiantes que entran en contacto con los docentes </w:t>
      </w:r>
      <w:r>
        <w:rPr>
          <w:rFonts w:ascii="Arial" w:hAnsi="Arial" w:cs="Arial"/>
          <w:kern w:val="28"/>
          <w:sz w:val="22"/>
          <w:szCs w:val="22"/>
        </w:rPr>
        <w:t xml:space="preserve">nuevos y/o re-calificados </w:t>
      </w:r>
      <w:r w:rsidRPr="00762862">
        <w:rPr>
          <w:rFonts w:ascii="Arial" w:hAnsi="Arial" w:cs="Arial"/>
          <w:kern w:val="28"/>
          <w:sz w:val="22"/>
          <w:szCs w:val="22"/>
        </w:rPr>
        <w:t xml:space="preserve">sería de </w:t>
      </w:r>
      <w:r>
        <w:rPr>
          <w:rFonts w:ascii="Arial" w:hAnsi="Arial" w:cs="Arial"/>
          <w:kern w:val="28"/>
          <w:sz w:val="22"/>
          <w:szCs w:val="22"/>
        </w:rPr>
        <w:t>356.888</w:t>
      </w:r>
      <w:r w:rsidRPr="00762862">
        <w:rPr>
          <w:rFonts w:ascii="Arial" w:hAnsi="Arial" w:cs="Arial"/>
          <w:kern w:val="28"/>
          <w:sz w:val="22"/>
          <w:szCs w:val="22"/>
        </w:rPr>
        <w:t xml:space="preserve">, a un promedio de </w:t>
      </w:r>
      <w:r>
        <w:rPr>
          <w:rFonts w:ascii="Arial" w:hAnsi="Arial" w:cs="Arial"/>
          <w:kern w:val="28"/>
          <w:sz w:val="22"/>
          <w:szCs w:val="22"/>
        </w:rPr>
        <w:t>41,32</w:t>
      </w:r>
      <w:r w:rsidR="00667E20">
        <w:rPr>
          <w:rFonts w:ascii="Arial" w:hAnsi="Arial" w:cs="Arial"/>
          <w:kern w:val="28"/>
          <w:sz w:val="22"/>
          <w:szCs w:val="22"/>
        </w:rPr>
        <w:t> </w:t>
      </w:r>
      <w:r w:rsidRPr="00762862">
        <w:rPr>
          <w:rFonts w:ascii="Arial" w:hAnsi="Arial" w:cs="Arial"/>
          <w:kern w:val="28"/>
          <w:sz w:val="22"/>
          <w:szCs w:val="22"/>
        </w:rPr>
        <w:t>alumnos por docente en forma acumulada luego de los 5 años considerados para el horizonte de evaluación, según el siguiente detalle</w:t>
      </w:r>
      <w:r>
        <w:rPr>
          <w:rFonts w:ascii="Arial" w:hAnsi="Arial" w:cs="Arial"/>
          <w:kern w:val="28"/>
          <w:sz w:val="22"/>
          <w:szCs w:val="22"/>
        </w:rPr>
        <w:t>:</w:t>
      </w:r>
    </w:p>
    <w:p w14:paraId="73D38F37" w14:textId="77777777" w:rsidR="00345F0A" w:rsidRPr="00762862" w:rsidRDefault="00345F0A" w:rsidP="00345F0A">
      <w:pPr>
        <w:pStyle w:val="Paragraph"/>
        <w:numPr>
          <w:ilvl w:val="0"/>
          <w:numId w:val="0"/>
        </w:numPr>
        <w:spacing w:before="0" w:after="0"/>
        <w:ind w:left="720" w:hanging="720"/>
        <w:rPr>
          <w:rFonts w:ascii="Arial" w:hAnsi="Arial" w:cs="Arial"/>
          <w:kern w:val="28"/>
          <w:sz w:val="22"/>
          <w:szCs w:val="22"/>
        </w:rPr>
      </w:pPr>
    </w:p>
    <w:p w14:paraId="6C266463" w14:textId="55E9C18C" w:rsidR="00345F0A" w:rsidRDefault="00345F0A" w:rsidP="00345F0A">
      <w:pPr>
        <w:spacing w:after="0" w:line="240" w:lineRule="auto"/>
        <w:ind w:left="567" w:firstLine="720"/>
        <w:jc w:val="center"/>
        <w:rPr>
          <w:rFonts w:ascii="Arial" w:hAnsi="Arial" w:cs="Arial"/>
          <w:kern w:val="28"/>
          <w:sz w:val="18"/>
          <w:szCs w:val="18"/>
          <w:lang w:val="es-ES"/>
        </w:rPr>
      </w:pPr>
      <w:r w:rsidRPr="00762862">
        <w:rPr>
          <w:rFonts w:ascii="Arial" w:hAnsi="Arial" w:cs="Arial"/>
          <w:kern w:val="28"/>
          <w:sz w:val="18"/>
          <w:szCs w:val="18"/>
          <w:lang w:val="es-ES"/>
        </w:rPr>
        <w:t>Cuadro: Estudiantes beneficiarios potenciales</w:t>
      </w:r>
    </w:p>
    <w:p w14:paraId="17E61D0F" w14:textId="77777777" w:rsidR="00345F0A" w:rsidRPr="00762862" w:rsidRDefault="00345F0A" w:rsidP="00667E20">
      <w:pPr>
        <w:spacing w:after="0" w:line="240" w:lineRule="auto"/>
        <w:ind w:left="567" w:hanging="117"/>
        <w:jc w:val="center"/>
        <w:rPr>
          <w:rFonts w:ascii="Arial" w:hAnsi="Arial" w:cs="Arial"/>
          <w:kern w:val="28"/>
          <w:sz w:val="18"/>
          <w:szCs w:val="18"/>
          <w:lang w:val="es-ES"/>
        </w:rPr>
      </w:pPr>
      <w:r w:rsidRPr="00F812BD">
        <w:rPr>
          <w:noProof/>
        </w:rPr>
        <w:drawing>
          <wp:inline distT="0" distB="0" distL="0" distR="0" wp14:anchorId="71F57BEC" wp14:editId="71A004C4">
            <wp:extent cx="4061460" cy="49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1460" cy="495300"/>
                    </a:xfrm>
                    <a:prstGeom prst="rect">
                      <a:avLst/>
                    </a:prstGeom>
                    <a:noFill/>
                    <a:ln>
                      <a:noFill/>
                    </a:ln>
                  </pic:spPr>
                </pic:pic>
              </a:graphicData>
            </a:graphic>
          </wp:inline>
        </w:drawing>
      </w:r>
    </w:p>
    <w:p w14:paraId="3768476B" w14:textId="77777777" w:rsidR="00345F0A" w:rsidRDefault="00345F0A" w:rsidP="00F226AF">
      <w:pPr>
        <w:pStyle w:val="Paragraph"/>
        <w:numPr>
          <w:ilvl w:val="0"/>
          <w:numId w:val="0"/>
        </w:numPr>
        <w:ind w:left="720" w:hanging="720"/>
        <w:rPr>
          <w:rFonts w:ascii="Arial" w:hAnsi="Arial" w:cs="Arial"/>
          <w:kern w:val="28"/>
          <w:sz w:val="22"/>
          <w:szCs w:val="22"/>
        </w:rPr>
      </w:pPr>
    </w:p>
    <w:p w14:paraId="1F2482E6" w14:textId="4191FF11" w:rsidR="00345F0A" w:rsidRDefault="00345F0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A pesar de que la evidencia de la relación entre el perfil de los profesores y el desempeño de los estudiantes es robusta, por criterio conservador, se ha supuesto que solo </w:t>
      </w:r>
      <w:r>
        <w:rPr>
          <w:rFonts w:ascii="Arial" w:hAnsi="Arial" w:cs="Arial"/>
          <w:kern w:val="28"/>
          <w:sz w:val="22"/>
          <w:szCs w:val="22"/>
        </w:rPr>
        <w:t>60%</w:t>
      </w:r>
      <w:r w:rsidRPr="00762862">
        <w:rPr>
          <w:rFonts w:ascii="Arial" w:hAnsi="Arial" w:cs="Arial"/>
          <w:kern w:val="28"/>
          <w:sz w:val="22"/>
          <w:szCs w:val="22"/>
        </w:rPr>
        <w:t xml:space="preserve"> de los estudiantes potenciales beneficiarios estimados en el punto anterior verán mejorados sus resultados educativos y posteriormente su flujo de ingresos económicos laborales. </w:t>
      </w:r>
      <w:r>
        <w:rPr>
          <w:rFonts w:ascii="Arial" w:hAnsi="Arial" w:cs="Arial"/>
          <w:kern w:val="28"/>
          <w:sz w:val="22"/>
          <w:szCs w:val="22"/>
        </w:rPr>
        <w:t>Por tanto, el restante 40% de los jóvenes que toman contacto con los nuevos docentes no verán mejorados sus resultados educativos ni sus ingresos futuros.</w:t>
      </w:r>
    </w:p>
    <w:p w14:paraId="45491F25" w14:textId="0547F6AD" w:rsidR="00345F0A" w:rsidRPr="00F226AF" w:rsidRDefault="00345F0A" w:rsidP="00F226AF">
      <w:pPr>
        <w:pStyle w:val="Paragraph"/>
        <w:numPr>
          <w:ilvl w:val="1"/>
          <w:numId w:val="1"/>
        </w:numPr>
        <w:rPr>
          <w:rFonts w:ascii="Arial" w:hAnsi="Arial" w:cs="Arial"/>
          <w:kern w:val="28"/>
          <w:sz w:val="22"/>
          <w:szCs w:val="22"/>
        </w:rPr>
      </w:pPr>
      <w:r>
        <w:rPr>
          <w:rFonts w:ascii="Arial" w:hAnsi="Arial" w:cs="Arial"/>
          <w:kern w:val="28"/>
          <w:sz w:val="22"/>
          <w:szCs w:val="22"/>
        </w:rPr>
        <w:t>Por otra parte, s</w:t>
      </w:r>
      <w:r w:rsidRPr="00762862">
        <w:rPr>
          <w:rFonts w:ascii="Arial" w:hAnsi="Arial" w:cs="Arial"/>
          <w:kern w:val="28"/>
          <w:sz w:val="22"/>
          <w:szCs w:val="22"/>
        </w:rPr>
        <w:t>e ha considerado que el resultado de un más efectivo proceso de enseñanza-aprendizaje se generará mediante dos mecanismos distintos: (i)</w:t>
      </w:r>
      <w:r w:rsidR="00667E20">
        <w:rPr>
          <w:rFonts w:ascii="Arial" w:hAnsi="Arial" w:cs="Arial"/>
          <w:kern w:val="28"/>
          <w:sz w:val="22"/>
          <w:szCs w:val="22"/>
        </w:rPr>
        <w:t> </w:t>
      </w:r>
      <w:r w:rsidRPr="00762862">
        <w:rPr>
          <w:rFonts w:ascii="Arial" w:hAnsi="Arial" w:cs="Arial"/>
          <w:kern w:val="28"/>
          <w:sz w:val="22"/>
          <w:szCs w:val="22"/>
        </w:rPr>
        <w:t>algunos estudiantes alcanzarán a acceder al mismo nivel educativo que logran actualmente, con menos años invertidos, debido a la reducción de la repetición; y por ende, egresarán del sistema educativo más jóvenes y con el mismo nivel de educación que en la situación sin proyecto; y (ii) otros estudiantes alcanzarán a un mayor nivel educativo; egresarán del sistema educativo con mayores niveles de escolaridad. En el primer caso, el beneficio económico proviene de la incorporación del alumno al mercado laboral anticipadamente en comparación con la situación sin proyecto (pero con el mismo ingreso mensual) pues su nivel educativo al egreso se mantuvo incambiado. En el segundo caso, el beneficio del proyecto proviene del mayor ingreso medio mensual durante una vida laboral de menor duración (debido al mayor número de años dedicados a estudiar y menos años a trabajar, en comparación con la situación sin proyecto). Adoptando criterios conservadores, se suponen los siguientes porcentajes de incidencia en el número de estudiantes beneficiarios potenciales del proyecto en relación con estos dos tipos de beneficios</w:t>
      </w:r>
      <w:r>
        <w:rPr>
          <w:rFonts w:ascii="Arial" w:hAnsi="Arial" w:cs="Arial"/>
          <w:kern w:val="28"/>
          <w:sz w:val="22"/>
          <w:szCs w:val="22"/>
        </w:rPr>
        <w:t>:</w:t>
      </w:r>
    </w:p>
    <w:p w14:paraId="03C18C6A" w14:textId="77777777" w:rsidR="00345F0A" w:rsidRPr="00762862" w:rsidRDefault="00345F0A" w:rsidP="00F226AF">
      <w:pPr>
        <w:pStyle w:val="Paragraph"/>
        <w:numPr>
          <w:ilvl w:val="0"/>
          <w:numId w:val="0"/>
        </w:numPr>
        <w:ind w:left="360"/>
        <w:rPr>
          <w:rFonts w:ascii="Arial" w:hAnsi="Arial" w:cs="Arial"/>
          <w:kern w:val="28"/>
          <w:sz w:val="18"/>
          <w:szCs w:val="18"/>
        </w:rPr>
      </w:pPr>
      <w:r w:rsidRPr="00762862">
        <w:rPr>
          <w:rFonts w:ascii="Arial" w:hAnsi="Arial" w:cs="Arial"/>
          <w:kern w:val="28"/>
          <w:sz w:val="18"/>
          <w:szCs w:val="18"/>
        </w:rPr>
        <w:t>Cuadro. Incidencia del aumento de ingresos futuros en los estudiantes beneficiarios potenciales</w:t>
      </w:r>
    </w:p>
    <w:tbl>
      <w:tblPr>
        <w:tblStyle w:val="TableGrid"/>
        <w:tblW w:w="0" w:type="auto"/>
        <w:tblInd w:w="805" w:type="dxa"/>
        <w:tblLook w:val="04A0" w:firstRow="1" w:lastRow="0" w:firstColumn="1" w:lastColumn="0" w:noHBand="0" w:noVBand="1"/>
      </w:tblPr>
      <w:tblGrid>
        <w:gridCol w:w="3680"/>
        <w:gridCol w:w="1693"/>
        <w:gridCol w:w="1637"/>
      </w:tblGrid>
      <w:tr w:rsidR="00345F0A" w:rsidRPr="00F226AF" w14:paraId="4D26C082" w14:textId="77777777" w:rsidTr="00F226AF">
        <w:tc>
          <w:tcPr>
            <w:tcW w:w="3680" w:type="dxa"/>
            <w:vAlign w:val="center"/>
          </w:tcPr>
          <w:p w14:paraId="333481DF" w14:textId="77777777" w:rsidR="00345F0A" w:rsidRPr="00762862" w:rsidRDefault="00345F0A" w:rsidP="00667E20">
            <w:pPr>
              <w:pStyle w:val="Paragraph"/>
              <w:numPr>
                <w:ilvl w:val="0"/>
                <w:numId w:val="0"/>
              </w:numPr>
              <w:spacing w:before="0"/>
              <w:ind w:left="-54"/>
              <w:jc w:val="center"/>
              <w:rPr>
                <w:rFonts w:ascii="Arial" w:hAnsi="Arial" w:cs="Arial"/>
                <w:b/>
                <w:kern w:val="28"/>
                <w:sz w:val="18"/>
                <w:szCs w:val="18"/>
              </w:rPr>
            </w:pPr>
            <w:r w:rsidRPr="00762862">
              <w:rPr>
                <w:rFonts w:ascii="Arial" w:hAnsi="Arial" w:cs="Arial"/>
                <w:b/>
                <w:kern w:val="28"/>
                <w:sz w:val="18"/>
                <w:szCs w:val="18"/>
              </w:rPr>
              <w:t>Vía de incidencia en los mayores ingresos</w:t>
            </w:r>
          </w:p>
        </w:tc>
        <w:tc>
          <w:tcPr>
            <w:tcW w:w="1693" w:type="dxa"/>
            <w:vAlign w:val="center"/>
          </w:tcPr>
          <w:p w14:paraId="006706CE" w14:textId="77777777" w:rsidR="00345F0A" w:rsidRPr="00762862" w:rsidRDefault="00345F0A" w:rsidP="00695495">
            <w:pPr>
              <w:pStyle w:val="Paragraph"/>
              <w:numPr>
                <w:ilvl w:val="0"/>
                <w:numId w:val="0"/>
              </w:numPr>
              <w:spacing w:before="0"/>
              <w:jc w:val="center"/>
              <w:rPr>
                <w:rFonts w:ascii="Arial" w:hAnsi="Arial" w:cs="Arial"/>
                <w:b/>
                <w:kern w:val="28"/>
                <w:sz w:val="18"/>
                <w:szCs w:val="18"/>
              </w:rPr>
            </w:pPr>
            <w:r w:rsidRPr="00762862">
              <w:rPr>
                <w:rFonts w:ascii="Arial" w:hAnsi="Arial" w:cs="Arial"/>
                <w:b/>
                <w:kern w:val="28"/>
                <w:sz w:val="18"/>
                <w:szCs w:val="18"/>
              </w:rPr>
              <w:t>Porcentaje del total den estudiantes beneficiarios potenciales</w:t>
            </w:r>
          </w:p>
        </w:tc>
        <w:tc>
          <w:tcPr>
            <w:tcW w:w="1637" w:type="dxa"/>
            <w:vAlign w:val="center"/>
          </w:tcPr>
          <w:p w14:paraId="0B7CC88F" w14:textId="77777777" w:rsidR="00345F0A" w:rsidRPr="00762862" w:rsidRDefault="00345F0A" w:rsidP="00695495">
            <w:pPr>
              <w:pStyle w:val="Paragraph"/>
              <w:numPr>
                <w:ilvl w:val="0"/>
                <w:numId w:val="0"/>
              </w:numPr>
              <w:spacing w:before="0"/>
              <w:jc w:val="center"/>
              <w:rPr>
                <w:rFonts w:ascii="Arial" w:hAnsi="Arial" w:cs="Arial"/>
                <w:b/>
                <w:kern w:val="28"/>
                <w:sz w:val="18"/>
                <w:szCs w:val="18"/>
              </w:rPr>
            </w:pPr>
            <w:r w:rsidRPr="00762862">
              <w:rPr>
                <w:rFonts w:ascii="Arial" w:hAnsi="Arial" w:cs="Arial"/>
                <w:b/>
                <w:kern w:val="28"/>
                <w:sz w:val="18"/>
                <w:szCs w:val="18"/>
              </w:rPr>
              <w:t>Cantidad de estudiantes según tipo de incidencia</w:t>
            </w:r>
          </w:p>
        </w:tc>
      </w:tr>
      <w:tr w:rsidR="00345F0A" w:rsidRPr="00762862" w14:paraId="3EDDB3F9" w14:textId="77777777" w:rsidTr="00F226AF">
        <w:tc>
          <w:tcPr>
            <w:tcW w:w="3680" w:type="dxa"/>
          </w:tcPr>
          <w:p w14:paraId="62B42A09" w14:textId="77777777" w:rsidR="00345F0A" w:rsidRPr="00762862" w:rsidRDefault="00345F0A" w:rsidP="00695495">
            <w:pPr>
              <w:pStyle w:val="Paragraph"/>
              <w:numPr>
                <w:ilvl w:val="0"/>
                <w:numId w:val="0"/>
              </w:numPr>
              <w:spacing w:before="0"/>
              <w:rPr>
                <w:rFonts w:ascii="Arial" w:hAnsi="Arial" w:cs="Arial"/>
                <w:kern w:val="28"/>
                <w:sz w:val="18"/>
                <w:szCs w:val="18"/>
              </w:rPr>
            </w:pPr>
            <w:r w:rsidRPr="00762862">
              <w:rPr>
                <w:rFonts w:ascii="Arial" w:hAnsi="Arial" w:cs="Arial"/>
                <w:kern w:val="28"/>
                <w:sz w:val="18"/>
                <w:szCs w:val="18"/>
              </w:rPr>
              <w:t>Estudiantes que egresan anticipadamente y con el mismo nivel de escolaridad</w:t>
            </w:r>
          </w:p>
        </w:tc>
        <w:tc>
          <w:tcPr>
            <w:tcW w:w="1693" w:type="dxa"/>
            <w:vAlign w:val="center"/>
          </w:tcPr>
          <w:p w14:paraId="34BD7EA0" w14:textId="77777777" w:rsidR="00345F0A" w:rsidRPr="00762862" w:rsidRDefault="00345F0A" w:rsidP="00695495">
            <w:pPr>
              <w:pStyle w:val="Paragraph"/>
              <w:numPr>
                <w:ilvl w:val="0"/>
                <w:numId w:val="0"/>
              </w:numPr>
              <w:spacing w:before="0"/>
              <w:jc w:val="center"/>
              <w:rPr>
                <w:rFonts w:ascii="Arial" w:hAnsi="Arial" w:cs="Arial"/>
                <w:kern w:val="28"/>
                <w:sz w:val="18"/>
                <w:szCs w:val="18"/>
              </w:rPr>
            </w:pPr>
            <w:r w:rsidRPr="00762862">
              <w:rPr>
                <w:rFonts w:ascii="Arial" w:hAnsi="Arial" w:cs="Arial"/>
                <w:kern w:val="28"/>
                <w:sz w:val="18"/>
                <w:szCs w:val="18"/>
              </w:rPr>
              <w:t>1</w:t>
            </w:r>
            <w:r>
              <w:rPr>
                <w:rFonts w:ascii="Arial" w:hAnsi="Arial" w:cs="Arial"/>
                <w:kern w:val="28"/>
                <w:sz w:val="18"/>
                <w:szCs w:val="18"/>
              </w:rPr>
              <w:t>2</w:t>
            </w:r>
            <w:r w:rsidRPr="00762862">
              <w:rPr>
                <w:rFonts w:ascii="Arial" w:hAnsi="Arial" w:cs="Arial"/>
                <w:kern w:val="28"/>
                <w:sz w:val="18"/>
                <w:szCs w:val="18"/>
              </w:rPr>
              <w:t>%</w:t>
            </w:r>
          </w:p>
        </w:tc>
        <w:tc>
          <w:tcPr>
            <w:tcW w:w="1637" w:type="dxa"/>
            <w:vAlign w:val="center"/>
          </w:tcPr>
          <w:p w14:paraId="64AF946B" w14:textId="77777777" w:rsidR="00345F0A" w:rsidRPr="00762862" w:rsidRDefault="00345F0A" w:rsidP="00695495">
            <w:pPr>
              <w:pStyle w:val="Paragraph"/>
              <w:numPr>
                <w:ilvl w:val="0"/>
                <w:numId w:val="0"/>
              </w:numPr>
              <w:spacing w:before="0"/>
              <w:jc w:val="center"/>
              <w:rPr>
                <w:rFonts w:ascii="Arial" w:hAnsi="Arial" w:cs="Arial"/>
                <w:kern w:val="28"/>
                <w:sz w:val="18"/>
                <w:szCs w:val="18"/>
              </w:rPr>
            </w:pPr>
            <w:r>
              <w:rPr>
                <w:rFonts w:ascii="Arial" w:hAnsi="Arial" w:cs="Arial"/>
                <w:kern w:val="28"/>
                <w:sz w:val="18"/>
                <w:szCs w:val="18"/>
              </w:rPr>
              <w:t>42.827</w:t>
            </w:r>
          </w:p>
        </w:tc>
      </w:tr>
      <w:tr w:rsidR="00345F0A" w:rsidRPr="00762862" w14:paraId="78518B98" w14:textId="77777777" w:rsidTr="00F226AF">
        <w:tc>
          <w:tcPr>
            <w:tcW w:w="3680" w:type="dxa"/>
          </w:tcPr>
          <w:p w14:paraId="5A4E2EE6" w14:textId="77777777" w:rsidR="00345F0A" w:rsidRPr="00762862" w:rsidRDefault="00345F0A" w:rsidP="00695495">
            <w:pPr>
              <w:pStyle w:val="Paragraph"/>
              <w:numPr>
                <w:ilvl w:val="0"/>
                <w:numId w:val="0"/>
              </w:numPr>
              <w:spacing w:before="0"/>
              <w:rPr>
                <w:rFonts w:ascii="Arial" w:hAnsi="Arial" w:cs="Arial"/>
                <w:kern w:val="28"/>
                <w:sz w:val="18"/>
                <w:szCs w:val="18"/>
              </w:rPr>
            </w:pPr>
            <w:r w:rsidRPr="00762862">
              <w:rPr>
                <w:rFonts w:ascii="Arial" w:hAnsi="Arial" w:cs="Arial"/>
                <w:kern w:val="28"/>
                <w:sz w:val="18"/>
                <w:szCs w:val="18"/>
              </w:rPr>
              <w:t>Estudiantes que egresan con mayor nivel de escolaridad</w:t>
            </w:r>
          </w:p>
        </w:tc>
        <w:tc>
          <w:tcPr>
            <w:tcW w:w="1693" w:type="dxa"/>
            <w:vAlign w:val="center"/>
          </w:tcPr>
          <w:p w14:paraId="046A066C" w14:textId="77777777" w:rsidR="00345F0A" w:rsidRPr="00762862" w:rsidRDefault="00345F0A" w:rsidP="00695495">
            <w:pPr>
              <w:pStyle w:val="Paragraph"/>
              <w:numPr>
                <w:ilvl w:val="0"/>
                <w:numId w:val="0"/>
              </w:numPr>
              <w:spacing w:before="0"/>
              <w:jc w:val="center"/>
              <w:rPr>
                <w:rFonts w:ascii="Arial" w:hAnsi="Arial" w:cs="Arial"/>
                <w:kern w:val="28"/>
                <w:sz w:val="18"/>
                <w:szCs w:val="18"/>
              </w:rPr>
            </w:pPr>
            <w:r w:rsidRPr="00762862">
              <w:rPr>
                <w:rFonts w:ascii="Arial" w:hAnsi="Arial" w:cs="Arial"/>
                <w:kern w:val="28"/>
                <w:sz w:val="18"/>
                <w:szCs w:val="18"/>
              </w:rPr>
              <w:t>4</w:t>
            </w:r>
            <w:r>
              <w:rPr>
                <w:rFonts w:ascii="Arial" w:hAnsi="Arial" w:cs="Arial"/>
                <w:kern w:val="28"/>
                <w:sz w:val="18"/>
                <w:szCs w:val="18"/>
              </w:rPr>
              <w:t>8</w:t>
            </w:r>
            <w:r w:rsidRPr="00762862">
              <w:rPr>
                <w:rFonts w:ascii="Arial" w:hAnsi="Arial" w:cs="Arial"/>
                <w:kern w:val="28"/>
                <w:sz w:val="18"/>
                <w:szCs w:val="18"/>
              </w:rPr>
              <w:t>%</w:t>
            </w:r>
          </w:p>
        </w:tc>
        <w:tc>
          <w:tcPr>
            <w:tcW w:w="1637" w:type="dxa"/>
            <w:vAlign w:val="center"/>
          </w:tcPr>
          <w:p w14:paraId="7285210B" w14:textId="77777777" w:rsidR="00345F0A" w:rsidRPr="00762862" w:rsidRDefault="00345F0A" w:rsidP="00695495">
            <w:pPr>
              <w:pStyle w:val="Paragraph"/>
              <w:numPr>
                <w:ilvl w:val="0"/>
                <w:numId w:val="0"/>
              </w:numPr>
              <w:spacing w:before="0"/>
              <w:jc w:val="center"/>
              <w:rPr>
                <w:rFonts w:ascii="Arial" w:hAnsi="Arial" w:cs="Arial"/>
                <w:kern w:val="28"/>
                <w:sz w:val="18"/>
                <w:szCs w:val="18"/>
              </w:rPr>
            </w:pPr>
            <w:r>
              <w:rPr>
                <w:rFonts w:ascii="Arial" w:hAnsi="Arial" w:cs="Arial"/>
                <w:kern w:val="28"/>
                <w:sz w:val="18"/>
                <w:szCs w:val="18"/>
              </w:rPr>
              <w:t>171.306</w:t>
            </w:r>
          </w:p>
        </w:tc>
      </w:tr>
      <w:tr w:rsidR="00345F0A" w:rsidRPr="00762862" w14:paraId="41E458DD" w14:textId="77777777" w:rsidTr="00F226AF">
        <w:tc>
          <w:tcPr>
            <w:tcW w:w="3680" w:type="dxa"/>
          </w:tcPr>
          <w:p w14:paraId="6B6535EF" w14:textId="77777777" w:rsidR="00345F0A" w:rsidRPr="00762862" w:rsidRDefault="00345F0A" w:rsidP="00F226AF">
            <w:pPr>
              <w:pStyle w:val="Paragraph"/>
              <w:numPr>
                <w:ilvl w:val="0"/>
                <w:numId w:val="0"/>
              </w:numPr>
              <w:spacing w:before="0" w:after="0"/>
              <w:rPr>
                <w:rFonts w:ascii="Arial" w:hAnsi="Arial" w:cs="Arial"/>
                <w:kern w:val="28"/>
                <w:sz w:val="18"/>
                <w:szCs w:val="18"/>
              </w:rPr>
            </w:pPr>
            <w:r w:rsidRPr="00762862">
              <w:rPr>
                <w:rFonts w:ascii="Arial" w:hAnsi="Arial" w:cs="Arial"/>
                <w:kern w:val="28"/>
                <w:sz w:val="18"/>
                <w:szCs w:val="18"/>
              </w:rPr>
              <w:t>Estudiantes que no perciben cambios en sus trayectorias educativas y laborales</w:t>
            </w:r>
          </w:p>
        </w:tc>
        <w:tc>
          <w:tcPr>
            <w:tcW w:w="1693" w:type="dxa"/>
            <w:vAlign w:val="center"/>
          </w:tcPr>
          <w:p w14:paraId="24D30B6F" w14:textId="77777777" w:rsidR="00345F0A" w:rsidRPr="00762862" w:rsidRDefault="00345F0A" w:rsidP="00F226AF">
            <w:pPr>
              <w:pStyle w:val="Paragraph"/>
              <w:numPr>
                <w:ilvl w:val="0"/>
                <w:numId w:val="0"/>
              </w:numPr>
              <w:spacing w:before="0" w:after="0"/>
              <w:jc w:val="center"/>
              <w:rPr>
                <w:rFonts w:ascii="Arial" w:hAnsi="Arial" w:cs="Arial"/>
                <w:kern w:val="28"/>
                <w:sz w:val="18"/>
                <w:szCs w:val="18"/>
              </w:rPr>
            </w:pPr>
            <w:r>
              <w:rPr>
                <w:rFonts w:ascii="Arial" w:hAnsi="Arial" w:cs="Arial"/>
                <w:kern w:val="28"/>
                <w:sz w:val="18"/>
                <w:szCs w:val="18"/>
              </w:rPr>
              <w:t>4</w:t>
            </w:r>
            <w:r w:rsidRPr="00762862">
              <w:rPr>
                <w:rFonts w:ascii="Arial" w:hAnsi="Arial" w:cs="Arial"/>
                <w:kern w:val="28"/>
                <w:sz w:val="18"/>
                <w:szCs w:val="18"/>
              </w:rPr>
              <w:t>0%</w:t>
            </w:r>
          </w:p>
        </w:tc>
        <w:tc>
          <w:tcPr>
            <w:tcW w:w="1637" w:type="dxa"/>
            <w:vAlign w:val="center"/>
          </w:tcPr>
          <w:p w14:paraId="4F6A73AB" w14:textId="77777777" w:rsidR="00345F0A" w:rsidRPr="00762862" w:rsidRDefault="00345F0A" w:rsidP="00F226AF">
            <w:pPr>
              <w:pStyle w:val="Paragraph"/>
              <w:numPr>
                <w:ilvl w:val="0"/>
                <w:numId w:val="0"/>
              </w:numPr>
              <w:spacing w:before="0" w:after="0"/>
              <w:jc w:val="center"/>
              <w:rPr>
                <w:rFonts w:ascii="Arial" w:hAnsi="Arial" w:cs="Arial"/>
                <w:kern w:val="28"/>
                <w:sz w:val="18"/>
                <w:szCs w:val="18"/>
              </w:rPr>
            </w:pPr>
            <w:r>
              <w:rPr>
                <w:rFonts w:ascii="Arial" w:hAnsi="Arial" w:cs="Arial"/>
                <w:kern w:val="28"/>
                <w:sz w:val="18"/>
                <w:szCs w:val="18"/>
              </w:rPr>
              <w:t>142.755</w:t>
            </w:r>
          </w:p>
        </w:tc>
      </w:tr>
    </w:tbl>
    <w:p w14:paraId="2674709D" w14:textId="77777777" w:rsidR="00345F0A" w:rsidRDefault="00345F0A" w:rsidP="00F226AF">
      <w:pPr>
        <w:pStyle w:val="Paragraph"/>
        <w:numPr>
          <w:ilvl w:val="0"/>
          <w:numId w:val="0"/>
        </w:numPr>
        <w:spacing w:before="0" w:after="0"/>
        <w:ind w:left="567"/>
        <w:rPr>
          <w:rFonts w:ascii="Arial" w:hAnsi="Arial" w:cs="Arial"/>
          <w:kern w:val="28"/>
          <w:sz w:val="22"/>
          <w:szCs w:val="22"/>
        </w:rPr>
      </w:pPr>
    </w:p>
    <w:p w14:paraId="51A85185" w14:textId="5C9F9842" w:rsidR="00345F0A" w:rsidRDefault="00345F0A" w:rsidP="00F226AF">
      <w:pPr>
        <w:pStyle w:val="Paragraph"/>
        <w:numPr>
          <w:ilvl w:val="1"/>
          <w:numId w:val="1"/>
        </w:numPr>
        <w:spacing w:before="0" w:after="0"/>
        <w:rPr>
          <w:rFonts w:ascii="Arial" w:hAnsi="Arial" w:cs="Arial"/>
          <w:kern w:val="28"/>
          <w:sz w:val="22"/>
          <w:szCs w:val="22"/>
        </w:rPr>
      </w:pPr>
      <w:r w:rsidRPr="00762862">
        <w:rPr>
          <w:rFonts w:ascii="Arial" w:hAnsi="Arial" w:cs="Arial"/>
          <w:kern w:val="28"/>
          <w:sz w:val="22"/>
          <w:szCs w:val="22"/>
        </w:rPr>
        <w:t>De este modo, resulta que los estudiantes beneficiarios efectivos corresponden a las dos primera</w:t>
      </w:r>
      <w:r>
        <w:rPr>
          <w:rFonts w:ascii="Arial" w:hAnsi="Arial" w:cs="Arial"/>
          <w:kern w:val="28"/>
          <w:sz w:val="22"/>
          <w:szCs w:val="22"/>
        </w:rPr>
        <w:t>s</w:t>
      </w:r>
      <w:r w:rsidRPr="00762862">
        <w:rPr>
          <w:rFonts w:ascii="Arial" w:hAnsi="Arial" w:cs="Arial"/>
          <w:kern w:val="28"/>
          <w:sz w:val="22"/>
          <w:szCs w:val="22"/>
        </w:rPr>
        <w:t xml:space="preserve"> filas del cuadro anterior y alcanzan a </w:t>
      </w:r>
      <w:r>
        <w:rPr>
          <w:rFonts w:ascii="Arial" w:hAnsi="Arial" w:cs="Arial"/>
          <w:kern w:val="28"/>
          <w:sz w:val="22"/>
          <w:szCs w:val="22"/>
        </w:rPr>
        <w:t xml:space="preserve">214.133 </w:t>
      </w:r>
      <w:r w:rsidRPr="00762862">
        <w:rPr>
          <w:rFonts w:ascii="Arial" w:hAnsi="Arial" w:cs="Arial"/>
          <w:kern w:val="28"/>
          <w:sz w:val="22"/>
          <w:szCs w:val="22"/>
        </w:rPr>
        <w:t>personas.</w:t>
      </w:r>
    </w:p>
    <w:p w14:paraId="71A0F3DD" w14:textId="4807F7A2" w:rsidR="00345F0A" w:rsidRDefault="00345F0A" w:rsidP="00F226AF">
      <w:pPr>
        <w:pStyle w:val="Paragraph"/>
        <w:numPr>
          <w:ilvl w:val="1"/>
          <w:numId w:val="1"/>
        </w:numPr>
        <w:spacing w:after="240"/>
        <w:ind w:left="562" w:hanging="562"/>
        <w:rPr>
          <w:rFonts w:ascii="Arial" w:hAnsi="Arial" w:cs="Arial"/>
          <w:kern w:val="28"/>
          <w:sz w:val="22"/>
          <w:szCs w:val="22"/>
        </w:rPr>
      </w:pPr>
      <w:r w:rsidRPr="00762862">
        <w:rPr>
          <w:rFonts w:ascii="Arial" w:hAnsi="Arial" w:cs="Arial"/>
          <w:kern w:val="28"/>
          <w:sz w:val="22"/>
          <w:szCs w:val="22"/>
        </w:rPr>
        <w:t>Tomando en consideración los años de entrada y re-calificación de los docentes, así como también el porcentaje (</w:t>
      </w:r>
      <w:r>
        <w:rPr>
          <w:rFonts w:ascii="Arial" w:hAnsi="Arial" w:cs="Arial"/>
          <w:kern w:val="28"/>
          <w:sz w:val="22"/>
          <w:szCs w:val="22"/>
        </w:rPr>
        <w:t>4</w:t>
      </w:r>
      <w:r w:rsidRPr="00762862">
        <w:rPr>
          <w:rFonts w:ascii="Arial" w:hAnsi="Arial" w:cs="Arial"/>
          <w:kern w:val="28"/>
          <w:sz w:val="22"/>
          <w:szCs w:val="22"/>
        </w:rPr>
        <w:t xml:space="preserve">0%) de reiteración inter-anual de los alumnos con un mismo docente, el desglose anual de los estudiantes </w:t>
      </w:r>
      <w:r>
        <w:rPr>
          <w:rFonts w:ascii="Arial" w:hAnsi="Arial" w:cs="Arial"/>
          <w:kern w:val="28"/>
          <w:sz w:val="22"/>
          <w:szCs w:val="22"/>
        </w:rPr>
        <w:t xml:space="preserve">según </w:t>
      </w:r>
      <w:r w:rsidRPr="00762862">
        <w:rPr>
          <w:rFonts w:ascii="Arial" w:hAnsi="Arial" w:cs="Arial"/>
          <w:kern w:val="28"/>
          <w:sz w:val="22"/>
          <w:szCs w:val="22"/>
        </w:rPr>
        <w:t>años de ingreso al mercado laboral de estudiantes con mayor nivel educativo es el que se muestra en el siguiente cuadro</w:t>
      </w:r>
      <w:r>
        <w:rPr>
          <w:rFonts w:ascii="Arial" w:hAnsi="Arial" w:cs="Arial"/>
          <w:kern w:val="28"/>
          <w:sz w:val="22"/>
          <w:szCs w:val="22"/>
        </w:rPr>
        <w:t>:</w:t>
      </w:r>
    </w:p>
    <w:p w14:paraId="7AF4BAF1" w14:textId="77777777" w:rsidR="00345F0A" w:rsidRPr="00345F0A" w:rsidRDefault="00345F0A" w:rsidP="00F226AF">
      <w:pPr>
        <w:pStyle w:val="ListParagraph"/>
        <w:ind w:left="360"/>
        <w:jc w:val="center"/>
        <w:rPr>
          <w:rFonts w:ascii="Arial" w:hAnsi="Arial" w:cs="Arial"/>
          <w:kern w:val="28"/>
          <w:sz w:val="18"/>
          <w:szCs w:val="18"/>
          <w:lang w:val="es-ES"/>
        </w:rPr>
      </w:pPr>
      <w:r w:rsidRPr="00345F0A">
        <w:rPr>
          <w:rFonts w:ascii="Arial" w:hAnsi="Arial" w:cs="Arial"/>
          <w:kern w:val="28"/>
          <w:sz w:val="18"/>
          <w:szCs w:val="18"/>
          <w:lang w:val="es-ES"/>
        </w:rPr>
        <w:t>Cuadro. Número de estudiantes beneficiados efectivos</w:t>
      </w:r>
    </w:p>
    <w:p w14:paraId="74B3D817" w14:textId="34CEEC91" w:rsidR="00345F0A" w:rsidRDefault="00345F0A" w:rsidP="00F226AF">
      <w:pPr>
        <w:pStyle w:val="ListParagraph"/>
        <w:ind w:left="360"/>
      </w:pPr>
      <w:r w:rsidRPr="002A23D2">
        <w:rPr>
          <w:noProof/>
        </w:rPr>
        <w:drawing>
          <wp:inline distT="0" distB="0" distL="0" distR="0" wp14:anchorId="01998824" wp14:editId="7A08814D">
            <wp:extent cx="5189220" cy="4229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92229" cy="423155"/>
                    </a:xfrm>
                    <a:prstGeom prst="rect">
                      <a:avLst/>
                    </a:prstGeom>
                    <a:noFill/>
                    <a:ln>
                      <a:noFill/>
                    </a:ln>
                  </pic:spPr>
                </pic:pic>
              </a:graphicData>
            </a:graphic>
          </wp:inline>
        </w:drawing>
      </w:r>
    </w:p>
    <w:p w14:paraId="36752B39" w14:textId="2A46E330" w:rsidR="00345F0A"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Para el cálculo del aumento de ingresos por adelantamiento del ingreso al mercado laboral con el mismo nivel de salario, se supuso que el efecto del ingreso adelantado se distribuye en volumen uniforme a lo largo de ocho años siguientes a la toma de contacto del estudiante con el docente de nuevo perfil</w:t>
      </w:r>
      <w:r>
        <w:rPr>
          <w:rFonts w:ascii="Arial" w:hAnsi="Arial" w:cs="Arial"/>
          <w:kern w:val="28"/>
          <w:sz w:val="22"/>
          <w:szCs w:val="22"/>
        </w:rPr>
        <w:t>.</w:t>
      </w:r>
    </w:p>
    <w:p w14:paraId="7C867AEE" w14:textId="0156467B"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Los </w:t>
      </w:r>
      <w:r>
        <w:rPr>
          <w:rFonts w:ascii="Arial" w:hAnsi="Arial" w:cs="Arial"/>
          <w:kern w:val="28"/>
          <w:sz w:val="22"/>
          <w:szCs w:val="22"/>
        </w:rPr>
        <w:t>42.827</w:t>
      </w:r>
      <w:r w:rsidRPr="00762862">
        <w:rPr>
          <w:rFonts w:ascii="Arial" w:hAnsi="Arial" w:cs="Arial"/>
          <w:kern w:val="28"/>
          <w:sz w:val="22"/>
          <w:szCs w:val="22"/>
        </w:rPr>
        <w:t xml:space="preserve"> estudiantes que adelantan su egreso del sistema educativo con el mismo nivel de escolaridad, generan un aumento del valor de sus ingresos,</w:t>
      </w:r>
      <w:r>
        <w:rPr>
          <w:rFonts w:ascii="Arial" w:hAnsi="Arial" w:cs="Arial"/>
          <w:kern w:val="28"/>
          <w:sz w:val="22"/>
          <w:szCs w:val="22"/>
        </w:rPr>
        <w:t xml:space="preserve"> en valor presente, igual a US$104 </w:t>
      </w:r>
      <w:r w:rsidRPr="00762862">
        <w:rPr>
          <w:rFonts w:ascii="Arial" w:hAnsi="Arial" w:cs="Arial"/>
          <w:kern w:val="28"/>
          <w:sz w:val="22"/>
          <w:szCs w:val="22"/>
        </w:rPr>
        <w:t>millones, equivalentes</w:t>
      </w:r>
      <w:r>
        <w:rPr>
          <w:rFonts w:ascii="Arial" w:hAnsi="Arial" w:cs="Arial"/>
          <w:kern w:val="28"/>
          <w:sz w:val="22"/>
          <w:szCs w:val="22"/>
        </w:rPr>
        <w:t xml:space="preserve"> a un beneficio promedio de US$</w:t>
      </w:r>
      <w:r w:rsidRPr="00762862">
        <w:rPr>
          <w:rFonts w:ascii="Arial" w:hAnsi="Arial" w:cs="Arial"/>
          <w:kern w:val="28"/>
          <w:sz w:val="22"/>
          <w:szCs w:val="22"/>
        </w:rPr>
        <w:t>2.</w:t>
      </w:r>
      <w:r>
        <w:rPr>
          <w:rFonts w:ascii="Arial" w:hAnsi="Arial" w:cs="Arial"/>
          <w:kern w:val="28"/>
          <w:sz w:val="22"/>
          <w:szCs w:val="22"/>
        </w:rPr>
        <w:t>430</w:t>
      </w:r>
      <w:r w:rsidRPr="00762862">
        <w:rPr>
          <w:rFonts w:ascii="Arial" w:hAnsi="Arial" w:cs="Arial"/>
          <w:kern w:val="28"/>
          <w:sz w:val="22"/>
          <w:szCs w:val="22"/>
        </w:rPr>
        <w:t xml:space="preserve"> por beneficiario. Este beneficio se ve engrosado por el ahorro de gastos corrientes por parte del sistema educativo atribuibles a los estudiantes que e</w:t>
      </w:r>
      <w:r>
        <w:rPr>
          <w:rFonts w:ascii="Arial" w:hAnsi="Arial" w:cs="Arial"/>
          <w:kern w:val="28"/>
          <w:sz w:val="22"/>
          <w:szCs w:val="22"/>
        </w:rPr>
        <w:t>gresan antes, equivalente a US$9,1</w:t>
      </w:r>
      <w:r w:rsidRPr="00762862">
        <w:rPr>
          <w:rFonts w:ascii="Arial" w:hAnsi="Arial" w:cs="Arial"/>
          <w:kern w:val="28"/>
          <w:sz w:val="22"/>
          <w:szCs w:val="22"/>
        </w:rPr>
        <w:t xml:space="preserve"> millones en valor presente (</w:t>
      </w:r>
      <w:r>
        <w:rPr>
          <w:rFonts w:ascii="Arial" w:hAnsi="Arial" w:cs="Arial"/>
          <w:kern w:val="28"/>
          <w:sz w:val="22"/>
          <w:szCs w:val="22"/>
        </w:rPr>
        <w:t>US$</w:t>
      </w:r>
      <w:r w:rsidRPr="00762862">
        <w:rPr>
          <w:rFonts w:ascii="Arial" w:hAnsi="Arial" w:cs="Arial"/>
          <w:kern w:val="28"/>
          <w:sz w:val="22"/>
          <w:szCs w:val="22"/>
        </w:rPr>
        <w:t>2</w:t>
      </w:r>
      <w:r>
        <w:rPr>
          <w:rFonts w:ascii="Arial" w:hAnsi="Arial" w:cs="Arial"/>
          <w:kern w:val="28"/>
          <w:sz w:val="22"/>
          <w:szCs w:val="22"/>
        </w:rPr>
        <w:t>12</w:t>
      </w:r>
      <w:r w:rsidR="00667E20">
        <w:rPr>
          <w:rFonts w:ascii="Arial" w:hAnsi="Arial" w:cs="Arial"/>
          <w:kern w:val="28"/>
          <w:sz w:val="22"/>
          <w:szCs w:val="22"/>
        </w:rPr>
        <w:t> </w:t>
      </w:r>
      <w:r w:rsidRPr="00762862">
        <w:rPr>
          <w:rFonts w:ascii="Arial" w:hAnsi="Arial" w:cs="Arial"/>
          <w:kern w:val="28"/>
          <w:sz w:val="22"/>
          <w:szCs w:val="22"/>
        </w:rPr>
        <w:t>dólares por persona en valor presente); totalizando así</w:t>
      </w:r>
      <w:r>
        <w:rPr>
          <w:rFonts w:ascii="Arial" w:hAnsi="Arial" w:cs="Arial"/>
          <w:kern w:val="28"/>
          <w:sz w:val="22"/>
          <w:szCs w:val="22"/>
        </w:rPr>
        <w:t xml:space="preserve"> un beneficio neto total, en valor presente, de US$113,1 </w:t>
      </w:r>
      <w:r w:rsidRPr="00762862">
        <w:rPr>
          <w:rFonts w:ascii="Arial" w:hAnsi="Arial" w:cs="Arial"/>
          <w:kern w:val="28"/>
          <w:sz w:val="22"/>
          <w:szCs w:val="22"/>
        </w:rPr>
        <w:t>millones</w:t>
      </w:r>
      <w:r>
        <w:rPr>
          <w:rFonts w:ascii="Arial" w:hAnsi="Arial" w:cs="Arial"/>
          <w:kern w:val="28"/>
          <w:sz w:val="22"/>
          <w:szCs w:val="22"/>
        </w:rPr>
        <w:t>.</w:t>
      </w:r>
    </w:p>
    <w:p w14:paraId="200EE437" w14:textId="0F6DFD43"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En relación con el segundo beneficio económico antes mencionado en el sector educación, relativo a los estudiantes que al mejorar sus desempeños egresan del sistema educativo con un mayor número de años de educación, a pesar que existen evidencias estadísticas de una significativa progresividad de los niveles de ingreso mensual según el nivel educativo alcanzado por el trabajador, se carece de estadísticas discriminadas para cada año de escolaridad. En virtud de ello, se optó por asumir un diferencial de ingresos extremadamente conservador para estimar este beneficio económico: se ha supuesto que los ingresos futuros de los actuales estudiantes se incrementan 5 puntos porcentuales por encima de la tasa de descuento por cada año adicional de escolaridad al egreso. Al aplicarse la tasa de descuento utilizada por el Banco de 12%, ello significa un diferencial a precios corrientes de 17%</w:t>
      </w:r>
      <w:r>
        <w:rPr>
          <w:rFonts w:ascii="Arial" w:hAnsi="Arial" w:cs="Arial"/>
          <w:kern w:val="28"/>
          <w:sz w:val="22"/>
          <w:szCs w:val="22"/>
        </w:rPr>
        <w:t>, entre el nivel de ingresos mensual de los estudiantes beneficiados por el proyecto, en las situaciones sin proyecto y con proyecto</w:t>
      </w:r>
      <w:r w:rsidRPr="00762862">
        <w:rPr>
          <w:rFonts w:ascii="Arial" w:hAnsi="Arial" w:cs="Arial"/>
          <w:kern w:val="28"/>
          <w:sz w:val="22"/>
          <w:szCs w:val="22"/>
        </w:rPr>
        <w:t xml:space="preserve">. </w:t>
      </w:r>
      <w:r>
        <w:rPr>
          <w:rFonts w:ascii="Arial" w:hAnsi="Arial" w:cs="Arial"/>
          <w:kern w:val="28"/>
          <w:sz w:val="22"/>
          <w:szCs w:val="22"/>
        </w:rPr>
        <w:t>Cabe consignar que, siguiendo un criterio conservador, a todos los estudiantes beneficiados con mayor escolaridad se les asigna un ingreso laboral 5% mayor que en la hipótesis sin proyecto, independientemente de que pudieran obtener uno o varios años de escolaridad adicional.</w:t>
      </w:r>
    </w:p>
    <w:p w14:paraId="0999A89E" w14:textId="1D6419FB"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Los cálculos de ingresos laborales se realizaron con base en el ingreso la</w:t>
      </w:r>
      <w:r>
        <w:rPr>
          <w:rFonts w:ascii="Arial" w:hAnsi="Arial" w:cs="Arial"/>
          <w:kern w:val="28"/>
          <w:sz w:val="22"/>
          <w:szCs w:val="22"/>
        </w:rPr>
        <w:t>boral medio nacional de US$325.</w:t>
      </w:r>
      <w:r w:rsidRPr="00762862">
        <w:rPr>
          <w:rFonts w:ascii="Arial" w:hAnsi="Arial" w:cs="Arial"/>
          <w:kern w:val="28"/>
          <w:sz w:val="22"/>
          <w:szCs w:val="22"/>
        </w:rPr>
        <w:t>08 mensual, vigente a Marzo de 2017 según estadísticas oficiales de Ecuador</w:t>
      </w:r>
      <w:r>
        <w:rPr>
          <w:rFonts w:ascii="Arial" w:hAnsi="Arial" w:cs="Arial"/>
          <w:kern w:val="28"/>
          <w:sz w:val="22"/>
          <w:szCs w:val="22"/>
        </w:rPr>
        <w:t>.</w:t>
      </w:r>
    </w:p>
    <w:p w14:paraId="24456942" w14:textId="24DE68A7"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Para simplicidad del modelo, y adoptando nuevamente un criterio altamente conservador, se asume que los estudiantes egresan un año después de lo que lo habrían hecho si no existiese el proyecto. Además, se ha supuesto que los estudiantes egresan gradualmente entre 2 y 7 años después que toman contacto con los docentes con nuevos perfiles</w:t>
      </w:r>
      <w:r>
        <w:rPr>
          <w:rFonts w:ascii="Arial" w:hAnsi="Arial" w:cs="Arial"/>
          <w:kern w:val="28"/>
          <w:sz w:val="22"/>
          <w:szCs w:val="22"/>
        </w:rPr>
        <w:t>.</w:t>
      </w:r>
    </w:p>
    <w:p w14:paraId="03619687" w14:textId="6861F061"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Los </w:t>
      </w:r>
      <w:r>
        <w:rPr>
          <w:rFonts w:ascii="Arial" w:hAnsi="Arial" w:cs="Arial"/>
          <w:kern w:val="28"/>
          <w:sz w:val="22"/>
          <w:szCs w:val="22"/>
        </w:rPr>
        <w:t xml:space="preserve">171.306 </w:t>
      </w:r>
      <w:r w:rsidRPr="00762862">
        <w:rPr>
          <w:rFonts w:ascii="Arial" w:hAnsi="Arial" w:cs="Arial"/>
          <w:kern w:val="28"/>
          <w:sz w:val="22"/>
          <w:szCs w:val="22"/>
        </w:rPr>
        <w:t xml:space="preserve">estudiantes que aumentan su escolaridad, generan un aumento de ingresos que en valor </w:t>
      </w:r>
      <w:r>
        <w:rPr>
          <w:rFonts w:ascii="Arial" w:hAnsi="Arial" w:cs="Arial"/>
          <w:kern w:val="28"/>
          <w:sz w:val="22"/>
          <w:szCs w:val="22"/>
        </w:rPr>
        <w:t>presente neto equivale a US$108,8 millones, equivalentes a US$</w:t>
      </w:r>
      <w:r w:rsidRPr="00762862">
        <w:rPr>
          <w:rFonts w:ascii="Arial" w:hAnsi="Arial" w:cs="Arial"/>
          <w:kern w:val="28"/>
          <w:sz w:val="22"/>
          <w:szCs w:val="22"/>
        </w:rPr>
        <w:t>6</w:t>
      </w:r>
      <w:r>
        <w:rPr>
          <w:rFonts w:ascii="Arial" w:hAnsi="Arial" w:cs="Arial"/>
          <w:kern w:val="28"/>
          <w:sz w:val="22"/>
          <w:szCs w:val="22"/>
        </w:rPr>
        <w:t>35</w:t>
      </w:r>
      <w:r w:rsidRPr="00762862">
        <w:rPr>
          <w:rFonts w:ascii="Arial" w:hAnsi="Arial" w:cs="Arial"/>
          <w:kern w:val="28"/>
          <w:sz w:val="22"/>
          <w:szCs w:val="22"/>
        </w:rPr>
        <w:t xml:space="preserve"> por persona en total</w:t>
      </w:r>
      <w:r>
        <w:rPr>
          <w:rFonts w:ascii="Arial" w:hAnsi="Arial" w:cs="Arial"/>
          <w:kern w:val="28"/>
          <w:sz w:val="22"/>
          <w:szCs w:val="22"/>
        </w:rPr>
        <w:t xml:space="preserve"> durante todo su ciclo de vida laboral activa</w:t>
      </w:r>
      <w:r w:rsidRPr="00762862">
        <w:rPr>
          <w:rFonts w:ascii="Arial" w:hAnsi="Arial" w:cs="Arial"/>
          <w:kern w:val="28"/>
          <w:sz w:val="22"/>
          <w:szCs w:val="22"/>
        </w:rPr>
        <w:t xml:space="preserve">. Este resultado </w:t>
      </w:r>
      <w:r>
        <w:rPr>
          <w:rFonts w:ascii="Arial" w:hAnsi="Arial" w:cs="Arial"/>
          <w:kern w:val="28"/>
          <w:sz w:val="22"/>
          <w:szCs w:val="22"/>
        </w:rPr>
        <w:t xml:space="preserve">de una ganancia </w:t>
      </w:r>
      <w:r w:rsidRPr="00762862">
        <w:rPr>
          <w:rFonts w:ascii="Arial" w:hAnsi="Arial" w:cs="Arial"/>
          <w:kern w:val="28"/>
          <w:sz w:val="22"/>
          <w:szCs w:val="22"/>
        </w:rPr>
        <w:t>relativamente modest</w:t>
      </w:r>
      <w:r>
        <w:rPr>
          <w:rFonts w:ascii="Arial" w:hAnsi="Arial" w:cs="Arial"/>
          <w:kern w:val="28"/>
          <w:sz w:val="22"/>
          <w:szCs w:val="22"/>
        </w:rPr>
        <w:t>a en términos unitarios</w:t>
      </w:r>
      <w:r w:rsidRPr="00762862">
        <w:rPr>
          <w:rFonts w:ascii="Arial" w:hAnsi="Arial" w:cs="Arial"/>
          <w:kern w:val="28"/>
          <w:sz w:val="22"/>
          <w:szCs w:val="22"/>
        </w:rPr>
        <w:t xml:space="preserve"> se debe fundamentalmente a</w:t>
      </w:r>
      <w:r>
        <w:rPr>
          <w:rFonts w:ascii="Arial" w:hAnsi="Arial" w:cs="Arial"/>
          <w:kern w:val="28"/>
          <w:sz w:val="22"/>
          <w:szCs w:val="22"/>
        </w:rPr>
        <w:t>l supuesto conservador realizado en cuanto a incidencia de la mayor educación</w:t>
      </w:r>
      <w:r w:rsidRPr="00762862">
        <w:rPr>
          <w:rFonts w:ascii="Arial" w:hAnsi="Arial" w:cs="Arial"/>
          <w:kern w:val="28"/>
          <w:sz w:val="22"/>
          <w:szCs w:val="22"/>
        </w:rPr>
        <w:t xml:space="preserve"> </w:t>
      </w:r>
      <w:r>
        <w:rPr>
          <w:rFonts w:ascii="Arial" w:hAnsi="Arial" w:cs="Arial"/>
          <w:kern w:val="28"/>
          <w:sz w:val="22"/>
          <w:szCs w:val="22"/>
        </w:rPr>
        <w:t xml:space="preserve">sobre el nivel salarial alcanzado, a </w:t>
      </w:r>
      <w:r w:rsidRPr="00762862">
        <w:rPr>
          <w:rFonts w:ascii="Arial" w:hAnsi="Arial" w:cs="Arial"/>
          <w:kern w:val="28"/>
          <w:sz w:val="22"/>
          <w:szCs w:val="22"/>
        </w:rPr>
        <w:t xml:space="preserve">la tasa de descuento relativamente elevada </w:t>
      </w:r>
      <w:r>
        <w:rPr>
          <w:rFonts w:ascii="Arial" w:hAnsi="Arial" w:cs="Arial"/>
          <w:kern w:val="28"/>
          <w:sz w:val="22"/>
          <w:szCs w:val="22"/>
        </w:rPr>
        <w:t xml:space="preserve">(12%) </w:t>
      </w:r>
      <w:r w:rsidRPr="00762862">
        <w:rPr>
          <w:rFonts w:ascii="Arial" w:hAnsi="Arial" w:cs="Arial"/>
          <w:kern w:val="28"/>
          <w:sz w:val="22"/>
          <w:szCs w:val="22"/>
        </w:rPr>
        <w:t>y al diferimiento en el tiempo de las ganancias, debido a que los estudiantes beneficiarios efectivos egresan gradualmente y con posterioridad a haber tenido la incidencia de las mejores prácticas educativas (entre 2 y 7 años</w:t>
      </w:r>
      <w:r>
        <w:rPr>
          <w:rFonts w:ascii="Arial" w:hAnsi="Arial" w:cs="Arial"/>
          <w:kern w:val="28"/>
          <w:sz w:val="22"/>
          <w:szCs w:val="22"/>
        </w:rPr>
        <w:t>).</w:t>
      </w:r>
    </w:p>
    <w:p w14:paraId="104FB433" w14:textId="1E9DFE79"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Además de lo anterior, la mayor permanencia de los estudiantes en el sistema educativo genera un efecto de aumento de los gastos operativos del sistema educativo, con un valor presente neto de US$</w:t>
      </w:r>
      <w:r>
        <w:rPr>
          <w:rFonts w:ascii="Arial" w:hAnsi="Arial" w:cs="Arial"/>
          <w:kern w:val="28"/>
          <w:sz w:val="22"/>
          <w:szCs w:val="22"/>
        </w:rPr>
        <w:t>33,7</w:t>
      </w:r>
      <w:r w:rsidRPr="00762862">
        <w:rPr>
          <w:rFonts w:ascii="Arial" w:hAnsi="Arial" w:cs="Arial"/>
          <w:kern w:val="28"/>
          <w:sz w:val="22"/>
          <w:szCs w:val="22"/>
        </w:rPr>
        <w:t xml:space="preserve"> millones, los cuales fueron descontados de los beneficios incrementales</w:t>
      </w:r>
      <w:r>
        <w:rPr>
          <w:rFonts w:ascii="Arial" w:hAnsi="Arial" w:cs="Arial"/>
          <w:kern w:val="28"/>
          <w:sz w:val="22"/>
          <w:szCs w:val="22"/>
        </w:rPr>
        <w:t>, generando por tanto un valor presente neto por beneficios derivados del mayor nivel educativo de US$</w:t>
      </w:r>
      <w:r w:rsidR="00667E20">
        <w:rPr>
          <w:rFonts w:ascii="Arial" w:hAnsi="Arial" w:cs="Arial"/>
          <w:kern w:val="28"/>
          <w:sz w:val="22"/>
          <w:szCs w:val="22"/>
        </w:rPr>
        <w:t> </w:t>
      </w:r>
      <w:r>
        <w:rPr>
          <w:rFonts w:ascii="Arial" w:hAnsi="Arial" w:cs="Arial"/>
          <w:kern w:val="28"/>
          <w:sz w:val="22"/>
          <w:szCs w:val="22"/>
        </w:rPr>
        <w:t>75,2</w:t>
      </w:r>
      <w:r w:rsidR="00667E20">
        <w:rPr>
          <w:rFonts w:ascii="Arial" w:hAnsi="Arial" w:cs="Arial"/>
          <w:kern w:val="28"/>
          <w:sz w:val="22"/>
          <w:szCs w:val="22"/>
        </w:rPr>
        <w:t> </w:t>
      </w:r>
      <w:r>
        <w:rPr>
          <w:rFonts w:ascii="Arial" w:hAnsi="Arial" w:cs="Arial"/>
          <w:kern w:val="28"/>
          <w:sz w:val="22"/>
          <w:szCs w:val="22"/>
        </w:rPr>
        <w:t>millones.</w:t>
      </w:r>
    </w:p>
    <w:p w14:paraId="176FF7CF" w14:textId="77777777" w:rsidR="00172FC9" w:rsidRPr="00172FC9" w:rsidRDefault="00172FC9" w:rsidP="00F226AF">
      <w:pPr>
        <w:pStyle w:val="ListParagraph"/>
        <w:spacing w:after="0" w:line="240" w:lineRule="auto"/>
        <w:ind w:left="360"/>
        <w:rPr>
          <w:rFonts w:ascii="Arial" w:hAnsi="Arial" w:cs="Arial"/>
          <w:kern w:val="28"/>
          <w:sz w:val="24"/>
          <w:szCs w:val="24"/>
          <w:u w:val="single"/>
          <w:lang w:val="es-UY"/>
        </w:rPr>
      </w:pPr>
      <w:r w:rsidRPr="00172FC9">
        <w:rPr>
          <w:rFonts w:ascii="Arial" w:hAnsi="Arial" w:cs="Arial"/>
          <w:kern w:val="28"/>
          <w:sz w:val="24"/>
          <w:szCs w:val="24"/>
          <w:u w:val="single"/>
          <w:lang w:val="es-UY"/>
        </w:rPr>
        <w:t>Beneficio 2: Ganancias y ahorros en el Sector Salud</w:t>
      </w:r>
    </w:p>
    <w:p w14:paraId="155095AC" w14:textId="6821916B"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En forma similar a lo ocurrido en los beneficios para el sector educación, los beneficios del proyecto se percibirán diseminados en todo el sistema ya que los nuevos funcionarios a ser contratados con los recursos de presupuesto corriente liberados merced a las desvinculaciones financiadas por el Proyecto, serán asignados a distintos centros de la red primaria de salud y sistema de medicina familiar, en consonancia con las prioridades del Modelo de Atención Integral en Salud (MAIS) en aplicación</w:t>
      </w:r>
      <w:r>
        <w:rPr>
          <w:rFonts w:ascii="Arial" w:hAnsi="Arial" w:cs="Arial"/>
          <w:kern w:val="28"/>
          <w:sz w:val="22"/>
          <w:szCs w:val="22"/>
        </w:rPr>
        <w:t>.</w:t>
      </w:r>
    </w:p>
    <w:p w14:paraId="582D3FB6" w14:textId="653B6E8D"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Los recursos humanos que se reemplazarán con apoyo del proyecto, ascienden a </w:t>
      </w:r>
      <w:r>
        <w:rPr>
          <w:rFonts w:ascii="Arial" w:hAnsi="Arial" w:cs="Arial"/>
          <w:kern w:val="28"/>
          <w:sz w:val="22"/>
          <w:szCs w:val="22"/>
        </w:rPr>
        <w:t>9</w:t>
      </w:r>
      <w:r w:rsidRPr="00762862">
        <w:rPr>
          <w:rFonts w:ascii="Arial" w:hAnsi="Arial" w:cs="Arial"/>
          <w:kern w:val="28"/>
          <w:sz w:val="22"/>
          <w:szCs w:val="22"/>
        </w:rPr>
        <w:t>3</w:t>
      </w:r>
      <w:r>
        <w:rPr>
          <w:rFonts w:ascii="Arial" w:hAnsi="Arial" w:cs="Arial"/>
          <w:kern w:val="28"/>
          <w:sz w:val="22"/>
          <w:szCs w:val="22"/>
        </w:rPr>
        <w:t>1</w:t>
      </w:r>
      <w:r w:rsidRPr="00762862">
        <w:rPr>
          <w:rFonts w:ascii="Arial" w:hAnsi="Arial" w:cs="Arial"/>
          <w:kern w:val="28"/>
          <w:sz w:val="22"/>
          <w:szCs w:val="22"/>
        </w:rPr>
        <w:t xml:space="preserve">. Ello involucra una variedad de situaciones, incluyendo, entre otros, el reemplazo de perfiles que no se adecuan a las necesidades del nuevo modelo y que no serían reconvertibles por diversas razones. Los </w:t>
      </w:r>
      <w:r>
        <w:rPr>
          <w:rFonts w:ascii="Arial" w:hAnsi="Arial" w:cs="Arial"/>
          <w:kern w:val="28"/>
          <w:sz w:val="22"/>
          <w:szCs w:val="22"/>
        </w:rPr>
        <w:t>9</w:t>
      </w:r>
      <w:r w:rsidRPr="00762862">
        <w:rPr>
          <w:rFonts w:ascii="Arial" w:hAnsi="Arial" w:cs="Arial"/>
          <w:kern w:val="28"/>
          <w:sz w:val="22"/>
          <w:szCs w:val="22"/>
        </w:rPr>
        <w:t>3</w:t>
      </w:r>
      <w:r>
        <w:rPr>
          <w:rFonts w:ascii="Arial" w:hAnsi="Arial" w:cs="Arial"/>
          <w:kern w:val="28"/>
          <w:sz w:val="22"/>
          <w:szCs w:val="22"/>
        </w:rPr>
        <w:t>1</w:t>
      </w:r>
      <w:r w:rsidRPr="00762862">
        <w:rPr>
          <w:rFonts w:ascii="Arial" w:hAnsi="Arial" w:cs="Arial"/>
          <w:kern w:val="28"/>
          <w:sz w:val="22"/>
          <w:szCs w:val="22"/>
        </w:rPr>
        <w:t xml:space="preserve"> nuevos funcionarios a ser contratados representan el </w:t>
      </w:r>
      <w:r>
        <w:rPr>
          <w:rFonts w:ascii="Arial" w:hAnsi="Arial" w:cs="Arial"/>
          <w:kern w:val="28"/>
          <w:sz w:val="22"/>
          <w:szCs w:val="22"/>
        </w:rPr>
        <w:t>2</w:t>
      </w:r>
      <w:r w:rsidRPr="00762862">
        <w:rPr>
          <w:rFonts w:ascii="Arial" w:hAnsi="Arial" w:cs="Arial"/>
          <w:kern w:val="28"/>
          <w:sz w:val="22"/>
          <w:szCs w:val="22"/>
        </w:rPr>
        <w:t>% de los 46.305 médicos y enfermeros totales del sistema de salud. En el sistema de salud ecuatoriano existe, en promedio, un miembro del staff (m</w:t>
      </w:r>
      <w:r>
        <w:rPr>
          <w:rFonts w:ascii="Arial" w:hAnsi="Arial" w:cs="Arial"/>
          <w:kern w:val="28"/>
          <w:sz w:val="22"/>
          <w:szCs w:val="22"/>
        </w:rPr>
        <w:t>édico o enfermero) por cada 351,</w:t>
      </w:r>
      <w:r w:rsidRPr="00762862">
        <w:rPr>
          <w:rFonts w:ascii="Arial" w:hAnsi="Arial" w:cs="Arial"/>
          <w:kern w:val="28"/>
          <w:sz w:val="22"/>
          <w:szCs w:val="22"/>
        </w:rPr>
        <w:t>6</w:t>
      </w:r>
      <w:r>
        <w:rPr>
          <w:rFonts w:ascii="Arial" w:hAnsi="Arial" w:cs="Arial"/>
          <w:kern w:val="28"/>
          <w:sz w:val="22"/>
          <w:szCs w:val="22"/>
        </w:rPr>
        <w:t> </w:t>
      </w:r>
      <w:r w:rsidRPr="00762862">
        <w:rPr>
          <w:rFonts w:ascii="Arial" w:hAnsi="Arial" w:cs="Arial"/>
          <w:kern w:val="28"/>
          <w:sz w:val="22"/>
          <w:szCs w:val="22"/>
        </w:rPr>
        <w:t>habitantes (de un total de población de 16.268.844 personas, fuente Proyección INEC 2015). Por otra parte, las consultas de primer nivel ascienden a 31.338.740 por año</w:t>
      </w:r>
      <w:r>
        <w:rPr>
          <w:rFonts w:ascii="Arial" w:hAnsi="Arial" w:cs="Arial"/>
          <w:kern w:val="28"/>
          <w:sz w:val="22"/>
          <w:szCs w:val="22"/>
        </w:rPr>
        <w:t xml:space="preserve"> (base 2015), que representan 1.</w:t>
      </w:r>
      <w:r w:rsidRPr="00762862">
        <w:rPr>
          <w:rFonts w:ascii="Arial" w:hAnsi="Arial" w:cs="Arial"/>
          <w:kern w:val="28"/>
          <w:sz w:val="22"/>
          <w:szCs w:val="22"/>
        </w:rPr>
        <w:t>925 consultas promedio anuales por habitante en el primer nivel de atención. De estas consultas, 13.036.882 son de carácter preventivo, representando 0</w:t>
      </w:r>
      <w:r>
        <w:rPr>
          <w:rFonts w:ascii="Arial" w:hAnsi="Arial" w:cs="Arial"/>
          <w:kern w:val="28"/>
          <w:sz w:val="22"/>
          <w:szCs w:val="22"/>
        </w:rPr>
        <w:t>,</w:t>
      </w:r>
      <w:r w:rsidRPr="00762862">
        <w:rPr>
          <w:rFonts w:ascii="Arial" w:hAnsi="Arial" w:cs="Arial"/>
          <w:kern w:val="28"/>
          <w:sz w:val="22"/>
          <w:szCs w:val="22"/>
        </w:rPr>
        <w:t>80 consultas preventivas por habitante por año en promedio</w:t>
      </w:r>
      <w:r>
        <w:rPr>
          <w:rFonts w:ascii="Arial" w:hAnsi="Arial" w:cs="Arial"/>
          <w:kern w:val="28"/>
          <w:sz w:val="22"/>
          <w:szCs w:val="22"/>
        </w:rPr>
        <w:t>.</w:t>
      </w:r>
    </w:p>
    <w:p w14:paraId="340D018C" w14:textId="41B4107C"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Considerando la relación promedio entre habitantes y personal de salud, se extrae que en conjunto, los </w:t>
      </w:r>
      <w:r>
        <w:rPr>
          <w:rFonts w:ascii="Arial" w:hAnsi="Arial" w:cs="Arial"/>
          <w:kern w:val="28"/>
          <w:sz w:val="22"/>
          <w:szCs w:val="22"/>
        </w:rPr>
        <w:t>9</w:t>
      </w:r>
      <w:r w:rsidRPr="00762862">
        <w:rPr>
          <w:rFonts w:ascii="Arial" w:hAnsi="Arial" w:cs="Arial"/>
          <w:kern w:val="28"/>
          <w:sz w:val="22"/>
          <w:szCs w:val="22"/>
        </w:rPr>
        <w:t>3</w:t>
      </w:r>
      <w:r>
        <w:rPr>
          <w:rFonts w:ascii="Arial" w:hAnsi="Arial" w:cs="Arial"/>
          <w:kern w:val="28"/>
          <w:sz w:val="22"/>
          <w:szCs w:val="22"/>
        </w:rPr>
        <w:t>1</w:t>
      </w:r>
      <w:r w:rsidRPr="00762862">
        <w:rPr>
          <w:rFonts w:ascii="Arial" w:hAnsi="Arial" w:cs="Arial"/>
          <w:kern w:val="28"/>
          <w:sz w:val="22"/>
          <w:szCs w:val="22"/>
        </w:rPr>
        <w:t xml:space="preserve"> nuevos funcionarios de la salud tendrán una población de referencia de </w:t>
      </w:r>
      <w:r>
        <w:rPr>
          <w:rFonts w:ascii="Arial" w:hAnsi="Arial" w:cs="Arial"/>
          <w:kern w:val="28"/>
          <w:sz w:val="22"/>
          <w:szCs w:val="22"/>
        </w:rPr>
        <w:t>3</w:t>
      </w:r>
      <w:r w:rsidRPr="00762862">
        <w:rPr>
          <w:rFonts w:ascii="Arial" w:hAnsi="Arial" w:cs="Arial"/>
          <w:kern w:val="28"/>
          <w:sz w:val="22"/>
          <w:szCs w:val="22"/>
        </w:rPr>
        <w:t>2</w:t>
      </w:r>
      <w:r>
        <w:rPr>
          <w:rFonts w:ascii="Arial" w:hAnsi="Arial" w:cs="Arial"/>
          <w:kern w:val="28"/>
          <w:sz w:val="22"/>
          <w:szCs w:val="22"/>
        </w:rPr>
        <w:t>7</w:t>
      </w:r>
      <w:r w:rsidRPr="00762862">
        <w:rPr>
          <w:rFonts w:ascii="Arial" w:hAnsi="Arial" w:cs="Arial"/>
          <w:kern w:val="28"/>
          <w:sz w:val="22"/>
          <w:szCs w:val="22"/>
        </w:rPr>
        <w:t>.</w:t>
      </w:r>
      <w:r>
        <w:rPr>
          <w:rFonts w:ascii="Arial" w:hAnsi="Arial" w:cs="Arial"/>
          <w:kern w:val="28"/>
          <w:sz w:val="22"/>
          <w:szCs w:val="22"/>
        </w:rPr>
        <w:t>300</w:t>
      </w:r>
      <w:r w:rsidRPr="00762862">
        <w:rPr>
          <w:rFonts w:ascii="Arial" w:hAnsi="Arial" w:cs="Arial"/>
          <w:kern w:val="28"/>
          <w:sz w:val="22"/>
          <w:szCs w:val="22"/>
        </w:rPr>
        <w:t xml:space="preserve"> personas</w:t>
      </w:r>
      <w:r>
        <w:rPr>
          <w:rFonts w:ascii="Arial" w:hAnsi="Arial" w:cs="Arial"/>
          <w:kern w:val="28"/>
          <w:sz w:val="22"/>
          <w:szCs w:val="22"/>
        </w:rPr>
        <w:t>.</w:t>
      </w:r>
    </w:p>
    <w:p w14:paraId="33E94B53" w14:textId="50A0C3E2"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De acuerdo con estimaciones de Años de Vida Ajustados por Discapacidad para Ecuador realizados por la Organización Mundial de la Salud (OMS, 2004, última medición disponibles), las afecciones más frecuentes y con cierto nivel de incidencia en el Primer Nivel de Atención representan en Ecuador 6.547 años de vida saludable perdidos por cada 100.000 habitantes, según el detalle que se muestra en el siguiente Cuadro</w:t>
      </w:r>
      <w:r>
        <w:rPr>
          <w:rFonts w:ascii="Arial" w:hAnsi="Arial" w:cs="Arial"/>
          <w:kern w:val="28"/>
          <w:sz w:val="22"/>
          <w:szCs w:val="22"/>
        </w:rPr>
        <w:t>:</w:t>
      </w:r>
    </w:p>
    <w:p w14:paraId="4287923D" w14:textId="361BB07C" w:rsidR="00172FC9" w:rsidRDefault="00172FC9" w:rsidP="00F226AF">
      <w:pPr>
        <w:pStyle w:val="Paragraph"/>
        <w:numPr>
          <w:ilvl w:val="0"/>
          <w:numId w:val="0"/>
        </w:numPr>
        <w:ind w:left="567"/>
        <w:rPr>
          <w:rFonts w:ascii="Arial" w:hAnsi="Arial" w:cs="Arial"/>
          <w:kern w:val="28"/>
          <w:sz w:val="22"/>
          <w:szCs w:val="22"/>
        </w:rPr>
      </w:pPr>
      <w:r w:rsidRPr="00172FC9">
        <w:rPr>
          <w:noProof/>
        </w:rPr>
        <w:drawing>
          <wp:inline distT="0" distB="0" distL="0" distR="0" wp14:anchorId="581EFE0C" wp14:editId="7DB9A541">
            <wp:extent cx="4794250" cy="254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369" cy="2543743"/>
                    </a:xfrm>
                    <a:prstGeom prst="rect">
                      <a:avLst/>
                    </a:prstGeom>
                    <a:noFill/>
                    <a:ln>
                      <a:noFill/>
                    </a:ln>
                  </pic:spPr>
                </pic:pic>
              </a:graphicData>
            </a:graphic>
          </wp:inline>
        </w:drawing>
      </w:r>
    </w:p>
    <w:p w14:paraId="5A4C7037" w14:textId="77777777" w:rsidR="00172FC9" w:rsidRPr="00762862" w:rsidRDefault="00172FC9" w:rsidP="00172FC9">
      <w:pPr>
        <w:pStyle w:val="Paragraph"/>
        <w:numPr>
          <w:ilvl w:val="0"/>
          <w:numId w:val="0"/>
        </w:numPr>
        <w:ind w:left="1620"/>
        <w:rPr>
          <w:rFonts w:ascii="Arial" w:hAnsi="Arial" w:cs="Arial"/>
          <w:kern w:val="28"/>
          <w:sz w:val="18"/>
          <w:szCs w:val="18"/>
        </w:rPr>
      </w:pPr>
      <w:r w:rsidRPr="00762862">
        <w:rPr>
          <w:rFonts w:ascii="Arial" w:hAnsi="Arial" w:cs="Arial"/>
          <w:kern w:val="28"/>
          <w:sz w:val="18"/>
          <w:szCs w:val="18"/>
        </w:rPr>
        <w:t>Fuente: OMS, 2004</w:t>
      </w:r>
    </w:p>
    <w:p w14:paraId="7A02987C" w14:textId="77777777" w:rsidR="00172FC9" w:rsidRDefault="00172FC9" w:rsidP="00F226AF">
      <w:pPr>
        <w:pStyle w:val="Paragraph"/>
        <w:numPr>
          <w:ilvl w:val="0"/>
          <w:numId w:val="0"/>
        </w:numPr>
        <w:ind w:left="567"/>
        <w:rPr>
          <w:rFonts w:ascii="Arial" w:hAnsi="Arial" w:cs="Arial"/>
          <w:kern w:val="28"/>
          <w:sz w:val="22"/>
          <w:szCs w:val="22"/>
        </w:rPr>
      </w:pPr>
    </w:p>
    <w:p w14:paraId="2114CD10" w14:textId="0E92D719"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Tomando en cuenta la población beneficiaria potencial de los servicios de salud primaria alineados con el MAIS que brindarán los nuevos funcionarios (</w:t>
      </w:r>
      <w:r>
        <w:rPr>
          <w:rFonts w:ascii="Arial" w:hAnsi="Arial" w:cs="Arial"/>
          <w:kern w:val="28"/>
          <w:sz w:val="22"/>
          <w:szCs w:val="22"/>
        </w:rPr>
        <w:t>327.300</w:t>
      </w:r>
      <w:r w:rsidRPr="00762862">
        <w:rPr>
          <w:rFonts w:ascii="Arial" w:hAnsi="Arial" w:cs="Arial"/>
          <w:kern w:val="28"/>
          <w:sz w:val="22"/>
          <w:szCs w:val="22"/>
        </w:rPr>
        <w:t xml:space="preserve"> personas) y los AVADs estimados por la OMS para las afecciones más propensas a ser atendidas en la red primaria de salud</w:t>
      </w:r>
      <w:r>
        <w:rPr>
          <w:rFonts w:ascii="Arial" w:hAnsi="Arial" w:cs="Arial"/>
          <w:kern w:val="28"/>
          <w:sz w:val="22"/>
          <w:szCs w:val="22"/>
        </w:rPr>
        <w:t xml:space="preserve"> (6.547 AVADs por cada 100.000 habitantes)</w:t>
      </w:r>
      <w:r w:rsidRPr="00762862">
        <w:rPr>
          <w:rFonts w:ascii="Arial" w:hAnsi="Arial" w:cs="Arial"/>
          <w:kern w:val="28"/>
          <w:sz w:val="22"/>
          <w:szCs w:val="22"/>
        </w:rPr>
        <w:t xml:space="preserve">, resulta que dicha población beneficiaria responde por </w:t>
      </w:r>
      <w:r>
        <w:rPr>
          <w:rFonts w:ascii="Arial" w:hAnsi="Arial" w:cs="Arial"/>
          <w:kern w:val="28"/>
          <w:sz w:val="22"/>
          <w:szCs w:val="22"/>
        </w:rPr>
        <w:t>21.428 </w:t>
      </w:r>
      <w:r w:rsidRPr="00762862">
        <w:rPr>
          <w:rFonts w:ascii="Arial" w:hAnsi="Arial" w:cs="Arial"/>
          <w:kern w:val="28"/>
          <w:sz w:val="22"/>
          <w:szCs w:val="22"/>
        </w:rPr>
        <w:t>AVADs relacionados con las enfermedades enumeradas en el cuadro anterior</w:t>
      </w:r>
      <w:r>
        <w:rPr>
          <w:rFonts w:ascii="Arial" w:hAnsi="Arial" w:cs="Arial"/>
          <w:kern w:val="28"/>
          <w:sz w:val="22"/>
          <w:szCs w:val="22"/>
        </w:rPr>
        <w:t>.</w:t>
      </w:r>
    </w:p>
    <w:p w14:paraId="325284F1" w14:textId="5C91292A" w:rsidR="00172FC9" w:rsidRDefault="00172FC9"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 xml:space="preserve">No disponiéndose de un contrafáctico o proyecto alternativo de salud a fin de construir el con y sin proyecto, se optó por asumir que en una cierta proporción esta población de referencia se verá </w:t>
      </w:r>
      <w:r>
        <w:rPr>
          <w:rFonts w:ascii="Arial" w:hAnsi="Arial" w:cs="Arial"/>
          <w:kern w:val="28"/>
          <w:sz w:val="22"/>
          <w:szCs w:val="22"/>
        </w:rPr>
        <w:t>favorecida</w:t>
      </w:r>
      <w:r w:rsidRPr="00762862">
        <w:rPr>
          <w:rFonts w:ascii="Arial" w:hAnsi="Arial" w:cs="Arial"/>
          <w:kern w:val="28"/>
          <w:sz w:val="22"/>
          <w:szCs w:val="22"/>
        </w:rPr>
        <w:t xml:space="preserve"> con un acceso a atención primaria de salud que, por distintos factores, no tenía accesible en el pasado. Si se considera que una parte de los nuevos funcionarios vienen a reemplazar perfiles que han sido discontinuados y que no tienen una productividad en el marco del nuevo modelo, la hipótesis de un contrafáctico nulo deja de ser irrelevante. El supuesto de trabajo ha sido asignar un 80% del valor económico de los AVAD atribuibles a la población beneficiaria a los méritos del proyecto</w:t>
      </w:r>
      <w:r>
        <w:rPr>
          <w:rFonts w:ascii="Arial" w:hAnsi="Arial" w:cs="Arial"/>
          <w:kern w:val="28"/>
          <w:sz w:val="22"/>
          <w:szCs w:val="22"/>
        </w:rPr>
        <w:t>.</w:t>
      </w:r>
    </w:p>
    <w:p w14:paraId="47E50620" w14:textId="020781BF" w:rsidR="00172FC9" w:rsidRDefault="00172FC9" w:rsidP="00F226AF">
      <w:pPr>
        <w:pStyle w:val="Paragraph"/>
        <w:numPr>
          <w:ilvl w:val="1"/>
          <w:numId w:val="1"/>
        </w:numPr>
        <w:spacing w:after="0"/>
        <w:ind w:left="562" w:hanging="562"/>
        <w:rPr>
          <w:rFonts w:ascii="Arial" w:hAnsi="Arial" w:cs="Arial"/>
          <w:kern w:val="28"/>
          <w:sz w:val="22"/>
          <w:szCs w:val="22"/>
        </w:rPr>
      </w:pPr>
      <w:r w:rsidRPr="00762862">
        <w:rPr>
          <w:rFonts w:ascii="Arial" w:hAnsi="Arial" w:cs="Arial"/>
          <w:kern w:val="28"/>
          <w:sz w:val="22"/>
          <w:szCs w:val="22"/>
        </w:rPr>
        <w:t>El valor económico de los AVAD fue estimado utilizando el ingreso l</w:t>
      </w:r>
      <w:r>
        <w:rPr>
          <w:rFonts w:ascii="Arial" w:hAnsi="Arial" w:cs="Arial"/>
          <w:kern w:val="28"/>
          <w:sz w:val="22"/>
          <w:szCs w:val="22"/>
        </w:rPr>
        <w:t>aboral medio nacional de US$325,</w:t>
      </w:r>
      <w:r w:rsidRPr="00762862">
        <w:rPr>
          <w:rFonts w:ascii="Arial" w:hAnsi="Arial" w:cs="Arial"/>
          <w:kern w:val="28"/>
          <w:sz w:val="22"/>
          <w:szCs w:val="22"/>
        </w:rPr>
        <w:t>08 por</w:t>
      </w:r>
      <w:r>
        <w:rPr>
          <w:rFonts w:ascii="Arial" w:hAnsi="Arial" w:cs="Arial"/>
          <w:kern w:val="28"/>
          <w:sz w:val="22"/>
          <w:szCs w:val="22"/>
        </w:rPr>
        <w:t xml:space="preserve"> mes, arrojando un valor de US$</w:t>
      </w:r>
      <w:r w:rsidRPr="00762862">
        <w:rPr>
          <w:rFonts w:ascii="Arial" w:hAnsi="Arial" w:cs="Arial"/>
          <w:kern w:val="28"/>
          <w:sz w:val="22"/>
          <w:szCs w:val="22"/>
        </w:rPr>
        <w:t>77</w:t>
      </w:r>
      <w:r>
        <w:rPr>
          <w:rFonts w:ascii="Arial" w:hAnsi="Arial" w:cs="Arial"/>
          <w:kern w:val="28"/>
          <w:sz w:val="22"/>
          <w:szCs w:val="22"/>
        </w:rPr>
        <w:t>,</w:t>
      </w:r>
      <w:r w:rsidRPr="00762862">
        <w:rPr>
          <w:rFonts w:ascii="Arial" w:hAnsi="Arial" w:cs="Arial"/>
          <w:kern w:val="28"/>
          <w:sz w:val="22"/>
          <w:szCs w:val="22"/>
        </w:rPr>
        <w:t xml:space="preserve">8 millones para la totalidad de AVAD de los beneficiarios potenciales del proyecto (población de referencia de </w:t>
      </w:r>
      <w:r>
        <w:rPr>
          <w:rFonts w:ascii="Arial" w:hAnsi="Arial" w:cs="Arial"/>
          <w:kern w:val="28"/>
          <w:sz w:val="22"/>
          <w:szCs w:val="22"/>
        </w:rPr>
        <w:t>327.300</w:t>
      </w:r>
      <w:r w:rsidRPr="00762862">
        <w:rPr>
          <w:rFonts w:ascii="Arial" w:hAnsi="Arial" w:cs="Arial"/>
          <w:kern w:val="28"/>
          <w:sz w:val="22"/>
          <w:szCs w:val="22"/>
        </w:rPr>
        <w:t xml:space="preserve"> personas antes mencionadas), en relación únicamente con las enfermedades con incidencia relevante en la atención primaria de la salud. En virtud que se le asigna al personal de salud provisto por el proyecto, un 80% de contribución a los AVAD ganados, el beneficio económico bruto del proyecto en este sector alcanza a </w:t>
      </w:r>
      <w:r>
        <w:rPr>
          <w:rFonts w:ascii="Arial" w:hAnsi="Arial" w:cs="Arial"/>
          <w:kern w:val="28"/>
          <w:sz w:val="22"/>
          <w:szCs w:val="22"/>
        </w:rPr>
        <w:t>US$69,7</w:t>
      </w:r>
      <w:r w:rsidRPr="00762862">
        <w:rPr>
          <w:rFonts w:ascii="Arial" w:hAnsi="Arial" w:cs="Arial"/>
          <w:kern w:val="28"/>
          <w:sz w:val="22"/>
          <w:szCs w:val="22"/>
        </w:rPr>
        <w:t xml:space="preserve"> millones</w:t>
      </w:r>
      <w:r>
        <w:rPr>
          <w:rFonts w:ascii="Arial" w:hAnsi="Arial" w:cs="Arial"/>
          <w:kern w:val="28"/>
          <w:sz w:val="22"/>
          <w:szCs w:val="22"/>
        </w:rPr>
        <w:t>.</w:t>
      </w:r>
    </w:p>
    <w:p w14:paraId="705FC0E8" w14:textId="24788562" w:rsidR="0027235C" w:rsidRDefault="0027235C" w:rsidP="00762862">
      <w:pPr>
        <w:pStyle w:val="Paragraph"/>
        <w:numPr>
          <w:ilvl w:val="0"/>
          <w:numId w:val="0"/>
        </w:numPr>
        <w:spacing w:before="0" w:after="0"/>
        <w:ind w:left="1282"/>
        <w:rPr>
          <w:rFonts w:ascii="Arial" w:hAnsi="Arial" w:cs="Arial"/>
          <w:kern w:val="28"/>
        </w:rPr>
      </w:pPr>
    </w:p>
    <w:p w14:paraId="3EA1D93E" w14:textId="6729A58A" w:rsidR="0027235C" w:rsidRPr="00762862" w:rsidRDefault="00172FC9" w:rsidP="00F226AF">
      <w:pPr>
        <w:pStyle w:val="Paragraph"/>
        <w:numPr>
          <w:ilvl w:val="0"/>
          <w:numId w:val="1"/>
        </w:numPr>
        <w:spacing w:before="0" w:after="0"/>
        <w:rPr>
          <w:rFonts w:ascii="Arial" w:hAnsi="Arial" w:cs="Arial"/>
          <w:b/>
          <w:kern w:val="28"/>
        </w:rPr>
      </w:pPr>
      <w:r>
        <w:rPr>
          <w:rFonts w:ascii="Arial" w:hAnsi="Arial" w:cs="Arial"/>
          <w:b/>
          <w:kern w:val="28"/>
        </w:rPr>
        <w:t xml:space="preserve">Resultado de la </w:t>
      </w:r>
      <w:r w:rsidR="0027235C" w:rsidRPr="00762862">
        <w:rPr>
          <w:rFonts w:ascii="Arial" w:hAnsi="Arial" w:cs="Arial"/>
          <w:b/>
          <w:kern w:val="28"/>
        </w:rPr>
        <w:t>Evaluación económica del Proyec</w:t>
      </w:r>
      <w:r>
        <w:rPr>
          <w:rFonts w:ascii="Arial" w:hAnsi="Arial" w:cs="Arial"/>
          <w:b/>
          <w:kern w:val="28"/>
        </w:rPr>
        <w:t>to</w:t>
      </w:r>
    </w:p>
    <w:p w14:paraId="668636D4" w14:textId="3735B246" w:rsidR="00BF107C" w:rsidRPr="00762862" w:rsidRDefault="008E3E9D" w:rsidP="00F226AF">
      <w:pPr>
        <w:pStyle w:val="Paragraph"/>
        <w:numPr>
          <w:ilvl w:val="1"/>
          <w:numId w:val="22"/>
        </w:numPr>
        <w:spacing w:after="0"/>
        <w:ind w:left="634" w:hanging="634"/>
        <w:rPr>
          <w:rFonts w:ascii="Arial" w:hAnsi="Arial" w:cs="Arial"/>
          <w:kern w:val="28"/>
          <w:sz w:val="22"/>
          <w:szCs w:val="22"/>
        </w:rPr>
      </w:pPr>
      <w:r>
        <w:rPr>
          <w:rFonts w:ascii="Arial" w:hAnsi="Arial" w:cs="Arial"/>
          <w:kern w:val="28"/>
          <w:sz w:val="22"/>
          <w:szCs w:val="22"/>
        </w:rPr>
        <w:t>E</w:t>
      </w:r>
      <w:r w:rsidR="0027235C" w:rsidRPr="00762862">
        <w:rPr>
          <w:rFonts w:ascii="Arial" w:hAnsi="Arial" w:cs="Arial"/>
          <w:kern w:val="28"/>
          <w:sz w:val="22"/>
          <w:szCs w:val="22"/>
        </w:rPr>
        <w:t>l proyecto genera ben</w:t>
      </w:r>
      <w:r w:rsidR="00C26BB6" w:rsidRPr="00762862">
        <w:rPr>
          <w:rFonts w:ascii="Arial" w:hAnsi="Arial" w:cs="Arial"/>
          <w:kern w:val="28"/>
          <w:sz w:val="22"/>
          <w:szCs w:val="22"/>
        </w:rPr>
        <w:t>eficios expresado</w:t>
      </w:r>
      <w:r w:rsidR="009E0A2F">
        <w:rPr>
          <w:rFonts w:ascii="Arial" w:hAnsi="Arial" w:cs="Arial"/>
          <w:kern w:val="28"/>
          <w:sz w:val="22"/>
          <w:szCs w:val="22"/>
        </w:rPr>
        <w:t>s</w:t>
      </w:r>
      <w:r w:rsidR="00C26BB6" w:rsidRPr="00762862">
        <w:rPr>
          <w:rFonts w:ascii="Arial" w:hAnsi="Arial" w:cs="Arial"/>
          <w:kern w:val="28"/>
          <w:sz w:val="22"/>
          <w:szCs w:val="22"/>
        </w:rPr>
        <w:t xml:space="preserve"> en valor</w:t>
      </w:r>
      <w:r w:rsidR="000B3134">
        <w:rPr>
          <w:rFonts w:ascii="Arial" w:hAnsi="Arial" w:cs="Arial"/>
          <w:kern w:val="28"/>
          <w:sz w:val="22"/>
          <w:szCs w:val="22"/>
        </w:rPr>
        <w:t xml:space="preserve"> pr</w:t>
      </w:r>
      <w:r w:rsidR="00893969">
        <w:rPr>
          <w:rFonts w:ascii="Arial" w:hAnsi="Arial" w:cs="Arial"/>
          <w:kern w:val="28"/>
          <w:sz w:val="22"/>
          <w:szCs w:val="22"/>
        </w:rPr>
        <w:t>esente neto por valor de US$</w:t>
      </w:r>
      <w:r>
        <w:rPr>
          <w:rFonts w:ascii="Arial" w:hAnsi="Arial" w:cs="Arial"/>
          <w:kern w:val="28"/>
          <w:sz w:val="22"/>
          <w:szCs w:val="22"/>
        </w:rPr>
        <w:t>2</w:t>
      </w:r>
      <w:r w:rsidR="001F3B37">
        <w:rPr>
          <w:rFonts w:ascii="Arial" w:hAnsi="Arial" w:cs="Arial"/>
          <w:kern w:val="28"/>
          <w:sz w:val="22"/>
          <w:szCs w:val="22"/>
        </w:rPr>
        <w:t>58</w:t>
      </w:r>
      <w:r w:rsidRPr="00762862">
        <w:rPr>
          <w:rFonts w:ascii="Arial" w:hAnsi="Arial" w:cs="Arial"/>
          <w:kern w:val="28"/>
          <w:sz w:val="22"/>
          <w:szCs w:val="22"/>
        </w:rPr>
        <w:t xml:space="preserve"> </w:t>
      </w:r>
      <w:r w:rsidR="00C26BB6" w:rsidRPr="00762862">
        <w:rPr>
          <w:rFonts w:ascii="Arial" w:hAnsi="Arial" w:cs="Arial"/>
          <w:kern w:val="28"/>
          <w:sz w:val="22"/>
          <w:szCs w:val="22"/>
        </w:rPr>
        <w:t>millones, e incurre en costo</w:t>
      </w:r>
      <w:r w:rsidR="000B3134">
        <w:rPr>
          <w:rFonts w:ascii="Arial" w:hAnsi="Arial" w:cs="Arial"/>
          <w:kern w:val="28"/>
          <w:sz w:val="22"/>
          <w:szCs w:val="22"/>
        </w:rPr>
        <w:t>s por valor presente de US$</w:t>
      </w:r>
      <w:r>
        <w:rPr>
          <w:rFonts w:ascii="Arial" w:hAnsi="Arial" w:cs="Arial"/>
          <w:kern w:val="28"/>
          <w:sz w:val="22"/>
          <w:szCs w:val="22"/>
        </w:rPr>
        <w:t>2</w:t>
      </w:r>
      <w:r w:rsidR="005A0C9F">
        <w:rPr>
          <w:rFonts w:ascii="Arial" w:hAnsi="Arial" w:cs="Arial"/>
          <w:kern w:val="28"/>
          <w:sz w:val="22"/>
          <w:szCs w:val="22"/>
        </w:rPr>
        <w:t>20</w:t>
      </w:r>
      <w:r>
        <w:rPr>
          <w:rFonts w:ascii="Arial" w:hAnsi="Arial" w:cs="Arial"/>
          <w:kern w:val="28"/>
          <w:sz w:val="22"/>
          <w:szCs w:val="22"/>
        </w:rPr>
        <w:t>,</w:t>
      </w:r>
      <w:r w:rsidR="005A0C9F">
        <w:rPr>
          <w:rFonts w:ascii="Arial" w:hAnsi="Arial" w:cs="Arial"/>
          <w:kern w:val="28"/>
          <w:sz w:val="22"/>
          <w:szCs w:val="22"/>
        </w:rPr>
        <w:t>7</w:t>
      </w:r>
      <w:r>
        <w:rPr>
          <w:rFonts w:ascii="Arial" w:hAnsi="Arial" w:cs="Arial"/>
          <w:kern w:val="28"/>
          <w:sz w:val="22"/>
          <w:szCs w:val="22"/>
        </w:rPr>
        <w:t xml:space="preserve"> (para un costo total del proyecto de US$2</w:t>
      </w:r>
      <w:r w:rsidR="009E0A2F">
        <w:rPr>
          <w:rFonts w:ascii="Arial" w:hAnsi="Arial" w:cs="Arial"/>
          <w:kern w:val="28"/>
          <w:sz w:val="22"/>
          <w:szCs w:val="22"/>
        </w:rPr>
        <w:t>47,0</w:t>
      </w:r>
      <w:r w:rsidR="00C26BB6" w:rsidRPr="00762862">
        <w:rPr>
          <w:rFonts w:ascii="Arial" w:hAnsi="Arial" w:cs="Arial"/>
          <w:kern w:val="28"/>
          <w:sz w:val="22"/>
          <w:szCs w:val="22"/>
        </w:rPr>
        <w:t xml:space="preserve"> millones</w:t>
      </w:r>
      <w:r>
        <w:rPr>
          <w:rFonts w:ascii="Arial" w:hAnsi="Arial" w:cs="Arial"/>
          <w:kern w:val="28"/>
          <w:sz w:val="22"/>
          <w:szCs w:val="22"/>
        </w:rPr>
        <w:t xml:space="preserve"> en dólares corrientes)</w:t>
      </w:r>
      <w:r w:rsidR="00C26BB6" w:rsidRPr="00762862">
        <w:rPr>
          <w:rFonts w:ascii="Arial" w:hAnsi="Arial" w:cs="Arial"/>
          <w:kern w:val="28"/>
          <w:sz w:val="22"/>
          <w:szCs w:val="22"/>
        </w:rPr>
        <w:t xml:space="preserve">. Por lo tanto, </w:t>
      </w:r>
      <w:r>
        <w:rPr>
          <w:rFonts w:ascii="Arial" w:hAnsi="Arial" w:cs="Arial"/>
          <w:kern w:val="28"/>
          <w:sz w:val="22"/>
          <w:szCs w:val="22"/>
        </w:rPr>
        <w:t>el</w:t>
      </w:r>
      <w:r w:rsidR="00C26BB6" w:rsidRPr="00762862">
        <w:rPr>
          <w:rFonts w:ascii="Arial" w:hAnsi="Arial" w:cs="Arial"/>
          <w:kern w:val="28"/>
          <w:sz w:val="22"/>
          <w:szCs w:val="22"/>
        </w:rPr>
        <w:t xml:space="preserve"> Valor Act</w:t>
      </w:r>
      <w:r w:rsidR="000B3134">
        <w:rPr>
          <w:rFonts w:ascii="Arial" w:hAnsi="Arial" w:cs="Arial"/>
          <w:kern w:val="28"/>
          <w:sz w:val="22"/>
          <w:szCs w:val="22"/>
        </w:rPr>
        <w:t>u</w:t>
      </w:r>
      <w:r w:rsidR="00D87FD2">
        <w:rPr>
          <w:rFonts w:ascii="Arial" w:hAnsi="Arial" w:cs="Arial"/>
          <w:kern w:val="28"/>
          <w:sz w:val="22"/>
          <w:szCs w:val="22"/>
        </w:rPr>
        <w:t xml:space="preserve">al Neto </w:t>
      </w:r>
      <w:r>
        <w:rPr>
          <w:rFonts w:ascii="Arial" w:hAnsi="Arial" w:cs="Arial"/>
          <w:kern w:val="28"/>
          <w:sz w:val="22"/>
          <w:szCs w:val="22"/>
        </w:rPr>
        <w:t>del proyecto</w:t>
      </w:r>
      <w:r w:rsidR="00D87FD2">
        <w:rPr>
          <w:rFonts w:ascii="Arial" w:hAnsi="Arial" w:cs="Arial"/>
          <w:kern w:val="28"/>
          <w:sz w:val="22"/>
          <w:szCs w:val="22"/>
        </w:rPr>
        <w:t xml:space="preserve"> (a</w:t>
      </w:r>
      <w:r>
        <w:rPr>
          <w:rFonts w:ascii="Arial" w:hAnsi="Arial" w:cs="Arial"/>
          <w:kern w:val="28"/>
          <w:sz w:val="22"/>
          <w:szCs w:val="22"/>
        </w:rPr>
        <w:t xml:space="preserve"> una tasa de descuento de</w:t>
      </w:r>
      <w:r w:rsidR="00D87FD2">
        <w:rPr>
          <w:rFonts w:ascii="Arial" w:hAnsi="Arial" w:cs="Arial"/>
          <w:kern w:val="28"/>
          <w:sz w:val="22"/>
          <w:szCs w:val="22"/>
        </w:rPr>
        <w:t xml:space="preserve"> 12%) </w:t>
      </w:r>
      <w:r>
        <w:rPr>
          <w:rFonts w:ascii="Arial" w:hAnsi="Arial" w:cs="Arial"/>
          <w:kern w:val="28"/>
          <w:sz w:val="22"/>
          <w:szCs w:val="22"/>
        </w:rPr>
        <w:t>ascien</w:t>
      </w:r>
      <w:r w:rsidR="00D87FD2">
        <w:rPr>
          <w:rFonts w:ascii="Arial" w:hAnsi="Arial" w:cs="Arial"/>
          <w:kern w:val="28"/>
          <w:sz w:val="22"/>
          <w:szCs w:val="22"/>
        </w:rPr>
        <w:t xml:space="preserve">de </w:t>
      </w:r>
      <w:r>
        <w:rPr>
          <w:rFonts w:ascii="Arial" w:hAnsi="Arial" w:cs="Arial"/>
          <w:kern w:val="28"/>
          <w:sz w:val="22"/>
          <w:szCs w:val="22"/>
        </w:rPr>
        <w:t xml:space="preserve">a </w:t>
      </w:r>
      <w:r w:rsidR="00D87FD2">
        <w:rPr>
          <w:rFonts w:ascii="Arial" w:hAnsi="Arial" w:cs="Arial"/>
          <w:kern w:val="28"/>
          <w:sz w:val="22"/>
          <w:szCs w:val="22"/>
        </w:rPr>
        <w:t>US$</w:t>
      </w:r>
      <w:r w:rsidR="00140DCD">
        <w:rPr>
          <w:rFonts w:ascii="Arial" w:hAnsi="Arial" w:cs="Arial"/>
          <w:kern w:val="28"/>
          <w:sz w:val="22"/>
          <w:szCs w:val="22"/>
        </w:rPr>
        <w:t>37,3</w:t>
      </w:r>
      <w:r w:rsidR="00C26BB6" w:rsidRPr="00762862">
        <w:rPr>
          <w:rFonts w:ascii="Arial" w:hAnsi="Arial" w:cs="Arial"/>
          <w:kern w:val="28"/>
          <w:sz w:val="22"/>
          <w:szCs w:val="22"/>
        </w:rPr>
        <w:t xml:space="preserve"> millones</w:t>
      </w:r>
      <w:r w:rsidR="00D87FD2">
        <w:rPr>
          <w:rFonts w:ascii="Arial" w:hAnsi="Arial" w:cs="Arial"/>
          <w:kern w:val="28"/>
          <w:sz w:val="22"/>
          <w:szCs w:val="22"/>
        </w:rPr>
        <w:t xml:space="preserve"> </w:t>
      </w:r>
      <w:r w:rsidR="00C26BB6" w:rsidRPr="00762862">
        <w:rPr>
          <w:rFonts w:ascii="Arial" w:hAnsi="Arial" w:cs="Arial"/>
          <w:kern w:val="28"/>
          <w:sz w:val="22"/>
          <w:szCs w:val="22"/>
        </w:rPr>
        <w:t xml:space="preserve">y </w:t>
      </w:r>
      <w:r>
        <w:rPr>
          <w:rFonts w:ascii="Arial" w:hAnsi="Arial" w:cs="Arial"/>
          <w:kern w:val="28"/>
          <w:sz w:val="22"/>
          <w:szCs w:val="22"/>
        </w:rPr>
        <w:t>l</w:t>
      </w:r>
      <w:r w:rsidR="00C26BB6" w:rsidRPr="00762862">
        <w:rPr>
          <w:rFonts w:ascii="Arial" w:hAnsi="Arial" w:cs="Arial"/>
          <w:kern w:val="28"/>
          <w:sz w:val="22"/>
          <w:szCs w:val="22"/>
        </w:rPr>
        <w:t xml:space="preserve">a Razón </w:t>
      </w:r>
      <w:r w:rsidR="00893969">
        <w:rPr>
          <w:rFonts w:ascii="Arial" w:hAnsi="Arial" w:cs="Arial"/>
          <w:kern w:val="28"/>
          <w:sz w:val="22"/>
          <w:szCs w:val="22"/>
        </w:rPr>
        <w:t xml:space="preserve">Beneficio-Costo </w:t>
      </w:r>
      <w:r>
        <w:rPr>
          <w:rFonts w:ascii="Arial" w:hAnsi="Arial" w:cs="Arial"/>
          <w:kern w:val="28"/>
          <w:sz w:val="22"/>
          <w:szCs w:val="22"/>
        </w:rPr>
        <w:t xml:space="preserve">resultante es </w:t>
      </w:r>
      <w:r w:rsidR="00893969">
        <w:rPr>
          <w:rFonts w:ascii="Arial" w:hAnsi="Arial" w:cs="Arial"/>
          <w:kern w:val="28"/>
          <w:sz w:val="22"/>
          <w:szCs w:val="22"/>
        </w:rPr>
        <w:t>de 1,</w:t>
      </w:r>
      <w:r w:rsidR="001F3B37">
        <w:rPr>
          <w:rFonts w:ascii="Arial" w:hAnsi="Arial" w:cs="Arial"/>
          <w:kern w:val="28"/>
          <w:sz w:val="22"/>
          <w:szCs w:val="22"/>
        </w:rPr>
        <w:t>1</w:t>
      </w:r>
      <w:r w:rsidR="00140DCD">
        <w:rPr>
          <w:rFonts w:ascii="Arial" w:hAnsi="Arial" w:cs="Arial"/>
          <w:kern w:val="28"/>
          <w:sz w:val="22"/>
          <w:szCs w:val="22"/>
        </w:rPr>
        <w:t>7</w:t>
      </w:r>
      <w:r w:rsidR="00C26BB6" w:rsidRPr="00762862">
        <w:rPr>
          <w:rFonts w:ascii="Arial" w:hAnsi="Arial" w:cs="Arial"/>
          <w:kern w:val="28"/>
          <w:sz w:val="22"/>
          <w:szCs w:val="22"/>
        </w:rPr>
        <w:t>.</w:t>
      </w:r>
    </w:p>
    <w:p w14:paraId="74220F85" w14:textId="77777777" w:rsidR="00C26BB6" w:rsidRDefault="00C26BB6" w:rsidP="00F226AF">
      <w:pPr>
        <w:pStyle w:val="Paragraph"/>
        <w:numPr>
          <w:ilvl w:val="0"/>
          <w:numId w:val="0"/>
        </w:numPr>
        <w:spacing w:before="0" w:after="0"/>
        <w:ind w:left="1282"/>
        <w:rPr>
          <w:rFonts w:ascii="Arial" w:hAnsi="Arial" w:cs="Arial"/>
          <w:kern w:val="28"/>
        </w:rPr>
      </w:pPr>
    </w:p>
    <w:p w14:paraId="5F2AEC3B" w14:textId="1074AA0A" w:rsidR="00C26BB6" w:rsidRPr="00762862" w:rsidRDefault="00C26BB6" w:rsidP="00F226AF">
      <w:pPr>
        <w:pStyle w:val="Paragraph"/>
        <w:numPr>
          <w:ilvl w:val="0"/>
          <w:numId w:val="1"/>
        </w:numPr>
        <w:spacing w:before="0"/>
        <w:rPr>
          <w:rFonts w:ascii="Arial" w:hAnsi="Arial" w:cs="Arial"/>
          <w:b/>
          <w:kern w:val="28"/>
        </w:rPr>
      </w:pPr>
      <w:r w:rsidRPr="00762862">
        <w:rPr>
          <w:rFonts w:ascii="Arial" w:hAnsi="Arial" w:cs="Arial"/>
          <w:b/>
          <w:kern w:val="28"/>
        </w:rPr>
        <w:t>Análisis de Sensibilidad</w:t>
      </w:r>
    </w:p>
    <w:p w14:paraId="76FF6E86" w14:textId="3BB833CE" w:rsidR="00C26BB6" w:rsidRDefault="004714BA" w:rsidP="00F226AF">
      <w:pPr>
        <w:pStyle w:val="Paragraph"/>
        <w:numPr>
          <w:ilvl w:val="1"/>
          <w:numId w:val="1"/>
        </w:numPr>
        <w:rPr>
          <w:rFonts w:ascii="Arial" w:hAnsi="Arial" w:cs="Arial"/>
          <w:kern w:val="28"/>
          <w:sz w:val="22"/>
          <w:szCs w:val="22"/>
        </w:rPr>
      </w:pPr>
      <w:r w:rsidRPr="00762862">
        <w:rPr>
          <w:rFonts w:ascii="Arial" w:hAnsi="Arial" w:cs="Arial"/>
          <w:kern w:val="28"/>
          <w:sz w:val="22"/>
          <w:szCs w:val="22"/>
        </w:rPr>
        <w:t>Se i</w:t>
      </w:r>
      <w:r w:rsidR="001837D2" w:rsidRPr="00762862">
        <w:rPr>
          <w:rFonts w:ascii="Arial" w:hAnsi="Arial" w:cs="Arial"/>
          <w:kern w:val="28"/>
          <w:sz w:val="22"/>
          <w:szCs w:val="22"/>
        </w:rPr>
        <w:t xml:space="preserve">dentificaron tres variables claves para los resultados económicos del proyecto: (i) el porcentaje de estudiantes beneficiarios efectivos en el sector educación </w:t>
      </w:r>
      <w:r w:rsidRPr="00762862">
        <w:rPr>
          <w:rFonts w:ascii="Arial" w:hAnsi="Arial" w:cs="Arial"/>
          <w:kern w:val="28"/>
          <w:sz w:val="22"/>
          <w:szCs w:val="22"/>
        </w:rPr>
        <w:t>como porcentaje de los beneficiarios potenciales totales; (ii) el porcentaje de aumento del ingreso laboral mensual como consecuencia del aumento del nivel educativo; y (iii) el porcentaje de atribución al proyecto de los AVAD ganados para las enfermedades seleccionadas.</w:t>
      </w:r>
    </w:p>
    <w:p w14:paraId="494B0906" w14:textId="5C40F40B" w:rsidR="00CE2F3A" w:rsidRDefault="004714BA" w:rsidP="00F226AF">
      <w:pPr>
        <w:pStyle w:val="Paragraph"/>
        <w:numPr>
          <w:ilvl w:val="1"/>
          <w:numId w:val="1"/>
        </w:numPr>
        <w:rPr>
          <w:rFonts w:ascii="Arial" w:hAnsi="Arial" w:cs="Arial"/>
          <w:kern w:val="28"/>
          <w:sz w:val="22"/>
          <w:szCs w:val="22"/>
        </w:rPr>
      </w:pPr>
      <w:r w:rsidRPr="00172FC9">
        <w:rPr>
          <w:rFonts w:ascii="Arial" w:hAnsi="Arial" w:cs="Arial"/>
          <w:kern w:val="28"/>
          <w:sz w:val="22"/>
          <w:szCs w:val="22"/>
        </w:rPr>
        <w:t xml:space="preserve">Reducción del ratio de éxito del proyecto en términos de mejor desempeño de los estudiantes. En el Escenario Base, se supuso con criterio conservador que un </w:t>
      </w:r>
      <w:r w:rsidR="001F3B37" w:rsidRPr="00172FC9">
        <w:rPr>
          <w:rFonts w:ascii="Arial" w:hAnsi="Arial" w:cs="Arial"/>
          <w:kern w:val="28"/>
          <w:sz w:val="22"/>
          <w:szCs w:val="22"/>
        </w:rPr>
        <w:t>60</w:t>
      </w:r>
      <w:r w:rsidRPr="00172FC9">
        <w:rPr>
          <w:rFonts w:ascii="Arial" w:hAnsi="Arial" w:cs="Arial"/>
          <w:kern w:val="28"/>
          <w:sz w:val="22"/>
          <w:szCs w:val="22"/>
        </w:rPr>
        <w:t>% de los estudiantes que toman clases con los docentes con nuevos perfiles, mejorarán o bien su nivel de educación al egreso (4</w:t>
      </w:r>
      <w:r w:rsidR="001F3B37" w:rsidRPr="00172FC9">
        <w:rPr>
          <w:rFonts w:ascii="Arial" w:hAnsi="Arial" w:cs="Arial"/>
          <w:kern w:val="28"/>
          <w:sz w:val="22"/>
          <w:szCs w:val="22"/>
        </w:rPr>
        <w:t>8</w:t>
      </w:r>
      <w:r w:rsidRPr="00172FC9">
        <w:rPr>
          <w:rFonts w:ascii="Arial" w:hAnsi="Arial" w:cs="Arial"/>
          <w:kern w:val="28"/>
          <w:sz w:val="22"/>
          <w:szCs w:val="22"/>
        </w:rPr>
        <w:t>%) o bien su nivel de repetición (1</w:t>
      </w:r>
      <w:r w:rsidR="001F3B37" w:rsidRPr="00172FC9">
        <w:rPr>
          <w:rFonts w:ascii="Arial" w:hAnsi="Arial" w:cs="Arial"/>
          <w:kern w:val="28"/>
          <w:sz w:val="22"/>
          <w:szCs w:val="22"/>
        </w:rPr>
        <w:t>2</w:t>
      </w:r>
      <w:r w:rsidRPr="00172FC9">
        <w:rPr>
          <w:rFonts w:ascii="Arial" w:hAnsi="Arial" w:cs="Arial"/>
          <w:kern w:val="28"/>
          <w:sz w:val="22"/>
          <w:szCs w:val="22"/>
        </w:rPr>
        <w:t xml:space="preserve">%). Para los efectos de sensibilizar el análisis ante esta variable relevante, se asumió que el ratio de éxito en la modificación de las conductas se reduce </w:t>
      </w:r>
      <w:r w:rsidR="00140DCD" w:rsidRPr="00172FC9">
        <w:rPr>
          <w:rFonts w:ascii="Arial" w:hAnsi="Arial" w:cs="Arial"/>
          <w:kern w:val="28"/>
          <w:sz w:val="22"/>
          <w:szCs w:val="22"/>
        </w:rPr>
        <w:t xml:space="preserve">del 60% al 50%, desglosado en </w:t>
      </w:r>
      <w:r w:rsidR="001F3B37" w:rsidRPr="00172FC9">
        <w:rPr>
          <w:rFonts w:ascii="Arial" w:hAnsi="Arial" w:cs="Arial"/>
          <w:kern w:val="28"/>
          <w:sz w:val="22"/>
          <w:szCs w:val="22"/>
        </w:rPr>
        <w:t xml:space="preserve">40% </w:t>
      </w:r>
      <w:r w:rsidRPr="00172FC9">
        <w:rPr>
          <w:rFonts w:ascii="Arial" w:hAnsi="Arial" w:cs="Arial"/>
          <w:kern w:val="28"/>
          <w:sz w:val="22"/>
          <w:szCs w:val="22"/>
        </w:rPr>
        <w:t xml:space="preserve">para los que mejoran su nivel educativo al egreso del sistema escolar y </w:t>
      </w:r>
      <w:r w:rsidR="001F3B37" w:rsidRPr="00172FC9">
        <w:rPr>
          <w:rFonts w:ascii="Arial" w:hAnsi="Arial" w:cs="Arial"/>
          <w:kern w:val="28"/>
          <w:sz w:val="22"/>
          <w:szCs w:val="22"/>
        </w:rPr>
        <w:t>a 10</w:t>
      </w:r>
      <w:r w:rsidRPr="00172FC9">
        <w:rPr>
          <w:rFonts w:ascii="Arial" w:hAnsi="Arial" w:cs="Arial"/>
          <w:kern w:val="28"/>
          <w:sz w:val="22"/>
          <w:szCs w:val="22"/>
        </w:rPr>
        <w:t>% para los que egresan antes con el mismo nivel educativo por reducción de la repetición. Ante esta sensibilización</w:t>
      </w:r>
      <w:r w:rsidR="00D87FD2" w:rsidRPr="00172FC9">
        <w:rPr>
          <w:rFonts w:ascii="Arial" w:hAnsi="Arial" w:cs="Arial"/>
          <w:kern w:val="28"/>
          <w:sz w:val="22"/>
          <w:szCs w:val="22"/>
        </w:rPr>
        <w:t>, el VAN del proyecto es US$</w:t>
      </w:r>
      <w:r w:rsidR="00140DCD" w:rsidRPr="00172FC9">
        <w:rPr>
          <w:rFonts w:ascii="Arial" w:hAnsi="Arial" w:cs="Arial"/>
          <w:kern w:val="28"/>
          <w:sz w:val="22"/>
          <w:szCs w:val="22"/>
        </w:rPr>
        <w:t>5,</w:t>
      </w:r>
      <w:r w:rsidR="001F3B37" w:rsidRPr="00172FC9">
        <w:rPr>
          <w:rFonts w:ascii="Arial" w:hAnsi="Arial" w:cs="Arial"/>
          <w:kern w:val="28"/>
          <w:sz w:val="22"/>
          <w:szCs w:val="22"/>
        </w:rPr>
        <w:t>9</w:t>
      </w:r>
      <w:r w:rsidR="00D87FD2" w:rsidRPr="00172FC9">
        <w:rPr>
          <w:rFonts w:ascii="Arial" w:hAnsi="Arial" w:cs="Arial"/>
          <w:kern w:val="28"/>
          <w:sz w:val="22"/>
          <w:szCs w:val="22"/>
        </w:rPr>
        <w:t xml:space="preserve"> millones </w:t>
      </w:r>
      <w:r w:rsidR="00893969" w:rsidRPr="00172FC9">
        <w:rPr>
          <w:rFonts w:ascii="Arial" w:hAnsi="Arial" w:cs="Arial"/>
          <w:kern w:val="28"/>
          <w:sz w:val="22"/>
          <w:szCs w:val="22"/>
        </w:rPr>
        <w:t xml:space="preserve">y la Razón B-C </w:t>
      </w:r>
      <w:r w:rsidR="00EA600D">
        <w:rPr>
          <w:rFonts w:ascii="Arial" w:hAnsi="Arial" w:cs="Arial"/>
          <w:kern w:val="28"/>
          <w:sz w:val="22"/>
          <w:szCs w:val="22"/>
        </w:rPr>
        <w:t xml:space="preserve">es </w:t>
      </w:r>
      <w:r w:rsidR="00893969" w:rsidRPr="00172FC9">
        <w:rPr>
          <w:rFonts w:ascii="Arial" w:hAnsi="Arial" w:cs="Arial"/>
          <w:kern w:val="28"/>
          <w:sz w:val="22"/>
          <w:szCs w:val="22"/>
        </w:rPr>
        <w:t>1,0</w:t>
      </w:r>
      <w:r w:rsidR="00140DCD" w:rsidRPr="00172FC9">
        <w:rPr>
          <w:rFonts w:ascii="Arial" w:hAnsi="Arial" w:cs="Arial"/>
          <w:kern w:val="28"/>
          <w:sz w:val="22"/>
          <w:szCs w:val="22"/>
        </w:rPr>
        <w:t>3</w:t>
      </w:r>
      <w:r w:rsidRPr="00172FC9">
        <w:rPr>
          <w:rFonts w:ascii="Arial" w:hAnsi="Arial" w:cs="Arial"/>
          <w:kern w:val="28"/>
          <w:sz w:val="22"/>
          <w:szCs w:val="22"/>
        </w:rPr>
        <w:t>.</w:t>
      </w:r>
    </w:p>
    <w:p w14:paraId="36D6D0AE" w14:textId="7A7F1A05" w:rsidR="004714BA" w:rsidRDefault="004714BA" w:rsidP="00F226AF">
      <w:pPr>
        <w:pStyle w:val="Paragraph"/>
        <w:numPr>
          <w:ilvl w:val="1"/>
          <w:numId w:val="1"/>
        </w:numPr>
        <w:rPr>
          <w:rFonts w:ascii="Arial" w:hAnsi="Arial" w:cs="Arial"/>
          <w:kern w:val="28"/>
          <w:sz w:val="22"/>
          <w:szCs w:val="22"/>
        </w:rPr>
      </w:pPr>
      <w:r w:rsidRPr="00172FC9">
        <w:rPr>
          <w:rFonts w:ascii="Arial" w:hAnsi="Arial" w:cs="Arial"/>
          <w:kern w:val="28"/>
          <w:sz w:val="22"/>
          <w:szCs w:val="22"/>
        </w:rPr>
        <w:t>Reducción del porcentaje de aumento del ingreso laboral atribuible a un aumento en el nivel educativo</w:t>
      </w:r>
      <w:r w:rsidR="003379D8" w:rsidRPr="00172FC9">
        <w:rPr>
          <w:rFonts w:ascii="Arial" w:hAnsi="Arial" w:cs="Arial"/>
          <w:kern w:val="28"/>
          <w:sz w:val="22"/>
          <w:szCs w:val="22"/>
        </w:rPr>
        <w:t>. En el Escenario Base se asumió que el salario aumenta 5 puntos porcentuales por encima de la tasa de descuento, es decir 17%, por concepto de un año más de escolaridad al momento del egreso del sistema educativo. Si ese aumento resulta deprimido y alcanza un nivel de solo 3</w:t>
      </w:r>
      <w:r w:rsidR="001F3B37" w:rsidRPr="00172FC9">
        <w:rPr>
          <w:rFonts w:ascii="Arial" w:hAnsi="Arial" w:cs="Arial"/>
          <w:kern w:val="28"/>
          <w:sz w:val="22"/>
          <w:szCs w:val="22"/>
        </w:rPr>
        <w:t>,</w:t>
      </w:r>
      <w:r w:rsidR="00D87FD2" w:rsidRPr="00172FC9">
        <w:rPr>
          <w:rFonts w:ascii="Arial" w:hAnsi="Arial" w:cs="Arial"/>
          <w:kern w:val="28"/>
          <w:sz w:val="22"/>
          <w:szCs w:val="22"/>
        </w:rPr>
        <w:t>5</w:t>
      </w:r>
      <w:r w:rsidR="003379D8" w:rsidRPr="00172FC9">
        <w:rPr>
          <w:rFonts w:ascii="Arial" w:hAnsi="Arial" w:cs="Arial"/>
          <w:kern w:val="28"/>
          <w:sz w:val="22"/>
          <w:szCs w:val="22"/>
        </w:rPr>
        <w:t xml:space="preserve"> puntos porcentuales por encima de la tasa de descuento</w:t>
      </w:r>
      <w:r w:rsidR="00286B1E" w:rsidRPr="00172FC9">
        <w:rPr>
          <w:rFonts w:ascii="Arial" w:hAnsi="Arial" w:cs="Arial"/>
          <w:kern w:val="28"/>
          <w:sz w:val="22"/>
          <w:szCs w:val="22"/>
        </w:rPr>
        <w:t xml:space="preserve"> (es decir, 15</w:t>
      </w:r>
      <w:r w:rsidR="00893969" w:rsidRPr="00172FC9">
        <w:rPr>
          <w:rFonts w:ascii="Arial" w:hAnsi="Arial" w:cs="Arial"/>
          <w:kern w:val="28"/>
          <w:sz w:val="22"/>
          <w:szCs w:val="22"/>
        </w:rPr>
        <w:t>,5</w:t>
      </w:r>
      <w:r w:rsidR="00286B1E" w:rsidRPr="00172FC9">
        <w:rPr>
          <w:rFonts w:ascii="Arial" w:hAnsi="Arial" w:cs="Arial"/>
          <w:kern w:val="28"/>
          <w:sz w:val="22"/>
          <w:szCs w:val="22"/>
        </w:rPr>
        <w:t>%)</w:t>
      </w:r>
      <w:r w:rsidR="003379D8" w:rsidRPr="00172FC9">
        <w:rPr>
          <w:rFonts w:ascii="Arial" w:hAnsi="Arial" w:cs="Arial"/>
          <w:kern w:val="28"/>
          <w:sz w:val="22"/>
          <w:szCs w:val="22"/>
        </w:rPr>
        <w:t>, resulta qu</w:t>
      </w:r>
      <w:r w:rsidR="000B3134" w:rsidRPr="00172FC9">
        <w:rPr>
          <w:rFonts w:ascii="Arial" w:hAnsi="Arial" w:cs="Arial"/>
          <w:kern w:val="28"/>
          <w:sz w:val="22"/>
          <w:szCs w:val="22"/>
        </w:rPr>
        <w:t>e el VAN del proyecto es de US$</w:t>
      </w:r>
      <w:r w:rsidR="00140DCD" w:rsidRPr="00172FC9">
        <w:rPr>
          <w:rFonts w:ascii="Arial" w:hAnsi="Arial" w:cs="Arial"/>
          <w:kern w:val="28"/>
          <w:sz w:val="22"/>
          <w:szCs w:val="22"/>
        </w:rPr>
        <w:t>4,</w:t>
      </w:r>
      <w:r w:rsidR="001F3B37" w:rsidRPr="00172FC9">
        <w:rPr>
          <w:rFonts w:ascii="Arial" w:hAnsi="Arial" w:cs="Arial"/>
          <w:kern w:val="28"/>
          <w:sz w:val="22"/>
          <w:szCs w:val="22"/>
        </w:rPr>
        <w:t>7</w:t>
      </w:r>
      <w:r w:rsidR="003379D8" w:rsidRPr="00172FC9">
        <w:rPr>
          <w:rFonts w:ascii="Arial" w:hAnsi="Arial" w:cs="Arial"/>
          <w:kern w:val="28"/>
          <w:sz w:val="22"/>
          <w:szCs w:val="22"/>
        </w:rPr>
        <w:t xml:space="preserve"> mil</w:t>
      </w:r>
      <w:r w:rsidR="00893969" w:rsidRPr="00172FC9">
        <w:rPr>
          <w:rFonts w:ascii="Arial" w:hAnsi="Arial" w:cs="Arial"/>
          <w:kern w:val="28"/>
          <w:sz w:val="22"/>
          <w:szCs w:val="22"/>
        </w:rPr>
        <w:t>lones</w:t>
      </w:r>
      <w:r w:rsidR="00D87FD2" w:rsidRPr="00172FC9">
        <w:rPr>
          <w:rFonts w:ascii="Arial" w:hAnsi="Arial" w:cs="Arial"/>
          <w:kern w:val="28"/>
          <w:sz w:val="22"/>
          <w:szCs w:val="22"/>
        </w:rPr>
        <w:t xml:space="preserve"> </w:t>
      </w:r>
      <w:r w:rsidR="003379D8" w:rsidRPr="00172FC9">
        <w:rPr>
          <w:rFonts w:ascii="Arial" w:hAnsi="Arial" w:cs="Arial"/>
          <w:kern w:val="28"/>
          <w:sz w:val="22"/>
          <w:szCs w:val="22"/>
        </w:rPr>
        <w:t>y la Razón Beneficio</w:t>
      </w:r>
      <w:r w:rsidR="00D87FD2" w:rsidRPr="00172FC9">
        <w:rPr>
          <w:rFonts w:ascii="Arial" w:hAnsi="Arial" w:cs="Arial"/>
          <w:kern w:val="28"/>
          <w:sz w:val="22"/>
          <w:szCs w:val="22"/>
        </w:rPr>
        <w:t>-</w:t>
      </w:r>
      <w:r w:rsidR="004F62F9">
        <w:rPr>
          <w:rFonts w:ascii="Arial" w:hAnsi="Arial" w:cs="Arial"/>
          <w:kern w:val="28"/>
          <w:sz w:val="22"/>
          <w:szCs w:val="22"/>
        </w:rPr>
        <w:t> </w:t>
      </w:r>
      <w:r w:rsidR="00D87FD2" w:rsidRPr="00172FC9">
        <w:rPr>
          <w:rFonts w:ascii="Arial" w:hAnsi="Arial" w:cs="Arial"/>
          <w:kern w:val="28"/>
          <w:sz w:val="22"/>
          <w:szCs w:val="22"/>
        </w:rPr>
        <w:t>Costo pasa a 1,0</w:t>
      </w:r>
      <w:r w:rsidR="00140DCD" w:rsidRPr="00172FC9">
        <w:rPr>
          <w:rFonts w:ascii="Arial" w:hAnsi="Arial" w:cs="Arial"/>
          <w:kern w:val="28"/>
          <w:sz w:val="22"/>
          <w:szCs w:val="22"/>
        </w:rPr>
        <w:t>2</w:t>
      </w:r>
      <w:r w:rsidR="003379D8" w:rsidRPr="00172FC9">
        <w:rPr>
          <w:rFonts w:ascii="Arial" w:hAnsi="Arial" w:cs="Arial"/>
          <w:kern w:val="28"/>
          <w:sz w:val="22"/>
          <w:szCs w:val="22"/>
        </w:rPr>
        <w:t>.</w:t>
      </w:r>
    </w:p>
    <w:p w14:paraId="02DD8DEA" w14:textId="438A4C06" w:rsidR="003379D8" w:rsidRDefault="003379D8" w:rsidP="00F226AF">
      <w:pPr>
        <w:pStyle w:val="Paragraph"/>
        <w:numPr>
          <w:ilvl w:val="1"/>
          <w:numId w:val="1"/>
        </w:numPr>
        <w:rPr>
          <w:rFonts w:ascii="Arial" w:hAnsi="Arial" w:cs="Arial"/>
          <w:kern w:val="28"/>
          <w:sz w:val="22"/>
          <w:szCs w:val="22"/>
        </w:rPr>
      </w:pPr>
      <w:r w:rsidRPr="00172FC9">
        <w:rPr>
          <w:rFonts w:ascii="Arial" w:hAnsi="Arial" w:cs="Arial"/>
          <w:kern w:val="28"/>
          <w:sz w:val="22"/>
          <w:szCs w:val="22"/>
        </w:rPr>
        <w:t xml:space="preserve">Finalmente, si ocurre que los beneficios en términos de Años de vida saludable ganados gracias al fortalecimiento de los servicios de salud con recursos humanos acordes con el modelo de atención centrado en la promoción y </w:t>
      </w:r>
      <w:r w:rsidR="00762862" w:rsidRPr="00172FC9">
        <w:rPr>
          <w:rFonts w:ascii="Arial" w:hAnsi="Arial" w:cs="Arial"/>
          <w:kern w:val="28"/>
          <w:sz w:val="22"/>
          <w:szCs w:val="22"/>
        </w:rPr>
        <w:t>prevención</w:t>
      </w:r>
      <w:r w:rsidRPr="00172FC9">
        <w:rPr>
          <w:rFonts w:ascii="Arial" w:hAnsi="Arial" w:cs="Arial"/>
          <w:kern w:val="28"/>
          <w:sz w:val="22"/>
          <w:szCs w:val="22"/>
        </w:rPr>
        <w:t xml:space="preserve"> alcanzan no al 80% de los AVAD potencialmente ganables en las enfermedades seleccionadas</w:t>
      </w:r>
      <w:r w:rsidR="001F3B37" w:rsidRPr="00172FC9">
        <w:rPr>
          <w:rFonts w:ascii="Arial" w:hAnsi="Arial" w:cs="Arial"/>
          <w:kern w:val="28"/>
          <w:sz w:val="22"/>
          <w:szCs w:val="22"/>
        </w:rPr>
        <w:t xml:space="preserve"> tal como su asumió en el escenario base</w:t>
      </w:r>
      <w:r w:rsidRPr="00172FC9">
        <w:rPr>
          <w:rFonts w:ascii="Arial" w:hAnsi="Arial" w:cs="Arial"/>
          <w:kern w:val="28"/>
          <w:sz w:val="22"/>
          <w:szCs w:val="22"/>
        </w:rPr>
        <w:t>, s</w:t>
      </w:r>
      <w:r w:rsidR="00681D9F" w:rsidRPr="00172FC9">
        <w:rPr>
          <w:rFonts w:ascii="Arial" w:hAnsi="Arial" w:cs="Arial"/>
          <w:kern w:val="28"/>
          <w:sz w:val="22"/>
          <w:szCs w:val="22"/>
        </w:rPr>
        <w:t xml:space="preserve">ino a </w:t>
      </w:r>
      <w:r w:rsidR="001F3B37" w:rsidRPr="00172FC9">
        <w:rPr>
          <w:rFonts w:ascii="Arial" w:hAnsi="Arial" w:cs="Arial"/>
          <w:kern w:val="28"/>
          <w:sz w:val="22"/>
          <w:szCs w:val="22"/>
        </w:rPr>
        <w:t xml:space="preserve">solo </w:t>
      </w:r>
      <w:r w:rsidR="00140DCD" w:rsidRPr="00172FC9">
        <w:rPr>
          <w:rFonts w:ascii="Arial" w:hAnsi="Arial" w:cs="Arial"/>
          <w:kern w:val="28"/>
          <w:sz w:val="22"/>
          <w:szCs w:val="22"/>
        </w:rPr>
        <w:t>5</w:t>
      </w:r>
      <w:r w:rsidR="00681D9F" w:rsidRPr="00172FC9">
        <w:rPr>
          <w:rFonts w:ascii="Arial" w:hAnsi="Arial" w:cs="Arial"/>
          <w:kern w:val="28"/>
          <w:sz w:val="22"/>
          <w:szCs w:val="22"/>
        </w:rPr>
        <w:t>0%</w:t>
      </w:r>
      <w:r w:rsidR="001F3B37" w:rsidRPr="00172FC9">
        <w:rPr>
          <w:rFonts w:ascii="Arial" w:hAnsi="Arial" w:cs="Arial"/>
          <w:kern w:val="28"/>
          <w:sz w:val="22"/>
          <w:szCs w:val="22"/>
        </w:rPr>
        <w:t xml:space="preserve"> de los AVAD</w:t>
      </w:r>
      <w:r w:rsidR="00681D9F" w:rsidRPr="00172FC9">
        <w:rPr>
          <w:rFonts w:ascii="Arial" w:hAnsi="Arial" w:cs="Arial"/>
          <w:kern w:val="28"/>
          <w:sz w:val="22"/>
          <w:szCs w:val="22"/>
        </w:rPr>
        <w:t>, e</w:t>
      </w:r>
      <w:r w:rsidRPr="00172FC9">
        <w:rPr>
          <w:rFonts w:ascii="Arial" w:hAnsi="Arial" w:cs="Arial"/>
          <w:kern w:val="28"/>
          <w:sz w:val="22"/>
          <w:szCs w:val="22"/>
        </w:rPr>
        <w:t>l VAN del proyecto sería US$</w:t>
      </w:r>
      <w:r w:rsidR="00140DCD" w:rsidRPr="00172FC9">
        <w:rPr>
          <w:rFonts w:ascii="Arial" w:hAnsi="Arial" w:cs="Arial"/>
          <w:kern w:val="28"/>
          <w:sz w:val="22"/>
          <w:szCs w:val="22"/>
        </w:rPr>
        <w:t>11</w:t>
      </w:r>
      <w:r w:rsidR="001F3B37" w:rsidRPr="00172FC9">
        <w:rPr>
          <w:rFonts w:ascii="Arial" w:hAnsi="Arial" w:cs="Arial"/>
          <w:kern w:val="28"/>
          <w:sz w:val="22"/>
          <w:szCs w:val="22"/>
        </w:rPr>
        <w:t>,</w:t>
      </w:r>
      <w:r w:rsidR="00140DCD" w:rsidRPr="00172FC9">
        <w:rPr>
          <w:rFonts w:ascii="Arial" w:hAnsi="Arial" w:cs="Arial"/>
          <w:kern w:val="28"/>
          <w:sz w:val="22"/>
          <w:szCs w:val="22"/>
        </w:rPr>
        <w:t>1</w:t>
      </w:r>
      <w:r w:rsidR="00681D9F" w:rsidRPr="00172FC9">
        <w:rPr>
          <w:rFonts w:ascii="Arial" w:hAnsi="Arial" w:cs="Arial"/>
          <w:kern w:val="28"/>
          <w:sz w:val="22"/>
          <w:szCs w:val="22"/>
        </w:rPr>
        <w:t xml:space="preserve"> millones y la Razón B-C 1,0</w:t>
      </w:r>
      <w:r w:rsidR="00140DCD" w:rsidRPr="00172FC9">
        <w:rPr>
          <w:rFonts w:ascii="Arial" w:hAnsi="Arial" w:cs="Arial"/>
          <w:kern w:val="28"/>
          <w:sz w:val="22"/>
          <w:szCs w:val="22"/>
        </w:rPr>
        <w:t>5</w:t>
      </w:r>
      <w:r w:rsidRPr="00172FC9">
        <w:rPr>
          <w:rFonts w:ascii="Arial" w:hAnsi="Arial" w:cs="Arial"/>
          <w:kern w:val="28"/>
          <w:sz w:val="22"/>
          <w:szCs w:val="22"/>
        </w:rPr>
        <w:t>.</w:t>
      </w:r>
    </w:p>
    <w:p w14:paraId="17F89A01" w14:textId="2B9358E0" w:rsidR="003379D8" w:rsidRPr="00172FC9" w:rsidRDefault="001F3B37" w:rsidP="00F226AF">
      <w:pPr>
        <w:pStyle w:val="Paragraph"/>
        <w:numPr>
          <w:ilvl w:val="1"/>
          <w:numId w:val="1"/>
        </w:numPr>
        <w:rPr>
          <w:rFonts w:ascii="Arial" w:hAnsi="Arial" w:cs="Arial"/>
          <w:kern w:val="28"/>
        </w:rPr>
      </w:pPr>
      <w:r w:rsidRPr="00F226AF">
        <w:rPr>
          <w:rFonts w:ascii="Arial" w:hAnsi="Arial" w:cs="Arial"/>
          <w:kern w:val="28"/>
          <w:sz w:val="22"/>
          <w:szCs w:val="22"/>
        </w:rPr>
        <w:t xml:space="preserve">Con lo anterior, </w:t>
      </w:r>
      <w:r w:rsidR="00140DCD" w:rsidRPr="00F226AF">
        <w:rPr>
          <w:rFonts w:ascii="Arial" w:hAnsi="Arial" w:cs="Arial"/>
          <w:kern w:val="28"/>
          <w:sz w:val="22"/>
          <w:szCs w:val="22"/>
        </w:rPr>
        <w:t xml:space="preserve">se concluye que </w:t>
      </w:r>
      <w:r w:rsidRPr="00F226AF">
        <w:rPr>
          <w:rFonts w:ascii="Arial" w:hAnsi="Arial" w:cs="Arial"/>
          <w:kern w:val="28"/>
          <w:sz w:val="22"/>
          <w:szCs w:val="22"/>
        </w:rPr>
        <w:t>el proyecto muestra una razonable robustez ante posibles escenarios adve</w:t>
      </w:r>
      <w:r w:rsidR="0027078C" w:rsidRPr="00F226AF">
        <w:rPr>
          <w:rFonts w:ascii="Arial" w:hAnsi="Arial" w:cs="Arial"/>
          <w:kern w:val="28"/>
          <w:sz w:val="22"/>
          <w:szCs w:val="22"/>
        </w:rPr>
        <w:t>rsos en términos de los factores que podrían afectar sus beneficios.</w:t>
      </w:r>
    </w:p>
    <w:sectPr w:rsidR="003379D8" w:rsidRPr="00172FC9" w:rsidSect="00F226AF">
      <w:footerReference w:type="default" r:id="rId12"/>
      <w:pgSz w:w="11907" w:h="16839" w:code="9"/>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8E5CE" w14:textId="77777777" w:rsidR="008C089B" w:rsidRDefault="008C089B" w:rsidP="00CF5271">
      <w:pPr>
        <w:spacing w:after="0" w:line="240" w:lineRule="auto"/>
      </w:pPr>
      <w:r>
        <w:separator/>
      </w:r>
    </w:p>
  </w:endnote>
  <w:endnote w:type="continuationSeparator" w:id="0">
    <w:p w14:paraId="37705612" w14:textId="77777777" w:rsidR="008C089B" w:rsidRDefault="008C089B"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5242793"/>
      <w:docPartObj>
        <w:docPartGallery w:val="Page Numbers (Bottom of Page)"/>
        <w:docPartUnique/>
      </w:docPartObj>
    </w:sdtPr>
    <w:sdtEndPr>
      <w:rPr>
        <w:noProof/>
      </w:rPr>
    </w:sdtEndPr>
    <w:sdtContent>
      <w:p w14:paraId="5B81C501" w14:textId="2F0A5FA5" w:rsidR="008849AA" w:rsidRDefault="008849AA">
        <w:pPr>
          <w:pStyle w:val="Footer"/>
          <w:jc w:val="center"/>
        </w:pPr>
        <w:r>
          <w:fldChar w:fldCharType="begin"/>
        </w:r>
        <w:r>
          <w:instrText xml:space="preserve"> PAGE   \* MERGEFORMAT </w:instrText>
        </w:r>
        <w:r>
          <w:fldChar w:fldCharType="separate"/>
        </w:r>
        <w:r w:rsidR="00F226AF">
          <w:rPr>
            <w:noProof/>
          </w:rPr>
          <w:t>4</w:t>
        </w:r>
        <w:r>
          <w:rPr>
            <w:noProof/>
          </w:rPr>
          <w:fldChar w:fldCharType="end"/>
        </w:r>
      </w:p>
    </w:sdtContent>
  </w:sdt>
  <w:p w14:paraId="080CECFD" w14:textId="77777777" w:rsidR="008849AA" w:rsidRDefault="0088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04908" w14:textId="77777777" w:rsidR="008C089B" w:rsidRDefault="008C089B" w:rsidP="00CF5271">
      <w:pPr>
        <w:spacing w:after="0" w:line="240" w:lineRule="auto"/>
      </w:pPr>
      <w:r>
        <w:separator/>
      </w:r>
    </w:p>
  </w:footnote>
  <w:footnote w:type="continuationSeparator" w:id="0">
    <w:p w14:paraId="517D8F1D" w14:textId="77777777" w:rsidR="008C089B" w:rsidRDefault="008C089B" w:rsidP="00CF5271">
      <w:pPr>
        <w:spacing w:after="0" w:line="240" w:lineRule="auto"/>
      </w:pPr>
      <w:r>
        <w:continuationSeparator/>
      </w:r>
    </w:p>
  </w:footnote>
  <w:footnote w:id="1">
    <w:p w14:paraId="31CEF620" w14:textId="77777777" w:rsidR="009E0A2F" w:rsidRPr="00F226AF" w:rsidRDefault="009E0A2F" w:rsidP="009E0A2F">
      <w:pPr>
        <w:autoSpaceDE w:val="0"/>
        <w:autoSpaceDN w:val="0"/>
        <w:adjustRightInd w:val="0"/>
        <w:ind w:left="720" w:hanging="450"/>
        <w:jc w:val="both"/>
        <w:rPr>
          <w:lang w:val="es-ES_tradnl"/>
        </w:rPr>
      </w:pPr>
      <w:r w:rsidRPr="004A6737">
        <w:rPr>
          <w:rStyle w:val="FootnoteReference"/>
          <w:rFonts w:ascii="Arial" w:hAnsi="Arial" w:cs="Arial"/>
          <w:sz w:val="18"/>
          <w:szCs w:val="18"/>
        </w:rPr>
        <w:footnoteRef/>
      </w:r>
      <w:r w:rsidRPr="00F226AF">
        <w:rPr>
          <w:lang w:val="es-ES_tradnl"/>
        </w:rPr>
        <w:t xml:space="preserve"> </w:t>
      </w:r>
      <w:r w:rsidRPr="00F226AF">
        <w:rPr>
          <w:lang w:val="es-ES_tradnl"/>
        </w:rPr>
        <w:tab/>
      </w:r>
      <w:r w:rsidRPr="61B5D856">
        <w:rPr>
          <w:rFonts w:ascii="Arial" w:eastAsiaTheme="minorEastAsia" w:hAnsi="Arial" w:cs="Arial"/>
          <w:color w:val="000000"/>
          <w:sz w:val="18"/>
          <w:szCs w:val="18"/>
          <w:lang w:val="es-PE"/>
        </w:rPr>
        <w:t>Este gasto cumple con la política “Modernización de políticas y prácticas de restricción al uso de recursos en préstamos de inversión” (GN-2331-5), lo dispuesto en las “Directrices sobre elegibilidad de gastos en préstamos de inversión: Propuesta de modificación” (CC-6004-2) y con los Parámetros de Financiamiento de País acordados con Ecuador (CP-28273 y anexo IX del GN-2495).</w:t>
      </w:r>
    </w:p>
  </w:footnote>
  <w:footnote w:id="2">
    <w:p w14:paraId="6BC4FF31" w14:textId="77777777" w:rsidR="009E0A2F" w:rsidRPr="0079530F" w:rsidRDefault="009E0A2F" w:rsidP="009E0A2F">
      <w:pPr>
        <w:autoSpaceDE w:val="0"/>
        <w:autoSpaceDN w:val="0"/>
        <w:adjustRightInd w:val="0"/>
        <w:ind w:left="720" w:hanging="450"/>
        <w:jc w:val="both"/>
        <w:rPr>
          <w:lang w:val="es-PE"/>
        </w:rPr>
      </w:pPr>
      <w:r w:rsidRPr="004A6737">
        <w:rPr>
          <w:rStyle w:val="FootnoteReference"/>
          <w:rFonts w:ascii="Arial" w:hAnsi="Arial" w:cs="Arial"/>
          <w:sz w:val="18"/>
          <w:szCs w:val="18"/>
        </w:rPr>
        <w:footnoteRef/>
      </w:r>
      <w:r w:rsidRPr="00F226AF">
        <w:rPr>
          <w:rFonts w:ascii="Arial" w:hAnsi="Arial" w:cs="Arial"/>
          <w:sz w:val="18"/>
          <w:szCs w:val="18"/>
          <w:lang w:val="es-ES_tradnl"/>
        </w:rPr>
        <w:t xml:space="preserve"> </w:t>
      </w:r>
      <w:r w:rsidRPr="00F226AF">
        <w:rPr>
          <w:lang w:val="es-ES_tradnl"/>
        </w:rPr>
        <w:tab/>
      </w:r>
      <w:r w:rsidRPr="61B5D856">
        <w:rPr>
          <w:rFonts w:ascii="Arial" w:eastAsiaTheme="minorEastAsia" w:hAnsi="Arial" w:cs="Arial"/>
          <w:color w:val="000000"/>
          <w:sz w:val="18"/>
          <w:szCs w:val="18"/>
          <w:lang w:val="es-PE"/>
        </w:rPr>
        <w:t xml:space="preserve">El apoyo a otras </w:t>
      </w:r>
      <w:r w:rsidRPr="0079530F">
        <w:rPr>
          <w:rFonts w:ascii="Arial" w:eastAsia="Arial" w:hAnsi="Arial" w:cs="Arial"/>
          <w:sz w:val="18"/>
          <w:szCs w:val="18"/>
          <w:lang w:val="es"/>
        </w:rPr>
        <w:t>modalidades</w:t>
      </w:r>
      <w:r w:rsidRPr="61B5D856">
        <w:rPr>
          <w:rFonts w:ascii="Arial" w:eastAsiaTheme="minorEastAsia" w:hAnsi="Arial" w:cs="Arial"/>
          <w:color w:val="000000"/>
          <w:sz w:val="18"/>
          <w:szCs w:val="18"/>
          <w:lang w:val="es-PE"/>
        </w:rPr>
        <w:t xml:space="preserve"> de desvinculación previstas en la legislación nacional estará sujeto a que las mismas sean consistentes con los preceptos legales y constitucionales del país, y se ajusten a los criterios y objetivos previstos en el programa. El cumplimiento con los criterios deberá ser analizado y confirmado por el Banco previo a dar su no objeción para que modalidades de desvinculación actualmente no contempladas pasen a ser elegibles para financiarse con recursos del programa. El ROP contendrá la descripción detallada de cada modalidad de desvinculación a ser financiada. De las tres modalidades mencionadas, se priorizarán las que contribuyan al recambio generacional en educación y al cambio del perfil del TH de administrativo a directamente asistencial en salud.</w:t>
      </w:r>
    </w:p>
  </w:footnote>
  <w:footnote w:id="3">
    <w:p w14:paraId="7F7EE545" w14:textId="77777777" w:rsidR="009E0A2F" w:rsidRPr="0079530F" w:rsidRDefault="009E0A2F" w:rsidP="00F226AF">
      <w:pPr>
        <w:pStyle w:val="FootnoteText"/>
        <w:ind w:left="720" w:hanging="450"/>
        <w:jc w:val="both"/>
        <w:rPr>
          <w:lang w:val="es-PE"/>
        </w:rPr>
      </w:pPr>
      <w:r w:rsidRPr="004A6737">
        <w:rPr>
          <w:rStyle w:val="FootnoteReference"/>
          <w:rFonts w:ascii="Arial" w:hAnsi="Arial" w:cs="Arial"/>
          <w:sz w:val="18"/>
          <w:szCs w:val="18"/>
        </w:rPr>
        <w:footnoteRef/>
      </w:r>
      <w:r w:rsidRPr="00F226AF">
        <w:rPr>
          <w:rFonts w:ascii="Arial" w:hAnsi="Arial" w:cs="Arial"/>
          <w:sz w:val="18"/>
          <w:szCs w:val="18"/>
          <w:lang w:val="es-ES_tradnl"/>
        </w:rPr>
        <w:t xml:space="preserve"> </w:t>
      </w:r>
      <w:r w:rsidRPr="00F226AF">
        <w:rPr>
          <w:lang w:val="es-ES_tradnl"/>
        </w:rPr>
        <w:tab/>
      </w:r>
      <w:r w:rsidRPr="61B5D856">
        <w:rPr>
          <w:rFonts w:ascii="Arial" w:eastAsiaTheme="minorEastAsia" w:hAnsi="Arial" w:cs="Arial"/>
          <w:color w:val="000000"/>
          <w:sz w:val="18"/>
          <w:szCs w:val="18"/>
          <w:lang w:val="es-PE"/>
        </w:rPr>
        <w:t xml:space="preserve">Según </w:t>
      </w:r>
      <w:hyperlink r:id="rId1" w:history="1">
        <w:r w:rsidRPr="00F226AF">
          <w:rPr>
            <w:rStyle w:val="Hyperlink"/>
            <w:rFonts w:ascii="Arial" w:eastAsiaTheme="minorEastAsia" w:hAnsi="Arial" w:cs="Arial"/>
            <w:sz w:val="18"/>
            <w:szCs w:val="18"/>
            <w:lang w:val="es-ES_tradnl"/>
          </w:rPr>
          <w:t>proyecciones del MdT</w:t>
        </w:r>
      </w:hyperlink>
      <w:r w:rsidRPr="61B5D856">
        <w:rPr>
          <w:rFonts w:ascii="Arial" w:eastAsiaTheme="minorEastAsia" w:hAnsi="Arial" w:cs="Arial"/>
          <w:color w:val="000000"/>
          <w:sz w:val="18"/>
          <w:szCs w:val="18"/>
          <w:lang w:val="es-PE"/>
        </w:rPr>
        <w:t>, existirían 22.049 jubilaciones pendientes de pago en todo el Estado, por un valor total de US$1.124 millones. De estas, 16.613 corresponderían al MINEDUC, que equivalen a US$816 millones. Al MSP corresponderían 3.880, equivalentes a US$231 millones.</w:t>
      </w:r>
      <w:r>
        <w:rPr>
          <w:lang w:val="es-PE"/>
        </w:rPr>
        <w:t xml:space="preserve"> </w:t>
      </w:r>
    </w:p>
  </w:footnote>
  <w:footnote w:id="4">
    <w:p w14:paraId="226E775E" w14:textId="77777777" w:rsidR="009E0A2F" w:rsidRPr="0079530F" w:rsidRDefault="009E0A2F" w:rsidP="009E0A2F">
      <w:pPr>
        <w:autoSpaceDE w:val="0"/>
        <w:autoSpaceDN w:val="0"/>
        <w:adjustRightInd w:val="0"/>
        <w:ind w:left="720" w:hanging="450"/>
        <w:jc w:val="both"/>
        <w:rPr>
          <w:lang w:val="es-PE"/>
        </w:rPr>
      </w:pPr>
      <w:r w:rsidRPr="004A6737">
        <w:rPr>
          <w:rStyle w:val="FootnoteReference"/>
          <w:rFonts w:ascii="Arial" w:hAnsi="Arial" w:cs="Arial"/>
          <w:sz w:val="18"/>
          <w:szCs w:val="18"/>
        </w:rPr>
        <w:footnoteRef/>
      </w:r>
      <w:r w:rsidRPr="00F226AF">
        <w:rPr>
          <w:rFonts w:ascii="Arial" w:hAnsi="Arial" w:cs="Arial"/>
          <w:sz w:val="18"/>
          <w:szCs w:val="18"/>
          <w:lang w:val="es-ES_tradnl"/>
        </w:rPr>
        <w:t xml:space="preserve"> </w:t>
      </w:r>
      <w:r w:rsidRPr="00F226AF">
        <w:rPr>
          <w:lang w:val="es-ES_tradnl"/>
        </w:rPr>
        <w:tab/>
      </w:r>
      <w:r w:rsidRPr="0079530F">
        <w:rPr>
          <w:rFonts w:ascii="Arial" w:eastAsia="Arial" w:hAnsi="Arial" w:cs="Arial"/>
          <w:sz w:val="18"/>
          <w:szCs w:val="18"/>
          <w:lang w:val="es"/>
        </w:rPr>
        <w:t>“Estrategia Digital para el Sector Salud” contendría la visión estratégica a largo plazo, una definición de la agenda digital por áreas temáticas a mediano plazo y un plan de acción digital a corto plazo con un modelo de gobernanza digital, acciones, recursos, plazos y resultados esperados.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E21B2"/>
    <w:multiLevelType w:val="hybridMultilevel"/>
    <w:tmpl w:val="F5AEDFD6"/>
    <w:lvl w:ilvl="0" w:tplc="E44CF65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200E635B"/>
    <w:multiLevelType w:val="hybridMultilevel"/>
    <w:tmpl w:val="8208F662"/>
    <w:lvl w:ilvl="0" w:tplc="90601712">
      <w:start w:val="15"/>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33B3D47"/>
    <w:multiLevelType w:val="multilevel"/>
    <w:tmpl w:val="DFB238FC"/>
    <w:lvl w:ilvl="0">
      <w:start w:val="3"/>
      <w:numFmt w:val="upperRoman"/>
      <w:lvlText w:val="%1."/>
      <w:lvlJc w:val="left"/>
      <w:pPr>
        <w:ind w:left="360" w:hanging="360"/>
      </w:pPr>
      <w:rPr>
        <w:rFonts w:hint="default"/>
      </w:rPr>
    </w:lvl>
    <w:lvl w:ilvl="1">
      <w:start w:val="2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27BB725C"/>
    <w:multiLevelType w:val="multilevel"/>
    <w:tmpl w:val="E066239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rPr>
        <w:b w:val="0"/>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2FF04063"/>
    <w:multiLevelType w:val="multilevel"/>
    <w:tmpl w:val="DB40B702"/>
    <w:lvl w:ilvl="0">
      <w:start w:val="2"/>
      <w:numFmt w:val="upperRoman"/>
      <w:lvlText w:val="%1."/>
      <w:lvlJc w:val="left"/>
      <w:pPr>
        <w:ind w:left="360" w:hanging="360"/>
      </w:pPr>
      <w:rPr>
        <w:rFonts w:hint="default"/>
      </w:rPr>
    </w:lvl>
    <w:lvl w:ilvl="1">
      <w:start w:val="2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359B4991"/>
    <w:multiLevelType w:val="multilevel"/>
    <w:tmpl w:val="82125B2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0" w15:restartNumberingAfterBreak="0">
    <w:nsid w:val="423E0B63"/>
    <w:multiLevelType w:val="hybridMultilevel"/>
    <w:tmpl w:val="78222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2"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3" w15:restartNumberingAfterBreak="0">
    <w:nsid w:val="4D713C92"/>
    <w:multiLevelType w:val="multilevel"/>
    <w:tmpl w:val="CFEABA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15915DF"/>
    <w:multiLevelType w:val="multilevel"/>
    <w:tmpl w:val="0E5E6EF2"/>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539E0EF2"/>
    <w:multiLevelType w:val="hybridMultilevel"/>
    <w:tmpl w:val="E0ACCD9A"/>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56B070F3"/>
    <w:multiLevelType w:val="hybridMultilevel"/>
    <w:tmpl w:val="E4DC624A"/>
    <w:lvl w:ilvl="0" w:tplc="8DC2CEFC">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7855CE9"/>
    <w:multiLevelType w:val="multilevel"/>
    <w:tmpl w:val="5296CE08"/>
    <w:lvl w:ilvl="0">
      <w:start w:val="1"/>
      <w:numFmt w:val="upperRoman"/>
      <w:lvlText w:val="%1."/>
      <w:lvlJc w:val="right"/>
      <w:pPr>
        <w:ind w:left="2160" w:hanging="360"/>
      </w:pPr>
    </w:lvl>
    <w:lvl w:ilvl="1">
      <w:start w:val="1"/>
      <w:numFmt w:val="decimal"/>
      <w:isLgl/>
      <w:lvlText w:val="%1.%2"/>
      <w:lvlJc w:val="left"/>
      <w:pPr>
        <w:ind w:left="216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60711770"/>
    <w:multiLevelType w:val="multilevel"/>
    <w:tmpl w:val="1DEE8C32"/>
    <w:lvl w:ilvl="0">
      <w:start w:val="2"/>
      <w:numFmt w:val="upperRoman"/>
      <w:lvlText w:val="%1."/>
      <w:lvlJc w:val="left"/>
      <w:pPr>
        <w:ind w:left="360" w:hanging="360"/>
      </w:pPr>
      <w:rPr>
        <w:rFonts w:hint="default"/>
      </w:rPr>
    </w:lvl>
    <w:lvl w:ilvl="1">
      <w:start w:val="3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6D273939"/>
    <w:multiLevelType w:val="hybridMultilevel"/>
    <w:tmpl w:val="3334C82C"/>
    <w:lvl w:ilvl="0" w:tplc="8DC2CE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04F4936"/>
    <w:multiLevelType w:val="hybridMultilevel"/>
    <w:tmpl w:val="DFEC0F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38913B4"/>
    <w:multiLevelType w:val="hybridMultilevel"/>
    <w:tmpl w:val="26EEE13A"/>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74036F37"/>
    <w:multiLevelType w:val="hybridMultilevel"/>
    <w:tmpl w:val="6B005562"/>
    <w:lvl w:ilvl="0" w:tplc="7BBA2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6"/>
  </w:num>
  <w:num w:numId="4">
    <w:abstractNumId w:val="4"/>
  </w:num>
  <w:num w:numId="5">
    <w:abstractNumId w:val="2"/>
  </w:num>
  <w:num w:numId="6">
    <w:abstractNumId w:val="11"/>
  </w:num>
  <w:num w:numId="7">
    <w:abstractNumId w:val="12"/>
  </w:num>
  <w:num w:numId="8">
    <w:abstractNumId w:val="7"/>
  </w:num>
  <w:num w:numId="9">
    <w:abstractNumId w:val="18"/>
  </w:num>
  <w:num w:numId="10">
    <w:abstractNumId w:val="10"/>
  </w:num>
  <w:num w:numId="11">
    <w:abstractNumId w:val="15"/>
  </w:num>
  <w:num w:numId="12">
    <w:abstractNumId w:val="0"/>
  </w:num>
  <w:num w:numId="13">
    <w:abstractNumId w:val="22"/>
  </w:num>
  <w:num w:numId="14">
    <w:abstractNumId w:val="21"/>
  </w:num>
  <w:num w:numId="15">
    <w:abstractNumId w:val="20"/>
  </w:num>
  <w:num w:numId="16">
    <w:abstractNumId w:val="19"/>
  </w:num>
  <w:num w:numId="17">
    <w:abstractNumId w:val="16"/>
  </w:num>
  <w:num w:numId="18">
    <w:abstractNumId w:val="3"/>
  </w:num>
  <w:num w:numId="19">
    <w:abstractNumId w:val="1"/>
  </w:num>
  <w:num w:numId="20">
    <w:abstractNumId w:val="8"/>
  </w:num>
  <w:num w:numId="21">
    <w:abstractNumId w:val="17"/>
  </w:num>
  <w:num w:numId="22">
    <w:abstractNumId w:val="13"/>
  </w:num>
  <w:num w:numId="23">
    <w:abstractNumId w:val="9"/>
  </w:num>
  <w:num w:numId="2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0033"/>
    <w:rsid w:val="00002B2F"/>
    <w:rsid w:val="00005BB5"/>
    <w:rsid w:val="00005EDC"/>
    <w:rsid w:val="000117CA"/>
    <w:rsid w:val="00011A0F"/>
    <w:rsid w:val="00012B9A"/>
    <w:rsid w:val="00013021"/>
    <w:rsid w:val="0001439F"/>
    <w:rsid w:val="00014B7A"/>
    <w:rsid w:val="00015F9B"/>
    <w:rsid w:val="000163C5"/>
    <w:rsid w:val="0001649F"/>
    <w:rsid w:val="000232C9"/>
    <w:rsid w:val="0002367A"/>
    <w:rsid w:val="0002382F"/>
    <w:rsid w:val="0002422F"/>
    <w:rsid w:val="000250B3"/>
    <w:rsid w:val="00027BD0"/>
    <w:rsid w:val="00030267"/>
    <w:rsid w:val="00030B76"/>
    <w:rsid w:val="00031E1C"/>
    <w:rsid w:val="00032087"/>
    <w:rsid w:val="00036F86"/>
    <w:rsid w:val="00037E5F"/>
    <w:rsid w:val="00040226"/>
    <w:rsid w:val="00040932"/>
    <w:rsid w:val="000435C2"/>
    <w:rsid w:val="000447E8"/>
    <w:rsid w:val="00044CA5"/>
    <w:rsid w:val="00045FAD"/>
    <w:rsid w:val="0005267A"/>
    <w:rsid w:val="000532C5"/>
    <w:rsid w:val="00055C95"/>
    <w:rsid w:val="00060365"/>
    <w:rsid w:val="000615C6"/>
    <w:rsid w:val="00062917"/>
    <w:rsid w:val="0006373A"/>
    <w:rsid w:val="0006705A"/>
    <w:rsid w:val="0006764A"/>
    <w:rsid w:val="00072EAB"/>
    <w:rsid w:val="00073D06"/>
    <w:rsid w:val="00080F7E"/>
    <w:rsid w:val="00084563"/>
    <w:rsid w:val="00086A1C"/>
    <w:rsid w:val="00086C0F"/>
    <w:rsid w:val="000918F4"/>
    <w:rsid w:val="00094F89"/>
    <w:rsid w:val="00095081"/>
    <w:rsid w:val="00095862"/>
    <w:rsid w:val="00096255"/>
    <w:rsid w:val="00096BD0"/>
    <w:rsid w:val="00097D91"/>
    <w:rsid w:val="000A005B"/>
    <w:rsid w:val="000A254F"/>
    <w:rsid w:val="000A4240"/>
    <w:rsid w:val="000A474D"/>
    <w:rsid w:val="000A5455"/>
    <w:rsid w:val="000A57B1"/>
    <w:rsid w:val="000A6211"/>
    <w:rsid w:val="000A69B7"/>
    <w:rsid w:val="000A6A31"/>
    <w:rsid w:val="000A7FA6"/>
    <w:rsid w:val="000B05C1"/>
    <w:rsid w:val="000B0A43"/>
    <w:rsid w:val="000B3134"/>
    <w:rsid w:val="000B389F"/>
    <w:rsid w:val="000B3F73"/>
    <w:rsid w:val="000B6483"/>
    <w:rsid w:val="000C17DD"/>
    <w:rsid w:val="000C46A7"/>
    <w:rsid w:val="000C46E0"/>
    <w:rsid w:val="000C6E12"/>
    <w:rsid w:val="000D200F"/>
    <w:rsid w:val="000D3602"/>
    <w:rsid w:val="000D3AFA"/>
    <w:rsid w:val="000D5F98"/>
    <w:rsid w:val="000D6314"/>
    <w:rsid w:val="000D64EC"/>
    <w:rsid w:val="000D6C2A"/>
    <w:rsid w:val="000D6C54"/>
    <w:rsid w:val="000E0434"/>
    <w:rsid w:val="000E5FFA"/>
    <w:rsid w:val="000F2840"/>
    <w:rsid w:val="000F2A51"/>
    <w:rsid w:val="000F481D"/>
    <w:rsid w:val="000F4A7B"/>
    <w:rsid w:val="000F4BF7"/>
    <w:rsid w:val="00100AB6"/>
    <w:rsid w:val="00102539"/>
    <w:rsid w:val="0010256E"/>
    <w:rsid w:val="00103836"/>
    <w:rsid w:val="001057F5"/>
    <w:rsid w:val="00107A6D"/>
    <w:rsid w:val="00110CE8"/>
    <w:rsid w:val="00111647"/>
    <w:rsid w:val="00112CE5"/>
    <w:rsid w:val="001143E4"/>
    <w:rsid w:val="001144BE"/>
    <w:rsid w:val="00117D42"/>
    <w:rsid w:val="00120318"/>
    <w:rsid w:val="001246EE"/>
    <w:rsid w:val="0012607B"/>
    <w:rsid w:val="0012683F"/>
    <w:rsid w:val="00126A3E"/>
    <w:rsid w:val="00132D5C"/>
    <w:rsid w:val="0013499E"/>
    <w:rsid w:val="00140173"/>
    <w:rsid w:val="00140DCD"/>
    <w:rsid w:val="001423A3"/>
    <w:rsid w:val="001439C9"/>
    <w:rsid w:val="00146B6D"/>
    <w:rsid w:val="001472CA"/>
    <w:rsid w:val="001472FC"/>
    <w:rsid w:val="0015295A"/>
    <w:rsid w:val="00152CB9"/>
    <w:rsid w:val="0015534D"/>
    <w:rsid w:val="00155361"/>
    <w:rsid w:val="00161975"/>
    <w:rsid w:val="00163675"/>
    <w:rsid w:val="0016597C"/>
    <w:rsid w:val="00166500"/>
    <w:rsid w:val="00166F59"/>
    <w:rsid w:val="00167B44"/>
    <w:rsid w:val="00170F5E"/>
    <w:rsid w:val="00171377"/>
    <w:rsid w:val="001720BB"/>
    <w:rsid w:val="00172FC9"/>
    <w:rsid w:val="00173607"/>
    <w:rsid w:val="00174B82"/>
    <w:rsid w:val="001763D2"/>
    <w:rsid w:val="001767D4"/>
    <w:rsid w:val="00176955"/>
    <w:rsid w:val="00177892"/>
    <w:rsid w:val="0018102F"/>
    <w:rsid w:val="001827E7"/>
    <w:rsid w:val="001837D2"/>
    <w:rsid w:val="00183F9E"/>
    <w:rsid w:val="0018538F"/>
    <w:rsid w:val="00186599"/>
    <w:rsid w:val="001865CF"/>
    <w:rsid w:val="00187201"/>
    <w:rsid w:val="001903F0"/>
    <w:rsid w:val="00196286"/>
    <w:rsid w:val="001A2A90"/>
    <w:rsid w:val="001A60AB"/>
    <w:rsid w:val="001A68A1"/>
    <w:rsid w:val="001B0A90"/>
    <w:rsid w:val="001B3BF7"/>
    <w:rsid w:val="001B6084"/>
    <w:rsid w:val="001B6504"/>
    <w:rsid w:val="001B6B7F"/>
    <w:rsid w:val="001C0414"/>
    <w:rsid w:val="001C268B"/>
    <w:rsid w:val="001C393B"/>
    <w:rsid w:val="001C3DCA"/>
    <w:rsid w:val="001C424C"/>
    <w:rsid w:val="001C463F"/>
    <w:rsid w:val="001D2D2E"/>
    <w:rsid w:val="001D435C"/>
    <w:rsid w:val="001D7ADC"/>
    <w:rsid w:val="001D7F81"/>
    <w:rsid w:val="001E1015"/>
    <w:rsid w:val="001E150A"/>
    <w:rsid w:val="001E6FAC"/>
    <w:rsid w:val="001E7B41"/>
    <w:rsid w:val="001F0D61"/>
    <w:rsid w:val="001F0E20"/>
    <w:rsid w:val="001F3B37"/>
    <w:rsid w:val="001F52BD"/>
    <w:rsid w:val="001F5569"/>
    <w:rsid w:val="001F589F"/>
    <w:rsid w:val="001F65F4"/>
    <w:rsid w:val="001F7A4D"/>
    <w:rsid w:val="00201A8D"/>
    <w:rsid w:val="00203219"/>
    <w:rsid w:val="002033E1"/>
    <w:rsid w:val="00204E18"/>
    <w:rsid w:val="00205916"/>
    <w:rsid w:val="00207204"/>
    <w:rsid w:val="0021056E"/>
    <w:rsid w:val="00212AE0"/>
    <w:rsid w:val="00214954"/>
    <w:rsid w:val="00214AB1"/>
    <w:rsid w:val="00215D5A"/>
    <w:rsid w:val="002168BA"/>
    <w:rsid w:val="002216F9"/>
    <w:rsid w:val="00222D49"/>
    <w:rsid w:val="00224867"/>
    <w:rsid w:val="002306A0"/>
    <w:rsid w:val="002308DC"/>
    <w:rsid w:val="0023096C"/>
    <w:rsid w:val="002341D5"/>
    <w:rsid w:val="0023775E"/>
    <w:rsid w:val="00240208"/>
    <w:rsid w:val="0024223E"/>
    <w:rsid w:val="0024479B"/>
    <w:rsid w:val="00244A62"/>
    <w:rsid w:val="0024520F"/>
    <w:rsid w:val="00245F30"/>
    <w:rsid w:val="00246DC1"/>
    <w:rsid w:val="0025036F"/>
    <w:rsid w:val="00250849"/>
    <w:rsid w:val="00252502"/>
    <w:rsid w:val="00253B58"/>
    <w:rsid w:val="002547CF"/>
    <w:rsid w:val="0025778E"/>
    <w:rsid w:val="00260D92"/>
    <w:rsid w:val="00263BC4"/>
    <w:rsid w:val="00266113"/>
    <w:rsid w:val="0027078C"/>
    <w:rsid w:val="00270E8D"/>
    <w:rsid w:val="0027235C"/>
    <w:rsid w:val="0027433B"/>
    <w:rsid w:val="002743B9"/>
    <w:rsid w:val="00274BD5"/>
    <w:rsid w:val="00277E59"/>
    <w:rsid w:val="0028600B"/>
    <w:rsid w:val="00286534"/>
    <w:rsid w:val="00286B1E"/>
    <w:rsid w:val="002873E1"/>
    <w:rsid w:val="002905B3"/>
    <w:rsid w:val="00292081"/>
    <w:rsid w:val="0029622F"/>
    <w:rsid w:val="00296D8F"/>
    <w:rsid w:val="00296F07"/>
    <w:rsid w:val="002A1FC4"/>
    <w:rsid w:val="002A2073"/>
    <w:rsid w:val="002A21EA"/>
    <w:rsid w:val="002A23D2"/>
    <w:rsid w:val="002A4399"/>
    <w:rsid w:val="002B18ED"/>
    <w:rsid w:val="002B31BC"/>
    <w:rsid w:val="002B650D"/>
    <w:rsid w:val="002B6B10"/>
    <w:rsid w:val="002B737A"/>
    <w:rsid w:val="002C167A"/>
    <w:rsid w:val="002C1CD6"/>
    <w:rsid w:val="002C1E75"/>
    <w:rsid w:val="002C3AEE"/>
    <w:rsid w:val="002C5257"/>
    <w:rsid w:val="002C54E7"/>
    <w:rsid w:val="002C571F"/>
    <w:rsid w:val="002C5E1A"/>
    <w:rsid w:val="002D29C7"/>
    <w:rsid w:val="002D4369"/>
    <w:rsid w:val="002D4E00"/>
    <w:rsid w:val="002D6F93"/>
    <w:rsid w:val="002D7584"/>
    <w:rsid w:val="002D7864"/>
    <w:rsid w:val="002D78F7"/>
    <w:rsid w:val="002E1368"/>
    <w:rsid w:val="002E147E"/>
    <w:rsid w:val="002E26C6"/>
    <w:rsid w:val="002E33D7"/>
    <w:rsid w:val="002E4202"/>
    <w:rsid w:val="002E455F"/>
    <w:rsid w:val="002E4618"/>
    <w:rsid w:val="002E6B84"/>
    <w:rsid w:val="002E6BE0"/>
    <w:rsid w:val="002E7C5D"/>
    <w:rsid w:val="002F1652"/>
    <w:rsid w:val="002F1A99"/>
    <w:rsid w:val="002F27CA"/>
    <w:rsid w:val="002F4237"/>
    <w:rsid w:val="002F50C6"/>
    <w:rsid w:val="002F7EA4"/>
    <w:rsid w:val="00300939"/>
    <w:rsid w:val="00300ACA"/>
    <w:rsid w:val="00300D75"/>
    <w:rsid w:val="003030CC"/>
    <w:rsid w:val="0030523D"/>
    <w:rsid w:val="00307417"/>
    <w:rsid w:val="00311FD5"/>
    <w:rsid w:val="00313961"/>
    <w:rsid w:val="003140D5"/>
    <w:rsid w:val="003208FA"/>
    <w:rsid w:val="00323CBD"/>
    <w:rsid w:val="0032488E"/>
    <w:rsid w:val="00330897"/>
    <w:rsid w:val="003311E6"/>
    <w:rsid w:val="003332AB"/>
    <w:rsid w:val="0033457E"/>
    <w:rsid w:val="0033569A"/>
    <w:rsid w:val="003370D2"/>
    <w:rsid w:val="003376DF"/>
    <w:rsid w:val="003379D8"/>
    <w:rsid w:val="00340C8E"/>
    <w:rsid w:val="00343805"/>
    <w:rsid w:val="00345F0A"/>
    <w:rsid w:val="00347051"/>
    <w:rsid w:val="00350002"/>
    <w:rsid w:val="00351067"/>
    <w:rsid w:val="0035429A"/>
    <w:rsid w:val="0035511C"/>
    <w:rsid w:val="00356A8B"/>
    <w:rsid w:val="00356AD0"/>
    <w:rsid w:val="00356BA1"/>
    <w:rsid w:val="00356FCF"/>
    <w:rsid w:val="00357790"/>
    <w:rsid w:val="00360C5E"/>
    <w:rsid w:val="00362D8A"/>
    <w:rsid w:val="003636FC"/>
    <w:rsid w:val="00365287"/>
    <w:rsid w:val="00371649"/>
    <w:rsid w:val="00373484"/>
    <w:rsid w:val="00376A01"/>
    <w:rsid w:val="00376FC1"/>
    <w:rsid w:val="003777EA"/>
    <w:rsid w:val="003805D2"/>
    <w:rsid w:val="00381F8D"/>
    <w:rsid w:val="00382D06"/>
    <w:rsid w:val="00384560"/>
    <w:rsid w:val="00386B8A"/>
    <w:rsid w:val="0039137B"/>
    <w:rsid w:val="003918B7"/>
    <w:rsid w:val="00395746"/>
    <w:rsid w:val="003970BE"/>
    <w:rsid w:val="003979DE"/>
    <w:rsid w:val="003A068D"/>
    <w:rsid w:val="003A0E30"/>
    <w:rsid w:val="003A453B"/>
    <w:rsid w:val="003A4F00"/>
    <w:rsid w:val="003B0030"/>
    <w:rsid w:val="003B0AAC"/>
    <w:rsid w:val="003B4278"/>
    <w:rsid w:val="003C0446"/>
    <w:rsid w:val="003C08A4"/>
    <w:rsid w:val="003C3C2F"/>
    <w:rsid w:val="003C531B"/>
    <w:rsid w:val="003C53F4"/>
    <w:rsid w:val="003C64D3"/>
    <w:rsid w:val="003C64E0"/>
    <w:rsid w:val="003D182A"/>
    <w:rsid w:val="003D308B"/>
    <w:rsid w:val="003D363F"/>
    <w:rsid w:val="003D4E74"/>
    <w:rsid w:val="003D5EC2"/>
    <w:rsid w:val="003D6624"/>
    <w:rsid w:val="003E494A"/>
    <w:rsid w:val="003E4E86"/>
    <w:rsid w:val="003E61DA"/>
    <w:rsid w:val="003E71C0"/>
    <w:rsid w:val="003F0640"/>
    <w:rsid w:val="003F7517"/>
    <w:rsid w:val="00402721"/>
    <w:rsid w:val="004078AA"/>
    <w:rsid w:val="00410624"/>
    <w:rsid w:val="00420840"/>
    <w:rsid w:val="004210C5"/>
    <w:rsid w:val="00423EB8"/>
    <w:rsid w:val="00424539"/>
    <w:rsid w:val="004249B4"/>
    <w:rsid w:val="0042561E"/>
    <w:rsid w:val="0042581D"/>
    <w:rsid w:val="00426736"/>
    <w:rsid w:val="00431689"/>
    <w:rsid w:val="00431721"/>
    <w:rsid w:val="00435054"/>
    <w:rsid w:val="004368C5"/>
    <w:rsid w:val="00437A6E"/>
    <w:rsid w:val="004421F2"/>
    <w:rsid w:val="00442B47"/>
    <w:rsid w:val="00442BDF"/>
    <w:rsid w:val="004434A5"/>
    <w:rsid w:val="00445382"/>
    <w:rsid w:val="004478AE"/>
    <w:rsid w:val="00450385"/>
    <w:rsid w:val="00450D3B"/>
    <w:rsid w:val="00452907"/>
    <w:rsid w:val="004564D7"/>
    <w:rsid w:val="00456A59"/>
    <w:rsid w:val="004602F2"/>
    <w:rsid w:val="004617EA"/>
    <w:rsid w:val="00462308"/>
    <w:rsid w:val="00467669"/>
    <w:rsid w:val="00470D03"/>
    <w:rsid w:val="004714BA"/>
    <w:rsid w:val="00473037"/>
    <w:rsid w:val="00473371"/>
    <w:rsid w:val="00473DA8"/>
    <w:rsid w:val="00473E76"/>
    <w:rsid w:val="00474B5D"/>
    <w:rsid w:val="00475906"/>
    <w:rsid w:val="004823EF"/>
    <w:rsid w:val="0048244D"/>
    <w:rsid w:val="00483327"/>
    <w:rsid w:val="004840D0"/>
    <w:rsid w:val="00484351"/>
    <w:rsid w:val="00484DB6"/>
    <w:rsid w:val="004857AE"/>
    <w:rsid w:val="004869E4"/>
    <w:rsid w:val="00487558"/>
    <w:rsid w:val="004876EE"/>
    <w:rsid w:val="00487742"/>
    <w:rsid w:val="00493FE5"/>
    <w:rsid w:val="00494BDC"/>
    <w:rsid w:val="00494E6E"/>
    <w:rsid w:val="00495C1F"/>
    <w:rsid w:val="0049738C"/>
    <w:rsid w:val="004A1160"/>
    <w:rsid w:val="004A167E"/>
    <w:rsid w:val="004A21B2"/>
    <w:rsid w:val="004A2F7B"/>
    <w:rsid w:val="004A3261"/>
    <w:rsid w:val="004A383B"/>
    <w:rsid w:val="004A3FA5"/>
    <w:rsid w:val="004B2494"/>
    <w:rsid w:val="004B3A59"/>
    <w:rsid w:val="004B3A79"/>
    <w:rsid w:val="004B451F"/>
    <w:rsid w:val="004B52C3"/>
    <w:rsid w:val="004B7A5A"/>
    <w:rsid w:val="004C1201"/>
    <w:rsid w:val="004C19AB"/>
    <w:rsid w:val="004C1B7A"/>
    <w:rsid w:val="004C3C2F"/>
    <w:rsid w:val="004C3FBA"/>
    <w:rsid w:val="004C43FE"/>
    <w:rsid w:val="004C4B32"/>
    <w:rsid w:val="004C613C"/>
    <w:rsid w:val="004C7D80"/>
    <w:rsid w:val="004D0C3A"/>
    <w:rsid w:val="004D2C56"/>
    <w:rsid w:val="004D3E6C"/>
    <w:rsid w:val="004D3E9C"/>
    <w:rsid w:val="004D4BD0"/>
    <w:rsid w:val="004D5EFD"/>
    <w:rsid w:val="004D6A36"/>
    <w:rsid w:val="004E084F"/>
    <w:rsid w:val="004E3F7F"/>
    <w:rsid w:val="004E3F85"/>
    <w:rsid w:val="004E4612"/>
    <w:rsid w:val="004E4981"/>
    <w:rsid w:val="004E4DAC"/>
    <w:rsid w:val="004E66A4"/>
    <w:rsid w:val="004E6927"/>
    <w:rsid w:val="004F08F8"/>
    <w:rsid w:val="004F3440"/>
    <w:rsid w:val="004F3763"/>
    <w:rsid w:val="004F4C0D"/>
    <w:rsid w:val="004F4D21"/>
    <w:rsid w:val="004F5704"/>
    <w:rsid w:val="004F5B95"/>
    <w:rsid w:val="004F62F9"/>
    <w:rsid w:val="00502419"/>
    <w:rsid w:val="0050552A"/>
    <w:rsid w:val="0050796D"/>
    <w:rsid w:val="005117E4"/>
    <w:rsid w:val="00514048"/>
    <w:rsid w:val="005155D1"/>
    <w:rsid w:val="0052640E"/>
    <w:rsid w:val="0052734A"/>
    <w:rsid w:val="00527A94"/>
    <w:rsid w:val="00531850"/>
    <w:rsid w:val="00532251"/>
    <w:rsid w:val="00532604"/>
    <w:rsid w:val="00535025"/>
    <w:rsid w:val="00535F75"/>
    <w:rsid w:val="00536B0A"/>
    <w:rsid w:val="0053746A"/>
    <w:rsid w:val="00540CE0"/>
    <w:rsid w:val="00540F8F"/>
    <w:rsid w:val="00541132"/>
    <w:rsid w:val="0054153B"/>
    <w:rsid w:val="00547D6F"/>
    <w:rsid w:val="005501A6"/>
    <w:rsid w:val="00551943"/>
    <w:rsid w:val="00553817"/>
    <w:rsid w:val="00555355"/>
    <w:rsid w:val="00556A21"/>
    <w:rsid w:val="00560C34"/>
    <w:rsid w:val="00560CD8"/>
    <w:rsid w:val="00565115"/>
    <w:rsid w:val="0056756C"/>
    <w:rsid w:val="00576014"/>
    <w:rsid w:val="0057752B"/>
    <w:rsid w:val="00580239"/>
    <w:rsid w:val="00581D67"/>
    <w:rsid w:val="00582BAA"/>
    <w:rsid w:val="00585D0A"/>
    <w:rsid w:val="00585DBC"/>
    <w:rsid w:val="00585E7B"/>
    <w:rsid w:val="005907BE"/>
    <w:rsid w:val="00591D6A"/>
    <w:rsid w:val="005922B4"/>
    <w:rsid w:val="005A0C9F"/>
    <w:rsid w:val="005A14BF"/>
    <w:rsid w:val="005A1630"/>
    <w:rsid w:val="005A201A"/>
    <w:rsid w:val="005A4675"/>
    <w:rsid w:val="005A62B7"/>
    <w:rsid w:val="005A69A9"/>
    <w:rsid w:val="005B2F80"/>
    <w:rsid w:val="005B552B"/>
    <w:rsid w:val="005B7D48"/>
    <w:rsid w:val="005C0C06"/>
    <w:rsid w:val="005C26A1"/>
    <w:rsid w:val="005C5A91"/>
    <w:rsid w:val="005C769A"/>
    <w:rsid w:val="005D12F6"/>
    <w:rsid w:val="005D1407"/>
    <w:rsid w:val="005D16E3"/>
    <w:rsid w:val="005D29A5"/>
    <w:rsid w:val="005D35ED"/>
    <w:rsid w:val="005D430F"/>
    <w:rsid w:val="005D58EE"/>
    <w:rsid w:val="005D6FE2"/>
    <w:rsid w:val="005E0AC0"/>
    <w:rsid w:val="005E0FF8"/>
    <w:rsid w:val="005E12BF"/>
    <w:rsid w:val="005E18AD"/>
    <w:rsid w:val="005E1BF9"/>
    <w:rsid w:val="005E2C6A"/>
    <w:rsid w:val="005E3B9D"/>
    <w:rsid w:val="005E3F75"/>
    <w:rsid w:val="005F16D2"/>
    <w:rsid w:val="005F6FA6"/>
    <w:rsid w:val="005F7A38"/>
    <w:rsid w:val="00615AA5"/>
    <w:rsid w:val="006225CF"/>
    <w:rsid w:val="0062380D"/>
    <w:rsid w:val="006333A4"/>
    <w:rsid w:val="00633D23"/>
    <w:rsid w:val="00637A31"/>
    <w:rsid w:val="00641DCD"/>
    <w:rsid w:val="00643CF0"/>
    <w:rsid w:val="00644464"/>
    <w:rsid w:val="00644B26"/>
    <w:rsid w:val="00650041"/>
    <w:rsid w:val="00650062"/>
    <w:rsid w:val="0065101B"/>
    <w:rsid w:val="00652A91"/>
    <w:rsid w:val="006532E9"/>
    <w:rsid w:val="00655622"/>
    <w:rsid w:val="006603BE"/>
    <w:rsid w:val="00661C9D"/>
    <w:rsid w:val="0066261B"/>
    <w:rsid w:val="00667E20"/>
    <w:rsid w:val="00674058"/>
    <w:rsid w:val="00675628"/>
    <w:rsid w:val="00676A1C"/>
    <w:rsid w:val="00681D9F"/>
    <w:rsid w:val="006825C5"/>
    <w:rsid w:val="00682C45"/>
    <w:rsid w:val="00682EC3"/>
    <w:rsid w:val="00686499"/>
    <w:rsid w:val="00687A6D"/>
    <w:rsid w:val="006901EF"/>
    <w:rsid w:val="00691245"/>
    <w:rsid w:val="006920F7"/>
    <w:rsid w:val="0069414B"/>
    <w:rsid w:val="00694696"/>
    <w:rsid w:val="00695E2F"/>
    <w:rsid w:val="0069696F"/>
    <w:rsid w:val="006A016E"/>
    <w:rsid w:val="006A0846"/>
    <w:rsid w:val="006A1D50"/>
    <w:rsid w:val="006A2923"/>
    <w:rsid w:val="006A37E3"/>
    <w:rsid w:val="006A3973"/>
    <w:rsid w:val="006A6F3A"/>
    <w:rsid w:val="006B2EE6"/>
    <w:rsid w:val="006B4175"/>
    <w:rsid w:val="006B4647"/>
    <w:rsid w:val="006B63A8"/>
    <w:rsid w:val="006C0B27"/>
    <w:rsid w:val="006C0BA8"/>
    <w:rsid w:val="006C46AA"/>
    <w:rsid w:val="006C5199"/>
    <w:rsid w:val="006D2F82"/>
    <w:rsid w:val="006D4733"/>
    <w:rsid w:val="006D522D"/>
    <w:rsid w:val="006D5A1B"/>
    <w:rsid w:val="006D6CFE"/>
    <w:rsid w:val="006E1561"/>
    <w:rsid w:val="006E3238"/>
    <w:rsid w:val="006E4B83"/>
    <w:rsid w:val="006E4C85"/>
    <w:rsid w:val="006E6315"/>
    <w:rsid w:val="006F1D22"/>
    <w:rsid w:val="006F1DBA"/>
    <w:rsid w:val="006F2B12"/>
    <w:rsid w:val="006F5BA4"/>
    <w:rsid w:val="006F6BDC"/>
    <w:rsid w:val="006F7FCE"/>
    <w:rsid w:val="00706FAB"/>
    <w:rsid w:val="0070703D"/>
    <w:rsid w:val="007113A9"/>
    <w:rsid w:val="00714298"/>
    <w:rsid w:val="00714323"/>
    <w:rsid w:val="0071464D"/>
    <w:rsid w:val="007156F1"/>
    <w:rsid w:val="00715CDD"/>
    <w:rsid w:val="007207F3"/>
    <w:rsid w:val="00720E9A"/>
    <w:rsid w:val="00724814"/>
    <w:rsid w:val="00725528"/>
    <w:rsid w:val="00726740"/>
    <w:rsid w:val="00727D7D"/>
    <w:rsid w:val="00731B21"/>
    <w:rsid w:val="00731F2F"/>
    <w:rsid w:val="00732893"/>
    <w:rsid w:val="0073491B"/>
    <w:rsid w:val="0073585A"/>
    <w:rsid w:val="00737A5A"/>
    <w:rsid w:val="00741AFD"/>
    <w:rsid w:val="00743547"/>
    <w:rsid w:val="00744D61"/>
    <w:rsid w:val="00745C05"/>
    <w:rsid w:val="00746A2E"/>
    <w:rsid w:val="00753456"/>
    <w:rsid w:val="007548CD"/>
    <w:rsid w:val="007619BA"/>
    <w:rsid w:val="00762226"/>
    <w:rsid w:val="00762862"/>
    <w:rsid w:val="00765476"/>
    <w:rsid w:val="00765BCC"/>
    <w:rsid w:val="00771C06"/>
    <w:rsid w:val="00775EDE"/>
    <w:rsid w:val="007760DE"/>
    <w:rsid w:val="007826AA"/>
    <w:rsid w:val="00783183"/>
    <w:rsid w:val="00786DDF"/>
    <w:rsid w:val="0078704A"/>
    <w:rsid w:val="00787D25"/>
    <w:rsid w:val="00791B9A"/>
    <w:rsid w:val="0079324F"/>
    <w:rsid w:val="00794002"/>
    <w:rsid w:val="00794A2B"/>
    <w:rsid w:val="00797A96"/>
    <w:rsid w:val="007A1860"/>
    <w:rsid w:val="007A3E89"/>
    <w:rsid w:val="007A4DEC"/>
    <w:rsid w:val="007B3205"/>
    <w:rsid w:val="007B3237"/>
    <w:rsid w:val="007B5A16"/>
    <w:rsid w:val="007C00FA"/>
    <w:rsid w:val="007C0A5D"/>
    <w:rsid w:val="007C10BC"/>
    <w:rsid w:val="007C3A0D"/>
    <w:rsid w:val="007C3FE6"/>
    <w:rsid w:val="007C5FFB"/>
    <w:rsid w:val="007C6EC6"/>
    <w:rsid w:val="007D03A1"/>
    <w:rsid w:val="007D1888"/>
    <w:rsid w:val="007D259B"/>
    <w:rsid w:val="007D3775"/>
    <w:rsid w:val="007D396A"/>
    <w:rsid w:val="007D7037"/>
    <w:rsid w:val="007D7BED"/>
    <w:rsid w:val="007E059C"/>
    <w:rsid w:val="007E05E0"/>
    <w:rsid w:val="007E180D"/>
    <w:rsid w:val="007E2918"/>
    <w:rsid w:val="007E4510"/>
    <w:rsid w:val="007E6104"/>
    <w:rsid w:val="007E62C1"/>
    <w:rsid w:val="007E663E"/>
    <w:rsid w:val="007E6BEA"/>
    <w:rsid w:val="007F0085"/>
    <w:rsid w:val="007F0D9A"/>
    <w:rsid w:val="007F3457"/>
    <w:rsid w:val="007F4BF4"/>
    <w:rsid w:val="007F5638"/>
    <w:rsid w:val="007F5F25"/>
    <w:rsid w:val="007F6CE9"/>
    <w:rsid w:val="00800DFF"/>
    <w:rsid w:val="00802A5A"/>
    <w:rsid w:val="00812835"/>
    <w:rsid w:val="00813877"/>
    <w:rsid w:val="00814B33"/>
    <w:rsid w:val="008160A7"/>
    <w:rsid w:val="00816159"/>
    <w:rsid w:val="00816620"/>
    <w:rsid w:val="0081697B"/>
    <w:rsid w:val="00821327"/>
    <w:rsid w:val="00821A94"/>
    <w:rsid w:val="00823012"/>
    <w:rsid w:val="0082652B"/>
    <w:rsid w:val="00826534"/>
    <w:rsid w:val="00830578"/>
    <w:rsid w:val="0083606F"/>
    <w:rsid w:val="00836158"/>
    <w:rsid w:val="008421E0"/>
    <w:rsid w:val="00842214"/>
    <w:rsid w:val="00844712"/>
    <w:rsid w:val="00847203"/>
    <w:rsid w:val="00847516"/>
    <w:rsid w:val="00847620"/>
    <w:rsid w:val="00850F9E"/>
    <w:rsid w:val="008531B3"/>
    <w:rsid w:val="008544A7"/>
    <w:rsid w:val="008545AC"/>
    <w:rsid w:val="00855444"/>
    <w:rsid w:val="00857E5B"/>
    <w:rsid w:val="00860114"/>
    <w:rsid w:val="00860164"/>
    <w:rsid w:val="008612C1"/>
    <w:rsid w:val="0086359C"/>
    <w:rsid w:val="00864771"/>
    <w:rsid w:val="00867419"/>
    <w:rsid w:val="008707E7"/>
    <w:rsid w:val="00871E9F"/>
    <w:rsid w:val="008761C4"/>
    <w:rsid w:val="00877476"/>
    <w:rsid w:val="00882232"/>
    <w:rsid w:val="008849AA"/>
    <w:rsid w:val="00884DD9"/>
    <w:rsid w:val="00890733"/>
    <w:rsid w:val="00891BA0"/>
    <w:rsid w:val="00892643"/>
    <w:rsid w:val="008927D3"/>
    <w:rsid w:val="008938B7"/>
    <w:rsid w:val="00893969"/>
    <w:rsid w:val="008944F0"/>
    <w:rsid w:val="008964CD"/>
    <w:rsid w:val="008A0563"/>
    <w:rsid w:val="008A20D4"/>
    <w:rsid w:val="008A367D"/>
    <w:rsid w:val="008A3903"/>
    <w:rsid w:val="008A3DC6"/>
    <w:rsid w:val="008A4318"/>
    <w:rsid w:val="008A4F02"/>
    <w:rsid w:val="008A6FA9"/>
    <w:rsid w:val="008A7B88"/>
    <w:rsid w:val="008B0776"/>
    <w:rsid w:val="008B12CE"/>
    <w:rsid w:val="008B2732"/>
    <w:rsid w:val="008B459C"/>
    <w:rsid w:val="008B4FC8"/>
    <w:rsid w:val="008B69F9"/>
    <w:rsid w:val="008B7471"/>
    <w:rsid w:val="008B7AB5"/>
    <w:rsid w:val="008B7AB8"/>
    <w:rsid w:val="008C089B"/>
    <w:rsid w:val="008C1169"/>
    <w:rsid w:val="008C25C2"/>
    <w:rsid w:val="008C2D30"/>
    <w:rsid w:val="008C7A94"/>
    <w:rsid w:val="008D249D"/>
    <w:rsid w:val="008D3186"/>
    <w:rsid w:val="008E0408"/>
    <w:rsid w:val="008E3746"/>
    <w:rsid w:val="008E3E9D"/>
    <w:rsid w:val="008E3EE0"/>
    <w:rsid w:val="008E522D"/>
    <w:rsid w:val="008E536B"/>
    <w:rsid w:val="008E72AB"/>
    <w:rsid w:val="008E7C3E"/>
    <w:rsid w:val="008F007E"/>
    <w:rsid w:val="008F1C90"/>
    <w:rsid w:val="008F27DA"/>
    <w:rsid w:val="008F47C0"/>
    <w:rsid w:val="008F68AE"/>
    <w:rsid w:val="008F6BB0"/>
    <w:rsid w:val="008F7171"/>
    <w:rsid w:val="00900812"/>
    <w:rsid w:val="009008B6"/>
    <w:rsid w:val="00905B45"/>
    <w:rsid w:val="00910130"/>
    <w:rsid w:val="0091259D"/>
    <w:rsid w:val="0091399D"/>
    <w:rsid w:val="00914524"/>
    <w:rsid w:val="0091507A"/>
    <w:rsid w:val="00915BD2"/>
    <w:rsid w:val="0091681A"/>
    <w:rsid w:val="00916829"/>
    <w:rsid w:val="00920841"/>
    <w:rsid w:val="009246B4"/>
    <w:rsid w:val="0092482A"/>
    <w:rsid w:val="00925598"/>
    <w:rsid w:val="00925E70"/>
    <w:rsid w:val="009267B7"/>
    <w:rsid w:val="00926C85"/>
    <w:rsid w:val="009307E2"/>
    <w:rsid w:val="00930885"/>
    <w:rsid w:val="00932AF4"/>
    <w:rsid w:val="009332ED"/>
    <w:rsid w:val="0093387F"/>
    <w:rsid w:val="00934177"/>
    <w:rsid w:val="00936B50"/>
    <w:rsid w:val="009370D5"/>
    <w:rsid w:val="00937224"/>
    <w:rsid w:val="00937C74"/>
    <w:rsid w:val="00940623"/>
    <w:rsid w:val="00941AE5"/>
    <w:rsid w:val="009423CA"/>
    <w:rsid w:val="00942E03"/>
    <w:rsid w:val="00943CDD"/>
    <w:rsid w:val="00946BAC"/>
    <w:rsid w:val="00954E0E"/>
    <w:rsid w:val="0095645D"/>
    <w:rsid w:val="00961A68"/>
    <w:rsid w:val="00961FAB"/>
    <w:rsid w:val="00962BB2"/>
    <w:rsid w:val="00962D5E"/>
    <w:rsid w:val="00966650"/>
    <w:rsid w:val="00967D93"/>
    <w:rsid w:val="0097100E"/>
    <w:rsid w:val="00972C35"/>
    <w:rsid w:val="00974805"/>
    <w:rsid w:val="00975398"/>
    <w:rsid w:val="009776F0"/>
    <w:rsid w:val="00977940"/>
    <w:rsid w:val="00980972"/>
    <w:rsid w:val="00981783"/>
    <w:rsid w:val="00983703"/>
    <w:rsid w:val="00984439"/>
    <w:rsid w:val="00985985"/>
    <w:rsid w:val="00990A2D"/>
    <w:rsid w:val="009918CD"/>
    <w:rsid w:val="00991F14"/>
    <w:rsid w:val="00991FB6"/>
    <w:rsid w:val="00992C30"/>
    <w:rsid w:val="00993463"/>
    <w:rsid w:val="00993B65"/>
    <w:rsid w:val="00996C81"/>
    <w:rsid w:val="009A0F0A"/>
    <w:rsid w:val="009A4966"/>
    <w:rsid w:val="009A4A07"/>
    <w:rsid w:val="009A5E1A"/>
    <w:rsid w:val="009A65E9"/>
    <w:rsid w:val="009B04E7"/>
    <w:rsid w:val="009B370F"/>
    <w:rsid w:val="009B3AFA"/>
    <w:rsid w:val="009B4C36"/>
    <w:rsid w:val="009B5347"/>
    <w:rsid w:val="009B78FC"/>
    <w:rsid w:val="009C0FA6"/>
    <w:rsid w:val="009D0CF9"/>
    <w:rsid w:val="009D173F"/>
    <w:rsid w:val="009D40C4"/>
    <w:rsid w:val="009D413B"/>
    <w:rsid w:val="009D42E9"/>
    <w:rsid w:val="009D46DB"/>
    <w:rsid w:val="009D4D7F"/>
    <w:rsid w:val="009D7700"/>
    <w:rsid w:val="009E022D"/>
    <w:rsid w:val="009E0A2F"/>
    <w:rsid w:val="009E0BCA"/>
    <w:rsid w:val="009E1144"/>
    <w:rsid w:val="009E3834"/>
    <w:rsid w:val="009E3F16"/>
    <w:rsid w:val="009E4ACB"/>
    <w:rsid w:val="009E4C0B"/>
    <w:rsid w:val="009E6A82"/>
    <w:rsid w:val="009F09D0"/>
    <w:rsid w:val="009F3BB4"/>
    <w:rsid w:val="009F462A"/>
    <w:rsid w:val="009F58A4"/>
    <w:rsid w:val="009F7935"/>
    <w:rsid w:val="00A009BE"/>
    <w:rsid w:val="00A0126B"/>
    <w:rsid w:val="00A01685"/>
    <w:rsid w:val="00A04200"/>
    <w:rsid w:val="00A04CB3"/>
    <w:rsid w:val="00A05D77"/>
    <w:rsid w:val="00A07A5C"/>
    <w:rsid w:val="00A11BE0"/>
    <w:rsid w:val="00A139AA"/>
    <w:rsid w:val="00A146D3"/>
    <w:rsid w:val="00A1566C"/>
    <w:rsid w:val="00A172F8"/>
    <w:rsid w:val="00A20176"/>
    <w:rsid w:val="00A20EF1"/>
    <w:rsid w:val="00A257D9"/>
    <w:rsid w:val="00A26883"/>
    <w:rsid w:val="00A32B3D"/>
    <w:rsid w:val="00A33C47"/>
    <w:rsid w:val="00A35086"/>
    <w:rsid w:val="00A3757C"/>
    <w:rsid w:val="00A37B49"/>
    <w:rsid w:val="00A402D7"/>
    <w:rsid w:val="00A41096"/>
    <w:rsid w:val="00A4125F"/>
    <w:rsid w:val="00A433A3"/>
    <w:rsid w:val="00A453AB"/>
    <w:rsid w:val="00A460A1"/>
    <w:rsid w:val="00A47BDF"/>
    <w:rsid w:val="00A54F3E"/>
    <w:rsid w:val="00A550A8"/>
    <w:rsid w:val="00A55B15"/>
    <w:rsid w:val="00A5612B"/>
    <w:rsid w:val="00A577A5"/>
    <w:rsid w:val="00A6013E"/>
    <w:rsid w:val="00A603AC"/>
    <w:rsid w:val="00A60958"/>
    <w:rsid w:val="00A62D6A"/>
    <w:rsid w:val="00A65D42"/>
    <w:rsid w:val="00A7196E"/>
    <w:rsid w:val="00A72576"/>
    <w:rsid w:val="00A74324"/>
    <w:rsid w:val="00A74A66"/>
    <w:rsid w:val="00A76FBF"/>
    <w:rsid w:val="00A77092"/>
    <w:rsid w:val="00A81295"/>
    <w:rsid w:val="00A81CE3"/>
    <w:rsid w:val="00A82095"/>
    <w:rsid w:val="00A84ECC"/>
    <w:rsid w:val="00A85361"/>
    <w:rsid w:val="00A855AD"/>
    <w:rsid w:val="00A864B0"/>
    <w:rsid w:val="00A87A33"/>
    <w:rsid w:val="00A93CD2"/>
    <w:rsid w:val="00A93FC3"/>
    <w:rsid w:val="00A95D49"/>
    <w:rsid w:val="00A978AC"/>
    <w:rsid w:val="00A97E3C"/>
    <w:rsid w:val="00AA0BF9"/>
    <w:rsid w:val="00AA1166"/>
    <w:rsid w:val="00AA43E4"/>
    <w:rsid w:val="00AA5C3E"/>
    <w:rsid w:val="00AA7352"/>
    <w:rsid w:val="00AA7D45"/>
    <w:rsid w:val="00AB003C"/>
    <w:rsid w:val="00AB1713"/>
    <w:rsid w:val="00AB2BA1"/>
    <w:rsid w:val="00AB4B14"/>
    <w:rsid w:val="00AB4DE3"/>
    <w:rsid w:val="00AC0A66"/>
    <w:rsid w:val="00AC0ED6"/>
    <w:rsid w:val="00AC466A"/>
    <w:rsid w:val="00AC5430"/>
    <w:rsid w:val="00AD0FC3"/>
    <w:rsid w:val="00AD23EB"/>
    <w:rsid w:val="00AD3B25"/>
    <w:rsid w:val="00AD4BFC"/>
    <w:rsid w:val="00AD73E4"/>
    <w:rsid w:val="00AD7BB9"/>
    <w:rsid w:val="00AD7D22"/>
    <w:rsid w:val="00AE0F64"/>
    <w:rsid w:val="00AE15DB"/>
    <w:rsid w:val="00AE1E4C"/>
    <w:rsid w:val="00AE3564"/>
    <w:rsid w:val="00AE58EE"/>
    <w:rsid w:val="00AE6DE6"/>
    <w:rsid w:val="00AE7557"/>
    <w:rsid w:val="00AF13B8"/>
    <w:rsid w:val="00AF3DF2"/>
    <w:rsid w:val="00AF4DCA"/>
    <w:rsid w:val="00AF5872"/>
    <w:rsid w:val="00AF70F4"/>
    <w:rsid w:val="00B000F6"/>
    <w:rsid w:val="00B00148"/>
    <w:rsid w:val="00B00914"/>
    <w:rsid w:val="00B01B77"/>
    <w:rsid w:val="00B04792"/>
    <w:rsid w:val="00B0514E"/>
    <w:rsid w:val="00B05BE1"/>
    <w:rsid w:val="00B12527"/>
    <w:rsid w:val="00B15E5E"/>
    <w:rsid w:val="00B166BF"/>
    <w:rsid w:val="00B243EA"/>
    <w:rsid w:val="00B2552C"/>
    <w:rsid w:val="00B25E65"/>
    <w:rsid w:val="00B30804"/>
    <w:rsid w:val="00B31128"/>
    <w:rsid w:val="00B31AC1"/>
    <w:rsid w:val="00B3348B"/>
    <w:rsid w:val="00B365D7"/>
    <w:rsid w:val="00B37B5D"/>
    <w:rsid w:val="00B37E20"/>
    <w:rsid w:val="00B41BAF"/>
    <w:rsid w:val="00B44A5B"/>
    <w:rsid w:val="00B44DED"/>
    <w:rsid w:val="00B46265"/>
    <w:rsid w:val="00B5093D"/>
    <w:rsid w:val="00B517AE"/>
    <w:rsid w:val="00B52224"/>
    <w:rsid w:val="00B53963"/>
    <w:rsid w:val="00B5488C"/>
    <w:rsid w:val="00B57C35"/>
    <w:rsid w:val="00B622B1"/>
    <w:rsid w:val="00B62558"/>
    <w:rsid w:val="00B63B95"/>
    <w:rsid w:val="00B67554"/>
    <w:rsid w:val="00B675FC"/>
    <w:rsid w:val="00B74B48"/>
    <w:rsid w:val="00B80436"/>
    <w:rsid w:val="00B80BC4"/>
    <w:rsid w:val="00B815F3"/>
    <w:rsid w:val="00B822C7"/>
    <w:rsid w:val="00B84170"/>
    <w:rsid w:val="00B84211"/>
    <w:rsid w:val="00B84846"/>
    <w:rsid w:val="00B90D94"/>
    <w:rsid w:val="00B91090"/>
    <w:rsid w:val="00B9233E"/>
    <w:rsid w:val="00B937D9"/>
    <w:rsid w:val="00B93BAE"/>
    <w:rsid w:val="00B94BCF"/>
    <w:rsid w:val="00B97D21"/>
    <w:rsid w:val="00BA0115"/>
    <w:rsid w:val="00BA2700"/>
    <w:rsid w:val="00BA52C9"/>
    <w:rsid w:val="00BB1631"/>
    <w:rsid w:val="00BB26A9"/>
    <w:rsid w:val="00BB2AC4"/>
    <w:rsid w:val="00BB51DD"/>
    <w:rsid w:val="00BB6E97"/>
    <w:rsid w:val="00BB78BA"/>
    <w:rsid w:val="00BC221E"/>
    <w:rsid w:val="00BC232B"/>
    <w:rsid w:val="00BC2797"/>
    <w:rsid w:val="00BC3EE3"/>
    <w:rsid w:val="00BC43C4"/>
    <w:rsid w:val="00BC59E5"/>
    <w:rsid w:val="00BC610F"/>
    <w:rsid w:val="00BC6CE8"/>
    <w:rsid w:val="00BC7E94"/>
    <w:rsid w:val="00BD10A0"/>
    <w:rsid w:val="00BD1290"/>
    <w:rsid w:val="00BD18E4"/>
    <w:rsid w:val="00BD1E78"/>
    <w:rsid w:val="00BD5D60"/>
    <w:rsid w:val="00BD5D9B"/>
    <w:rsid w:val="00BD6299"/>
    <w:rsid w:val="00BE2AA0"/>
    <w:rsid w:val="00BE31DE"/>
    <w:rsid w:val="00BE3F32"/>
    <w:rsid w:val="00BE6531"/>
    <w:rsid w:val="00BE762A"/>
    <w:rsid w:val="00BE7801"/>
    <w:rsid w:val="00BE7BEE"/>
    <w:rsid w:val="00BE7FBA"/>
    <w:rsid w:val="00BF107C"/>
    <w:rsid w:val="00BF3D88"/>
    <w:rsid w:val="00BF4134"/>
    <w:rsid w:val="00BF5685"/>
    <w:rsid w:val="00BF5A48"/>
    <w:rsid w:val="00BF7239"/>
    <w:rsid w:val="00BF76F7"/>
    <w:rsid w:val="00BF7BCB"/>
    <w:rsid w:val="00C0009C"/>
    <w:rsid w:val="00C01BC9"/>
    <w:rsid w:val="00C0546D"/>
    <w:rsid w:val="00C05903"/>
    <w:rsid w:val="00C05A30"/>
    <w:rsid w:val="00C05CBC"/>
    <w:rsid w:val="00C06015"/>
    <w:rsid w:val="00C115D2"/>
    <w:rsid w:val="00C116D3"/>
    <w:rsid w:val="00C125F7"/>
    <w:rsid w:val="00C13665"/>
    <w:rsid w:val="00C14659"/>
    <w:rsid w:val="00C14D67"/>
    <w:rsid w:val="00C21339"/>
    <w:rsid w:val="00C23152"/>
    <w:rsid w:val="00C2366A"/>
    <w:rsid w:val="00C23DDB"/>
    <w:rsid w:val="00C25CE5"/>
    <w:rsid w:val="00C26BB6"/>
    <w:rsid w:val="00C26E3A"/>
    <w:rsid w:val="00C27FA0"/>
    <w:rsid w:val="00C32A84"/>
    <w:rsid w:val="00C34460"/>
    <w:rsid w:val="00C3507A"/>
    <w:rsid w:val="00C355F9"/>
    <w:rsid w:val="00C3563D"/>
    <w:rsid w:val="00C37CD4"/>
    <w:rsid w:val="00C40814"/>
    <w:rsid w:val="00C4587C"/>
    <w:rsid w:val="00C45B91"/>
    <w:rsid w:val="00C46051"/>
    <w:rsid w:val="00C477F4"/>
    <w:rsid w:val="00C47DEE"/>
    <w:rsid w:val="00C50195"/>
    <w:rsid w:val="00C51158"/>
    <w:rsid w:val="00C51939"/>
    <w:rsid w:val="00C51FE2"/>
    <w:rsid w:val="00C5211C"/>
    <w:rsid w:val="00C52307"/>
    <w:rsid w:val="00C532DF"/>
    <w:rsid w:val="00C54573"/>
    <w:rsid w:val="00C55882"/>
    <w:rsid w:val="00C55EA8"/>
    <w:rsid w:val="00C577C1"/>
    <w:rsid w:val="00C578B0"/>
    <w:rsid w:val="00C57D4E"/>
    <w:rsid w:val="00C627C5"/>
    <w:rsid w:val="00C639D7"/>
    <w:rsid w:val="00C63D35"/>
    <w:rsid w:val="00C66157"/>
    <w:rsid w:val="00C66239"/>
    <w:rsid w:val="00C6631A"/>
    <w:rsid w:val="00C71A4D"/>
    <w:rsid w:val="00C74BE7"/>
    <w:rsid w:val="00C75575"/>
    <w:rsid w:val="00C7574C"/>
    <w:rsid w:val="00C8418E"/>
    <w:rsid w:val="00C846E4"/>
    <w:rsid w:val="00C87956"/>
    <w:rsid w:val="00C87A29"/>
    <w:rsid w:val="00C92E6F"/>
    <w:rsid w:val="00C9392E"/>
    <w:rsid w:val="00C957C4"/>
    <w:rsid w:val="00C9681A"/>
    <w:rsid w:val="00CA176C"/>
    <w:rsid w:val="00CA2349"/>
    <w:rsid w:val="00CA565D"/>
    <w:rsid w:val="00CA6562"/>
    <w:rsid w:val="00CA72C8"/>
    <w:rsid w:val="00CA792B"/>
    <w:rsid w:val="00CA7F25"/>
    <w:rsid w:val="00CB53E6"/>
    <w:rsid w:val="00CB5CCB"/>
    <w:rsid w:val="00CB7E91"/>
    <w:rsid w:val="00CC071E"/>
    <w:rsid w:val="00CC18C4"/>
    <w:rsid w:val="00CC22E0"/>
    <w:rsid w:val="00CC5225"/>
    <w:rsid w:val="00CC64BF"/>
    <w:rsid w:val="00CD02A4"/>
    <w:rsid w:val="00CD0C4B"/>
    <w:rsid w:val="00CD5FF8"/>
    <w:rsid w:val="00CD66BA"/>
    <w:rsid w:val="00CE2F3A"/>
    <w:rsid w:val="00CE4F49"/>
    <w:rsid w:val="00CE5086"/>
    <w:rsid w:val="00CE7D0F"/>
    <w:rsid w:val="00CF015C"/>
    <w:rsid w:val="00CF1E71"/>
    <w:rsid w:val="00CF3A39"/>
    <w:rsid w:val="00CF5271"/>
    <w:rsid w:val="00CF595E"/>
    <w:rsid w:val="00CF7330"/>
    <w:rsid w:val="00D00206"/>
    <w:rsid w:val="00D00C63"/>
    <w:rsid w:val="00D03452"/>
    <w:rsid w:val="00D04047"/>
    <w:rsid w:val="00D07C6A"/>
    <w:rsid w:val="00D07F6E"/>
    <w:rsid w:val="00D103FA"/>
    <w:rsid w:val="00D106A1"/>
    <w:rsid w:val="00D13462"/>
    <w:rsid w:val="00D13AAB"/>
    <w:rsid w:val="00D21A18"/>
    <w:rsid w:val="00D226F4"/>
    <w:rsid w:val="00D30299"/>
    <w:rsid w:val="00D332FF"/>
    <w:rsid w:val="00D34C4A"/>
    <w:rsid w:val="00D3688C"/>
    <w:rsid w:val="00D42405"/>
    <w:rsid w:val="00D42F75"/>
    <w:rsid w:val="00D433EF"/>
    <w:rsid w:val="00D44557"/>
    <w:rsid w:val="00D5040D"/>
    <w:rsid w:val="00D50779"/>
    <w:rsid w:val="00D50E32"/>
    <w:rsid w:val="00D51245"/>
    <w:rsid w:val="00D54711"/>
    <w:rsid w:val="00D54DA0"/>
    <w:rsid w:val="00D56A4E"/>
    <w:rsid w:val="00D57107"/>
    <w:rsid w:val="00D571CD"/>
    <w:rsid w:val="00D601D2"/>
    <w:rsid w:val="00D60630"/>
    <w:rsid w:val="00D62651"/>
    <w:rsid w:val="00D62A83"/>
    <w:rsid w:val="00D63057"/>
    <w:rsid w:val="00D6722F"/>
    <w:rsid w:val="00D71B1F"/>
    <w:rsid w:val="00D7219E"/>
    <w:rsid w:val="00D73D28"/>
    <w:rsid w:val="00D74199"/>
    <w:rsid w:val="00D75FE4"/>
    <w:rsid w:val="00D778E1"/>
    <w:rsid w:val="00D8094E"/>
    <w:rsid w:val="00D8256F"/>
    <w:rsid w:val="00D873E2"/>
    <w:rsid w:val="00D8772D"/>
    <w:rsid w:val="00D87D38"/>
    <w:rsid w:val="00D87FD2"/>
    <w:rsid w:val="00D929E6"/>
    <w:rsid w:val="00D9571A"/>
    <w:rsid w:val="00D96F65"/>
    <w:rsid w:val="00D973E5"/>
    <w:rsid w:val="00DA03C6"/>
    <w:rsid w:val="00DA0515"/>
    <w:rsid w:val="00DA353D"/>
    <w:rsid w:val="00DA42C2"/>
    <w:rsid w:val="00DA4A02"/>
    <w:rsid w:val="00DA4EAC"/>
    <w:rsid w:val="00DA4F0E"/>
    <w:rsid w:val="00DA7B73"/>
    <w:rsid w:val="00DB04A9"/>
    <w:rsid w:val="00DB1E63"/>
    <w:rsid w:val="00DB1E70"/>
    <w:rsid w:val="00DB2945"/>
    <w:rsid w:val="00DB2FA4"/>
    <w:rsid w:val="00DB55CC"/>
    <w:rsid w:val="00DB5DFD"/>
    <w:rsid w:val="00DB6A84"/>
    <w:rsid w:val="00DB7856"/>
    <w:rsid w:val="00DC111A"/>
    <w:rsid w:val="00DC2972"/>
    <w:rsid w:val="00DC451D"/>
    <w:rsid w:val="00DC4A76"/>
    <w:rsid w:val="00DC6DBB"/>
    <w:rsid w:val="00DD170B"/>
    <w:rsid w:val="00DD3CE0"/>
    <w:rsid w:val="00DD4545"/>
    <w:rsid w:val="00DD57DB"/>
    <w:rsid w:val="00DD5F33"/>
    <w:rsid w:val="00DE0CB5"/>
    <w:rsid w:val="00DE4343"/>
    <w:rsid w:val="00DE6067"/>
    <w:rsid w:val="00DE67E6"/>
    <w:rsid w:val="00DF01D2"/>
    <w:rsid w:val="00DF0A6A"/>
    <w:rsid w:val="00DF3C59"/>
    <w:rsid w:val="00DF5014"/>
    <w:rsid w:val="00E0052C"/>
    <w:rsid w:val="00E01A50"/>
    <w:rsid w:val="00E01B5E"/>
    <w:rsid w:val="00E01F7F"/>
    <w:rsid w:val="00E030B3"/>
    <w:rsid w:val="00E034AD"/>
    <w:rsid w:val="00E0395C"/>
    <w:rsid w:val="00E05BAC"/>
    <w:rsid w:val="00E05FCF"/>
    <w:rsid w:val="00E0652C"/>
    <w:rsid w:val="00E075D7"/>
    <w:rsid w:val="00E12856"/>
    <w:rsid w:val="00E15B0C"/>
    <w:rsid w:val="00E1680F"/>
    <w:rsid w:val="00E20373"/>
    <w:rsid w:val="00E208D2"/>
    <w:rsid w:val="00E213B9"/>
    <w:rsid w:val="00E21DC0"/>
    <w:rsid w:val="00E22A0C"/>
    <w:rsid w:val="00E22BFA"/>
    <w:rsid w:val="00E24CC2"/>
    <w:rsid w:val="00E24FC3"/>
    <w:rsid w:val="00E25A0A"/>
    <w:rsid w:val="00E261D6"/>
    <w:rsid w:val="00E31FCD"/>
    <w:rsid w:val="00E338D8"/>
    <w:rsid w:val="00E34F4D"/>
    <w:rsid w:val="00E408F0"/>
    <w:rsid w:val="00E4426F"/>
    <w:rsid w:val="00E505DB"/>
    <w:rsid w:val="00E512F7"/>
    <w:rsid w:val="00E522DD"/>
    <w:rsid w:val="00E52A02"/>
    <w:rsid w:val="00E54D85"/>
    <w:rsid w:val="00E557A8"/>
    <w:rsid w:val="00E57C9B"/>
    <w:rsid w:val="00E60F8D"/>
    <w:rsid w:val="00E60FAD"/>
    <w:rsid w:val="00E62F03"/>
    <w:rsid w:val="00E67064"/>
    <w:rsid w:val="00E67426"/>
    <w:rsid w:val="00E709CF"/>
    <w:rsid w:val="00E70C96"/>
    <w:rsid w:val="00E717FE"/>
    <w:rsid w:val="00E71973"/>
    <w:rsid w:val="00E75009"/>
    <w:rsid w:val="00E750DC"/>
    <w:rsid w:val="00E76D3C"/>
    <w:rsid w:val="00E8126C"/>
    <w:rsid w:val="00E87496"/>
    <w:rsid w:val="00E8786E"/>
    <w:rsid w:val="00E87A71"/>
    <w:rsid w:val="00E90C78"/>
    <w:rsid w:val="00E9266B"/>
    <w:rsid w:val="00E96630"/>
    <w:rsid w:val="00E97233"/>
    <w:rsid w:val="00EA153D"/>
    <w:rsid w:val="00EA3C7B"/>
    <w:rsid w:val="00EA5AB9"/>
    <w:rsid w:val="00EA5B8C"/>
    <w:rsid w:val="00EA600D"/>
    <w:rsid w:val="00EA62A9"/>
    <w:rsid w:val="00EB0A66"/>
    <w:rsid w:val="00EB50D9"/>
    <w:rsid w:val="00EB7535"/>
    <w:rsid w:val="00EB7821"/>
    <w:rsid w:val="00EC0C69"/>
    <w:rsid w:val="00EC1595"/>
    <w:rsid w:val="00EC17E2"/>
    <w:rsid w:val="00EC4EF0"/>
    <w:rsid w:val="00EC7258"/>
    <w:rsid w:val="00ED2380"/>
    <w:rsid w:val="00ED23E9"/>
    <w:rsid w:val="00ED5D18"/>
    <w:rsid w:val="00ED72EB"/>
    <w:rsid w:val="00EE0318"/>
    <w:rsid w:val="00EE39AF"/>
    <w:rsid w:val="00EE5D02"/>
    <w:rsid w:val="00EE6148"/>
    <w:rsid w:val="00EE7C33"/>
    <w:rsid w:val="00EF0C8B"/>
    <w:rsid w:val="00EF10FB"/>
    <w:rsid w:val="00EF1BC9"/>
    <w:rsid w:val="00EF28EC"/>
    <w:rsid w:val="00EF51DF"/>
    <w:rsid w:val="00EF7473"/>
    <w:rsid w:val="00EF7F66"/>
    <w:rsid w:val="00F01653"/>
    <w:rsid w:val="00F03000"/>
    <w:rsid w:val="00F03F11"/>
    <w:rsid w:val="00F05CE4"/>
    <w:rsid w:val="00F062DC"/>
    <w:rsid w:val="00F07DCE"/>
    <w:rsid w:val="00F10A0B"/>
    <w:rsid w:val="00F10CE5"/>
    <w:rsid w:val="00F13A11"/>
    <w:rsid w:val="00F156F5"/>
    <w:rsid w:val="00F171DA"/>
    <w:rsid w:val="00F178E2"/>
    <w:rsid w:val="00F226AF"/>
    <w:rsid w:val="00F35131"/>
    <w:rsid w:val="00F352AF"/>
    <w:rsid w:val="00F35EFB"/>
    <w:rsid w:val="00F40502"/>
    <w:rsid w:val="00F407E2"/>
    <w:rsid w:val="00F412C8"/>
    <w:rsid w:val="00F423FB"/>
    <w:rsid w:val="00F43063"/>
    <w:rsid w:val="00F4692D"/>
    <w:rsid w:val="00F506DE"/>
    <w:rsid w:val="00F50D3D"/>
    <w:rsid w:val="00F51E31"/>
    <w:rsid w:val="00F54627"/>
    <w:rsid w:val="00F54FBB"/>
    <w:rsid w:val="00F56845"/>
    <w:rsid w:val="00F57611"/>
    <w:rsid w:val="00F65C7B"/>
    <w:rsid w:val="00F65CEE"/>
    <w:rsid w:val="00F66367"/>
    <w:rsid w:val="00F6741C"/>
    <w:rsid w:val="00F70B80"/>
    <w:rsid w:val="00F716A2"/>
    <w:rsid w:val="00F71CF0"/>
    <w:rsid w:val="00F71D85"/>
    <w:rsid w:val="00F72B00"/>
    <w:rsid w:val="00F72EE9"/>
    <w:rsid w:val="00F80206"/>
    <w:rsid w:val="00F8090C"/>
    <w:rsid w:val="00F812BD"/>
    <w:rsid w:val="00F822B6"/>
    <w:rsid w:val="00F82303"/>
    <w:rsid w:val="00F83868"/>
    <w:rsid w:val="00F84141"/>
    <w:rsid w:val="00F8625B"/>
    <w:rsid w:val="00F8691D"/>
    <w:rsid w:val="00F877F9"/>
    <w:rsid w:val="00F9000C"/>
    <w:rsid w:val="00F90129"/>
    <w:rsid w:val="00F9079D"/>
    <w:rsid w:val="00F91518"/>
    <w:rsid w:val="00F9183B"/>
    <w:rsid w:val="00F92AD0"/>
    <w:rsid w:val="00FA3356"/>
    <w:rsid w:val="00FA3871"/>
    <w:rsid w:val="00FA5A4E"/>
    <w:rsid w:val="00FA76AF"/>
    <w:rsid w:val="00FB0227"/>
    <w:rsid w:val="00FB0F48"/>
    <w:rsid w:val="00FB1C2D"/>
    <w:rsid w:val="00FB1E47"/>
    <w:rsid w:val="00FB31DF"/>
    <w:rsid w:val="00FB67F8"/>
    <w:rsid w:val="00FB7E51"/>
    <w:rsid w:val="00FC1D84"/>
    <w:rsid w:val="00FC5BEA"/>
    <w:rsid w:val="00FD178C"/>
    <w:rsid w:val="00FD3666"/>
    <w:rsid w:val="00FD68F7"/>
    <w:rsid w:val="00FD764A"/>
    <w:rsid w:val="00FD7752"/>
    <w:rsid w:val="00FE01C3"/>
    <w:rsid w:val="00FE0824"/>
    <w:rsid w:val="00FE13E6"/>
    <w:rsid w:val="00FE2B21"/>
    <w:rsid w:val="00FE3694"/>
    <w:rsid w:val="00FE3831"/>
    <w:rsid w:val="00FE4942"/>
    <w:rsid w:val="00FE5501"/>
    <w:rsid w:val="00FF2CAA"/>
    <w:rsid w:val="00FF564A"/>
    <w:rsid w:val="00FF58E2"/>
    <w:rsid w:val="00FF5E57"/>
    <w:rsid w:val="00FF613A"/>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46E593"/>
  <w15:docId w15:val="{037CB49D-4BAA-4F4E-AC5C-01759503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unhideWhenUsed/>
    <w:qFormat/>
    <w:rsid w:val="00902F77"/>
    <w:pPr>
      <w:spacing w:after="0" w:line="240" w:lineRule="auto"/>
    </w:pPr>
    <w:rPr>
      <w:sz w:val="24"/>
      <w:szCs w:val="24"/>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basedOn w:val="DefaultParagraphFont"/>
    <w:link w:val="FootnoteText"/>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Texto de nota al pie,Ref. de nota al pie2,Ref,fr"/>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uiPriority w:val="99"/>
    <w:rsid w:val="009365EC"/>
    <w:rPr>
      <w:b/>
      <w:bCs/>
    </w:rPr>
  </w:style>
  <w:style w:type="character" w:customStyle="1" w:styleId="CommentSubjectChar">
    <w:name w:val="Comment Subject Char"/>
    <w:basedOn w:val="CommentTextChar"/>
    <w:link w:val="CommentSubject"/>
    <w:uiPriority w:val="99"/>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6"/>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7"/>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styleId="Hyperlink">
    <w:name w:val="Hyperlink"/>
    <w:basedOn w:val="DefaultParagraphFont"/>
    <w:uiPriority w:val="99"/>
    <w:rsid w:val="009E0A2F"/>
    <w:rPr>
      <w:rFonts w:ascii="Times New Roman" w:hAnsi="Times New Roman"/>
      <w:color w:val="0000FF"/>
      <w:sz w:val="24"/>
      <w:u w:val="single"/>
    </w:rPr>
  </w:style>
  <w:style w:type="paragraph" w:customStyle="1" w:styleId="bullets">
    <w:name w:val="bullets"/>
    <w:rsid w:val="009E0A2F"/>
    <w:pPr>
      <w:numPr>
        <w:numId w:val="23"/>
      </w:numPr>
      <w:spacing w:before="120" w:after="120"/>
      <w:jc w:val="both"/>
    </w:pPr>
    <w:rPr>
      <w:rFonts w:ascii="Times New Roman" w:eastAsia="Times New Roman" w:hAnsi="Times New Roman"/>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231040951">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11960746">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439134109">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EC-LON/EC-L1227/_layouts/15/DocIdRedir.aspx?ID=EZSHARE-260759376-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69A0-85EC-4411-A08E-7E6CA66454F8}">
  <ds:schemaRefs>
    <ds:schemaRef ds:uri="http://schemas.openxmlformats.org/officeDocument/2006/bibliography"/>
  </ds:schemaRefs>
</ds:datastoreItem>
</file>

<file path=customXml/itemProps2.xml><?xml version="1.0" encoding="utf-8"?>
<ds:datastoreItem xmlns:ds="http://schemas.openxmlformats.org/officeDocument/2006/customXml" ds:itemID="{D295EB35-88B6-4D40-9CA9-CAE93A276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4717</Words>
  <Characters>26888</Characters>
  <Application>Microsoft Office Word</Application>
  <DocSecurity>0</DocSecurity>
  <Lines>224</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31542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Gibbons</dc:creator>
  <cp:lastModifiedBy>Rojas Gonzalez, Sonia Amalia</cp:lastModifiedBy>
  <cp:revision>3</cp:revision>
  <cp:lastPrinted>2017-09-26T22:53:00Z</cp:lastPrinted>
  <dcterms:created xsi:type="dcterms:W3CDTF">2017-09-27T21:58:00Z</dcterms:created>
  <dcterms:modified xsi:type="dcterms:W3CDTF">2017-09-27T21:59:00Z</dcterms:modified>
</cp:coreProperties>
</file>