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07" w:rsidRPr="00657C46" w:rsidRDefault="00F66E07" w:rsidP="00F66E07">
      <w:pPr>
        <w:jc w:val="center"/>
        <w:rPr>
          <w:b/>
        </w:rPr>
      </w:pPr>
      <w:r w:rsidRPr="00657C46">
        <w:rPr>
          <w:b/>
        </w:rPr>
        <w:t>PROGRAMA DE DELEGACIÓN DE AUTORIDAD</w:t>
      </w:r>
    </w:p>
    <w:tbl>
      <w:tblPr>
        <w:tblStyle w:val="TableGrid"/>
        <w:tblW w:w="10744" w:type="dxa"/>
        <w:tblInd w:w="-522" w:type="dxa"/>
        <w:tblLayout w:type="fixed"/>
        <w:tblLook w:val="04A0"/>
      </w:tblPr>
      <w:tblGrid>
        <w:gridCol w:w="2685"/>
        <w:gridCol w:w="895"/>
        <w:gridCol w:w="2090"/>
        <w:gridCol w:w="1047"/>
        <w:gridCol w:w="708"/>
        <w:gridCol w:w="366"/>
        <w:gridCol w:w="1389"/>
        <w:gridCol w:w="1116"/>
        <w:gridCol w:w="448"/>
      </w:tblGrid>
      <w:tr w:rsidR="00CF5429" w:rsidTr="000F40A1">
        <w:trPr>
          <w:trHeight w:val="307"/>
        </w:trPr>
        <w:tc>
          <w:tcPr>
            <w:tcW w:w="2685" w:type="dxa"/>
            <w:tcBorders>
              <w:top w:val="nil"/>
              <w:left w:val="nil"/>
            </w:tcBorders>
          </w:tcPr>
          <w:p w:rsidR="00CF5429" w:rsidRDefault="00CF5429">
            <w:pPr>
              <w:rPr>
                <w:lang w:val="es-ES_tradnl"/>
              </w:rPr>
            </w:pPr>
          </w:p>
        </w:tc>
        <w:tc>
          <w:tcPr>
            <w:tcW w:w="895" w:type="dxa"/>
          </w:tcPr>
          <w:p w:rsidR="00CF5429" w:rsidRPr="00CF5429" w:rsidRDefault="00CF5429">
            <w:pPr>
              <w:rPr>
                <w:b/>
              </w:rPr>
            </w:pPr>
            <w:r w:rsidRPr="00CF5429">
              <w:rPr>
                <w:b/>
              </w:rPr>
              <w:t>No. TC</w:t>
            </w:r>
          </w:p>
        </w:tc>
        <w:tc>
          <w:tcPr>
            <w:tcW w:w="3137" w:type="dxa"/>
            <w:gridSpan w:val="2"/>
          </w:tcPr>
          <w:p w:rsidR="00CF5429" w:rsidRDefault="00296DFD">
            <w:r w:rsidRPr="00296DFD">
              <w:t>PE-M1075</w:t>
            </w:r>
          </w:p>
        </w:tc>
        <w:tc>
          <w:tcPr>
            <w:tcW w:w="1074" w:type="dxa"/>
            <w:gridSpan w:val="2"/>
          </w:tcPr>
          <w:p w:rsidR="00CF5429" w:rsidRPr="000F40A1" w:rsidRDefault="00CF5429">
            <w:pPr>
              <w:rPr>
                <w:b/>
              </w:rPr>
            </w:pPr>
            <w:r w:rsidRPr="000F40A1">
              <w:rPr>
                <w:b/>
              </w:rPr>
              <w:t>Pobreza</w:t>
            </w:r>
          </w:p>
        </w:tc>
        <w:tc>
          <w:tcPr>
            <w:tcW w:w="2953" w:type="dxa"/>
            <w:gridSpan w:val="3"/>
          </w:tcPr>
          <w:p w:rsidR="00CF5429" w:rsidRDefault="00CF5429"/>
        </w:tc>
      </w:tr>
      <w:tr w:rsidR="00CF5429" w:rsidTr="000F40A1">
        <w:trPr>
          <w:trHeight w:val="307"/>
        </w:trPr>
        <w:tc>
          <w:tcPr>
            <w:tcW w:w="2685" w:type="dxa"/>
          </w:tcPr>
          <w:p w:rsidR="00CF5429" w:rsidRPr="000F40A1" w:rsidRDefault="00CF5429">
            <w:pPr>
              <w:rPr>
                <w:b/>
                <w:lang w:val="es-ES_tradnl"/>
              </w:rPr>
            </w:pPr>
            <w:r w:rsidRPr="000F40A1">
              <w:rPr>
                <w:b/>
                <w:lang w:val="es-ES_tradnl"/>
              </w:rPr>
              <w:t>Título Proyecto</w:t>
            </w:r>
          </w:p>
        </w:tc>
        <w:tc>
          <w:tcPr>
            <w:tcW w:w="8059" w:type="dxa"/>
            <w:gridSpan w:val="8"/>
          </w:tcPr>
          <w:p w:rsidR="00CF5429" w:rsidRDefault="005B5A6B">
            <w:r w:rsidRPr="005B5A6B">
              <w:t xml:space="preserve">Competitividad de </w:t>
            </w:r>
            <w:r w:rsidR="00907EF0">
              <w:t xml:space="preserve">la </w:t>
            </w:r>
            <w:r w:rsidRPr="005B5A6B">
              <w:t xml:space="preserve">cadena de alcachofa criolla </w:t>
            </w:r>
            <w:r w:rsidR="00907EF0">
              <w:t xml:space="preserve">en el </w:t>
            </w:r>
            <w:r w:rsidRPr="005B5A6B">
              <w:t>Valle de Mantaro</w:t>
            </w:r>
          </w:p>
        </w:tc>
      </w:tr>
      <w:tr w:rsidR="00CF5429" w:rsidTr="00F66E07">
        <w:trPr>
          <w:trHeight w:val="845"/>
        </w:trPr>
        <w:tc>
          <w:tcPr>
            <w:tcW w:w="2685" w:type="dxa"/>
          </w:tcPr>
          <w:p w:rsidR="00CF5429" w:rsidRPr="000F40A1" w:rsidRDefault="00CF5429">
            <w:pPr>
              <w:rPr>
                <w:b/>
              </w:rPr>
            </w:pPr>
            <w:r w:rsidRPr="000F40A1">
              <w:rPr>
                <w:b/>
              </w:rPr>
              <w:t>Clasificación</w:t>
            </w:r>
          </w:p>
        </w:tc>
        <w:tc>
          <w:tcPr>
            <w:tcW w:w="8059" w:type="dxa"/>
            <w:gridSpan w:val="8"/>
          </w:tcPr>
          <w:p w:rsidR="00CF5429" w:rsidRDefault="00296DFD">
            <w:r>
              <w:t>SME/PINT</w:t>
            </w:r>
          </w:p>
          <w:p w:rsidR="00907EF0" w:rsidRDefault="00907EF0" w:rsidP="00907EF0">
            <w:r w:rsidRPr="00907EF0">
              <w:t>Desarrollo de la pequeña y mediana empresa</w:t>
            </w:r>
            <w:r>
              <w:t xml:space="preserve">, </w:t>
            </w:r>
            <w:r w:rsidRPr="00907EF0">
              <w:t>Integración productiva y alianzas estratégicas</w:t>
            </w:r>
          </w:p>
        </w:tc>
      </w:tr>
      <w:tr w:rsidR="000F40A1" w:rsidTr="00F66E07">
        <w:trPr>
          <w:trHeight w:val="512"/>
        </w:trPr>
        <w:tc>
          <w:tcPr>
            <w:tcW w:w="2685" w:type="dxa"/>
            <w:vMerge w:val="restart"/>
          </w:tcPr>
          <w:p w:rsidR="00CF5429" w:rsidRPr="000F40A1" w:rsidRDefault="00CF5429">
            <w:pPr>
              <w:rPr>
                <w:b/>
              </w:rPr>
            </w:pPr>
            <w:r w:rsidRPr="000F40A1">
              <w:rPr>
                <w:b/>
              </w:rPr>
              <w:t>Organismo Ejecutor:</w:t>
            </w:r>
          </w:p>
        </w:tc>
        <w:tc>
          <w:tcPr>
            <w:tcW w:w="2985" w:type="dxa"/>
            <w:gridSpan w:val="2"/>
            <w:vMerge w:val="restart"/>
          </w:tcPr>
          <w:p w:rsidR="00CF5429" w:rsidRDefault="00AC7366">
            <w:r w:rsidRPr="00AC7366">
              <w:rPr>
                <w:rFonts w:ascii="Arial Narrow" w:hAnsi="Arial Narrow" w:cs="Times New Roman"/>
                <w:sz w:val="24"/>
                <w:szCs w:val="24"/>
                <w:lang w:val="es-ES_tradnl"/>
              </w:rPr>
              <w:t xml:space="preserve">Fomento de la Vida - </w:t>
            </w:r>
            <w:r w:rsidR="00BE048F" w:rsidRPr="00AC7366">
              <w:rPr>
                <w:rFonts w:ascii="Arial Narrow" w:hAnsi="Arial Narrow" w:cs="Times New Roman"/>
                <w:sz w:val="24"/>
                <w:szCs w:val="24"/>
                <w:lang w:val="es-ES_tradnl"/>
              </w:rPr>
              <w:t>FOVIDA</w:t>
            </w:r>
          </w:p>
        </w:tc>
        <w:tc>
          <w:tcPr>
            <w:tcW w:w="3510" w:type="dxa"/>
            <w:gridSpan w:val="4"/>
          </w:tcPr>
          <w:p w:rsidR="00CF5429" w:rsidRPr="000F40A1" w:rsidRDefault="00CF5429">
            <w:pPr>
              <w:rPr>
                <w:b/>
              </w:rPr>
            </w:pPr>
            <w:r w:rsidRPr="000F40A1">
              <w:rPr>
                <w:b/>
              </w:rPr>
              <w:t>1er Proyecto con el FOMIN o el BID</w:t>
            </w:r>
          </w:p>
        </w:tc>
        <w:tc>
          <w:tcPr>
            <w:tcW w:w="1116" w:type="dxa"/>
          </w:tcPr>
          <w:p w:rsidR="00CF5429" w:rsidRPr="000F40A1" w:rsidRDefault="00CD7A15">
            <w:pPr>
              <w:rPr>
                <w:b/>
              </w:rPr>
            </w:pPr>
            <w:r w:rsidRPr="000F40A1">
              <w:rPr>
                <w:b/>
              </w:rPr>
              <w:t>Urbano</w:t>
            </w:r>
          </w:p>
        </w:tc>
        <w:tc>
          <w:tcPr>
            <w:tcW w:w="448" w:type="dxa"/>
          </w:tcPr>
          <w:p w:rsidR="00CF5429" w:rsidRDefault="00CF5429"/>
        </w:tc>
      </w:tr>
      <w:tr w:rsidR="000F40A1" w:rsidTr="00F66E07">
        <w:trPr>
          <w:trHeight w:val="341"/>
        </w:trPr>
        <w:tc>
          <w:tcPr>
            <w:tcW w:w="2685" w:type="dxa"/>
            <w:vMerge/>
          </w:tcPr>
          <w:p w:rsidR="00CF5429" w:rsidRPr="000F40A1" w:rsidRDefault="00CF5429">
            <w:pPr>
              <w:rPr>
                <w:b/>
              </w:rPr>
            </w:pPr>
          </w:p>
        </w:tc>
        <w:tc>
          <w:tcPr>
            <w:tcW w:w="2985" w:type="dxa"/>
            <w:gridSpan w:val="2"/>
            <w:vMerge/>
          </w:tcPr>
          <w:p w:rsidR="00CF5429" w:rsidRDefault="00CF5429"/>
        </w:tc>
        <w:tc>
          <w:tcPr>
            <w:tcW w:w="1755" w:type="dxa"/>
            <w:gridSpan w:val="2"/>
          </w:tcPr>
          <w:p w:rsidR="00CF5429" w:rsidRPr="000F40A1" w:rsidRDefault="00CF5429">
            <w:pPr>
              <w:rPr>
                <w:b/>
              </w:rPr>
            </w:pPr>
            <w:r w:rsidRPr="000F40A1">
              <w:rPr>
                <w:b/>
              </w:rPr>
              <w:t>NO</w:t>
            </w:r>
            <w:r w:rsidR="00AC7366">
              <w:rPr>
                <w:b/>
              </w:rPr>
              <w:t xml:space="preserve">    </w:t>
            </w:r>
          </w:p>
          <w:p w:rsidR="00CF5429" w:rsidRDefault="00CF5429"/>
        </w:tc>
        <w:tc>
          <w:tcPr>
            <w:tcW w:w="1755" w:type="dxa"/>
            <w:gridSpan w:val="2"/>
          </w:tcPr>
          <w:p w:rsidR="00BE048F" w:rsidRPr="00BE048F" w:rsidRDefault="00CD7A15" w:rsidP="00AC7366">
            <w:r w:rsidRPr="000F40A1">
              <w:rPr>
                <w:b/>
              </w:rPr>
              <w:t>SI</w:t>
            </w:r>
            <w:r w:rsidR="001E5007">
              <w:rPr>
                <w:b/>
              </w:rPr>
              <w:t xml:space="preserve">      </w:t>
            </w:r>
            <w:r w:rsidR="00AC7366">
              <w:rPr>
                <w:b/>
              </w:rPr>
              <w:t>X</w:t>
            </w:r>
          </w:p>
        </w:tc>
        <w:tc>
          <w:tcPr>
            <w:tcW w:w="1116" w:type="dxa"/>
          </w:tcPr>
          <w:p w:rsidR="00CF5429" w:rsidRPr="000F40A1" w:rsidRDefault="00CD7A15">
            <w:pPr>
              <w:rPr>
                <w:b/>
              </w:rPr>
            </w:pPr>
            <w:r w:rsidRPr="000F40A1">
              <w:rPr>
                <w:b/>
              </w:rPr>
              <w:t>Rural</w:t>
            </w:r>
          </w:p>
        </w:tc>
        <w:tc>
          <w:tcPr>
            <w:tcW w:w="448" w:type="dxa"/>
          </w:tcPr>
          <w:p w:rsidR="00CF5429" w:rsidRDefault="00BE048F">
            <w:r>
              <w:t>X</w:t>
            </w:r>
          </w:p>
        </w:tc>
      </w:tr>
      <w:tr w:rsidR="00CD7A15" w:rsidTr="000F40A1">
        <w:trPr>
          <w:trHeight w:val="833"/>
        </w:trPr>
        <w:tc>
          <w:tcPr>
            <w:tcW w:w="2685" w:type="dxa"/>
            <w:vMerge w:val="restart"/>
          </w:tcPr>
          <w:p w:rsidR="00CD7A15" w:rsidRPr="000F40A1" w:rsidRDefault="00CD7A15">
            <w:pPr>
              <w:rPr>
                <w:b/>
              </w:rPr>
            </w:pPr>
            <w:r w:rsidRPr="000F40A1">
              <w:rPr>
                <w:b/>
              </w:rPr>
              <w:t>Beneficiarios:</w:t>
            </w:r>
          </w:p>
          <w:p w:rsidR="00CD7A15" w:rsidRPr="000F40A1" w:rsidRDefault="00CD7A15">
            <w:pPr>
              <w:rPr>
                <w:b/>
              </w:rPr>
            </w:pPr>
          </w:p>
        </w:tc>
        <w:tc>
          <w:tcPr>
            <w:tcW w:w="6495" w:type="dxa"/>
            <w:gridSpan w:val="6"/>
            <w:vMerge w:val="restart"/>
          </w:tcPr>
          <w:p w:rsidR="00CD7A15" w:rsidRDefault="00907EF0" w:rsidP="00907EF0">
            <w:r w:rsidRPr="00E4043C">
              <w:rPr>
                <w:lang w:val="es-ES_tradnl"/>
              </w:rPr>
              <w:t>77 Productores de alcachofa criolla de 4 provincias en la región Junín</w:t>
            </w:r>
            <w:r>
              <w:rPr>
                <w:lang w:val="es-ES_tradnl"/>
              </w:rPr>
              <w:t xml:space="preserve"> que </w:t>
            </w:r>
            <w:r w:rsidRPr="00BE048F">
              <w:t xml:space="preserve">forman parte de la </w:t>
            </w:r>
            <w:r>
              <w:t>“</w:t>
            </w:r>
            <w:r w:rsidRPr="00BE048F">
              <w:t>Asociación de Productores Agropecuarios del Corredor Económico del Mantaro</w:t>
            </w:r>
            <w:r>
              <w:t>”</w:t>
            </w:r>
            <w:r w:rsidR="00D52F15">
              <w:t xml:space="preserve"> y dedican al c</w:t>
            </w:r>
            <w:r w:rsidR="00D52F15" w:rsidRPr="00D52F15">
              <w:t xml:space="preserve">ultivo </w:t>
            </w:r>
            <w:r w:rsidRPr="00D52F15">
              <w:t>un total de 150 Has</w:t>
            </w:r>
            <w:r w:rsidR="00D52F15" w:rsidRPr="00D52F15">
              <w:t>, casi dos tercios de sus tenencias de tierra</w:t>
            </w:r>
            <w:r w:rsidRPr="00D52F15">
              <w:t>. Estos</w:t>
            </w:r>
            <w:r>
              <w:t xml:space="preserve"> agricultores </w:t>
            </w:r>
            <w:r w:rsidRPr="00BE048F">
              <w:t xml:space="preserve">tienen un bajo grado de instrucción, </w:t>
            </w:r>
            <w:r>
              <w:t xml:space="preserve">están </w:t>
            </w:r>
            <w:r w:rsidRPr="00BE048F">
              <w:t>desarticulados del mercado, poseen pequeñas parcelas (en promedio menos de 3 Has/familia) y escasas posibilidades de financiamiento</w:t>
            </w:r>
            <w:r>
              <w:t xml:space="preserve">, sin embargo </w:t>
            </w:r>
            <w:r w:rsidR="00BE048F" w:rsidRPr="00BE048F">
              <w:t>tienen experiencia en la producción de alcachofa con la calidad exigida por el mercado agroindustrial, además de poseer áreas bajo riego y condiciones edafoclimáticas favorables para el desarrollo de este cultivo.</w:t>
            </w:r>
          </w:p>
          <w:p w:rsidR="00907EF0" w:rsidRDefault="00907EF0" w:rsidP="00907EF0"/>
        </w:tc>
        <w:tc>
          <w:tcPr>
            <w:tcW w:w="1116" w:type="dxa"/>
          </w:tcPr>
          <w:p w:rsidR="001E5007" w:rsidRDefault="001E5007">
            <w:pPr>
              <w:rPr>
                <w:b/>
              </w:rPr>
            </w:pPr>
          </w:p>
          <w:p w:rsidR="00CD7A15" w:rsidRPr="000F40A1" w:rsidRDefault="00CD7A15">
            <w:pPr>
              <w:rPr>
                <w:b/>
              </w:rPr>
            </w:pPr>
            <w:r w:rsidRPr="000F40A1">
              <w:rPr>
                <w:b/>
              </w:rPr>
              <w:t>Urbano</w:t>
            </w:r>
          </w:p>
        </w:tc>
        <w:tc>
          <w:tcPr>
            <w:tcW w:w="448" w:type="dxa"/>
          </w:tcPr>
          <w:p w:rsidR="00CD7A15" w:rsidRDefault="00CD7A15"/>
        </w:tc>
      </w:tr>
      <w:tr w:rsidR="00CD7A15" w:rsidTr="000F40A1">
        <w:trPr>
          <w:trHeight w:val="749"/>
        </w:trPr>
        <w:tc>
          <w:tcPr>
            <w:tcW w:w="2685" w:type="dxa"/>
            <w:vMerge/>
          </w:tcPr>
          <w:p w:rsidR="00CD7A15" w:rsidRPr="000F40A1" w:rsidRDefault="00CD7A15">
            <w:pPr>
              <w:rPr>
                <w:b/>
              </w:rPr>
            </w:pPr>
          </w:p>
        </w:tc>
        <w:tc>
          <w:tcPr>
            <w:tcW w:w="6495" w:type="dxa"/>
            <w:gridSpan w:val="6"/>
            <w:vMerge/>
          </w:tcPr>
          <w:p w:rsidR="00CD7A15" w:rsidRDefault="00CD7A15"/>
        </w:tc>
        <w:tc>
          <w:tcPr>
            <w:tcW w:w="1116" w:type="dxa"/>
          </w:tcPr>
          <w:p w:rsidR="001E5007" w:rsidRDefault="001E5007">
            <w:pPr>
              <w:rPr>
                <w:b/>
              </w:rPr>
            </w:pPr>
          </w:p>
          <w:p w:rsidR="00CD7A15" w:rsidRPr="000F40A1" w:rsidRDefault="00CD7A15">
            <w:pPr>
              <w:rPr>
                <w:b/>
              </w:rPr>
            </w:pPr>
            <w:r w:rsidRPr="000F40A1">
              <w:rPr>
                <w:b/>
              </w:rPr>
              <w:t>Rural</w:t>
            </w:r>
          </w:p>
        </w:tc>
        <w:tc>
          <w:tcPr>
            <w:tcW w:w="448" w:type="dxa"/>
          </w:tcPr>
          <w:p w:rsidR="001E5007" w:rsidRDefault="001E5007"/>
          <w:p w:rsidR="00BE048F" w:rsidRDefault="00BE048F">
            <w:r>
              <w:t>X</w:t>
            </w:r>
          </w:p>
        </w:tc>
      </w:tr>
      <w:tr w:rsidR="00CF5429" w:rsidTr="000F40A1">
        <w:trPr>
          <w:trHeight w:val="921"/>
        </w:trPr>
        <w:tc>
          <w:tcPr>
            <w:tcW w:w="2685" w:type="dxa"/>
          </w:tcPr>
          <w:p w:rsidR="00CF5429" w:rsidRPr="000F40A1" w:rsidRDefault="00CF5429">
            <w:pPr>
              <w:rPr>
                <w:b/>
              </w:rPr>
            </w:pPr>
            <w:r w:rsidRPr="000F40A1">
              <w:rPr>
                <w:b/>
              </w:rPr>
              <w:t>Monto y fuente del financiamiento</w:t>
            </w:r>
          </w:p>
        </w:tc>
        <w:tc>
          <w:tcPr>
            <w:tcW w:w="8059" w:type="dxa"/>
            <w:gridSpan w:val="8"/>
          </w:tcPr>
          <w:p w:rsidR="00CF5429" w:rsidRDefault="00CD7A15">
            <w:r>
              <w:t xml:space="preserve">FOMIN                                                            </w:t>
            </w:r>
            <w:r w:rsidR="00BE048F" w:rsidRPr="00BE048F">
              <w:rPr>
                <w:bCs/>
              </w:rPr>
              <w:t>89.902,79</w:t>
            </w:r>
            <w:r w:rsidR="00BE048F" w:rsidRPr="00BE048F">
              <w:rPr>
                <w:b/>
                <w:bCs/>
              </w:rPr>
              <w:t xml:space="preserve"> </w:t>
            </w:r>
            <w:r>
              <w:t>US$</w:t>
            </w:r>
            <w:r w:rsidR="000F40A1">
              <w:t xml:space="preserve">  </w:t>
            </w:r>
            <w:r w:rsidR="00BE048F">
              <w:t xml:space="preserve">59.9 </w:t>
            </w:r>
            <w:r w:rsidR="000F40A1">
              <w:t>(%)</w:t>
            </w:r>
          </w:p>
          <w:p w:rsidR="00CD7A15" w:rsidRDefault="00CD7A15">
            <w:r>
              <w:t xml:space="preserve">Entidad responsable de contrapartida     </w:t>
            </w:r>
            <w:r w:rsidR="00BE048F" w:rsidRPr="00BE048F">
              <w:rPr>
                <w:bCs/>
              </w:rPr>
              <w:t>60.156,24</w:t>
            </w:r>
            <w:r w:rsidR="00BE048F" w:rsidRPr="00BE048F">
              <w:rPr>
                <w:b/>
                <w:bCs/>
              </w:rPr>
              <w:t xml:space="preserve"> </w:t>
            </w:r>
            <w:r>
              <w:t>US$</w:t>
            </w:r>
            <w:r w:rsidR="000F40A1">
              <w:t xml:space="preserve">  </w:t>
            </w:r>
            <w:r w:rsidR="00BE048F">
              <w:t>40.1</w:t>
            </w:r>
            <w:r w:rsidR="00907EF0">
              <w:t xml:space="preserve"> </w:t>
            </w:r>
            <w:r w:rsidR="000F40A1">
              <w:t>(%)</w:t>
            </w:r>
          </w:p>
          <w:p w:rsidR="00CD7A15" w:rsidRDefault="00CD7A15" w:rsidP="00907EF0">
            <w:r>
              <w:t xml:space="preserve">Total                               </w:t>
            </w:r>
            <w:r w:rsidR="00907EF0">
              <w:t xml:space="preserve">                              </w:t>
            </w:r>
            <w:r>
              <w:t xml:space="preserve"> </w:t>
            </w:r>
            <w:r w:rsidR="00BE048F" w:rsidRPr="00BE048F">
              <w:rPr>
                <w:bCs/>
                <w:lang w:val="en-US"/>
              </w:rPr>
              <w:t>150.059,03</w:t>
            </w:r>
            <w:r w:rsidR="00BE048F">
              <w:rPr>
                <w:b/>
                <w:bCs/>
                <w:lang w:val="en-US"/>
              </w:rPr>
              <w:t xml:space="preserve"> </w:t>
            </w:r>
            <w:r>
              <w:t>US$</w:t>
            </w:r>
          </w:p>
        </w:tc>
      </w:tr>
      <w:tr w:rsidR="00CF5429" w:rsidTr="000F40A1">
        <w:trPr>
          <w:trHeight w:val="307"/>
        </w:trPr>
        <w:tc>
          <w:tcPr>
            <w:tcW w:w="2685" w:type="dxa"/>
          </w:tcPr>
          <w:p w:rsidR="00CF5429" w:rsidRPr="000F40A1" w:rsidRDefault="00CF5429">
            <w:pPr>
              <w:rPr>
                <w:b/>
              </w:rPr>
            </w:pPr>
            <w:r w:rsidRPr="000F40A1">
              <w:rPr>
                <w:b/>
              </w:rPr>
              <w:t>Plazos</w:t>
            </w:r>
          </w:p>
        </w:tc>
        <w:tc>
          <w:tcPr>
            <w:tcW w:w="8059" w:type="dxa"/>
            <w:gridSpan w:val="8"/>
          </w:tcPr>
          <w:p w:rsidR="000F7E57" w:rsidRDefault="000F40A1">
            <w:r>
              <w:t xml:space="preserve">Ejecución </w:t>
            </w:r>
            <w:r w:rsidR="00AC7366">
              <w:t xml:space="preserve">de </w:t>
            </w:r>
            <w:r w:rsidR="00BE048F">
              <w:t>24</w:t>
            </w:r>
            <w:r w:rsidR="00AC7366">
              <w:t xml:space="preserve"> meses</w:t>
            </w:r>
          </w:p>
          <w:p w:rsidR="000F7E57" w:rsidRDefault="000F40A1" w:rsidP="00AC7366">
            <w:r>
              <w:t>Último Desembolso</w:t>
            </w:r>
            <w:r w:rsidR="00AC7366">
              <w:t xml:space="preserve"> de </w:t>
            </w:r>
            <w:r w:rsidR="00BE048F">
              <w:t>30</w:t>
            </w:r>
            <w:r w:rsidR="00AC7366">
              <w:t xml:space="preserve"> meses</w:t>
            </w:r>
          </w:p>
          <w:p w:rsidR="00AC7366" w:rsidRDefault="00AC7366" w:rsidP="00AC7366"/>
        </w:tc>
      </w:tr>
      <w:tr w:rsidR="00CF5429" w:rsidTr="000F40A1">
        <w:trPr>
          <w:trHeight w:val="285"/>
        </w:trPr>
        <w:tc>
          <w:tcPr>
            <w:tcW w:w="2685" w:type="dxa"/>
          </w:tcPr>
          <w:p w:rsidR="00CF5429" w:rsidRPr="000F40A1" w:rsidRDefault="00CF5429">
            <w:pPr>
              <w:rPr>
                <w:b/>
              </w:rPr>
            </w:pPr>
            <w:r w:rsidRPr="00401B2D">
              <w:rPr>
                <w:b/>
              </w:rPr>
              <w:t>Descripción problema</w:t>
            </w:r>
          </w:p>
        </w:tc>
        <w:tc>
          <w:tcPr>
            <w:tcW w:w="8059" w:type="dxa"/>
            <w:gridSpan w:val="8"/>
          </w:tcPr>
          <w:p w:rsidR="00401B2D" w:rsidRPr="00401B2D" w:rsidRDefault="00401B2D" w:rsidP="00401B2D">
            <w:pPr>
              <w:rPr>
                <w:lang w:val="es-PE"/>
              </w:rPr>
            </w:pPr>
            <w:r>
              <w:rPr>
                <w:lang w:val="es-PE"/>
              </w:rPr>
              <w:t>La mayor parte de los productores tiene b</w:t>
            </w:r>
            <w:r w:rsidRPr="00401B2D">
              <w:rPr>
                <w:lang w:val="es-PE"/>
              </w:rPr>
              <w:t>ajos índices de educación y preparación en buenas prácticas agrícola</w:t>
            </w:r>
            <w:r>
              <w:rPr>
                <w:lang w:val="es-PE"/>
              </w:rPr>
              <w:t>, lo que redunda en b</w:t>
            </w:r>
            <w:r w:rsidRPr="00401B2D">
              <w:rPr>
                <w:lang w:val="es-PE"/>
              </w:rPr>
              <w:t>ajos niveles de producción y productividad.</w:t>
            </w:r>
            <w:r>
              <w:rPr>
                <w:lang w:val="es-PE"/>
              </w:rPr>
              <w:t xml:space="preserve"> Ello dentro de un marco de f</w:t>
            </w:r>
            <w:r w:rsidRPr="00401B2D">
              <w:rPr>
                <w:lang w:val="es-PE"/>
              </w:rPr>
              <w:t>raccionamiento del predio agrícola</w:t>
            </w:r>
            <w:r>
              <w:rPr>
                <w:lang w:val="es-PE"/>
              </w:rPr>
              <w:t xml:space="preserve"> con un régimen de tenencia menor a las tres hectáreas</w:t>
            </w:r>
            <w:r w:rsidRPr="00401B2D">
              <w:rPr>
                <w:lang w:val="es-PE"/>
              </w:rPr>
              <w:t>.</w:t>
            </w:r>
            <w:r>
              <w:rPr>
                <w:lang w:val="es-PE"/>
              </w:rPr>
              <w:t xml:space="preserve"> </w:t>
            </w:r>
            <w:r w:rsidRPr="00401B2D">
              <w:rPr>
                <w:lang w:val="es-PE"/>
              </w:rPr>
              <w:t>La organización de productores</w:t>
            </w:r>
            <w:r>
              <w:rPr>
                <w:lang w:val="es-PE"/>
              </w:rPr>
              <w:t xml:space="preserve"> es </w:t>
            </w:r>
            <w:r w:rsidRPr="00401B2D">
              <w:rPr>
                <w:lang w:val="es-PE"/>
              </w:rPr>
              <w:t xml:space="preserve">débil </w:t>
            </w:r>
            <w:r>
              <w:rPr>
                <w:lang w:val="es-PE"/>
              </w:rPr>
              <w:t xml:space="preserve">con </w:t>
            </w:r>
            <w:r w:rsidRPr="00401B2D">
              <w:rPr>
                <w:lang w:val="es-PE"/>
              </w:rPr>
              <w:t>limitada capacitación t</w:t>
            </w:r>
            <w:r>
              <w:rPr>
                <w:lang w:val="es-PE"/>
              </w:rPr>
              <w:t>écnica y de gestión empresarial</w:t>
            </w:r>
            <w:r w:rsidRPr="00401B2D">
              <w:rPr>
                <w:lang w:val="es-PE"/>
              </w:rPr>
              <w:t>.</w:t>
            </w:r>
          </w:p>
          <w:p w:rsidR="00401B2D" w:rsidRPr="00401B2D" w:rsidRDefault="00401B2D" w:rsidP="00401B2D">
            <w:pPr>
              <w:rPr>
                <w:lang w:val="es-PE"/>
              </w:rPr>
            </w:pPr>
            <w:r>
              <w:rPr>
                <w:lang w:val="es-PE"/>
              </w:rPr>
              <w:t>El entorno se caracteriza por una i</w:t>
            </w:r>
            <w:r w:rsidRPr="00401B2D">
              <w:rPr>
                <w:lang w:val="es-PE"/>
              </w:rPr>
              <w:t>nfraestructura hidráulica obsoleta y deficitaria</w:t>
            </w:r>
            <w:r>
              <w:rPr>
                <w:lang w:val="es-PE"/>
              </w:rPr>
              <w:t>, con potencial c</w:t>
            </w:r>
            <w:r w:rsidRPr="00401B2D">
              <w:rPr>
                <w:lang w:val="es-PE"/>
              </w:rPr>
              <w:t>o</w:t>
            </w:r>
            <w:r>
              <w:rPr>
                <w:lang w:val="es-PE"/>
              </w:rPr>
              <w:t>ntaminación del recurso hídrico y f</w:t>
            </w:r>
            <w:r w:rsidRPr="00401B2D">
              <w:rPr>
                <w:lang w:val="es-PE"/>
              </w:rPr>
              <w:t>alta de infraestructura de riego.</w:t>
            </w:r>
          </w:p>
          <w:p w:rsidR="00401B2D" w:rsidRPr="00401B2D" w:rsidRDefault="00401B2D" w:rsidP="00401B2D">
            <w:pPr>
              <w:rPr>
                <w:lang w:val="es-PE"/>
              </w:rPr>
            </w:pPr>
            <w:r w:rsidRPr="00401B2D">
              <w:rPr>
                <w:lang w:val="es-PE"/>
              </w:rPr>
              <w:t>Alta dispersión de los rendimientos por Ha entre las cuatro provincias del corredor económico del Mantaro.</w:t>
            </w:r>
          </w:p>
          <w:p w:rsidR="00CF5429" w:rsidRPr="00401B2D" w:rsidRDefault="00CF5429" w:rsidP="00401B2D">
            <w:pPr>
              <w:rPr>
                <w:lang w:val="es-PE"/>
              </w:rPr>
            </w:pPr>
          </w:p>
        </w:tc>
      </w:tr>
      <w:tr w:rsidR="00CF5429" w:rsidTr="000F40A1">
        <w:trPr>
          <w:trHeight w:val="1251"/>
        </w:trPr>
        <w:tc>
          <w:tcPr>
            <w:tcW w:w="2685" w:type="dxa"/>
          </w:tcPr>
          <w:p w:rsidR="00CF5429" w:rsidRPr="000F40A1" w:rsidRDefault="00CF5429">
            <w:pPr>
              <w:rPr>
                <w:b/>
              </w:rPr>
            </w:pPr>
            <w:r w:rsidRPr="000F40A1">
              <w:rPr>
                <w:b/>
              </w:rPr>
              <w:t>Objetivo:</w:t>
            </w:r>
          </w:p>
        </w:tc>
        <w:tc>
          <w:tcPr>
            <w:tcW w:w="8059" w:type="dxa"/>
            <w:gridSpan w:val="8"/>
          </w:tcPr>
          <w:p w:rsidR="00E86C7A" w:rsidRPr="00E86C7A" w:rsidRDefault="00E86C7A" w:rsidP="00E86C7A">
            <w:r w:rsidRPr="00E86C7A">
              <w:t xml:space="preserve">El fin del proyecto es </w:t>
            </w:r>
            <w:r w:rsidRPr="00E86C7A">
              <w:rPr>
                <w:lang w:val="es-ES_tradnl"/>
              </w:rPr>
              <w:t>contribuir a incrementar el ingreso de la población de las provincias de Huancayo, Chupaca, Concepción y Jauja del departamento de Junín.</w:t>
            </w:r>
          </w:p>
          <w:p w:rsidR="00907EF0" w:rsidRDefault="00907EF0"/>
          <w:p w:rsidR="000F40A1" w:rsidRDefault="00E86C7A">
            <w:r w:rsidRPr="00E86C7A">
              <w:t xml:space="preserve">El objetivo </w:t>
            </w:r>
            <w:r w:rsidR="00907EF0">
              <w:t xml:space="preserve">específico </w:t>
            </w:r>
            <w:r w:rsidRPr="00E86C7A">
              <w:t>es mejorar la competitividad  empresarial de la cadena productiva de alcachofa  del corredor económico del Mantaro.</w:t>
            </w:r>
          </w:p>
          <w:p w:rsidR="000F40A1" w:rsidRDefault="000F40A1"/>
        </w:tc>
      </w:tr>
      <w:tr w:rsidR="00CF5429" w:rsidTr="000F40A1">
        <w:trPr>
          <w:trHeight w:val="1866"/>
        </w:trPr>
        <w:tc>
          <w:tcPr>
            <w:tcW w:w="2685" w:type="dxa"/>
          </w:tcPr>
          <w:p w:rsidR="00CF5429" w:rsidRPr="000F40A1" w:rsidRDefault="00CF5429" w:rsidP="00245076">
            <w:pPr>
              <w:rPr>
                <w:b/>
              </w:rPr>
            </w:pPr>
            <w:r w:rsidRPr="000F40A1">
              <w:rPr>
                <w:b/>
              </w:rPr>
              <w:t>Componentes y actividades</w:t>
            </w:r>
          </w:p>
        </w:tc>
        <w:tc>
          <w:tcPr>
            <w:tcW w:w="8059" w:type="dxa"/>
            <w:gridSpan w:val="8"/>
          </w:tcPr>
          <w:p w:rsidR="00E4043C" w:rsidRPr="00E4043C" w:rsidRDefault="00E4043C" w:rsidP="00E4043C">
            <w:pPr>
              <w:rPr>
                <w:b/>
                <w:u w:val="single"/>
                <w:lang w:val="es-ES_tradnl"/>
              </w:rPr>
            </w:pPr>
            <w:r w:rsidRPr="00E4043C">
              <w:rPr>
                <w:b/>
                <w:u w:val="single"/>
                <w:lang w:val="es-ES_tradnl"/>
              </w:rPr>
              <w:t>Componente 1:</w:t>
            </w:r>
          </w:p>
          <w:p w:rsidR="00E4043C" w:rsidRPr="00E4043C" w:rsidRDefault="00E4043C" w:rsidP="00E4043C">
            <w:r w:rsidRPr="00E4043C">
              <w:rPr>
                <w:lang w:val="es-ES_tradnl"/>
              </w:rPr>
              <w:t xml:space="preserve">77 Productores de alcachofa criolla de 4 provincias en la región Junín con capacidades técnicas </w:t>
            </w:r>
            <w:r w:rsidR="00907EF0">
              <w:rPr>
                <w:lang w:val="es-ES_tradnl"/>
              </w:rPr>
              <w:t>i</w:t>
            </w:r>
            <w:r w:rsidRPr="00E4043C">
              <w:rPr>
                <w:lang w:val="es-ES_tradnl"/>
              </w:rPr>
              <w:t>ncrementan la productividad  del cultivo de alcachofa y aseguran estándares de calidad óptima</w:t>
            </w:r>
            <w:r w:rsidR="00907EF0">
              <w:rPr>
                <w:lang w:val="es-ES_tradnl"/>
              </w:rPr>
              <w:t>.</w:t>
            </w:r>
          </w:p>
          <w:p w:rsidR="00E4043C" w:rsidRDefault="00E4043C" w:rsidP="00E4043C">
            <w:pPr>
              <w:rPr>
                <w:b/>
              </w:rPr>
            </w:pPr>
          </w:p>
          <w:p w:rsidR="00E4043C" w:rsidRPr="00E4043C" w:rsidRDefault="00E4043C" w:rsidP="00E4043C">
            <w:pPr>
              <w:rPr>
                <w:bCs/>
              </w:rPr>
            </w:pPr>
            <w:r w:rsidRPr="00E4043C">
              <w:rPr>
                <w:b/>
              </w:rPr>
              <w:t xml:space="preserve">1.1 </w:t>
            </w:r>
            <w:r w:rsidRPr="00E4043C">
              <w:rPr>
                <w:bCs/>
              </w:rPr>
              <w:t>Acciones de capacitación y asesoría en semilla.</w:t>
            </w:r>
          </w:p>
          <w:p w:rsidR="00E4043C" w:rsidRPr="00E4043C" w:rsidRDefault="00E4043C" w:rsidP="00E4043C">
            <w:pPr>
              <w:rPr>
                <w:bCs/>
              </w:rPr>
            </w:pPr>
            <w:r w:rsidRPr="00E4043C">
              <w:rPr>
                <w:b/>
                <w:bCs/>
              </w:rPr>
              <w:t>1.2</w:t>
            </w:r>
            <w:r w:rsidRPr="00E4043C">
              <w:rPr>
                <w:bCs/>
              </w:rPr>
              <w:t xml:space="preserve"> Acciones de capacitación y asesoría en manejo agronómico del cultivo </w:t>
            </w:r>
            <w:r w:rsidRPr="00E4043C">
              <w:rPr>
                <w:bCs/>
              </w:rPr>
              <w:lastRenderedPageBreak/>
              <w:t>incorporando buenas prácticas agrícolas</w:t>
            </w:r>
            <w:r w:rsidR="00DA5143">
              <w:rPr>
                <w:bCs/>
              </w:rPr>
              <w:t xml:space="preserve">, que contemplen </w:t>
            </w:r>
            <w:r w:rsidR="00DA5143" w:rsidRPr="00DA5143">
              <w:rPr>
                <w:bCs/>
              </w:rPr>
              <w:t xml:space="preserve">la reducción de agroquímicos </w:t>
            </w:r>
            <w:r w:rsidR="00DA5143">
              <w:rPr>
                <w:bCs/>
              </w:rPr>
              <w:t xml:space="preserve">tóxicos </w:t>
            </w:r>
            <w:r w:rsidR="00DA5143" w:rsidRPr="00DA5143">
              <w:rPr>
                <w:bCs/>
              </w:rPr>
              <w:t xml:space="preserve">y el almacenamiento </w:t>
            </w:r>
            <w:r w:rsidR="00DA5143">
              <w:rPr>
                <w:bCs/>
              </w:rPr>
              <w:t xml:space="preserve">adecuado que </w:t>
            </w:r>
            <w:r w:rsidR="00DA5143" w:rsidRPr="00DA5143">
              <w:rPr>
                <w:bCs/>
              </w:rPr>
              <w:t>evit</w:t>
            </w:r>
            <w:r w:rsidR="00DA5143">
              <w:rPr>
                <w:bCs/>
              </w:rPr>
              <w:t>e la contaminación de los suelos.</w:t>
            </w:r>
          </w:p>
          <w:p w:rsidR="00E4043C" w:rsidRPr="00E4043C" w:rsidRDefault="00E4043C" w:rsidP="00E4043C">
            <w:r w:rsidRPr="00E4043C">
              <w:rPr>
                <w:b/>
              </w:rPr>
              <w:t xml:space="preserve">1.3 </w:t>
            </w:r>
            <w:r w:rsidRPr="00E4043C">
              <w:t>Diseño e implementación de 02 parcelas demostrativas en tres provincias Huancayo, Concepción y Chupaca.</w:t>
            </w:r>
          </w:p>
          <w:p w:rsidR="00E4043C" w:rsidRPr="00E4043C" w:rsidRDefault="00E4043C" w:rsidP="00E4043C">
            <w:pPr>
              <w:rPr>
                <w:b/>
              </w:rPr>
            </w:pPr>
            <w:r w:rsidRPr="00E4043C">
              <w:rPr>
                <w:b/>
                <w:bCs/>
              </w:rPr>
              <w:t>1.4</w:t>
            </w:r>
            <w:r w:rsidRPr="00E4043C">
              <w:rPr>
                <w:bCs/>
              </w:rPr>
              <w:t xml:space="preserve"> Acciones de capacitación y asesoría a 77 productores/as en 150 Has instaladas del cultivo de alcachofa criolla en cosecha y post cosecha</w:t>
            </w:r>
          </w:p>
          <w:p w:rsidR="000F40A1" w:rsidRDefault="000F40A1" w:rsidP="00245076"/>
          <w:p w:rsidR="00E4043C" w:rsidRPr="00E4043C" w:rsidRDefault="00E4043C" w:rsidP="00E4043C">
            <w:pPr>
              <w:rPr>
                <w:b/>
                <w:u w:val="single"/>
                <w:lang w:val="es-ES_tradnl"/>
              </w:rPr>
            </w:pPr>
            <w:r w:rsidRPr="00E4043C">
              <w:rPr>
                <w:b/>
                <w:u w:val="single"/>
                <w:lang w:val="es-ES_tradnl"/>
              </w:rPr>
              <w:t>Componente 2:</w:t>
            </w:r>
          </w:p>
          <w:p w:rsidR="00E4043C" w:rsidRPr="00E4043C" w:rsidRDefault="00E4043C" w:rsidP="00E4043C">
            <w:pPr>
              <w:rPr>
                <w:lang w:val="es-ES_tradnl"/>
              </w:rPr>
            </w:pPr>
            <w:r w:rsidRPr="00E4043C">
              <w:rPr>
                <w:lang w:val="es-ES_tradnl"/>
              </w:rPr>
              <w:t xml:space="preserve">77 Productores  gestionan eficientemente su organización  logrando insertarse activamente n la cadena productiva de alcachofa  y espacios de decisión (Mesa de </w:t>
            </w:r>
            <w:r w:rsidR="00D52F15" w:rsidRPr="00E4043C">
              <w:rPr>
                <w:lang w:val="es-ES_tradnl"/>
              </w:rPr>
              <w:t xml:space="preserve">Alcachofa </w:t>
            </w:r>
            <w:r w:rsidRPr="00E4043C">
              <w:rPr>
                <w:lang w:val="es-ES_tradnl"/>
              </w:rPr>
              <w:t xml:space="preserve">del </w:t>
            </w:r>
            <w:r w:rsidR="00D52F15" w:rsidRPr="00E4043C">
              <w:rPr>
                <w:lang w:val="es-ES_tradnl"/>
              </w:rPr>
              <w:t xml:space="preserve">Gobierno </w:t>
            </w:r>
            <w:r w:rsidRPr="00E4043C">
              <w:rPr>
                <w:lang w:val="es-ES_tradnl"/>
              </w:rPr>
              <w:t xml:space="preserve">Regional </w:t>
            </w:r>
            <w:r w:rsidR="00D52F15">
              <w:rPr>
                <w:lang w:val="es-ES_tradnl"/>
              </w:rPr>
              <w:t xml:space="preserve">de Junín </w:t>
            </w:r>
            <w:r w:rsidRPr="00E4043C">
              <w:rPr>
                <w:lang w:val="es-ES_tradnl"/>
              </w:rPr>
              <w:t>y procesos de presupuesto participativo).</w:t>
            </w:r>
          </w:p>
          <w:p w:rsidR="00E4043C" w:rsidRPr="00E4043C" w:rsidRDefault="00E4043C" w:rsidP="00E4043C">
            <w:pPr>
              <w:rPr>
                <w:b/>
              </w:rPr>
            </w:pPr>
          </w:p>
          <w:p w:rsidR="00E4043C" w:rsidRPr="00E4043C" w:rsidRDefault="00E4043C" w:rsidP="00E4043C">
            <w:r w:rsidRPr="00E4043C">
              <w:rPr>
                <w:b/>
              </w:rPr>
              <w:t>2.1</w:t>
            </w:r>
            <w:r w:rsidRPr="00E4043C">
              <w:t xml:space="preserve"> Un programa de capacitación y asesoría en planes de desarrollo institucional elaborado de forma descentralizada y con la participación de 77 socios. </w:t>
            </w:r>
          </w:p>
          <w:p w:rsidR="00E4043C" w:rsidRPr="00E4043C" w:rsidRDefault="00E4043C" w:rsidP="00E4043C">
            <w:r w:rsidRPr="00E4043C">
              <w:rPr>
                <w:b/>
              </w:rPr>
              <w:t xml:space="preserve">2.2 </w:t>
            </w:r>
            <w:r w:rsidRPr="00E4043C">
              <w:t>Un programa de capacitación y asesoría en dirigido a 15 líderes en resolución de conflictos</w:t>
            </w:r>
          </w:p>
          <w:p w:rsidR="00E4043C" w:rsidRPr="00E4043C" w:rsidRDefault="00E4043C" w:rsidP="00E4043C">
            <w:r w:rsidRPr="00E4043C">
              <w:rPr>
                <w:b/>
              </w:rPr>
              <w:t xml:space="preserve">2.3 </w:t>
            </w:r>
            <w:r w:rsidRPr="00E4043C">
              <w:t>Un programa de capacitación y asesoría dirigido a 15 productores en liderazgo e incorporación de propuestas y proyectos a favor del desarrollo de su sector en la mesa de la alcachofa, procesos de presupuestos participativos.</w:t>
            </w:r>
          </w:p>
          <w:p w:rsidR="000F40A1" w:rsidRDefault="000F40A1" w:rsidP="00245076"/>
          <w:p w:rsidR="00E4043C" w:rsidRPr="00E4043C" w:rsidRDefault="00E4043C" w:rsidP="00E4043C">
            <w:pPr>
              <w:rPr>
                <w:b/>
                <w:u w:val="single"/>
                <w:lang w:val="es-ES_tradnl"/>
              </w:rPr>
            </w:pPr>
            <w:r w:rsidRPr="00E4043C">
              <w:rPr>
                <w:b/>
                <w:u w:val="single"/>
                <w:lang w:val="es-ES_tradnl"/>
              </w:rPr>
              <w:t>Componente 3:</w:t>
            </w:r>
          </w:p>
          <w:p w:rsidR="00E4043C" w:rsidRPr="00E4043C" w:rsidRDefault="00E4043C" w:rsidP="00E4043C">
            <w:pPr>
              <w:rPr>
                <w:lang w:val="es-ES_tradnl"/>
              </w:rPr>
            </w:pPr>
            <w:r w:rsidRPr="00E4043C">
              <w:rPr>
                <w:lang w:val="es-ES_tradnl"/>
              </w:rPr>
              <w:t>77 Productores gestionan empresarialmente sus organizaciones,  comercializando</w:t>
            </w:r>
            <w:r w:rsidRPr="00E4043C">
              <w:rPr>
                <w:b/>
                <w:lang w:val="es-ES_tradnl"/>
              </w:rPr>
              <w:t xml:space="preserve"> </w:t>
            </w:r>
            <w:r w:rsidRPr="00E4043C">
              <w:rPr>
                <w:lang w:val="es-ES_tradnl"/>
              </w:rPr>
              <w:t>ventajosamente en mercados dinámicos.</w:t>
            </w:r>
          </w:p>
          <w:p w:rsidR="00E4043C" w:rsidRPr="00E4043C" w:rsidRDefault="00E4043C" w:rsidP="00E4043C">
            <w:pPr>
              <w:rPr>
                <w:lang w:val="es-ES_tradnl"/>
              </w:rPr>
            </w:pPr>
          </w:p>
          <w:p w:rsidR="00E4043C" w:rsidRPr="00E4043C" w:rsidRDefault="00E4043C" w:rsidP="00E4043C">
            <w:r w:rsidRPr="00E4043C">
              <w:rPr>
                <w:b/>
              </w:rPr>
              <w:t>3.1</w:t>
            </w:r>
            <w:r w:rsidRPr="00E4043C">
              <w:t xml:space="preserve"> Acciones de capacitación y asesoría dirigido a 77 de productores en registro, análisis de costos de producción y negociación colectiva.</w:t>
            </w:r>
          </w:p>
          <w:p w:rsidR="00E4043C" w:rsidRPr="00E4043C" w:rsidRDefault="00E4043C" w:rsidP="00E4043C">
            <w:r w:rsidRPr="00E4043C">
              <w:rPr>
                <w:b/>
              </w:rPr>
              <w:t xml:space="preserve">3.2 </w:t>
            </w:r>
            <w:r w:rsidRPr="00E4043C">
              <w:t>Acciones de capacitación y asesoría en planificación de campaña implementadas con 77 productores.</w:t>
            </w:r>
          </w:p>
          <w:p w:rsidR="00E4043C" w:rsidRPr="00E4043C" w:rsidRDefault="00E4043C" w:rsidP="00E4043C">
            <w:r w:rsidRPr="00E4043C">
              <w:rPr>
                <w:b/>
              </w:rPr>
              <w:t xml:space="preserve">3.3 </w:t>
            </w:r>
            <w:r w:rsidRPr="00E4043C">
              <w:t>Un programa de asesoría dirigido a 77 productores en compras conjuntas</w:t>
            </w:r>
          </w:p>
          <w:p w:rsidR="00E4043C" w:rsidRPr="00E4043C" w:rsidRDefault="00E4043C" w:rsidP="00E4043C">
            <w:r w:rsidRPr="00E4043C">
              <w:rPr>
                <w:b/>
              </w:rPr>
              <w:t xml:space="preserve">3.4 </w:t>
            </w:r>
            <w:r w:rsidRPr="00E4043C">
              <w:t>Acciones de asesoría en Evaluaciones de campaña implementada con 77 productores</w:t>
            </w:r>
          </w:p>
          <w:p w:rsidR="000F40A1" w:rsidRDefault="000F40A1" w:rsidP="00245076"/>
        </w:tc>
      </w:tr>
      <w:tr w:rsidR="00CF5429" w:rsidTr="000F40A1">
        <w:trPr>
          <w:trHeight w:val="615"/>
        </w:trPr>
        <w:tc>
          <w:tcPr>
            <w:tcW w:w="2685" w:type="dxa"/>
          </w:tcPr>
          <w:p w:rsidR="00CF5429" w:rsidRPr="000F40A1" w:rsidRDefault="00CF5429" w:rsidP="00245076">
            <w:pPr>
              <w:rPr>
                <w:b/>
              </w:rPr>
            </w:pPr>
            <w:r w:rsidRPr="000F40A1">
              <w:rPr>
                <w:b/>
              </w:rPr>
              <w:lastRenderedPageBreak/>
              <w:t>Estrategia ambiental y social</w:t>
            </w:r>
          </w:p>
        </w:tc>
        <w:tc>
          <w:tcPr>
            <w:tcW w:w="8059" w:type="dxa"/>
            <w:gridSpan w:val="8"/>
          </w:tcPr>
          <w:p w:rsidR="00E4043C" w:rsidRDefault="00E4043C" w:rsidP="00E4043C">
            <w:r w:rsidRPr="00E4043C">
              <w:t xml:space="preserve">No se prevé que el proyecto tenga impactos sociales o ambientales negativos para el área de influencia. Por el contrario el proyecto  contempla un enfoque de responsabilidad  ambiental y social entre los productores locales y las empresas participantes en el proyecto. </w:t>
            </w:r>
            <w:r w:rsidR="00D344AC">
              <w:t>La clasificación social y ambiental del proyecto corresponde a la categoría “C”.</w:t>
            </w:r>
          </w:p>
          <w:p w:rsidR="00DA5143" w:rsidRPr="00E4043C" w:rsidRDefault="00DA5143" w:rsidP="00E4043C">
            <w:r>
              <w:t>E</w:t>
            </w:r>
            <w:r w:rsidRPr="00DA5143">
              <w:t xml:space="preserve">l proyecto no realiza una discriminación </w:t>
            </w:r>
            <w:r>
              <w:t xml:space="preserve">basada en </w:t>
            </w:r>
            <w:r w:rsidRPr="00DA5143">
              <w:t>raza, etnia, genero o religión</w:t>
            </w:r>
            <w:r w:rsidR="00F97CFA">
              <w:t>. La població</w:t>
            </w:r>
            <w:r>
              <w:t>n beneficiaria</w:t>
            </w:r>
            <w:r w:rsidR="00F97CFA">
              <w:t xml:space="preserve"> corresponde a</w:t>
            </w:r>
            <w:r>
              <w:t xml:space="preserve"> </w:t>
            </w:r>
            <w:r w:rsidRPr="00DA5143">
              <w:t>pequeños productores</w:t>
            </w:r>
            <w:r>
              <w:t xml:space="preserve"> caracterizados por ser indígenas conductores de parcelas muy pequeñas</w:t>
            </w:r>
            <w:r w:rsidR="00F97CFA">
              <w:t>,</w:t>
            </w:r>
            <w:r>
              <w:t xml:space="preserve"> parceladas </w:t>
            </w:r>
            <w:r w:rsidRPr="00DA5143">
              <w:t>por los efectos de herencia</w:t>
            </w:r>
            <w:r w:rsidR="00F97CFA">
              <w:t>,</w:t>
            </w:r>
            <w:r>
              <w:t xml:space="preserve"> siendo </w:t>
            </w:r>
            <w:r w:rsidRPr="00DA5143">
              <w:t xml:space="preserve">requisito para incorporarse al proyecto la disposición </w:t>
            </w:r>
            <w:r>
              <w:t>al trabajo asociativo basado en tradiciones ancestrales.</w:t>
            </w:r>
          </w:p>
          <w:p w:rsidR="00CF5429" w:rsidRDefault="00CF5429" w:rsidP="00245076"/>
        </w:tc>
      </w:tr>
      <w:tr w:rsidR="000F40A1" w:rsidRPr="00F97CFA" w:rsidTr="000F40A1">
        <w:trPr>
          <w:trHeight w:val="307"/>
        </w:trPr>
        <w:tc>
          <w:tcPr>
            <w:tcW w:w="2685" w:type="dxa"/>
          </w:tcPr>
          <w:p w:rsidR="000F40A1" w:rsidRPr="000F40A1" w:rsidRDefault="000F40A1" w:rsidP="00245076">
            <w:pPr>
              <w:rPr>
                <w:b/>
              </w:rPr>
            </w:pPr>
            <w:r w:rsidRPr="000F40A1">
              <w:rPr>
                <w:b/>
              </w:rPr>
              <w:t>Access Framework</w:t>
            </w:r>
          </w:p>
        </w:tc>
        <w:tc>
          <w:tcPr>
            <w:tcW w:w="8059" w:type="dxa"/>
            <w:gridSpan w:val="8"/>
          </w:tcPr>
          <w:p w:rsidR="00D52F15" w:rsidRPr="00D52F15" w:rsidRDefault="00E4043C" w:rsidP="00D52F1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</w:pPr>
            <w:r w:rsidRPr="00D52F15"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  <w:t>Acc</w:t>
            </w:r>
            <w:r w:rsidR="00D52F15"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  <w:t>ess to Markets and Capabilities</w:t>
            </w:r>
          </w:p>
          <w:p w:rsidR="00D52F15" w:rsidRDefault="00D52F15" w:rsidP="00D52F1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</w:pPr>
            <w:r w:rsidRPr="00D52F15"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  <w:t>T</w:t>
            </w:r>
            <w:r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  <w:t>o</w:t>
            </w:r>
            <w:r w:rsidR="00E4043C" w:rsidRPr="00D52F15"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  <w:t>pic</w:t>
            </w:r>
            <w:r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  <w:t>:</w:t>
            </w:r>
            <w:r w:rsidR="00AC7366"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  <w:t xml:space="preserve"> Business Capabilities</w:t>
            </w:r>
          </w:p>
          <w:p w:rsidR="000F40A1" w:rsidRDefault="00D52F15" w:rsidP="00D52F1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</w:pPr>
            <w:r w:rsidRPr="00D52F15"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  <w:t>Agenda</w:t>
            </w:r>
            <w:r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  <w:t>:</w:t>
            </w:r>
            <w:r w:rsidR="00E4043C" w:rsidRPr="00D52F15">
              <w:rPr>
                <w:rFonts w:asciiTheme="minorHAnsi" w:hAnsiTheme="minorHAnsi" w:cstheme="minorBidi"/>
                <w:sz w:val="22"/>
                <w:szCs w:val="22"/>
                <w:lang w:val="en-US" w:eastAsia="en-US"/>
              </w:rPr>
              <w:t xml:space="preserve"> Enable small farmers to produce higher-value products and access to niche markets</w:t>
            </w:r>
          </w:p>
          <w:p w:rsidR="00AC7366" w:rsidRPr="00E4043C" w:rsidRDefault="00AC7366" w:rsidP="00D52F15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</w:p>
        </w:tc>
      </w:tr>
      <w:tr w:rsidR="00D344AC" w:rsidRPr="00D344AC" w:rsidTr="000F40A1">
        <w:trPr>
          <w:trHeight w:val="307"/>
        </w:trPr>
        <w:tc>
          <w:tcPr>
            <w:tcW w:w="2685" w:type="dxa"/>
          </w:tcPr>
          <w:p w:rsidR="00D344AC" w:rsidRPr="000F40A1" w:rsidRDefault="00D344AC" w:rsidP="00245076">
            <w:pPr>
              <w:rPr>
                <w:b/>
              </w:rPr>
            </w:pPr>
            <w:r>
              <w:rPr>
                <w:b/>
              </w:rPr>
              <w:t>Equipo de proyecto</w:t>
            </w:r>
          </w:p>
        </w:tc>
        <w:tc>
          <w:tcPr>
            <w:tcW w:w="8059" w:type="dxa"/>
            <w:gridSpan w:val="8"/>
          </w:tcPr>
          <w:p w:rsidR="00D344AC" w:rsidRDefault="00D344AC" w:rsidP="00D344AC">
            <w:pPr>
              <w:rPr>
                <w:lang w:val="es-ES_tradnl"/>
              </w:rPr>
            </w:pPr>
            <w:r>
              <w:rPr>
                <w:lang w:val="es-ES_tradnl"/>
              </w:rPr>
              <w:t>Jaime Giesecke (Especialista MIF /CANCPE)</w:t>
            </w:r>
            <w:r w:rsidR="001D4739">
              <w:rPr>
                <w:lang w:val="es-ES_tradnl"/>
              </w:rPr>
              <w:t>, jefe de equipo</w:t>
            </w:r>
            <w:r>
              <w:rPr>
                <w:lang w:val="es-ES_tradnl"/>
              </w:rPr>
              <w:t xml:space="preserve">, Xoán Fernández (APO MIF / CANCPE), </w:t>
            </w:r>
            <w:r w:rsidR="001D4739" w:rsidRPr="001D4739">
              <w:rPr>
                <w:lang w:val="es-ES_tradnl"/>
              </w:rPr>
              <w:t>German Zappani (Especialista financiero PDP/CPE)</w:t>
            </w:r>
            <w:r w:rsidR="001D4739">
              <w:rPr>
                <w:lang w:val="es-ES_tradnl"/>
              </w:rPr>
              <w:t xml:space="preserve">, </w:t>
            </w:r>
            <w:r>
              <w:rPr>
                <w:lang w:val="es-ES_tradnl"/>
              </w:rPr>
              <w:t>Christian Weiss (</w:t>
            </w:r>
            <w:r w:rsidR="001D4739">
              <w:rPr>
                <w:lang w:val="es-ES_tradnl"/>
              </w:rPr>
              <w:t xml:space="preserve">Analista de Operaciones </w:t>
            </w:r>
            <w:r>
              <w:rPr>
                <w:lang w:val="es-ES_tradnl"/>
              </w:rPr>
              <w:t xml:space="preserve">CAN/CPE), Víctor Hugo Escala (Especialista de adquisiciones </w:t>
            </w:r>
            <w:r w:rsidR="001D4739">
              <w:rPr>
                <w:lang w:val="es-ES_tradnl"/>
              </w:rPr>
              <w:t>PDP/</w:t>
            </w:r>
            <w:r>
              <w:rPr>
                <w:lang w:val="es-ES_tradnl"/>
              </w:rPr>
              <w:t>CPE)</w:t>
            </w:r>
          </w:p>
          <w:p w:rsidR="00D344AC" w:rsidRPr="00D344AC" w:rsidRDefault="00D344AC" w:rsidP="00D52F1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Bidi"/>
                <w:sz w:val="22"/>
                <w:szCs w:val="22"/>
                <w:lang w:val="es-ES_tradnl" w:eastAsia="en-US"/>
              </w:rPr>
            </w:pPr>
          </w:p>
        </w:tc>
      </w:tr>
    </w:tbl>
    <w:p w:rsidR="00216E61" w:rsidRPr="00D344AC" w:rsidRDefault="00390C36"/>
    <w:sectPr w:rsidR="00216E61" w:rsidRPr="00D344AC" w:rsidSect="00D344AC">
      <w:pgSz w:w="11906" w:h="16838"/>
      <w:pgMar w:top="126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1467A"/>
    <w:multiLevelType w:val="hybridMultilevel"/>
    <w:tmpl w:val="12B4DC4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0B13BD"/>
    <w:multiLevelType w:val="hybridMultilevel"/>
    <w:tmpl w:val="66E4AF90"/>
    <w:lvl w:ilvl="0" w:tplc="AD16C45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CF5429"/>
    <w:rsid w:val="000422D8"/>
    <w:rsid w:val="000F40A1"/>
    <w:rsid w:val="000F7E57"/>
    <w:rsid w:val="001D4739"/>
    <w:rsid w:val="001E5007"/>
    <w:rsid w:val="00226D21"/>
    <w:rsid w:val="002663BF"/>
    <w:rsid w:val="002673FB"/>
    <w:rsid w:val="00296DFD"/>
    <w:rsid w:val="002B1283"/>
    <w:rsid w:val="003648AD"/>
    <w:rsid w:val="00390C36"/>
    <w:rsid w:val="00401B2D"/>
    <w:rsid w:val="00406C21"/>
    <w:rsid w:val="00427978"/>
    <w:rsid w:val="005567F5"/>
    <w:rsid w:val="00594594"/>
    <w:rsid w:val="005A7160"/>
    <w:rsid w:val="005B5A6B"/>
    <w:rsid w:val="006A2270"/>
    <w:rsid w:val="0073757C"/>
    <w:rsid w:val="00763155"/>
    <w:rsid w:val="0076720A"/>
    <w:rsid w:val="007A632B"/>
    <w:rsid w:val="00876346"/>
    <w:rsid w:val="00885F06"/>
    <w:rsid w:val="00907EF0"/>
    <w:rsid w:val="00936069"/>
    <w:rsid w:val="00944FE5"/>
    <w:rsid w:val="00981E62"/>
    <w:rsid w:val="0098250C"/>
    <w:rsid w:val="00A661FA"/>
    <w:rsid w:val="00AC41D9"/>
    <w:rsid w:val="00AC7366"/>
    <w:rsid w:val="00B56520"/>
    <w:rsid w:val="00BE048F"/>
    <w:rsid w:val="00C86F16"/>
    <w:rsid w:val="00CD7A15"/>
    <w:rsid w:val="00CF5429"/>
    <w:rsid w:val="00D344AC"/>
    <w:rsid w:val="00D41319"/>
    <w:rsid w:val="00D52F15"/>
    <w:rsid w:val="00DA01FD"/>
    <w:rsid w:val="00DA5143"/>
    <w:rsid w:val="00DA5D86"/>
    <w:rsid w:val="00E103D7"/>
    <w:rsid w:val="00E26E73"/>
    <w:rsid w:val="00E36A4D"/>
    <w:rsid w:val="00E4043C"/>
    <w:rsid w:val="00E86C7A"/>
    <w:rsid w:val="00EC3BEC"/>
    <w:rsid w:val="00ED2F63"/>
    <w:rsid w:val="00EF125C"/>
    <w:rsid w:val="00F34340"/>
    <w:rsid w:val="00F66E07"/>
    <w:rsid w:val="00F9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5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404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paragraph" w:styleId="ListParagraph">
    <w:name w:val="List Paragraph"/>
    <w:basedOn w:val="Normal"/>
    <w:uiPriority w:val="34"/>
    <w:qFormat/>
    <w:rsid w:val="00401B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settings" Target="settings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B86DACBF407D8499DEC9CDFFBA1930C" ma:contentTypeVersion="1020" ma:contentTypeDescription="The base project type from which other project content types inherit their information." ma:contentTypeScope="" ma:versionID="e65e8babaee972454a9f61ec564248e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4b769bd35faf38045a682dfba9acf4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UBR Contact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35400347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MIF</Division_x0020_or_x0020_Unit>
    <Approval_x0020_Number xmlns="cdc7663a-08f0-4737-9e8c-148ce897a09c" xsi:nil="true"/>
    <Document_x0020_Author xmlns="cdc7663a-08f0-4737-9e8c-148ce897a09c">Giesecke, Jaime Arturo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PE-M1075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WORDMIFABSMultilateral Investment Fund Abstract0</Migration_x0020_Info>
    <Operation_x0020_Type xmlns="cdc7663a-08f0-4737-9e8c-148ce897a09c" xsi:nil="true"/>
    <Record_x0020_Number xmlns="cdc7663a-08f0-4737-9e8c-148ce897a09c">R0002946684</Record_x0020_Number>
    <Document_x0020_Language_x0020_IDB xmlns="cdc7663a-08f0-4737-9e8c-148ce897a09c">Spanish</Document_x0020_Language_x0020_IDB>
    <Identifier xmlns="cdc7663a-08f0-4737-9e8c-148ce897a09c"> PROFILE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EZSHARE-264955402-11950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https://idbg.sharepoint.com/teams/EZ-PE-TCP/PE-M1075/_layouts/15/DocIdRedir.aspx?ID=EZSHARE-264955402-11950</Url>
      <Description>EZSHARE-264955402-11950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B86DACBF407D8499DEC9CDFFBA1930C" ma:contentTypeVersion="1726" ma:contentTypeDescription="The base project type from which other project content types inherit their information." ma:contentTypeScope="" ma:versionID="3aedc8b75ad55ed9e35292b8531ef8d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f2a31bd3a03c7eb8d5936744de99e9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5D0C63A-F07F-4890-80A7-0D0FAC1DEDAF}"/>
</file>

<file path=customXml/itemProps2.xml><?xml version="1.0" encoding="utf-8"?>
<ds:datastoreItem xmlns:ds="http://schemas.openxmlformats.org/officeDocument/2006/customXml" ds:itemID="{654C2D12-5246-4723-803B-E19EEF1D5AD9}"/>
</file>

<file path=customXml/itemProps3.xml><?xml version="1.0" encoding="utf-8"?>
<ds:datastoreItem xmlns:ds="http://schemas.openxmlformats.org/officeDocument/2006/customXml" ds:itemID="{9130B081-5E43-40AB-884A-CB05C2D9A98E}"/>
</file>

<file path=customXml/itemProps4.xml><?xml version="1.0" encoding="utf-8"?>
<ds:datastoreItem xmlns:ds="http://schemas.openxmlformats.org/officeDocument/2006/customXml" ds:itemID="{D4E02139-5A72-4EF9-9B21-393D8706E816}"/>
</file>

<file path=customXml/itemProps5.xml><?xml version="1.0" encoding="utf-8"?>
<ds:datastoreItem xmlns:ds="http://schemas.openxmlformats.org/officeDocument/2006/customXml" ds:itemID="{AE6376ED-77AF-4D98-8B9E-058C76CD7D7A}"/>
</file>

<file path=customXml/itemProps6.xml><?xml version="1.0" encoding="utf-8"?>
<ds:datastoreItem xmlns:ds="http://schemas.openxmlformats.org/officeDocument/2006/customXml" ds:itemID="{1E10623A-0C85-42B8-B2EB-B30C691BE490}"/>
</file>

<file path=customXml/itemProps7.xml><?xml version="1.0" encoding="utf-8"?>
<ds:datastoreItem xmlns:ds="http://schemas.openxmlformats.org/officeDocument/2006/customXml" ds:itemID="{B68CB2F3-07DE-45EE-8535-289879E010CC}"/>
</file>

<file path=customXml/itemProps8.xml><?xml version="1.0" encoding="utf-8"?>
<ds:datastoreItem xmlns:ds="http://schemas.openxmlformats.org/officeDocument/2006/customXml" ds:itemID="{D9EB93A8-1E4A-4EBE-B9B3-AB41254D66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876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Abstracto</dc:title>
  <dc:subject/>
  <dc:creator>xoanf</dc:creator>
  <cp:keywords/>
  <dc:description/>
  <cp:lastModifiedBy>Jaime Giesecke Sara Lafosse</cp:lastModifiedBy>
  <cp:revision>2</cp:revision>
  <dcterms:created xsi:type="dcterms:W3CDTF">2010-10-15T21:18:00Z</dcterms:created>
  <dcterms:modified xsi:type="dcterms:W3CDTF">2010-10-15T21:18:00Z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0x010100ACF722E9F6B0B149B0CD8BE2560A667200FB86DACBF407D8499DEC9CDFFBA1930C</vt:lpwstr>
  </property>
  <property fmtid="{D5CDD505-2E9C-101B-9397-08002B2CF9AE}" pid="3" name="TaxKeyword">
    <vt:lpwstr/>
  </property>
  <property fmtid="{D5CDD505-2E9C-101B-9397-08002B2CF9AE}" pid="4" name="Function Operations IDB">
    <vt:lpwstr/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/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Sub-Sector">
    <vt:lpwstr/>
  </property>
  <property fmtid="{D5CDD505-2E9C-101B-9397-08002B2CF9AE}" pid="15" name="Order">
    <vt:r8>1195000</vt:r8>
  </property>
  <property fmtid="{D5CDD505-2E9C-101B-9397-08002B2CF9AE}" pid="16" name="URL">
    <vt:lpwstr/>
  </property>
  <property fmtid="{D5CDD505-2E9C-101B-9397-08002B2CF9AE}" pid="18" name="Disclosure Activity">
    <vt:lpwstr>Multilateral Investment Fund Abstract</vt:lpwstr>
  </property>
  <property fmtid="{D5CDD505-2E9C-101B-9397-08002B2CF9AE}" pid="21" name="Webtopic">
    <vt:lpwstr>Generic</vt:lpwstr>
  </property>
  <property fmtid="{D5CDD505-2E9C-101B-9397-08002B2CF9AE}" pid="23" name="Disclosed">
    <vt:bool>true</vt:bool>
  </property>
  <property fmtid="{D5CDD505-2E9C-101B-9397-08002B2CF9AE}" pid="27" name="_dlc_DocIdItemGuid">
    <vt:lpwstr>811cd6a9-2cc6-4ff4-9bbe-c525ac7d9025</vt:lpwstr>
  </property>
</Properties>
</file>