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charts/chart4.xml" ContentType="application/vnd.openxmlformats-officedocument.drawingml.chart+xml"/>
  <Override PartName="/word/charts/chart3.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94D" w:rsidRPr="00756A16" w:rsidRDefault="0096094D" w:rsidP="0096094D">
      <w:pPr>
        <w:rPr>
          <w:noProof w:val="0"/>
          <w:lang w:val="es-ES_tradnl"/>
        </w:rPr>
      </w:pPr>
    </w:p>
    <w:p w:rsidR="0096094D" w:rsidRPr="00756A16" w:rsidRDefault="0096094D" w:rsidP="0096094D">
      <w:pPr>
        <w:rPr>
          <w:noProof w:val="0"/>
          <w:lang w:val="es-ES_tradnl"/>
        </w:rPr>
      </w:pPr>
    </w:p>
    <w:tbl>
      <w:tblPr>
        <w:tblW w:w="5000" w:type="pct"/>
        <w:jc w:val="center"/>
        <w:tblLook w:val="04A0" w:firstRow="1" w:lastRow="0" w:firstColumn="1" w:lastColumn="0" w:noHBand="0" w:noVBand="1"/>
      </w:tblPr>
      <w:tblGrid>
        <w:gridCol w:w="8640"/>
      </w:tblGrid>
      <w:tr w:rsidR="0096094D" w:rsidRPr="00756A16" w:rsidTr="00E214C9">
        <w:trPr>
          <w:trHeight w:val="3843"/>
          <w:jc w:val="center"/>
        </w:trPr>
        <w:tc>
          <w:tcPr>
            <w:tcW w:w="5000" w:type="pct"/>
          </w:tcPr>
          <w:p w:rsidR="0096094D" w:rsidRPr="00756A16" w:rsidRDefault="0096094D" w:rsidP="00E214C9">
            <w:pPr>
              <w:pStyle w:val="SubSubPar"/>
              <w:numPr>
                <w:ilvl w:val="0"/>
                <w:numId w:val="0"/>
              </w:numPr>
              <w:tabs>
                <w:tab w:val="left" w:pos="0"/>
                <w:tab w:val="num" w:pos="1296"/>
                <w:tab w:val="num" w:pos="1584"/>
              </w:tabs>
              <w:spacing w:before="120" w:line="240" w:lineRule="auto"/>
              <w:ind w:left="360"/>
              <w:outlineLvl w:val="2"/>
              <w:rPr>
                <w:rFonts w:ascii="Arial" w:eastAsiaTheme="minorEastAsia" w:hAnsi="Arial" w:cs="Arial"/>
                <w:b/>
                <w:smallCaps/>
                <w:sz w:val="22"/>
                <w:szCs w:val="22"/>
                <w:lang w:val="es-ES_tradnl"/>
              </w:rPr>
            </w:pPr>
            <w:r w:rsidRPr="00756A16">
              <w:rPr>
                <w:rFonts w:ascii="Arial" w:eastAsiaTheme="minorEastAsia" w:hAnsi="Arial" w:cs="Arial"/>
                <w:b/>
                <w:smallCaps/>
                <w:sz w:val="22"/>
                <w:szCs w:val="22"/>
                <w:lang w:val="es-ES_tradnl"/>
              </w:rPr>
              <w:t>DOCUMENTO DEL BANCO INTERAMERICANO DE DESARROLLO</w:t>
            </w:r>
          </w:p>
        </w:tc>
      </w:tr>
      <w:tr w:rsidR="0096094D" w:rsidRPr="00756A16" w:rsidTr="00E214C9">
        <w:trPr>
          <w:trHeight w:val="2340"/>
          <w:jc w:val="center"/>
        </w:trPr>
        <w:tc>
          <w:tcPr>
            <w:tcW w:w="5000" w:type="pct"/>
            <w:tcBorders>
              <w:bottom w:val="single" w:sz="4" w:space="0" w:color="4F81BD"/>
            </w:tcBorders>
            <w:vAlign w:val="center"/>
          </w:tcPr>
          <w:p w:rsidR="0096094D" w:rsidRPr="00756A16" w:rsidRDefault="0096094D" w:rsidP="00E214C9">
            <w:pPr>
              <w:spacing w:before="120" w:after="120" w:line="240" w:lineRule="auto"/>
              <w:jc w:val="center"/>
              <w:rPr>
                <w:rFonts w:ascii="Arial" w:eastAsiaTheme="minorEastAsia" w:hAnsi="Arial" w:cs="Arial"/>
                <w:b/>
                <w:noProof w:val="0"/>
                <w:lang w:val="es-ES_tradnl"/>
              </w:rPr>
            </w:pPr>
            <w:r w:rsidRPr="00756A16">
              <w:rPr>
                <w:rFonts w:ascii="Arial" w:eastAsiaTheme="minorEastAsia" w:hAnsi="Arial" w:cs="Arial"/>
                <w:b/>
                <w:noProof w:val="0"/>
                <w:lang w:val="es-ES_tradnl"/>
              </w:rPr>
              <w:t>Gobierno del Estado de Ceará</w:t>
            </w:r>
          </w:p>
        </w:tc>
      </w:tr>
      <w:tr w:rsidR="0096094D" w:rsidRPr="00756A16" w:rsidTr="00E214C9">
        <w:trPr>
          <w:trHeight w:val="720"/>
          <w:jc w:val="center"/>
        </w:trPr>
        <w:tc>
          <w:tcPr>
            <w:tcW w:w="5000" w:type="pct"/>
            <w:tcBorders>
              <w:top w:val="single" w:sz="4" w:space="0" w:color="4F81BD"/>
            </w:tcBorders>
            <w:vAlign w:val="center"/>
          </w:tcPr>
          <w:p w:rsidR="0096094D" w:rsidRPr="00756A16" w:rsidRDefault="0096094D" w:rsidP="00E214C9">
            <w:pPr>
              <w:spacing w:before="120" w:after="120" w:line="240" w:lineRule="auto"/>
              <w:jc w:val="center"/>
              <w:rPr>
                <w:rFonts w:ascii="Arial" w:eastAsiaTheme="minorEastAsia" w:hAnsi="Arial" w:cs="Arial"/>
                <w:b/>
                <w:noProof w:val="0"/>
                <w:lang w:val="es-ES_tradnl"/>
              </w:rPr>
            </w:pPr>
            <w:r w:rsidRPr="00756A16">
              <w:rPr>
                <w:rFonts w:ascii="Arial" w:eastAsiaTheme="minorEastAsia" w:hAnsi="Arial" w:cs="Arial"/>
                <w:b/>
                <w:noProof w:val="0"/>
                <w:lang w:val="es-ES_tradnl"/>
              </w:rPr>
              <w:t xml:space="preserve">Proyecto de Modernización de la </w:t>
            </w:r>
            <w:r w:rsidR="002F68E0" w:rsidRPr="00756A16">
              <w:rPr>
                <w:rFonts w:ascii="Arial" w:eastAsiaTheme="minorEastAsia" w:hAnsi="Arial" w:cs="Arial"/>
                <w:b/>
                <w:noProof w:val="0"/>
                <w:lang w:val="es-ES_tradnl"/>
              </w:rPr>
              <w:t>Gestión</w:t>
            </w:r>
            <w:r w:rsidRPr="00756A16">
              <w:rPr>
                <w:rFonts w:ascii="Arial" w:eastAsiaTheme="minorEastAsia" w:hAnsi="Arial" w:cs="Arial"/>
                <w:b/>
                <w:noProof w:val="0"/>
                <w:lang w:val="es-ES_tradnl"/>
              </w:rPr>
              <w:t xml:space="preserve"> Fiscal del Estado de Ceará (PROFISCO/II CE)</w:t>
            </w:r>
          </w:p>
          <w:p w:rsidR="0096094D" w:rsidRPr="00756A16" w:rsidRDefault="0096094D" w:rsidP="00E214C9">
            <w:pPr>
              <w:spacing w:before="120" w:after="120" w:line="240" w:lineRule="auto"/>
              <w:jc w:val="center"/>
              <w:rPr>
                <w:rFonts w:ascii="Arial" w:eastAsiaTheme="minorEastAsia" w:hAnsi="Arial" w:cs="Arial"/>
                <w:b/>
                <w:noProof w:val="0"/>
                <w:lang w:val="es-ES_tradnl"/>
              </w:rPr>
            </w:pPr>
            <w:r w:rsidRPr="00756A16">
              <w:rPr>
                <w:rFonts w:ascii="Arial" w:eastAsiaTheme="minorEastAsia" w:hAnsi="Arial" w:cs="Arial"/>
                <w:b/>
                <w:noProof w:val="0"/>
                <w:lang w:val="es-ES_tradnl"/>
              </w:rPr>
              <w:t>BR-L1502</w:t>
            </w:r>
          </w:p>
        </w:tc>
      </w:tr>
      <w:tr w:rsidR="0096094D" w:rsidRPr="00756A16" w:rsidTr="00E214C9">
        <w:trPr>
          <w:trHeight w:val="360"/>
          <w:jc w:val="center"/>
        </w:trPr>
        <w:tc>
          <w:tcPr>
            <w:tcW w:w="5000" w:type="pct"/>
            <w:vAlign w:val="center"/>
          </w:tcPr>
          <w:p w:rsidR="0096094D" w:rsidRPr="00756A16" w:rsidRDefault="0096094D" w:rsidP="00E214C9">
            <w:pPr>
              <w:pStyle w:val="NoSpacing"/>
              <w:spacing w:line="276" w:lineRule="auto"/>
              <w:jc w:val="center"/>
              <w:rPr>
                <w:lang w:val="es-ES_tradnl"/>
              </w:rPr>
            </w:pPr>
          </w:p>
        </w:tc>
      </w:tr>
      <w:tr w:rsidR="0096094D" w:rsidRPr="00756A16" w:rsidTr="00E214C9">
        <w:trPr>
          <w:trHeight w:val="360"/>
          <w:jc w:val="center"/>
        </w:trPr>
        <w:tc>
          <w:tcPr>
            <w:tcW w:w="5000" w:type="pct"/>
            <w:vAlign w:val="center"/>
          </w:tcPr>
          <w:p w:rsidR="0096094D" w:rsidRPr="00756A16" w:rsidRDefault="0096094D" w:rsidP="00E214C9">
            <w:pPr>
              <w:tabs>
                <w:tab w:val="left" w:pos="1440"/>
                <w:tab w:val="left" w:pos="3060"/>
              </w:tabs>
              <w:spacing w:before="120" w:after="120" w:line="240" w:lineRule="auto"/>
              <w:jc w:val="center"/>
              <w:rPr>
                <w:rFonts w:ascii="Arial" w:eastAsiaTheme="minorEastAsia" w:hAnsi="Arial" w:cs="Arial"/>
                <w:b/>
                <w:caps/>
                <w:noProof w:val="0"/>
                <w:lang w:val="es-ES_tradnl"/>
              </w:rPr>
            </w:pPr>
            <w:r w:rsidRPr="00756A16">
              <w:rPr>
                <w:rFonts w:ascii="Arial" w:eastAsiaTheme="minorEastAsia" w:hAnsi="Arial" w:cs="Arial"/>
                <w:b/>
                <w:caps/>
                <w:noProof w:val="0"/>
                <w:lang w:val="es-ES_tradnl"/>
              </w:rPr>
              <w:t xml:space="preserve">Evaluación </w:t>
            </w:r>
            <w:r w:rsidR="00F44D3C">
              <w:rPr>
                <w:rFonts w:ascii="Arial" w:eastAsiaTheme="minorEastAsia" w:hAnsi="Arial" w:cs="Arial"/>
                <w:b/>
                <w:caps/>
                <w:noProof w:val="0"/>
                <w:lang w:val="es-ES_tradnl"/>
              </w:rPr>
              <w:t>ECONÓMICA</w:t>
            </w:r>
            <w:r w:rsidRPr="00756A16">
              <w:rPr>
                <w:rFonts w:ascii="Arial" w:eastAsiaTheme="minorEastAsia" w:hAnsi="Arial" w:cs="Arial"/>
                <w:b/>
                <w:caps/>
                <w:noProof w:val="0"/>
                <w:lang w:val="es-ES_tradnl"/>
              </w:rPr>
              <w:t xml:space="preserve"> Ex-ante</w:t>
            </w:r>
          </w:p>
          <w:p w:rsidR="0096094D" w:rsidRPr="00756A16" w:rsidRDefault="0096094D" w:rsidP="00E214C9">
            <w:pPr>
              <w:pStyle w:val="NoSpacing"/>
              <w:spacing w:line="276" w:lineRule="auto"/>
              <w:jc w:val="center"/>
              <w:rPr>
                <w:b/>
                <w:bCs/>
                <w:sz w:val="24"/>
                <w:szCs w:val="24"/>
                <w:lang w:val="es-ES_tradnl"/>
              </w:rPr>
            </w:pPr>
          </w:p>
        </w:tc>
      </w:tr>
      <w:tr w:rsidR="0096094D" w:rsidRPr="00756A16" w:rsidTr="00E214C9">
        <w:trPr>
          <w:trHeight w:val="360"/>
          <w:jc w:val="center"/>
        </w:trPr>
        <w:tc>
          <w:tcPr>
            <w:tcW w:w="5000" w:type="pct"/>
            <w:vAlign w:val="center"/>
          </w:tcPr>
          <w:p w:rsidR="0096094D" w:rsidRDefault="0096094D" w:rsidP="00E214C9">
            <w:pPr>
              <w:pStyle w:val="NoSpacing"/>
              <w:spacing w:line="276" w:lineRule="auto"/>
              <w:jc w:val="center"/>
              <w:rPr>
                <w:b/>
                <w:bCs/>
                <w:sz w:val="24"/>
                <w:szCs w:val="24"/>
                <w:lang w:val="es-ES_tradnl"/>
              </w:rPr>
            </w:pPr>
          </w:p>
          <w:p w:rsidR="00474880" w:rsidRDefault="00474880" w:rsidP="00E214C9">
            <w:pPr>
              <w:pStyle w:val="NoSpacing"/>
              <w:spacing w:line="276" w:lineRule="auto"/>
              <w:jc w:val="center"/>
              <w:rPr>
                <w:b/>
                <w:bCs/>
                <w:sz w:val="24"/>
                <w:szCs w:val="24"/>
                <w:lang w:val="es-ES_tradnl"/>
              </w:rPr>
            </w:pPr>
          </w:p>
          <w:p w:rsidR="00474880" w:rsidRPr="00756A16" w:rsidRDefault="00474880" w:rsidP="00E214C9">
            <w:pPr>
              <w:pStyle w:val="NoSpacing"/>
              <w:spacing w:line="276" w:lineRule="auto"/>
              <w:jc w:val="center"/>
              <w:rPr>
                <w:b/>
                <w:bCs/>
                <w:sz w:val="24"/>
                <w:szCs w:val="24"/>
                <w:lang w:val="es-ES_tradnl"/>
              </w:rPr>
            </w:pPr>
          </w:p>
        </w:tc>
      </w:tr>
    </w:tbl>
    <w:p w:rsidR="0096094D" w:rsidRPr="00756A16" w:rsidRDefault="0096094D" w:rsidP="0096094D">
      <w:pPr>
        <w:rPr>
          <w:noProof w:val="0"/>
          <w:lang w:val="es-ES_tradnl"/>
        </w:rPr>
      </w:pPr>
    </w:p>
    <w:tbl>
      <w:tblPr>
        <w:tblStyle w:val="TableGrid"/>
        <w:tblW w:w="0" w:type="auto"/>
        <w:tblLook w:val="04A0" w:firstRow="1" w:lastRow="0" w:firstColumn="1" w:lastColumn="0" w:noHBand="0" w:noVBand="1"/>
      </w:tblPr>
      <w:tblGrid>
        <w:gridCol w:w="8630"/>
      </w:tblGrid>
      <w:tr w:rsidR="0096094D" w:rsidRPr="00756A16" w:rsidTr="00E214C9">
        <w:tc>
          <w:tcPr>
            <w:tcW w:w="8630" w:type="dxa"/>
          </w:tcPr>
          <w:p w:rsidR="0096094D" w:rsidRPr="00756A16" w:rsidRDefault="0096094D" w:rsidP="00E214C9">
            <w:pPr>
              <w:jc w:val="both"/>
              <w:rPr>
                <w:rFonts w:ascii="Times New Roman" w:hAnsi="Times New Roman"/>
                <w:noProof w:val="0"/>
                <w:color w:val="000000"/>
                <w:sz w:val="24"/>
                <w:szCs w:val="24"/>
                <w:lang w:val="es-ES_tradnl"/>
              </w:rPr>
            </w:pPr>
            <w:r w:rsidRPr="00756A16">
              <w:rPr>
                <w:rFonts w:ascii="Times New Roman" w:hAnsi="Times New Roman"/>
                <w:noProof w:val="0"/>
                <w:color w:val="000000"/>
                <w:sz w:val="24"/>
                <w:szCs w:val="24"/>
                <w:lang w:val="es-ES_tradnl"/>
              </w:rPr>
              <w:t>El presente documento fue preparado por el equipo de proyecto integrado por Ricardo Gazel (Consultor</w:t>
            </w:r>
            <w:r w:rsidR="00474880">
              <w:rPr>
                <w:rFonts w:ascii="Times New Roman" w:hAnsi="Times New Roman"/>
                <w:noProof w:val="0"/>
                <w:color w:val="000000"/>
                <w:sz w:val="24"/>
                <w:szCs w:val="24"/>
                <w:lang w:val="es-ES_tradnl"/>
              </w:rPr>
              <w:t xml:space="preserve">) </w:t>
            </w:r>
            <w:r w:rsidR="002F68E0">
              <w:rPr>
                <w:rFonts w:ascii="Times New Roman" w:hAnsi="Times New Roman"/>
                <w:noProof w:val="0"/>
                <w:color w:val="000000"/>
                <w:sz w:val="24"/>
                <w:szCs w:val="24"/>
                <w:lang w:val="es-ES_tradnl"/>
              </w:rPr>
              <w:t>en cooperación con</w:t>
            </w:r>
            <w:r w:rsidRPr="00756A16">
              <w:rPr>
                <w:rFonts w:ascii="Times New Roman" w:hAnsi="Times New Roman"/>
                <w:noProof w:val="0"/>
                <w:color w:val="000000"/>
                <w:sz w:val="24"/>
                <w:szCs w:val="24"/>
                <w:lang w:val="es-ES_tradnl"/>
              </w:rPr>
              <w:t xml:space="preserve"> José Tostes, Andrés Muñoz y Cristina Mac </w:t>
            </w:r>
            <w:proofErr w:type="spellStart"/>
            <w:r w:rsidRPr="00756A16">
              <w:rPr>
                <w:rFonts w:ascii="Times New Roman" w:hAnsi="Times New Roman"/>
                <w:noProof w:val="0"/>
                <w:color w:val="000000"/>
                <w:sz w:val="24"/>
                <w:szCs w:val="24"/>
                <w:lang w:val="es-ES_tradnl"/>
              </w:rPr>
              <w:t>Dowel</w:t>
            </w:r>
            <w:proofErr w:type="spellEnd"/>
            <w:r w:rsidRPr="00756A16">
              <w:rPr>
                <w:rFonts w:ascii="Times New Roman" w:hAnsi="Times New Roman"/>
                <w:noProof w:val="0"/>
                <w:color w:val="000000"/>
                <w:sz w:val="24"/>
                <w:szCs w:val="24"/>
                <w:lang w:val="es-ES_tradnl"/>
              </w:rPr>
              <w:t xml:space="preserve"> (FMM/CBR).</w:t>
            </w:r>
          </w:p>
        </w:tc>
      </w:tr>
    </w:tbl>
    <w:p w:rsidR="0096094D" w:rsidRPr="00756A16" w:rsidRDefault="0096094D" w:rsidP="0096094D">
      <w:pPr>
        <w:jc w:val="both"/>
        <w:rPr>
          <w:rFonts w:ascii="Times New Roman" w:hAnsi="Times New Roman"/>
          <w:noProof w:val="0"/>
          <w:color w:val="000000"/>
          <w:sz w:val="24"/>
          <w:szCs w:val="24"/>
          <w:lang w:val="es-ES_tradnl"/>
        </w:rPr>
      </w:pPr>
    </w:p>
    <w:p w:rsidR="0096094D" w:rsidRPr="00756A16" w:rsidRDefault="0096094D" w:rsidP="00474880">
      <w:pPr>
        <w:pStyle w:val="Chapter"/>
        <w:keepNext/>
        <w:numPr>
          <w:ilvl w:val="0"/>
          <w:numId w:val="39"/>
        </w:numPr>
        <w:tabs>
          <w:tab w:val="clear" w:pos="1440"/>
          <w:tab w:val="clear" w:pos="1994"/>
        </w:tabs>
        <w:spacing w:before="240"/>
        <w:ind w:left="900" w:hanging="450"/>
        <w:jc w:val="left"/>
        <w:rPr>
          <w:rFonts w:ascii="Arial" w:eastAsiaTheme="minorEastAsia" w:hAnsi="Arial" w:cs="Arial"/>
          <w:sz w:val="22"/>
          <w:szCs w:val="22"/>
          <w:lang w:val="es-ES_tradnl"/>
        </w:rPr>
      </w:pPr>
      <w:r w:rsidRPr="00756A16">
        <w:rPr>
          <w:rFonts w:ascii="Arial" w:eastAsiaTheme="minorEastAsia" w:hAnsi="Arial" w:cs="Arial"/>
          <w:sz w:val="22"/>
          <w:szCs w:val="22"/>
          <w:lang w:val="es-ES_tradnl"/>
        </w:rPr>
        <w:lastRenderedPageBreak/>
        <w:t>Resumen Ejecutivo</w:t>
      </w:r>
    </w:p>
    <w:p w:rsidR="0096094D" w:rsidRPr="00756A16" w:rsidRDefault="0096094D" w:rsidP="0096094D">
      <w:pPr>
        <w:pStyle w:val="ListParagraph"/>
        <w:keepNext/>
        <w:suppressAutoHyphens/>
        <w:spacing w:before="120" w:after="0" w:line="240" w:lineRule="auto"/>
        <w:ind w:left="1440"/>
        <w:jc w:val="both"/>
        <w:outlineLvl w:val="3"/>
        <w:rPr>
          <w:rFonts w:ascii="Arial" w:eastAsia="Times New Roman" w:hAnsi="Arial"/>
          <w:b/>
          <w:bCs/>
          <w:noProof w:val="0"/>
          <w:szCs w:val="20"/>
          <w:lang w:val="es-ES_tradnl" w:eastAsia="es-ES"/>
        </w:rPr>
      </w:pPr>
    </w:p>
    <w:p w:rsidR="0096094D" w:rsidRPr="00756A16" w:rsidRDefault="0096094D" w:rsidP="00474880">
      <w:pPr>
        <w:pStyle w:val="ListParagraph"/>
        <w:keepNext/>
        <w:numPr>
          <w:ilvl w:val="1"/>
          <w:numId w:val="45"/>
        </w:numPr>
        <w:tabs>
          <w:tab w:val="num" w:pos="851"/>
        </w:tabs>
        <w:suppressAutoHyphens/>
        <w:spacing w:before="240" w:after="240" w:line="240" w:lineRule="auto"/>
        <w:ind w:left="851" w:hanging="567"/>
        <w:jc w:val="both"/>
        <w:outlineLvl w:val="3"/>
        <w:rPr>
          <w:rFonts w:ascii="Arial" w:hAnsi="Arial" w:cs="Arial"/>
          <w:noProof w:val="0"/>
          <w:lang w:val="es-ES_tradnl"/>
        </w:rPr>
      </w:pPr>
      <w:r w:rsidRPr="00756A16">
        <w:rPr>
          <w:rFonts w:ascii="Arial" w:hAnsi="Arial" w:cs="Arial"/>
          <w:noProof w:val="0"/>
          <w:lang w:val="es-ES_tradnl"/>
        </w:rPr>
        <w:t xml:space="preserve">El Estado de Ceará está desarrollando, </w:t>
      </w:r>
      <w:r w:rsidR="00E214C9" w:rsidRPr="00756A16">
        <w:rPr>
          <w:rFonts w:ascii="Arial" w:hAnsi="Arial" w:cs="Arial"/>
          <w:noProof w:val="0"/>
          <w:lang w:val="es-ES_tradnl"/>
        </w:rPr>
        <w:t>juntamente con</w:t>
      </w:r>
      <w:r w:rsidRPr="00756A16">
        <w:rPr>
          <w:rFonts w:ascii="Arial" w:hAnsi="Arial" w:cs="Arial"/>
          <w:noProof w:val="0"/>
          <w:lang w:val="es-ES_tradnl"/>
        </w:rPr>
        <w:t xml:space="preserve"> el Banco Interamericano de Desarrollo (BID), el Programa de Modernización de la Gestión Fiscal del Estado de Ceará (PROFISCO II CE BR-L5102). El objetivo del programa es contribuir a la sostenibilidad fiscal del Estado por medio de la modernización de la gestión fiscal, administración tributaria y gestión del gasto público, posibilitando la prestación de mejores servicios públicos a sus ciudadanos. La inversión total del programa será de US$77 millones, de los cuales US$ 70 millones corresponden a financiamiento BID y US$ 7 millones a la contrapartida.</w:t>
      </w:r>
    </w:p>
    <w:p w:rsidR="0096094D" w:rsidRPr="00756A16" w:rsidRDefault="00E214C9" w:rsidP="00474880">
      <w:pPr>
        <w:pStyle w:val="ListParagraph"/>
        <w:keepNext/>
        <w:numPr>
          <w:ilvl w:val="1"/>
          <w:numId w:val="45"/>
        </w:numPr>
        <w:tabs>
          <w:tab w:val="num" w:pos="851"/>
        </w:tabs>
        <w:suppressAutoHyphens/>
        <w:spacing w:before="240" w:after="24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Este análisis</w:t>
      </w:r>
      <w:r w:rsidR="0096094D" w:rsidRPr="00756A16">
        <w:rPr>
          <w:rFonts w:ascii="Arial" w:eastAsia="Times New Roman" w:hAnsi="Arial" w:cs="Arial"/>
          <w:bCs/>
          <w:noProof w:val="0"/>
          <w:lang w:val="es-ES_tradnl" w:eastAsia="es-ES"/>
        </w:rPr>
        <w:t xml:space="preserve"> Costo-Beneficio (C-B) considera los costos y beneficios financieros para el Gobierno del Estado de Ceará, así como las economías para el contribuyente, provenientes de la modernización de la gestión fiscal, cuyo resultado será un tiempo menor para el cumplimiento de las obligaciones tributarias. Además del aumento de recaudación, también son consideradas algunas economías para el gobierno mediante la adopción de soluciones que automaticen procesos que son realizados manualmente e integren </w:t>
      </w:r>
      <w:r w:rsidRPr="00756A16">
        <w:rPr>
          <w:rFonts w:ascii="Arial" w:eastAsia="Times New Roman" w:hAnsi="Arial" w:cs="Arial"/>
          <w:bCs/>
          <w:noProof w:val="0"/>
          <w:lang w:val="es-ES_tradnl" w:eastAsia="es-ES"/>
        </w:rPr>
        <w:t>sistemas, eliminando</w:t>
      </w:r>
      <w:r w:rsidR="0096094D" w:rsidRPr="00756A16">
        <w:rPr>
          <w:rFonts w:ascii="Arial" w:eastAsia="Times New Roman" w:hAnsi="Arial" w:cs="Arial"/>
          <w:bCs/>
          <w:noProof w:val="0"/>
          <w:lang w:val="es-ES_tradnl" w:eastAsia="es-ES"/>
        </w:rPr>
        <w:t xml:space="preserve"> trabajos duplicados.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horizonte temporal es de diez años a partir del inicio de la ejecución del programa. De esta manera, el análisis va del año 1 al año 10, que </w:t>
      </w:r>
      <w:r w:rsidR="00E214C9" w:rsidRPr="00756A16">
        <w:rPr>
          <w:rFonts w:ascii="Arial" w:eastAsia="Times New Roman" w:hAnsi="Arial" w:cs="Arial"/>
          <w:bCs/>
          <w:noProof w:val="0"/>
          <w:lang w:val="es-ES_tradnl" w:eastAsia="es-ES"/>
        </w:rPr>
        <w:t>correspondería, aproximadamente</w:t>
      </w:r>
      <w:r w:rsidRPr="00756A16">
        <w:rPr>
          <w:rFonts w:ascii="Arial" w:eastAsia="Times New Roman" w:hAnsi="Arial" w:cs="Arial"/>
          <w:bCs/>
          <w:noProof w:val="0"/>
          <w:lang w:val="es-ES_tradnl" w:eastAsia="es-ES"/>
        </w:rPr>
        <w:t>, a los años 2018 y 2027, respectivamente.</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Fueron incluidos los costos de financiamiento del programa, de contrapartida por el Estado de Ceará; costos financieros de tasa de crédito para valores no desembolsados e intereses para valores además de costos de mantenimiento de sistemas después de implantados y durante todo el período de la evaluación.</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Los beneficios fueron distribuidos en tres áreas específicas: Aumento de recaudación tributaria; Reducción de costos (tiempo) para que el contribuyente cumpla sus obligaciones tributarias; y Reducción de costos para el gobierno de Ceará en su gestión fiscal.</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El PROFISCO II CE incluye tres grandes áre</w:t>
      </w:r>
      <w:r w:rsidR="00474880">
        <w:rPr>
          <w:rFonts w:ascii="Arial" w:eastAsia="Times New Roman" w:hAnsi="Arial" w:cs="Arial"/>
          <w:bCs/>
          <w:noProof w:val="0"/>
          <w:lang w:val="es-ES_tradnl" w:eastAsia="es-ES"/>
        </w:rPr>
        <w:t>as de actuación que incluyen 17 </w:t>
      </w:r>
      <w:r w:rsidRPr="00756A16">
        <w:rPr>
          <w:rFonts w:ascii="Arial" w:eastAsia="Times New Roman" w:hAnsi="Arial" w:cs="Arial"/>
          <w:bCs/>
          <w:noProof w:val="0"/>
          <w:lang w:val="es-ES_tradnl" w:eastAsia="es-ES"/>
        </w:rPr>
        <w:t>productos, por su parte, divididos en 66 subproductos. Casi todos los productos generarán aumento de ingresos, economía para el contribuyente o reducción de gastos para el gobierno. Para el análisis C-B fueron seleccionados apenas cinco subproductos que caracterizan bien estos potenciales beneficios y que cuentan con disponibilidad de datos para identificarlos y cuantificarlos adecuadamente.</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En el área de aumento de la recaudación, fue escogido para el análisis C-B, el Subproducto </w:t>
      </w:r>
      <w:r w:rsidRPr="00756A16">
        <w:rPr>
          <w:rFonts w:ascii="Arial" w:eastAsia="Times New Roman" w:hAnsi="Arial" w:cs="Arial"/>
          <w:b/>
          <w:bCs/>
          <w:noProof w:val="0"/>
          <w:lang w:val="es-ES_tradnl" w:eastAsia="es-ES"/>
        </w:rPr>
        <w:t>2.3.2: Nuevo sistema de control electrónico de operaciones fiscales al menudeo - Implantación de los Módulo Fiscales electrónicos (MF-e)</w:t>
      </w:r>
      <w:r w:rsidRPr="00756A16">
        <w:rPr>
          <w:rFonts w:ascii="Arial" w:eastAsia="Times New Roman" w:hAnsi="Arial" w:cs="Arial"/>
          <w:bCs/>
          <w:noProof w:val="0"/>
          <w:lang w:val="es-ES_tradnl" w:eastAsia="es-ES"/>
        </w:rPr>
        <w:t xml:space="preserve">, que substituirá </w:t>
      </w:r>
      <w:proofErr w:type="spellStart"/>
      <w:r w:rsidRPr="00756A16">
        <w:rPr>
          <w:rFonts w:ascii="Arial" w:eastAsia="Times New Roman" w:hAnsi="Arial" w:cs="Arial"/>
          <w:bCs/>
          <w:noProof w:val="0"/>
          <w:lang w:val="es-ES_tradnl" w:eastAsia="es-ES"/>
        </w:rPr>
        <w:t>la</w:t>
      </w:r>
      <w:proofErr w:type="spellEnd"/>
      <w:r w:rsidRPr="00756A16">
        <w:rPr>
          <w:rFonts w:ascii="Arial" w:eastAsia="Times New Roman" w:hAnsi="Arial" w:cs="Arial"/>
          <w:bCs/>
          <w:noProof w:val="0"/>
          <w:lang w:val="es-ES_tradnl" w:eastAsia="es-ES"/>
        </w:rPr>
        <w:t xml:space="preserve"> actual herramienta de emisión de cupón fiscal (ECF) que es frágil, basada en papel y vulnerable a la evasión fiscal.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La nueva herramienta del Módulo Fiscal Electrónico (MF-e) </w:t>
      </w:r>
      <w:r w:rsidR="00E214C9" w:rsidRPr="00756A16">
        <w:rPr>
          <w:rFonts w:ascii="Arial" w:eastAsia="Times New Roman" w:hAnsi="Arial" w:cs="Arial"/>
          <w:bCs/>
          <w:noProof w:val="0"/>
          <w:lang w:val="es-ES_tradnl" w:eastAsia="es-ES"/>
        </w:rPr>
        <w:t>restringe</w:t>
      </w:r>
      <w:r w:rsidRPr="00756A16">
        <w:rPr>
          <w:rFonts w:ascii="Arial" w:eastAsia="Times New Roman" w:hAnsi="Arial" w:cs="Arial"/>
          <w:bCs/>
          <w:noProof w:val="0"/>
          <w:lang w:val="es-ES_tradnl" w:eastAsia="es-ES"/>
        </w:rPr>
        <w:t xml:space="preserve"> sustancialmente el potencial de retención. Ella no puede ser abierta, tiene un software interno de la Secretaría de Hacienda (SEFAZ), posee GPS lo que no permite que sea usada en otros establecimientos, inclusive en otros estados, tal como sucede con </w:t>
      </w:r>
      <w:proofErr w:type="spellStart"/>
      <w:r w:rsidRPr="00756A16">
        <w:rPr>
          <w:rFonts w:ascii="Arial" w:eastAsia="Times New Roman" w:hAnsi="Arial" w:cs="Arial"/>
          <w:bCs/>
          <w:noProof w:val="0"/>
          <w:lang w:val="es-ES_tradnl" w:eastAsia="es-ES"/>
        </w:rPr>
        <w:t>ECFs</w:t>
      </w:r>
      <w:proofErr w:type="spellEnd"/>
      <w:r w:rsidRPr="00756A16">
        <w:rPr>
          <w:rFonts w:ascii="Arial" w:eastAsia="Times New Roman" w:hAnsi="Arial" w:cs="Arial"/>
          <w:bCs/>
          <w:noProof w:val="0"/>
          <w:lang w:val="es-ES_tradnl" w:eastAsia="es-ES"/>
        </w:rPr>
        <w:t xml:space="preserve">, y permite el monitoreo a distancia en tiempo real. La substitución del ECF por el MF-e será hecha priorizando los sectores con mayor probabilidad de evasión, tales como combustibles y confección.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AMARAL, OLENIKE, AMARAL &amp; STEINBRUCH (2009) estimaron un nivel de evasión del 27,6% en la recaudación del ICMS, el mismo valor de una media </w:t>
      </w:r>
      <w:r w:rsidRPr="00756A16">
        <w:rPr>
          <w:rFonts w:ascii="Arial" w:eastAsia="Times New Roman" w:hAnsi="Arial" w:cs="Arial"/>
          <w:bCs/>
          <w:noProof w:val="0"/>
          <w:lang w:val="es-ES_tradnl" w:eastAsia="es-ES"/>
        </w:rPr>
        <w:lastRenderedPageBreak/>
        <w:t>linear de estimaciones para el Impuesto al Valor Agregado (IVA) en 14 países de América Latina. Este estudio, sin embargo, no estuvo destinado apenas al sector minorista, sino a todos los sectores y a todo el país.</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Para este análisis de C-B, un </w:t>
      </w:r>
      <w:r w:rsidR="00E214C9" w:rsidRPr="00756A16">
        <w:rPr>
          <w:rFonts w:ascii="Arial" w:eastAsia="Times New Roman" w:hAnsi="Arial" w:cs="Arial"/>
          <w:bCs/>
          <w:noProof w:val="0"/>
          <w:lang w:val="es-ES_tradnl" w:eastAsia="es-ES"/>
        </w:rPr>
        <w:t>ejercicio similar</w:t>
      </w:r>
      <w:r w:rsidRPr="00756A16">
        <w:rPr>
          <w:rFonts w:ascii="Arial" w:eastAsia="Times New Roman" w:hAnsi="Arial" w:cs="Arial"/>
          <w:bCs/>
          <w:noProof w:val="0"/>
          <w:lang w:val="es-ES_tradnl" w:eastAsia="es-ES"/>
        </w:rPr>
        <w:t xml:space="preserve"> fue realizado para el Estado de Ceará, utilizando datos de 1.750 fiscalizaciones en firmas del sector minorista entre 2014 y 2016. El valor no declarado representó el 23,7% del total declarado; menor, pero próximo del valor encontrado en el estudio mencionado anteriormente para Brasil y para el IVA en 14 países de América Latina.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Sin embargo, aplicar el índice de evasión fiscal calculado a partir de fiscalizaciones para el universo del sector posiblemente estaría sobreestimando el total de evasión fiscal. Se optó por un enfoque bastante conservador, adoptando la hipótesis de que el universo del sector minorista registra un porcentaje de evasión equivalente a la mitad verificada entre las firmas que fueron objeto de auditoría, el 11,8% del valor declarado del Impuesto sobre la Circulación de Mercaderías y Servicios (ICMS).</w:t>
      </w:r>
    </w:p>
    <w:p w:rsidR="0096094D" w:rsidRPr="00756A16" w:rsidRDefault="00E214C9"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Pr>
          <w:rFonts w:ascii="Arial" w:eastAsia="Times New Roman" w:hAnsi="Arial" w:cs="Arial"/>
          <w:bCs/>
          <w:noProof w:val="0"/>
          <w:lang w:val="es-ES_tradnl" w:eastAsia="es-ES"/>
        </w:rPr>
        <w:t>Mediante</w:t>
      </w:r>
      <w:r w:rsidR="0096094D" w:rsidRPr="00756A16">
        <w:rPr>
          <w:rFonts w:ascii="Arial" w:eastAsia="Times New Roman" w:hAnsi="Arial" w:cs="Arial"/>
          <w:bCs/>
          <w:noProof w:val="0"/>
          <w:lang w:val="es-ES_tradnl" w:eastAsia="es-ES"/>
        </w:rPr>
        <w:t xml:space="preserve"> la implantación del MF-e se espera cerrar dramáticamente las brechas de evasión, pero no se puede afirmar que ellas serán totalmente eliminadas. Nuevamente, para hacer una estimación de beneficios radicalmente conservadora se optó por asumir que el uso del MF-e reducirá apenas el 50% del fraude en el sector. De esta forma, la recaudación de ICMS aumentaría un 5,9% anualmente cuando los 50 mil contribuyentes activos estén utilizando el MF-e.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Para el área de reducción de costos para el contribuyente, fue </w:t>
      </w:r>
      <w:r w:rsidR="00474880" w:rsidRPr="00756A16">
        <w:rPr>
          <w:rFonts w:ascii="Arial" w:eastAsia="Times New Roman" w:hAnsi="Arial" w:cs="Arial"/>
          <w:bCs/>
          <w:noProof w:val="0"/>
          <w:lang w:val="es-ES_tradnl" w:eastAsia="es-ES"/>
        </w:rPr>
        <w:t>incluido</w:t>
      </w:r>
      <w:r w:rsidRPr="00756A16">
        <w:rPr>
          <w:rFonts w:ascii="Arial" w:eastAsia="Times New Roman" w:hAnsi="Arial" w:cs="Arial"/>
          <w:bCs/>
          <w:noProof w:val="0"/>
          <w:lang w:val="es-ES_tradnl" w:eastAsia="es-ES"/>
        </w:rPr>
        <w:t xml:space="preserve"> en el análisis C-B el </w:t>
      </w:r>
      <w:r w:rsidRPr="00756A16">
        <w:rPr>
          <w:rFonts w:ascii="Arial" w:eastAsia="Times New Roman" w:hAnsi="Arial" w:cs="Arial"/>
          <w:b/>
          <w:bCs/>
          <w:noProof w:val="0"/>
          <w:lang w:val="es-ES_tradnl" w:eastAsia="es-ES"/>
        </w:rPr>
        <w:t>Producto 2.6- Proceso de atención automatizado</w:t>
      </w:r>
      <w:r w:rsidRPr="00756A16">
        <w:rPr>
          <w:rFonts w:ascii="Arial" w:eastAsia="Times New Roman" w:hAnsi="Arial" w:cs="Arial"/>
          <w:bCs/>
          <w:noProof w:val="0"/>
          <w:lang w:val="es-ES_tradnl" w:eastAsia="es-ES"/>
        </w:rPr>
        <w:t>. En Ceará también existen 113 diferentes transacciones que demandan la presencia física del contribuyente para realizarlas. Estas transacciones presenciales representan un costo para el contribuyente, incluyendo el tiempo de desplazamiento, tiempo de espera para ser atendido y tiempo de atención.</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PROFISCO II CE colocará a disposición online 58 de estos 113 servicios que actualmente son apenas presenciales. Apenas en los primeros seis meses de 2017 fueron un total de 190.781 atendimientos, incluyendo 147.241 de los servicios que serán colocados a disposición online.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Utilizando las estadísticas más recientes de tiempos medios de espera y atención por servicio recogidas por la SEFAZ y asumiendo conservadoramente una hora de desplazamiento para que el contribuyente salga de su local de trabajo, vaya a la SEFAZ y vuelva a su local de trabajo, se concluye que los contribuyentes gastan casi 290 mil horas para realizar estas transacciones presenciales, incluyendo casi 230 mil horas en las transacciones que el PROFISCO II CE colocará a disposición online. Anualmente, estas horas corresponden a 133 trabajadores en tiempo integral apenas para realizar estas transacciones, incluyendo 105 para los servicios que serán colocados a disposición online durante los próximos años.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Para fijación de precios del costo de las transacciones descriptas anteriormente, se utilizó como base el menor salario para un profesional de contabilidad establecido por el Convenio Colectivo entre el Sindicato de los Contables en el Estado de Ceará y Sindicato de las Empresas de Servicios Contables de Ceará para 2016/2017. Los cálculos indican una economía anual de aproximadamente R$2,5 millones para los contribuyentes.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Para el área de reducción de costos para el gobierno de Ceará, cuatro subproductos fueron incluidos en el análisis C-B: </w:t>
      </w:r>
      <w:r w:rsidRPr="00756A16">
        <w:rPr>
          <w:rFonts w:ascii="Arial" w:eastAsia="Times New Roman" w:hAnsi="Arial" w:cs="Arial"/>
          <w:b/>
          <w:bCs/>
          <w:noProof w:val="0"/>
          <w:lang w:val="es-ES_tradnl" w:eastAsia="es-ES"/>
        </w:rPr>
        <w:t xml:space="preserve">Subproducto 1.3.4: Análisis, elaboración de modelos y automatización de los procesos de RH; </w:t>
      </w:r>
      <w:r w:rsidRPr="00756A16">
        <w:rPr>
          <w:rFonts w:ascii="Arial" w:eastAsia="Times New Roman" w:hAnsi="Arial" w:cs="Arial"/>
          <w:b/>
          <w:bCs/>
          <w:noProof w:val="0"/>
          <w:lang w:val="es-ES_tradnl" w:eastAsia="es-ES"/>
        </w:rPr>
        <w:lastRenderedPageBreak/>
        <w:t>Subproducto 2.5.1: Implantación del Proceso Administrativo Tributario Electrónico (</w:t>
      </w:r>
      <w:proofErr w:type="gramStart"/>
      <w:r w:rsidRPr="00756A16">
        <w:rPr>
          <w:rFonts w:ascii="Arial" w:eastAsia="Times New Roman" w:hAnsi="Arial" w:cs="Arial"/>
          <w:b/>
          <w:bCs/>
          <w:noProof w:val="0"/>
          <w:lang w:val="es-ES_tradnl" w:eastAsia="es-ES"/>
        </w:rPr>
        <w:t>PAT-e</w:t>
      </w:r>
      <w:proofErr w:type="gramEnd"/>
      <w:r w:rsidRPr="00756A16">
        <w:rPr>
          <w:rFonts w:ascii="Arial" w:eastAsia="Times New Roman" w:hAnsi="Arial" w:cs="Arial"/>
          <w:b/>
          <w:bCs/>
          <w:noProof w:val="0"/>
          <w:lang w:val="es-ES_tradnl" w:eastAsia="es-ES"/>
        </w:rPr>
        <w:t>); Producto 2.6- Proceso de atención automatizada; y Subproducto 3.2.8 Análisis, elaboración de modelos y automatización de la conciliación bancaria.</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Fueron utilizados datos actuales de la SEFAZ para determinar las horas gastadas en estos procedimientos manuales y cuánto se economizará mediante la implantación e integración de los nuevos sistemas, así como los salarios y beneficios de los servidores involucrados en estas funciones.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Escenario 1 (básico) del análisis C-B, utilizando los resultados anteriormente descritos, estima una tasa interna de retorno </w:t>
      </w:r>
      <w:r w:rsidRPr="00756A16">
        <w:rPr>
          <w:rFonts w:ascii="Arial" w:eastAsia="Times New Roman" w:hAnsi="Arial" w:cs="Arial"/>
          <w:b/>
          <w:bCs/>
          <w:noProof w:val="0"/>
          <w:lang w:val="es-ES_tradnl" w:eastAsia="es-ES"/>
        </w:rPr>
        <w:t xml:space="preserve">(TIR) del 30,3% </w:t>
      </w:r>
      <w:r w:rsidRPr="00756A16">
        <w:rPr>
          <w:rFonts w:ascii="Arial" w:eastAsia="Times New Roman" w:hAnsi="Arial" w:cs="Arial"/>
          <w:bCs/>
          <w:noProof w:val="0"/>
          <w:lang w:val="es-ES_tradnl" w:eastAsia="es-ES"/>
        </w:rPr>
        <w:t xml:space="preserve">y un valor presente neto </w:t>
      </w:r>
      <w:r w:rsidRPr="00756A16">
        <w:rPr>
          <w:rFonts w:ascii="Arial" w:eastAsia="Times New Roman" w:hAnsi="Arial" w:cs="Arial"/>
          <w:b/>
          <w:bCs/>
          <w:noProof w:val="0"/>
          <w:lang w:val="es-ES_tradnl" w:eastAsia="es-ES"/>
        </w:rPr>
        <w:t>(VPL) de más de US$ 50 millones</w:t>
      </w:r>
      <w:r w:rsidRPr="00756A16">
        <w:rPr>
          <w:rFonts w:ascii="Arial" w:eastAsia="Times New Roman" w:hAnsi="Arial" w:cs="Arial"/>
          <w:bCs/>
          <w:noProof w:val="0"/>
          <w:lang w:val="es-ES_tradnl" w:eastAsia="es-ES"/>
        </w:rPr>
        <w:t xml:space="preserve">. El flujo financiero anual (Beneficios – Costes) pasa a ser positivo ya en el tercero año del programa y, acumulativamente, pasa a ser positivo en el sexto año del programa, o sea, ya con retorno positivo para el conjunto del programa.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2"/>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Análisis de Sensibilidad para el escenario básico incluye tres escenarios diferentes: una desvalorización del Real, una reducción de beneficios y un escenario que mezcla desvalorización y reducción de beneficios. El siguiente cuadro resume los cuatro escenarios del análisis de sensibilidad. </w:t>
      </w:r>
    </w:p>
    <w:tbl>
      <w:tblPr>
        <w:tblW w:w="6245" w:type="dxa"/>
        <w:tblInd w:w="1207" w:type="dxa"/>
        <w:tblLook w:val="04A0" w:firstRow="1" w:lastRow="0" w:firstColumn="1" w:lastColumn="0" w:noHBand="0" w:noVBand="1"/>
      </w:tblPr>
      <w:tblGrid>
        <w:gridCol w:w="2322"/>
        <w:gridCol w:w="763"/>
        <w:gridCol w:w="3160"/>
      </w:tblGrid>
      <w:tr w:rsidR="0096094D" w:rsidRPr="00756A16" w:rsidTr="00E214C9">
        <w:trPr>
          <w:trHeight w:val="300"/>
        </w:trPr>
        <w:tc>
          <w:tcPr>
            <w:tcW w:w="6245" w:type="dxa"/>
            <w:gridSpan w:val="3"/>
            <w:tcBorders>
              <w:top w:val="nil"/>
              <w:left w:val="nil"/>
              <w:bottom w:val="nil"/>
              <w:right w:val="nil"/>
            </w:tcBorders>
            <w:shd w:val="clear" w:color="auto" w:fill="auto"/>
            <w:noWrap/>
            <w:vAlign w:val="bottom"/>
            <w:hideMark/>
          </w:tcPr>
          <w:p w:rsidR="0096094D" w:rsidRPr="00756A16" w:rsidRDefault="0096094D" w:rsidP="00E214C9">
            <w:pPr>
              <w:spacing w:after="120" w:line="240" w:lineRule="auto"/>
              <w:jc w:val="center"/>
              <w:rPr>
                <w:rFonts w:ascii="Arial" w:eastAsia="Times New Roman" w:hAnsi="Arial" w:cs="Arial"/>
                <w:b/>
                <w:noProof w:val="0"/>
                <w:color w:val="000000"/>
                <w:lang w:val="es-ES_tradnl"/>
              </w:rPr>
            </w:pPr>
          </w:p>
          <w:p w:rsidR="0096094D" w:rsidRPr="00756A16" w:rsidRDefault="0096094D" w:rsidP="00E214C9">
            <w:pPr>
              <w:spacing w:after="120" w:line="240" w:lineRule="auto"/>
              <w:jc w:val="center"/>
              <w:rPr>
                <w:rFonts w:ascii="Arial" w:eastAsia="Times New Roman" w:hAnsi="Arial" w:cs="Arial"/>
                <w:b/>
                <w:noProof w:val="0"/>
                <w:color w:val="000000"/>
                <w:sz w:val="20"/>
                <w:szCs w:val="20"/>
                <w:lang w:val="es-ES_tradnl"/>
              </w:rPr>
            </w:pPr>
            <w:r w:rsidRPr="00756A16">
              <w:rPr>
                <w:rFonts w:ascii="Arial" w:eastAsia="Times New Roman" w:hAnsi="Arial" w:cs="Arial"/>
                <w:b/>
                <w:noProof w:val="0"/>
                <w:color w:val="000000"/>
                <w:sz w:val="20"/>
                <w:szCs w:val="20"/>
                <w:lang w:val="es-ES_tradnl"/>
              </w:rPr>
              <w:t>Cuadro 1. Índice del análisis de Sensibilidad del Análisis Costo-Beneficio</w:t>
            </w:r>
          </w:p>
        </w:tc>
      </w:tr>
      <w:tr w:rsidR="0096094D" w:rsidRPr="00756A16" w:rsidTr="00960546">
        <w:trPr>
          <w:trHeight w:val="300"/>
        </w:trPr>
        <w:tc>
          <w:tcPr>
            <w:tcW w:w="2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rPr>
                <w:rFonts w:eastAsia="Times New Roman" w:cs="Calibri"/>
                <w:noProof w:val="0"/>
                <w:color w:val="000000"/>
                <w:sz w:val="18"/>
                <w:szCs w:val="18"/>
                <w:lang w:val="es-ES_tradnl"/>
              </w:rPr>
            </w:pPr>
            <w:bookmarkStart w:id="0" w:name="_GoBack" w:colFirst="1" w:colLast="2"/>
            <w:r w:rsidRPr="00756A16">
              <w:rPr>
                <w:rFonts w:eastAsia="Times New Roman" w:cs="Calibri"/>
                <w:noProof w:val="0"/>
                <w:color w:val="000000"/>
                <w:sz w:val="18"/>
                <w:szCs w:val="18"/>
                <w:lang w:val="es-ES_tradnl"/>
              </w:rPr>
              <w:t> </w:t>
            </w:r>
          </w:p>
        </w:tc>
        <w:tc>
          <w:tcPr>
            <w:tcW w:w="763"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120" w:line="240" w:lineRule="auto"/>
              <w:jc w:val="center"/>
              <w:rPr>
                <w:rFonts w:ascii="Arial" w:eastAsia="Times New Roman" w:hAnsi="Arial" w:cs="Arial"/>
                <w:b/>
                <w:noProof w:val="0"/>
                <w:color w:val="000000"/>
                <w:sz w:val="18"/>
                <w:szCs w:val="18"/>
                <w:lang w:val="es-ES_tradnl"/>
              </w:rPr>
            </w:pPr>
            <w:r w:rsidRPr="00960546">
              <w:rPr>
                <w:rFonts w:ascii="Arial" w:eastAsia="Times New Roman" w:hAnsi="Arial" w:cs="Arial"/>
                <w:b/>
                <w:noProof w:val="0"/>
                <w:color w:val="000000"/>
                <w:sz w:val="18"/>
                <w:szCs w:val="18"/>
                <w:lang w:val="es-ES_tradnl"/>
              </w:rPr>
              <w:t>TIR</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120" w:line="240" w:lineRule="auto"/>
              <w:jc w:val="center"/>
              <w:rPr>
                <w:rFonts w:ascii="Arial" w:eastAsia="Times New Roman" w:hAnsi="Arial" w:cs="Arial"/>
                <w:b/>
                <w:noProof w:val="0"/>
                <w:color w:val="000000"/>
                <w:sz w:val="18"/>
                <w:szCs w:val="18"/>
                <w:lang w:val="es-ES_tradnl"/>
              </w:rPr>
            </w:pPr>
            <w:r w:rsidRPr="00960546">
              <w:rPr>
                <w:rFonts w:ascii="Arial" w:eastAsia="Times New Roman" w:hAnsi="Arial" w:cs="Arial"/>
                <w:b/>
                <w:noProof w:val="0"/>
                <w:color w:val="000000"/>
                <w:sz w:val="18"/>
                <w:szCs w:val="18"/>
                <w:lang w:val="es-ES_tradnl"/>
              </w:rPr>
              <w:t>VPL</w:t>
            </w:r>
          </w:p>
        </w:tc>
      </w:tr>
      <w:bookmarkEnd w:id="0"/>
      <w:tr w:rsidR="0096094D" w:rsidRPr="00756A16" w:rsidTr="00E214C9">
        <w:trPr>
          <w:trHeight w:val="300"/>
        </w:trPr>
        <w:tc>
          <w:tcPr>
            <w:tcW w:w="232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Básico</w:t>
            </w:r>
          </w:p>
        </w:tc>
        <w:tc>
          <w:tcPr>
            <w:tcW w:w="76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30,3%</w:t>
            </w:r>
          </w:p>
        </w:tc>
        <w:tc>
          <w:tcPr>
            <w:tcW w:w="3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                  50.564.279,82 </w:t>
            </w:r>
          </w:p>
        </w:tc>
      </w:tr>
      <w:tr w:rsidR="0096094D" w:rsidRPr="00756A16" w:rsidTr="00E214C9">
        <w:trPr>
          <w:trHeight w:val="300"/>
        </w:trPr>
        <w:tc>
          <w:tcPr>
            <w:tcW w:w="232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Desvalorización</w:t>
            </w:r>
          </w:p>
        </w:tc>
        <w:tc>
          <w:tcPr>
            <w:tcW w:w="76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26,2%</w:t>
            </w:r>
          </w:p>
        </w:tc>
        <w:tc>
          <w:tcPr>
            <w:tcW w:w="3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                  39.575.986,42 </w:t>
            </w:r>
          </w:p>
        </w:tc>
      </w:tr>
      <w:tr w:rsidR="0096094D" w:rsidRPr="00756A16" w:rsidTr="00E214C9">
        <w:trPr>
          <w:trHeight w:val="300"/>
        </w:trPr>
        <w:tc>
          <w:tcPr>
            <w:tcW w:w="232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Reducción beneficios</w:t>
            </w:r>
          </w:p>
        </w:tc>
        <w:tc>
          <w:tcPr>
            <w:tcW w:w="76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16,8%</w:t>
            </w:r>
          </w:p>
        </w:tc>
        <w:tc>
          <w:tcPr>
            <w:tcW w:w="3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                  15.685.589,72 </w:t>
            </w:r>
          </w:p>
        </w:tc>
      </w:tr>
      <w:tr w:rsidR="0096094D" w:rsidRPr="00756A16" w:rsidTr="00E214C9">
        <w:trPr>
          <w:trHeight w:val="300"/>
        </w:trPr>
        <w:tc>
          <w:tcPr>
            <w:tcW w:w="232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Doble</w:t>
            </w:r>
          </w:p>
        </w:tc>
        <w:tc>
          <w:tcPr>
            <w:tcW w:w="76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13,1%</w:t>
            </w:r>
          </w:p>
        </w:tc>
        <w:tc>
          <w:tcPr>
            <w:tcW w:w="3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12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                     7.096.377,49 </w:t>
            </w:r>
          </w:p>
        </w:tc>
      </w:tr>
    </w:tbl>
    <w:p w:rsidR="0096094D" w:rsidRPr="00756A16" w:rsidRDefault="0096094D" w:rsidP="0096094D">
      <w:pPr>
        <w:pStyle w:val="ListParagraph"/>
        <w:keepNext/>
        <w:suppressAutoHyphens/>
        <w:spacing w:after="0" w:line="240" w:lineRule="auto"/>
        <w:ind w:left="851"/>
        <w:jc w:val="both"/>
        <w:outlineLvl w:val="2"/>
        <w:rPr>
          <w:rFonts w:ascii="Times New Roman" w:eastAsia="Times New Roman" w:hAnsi="Times New Roman"/>
          <w:bCs/>
          <w:noProof w:val="0"/>
          <w:sz w:val="24"/>
          <w:szCs w:val="24"/>
          <w:lang w:val="es-ES_tradnl" w:eastAsia="es-ES"/>
        </w:rPr>
      </w:pPr>
    </w:p>
    <w:p w:rsidR="0096094D" w:rsidRPr="00756A16" w:rsidRDefault="0096094D" w:rsidP="0096094D">
      <w:pPr>
        <w:pStyle w:val="ListParagraph"/>
        <w:keepNext/>
        <w:numPr>
          <w:ilvl w:val="1"/>
          <w:numId w:val="45"/>
        </w:numPr>
        <w:tabs>
          <w:tab w:val="num" w:pos="851"/>
        </w:tabs>
        <w:suppressAutoHyphens/>
        <w:spacing w:before="240" w:after="12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análisis C-B incluyó apenas cinco subproductos del programa. Los criterios para la selección de estos subproductos fueron principalmente su representatividad para la recaudación fiscal, el impacto para el contribuyente y para la eficiencia de la administración fiscal y la disponibilidad de datos consistentes para llevar a cabo el análisis. Otros subproductos relacionados con la inteligencia fiscal, gestión de la deuda activa, contencioso fiscal, entre otros, generarán aumento de recaudación. Otros subproductos de integración de sistemas y rediseño de </w:t>
      </w:r>
      <w:r w:rsidR="00E214C9" w:rsidRPr="00756A16">
        <w:rPr>
          <w:rFonts w:ascii="Arial" w:eastAsia="Times New Roman" w:hAnsi="Arial" w:cs="Arial"/>
          <w:bCs/>
          <w:noProof w:val="0"/>
          <w:lang w:val="es-ES_tradnl" w:eastAsia="es-ES"/>
        </w:rPr>
        <w:t>procesos mejorarán</w:t>
      </w:r>
      <w:r w:rsidRPr="00756A16">
        <w:rPr>
          <w:rFonts w:ascii="Arial" w:eastAsia="Times New Roman" w:hAnsi="Arial" w:cs="Arial"/>
          <w:bCs/>
          <w:noProof w:val="0"/>
          <w:lang w:val="es-ES_tradnl" w:eastAsia="es-ES"/>
        </w:rPr>
        <w:t xml:space="preserve"> el ambiente de negocios con economía de tiempo y costos para que el contribuyente cumpla con sus obligaciones tributarias.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Es importante observar que el análisis de sensibilidad colocó su foco apenas en casos de deterioro del escenario básico. Las hipótesis del escenario básico son sustancialmente conservadoras, especialmente para la tasa de evasión del sector minorista. La probabilidad de un retorno mayor que el del escenario básico es alta. </w:t>
      </w:r>
    </w:p>
    <w:p w:rsidR="0096094D" w:rsidRPr="00756A16" w:rsidRDefault="00474880" w:rsidP="00474880">
      <w:pPr>
        <w:pStyle w:val="Chapter"/>
        <w:keepNext/>
        <w:numPr>
          <w:ilvl w:val="0"/>
          <w:numId w:val="45"/>
        </w:numPr>
        <w:tabs>
          <w:tab w:val="clear" w:pos="1440"/>
          <w:tab w:val="clear" w:pos="1499"/>
        </w:tabs>
        <w:spacing w:before="240"/>
        <w:ind w:left="900" w:hanging="450"/>
        <w:jc w:val="left"/>
        <w:rPr>
          <w:rFonts w:ascii="Arial" w:eastAsiaTheme="minorEastAsia" w:hAnsi="Arial" w:cs="Arial"/>
          <w:sz w:val="22"/>
          <w:szCs w:val="22"/>
          <w:lang w:val="es-ES_tradnl"/>
        </w:rPr>
      </w:pPr>
      <w:r>
        <w:rPr>
          <w:rFonts w:ascii="Arial" w:eastAsiaTheme="minorEastAsia" w:hAnsi="Arial" w:cs="Arial"/>
          <w:sz w:val="22"/>
          <w:szCs w:val="22"/>
          <w:lang w:val="es-ES_tradnl"/>
        </w:rPr>
        <w:t>E</w:t>
      </w:r>
      <w:r w:rsidR="0096094D" w:rsidRPr="00756A16">
        <w:rPr>
          <w:rFonts w:ascii="Arial" w:eastAsiaTheme="minorEastAsia" w:hAnsi="Arial" w:cs="Arial"/>
          <w:sz w:val="22"/>
          <w:szCs w:val="22"/>
          <w:lang w:val="es-ES_tradnl"/>
        </w:rPr>
        <w:t>l Estado de Ceará</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Censo de 2010 coloca al Estado de Ceará como el octavo estado más populoso de Brasil con 8,45 millones de habitantes, representando al 4,4% de la </w:t>
      </w:r>
      <w:r w:rsidRPr="00756A16">
        <w:rPr>
          <w:rFonts w:ascii="Arial" w:eastAsia="Times New Roman" w:hAnsi="Arial" w:cs="Arial"/>
          <w:bCs/>
          <w:noProof w:val="0"/>
          <w:lang w:val="es-ES_tradnl" w:eastAsia="es-ES"/>
        </w:rPr>
        <w:lastRenderedPageBreak/>
        <w:t>población brasileña.</w:t>
      </w:r>
      <w:r w:rsidRPr="00756A16">
        <w:rPr>
          <w:rFonts w:ascii="Arial" w:eastAsia="Times New Roman" w:hAnsi="Arial" w:cs="Arial"/>
          <w:bCs/>
          <w:noProof w:val="0"/>
          <w:vertAlign w:val="superscript"/>
          <w:lang w:val="es-ES_tradnl" w:eastAsia="es-ES"/>
        </w:rPr>
        <w:footnoteReference w:id="1"/>
      </w:r>
      <w:r w:rsidRPr="00756A16">
        <w:rPr>
          <w:rFonts w:ascii="Arial" w:eastAsia="Times New Roman" w:hAnsi="Arial" w:cs="Arial"/>
          <w:bCs/>
          <w:noProof w:val="0"/>
          <w:vertAlign w:val="superscript"/>
          <w:lang w:val="es-ES_tradnl" w:eastAsia="es-ES"/>
        </w:rPr>
        <w:t xml:space="preserve"> </w:t>
      </w:r>
      <w:r w:rsidRPr="00756A16">
        <w:rPr>
          <w:rFonts w:ascii="Arial" w:eastAsia="Times New Roman" w:hAnsi="Arial" w:cs="Arial"/>
          <w:bCs/>
          <w:noProof w:val="0"/>
          <w:lang w:val="es-ES_tradnl" w:eastAsia="es-ES"/>
        </w:rPr>
        <w:t>Este estado registró la décimo quinta mayor tasa de crecimiento poblacional del país entre 2000 y 2010 por encima de la media brasileña del 12,5% para ese período (Gráfica 1).</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Con una extensión territorial de 148,9 mil km</w:t>
      </w:r>
      <w:r w:rsidR="00E214C9" w:rsidRPr="00756A16">
        <w:rPr>
          <w:rFonts w:ascii="Arial" w:eastAsia="Times New Roman" w:hAnsi="Arial" w:cs="Arial"/>
          <w:bCs/>
          <w:noProof w:val="0"/>
          <w:vertAlign w:val="superscript"/>
          <w:lang w:val="es-ES_tradnl" w:eastAsia="es-ES"/>
        </w:rPr>
        <w:t>2</w:t>
      </w:r>
      <w:r w:rsidR="00E214C9" w:rsidRPr="00756A16">
        <w:rPr>
          <w:rFonts w:ascii="Arial" w:eastAsia="Times New Roman" w:hAnsi="Arial" w:cs="Arial"/>
          <w:bCs/>
          <w:noProof w:val="0"/>
          <w:lang w:val="es-ES_tradnl" w:eastAsia="es-ES"/>
        </w:rPr>
        <w:t>, Rio</w:t>
      </w:r>
      <w:r w:rsidRPr="00756A16">
        <w:rPr>
          <w:rFonts w:ascii="Arial" w:eastAsia="Times New Roman" w:hAnsi="Arial" w:cs="Arial"/>
          <w:bCs/>
          <w:noProof w:val="0"/>
          <w:lang w:val="es-ES_tradnl" w:eastAsia="es-ES"/>
        </w:rPr>
        <w:t xml:space="preserve"> Grande do Sul es el noveno estado en lo que se refiere a la dimensión, representando al 1,74% del territorio nacional, con una densidad demográfica de poco menos de 56,76 habitantes por km</w:t>
      </w:r>
      <w:r w:rsidRPr="00756A16">
        <w:rPr>
          <w:rFonts w:ascii="Arial" w:eastAsia="Times New Roman" w:hAnsi="Arial" w:cs="Arial"/>
          <w:bCs/>
          <w:noProof w:val="0"/>
          <w:vertAlign w:val="superscript"/>
          <w:lang w:val="es-ES_tradnl" w:eastAsia="es-ES"/>
        </w:rPr>
        <w:t>2</w:t>
      </w:r>
      <w:r w:rsidRPr="00756A16">
        <w:rPr>
          <w:rFonts w:ascii="Arial" w:eastAsia="Times New Roman" w:hAnsi="Arial" w:cs="Arial"/>
          <w:bCs/>
          <w:noProof w:val="0"/>
          <w:lang w:val="es-ES_tradnl" w:eastAsia="es-ES"/>
        </w:rPr>
        <w:t>, casi el doble de la densidad demográfica brasileña de 22,4 habitantes por km</w:t>
      </w:r>
      <w:r w:rsidRPr="00756A16">
        <w:rPr>
          <w:rFonts w:ascii="Arial" w:eastAsia="Times New Roman" w:hAnsi="Arial" w:cs="Arial"/>
          <w:bCs/>
          <w:noProof w:val="0"/>
          <w:vertAlign w:val="superscript"/>
          <w:lang w:val="es-ES_tradnl" w:eastAsia="es-ES"/>
        </w:rPr>
        <w:t>2</w:t>
      </w:r>
      <w:r w:rsidRPr="00756A16">
        <w:rPr>
          <w:rFonts w:ascii="Arial" w:eastAsia="Times New Roman" w:hAnsi="Arial" w:cs="Arial"/>
          <w:bCs/>
          <w:noProof w:val="0"/>
          <w:lang w:val="es-ES_tradnl" w:eastAsia="es-ES"/>
        </w:rPr>
        <w:t xml:space="preserve">. Acompañando la tendencia brasileña, el estado de Ceará registró altos niveles de urbanización durante los últimos 50 años. La población urbana pasó del 34% del total en 1960 al 75% en 2010. </w:t>
      </w:r>
    </w:p>
    <w:p w:rsidR="0096094D" w:rsidRPr="00756A16" w:rsidRDefault="0096094D" w:rsidP="0096094D">
      <w:pPr>
        <w:pStyle w:val="ListParagraph"/>
        <w:keepNext/>
        <w:tabs>
          <w:tab w:val="num" w:pos="1499"/>
        </w:tabs>
        <w:suppressAutoHyphens/>
        <w:spacing w:before="120" w:after="0" w:line="240" w:lineRule="auto"/>
        <w:ind w:left="851"/>
        <w:jc w:val="both"/>
        <w:outlineLvl w:val="3"/>
        <w:rPr>
          <w:rFonts w:ascii="Arial" w:eastAsia="Times New Roman" w:hAnsi="Arial" w:cs="Arial"/>
          <w:bCs/>
          <w:noProof w:val="0"/>
          <w:lang w:val="es-ES_tradnl" w:eastAsia="es-ES"/>
        </w:rPr>
      </w:pPr>
    </w:p>
    <w:p w:rsidR="0096094D" w:rsidRPr="00756A16" w:rsidRDefault="00474880" w:rsidP="0096094D">
      <w:pPr>
        <w:keepNext/>
        <w:suppressAutoHyphens/>
        <w:spacing w:before="120" w:after="0" w:line="240" w:lineRule="auto"/>
        <w:ind w:left="284"/>
        <w:jc w:val="both"/>
        <w:outlineLvl w:val="3"/>
        <w:rPr>
          <w:rFonts w:ascii="Times New Roman" w:eastAsia="Times New Roman" w:hAnsi="Times New Roman"/>
          <w:bCs/>
          <w:noProof w:val="0"/>
          <w:sz w:val="24"/>
          <w:szCs w:val="24"/>
          <w:lang w:val="es-ES_tradnl" w:eastAsia="es-ES"/>
        </w:rPr>
      </w:pPr>
      <w:r>
        <w:rPr>
          <w:rFonts w:ascii="Times New Roman" w:eastAsia="Times New Roman" w:hAnsi="Times New Roman"/>
          <w:bCs/>
          <w:sz w:val="24"/>
          <w:szCs w:val="24"/>
          <w:lang w:val="en-US"/>
        </w:rPr>
        <mc:AlternateContent>
          <mc:Choice Requires="wps">
            <w:drawing>
              <wp:anchor distT="0" distB="0" distL="114300" distR="114300" simplePos="0" relativeHeight="251659264" behindDoc="0" locked="0" layoutInCell="1" allowOverlap="1">
                <wp:simplePos x="0" y="0"/>
                <wp:positionH relativeFrom="column">
                  <wp:posOffset>144780</wp:posOffset>
                </wp:positionH>
                <wp:positionV relativeFrom="paragraph">
                  <wp:posOffset>2820035</wp:posOffset>
                </wp:positionV>
                <wp:extent cx="5410200" cy="0"/>
                <wp:effectExtent l="0" t="0" r="0" b="0"/>
                <wp:wrapNone/>
                <wp:docPr id="3" name="Straight Connector 3"/>
                <wp:cNvGraphicFramePr/>
                <a:graphic xmlns:a="http://schemas.openxmlformats.org/drawingml/2006/main">
                  <a:graphicData uri="http://schemas.microsoft.com/office/word/2010/wordprocessingShape">
                    <wps:wsp>
                      <wps:cNvCnPr/>
                      <wps:spPr>
                        <a:xfrm flipH="1">
                          <a:off x="0" y="0"/>
                          <a:ext cx="5410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646259" id="Straight Connector 3"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11.4pt,222.05pt" to="437.4pt,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" strokecolor="black [3040]"/>
            </w:pict>
          </mc:Fallback>
        </mc:AlternateContent>
      </w:r>
      <w:r w:rsidR="0096094D" w:rsidRPr="00756A16">
        <w:rPr>
          <w:rFonts w:ascii="Times New Roman" w:eastAsia="Times New Roman" w:hAnsi="Times New Roman"/>
          <w:bCs/>
          <w:sz w:val="24"/>
          <w:szCs w:val="24"/>
          <w:lang w:val="en-US"/>
        </w:rPr>
        <w:drawing>
          <wp:inline distT="0" distB="0" distL="0" distR="0" wp14:anchorId="2FF4CF60" wp14:editId="5DC454D0">
            <wp:extent cx="5372100" cy="2743200"/>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6094D" w:rsidRPr="00756A16" w:rsidRDefault="0096094D" w:rsidP="0096094D">
      <w:pPr>
        <w:keepNext/>
        <w:suppressAutoHyphens/>
        <w:spacing w:before="120" w:after="0" w:line="240" w:lineRule="auto"/>
        <w:ind w:left="284"/>
        <w:jc w:val="both"/>
        <w:outlineLvl w:val="3"/>
        <w:rPr>
          <w:rFonts w:ascii="Times New Roman" w:eastAsia="Times New Roman" w:hAnsi="Times New Roman"/>
          <w:bCs/>
          <w:noProof w:val="0"/>
          <w:sz w:val="24"/>
          <w:szCs w:val="24"/>
          <w:lang w:val="es-ES_tradnl" w:eastAsia="es-ES"/>
        </w:rPr>
      </w:pP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Los indicadores sociales de dicho Estado en 2010 estaban por encima de la media brasileña - por ejemplo, aproximadamente el 14,69% de la población estaba por debajo de la línea de extrema pobreza (la media brasileña es del 6,6%)</w:t>
      </w:r>
      <w:r w:rsidRPr="00756A16">
        <w:rPr>
          <w:rStyle w:val="FootnoteReference"/>
          <w:rFonts w:ascii="Arial" w:eastAsia="Times New Roman" w:hAnsi="Arial" w:cs="Arial"/>
          <w:bCs/>
          <w:noProof w:val="0"/>
          <w:lang w:val="es-ES_tradnl" w:eastAsia="es-ES"/>
        </w:rPr>
        <w:footnoteReference w:id="2"/>
      </w:r>
      <w:r w:rsidRPr="00756A16">
        <w:rPr>
          <w:rFonts w:ascii="Arial" w:eastAsia="Times New Roman" w:hAnsi="Arial" w:cs="Arial"/>
          <w:bCs/>
          <w:noProof w:val="0"/>
          <w:lang w:val="es-ES_tradnl" w:eastAsia="es-ES"/>
        </w:rPr>
        <w:t>.  El Índice de Desarrollo Humano (IDH) en 2010 era de 0,682 en Ceará, por debajo del índice de 0,727 para Brasil. La tasa de analfabetismo de personas con 15 años o más en el Estado, en 2015, fue del 17,3%, sustancialmente más alta que la media brasileña que era del 8,0%</w:t>
      </w:r>
      <w:r w:rsidRPr="00756A16">
        <w:rPr>
          <w:rStyle w:val="FootnoteReference"/>
          <w:rFonts w:ascii="Arial" w:eastAsia="Times New Roman" w:hAnsi="Arial" w:cs="Arial"/>
          <w:bCs/>
          <w:noProof w:val="0"/>
          <w:lang w:val="es-ES_tradnl" w:eastAsia="es-ES"/>
        </w:rPr>
        <w:footnoteReference w:id="3"/>
      </w:r>
      <w:r w:rsidRPr="00756A16">
        <w:rPr>
          <w:rFonts w:ascii="Arial" w:eastAsia="Times New Roman" w:hAnsi="Arial" w:cs="Arial"/>
          <w:bCs/>
          <w:noProof w:val="0"/>
          <w:lang w:val="es-ES_tradnl" w:eastAsia="es-ES"/>
        </w:rPr>
        <w:t xml:space="preserve">. </w:t>
      </w:r>
    </w:p>
    <w:p w:rsidR="0096094D" w:rsidRPr="00756A16" w:rsidRDefault="0096094D" w:rsidP="00474880">
      <w:pPr>
        <w:pStyle w:val="Chapter"/>
        <w:keepNext/>
        <w:numPr>
          <w:ilvl w:val="0"/>
          <w:numId w:val="45"/>
        </w:numPr>
        <w:tabs>
          <w:tab w:val="clear" w:pos="1440"/>
          <w:tab w:val="clear" w:pos="1499"/>
        </w:tabs>
        <w:spacing w:before="240"/>
        <w:ind w:left="810" w:hanging="360"/>
        <w:jc w:val="left"/>
        <w:rPr>
          <w:rFonts w:ascii="Arial" w:eastAsiaTheme="minorEastAsia" w:hAnsi="Arial" w:cs="Arial"/>
          <w:sz w:val="22"/>
          <w:szCs w:val="22"/>
          <w:lang w:val="es-ES_tradnl"/>
        </w:rPr>
      </w:pPr>
      <w:r w:rsidRPr="00756A16">
        <w:rPr>
          <w:rFonts w:ascii="Arial" w:eastAsiaTheme="minorEastAsia" w:hAnsi="Arial" w:cs="Arial"/>
          <w:sz w:val="22"/>
          <w:szCs w:val="22"/>
          <w:lang w:val="es-ES_tradnl"/>
        </w:rPr>
        <w:t>La Situación Económica</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Ceará, tenía la </w:t>
      </w:r>
      <w:r w:rsidR="00E214C9" w:rsidRPr="00756A16">
        <w:rPr>
          <w:rFonts w:ascii="Arial" w:eastAsia="Times New Roman" w:hAnsi="Arial" w:cs="Arial"/>
          <w:bCs/>
          <w:noProof w:val="0"/>
          <w:lang w:val="es-ES_tradnl" w:eastAsia="es-ES"/>
        </w:rPr>
        <w:t>decimosegunda</w:t>
      </w:r>
      <w:r w:rsidRPr="00756A16">
        <w:rPr>
          <w:rFonts w:ascii="Arial" w:eastAsia="Times New Roman" w:hAnsi="Arial" w:cs="Arial"/>
          <w:bCs/>
          <w:noProof w:val="0"/>
          <w:lang w:val="es-ES_tradnl" w:eastAsia="es-ES"/>
        </w:rPr>
        <w:t xml:space="preserve"> economía de Brasil, contribuyendo con el 2,2% del Producto Interno Bruto (PIB) nacional</w:t>
      </w:r>
      <w:r w:rsidRPr="00756A16">
        <w:rPr>
          <w:rStyle w:val="FootnoteReference"/>
          <w:rFonts w:ascii="Arial" w:eastAsia="Times New Roman" w:hAnsi="Arial" w:cs="Arial"/>
          <w:bCs/>
          <w:noProof w:val="0"/>
          <w:lang w:val="es-ES_tradnl" w:eastAsia="es-ES"/>
        </w:rPr>
        <w:footnoteReference w:id="4"/>
      </w:r>
      <w:r w:rsidRPr="00756A16">
        <w:rPr>
          <w:rFonts w:ascii="Arial" w:eastAsia="Times New Roman" w:hAnsi="Arial" w:cs="Arial"/>
          <w:bCs/>
          <w:noProof w:val="0"/>
          <w:lang w:val="es-ES_tradnl" w:eastAsia="es-ES"/>
        </w:rPr>
        <w:t xml:space="preserve">. La economía de Ceará creció </w:t>
      </w:r>
      <w:r w:rsidRPr="00756A16">
        <w:rPr>
          <w:rFonts w:ascii="Arial" w:eastAsia="Times New Roman" w:hAnsi="Arial" w:cs="Arial"/>
          <w:bCs/>
          <w:noProof w:val="0"/>
          <w:lang w:val="es-ES_tradnl" w:eastAsia="es-ES"/>
        </w:rPr>
        <w:lastRenderedPageBreak/>
        <w:t xml:space="preserve">proporcionalmente más que la brasileña, haciendo que la participación relativa del Estado en el PIB nacional aumentase del 1,84% en 2004 al 2,18% en 2014.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De acuerdo con el Instituido de Investigación Estratégica y Económica de Ceará (IPECE), la economía del estado sintió la crisis económica brasileña, registrando un descenso real del PIB del 3,5% en 2015, un poco mejor que Brasil, que registró contracción del 3,7%. En 2016 la crisis se intensificó en el Estado y el IPECE estima un descenso del 5,3% del PIB mientras que la economía brasileña se contrajo un 3,6%.  </w:t>
      </w:r>
    </w:p>
    <w:p w:rsidR="0096094D"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La Tabla 1 demuestra que, en 2014, el sector de servicios representaba la mayor parte de la economía del Estado, casi el 76% del PIB, por encima de la media brasileña del 71,2%, seguido de la industria (19,2%), por debajo de la media brasileña del 23,8% y con la agricultura contando con el 5,2%, prácticamente la misma media nacional del 5%. Una gran diferencia es la participación de la administración pública que, en Ceará, representa al 22,7% del PIB del Estado, muy por encima de la media nacional del 16,4%. El comercio también tiene una </w:t>
      </w:r>
      <w:r w:rsidRPr="00756A16">
        <w:rPr>
          <w:rFonts w:ascii="Arial" w:eastAsia="Times New Roman" w:hAnsi="Arial" w:cs="Arial"/>
          <w:bCs/>
          <w:noProof w:val="0"/>
          <w:lang w:val="es-ES_tradnl" w:eastAsia="es-ES"/>
        </w:rPr>
        <w:lastRenderedPageBreak/>
        <w:t xml:space="preserve">mayor participación en la economía de Ceará (16,3%) comparado con el conjunto de Brasil (13,6%) </w:t>
      </w:r>
    </w:p>
    <w:p w:rsidR="00960546" w:rsidRPr="00756A16" w:rsidRDefault="00960546" w:rsidP="00960546">
      <w:pPr>
        <w:pStyle w:val="ListParagraph"/>
        <w:keepNext/>
        <w:tabs>
          <w:tab w:val="num" w:pos="1499"/>
        </w:tabs>
        <w:suppressAutoHyphens/>
        <w:spacing w:before="120" w:after="0" w:line="240" w:lineRule="auto"/>
        <w:ind w:left="851"/>
        <w:jc w:val="both"/>
        <w:outlineLvl w:val="3"/>
        <w:rPr>
          <w:rFonts w:ascii="Arial" w:eastAsia="Times New Roman" w:hAnsi="Arial" w:cs="Arial"/>
          <w:bCs/>
          <w:noProof w:val="0"/>
          <w:lang w:val="es-ES_tradnl" w:eastAsia="es-ES"/>
        </w:rPr>
      </w:pPr>
    </w:p>
    <w:p w:rsidR="0096094D" w:rsidRPr="00756A16" w:rsidRDefault="00960546" w:rsidP="00960546">
      <w:pPr>
        <w:pStyle w:val="ListParagraph"/>
        <w:keepNext/>
        <w:suppressAutoHyphens/>
        <w:spacing w:before="120" w:after="0" w:line="240" w:lineRule="auto"/>
        <w:ind w:left="851"/>
        <w:jc w:val="center"/>
        <w:outlineLvl w:val="3"/>
        <w:rPr>
          <w:rFonts w:ascii="Times New Roman" w:eastAsia="Times New Roman" w:hAnsi="Times New Roman"/>
          <w:bCs/>
          <w:noProof w:val="0"/>
          <w:sz w:val="24"/>
          <w:szCs w:val="24"/>
          <w:lang w:val="es-ES_tradnl" w:eastAsia="es-ES"/>
        </w:rPr>
      </w:pPr>
      <w:bookmarkStart w:id="1" w:name="RANGE!A1"/>
      <w:r w:rsidRPr="00756A16">
        <w:rPr>
          <w:rFonts w:ascii="Arial" w:eastAsia="Times New Roman" w:hAnsi="Arial" w:cs="Arial"/>
          <w:b/>
          <w:bCs/>
          <w:noProof w:val="0"/>
          <w:sz w:val="20"/>
          <w:szCs w:val="20"/>
          <w:lang w:val="es-ES_tradnl" w:eastAsia="es-ES"/>
        </w:rPr>
        <w:t>Cuadro 2. Participación de las actividades económicas en un valor adicionado nominal</w:t>
      </w:r>
      <w:bookmarkEnd w:id="1"/>
      <w:r w:rsidRPr="00756A16">
        <w:rPr>
          <w:rFonts w:ascii="Arial" w:eastAsia="Times New Roman" w:hAnsi="Arial" w:cs="Arial"/>
          <w:b/>
          <w:bCs/>
          <w:noProof w:val="0"/>
          <w:sz w:val="20"/>
          <w:szCs w:val="20"/>
          <w:lang w:val="es-ES_tradnl" w:eastAsia="es-ES"/>
        </w:rPr>
        <w:t>. Ceará</w:t>
      </w:r>
    </w:p>
    <w:tbl>
      <w:tblPr>
        <w:tblStyle w:val="TableGrid"/>
        <w:tblW w:w="9360" w:type="dxa"/>
        <w:tblLayout w:type="fixed"/>
        <w:tblLook w:val="04A0" w:firstRow="1" w:lastRow="0" w:firstColumn="1" w:lastColumn="0" w:noHBand="0" w:noVBand="1"/>
      </w:tblPr>
      <w:tblGrid>
        <w:gridCol w:w="1809"/>
        <w:gridCol w:w="639"/>
        <w:gridCol w:w="576"/>
        <w:gridCol w:w="576"/>
        <w:gridCol w:w="576"/>
        <w:gridCol w:w="576"/>
        <w:gridCol w:w="576"/>
        <w:gridCol w:w="576"/>
        <w:gridCol w:w="576"/>
        <w:gridCol w:w="576"/>
        <w:gridCol w:w="576"/>
        <w:gridCol w:w="576"/>
        <w:gridCol w:w="576"/>
        <w:gridCol w:w="576"/>
      </w:tblGrid>
      <w:tr w:rsidR="0096094D" w:rsidRPr="00756A16" w:rsidTr="00E214C9">
        <w:trPr>
          <w:trHeight w:val="393"/>
        </w:trPr>
        <w:tc>
          <w:tcPr>
            <w:tcW w:w="1809" w:type="dxa"/>
            <w:vMerge w:val="restart"/>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Actividades económicas</w:t>
            </w:r>
          </w:p>
        </w:tc>
        <w:tc>
          <w:tcPr>
            <w:tcW w:w="7551" w:type="dxa"/>
            <w:gridSpan w:val="13"/>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Participación en el valor adicionado nominal (%)</w:t>
            </w:r>
          </w:p>
        </w:tc>
      </w:tr>
      <w:tr w:rsidR="0096094D" w:rsidRPr="00756A16" w:rsidTr="00E214C9">
        <w:trPr>
          <w:trHeight w:val="333"/>
        </w:trPr>
        <w:tc>
          <w:tcPr>
            <w:tcW w:w="1809" w:type="dxa"/>
            <w:vMerge/>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2002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2003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2004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2005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2006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2007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2008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2009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2010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2011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2012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2013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2014</w:t>
            </w:r>
          </w:p>
        </w:tc>
      </w:tr>
      <w:tr w:rsidR="0096094D" w:rsidRPr="00756A16" w:rsidTr="00E214C9">
        <w:trPr>
          <w:trHeight w:val="375"/>
        </w:trPr>
        <w:tc>
          <w:tcPr>
            <w:tcW w:w="180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 xml:space="preserve">               Total</w:t>
            </w:r>
          </w:p>
        </w:tc>
        <w:tc>
          <w:tcPr>
            <w:tcW w:w="639"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100,0</w:t>
            </w:r>
          </w:p>
        </w:tc>
      </w:tr>
      <w:tr w:rsidR="0096094D" w:rsidRPr="00756A16" w:rsidTr="00E214C9">
        <w:trPr>
          <w:trHeight w:val="375"/>
        </w:trPr>
        <w:tc>
          <w:tcPr>
            <w:tcW w:w="180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Agropecuaria</w:t>
            </w:r>
          </w:p>
        </w:tc>
        <w:tc>
          <w:tcPr>
            <w:tcW w:w="639"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7,5</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8,9</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7,7</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6,9</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7,9</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6,6</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7,7</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5,1</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6,5</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4,7</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5,1</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5,2</w:t>
            </w:r>
          </w:p>
        </w:tc>
      </w:tr>
      <w:tr w:rsidR="0096094D" w:rsidRPr="00756A16" w:rsidTr="00E214C9">
        <w:trPr>
          <w:trHeight w:val="375"/>
        </w:trPr>
        <w:tc>
          <w:tcPr>
            <w:tcW w:w="1809" w:type="dxa"/>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Industria</w:t>
            </w:r>
          </w:p>
        </w:tc>
        <w:tc>
          <w:tcPr>
            <w:tcW w:w="639"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22,6</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21,3</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23,2</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21,5</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21,8</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21,5</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21,6</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22,2</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21,9</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21,3</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21,2</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20,4</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19,2</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Industrias extractivistas</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0,5</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Industrias de Transformación</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12,8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13,0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13,8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12,7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12,7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12,6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13,0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12,7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11,3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9,8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9,2</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Electricidad y gas, agua, alcantarillado, gestión de residuos y descontaminación</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Construcción</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7,1</w:t>
            </w:r>
          </w:p>
        </w:tc>
      </w:tr>
      <w:tr w:rsidR="0096094D" w:rsidRPr="00756A16" w:rsidTr="00E214C9">
        <w:trPr>
          <w:trHeight w:val="375"/>
        </w:trPr>
        <w:tc>
          <w:tcPr>
            <w:tcW w:w="1809" w:type="dxa"/>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Servicios</w:t>
            </w:r>
          </w:p>
        </w:tc>
        <w:tc>
          <w:tcPr>
            <w:tcW w:w="639"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69,8</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69,8</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69,1</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71,7</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70,3</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71,9</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70,8</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71,8</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73,0</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72,2</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74,1</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74,5</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75,6</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Comercio, mantenimiento y reparación de vehículos automotores y motocicletas</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10,8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11,6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11,5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12,9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13,2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13,9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15,0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14,6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16,3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15,8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16,2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15,7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16,3</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Transporte, almacenamiento y Correos</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3,0</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Alojamiento y alimentación</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3,5</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Información y comunicación</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2,4</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Actividades financieras, de seguros y servicios relacionados</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3,7</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Actividades Inmobiliarias</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9,8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9,6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9,4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9,2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8,8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9,0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8,6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8,5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8,2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8,4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8,8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9,5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9,7</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Servicios prestados a las empresas</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5,5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6,8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7,6</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Administración pública, educación, salud, investigación y desarrollo, defensa, seguridad social</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21,9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22,5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24,4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24,8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23,8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22,9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22,6</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22,9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22,7</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Educación y salud privadas</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2,8</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2,7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3,4</w:t>
            </w:r>
          </w:p>
        </w:tc>
      </w:tr>
      <w:tr w:rsidR="0096094D" w:rsidRPr="00756A16" w:rsidTr="00E214C9">
        <w:trPr>
          <w:trHeight w:val="375"/>
        </w:trPr>
        <w:tc>
          <w:tcPr>
            <w:tcW w:w="1809" w:type="dxa"/>
            <w:noWrap/>
            <w:hideMark/>
          </w:tcPr>
          <w:p w:rsidR="0096094D" w:rsidRPr="00756A16" w:rsidRDefault="0096094D" w:rsidP="00E214C9">
            <w:pPr>
              <w:keepNext/>
              <w:suppressAutoHyphens/>
              <w:spacing w:before="120" w:after="0" w:line="240" w:lineRule="auto"/>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Otros servicios</w:t>
            </w:r>
          </w:p>
        </w:tc>
        <w:tc>
          <w:tcPr>
            <w:tcW w:w="639"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3,5</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3,9</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4,0</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3,7</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3,4</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3,1</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3,2</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3,3</w:t>
            </w:r>
          </w:p>
        </w:tc>
        <w:tc>
          <w:tcPr>
            <w:tcW w:w="576" w:type="dxa"/>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3,3</w:t>
            </w:r>
          </w:p>
        </w:tc>
      </w:tr>
      <w:tr w:rsidR="0096094D" w:rsidRPr="00756A16" w:rsidTr="00E214C9">
        <w:trPr>
          <w:trHeight w:val="375"/>
        </w:trPr>
        <w:tc>
          <w:tcPr>
            <w:tcW w:w="8784" w:type="dxa"/>
            <w:gridSpan w:val="13"/>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r w:rsidRPr="00756A16">
              <w:rPr>
                <w:rFonts w:ascii="Arial" w:eastAsia="Times New Roman" w:hAnsi="Arial" w:cs="Arial"/>
                <w:b/>
                <w:bCs/>
                <w:noProof w:val="0"/>
                <w:sz w:val="14"/>
                <w:szCs w:val="14"/>
                <w:lang w:val="es-ES_tradnl" w:eastAsia="es-ES"/>
              </w:rPr>
              <w:t xml:space="preserve">Fuente: IBGE, en alianza con los Órganos Estaduales de Estadística, Secretarías Estaduales de Gobierno y Superintendencia de la Zona Franca de </w:t>
            </w:r>
            <w:r w:rsidR="00E214C9" w:rsidRPr="00756A16">
              <w:rPr>
                <w:rFonts w:ascii="Arial" w:eastAsia="Times New Roman" w:hAnsi="Arial" w:cs="Arial"/>
                <w:b/>
                <w:bCs/>
                <w:noProof w:val="0"/>
                <w:sz w:val="14"/>
                <w:szCs w:val="14"/>
                <w:lang w:val="es-ES_tradnl" w:eastAsia="es-ES"/>
              </w:rPr>
              <w:t>Manaos</w:t>
            </w:r>
            <w:r w:rsidRPr="00756A16">
              <w:rPr>
                <w:rFonts w:ascii="Arial" w:eastAsia="Times New Roman" w:hAnsi="Arial" w:cs="Arial"/>
                <w:b/>
                <w:bCs/>
                <w:noProof w:val="0"/>
                <w:sz w:val="14"/>
                <w:szCs w:val="14"/>
                <w:lang w:val="es-ES_tradnl" w:eastAsia="es-ES"/>
              </w:rPr>
              <w:t xml:space="preserve"> - SUFRAMA.</w:t>
            </w:r>
          </w:p>
        </w:tc>
        <w:tc>
          <w:tcPr>
            <w:tcW w:w="576" w:type="dxa"/>
            <w:noWrap/>
            <w:hideMark/>
          </w:tcPr>
          <w:p w:rsidR="0096094D" w:rsidRPr="00756A16" w:rsidRDefault="0096094D" w:rsidP="00E214C9">
            <w:pPr>
              <w:keepNext/>
              <w:suppressAutoHyphens/>
              <w:spacing w:before="120" w:after="0" w:line="240" w:lineRule="auto"/>
              <w:jc w:val="both"/>
              <w:outlineLvl w:val="3"/>
              <w:rPr>
                <w:rFonts w:ascii="Arial" w:eastAsia="Times New Roman" w:hAnsi="Arial" w:cs="Arial"/>
                <w:b/>
                <w:bCs/>
                <w:noProof w:val="0"/>
                <w:sz w:val="14"/>
                <w:szCs w:val="14"/>
                <w:lang w:val="es-ES_tradnl" w:eastAsia="es-ES"/>
              </w:rPr>
            </w:pPr>
          </w:p>
        </w:tc>
      </w:tr>
    </w:tbl>
    <w:p w:rsidR="0096094D" w:rsidRPr="00756A16" w:rsidRDefault="0096094D" w:rsidP="0096094D">
      <w:pPr>
        <w:keepNext/>
        <w:suppressAutoHyphens/>
        <w:spacing w:before="120" w:after="0" w:line="240" w:lineRule="auto"/>
        <w:jc w:val="both"/>
        <w:outlineLvl w:val="3"/>
        <w:rPr>
          <w:rFonts w:ascii="Arial" w:eastAsia="Times New Roman" w:hAnsi="Arial" w:cs="Arial"/>
          <w:b/>
          <w:bCs/>
          <w:noProof w:val="0"/>
          <w:szCs w:val="20"/>
          <w:lang w:val="es-ES_tradnl" w:eastAsia="es-ES"/>
        </w:rPr>
      </w:pPr>
    </w:p>
    <w:p w:rsidR="0096094D" w:rsidRPr="00756A16" w:rsidRDefault="0096094D" w:rsidP="0096094D">
      <w:pPr>
        <w:keepNext/>
        <w:suppressAutoHyphens/>
        <w:spacing w:before="120" w:after="0" w:line="240" w:lineRule="auto"/>
        <w:jc w:val="both"/>
        <w:outlineLvl w:val="3"/>
        <w:rPr>
          <w:rFonts w:ascii="Arial" w:eastAsia="Times New Roman" w:hAnsi="Arial" w:cs="Arial"/>
          <w:b/>
          <w:bCs/>
          <w:noProof w:val="0"/>
          <w:szCs w:val="20"/>
          <w:lang w:val="es-ES_tradnl" w:eastAsia="es-ES"/>
        </w:rPr>
      </w:pPr>
    </w:p>
    <w:p w:rsidR="0096094D" w:rsidRPr="00756A16" w:rsidRDefault="00474880" w:rsidP="00474880">
      <w:pPr>
        <w:pStyle w:val="Chapter"/>
        <w:keepNext/>
        <w:numPr>
          <w:ilvl w:val="0"/>
          <w:numId w:val="45"/>
        </w:numPr>
        <w:tabs>
          <w:tab w:val="clear" w:pos="1440"/>
          <w:tab w:val="clear" w:pos="1499"/>
        </w:tabs>
        <w:spacing w:before="240"/>
        <w:ind w:left="810" w:hanging="360"/>
        <w:jc w:val="left"/>
        <w:rPr>
          <w:rFonts w:ascii="Arial" w:eastAsiaTheme="minorEastAsia" w:hAnsi="Arial" w:cs="Arial"/>
          <w:sz w:val="22"/>
          <w:szCs w:val="22"/>
          <w:lang w:val="es-ES_tradnl"/>
        </w:rPr>
      </w:pPr>
      <w:r>
        <w:rPr>
          <w:rFonts w:ascii="Arial" w:eastAsiaTheme="minorEastAsia" w:hAnsi="Arial" w:cs="Arial"/>
          <w:sz w:val="22"/>
          <w:szCs w:val="22"/>
          <w:lang w:val="es-ES_tradnl"/>
        </w:rPr>
        <w:lastRenderedPageBreak/>
        <w:t>La S</w:t>
      </w:r>
      <w:r w:rsidR="0096094D" w:rsidRPr="00756A16">
        <w:rPr>
          <w:rFonts w:ascii="Arial" w:eastAsiaTheme="minorEastAsia" w:hAnsi="Arial" w:cs="Arial"/>
          <w:sz w:val="22"/>
          <w:szCs w:val="22"/>
          <w:lang w:val="es-ES_tradnl"/>
        </w:rPr>
        <w:t>ituación Fiscal</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Estado de Ceará, aunque esté en una mejor condición que muchos de los estados brasileños, ha experimentado un deterioro de su situación fiscal, tal como lo comprueba la evolución de los resultados presupuestarios y primarios en los últimos años, presentados en el siguiente gráfico. El Gráfico 2 demuestra que el resultado primario, como porcentaje del PIB estadual, que llegó al 4,6% en el 2007 viene disminuyendo desde entonces hasta registrar un pequeño déficit en 2013 deteriorándose sustancialmente en 2014 mejorando, a pesar de ser negativo en 2015 (0,7%) logrando un pequeño en 2016 (0,7%)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Estos resultados derivan de que el nivel de crecimiento de los ingresos fue menor que el crecimiento de los gastos, especialmente en momento de reducción de la actividad económica que impacta inmediatamente los ingresos mientras que los gastos son sustancialmente rígidos. </w:t>
      </w:r>
    </w:p>
    <w:p w:rsidR="0096094D" w:rsidRPr="00756A16" w:rsidRDefault="0096094D" w:rsidP="0096094D">
      <w:pPr>
        <w:pStyle w:val="ListParagraph"/>
        <w:keepNext/>
        <w:suppressAutoHyphens/>
        <w:spacing w:before="120" w:after="0" w:line="240" w:lineRule="auto"/>
        <w:ind w:left="851"/>
        <w:jc w:val="both"/>
        <w:outlineLvl w:val="3"/>
        <w:rPr>
          <w:rFonts w:ascii="Arial" w:eastAsia="Times New Roman" w:hAnsi="Arial" w:cs="Arial"/>
          <w:bCs/>
          <w:noProof w:val="0"/>
          <w:highlight w:val="yellow"/>
          <w:lang w:val="es-ES_tradnl" w:eastAsia="es-ES"/>
        </w:rPr>
      </w:pPr>
    </w:p>
    <w:p w:rsidR="0096094D" w:rsidRPr="00756A16" w:rsidRDefault="0096094D" w:rsidP="0096094D">
      <w:pPr>
        <w:pStyle w:val="ListParagraph"/>
        <w:keepNext/>
        <w:suppressAutoHyphens/>
        <w:spacing w:before="120" w:after="0" w:line="240" w:lineRule="auto"/>
        <w:ind w:left="851"/>
        <w:jc w:val="both"/>
        <w:outlineLvl w:val="3"/>
        <w:rPr>
          <w:rFonts w:ascii="Times New Roman" w:eastAsia="Times New Roman" w:hAnsi="Times New Roman"/>
          <w:bCs/>
          <w:noProof w:val="0"/>
          <w:sz w:val="24"/>
          <w:szCs w:val="24"/>
          <w:highlight w:val="yellow"/>
          <w:lang w:val="es-ES_tradnl" w:eastAsia="es-ES"/>
        </w:rPr>
      </w:pPr>
      <w:r w:rsidRPr="00756A16">
        <w:rPr>
          <w:rFonts w:ascii="Times New Roman" w:eastAsia="Times New Roman" w:hAnsi="Times New Roman"/>
          <w:bCs/>
          <w:sz w:val="24"/>
          <w:szCs w:val="24"/>
          <w:highlight w:val="yellow"/>
          <w:lang w:val="en-US"/>
        </w:rPr>
        <w:drawing>
          <wp:inline distT="0" distB="0" distL="0" distR="0" wp14:anchorId="4FF69F94" wp14:editId="4354DFCF">
            <wp:extent cx="5200650" cy="3209925"/>
            <wp:effectExtent l="0" t="0" r="0"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6094D" w:rsidRDefault="0096094D" w:rsidP="0096094D">
      <w:pPr>
        <w:pStyle w:val="ListParagraph"/>
        <w:keepNext/>
        <w:suppressAutoHyphens/>
        <w:spacing w:before="120" w:after="0" w:line="240" w:lineRule="auto"/>
        <w:ind w:left="851"/>
        <w:jc w:val="both"/>
        <w:outlineLvl w:val="3"/>
        <w:rPr>
          <w:rFonts w:ascii="Times New Roman" w:eastAsia="Times New Roman" w:hAnsi="Times New Roman"/>
          <w:bCs/>
          <w:noProof w:val="0"/>
          <w:sz w:val="24"/>
          <w:szCs w:val="24"/>
          <w:lang w:val="es-ES_tradnl" w:eastAsia="es-ES"/>
        </w:rPr>
      </w:pPr>
    </w:p>
    <w:tbl>
      <w:tblPr>
        <w:tblStyle w:val="TableGrid"/>
        <w:tblW w:w="0" w:type="auto"/>
        <w:tblInd w:w="851" w:type="dxa"/>
        <w:tblLook w:val="04A0" w:firstRow="1" w:lastRow="0" w:firstColumn="1" w:lastColumn="0" w:noHBand="0" w:noVBand="1"/>
      </w:tblPr>
      <w:tblGrid>
        <w:gridCol w:w="3922"/>
        <w:gridCol w:w="3857"/>
      </w:tblGrid>
      <w:tr w:rsidR="00E214C9" w:rsidTr="00E214C9">
        <w:tc>
          <w:tcPr>
            <w:tcW w:w="4315" w:type="dxa"/>
          </w:tcPr>
          <w:p w:rsidR="00E214C9" w:rsidRDefault="00E214C9" w:rsidP="0096094D">
            <w:pPr>
              <w:pStyle w:val="ListParagraph"/>
              <w:keepNext/>
              <w:suppressAutoHyphens/>
              <w:spacing w:before="120" w:after="0" w:line="240" w:lineRule="auto"/>
              <w:ind w:left="0"/>
              <w:jc w:val="both"/>
              <w:outlineLvl w:val="3"/>
              <w:rPr>
                <w:rFonts w:ascii="Times New Roman" w:eastAsia="Times New Roman" w:hAnsi="Times New Roman"/>
                <w:bCs/>
                <w:noProof w:val="0"/>
                <w:sz w:val="24"/>
                <w:szCs w:val="24"/>
                <w:lang w:val="es-ES_tradnl" w:eastAsia="es-ES"/>
              </w:rPr>
            </w:pPr>
            <w:r>
              <w:rPr>
                <w:rFonts w:ascii="Times New Roman" w:eastAsia="Times New Roman" w:hAnsi="Times New Roman"/>
                <w:bCs/>
                <w:noProof w:val="0"/>
                <w:sz w:val="24"/>
                <w:szCs w:val="24"/>
                <w:lang w:val="es-ES_tradnl" w:eastAsia="es-ES"/>
              </w:rPr>
              <w:t>Resultado presupuestario</w:t>
            </w:r>
          </w:p>
        </w:tc>
        <w:tc>
          <w:tcPr>
            <w:tcW w:w="4315" w:type="dxa"/>
          </w:tcPr>
          <w:p w:rsidR="00E214C9" w:rsidRDefault="00E214C9" w:rsidP="0096094D">
            <w:pPr>
              <w:pStyle w:val="ListParagraph"/>
              <w:keepNext/>
              <w:suppressAutoHyphens/>
              <w:spacing w:before="120" w:after="0" w:line="240" w:lineRule="auto"/>
              <w:ind w:left="0"/>
              <w:jc w:val="both"/>
              <w:outlineLvl w:val="3"/>
              <w:rPr>
                <w:rFonts w:ascii="Times New Roman" w:eastAsia="Times New Roman" w:hAnsi="Times New Roman"/>
                <w:bCs/>
                <w:noProof w:val="0"/>
                <w:sz w:val="24"/>
                <w:szCs w:val="24"/>
                <w:lang w:val="es-ES_tradnl" w:eastAsia="es-ES"/>
              </w:rPr>
            </w:pPr>
            <w:r>
              <w:rPr>
                <w:rFonts w:ascii="Times New Roman" w:eastAsia="Times New Roman" w:hAnsi="Times New Roman"/>
                <w:bCs/>
                <w:noProof w:val="0"/>
                <w:sz w:val="24"/>
                <w:szCs w:val="24"/>
                <w:lang w:val="es-ES_tradnl" w:eastAsia="es-ES"/>
              </w:rPr>
              <w:t>Resultado primario</w:t>
            </w:r>
          </w:p>
        </w:tc>
      </w:tr>
    </w:tbl>
    <w:p w:rsidR="00E214C9" w:rsidRDefault="00E214C9" w:rsidP="0096094D">
      <w:pPr>
        <w:pStyle w:val="ListParagraph"/>
        <w:keepNext/>
        <w:suppressAutoHyphens/>
        <w:spacing w:before="120" w:after="0" w:line="240" w:lineRule="auto"/>
        <w:ind w:left="851"/>
        <w:jc w:val="both"/>
        <w:outlineLvl w:val="3"/>
        <w:rPr>
          <w:rFonts w:ascii="Times New Roman" w:eastAsia="Times New Roman" w:hAnsi="Times New Roman"/>
          <w:bCs/>
          <w:noProof w:val="0"/>
          <w:sz w:val="24"/>
          <w:szCs w:val="24"/>
          <w:lang w:val="es-ES_tradnl" w:eastAsia="es-ES"/>
        </w:rPr>
      </w:pP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Es importante notar que o gobierno de Ceará continua dependiente de ingresos de transferencias sobre las cuales no ejerce gobernanza, aunque esta dependencia se haya reducido un poco a lo largo del tiempo. Entre 2016 y 2012, las transferencias corrientes representaron, en promedio, el 39,9% de </w:t>
      </w:r>
      <w:r w:rsidR="00E214C9" w:rsidRPr="00756A16">
        <w:rPr>
          <w:rFonts w:ascii="Arial" w:eastAsia="Times New Roman" w:hAnsi="Arial" w:cs="Arial"/>
          <w:bCs/>
          <w:noProof w:val="0"/>
          <w:lang w:val="es-ES_tradnl" w:eastAsia="es-ES"/>
        </w:rPr>
        <w:t>los</w:t>
      </w:r>
      <w:r w:rsidRPr="00756A16">
        <w:rPr>
          <w:rFonts w:ascii="Arial" w:eastAsia="Times New Roman" w:hAnsi="Arial" w:cs="Arial"/>
          <w:bCs/>
          <w:noProof w:val="0"/>
          <w:lang w:val="es-ES_tradnl" w:eastAsia="es-ES"/>
        </w:rPr>
        <w:t xml:space="preserve"> ingresos corrientes nominales, disminuyendo al 36,1%, </w:t>
      </w:r>
      <w:r w:rsidR="00E214C9">
        <w:rPr>
          <w:rFonts w:ascii="Arial" w:eastAsia="Times New Roman" w:hAnsi="Arial" w:cs="Arial"/>
          <w:bCs/>
          <w:noProof w:val="0"/>
          <w:lang w:val="es-ES_tradnl" w:eastAsia="es-ES"/>
        </w:rPr>
        <w:t xml:space="preserve">en </w:t>
      </w:r>
      <w:r w:rsidRPr="00756A16">
        <w:rPr>
          <w:rFonts w:ascii="Arial" w:eastAsia="Times New Roman" w:hAnsi="Arial" w:cs="Arial"/>
          <w:bCs/>
          <w:noProof w:val="0"/>
          <w:lang w:val="es-ES_tradnl" w:eastAsia="es-ES"/>
        </w:rPr>
        <w:t>promedi</w:t>
      </w:r>
      <w:r w:rsidR="00E214C9">
        <w:rPr>
          <w:rFonts w:ascii="Arial" w:eastAsia="Times New Roman" w:hAnsi="Arial" w:cs="Arial"/>
          <w:bCs/>
          <w:noProof w:val="0"/>
          <w:lang w:val="es-ES_tradnl" w:eastAsia="es-ES"/>
        </w:rPr>
        <w:t>o</w:t>
      </w:r>
      <w:r w:rsidRPr="00756A16">
        <w:rPr>
          <w:rFonts w:ascii="Arial" w:eastAsia="Times New Roman" w:hAnsi="Arial" w:cs="Arial"/>
          <w:bCs/>
          <w:noProof w:val="0"/>
          <w:lang w:val="es-ES_tradnl" w:eastAsia="es-ES"/>
        </w:rPr>
        <w:t xml:space="preserve">, durante los último cuatro años (2013-2016). El crecimiento de los ingresos tributarios (propios) depende en gran parte del crecimiento de la recaudación del ICMS, aunque la contribución del ICMS para el total de los Ingresos Tributarios haya disminuido durante los </w:t>
      </w:r>
      <w:r w:rsidR="00E214C9" w:rsidRPr="00756A16">
        <w:rPr>
          <w:rFonts w:ascii="Arial" w:eastAsia="Times New Roman" w:hAnsi="Arial" w:cs="Arial"/>
          <w:bCs/>
          <w:noProof w:val="0"/>
          <w:lang w:val="es-ES_tradnl" w:eastAsia="es-ES"/>
        </w:rPr>
        <w:t>últimos tiempos</w:t>
      </w:r>
      <w:r w:rsidRPr="00756A16">
        <w:rPr>
          <w:rFonts w:ascii="Arial" w:eastAsia="Times New Roman" w:hAnsi="Arial" w:cs="Arial"/>
          <w:bCs/>
          <w:noProof w:val="0"/>
          <w:lang w:val="es-ES_tradnl" w:eastAsia="es-ES"/>
        </w:rPr>
        <w:t xml:space="preserve">. El Gráfico 3 demuestra que, </w:t>
      </w:r>
      <w:r w:rsidR="00E214C9" w:rsidRPr="00756A16">
        <w:rPr>
          <w:rFonts w:ascii="Arial" w:eastAsia="Times New Roman" w:hAnsi="Arial" w:cs="Arial"/>
          <w:bCs/>
          <w:noProof w:val="0"/>
          <w:lang w:val="es-ES_tradnl" w:eastAsia="es-ES"/>
        </w:rPr>
        <w:t>aun</w:t>
      </w:r>
      <w:r w:rsidRPr="00756A16">
        <w:rPr>
          <w:rFonts w:ascii="Arial" w:eastAsia="Times New Roman" w:hAnsi="Arial" w:cs="Arial"/>
          <w:bCs/>
          <w:noProof w:val="0"/>
          <w:lang w:val="es-ES_tradnl" w:eastAsia="es-ES"/>
        </w:rPr>
        <w:t xml:space="preserve"> así, el </w:t>
      </w:r>
      <w:r w:rsidRPr="00756A16">
        <w:rPr>
          <w:rFonts w:ascii="Arial" w:eastAsia="Times New Roman" w:hAnsi="Arial" w:cs="Arial"/>
          <w:bCs/>
          <w:noProof w:val="0"/>
          <w:lang w:val="es-ES_tradnl" w:eastAsia="es-ES"/>
        </w:rPr>
        <w:lastRenderedPageBreak/>
        <w:t>ICMS también representa alrededor del 80% de los ingresos tributarios de Ceará, y poco menos del 40% del Ingreso Total</w:t>
      </w:r>
      <w:r w:rsidRPr="00756A16">
        <w:rPr>
          <w:rStyle w:val="FootnoteReference"/>
          <w:rFonts w:ascii="Arial" w:eastAsia="Times New Roman" w:hAnsi="Arial" w:cs="Arial"/>
          <w:bCs/>
          <w:noProof w:val="0"/>
          <w:lang w:val="es-ES_tradnl" w:eastAsia="es-ES"/>
        </w:rPr>
        <w:footnoteReference w:id="5"/>
      </w:r>
      <w:r w:rsidRPr="00756A16">
        <w:rPr>
          <w:rFonts w:ascii="Arial" w:eastAsia="Times New Roman" w:hAnsi="Arial" w:cs="Arial"/>
          <w:bCs/>
          <w:noProof w:val="0"/>
          <w:lang w:val="es-ES_tradnl" w:eastAsia="es-ES"/>
        </w:rPr>
        <w:t xml:space="preserve">.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De esta forma, el </w:t>
      </w:r>
      <w:r w:rsidR="00E214C9" w:rsidRPr="00756A16">
        <w:rPr>
          <w:rFonts w:ascii="Arial" w:eastAsia="Times New Roman" w:hAnsi="Arial" w:cs="Arial"/>
          <w:bCs/>
          <w:noProof w:val="0"/>
          <w:lang w:val="es-ES_tradnl" w:eastAsia="es-ES"/>
        </w:rPr>
        <w:t>Aumento</w:t>
      </w:r>
      <w:r w:rsidRPr="00756A16">
        <w:rPr>
          <w:rFonts w:ascii="Arial" w:eastAsia="Times New Roman" w:hAnsi="Arial" w:cs="Arial"/>
          <w:bCs/>
          <w:noProof w:val="0"/>
          <w:lang w:val="es-ES_tradnl" w:eastAsia="es-ES"/>
        </w:rPr>
        <w:t xml:space="preserve"> de los Ingresos Propios es fundamental para la gestión del estado, especialmente con la creciente demanda de servicios públicos en un estado con indicadores sociales que requieren mayor inversión pública.</w:t>
      </w:r>
    </w:p>
    <w:p w:rsidR="0096094D" w:rsidRPr="00756A16" w:rsidRDefault="0096094D" w:rsidP="0096094D">
      <w:pPr>
        <w:keepNext/>
        <w:suppressAutoHyphens/>
        <w:spacing w:before="120" w:after="0" w:line="240" w:lineRule="auto"/>
        <w:jc w:val="both"/>
        <w:outlineLvl w:val="3"/>
        <w:rPr>
          <w:rFonts w:ascii="Arial" w:eastAsia="Times New Roman" w:hAnsi="Arial" w:cs="Arial"/>
          <w:bCs/>
          <w:noProof w:val="0"/>
          <w:lang w:val="es-ES_tradnl" w:eastAsia="es-ES"/>
        </w:rPr>
      </w:pPr>
    </w:p>
    <w:p w:rsidR="0096094D" w:rsidRPr="00756A16" w:rsidRDefault="0096094D" w:rsidP="0096094D">
      <w:pPr>
        <w:keepNext/>
        <w:suppressAutoHyphens/>
        <w:spacing w:before="120" w:after="0" w:line="240" w:lineRule="auto"/>
        <w:ind w:left="284"/>
        <w:jc w:val="both"/>
        <w:outlineLvl w:val="3"/>
        <w:rPr>
          <w:rFonts w:ascii="Times New Roman" w:eastAsia="Times New Roman" w:hAnsi="Times New Roman"/>
          <w:bCs/>
          <w:noProof w:val="0"/>
          <w:sz w:val="24"/>
          <w:szCs w:val="24"/>
          <w:lang w:val="es-ES_tradnl" w:eastAsia="es-ES"/>
        </w:rPr>
      </w:pPr>
      <w:r w:rsidRPr="00756A16">
        <w:rPr>
          <w:rFonts w:ascii="Times New Roman" w:eastAsia="Times New Roman" w:hAnsi="Times New Roman"/>
          <w:bCs/>
          <w:sz w:val="24"/>
          <w:szCs w:val="24"/>
          <w:lang w:val="en-US"/>
        </w:rPr>
        <w:drawing>
          <wp:inline distT="0" distB="0" distL="0" distR="0" wp14:anchorId="2A1AE962" wp14:editId="65781EA1">
            <wp:extent cx="5305425" cy="3400425"/>
            <wp:effectExtent l="0" t="0" r="9525" b="9525"/>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bl>
      <w:tblPr>
        <w:tblStyle w:val="TableGrid"/>
        <w:tblW w:w="0" w:type="auto"/>
        <w:tblInd w:w="265" w:type="dxa"/>
        <w:tblLook w:val="04A0" w:firstRow="1" w:lastRow="0" w:firstColumn="1" w:lastColumn="0" w:noHBand="0" w:noVBand="1"/>
      </w:tblPr>
      <w:tblGrid>
        <w:gridCol w:w="4050"/>
        <w:gridCol w:w="4315"/>
      </w:tblGrid>
      <w:tr w:rsidR="00E214C9" w:rsidTr="00474880">
        <w:tc>
          <w:tcPr>
            <w:tcW w:w="4050" w:type="dxa"/>
          </w:tcPr>
          <w:p w:rsidR="00E214C9" w:rsidRDefault="00301083" w:rsidP="0096094D">
            <w:pPr>
              <w:keepNext/>
              <w:suppressAutoHyphens/>
              <w:spacing w:before="120" w:after="0" w:line="240" w:lineRule="auto"/>
              <w:jc w:val="both"/>
              <w:outlineLvl w:val="3"/>
              <w:rPr>
                <w:rFonts w:ascii="Times New Roman" w:eastAsia="Times New Roman" w:hAnsi="Times New Roman"/>
                <w:bCs/>
                <w:noProof w:val="0"/>
                <w:sz w:val="24"/>
                <w:szCs w:val="24"/>
                <w:lang w:val="es-ES_tradnl" w:eastAsia="es-ES"/>
              </w:rPr>
            </w:pPr>
            <w:proofErr w:type="spellStart"/>
            <w:r>
              <w:rPr>
                <w:rFonts w:ascii="Times New Roman" w:eastAsia="Times New Roman" w:hAnsi="Times New Roman"/>
                <w:bCs/>
                <w:noProof w:val="0"/>
                <w:sz w:val="24"/>
                <w:szCs w:val="24"/>
                <w:lang w:val="es-ES_tradnl" w:eastAsia="es-ES"/>
              </w:rPr>
              <w:t>t</w:t>
            </w:r>
            <w:r w:rsidR="00E214C9">
              <w:rPr>
                <w:rFonts w:ascii="Times New Roman" w:eastAsia="Times New Roman" w:hAnsi="Times New Roman"/>
                <w:bCs/>
                <w:noProof w:val="0"/>
                <w:sz w:val="24"/>
                <w:szCs w:val="24"/>
                <w:lang w:val="es-ES_tradnl" w:eastAsia="es-ES"/>
              </w:rPr>
              <w:t>rib</w:t>
            </w:r>
            <w:proofErr w:type="spellEnd"/>
            <w:r w:rsidR="00E214C9">
              <w:rPr>
                <w:rFonts w:ascii="Times New Roman" w:eastAsia="Times New Roman" w:hAnsi="Times New Roman"/>
                <w:bCs/>
                <w:noProof w:val="0"/>
                <w:sz w:val="24"/>
                <w:szCs w:val="24"/>
                <w:lang w:val="es-ES_tradnl" w:eastAsia="es-ES"/>
              </w:rPr>
              <w:t>/</w:t>
            </w:r>
            <w:r>
              <w:rPr>
                <w:rFonts w:ascii="Times New Roman" w:eastAsia="Times New Roman" w:hAnsi="Times New Roman"/>
                <w:bCs/>
                <w:noProof w:val="0"/>
                <w:sz w:val="24"/>
                <w:szCs w:val="24"/>
                <w:lang w:val="es-ES_tradnl" w:eastAsia="es-ES"/>
              </w:rPr>
              <w:t>c</w:t>
            </w:r>
            <w:r w:rsidR="00E214C9">
              <w:rPr>
                <w:rFonts w:ascii="Times New Roman" w:eastAsia="Times New Roman" w:hAnsi="Times New Roman"/>
                <w:bCs/>
                <w:noProof w:val="0"/>
                <w:sz w:val="24"/>
                <w:szCs w:val="24"/>
                <w:lang w:val="es-ES_tradnl" w:eastAsia="es-ES"/>
              </w:rPr>
              <w:t>orriente</w:t>
            </w:r>
          </w:p>
        </w:tc>
        <w:tc>
          <w:tcPr>
            <w:tcW w:w="4315" w:type="dxa"/>
          </w:tcPr>
          <w:p w:rsidR="00E214C9" w:rsidRDefault="00301083" w:rsidP="0096094D">
            <w:pPr>
              <w:keepNext/>
              <w:suppressAutoHyphens/>
              <w:spacing w:before="120" w:after="0" w:line="240" w:lineRule="auto"/>
              <w:jc w:val="both"/>
              <w:outlineLvl w:val="3"/>
              <w:rPr>
                <w:rFonts w:ascii="Times New Roman" w:eastAsia="Times New Roman" w:hAnsi="Times New Roman"/>
                <w:bCs/>
                <w:noProof w:val="0"/>
                <w:sz w:val="24"/>
                <w:szCs w:val="24"/>
                <w:lang w:val="es-ES_tradnl" w:eastAsia="es-ES"/>
              </w:rPr>
            </w:pPr>
            <w:proofErr w:type="spellStart"/>
            <w:r>
              <w:rPr>
                <w:rFonts w:ascii="Times New Roman" w:eastAsia="Times New Roman" w:hAnsi="Times New Roman"/>
                <w:bCs/>
                <w:noProof w:val="0"/>
                <w:sz w:val="24"/>
                <w:szCs w:val="24"/>
                <w:lang w:val="es-ES_tradnl" w:eastAsia="es-ES"/>
              </w:rPr>
              <w:t>icms</w:t>
            </w:r>
            <w:proofErr w:type="spellEnd"/>
            <w:r>
              <w:rPr>
                <w:rFonts w:ascii="Times New Roman" w:eastAsia="Times New Roman" w:hAnsi="Times New Roman"/>
                <w:bCs/>
                <w:noProof w:val="0"/>
                <w:sz w:val="24"/>
                <w:szCs w:val="24"/>
                <w:lang w:val="es-ES_tradnl" w:eastAsia="es-ES"/>
              </w:rPr>
              <w:t>/</w:t>
            </w:r>
            <w:proofErr w:type="spellStart"/>
            <w:r>
              <w:rPr>
                <w:rFonts w:ascii="Times New Roman" w:eastAsia="Times New Roman" w:hAnsi="Times New Roman"/>
                <w:bCs/>
                <w:noProof w:val="0"/>
                <w:sz w:val="24"/>
                <w:szCs w:val="24"/>
                <w:lang w:val="es-ES_tradnl" w:eastAsia="es-ES"/>
              </w:rPr>
              <w:t>trib</w:t>
            </w:r>
            <w:proofErr w:type="spellEnd"/>
          </w:p>
        </w:tc>
      </w:tr>
    </w:tbl>
    <w:p w:rsidR="0096094D" w:rsidRPr="00756A16" w:rsidRDefault="0096094D" w:rsidP="0096094D">
      <w:pPr>
        <w:keepNext/>
        <w:suppressAutoHyphens/>
        <w:spacing w:before="120" w:after="0" w:line="240" w:lineRule="auto"/>
        <w:jc w:val="both"/>
        <w:outlineLvl w:val="3"/>
        <w:rPr>
          <w:rFonts w:ascii="Times New Roman" w:eastAsia="Times New Roman" w:hAnsi="Times New Roman"/>
          <w:bCs/>
          <w:noProof w:val="0"/>
          <w:sz w:val="24"/>
          <w:szCs w:val="24"/>
          <w:lang w:val="es-ES_tradnl" w:eastAsia="es-ES"/>
        </w:rPr>
      </w:pP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Gastos de inversión ha sido la variable de ajuste en los tres niveles de gobierno en los últimos años. En Ceará, los gastos de inversión que llegaron al 16% del total de los gastos en 2013, cayeron sustancialmente en los últimos años, llegando a poco más del 6% del gasto total en 2015 y a menos del 10% en 2016. </w:t>
      </w:r>
      <w:r w:rsidRPr="00756A16">
        <w:rPr>
          <w:rFonts w:ascii="Arial" w:eastAsia="Times New Roman" w:hAnsi="Arial" w:cs="Arial"/>
          <w:bCs/>
          <w:noProof w:val="0"/>
          <w:lang w:val="es-ES_tradnl" w:eastAsia="es-ES"/>
        </w:rPr>
        <w:lastRenderedPageBreak/>
        <w:t xml:space="preserve">Ver Gráfico 4. Además, el escaso espacio fiscal implicó el financiamiento de la inversión </w:t>
      </w:r>
      <w:r w:rsidR="00301083">
        <w:rPr>
          <w:rFonts w:ascii="Arial" w:eastAsia="Times New Roman" w:hAnsi="Arial" w:cs="Arial"/>
          <w:bCs/>
          <w:noProof w:val="0"/>
          <w:lang w:val="es-ES_tradnl" w:eastAsia="es-ES"/>
        </w:rPr>
        <w:t xml:space="preserve">mediante la realización </w:t>
      </w:r>
      <w:r w:rsidRPr="00756A16">
        <w:rPr>
          <w:rFonts w:ascii="Arial" w:eastAsia="Times New Roman" w:hAnsi="Arial" w:cs="Arial"/>
          <w:bCs/>
          <w:noProof w:val="0"/>
          <w:lang w:val="es-ES_tradnl" w:eastAsia="es-ES"/>
        </w:rPr>
        <w:t>de operaciones de crédito.</w:t>
      </w:r>
    </w:p>
    <w:p w:rsidR="0096094D" w:rsidRPr="00756A16" w:rsidRDefault="0096094D" w:rsidP="0096094D">
      <w:pPr>
        <w:pStyle w:val="ListParagraph"/>
        <w:keepNext/>
        <w:tabs>
          <w:tab w:val="num" w:pos="1499"/>
        </w:tabs>
        <w:suppressAutoHyphens/>
        <w:spacing w:before="120" w:after="0" w:line="240" w:lineRule="auto"/>
        <w:ind w:left="851"/>
        <w:jc w:val="both"/>
        <w:outlineLvl w:val="3"/>
        <w:rPr>
          <w:rFonts w:ascii="Arial" w:eastAsia="Times New Roman" w:hAnsi="Arial" w:cs="Arial"/>
          <w:bCs/>
          <w:noProof w:val="0"/>
          <w:lang w:val="es-ES_tradnl" w:eastAsia="es-ES"/>
        </w:rPr>
      </w:pPr>
    </w:p>
    <w:p w:rsidR="0096094D" w:rsidRPr="00756A16" w:rsidRDefault="00474880" w:rsidP="0096094D">
      <w:pPr>
        <w:pStyle w:val="ListParagraph"/>
        <w:keepNext/>
        <w:suppressAutoHyphens/>
        <w:spacing w:before="120" w:after="0" w:line="240" w:lineRule="auto"/>
        <w:ind w:left="284"/>
        <w:jc w:val="both"/>
        <w:outlineLvl w:val="3"/>
        <w:rPr>
          <w:rFonts w:ascii="Times New Roman" w:eastAsia="Times New Roman" w:hAnsi="Times New Roman"/>
          <w:bCs/>
          <w:noProof w:val="0"/>
          <w:sz w:val="24"/>
          <w:szCs w:val="24"/>
          <w:lang w:val="es-ES_tradnl" w:eastAsia="es-ES"/>
        </w:rPr>
      </w:pPr>
      <w:r>
        <w:rPr>
          <w:rFonts w:ascii="Times New Roman" w:eastAsia="Times New Roman" w:hAnsi="Times New Roman"/>
          <w:bCs/>
          <w:sz w:val="24"/>
          <w:szCs w:val="24"/>
          <w:lang w:val="en-US"/>
        </w:rPr>
        <mc:AlternateContent>
          <mc:Choice Requires="wps">
            <w:drawing>
              <wp:anchor distT="0" distB="0" distL="114300" distR="114300" simplePos="0" relativeHeight="251660288" behindDoc="0" locked="0" layoutInCell="1" allowOverlap="1">
                <wp:simplePos x="0" y="0"/>
                <wp:positionH relativeFrom="column">
                  <wp:posOffset>182880</wp:posOffset>
                </wp:positionH>
                <wp:positionV relativeFrom="paragraph">
                  <wp:posOffset>2741295</wp:posOffset>
                </wp:positionV>
                <wp:extent cx="525780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8C7933"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4pt,215.85pt" to="428.4pt,2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" strokecolor="black [3040]"/>
            </w:pict>
          </mc:Fallback>
        </mc:AlternateContent>
      </w:r>
      <w:r w:rsidR="0096094D" w:rsidRPr="00756A16">
        <w:rPr>
          <w:rFonts w:ascii="Times New Roman" w:eastAsia="Times New Roman" w:hAnsi="Times New Roman"/>
          <w:bCs/>
          <w:sz w:val="24"/>
          <w:szCs w:val="24"/>
          <w:lang w:val="en-US"/>
        </w:rPr>
        <w:drawing>
          <wp:inline distT="0" distB="0" distL="0" distR="0" wp14:anchorId="4C3BF203" wp14:editId="32C029AB">
            <wp:extent cx="5257800" cy="2743200"/>
            <wp:effectExtent l="0" t="0" r="0"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6094D" w:rsidRPr="00756A16" w:rsidRDefault="0096094D" w:rsidP="0096094D">
      <w:pPr>
        <w:pStyle w:val="ListParagraph"/>
        <w:keepNext/>
        <w:suppressAutoHyphens/>
        <w:spacing w:before="120" w:after="0" w:line="240" w:lineRule="auto"/>
        <w:ind w:left="851"/>
        <w:jc w:val="both"/>
        <w:outlineLvl w:val="3"/>
        <w:rPr>
          <w:rFonts w:ascii="Times New Roman" w:eastAsia="Times New Roman" w:hAnsi="Times New Roman"/>
          <w:bCs/>
          <w:noProof w:val="0"/>
          <w:sz w:val="24"/>
          <w:szCs w:val="24"/>
          <w:lang w:val="es-ES_tradnl" w:eastAsia="es-ES"/>
        </w:rPr>
      </w:pP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Para el gobierno de Ceará es fundamental aumentar la inversión. Con ese objetivo es necesario expandir sus ingresos </w:t>
      </w:r>
      <w:r w:rsidR="00301083" w:rsidRPr="00756A16">
        <w:rPr>
          <w:rFonts w:ascii="Arial" w:eastAsia="Times New Roman" w:hAnsi="Arial" w:cs="Arial"/>
          <w:bCs/>
          <w:noProof w:val="0"/>
          <w:lang w:val="es-ES_tradnl" w:eastAsia="es-ES"/>
        </w:rPr>
        <w:t>propios,</w:t>
      </w:r>
      <w:r w:rsidRPr="00756A16">
        <w:rPr>
          <w:rFonts w:ascii="Arial" w:eastAsia="Times New Roman" w:hAnsi="Arial" w:cs="Arial"/>
          <w:bCs/>
          <w:noProof w:val="0"/>
          <w:lang w:val="es-ES_tradnl" w:eastAsia="es-ES"/>
        </w:rPr>
        <w:t xml:space="preserve"> así como mejorar la calidad del gasto. El PROFISCO II CE, tal como es discutido a continuación, ataca estos dos frentes.</w:t>
      </w:r>
    </w:p>
    <w:p w:rsidR="0096094D" w:rsidRPr="00756A16" w:rsidRDefault="0096094D" w:rsidP="0096094D">
      <w:pPr>
        <w:pStyle w:val="ListParagraph"/>
        <w:keepNext/>
        <w:tabs>
          <w:tab w:val="num" w:pos="1499"/>
        </w:tabs>
        <w:suppressAutoHyphens/>
        <w:spacing w:before="120" w:after="0" w:line="240" w:lineRule="auto"/>
        <w:ind w:left="851"/>
        <w:jc w:val="both"/>
        <w:outlineLvl w:val="3"/>
        <w:rPr>
          <w:rFonts w:ascii="Arial" w:eastAsia="Times New Roman" w:hAnsi="Arial" w:cs="Arial"/>
          <w:bCs/>
          <w:noProof w:val="0"/>
          <w:lang w:val="es-ES_tradnl" w:eastAsia="es-ES"/>
        </w:rPr>
      </w:pPr>
    </w:p>
    <w:p w:rsidR="0096094D" w:rsidRPr="00756A16" w:rsidRDefault="0096094D" w:rsidP="00474880">
      <w:pPr>
        <w:pStyle w:val="Chapter"/>
        <w:keepNext/>
        <w:numPr>
          <w:ilvl w:val="0"/>
          <w:numId w:val="45"/>
        </w:numPr>
        <w:tabs>
          <w:tab w:val="clear" w:pos="1440"/>
          <w:tab w:val="clear" w:pos="1499"/>
        </w:tabs>
        <w:spacing w:before="240"/>
        <w:ind w:left="900" w:hanging="450"/>
        <w:jc w:val="left"/>
        <w:rPr>
          <w:rFonts w:ascii="Arial" w:eastAsiaTheme="minorEastAsia" w:hAnsi="Arial" w:cs="Arial"/>
          <w:sz w:val="22"/>
          <w:szCs w:val="22"/>
          <w:lang w:val="es-ES_tradnl"/>
        </w:rPr>
      </w:pPr>
      <w:r w:rsidRPr="00756A16">
        <w:rPr>
          <w:rFonts w:ascii="Arial" w:eastAsiaTheme="minorEastAsia" w:hAnsi="Arial" w:cs="Arial"/>
          <w:sz w:val="22"/>
          <w:szCs w:val="22"/>
          <w:lang w:val="es-ES_tradnl"/>
        </w:rPr>
        <w:t>El PROFISCO II CE</w:t>
      </w:r>
    </w:p>
    <w:p w:rsidR="0096094D"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El Programa se divide en tres componentes, a saber:</w:t>
      </w:r>
    </w:p>
    <w:p w:rsidR="00474880" w:rsidRPr="00756A16" w:rsidRDefault="00474880" w:rsidP="00474880">
      <w:pPr>
        <w:pStyle w:val="ListParagraph"/>
        <w:keepNext/>
        <w:tabs>
          <w:tab w:val="num" w:pos="1499"/>
        </w:tabs>
        <w:suppressAutoHyphens/>
        <w:spacing w:before="120" w:after="0" w:line="240" w:lineRule="auto"/>
        <w:ind w:left="851"/>
        <w:jc w:val="both"/>
        <w:outlineLvl w:val="3"/>
        <w:rPr>
          <w:rFonts w:ascii="Arial" w:eastAsia="Times New Roman" w:hAnsi="Arial" w:cs="Arial"/>
          <w:bCs/>
          <w:noProof w:val="0"/>
          <w:lang w:val="es-ES_tradnl" w:eastAsia="es-ES"/>
        </w:rPr>
      </w:pPr>
    </w:p>
    <w:p w:rsidR="0096094D" w:rsidRPr="00756A16" w:rsidRDefault="0096094D" w:rsidP="00474880">
      <w:pPr>
        <w:pStyle w:val="ListParagraph"/>
        <w:keepNext/>
        <w:numPr>
          <w:ilvl w:val="2"/>
          <w:numId w:val="45"/>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Componente I. Gestión fiscal y transparencia fiscal (US$30,4 millones). Busca perfeccionar los instrumentos de gestión, modernizar la infraestructura tecnológica y mejorar la relación con los contribuyentes: (i) metodología de análisis de riesgos institucionales y fiscales; (ii) sistemática de evaluación de proyectos fiscales; (iii) modelo de competencias para  planificación de la fuerza de trabajo y capacitación; (iv) modelo de gobernanza, seguridad y gestión de datos; (v) sistema de gestión de compras, inventarios, mercaderías aprehendidas, contratos y convenios; y (vi) modernización de los canales de comunicación con la sociedad y educación fiscal.</w:t>
      </w:r>
    </w:p>
    <w:p w:rsidR="0096094D" w:rsidRPr="00756A16" w:rsidRDefault="0096094D" w:rsidP="00474880">
      <w:pPr>
        <w:pStyle w:val="ListParagraph"/>
        <w:keepNext/>
        <w:numPr>
          <w:ilvl w:val="2"/>
          <w:numId w:val="45"/>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Componente II. Administración tributaria y contencioso fiscal (US$37,8 millones). Busca aumentar los ingresos propios y simplificar el cumplimiento de las obligaciones tributarias: (i) sistema de monitoreo de los contribuyentes y seguimiento y evaluación de los beneficios fiscales; (ii) procedimientos de control de las divisas estaduales; (iii) proceso tributario electrónico y de sistema de control de la deuda activa; (iv) sistema del cobro y recaudación; (v) modernización e integración del </w:t>
      </w:r>
      <w:r w:rsidRPr="00756A16">
        <w:rPr>
          <w:rFonts w:ascii="Arial" w:eastAsia="Times New Roman" w:hAnsi="Arial" w:cs="Arial"/>
          <w:bCs/>
          <w:noProof w:val="0"/>
          <w:lang w:val="es-ES_tradnl" w:eastAsia="es-ES"/>
        </w:rPr>
        <w:lastRenderedPageBreak/>
        <w:t xml:space="preserve">registro de contribuyentes; y (vi) simplificación de las obligaciones tributarias. </w:t>
      </w:r>
    </w:p>
    <w:p w:rsidR="0096094D" w:rsidRDefault="0096094D" w:rsidP="00474880">
      <w:pPr>
        <w:pStyle w:val="ListParagraph"/>
        <w:keepNext/>
        <w:numPr>
          <w:ilvl w:val="2"/>
          <w:numId w:val="45"/>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Componente III. Administración Financiera y gasto público (US$7,7 millones). Busca aumentar la eficiencia de la planificación y ejecución financiera y la calidad de los gastos: (i) sistema de proyecciones y de automatización del flujo de caja; (ii) sistema </w:t>
      </w:r>
      <w:r w:rsidR="00474880">
        <w:rPr>
          <w:rFonts w:ascii="Arial" w:eastAsia="Times New Roman" w:hAnsi="Arial" w:cs="Arial"/>
          <w:bCs/>
          <w:noProof w:val="0"/>
          <w:lang w:val="es-ES_tradnl" w:eastAsia="es-ES"/>
        </w:rPr>
        <w:t>de conciliación bancaria; (iii) </w:t>
      </w:r>
      <w:r w:rsidRPr="00756A16">
        <w:rPr>
          <w:rFonts w:ascii="Arial" w:eastAsia="Times New Roman" w:hAnsi="Arial" w:cs="Arial"/>
          <w:bCs/>
          <w:noProof w:val="0"/>
          <w:lang w:val="es-ES_tradnl" w:eastAsia="es-ES"/>
        </w:rPr>
        <w:t>sistema de gestión de activos y de pasivos; (iv) Modelo de Gestión de costos (v) SIAFI adecuado para la convergencia contable, integrado con los demás sistemas de gestión del Estado; (vi) sistema de gestión de la deuda pública; y (vii) modelo de gestión del ciclo de inversión pública.</w:t>
      </w:r>
    </w:p>
    <w:p w:rsidR="00474880" w:rsidRPr="00756A16" w:rsidRDefault="00474880" w:rsidP="00474880">
      <w:pPr>
        <w:pStyle w:val="ListParagraph"/>
        <w:keepNext/>
        <w:suppressAutoHyphens/>
        <w:spacing w:before="120" w:after="0" w:line="240" w:lineRule="auto"/>
        <w:ind w:left="1530"/>
        <w:jc w:val="both"/>
        <w:outlineLvl w:val="3"/>
        <w:rPr>
          <w:rFonts w:ascii="Arial" w:eastAsia="Times New Roman" w:hAnsi="Arial" w:cs="Arial"/>
          <w:bCs/>
          <w:noProof w:val="0"/>
          <w:lang w:val="es-ES_tradnl" w:eastAsia="es-ES"/>
        </w:rPr>
      </w:pP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Resultados esperados. (i) Mejoramiento de la mad</w:t>
      </w:r>
      <w:r w:rsidR="00474880">
        <w:rPr>
          <w:rFonts w:ascii="Arial" w:eastAsia="Times New Roman" w:hAnsi="Arial" w:cs="Arial"/>
          <w:bCs/>
          <w:noProof w:val="0"/>
          <w:lang w:val="es-ES_tradnl" w:eastAsia="es-ES"/>
        </w:rPr>
        <w:t>urez de la gestión fiscal; (ii) i</w:t>
      </w:r>
      <w:r w:rsidRPr="00756A16">
        <w:rPr>
          <w:rFonts w:ascii="Arial" w:eastAsia="Times New Roman" w:hAnsi="Arial" w:cs="Arial"/>
          <w:bCs/>
          <w:noProof w:val="0"/>
          <w:lang w:val="es-ES_tradnl" w:eastAsia="es-ES"/>
        </w:rPr>
        <w:t>ncremento de la relación Ingresos Propios/PI</w:t>
      </w:r>
      <w:r w:rsidR="00474880">
        <w:rPr>
          <w:rFonts w:ascii="Arial" w:eastAsia="Times New Roman" w:hAnsi="Arial" w:cs="Arial"/>
          <w:bCs/>
          <w:noProof w:val="0"/>
          <w:lang w:val="es-ES_tradnl" w:eastAsia="es-ES"/>
        </w:rPr>
        <w:t>B Estadual; y (iii) m</w:t>
      </w:r>
      <w:r w:rsidRPr="00756A16">
        <w:rPr>
          <w:rFonts w:ascii="Arial" w:eastAsia="Times New Roman" w:hAnsi="Arial" w:cs="Arial"/>
          <w:bCs/>
          <w:noProof w:val="0"/>
          <w:lang w:val="es-ES_tradnl" w:eastAsia="es-ES"/>
        </w:rPr>
        <w:t>ejoramiento del resultado primario.</w:t>
      </w:r>
    </w:p>
    <w:p w:rsidR="0096094D" w:rsidRPr="00756A16" w:rsidRDefault="0096094D" w:rsidP="00474880">
      <w:pPr>
        <w:pStyle w:val="Chapter"/>
        <w:keepNext/>
        <w:numPr>
          <w:ilvl w:val="0"/>
          <w:numId w:val="45"/>
        </w:numPr>
        <w:tabs>
          <w:tab w:val="clear" w:pos="1440"/>
          <w:tab w:val="clear" w:pos="1499"/>
        </w:tabs>
        <w:spacing w:before="240"/>
        <w:ind w:left="810" w:hanging="360"/>
        <w:jc w:val="left"/>
        <w:rPr>
          <w:rFonts w:ascii="Arial" w:eastAsiaTheme="minorEastAsia" w:hAnsi="Arial" w:cs="Arial"/>
          <w:sz w:val="22"/>
          <w:szCs w:val="22"/>
          <w:lang w:val="es-ES_tradnl"/>
        </w:rPr>
      </w:pPr>
      <w:r w:rsidRPr="00756A16">
        <w:rPr>
          <w:rFonts w:ascii="Arial" w:eastAsiaTheme="minorEastAsia" w:hAnsi="Arial" w:cs="Arial"/>
          <w:sz w:val="22"/>
          <w:szCs w:val="22"/>
          <w:lang w:val="es-ES_tradnl"/>
        </w:rPr>
        <w:t>El análisis económico ex-ante</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El análisis económico ex-ante se circunscribe a un análisis CC-B ya que no se pretende medir los impactos del programa en las variables macroeconómicas del estado como, por ejemplo, el mercado de trabajo, inclusive porque estos impactos serían marginales. Por ejemplo, en un análisis económico más amplio no se puede considerar un aumento de la recaudación de impuestos como beneficios, ya que representaría una pérdida para el contribuyente y el saldo sería nulo o inclusive negativo si fuera considerado el efecto “</w:t>
      </w:r>
      <w:proofErr w:type="spellStart"/>
      <w:r w:rsidRPr="00756A16">
        <w:rPr>
          <w:rFonts w:ascii="Arial" w:eastAsia="Times New Roman" w:hAnsi="Arial" w:cs="Arial"/>
          <w:bCs/>
          <w:noProof w:val="0"/>
          <w:lang w:val="es-ES_tradnl" w:eastAsia="es-ES"/>
        </w:rPr>
        <w:t>deadweight</w:t>
      </w:r>
      <w:proofErr w:type="spellEnd"/>
      <w:r w:rsidRPr="00756A16">
        <w:rPr>
          <w:rFonts w:ascii="Arial" w:eastAsia="Times New Roman" w:hAnsi="Arial" w:cs="Arial"/>
          <w:bCs/>
          <w:noProof w:val="0"/>
          <w:lang w:val="es-ES_tradnl" w:eastAsia="es-ES"/>
        </w:rPr>
        <w:t xml:space="preserve"> </w:t>
      </w:r>
      <w:proofErr w:type="spellStart"/>
      <w:r w:rsidRPr="00756A16">
        <w:rPr>
          <w:rFonts w:ascii="Arial" w:eastAsia="Times New Roman" w:hAnsi="Arial" w:cs="Arial"/>
          <w:bCs/>
          <w:noProof w:val="0"/>
          <w:lang w:val="es-ES_tradnl" w:eastAsia="es-ES"/>
        </w:rPr>
        <w:t>loss</w:t>
      </w:r>
      <w:proofErr w:type="spellEnd"/>
      <w:r w:rsidRPr="00756A16">
        <w:rPr>
          <w:rFonts w:ascii="Arial" w:eastAsia="Times New Roman" w:hAnsi="Arial" w:cs="Arial"/>
          <w:bCs/>
          <w:noProof w:val="0"/>
          <w:lang w:val="es-ES_tradnl" w:eastAsia="es-ES"/>
        </w:rPr>
        <w:t>”. De esta manera, se optó por elaborar un análisis C-B, estimando los costos y beneficios financieros ex-ante.</w:t>
      </w:r>
    </w:p>
    <w:p w:rsidR="0096094D" w:rsidRPr="00756A16" w:rsidRDefault="00301083"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bookmarkStart w:id="2" w:name="_Hlk493346421"/>
      <w:r w:rsidRPr="00756A16">
        <w:rPr>
          <w:rFonts w:ascii="Arial" w:eastAsia="Times New Roman" w:hAnsi="Arial" w:cs="Arial"/>
          <w:bCs/>
          <w:noProof w:val="0"/>
          <w:lang w:val="es-ES_tradnl" w:eastAsia="es-ES"/>
        </w:rPr>
        <w:t>Este análisis</w:t>
      </w:r>
      <w:r>
        <w:rPr>
          <w:rFonts w:ascii="Arial" w:eastAsia="Times New Roman" w:hAnsi="Arial" w:cs="Arial"/>
          <w:bCs/>
          <w:noProof w:val="0"/>
          <w:lang w:val="es-ES_tradnl" w:eastAsia="es-ES"/>
        </w:rPr>
        <w:t xml:space="preserve"> toma en cuenta</w:t>
      </w:r>
      <w:r w:rsidR="0096094D" w:rsidRPr="00756A16">
        <w:rPr>
          <w:rFonts w:ascii="Arial" w:eastAsia="Times New Roman" w:hAnsi="Arial" w:cs="Arial"/>
          <w:bCs/>
          <w:noProof w:val="0"/>
          <w:lang w:val="es-ES_tradnl" w:eastAsia="es-ES"/>
        </w:rPr>
        <w:t xml:space="preserve"> los costos y beneficios financieros para el gobierno del Estado de Ceará, así como las economías para el contribuyente, provenientes de la modernización de la gestión fiscal, cuyo resultado será un tiempo menor para el cumplimiento de las obligaciones tributarias. Además del aumento de la recaudación, también son consideradas algunas economías para el gobierno mediante la adopción de soluciones que automaticen procesos que </w:t>
      </w:r>
      <w:r w:rsidR="0096094D" w:rsidRPr="00756A16">
        <w:rPr>
          <w:rFonts w:ascii="Arial" w:eastAsia="Times New Roman" w:hAnsi="Arial" w:cs="Arial"/>
          <w:bCs/>
          <w:noProof w:val="0"/>
          <w:lang w:val="es-ES_tradnl" w:eastAsia="es-ES"/>
        </w:rPr>
        <w:lastRenderedPageBreak/>
        <w:t xml:space="preserve">son realizados manualmente e integren </w:t>
      </w:r>
      <w:r w:rsidRPr="00756A16">
        <w:rPr>
          <w:rFonts w:ascii="Arial" w:eastAsia="Times New Roman" w:hAnsi="Arial" w:cs="Arial"/>
          <w:bCs/>
          <w:noProof w:val="0"/>
          <w:lang w:val="es-ES_tradnl" w:eastAsia="es-ES"/>
        </w:rPr>
        <w:t>sistemas, eliminando</w:t>
      </w:r>
      <w:r w:rsidR="0096094D" w:rsidRPr="00756A16">
        <w:rPr>
          <w:rFonts w:ascii="Arial" w:eastAsia="Times New Roman" w:hAnsi="Arial" w:cs="Arial"/>
          <w:bCs/>
          <w:noProof w:val="0"/>
          <w:lang w:val="es-ES_tradnl" w:eastAsia="es-ES"/>
        </w:rPr>
        <w:t xml:space="preserve"> trabajos duplicados. </w:t>
      </w:r>
    </w:p>
    <w:bookmarkEnd w:id="2"/>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horizonte temporal es de diez años a partir del inicio de la ejecución del programa.  De esta manera, el análisis va del año 1 al año 10, que </w:t>
      </w:r>
      <w:r w:rsidR="00301083" w:rsidRPr="00756A16">
        <w:rPr>
          <w:rFonts w:ascii="Arial" w:eastAsia="Times New Roman" w:hAnsi="Arial" w:cs="Arial"/>
          <w:bCs/>
          <w:noProof w:val="0"/>
          <w:lang w:val="es-ES_tradnl" w:eastAsia="es-ES"/>
        </w:rPr>
        <w:t>correspondería, aproximadamente</w:t>
      </w:r>
      <w:r w:rsidRPr="00756A16">
        <w:rPr>
          <w:rFonts w:ascii="Arial" w:eastAsia="Times New Roman" w:hAnsi="Arial" w:cs="Arial"/>
          <w:bCs/>
          <w:noProof w:val="0"/>
          <w:lang w:val="es-ES_tradnl" w:eastAsia="es-ES"/>
        </w:rPr>
        <w:t>, a los años 2018 y 2027, respectivamente.</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Los costos incluidos son: </w:t>
      </w:r>
    </w:p>
    <w:p w:rsidR="0096094D" w:rsidRPr="00756A16" w:rsidRDefault="0096094D" w:rsidP="00474880">
      <w:pPr>
        <w:pStyle w:val="ListParagraph"/>
        <w:keepNext/>
        <w:numPr>
          <w:ilvl w:val="2"/>
          <w:numId w:val="46"/>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Costo de financiamiento del programa de US$ 70 millones desembolsados en cinco años;</w:t>
      </w:r>
    </w:p>
    <w:p w:rsidR="0096094D" w:rsidRPr="00756A16" w:rsidRDefault="0096094D" w:rsidP="00474880">
      <w:pPr>
        <w:pStyle w:val="ListParagraph"/>
        <w:keepNext/>
        <w:numPr>
          <w:ilvl w:val="2"/>
          <w:numId w:val="46"/>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Costo de contrapartida por el Estado de Ceará de un total de US$ 7 millones desembolsados en cinco años;</w:t>
      </w:r>
    </w:p>
    <w:p w:rsidR="0096094D" w:rsidRPr="00756A16" w:rsidRDefault="0096094D" w:rsidP="00474880">
      <w:pPr>
        <w:pStyle w:val="ListParagraph"/>
        <w:keepNext/>
        <w:numPr>
          <w:ilvl w:val="2"/>
          <w:numId w:val="46"/>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Costes financieros asociados al financiamiento del programa: tasa de crédito para valores no desembolsados e intereses para valores desembolsados; y</w:t>
      </w:r>
    </w:p>
    <w:p w:rsidR="0096094D" w:rsidRPr="00756A16" w:rsidRDefault="0096094D" w:rsidP="00474880">
      <w:pPr>
        <w:pStyle w:val="ListParagraph"/>
        <w:keepNext/>
        <w:numPr>
          <w:ilvl w:val="2"/>
          <w:numId w:val="46"/>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Costo de mantenimiento de sistemas después de implantados y durante todo el período de la evaluación.</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Los beneficios están distribuidos en tres áreas específicas:</w:t>
      </w:r>
    </w:p>
    <w:p w:rsidR="0096094D" w:rsidRPr="00756A16" w:rsidRDefault="0096094D" w:rsidP="00474880">
      <w:pPr>
        <w:pStyle w:val="ListParagraph"/>
        <w:keepNext/>
        <w:numPr>
          <w:ilvl w:val="2"/>
          <w:numId w:val="45"/>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Aumento de recaudación tributaria;</w:t>
      </w:r>
    </w:p>
    <w:p w:rsidR="0096094D" w:rsidRPr="00756A16" w:rsidRDefault="0096094D" w:rsidP="00474880">
      <w:pPr>
        <w:pStyle w:val="ListParagraph"/>
        <w:keepNext/>
        <w:numPr>
          <w:ilvl w:val="2"/>
          <w:numId w:val="45"/>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Reducción de costos (tiempo) para que el contribuyente cumpla sus obligaciones tributarias;</w:t>
      </w:r>
    </w:p>
    <w:p w:rsidR="0096094D" w:rsidRPr="00756A16" w:rsidRDefault="0096094D" w:rsidP="00474880">
      <w:pPr>
        <w:pStyle w:val="ListParagraph"/>
        <w:keepNext/>
        <w:numPr>
          <w:ilvl w:val="2"/>
          <w:numId w:val="45"/>
        </w:numPr>
        <w:tabs>
          <w:tab w:val="clear" w:pos="2003"/>
        </w:tabs>
        <w:suppressAutoHyphens/>
        <w:spacing w:before="120" w:after="0" w:line="240" w:lineRule="auto"/>
        <w:ind w:left="153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Reducción de costos para el gobierno de Ceará en su gestión fiscal.</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Los costos, excepto los costos de mantenimiento fueron calculados en dólares. Los costos de mantenimiento y los beneficios fueron calculados en Reales y transformados en dólares utilizándose una tasa de cambio de R$3,3 = US$1</w:t>
      </w:r>
      <w:r w:rsidRPr="00756A16">
        <w:rPr>
          <w:rFonts w:ascii="Arial" w:eastAsia="Times New Roman" w:hAnsi="Arial" w:cs="Arial"/>
          <w:bCs/>
          <w:noProof w:val="0"/>
          <w:vertAlign w:val="superscript"/>
          <w:lang w:val="es-ES_tradnl" w:eastAsia="es-ES"/>
        </w:rPr>
        <w:footnoteReference w:id="6"/>
      </w:r>
      <w:r w:rsidRPr="00756A16">
        <w:rPr>
          <w:rFonts w:ascii="Arial" w:eastAsia="Times New Roman" w:hAnsi="Arial" w:cs="Arial"/>
          <w:bCs/>
          <w:noProof w:val="0"/>
          <w:vertAlign w:val="superscript"/>
          <w:lang w:val="es-ES_tradnl" w:eastAsia="es-ES"/>
        </w:rPr>
        <w:t xml:space="preserve"> </w:t>
      </w:r>
      <w:r w:rsidRPr="00756A16">
        <w:rPr>
          <w:rFonts w:ascii="Arial" w:eastAsia="Times New Roman" w:hAnsi="Arial" w:cs="Arial"/>
          <w:bCs/>
          <w:noProof w:val="0"/>
          <w:lang w:val="es-ES_tradnl" w:eastAsia="es-ES"/>
        </w:rPr>
        <w:t>.</w:t>
      </w:r>
    </w:p>
    <w:p w:rsidR="0096094D" w:rsidRPr="00756A16" w:rsidRDefault="0096094D" w:rsidP="0096094D">
      <w:pPr>
        <w:keepNext/>
        <w:suppressAutoHyphens/>
        <w:spacing w:before="120" w:after="0" w:line="240" w:lineRule="auto"/>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 </w:t>
      </w:r>
    </w:p>
    <w:p w:rsidR="0096094D" w:rsidRPr="00756A16" w:rsidRDefault="0096094D" w:rsidP="00474880">
      <w:pPr>
        <w:ind w:left="810" w:hanging="360"/>
        <w:rPr>
          <w:rFonts w:ascii="Arial" w:eastAsiaTheme="minorEastAsia" w:hAnsi="Arial" w:cs="Arial"/>
          <w:b/>
          <w:noProof w:val="0"/>
          <w:lang w:val="es-ES_tradnl"/>
        </w:rPr>
      </w:pPr>
      <w:r w:rsidRPr="00756A16">
        <w:rPr>
          <w:rFonts w:ascii="Arial" w:eastAsiaTheme="minorEastAsia" w:hAnsi="Arial" w:cs="Arial"/>
          <w:b/>
          <w:noProof w:val="0"/>
          <w:lang w:val="es-ES_tradnl"/>
        </w:rPr>
        <w:t xml:space="preserve">A. </w:t>
      </w:r>
      <w:r w:rsidR="00474880">
        <w:rPr>
          <w:rFonts w:ascii="Arial" w:eastAsiaTheme="minorEastAsia" w:hAnsi="Arial" w:cs="Arial"/>
          <w:b/>
          <w:noProof w:val="0"/>
          <w:lang w:val="es-ES_tradnl"/>
        </w:rPr>
        <w:tab/>
      </w:r>
      <w:r w:rsidRPr="00756A16">
        <w:rPr>
          <w:rFonts w:ascii="Arial" w:eastAsiaTheme="minorEastAsia" w:hAnsi="Arial" w:cs="Arial"/>
          <w:b/>
          <w:noProof w:val="0"/>
          <w:lang w:val="es-ES_tradnl"/>
        </w:rPr>
        <w:t>Costos</w:t>
      </w:r>
    </w:p>
    <w:p w:rsidR="0096094D"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Los </w:t>
      </w:r>
      <w:r w:rsidR="00301083" w:rsidRPr="00756A16">
        <w:rPr>
          <w:rFonts w:ascii="Arial" w:eastAsia="Times New Roman" w:hAnsi="Arial" w:cs="Arial"/>
          <w:bCs/>
          <w:noProof w:val="0"/>
          <w:lang w:val="es-ES_tradnl" w:eastAsia="es-ES"/>
        </w:rPr>
        <w:t>costos asociados</w:t>
      </w:r>
      <w:r w:rsidRPr="00756A16">
        <w:rPr>
          <w:rFonts w:ascii="Arial" w:eastAsia="Times New Roman" w:hAnsi="Arial" w:cs="Arial"/>
          <w:bCs/>
          <w:noProof w:val="0"/>
          <w:lang w:val="es-ES_tradnl" w:eastAsia="es-ES"/>
        </w:rPr>
        <w:t xml:space="preserve"> con el programa fueron calculados de la siguiente forma:</w:t>
      </w:r>
    </w:p>
    <w:p w:rsidR="00474880" w:rsidRPr="00756A16" w:rsidRDefault="00474880" w:rsidP="00474880">
      <w:pPr>
        <w:pStyle w:val="ListParagraph"/>
        <w:keepNext/>
        <w:tabs>
          <w:tab w:val="num" w:pos="1499"/>
        </w:tabs>
        <w:suppressAutoHyphens/>
        <w:spacing w:before="120" w:after="0" w:line="240" w:lineRule="auto"/>
        <w:ind w:left="851"/>
        <w:jc w:val="both"/>
        <w:outlineLvl w:val="3"/>
        <w:rPr>
          <w:rFonts w:ascii="Arial" w:eastAsia="Times New Roman" w:hAnsi="Arial" w:cs="Arial"/>
          <w:bCs/>
          <w:noProof w:val="0"/>
          <w:lang w:val="es-ES_tradnl" w:eastAsia="es-ES"/>
        </w:rPr>
      </w:pPr>
    </w:p>
    <w:p w:rsidR="0096094D" w:rsidRPr="00756A16" w:rsidRDefault="0096094D" w:rsidP="00474880">
      <w:pPr>
        <w:pStyle w:val="ListParagraph"/>
        <w:keepNext/>
        <w:numPr>
          <w:ilvl w:val="2"/>
          <w:numId w:val="45"/>
        </w:numPr>
        <w:tabs>
          <w:tab w:val="clear" w:pos="2003"/>
        </w:tabs>
        <w:suppressAutoHyphens/>
        <w:spacing w:before="120" w:after="0" w:line="240" w:lineRule="auto"/>
        <w:ind w:left="144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Los costos de financiamiento están asignados segundo las previsiones de desembolso del Plan de Acción y de Inversión (PAI) del programa.</w:t>
      </w:r>
    </w:p>
    <w:p w:rsidR="0096094D" w:rsidRPr="00756A16" w:rsidRDefault="0096094D" w:rsidP="00474880">
      <w:pPr>
        <w:pStyle w:val="ListParagraph"/>
        <w:keepNext/>
        <w:numPr>
          <w:ilvl w:val="2"/>
          <w:numId w:val="45"/>
        </w:numPr>
        <w:tabs>
          <w:tab w:val="clear" w:pos="2003"/>
        </w:tabs>
        <w:suppressAutoHyphens/>
        <w:spacing w:before="120" w:after="0" w:line="240" w:lineRule="auto"/>
        <w:ind w:left="144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Los costos de contrapartida también están asignados segundo las previsiones de desembolso del PAI.</w:t>
      </w:r>
    </w:p>
    <w:p w:rsidR="0096094D" w:rsidRPr="00756A16" w:rsidRDefault="0096094D" w:rsidP="00474880">
      <w:pPr>
        <w:pStyle w:val="ListParagraph"/>
        <w:keepNext/>
        <w:numPr>
          <w:ilvl w:val="2"/>
          <w:numId w:val="45"/>
        </w:numPr>
        <w:tabs>
          <w:tab w:val="clear" w:pos="2003"/>
        </w:tabs>
        <w:suppressAutoHyphens/>
        <w:spacing w:before="120" w:after="0" w:line="240" w:lineRule="auto"/>
        <w:ind w:left="144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 Los costos financieros están divididos entre intereses y tasa de crédito. La tasa de interés aplicada es la establecida por el BID para el tercer trimestre de 2017 para préstamos con el Capital Ordinario del 2,25% (tasa libor/3 </w:t>
      </w:r>
      <w:r w:rsidR="00301083" w:rsidRPr="00756A16">
        <w:rPr>
          <w:rFonts w:ascii="Arial" w:eastAsia="Times New Roman" w:hAnsi="Arial" w:cs="Arial"/>
          <w:bCs/>
          <w:noProof w:val="0"/>
          <w:lang w:val="es-ES_tradnl" w:eastAsia="es-ES"/>
        </w:rPr>
        <w:t>meses 1</w:t>
      </w:r>
      <w:r w:rsidRPr="00756A16">
        <w:rPr>
          <w:rFonts w:ascii="Arial" w:eastAsia="Times New Roman" w:hAnsi="Arial" w:cs="Arial"/>
          <w:bCs/>
          <w:noProof w:val="0"/>
          <w:lang w:val="es-ES_tradnl" w:eastAsia="es-ES"/>
        </w:rPr>
        <w:t xml:space="preserve">,30%)+ margen de </w:t>
      </w:r>
      <w:proofErr w:type="gramStart"/>
      <w:r w:rsidRPr="00756A16">
        <w:rPr>
          <w:rFonts w:ascii="Arial" w:eastAsia="Times New Roman" w:hAnsi="Arial" w:cs="Arial"/>
          <w:bCs/>
          <w:noProof w:val="0"/>
          <w:lang w:val="es-ES_tradnl" w:eastAsia="es-ES"/>
        </w:rPr>
        <w:t>captación(</w:t>
      </w:r>
      <w:proofErr w:type="gramEnd"/>
      <w:r w:rsidRPr="00756A16">
        <w:rPr>
          <w:rFonts w:ascii="Arial" w:eastAsia="Times New Roman" w:hAnsi="Arial" w:cs="Arial"/>
          <w:bCs/>
          <w:noProof w:val="0"/>
          <w:lang w:val="es-ES_tradnl" w:eastAsia="es-ES"/>
        </w:rPr>
        <w:t>0,10%) + spread del BID (0,85%). La tasa de crédito usada es la establecida por el BID para el segundo semestre de 2017 del 0,5% sobre el total no desembolsado. Se asume una financiación de 25 años con un plazo de gracia de 5 años. De esta manera los intereses son calculados sobre los valores desembolsados y a partir del sexto año es calculado sobre el valor total desembolsado menos la amortización (5% del valor del financiamiento anual). Por ejemplo, en el sexto año se aplica la tasa de interés sobre US$ 70 millones menos US$3,5 millones de amortización. En el segundo año, el valor pasa a US$70 millones menos US$ 7 millones y así por delante.</w:t>
      </w:r>
    </w:p>
    <w:p w:rsidR="0096094D" w:rsidRPr="00756A16" w:rsidRDefault="0096094D" w:rsidP="00474880">
      <w:pPr>
        <w:pStyle w:val="ListParagraph"/>
        <w:keepNext/>
        <w:numPr>
          <w:ilvl w:val="2"/>
          <w:numId w:val="45"/>
        </w:numPr>
        <w:tabs>
          <w:tab w:val="clear" w:pos="2003"/>
        </w:tabs>
        <w:suppressAutoHyphens/>
        <w:spacing w:before="120" w:after="0" w:line="240" w:lineRule="auto"/>
        <w:ind w:left="144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Los costos de mantenimiento fueron calculados de la siguiente forma:</w:t>
      </w:r>
    </w:p>
    <w:p w:rsidR="0096094D" w:rsidRPr="00756A16" w:rsidRDefault="0096094D" w:rsidP="00474880">
      <w:pPr>
        <w:pStyle w:val="ListParagraph"/>
        <w:keepNext/>
        <w:numPr>
          <w:ilvl w:val="3"/>
          <w:numId w:val="45"/>
        </w:numPr>
        <w:tabs>
          <w:tab w:val="clear" w:pos="2435"/>
        </w:tabs>
        <w:suppressAutoHyphens/>
        <w:spacing w:before="120" w:after="0" w:line="240" w:lineRule="auto"/>
        <w:ind w:left="225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Costes de mantenimiento inciden sobre las inversiones en bienes (24% del programa = US$ 18 millones) y sobre contratos de </w:t>
      </w:r>
      <w:r w:rsidRPr="00756A16">
        <w:rPr>
          <w:rFonts w:ascii="Arial" w:eastAsia="Times New Roman" w:hAnsi="Arial" w:cs="Arial"/>
          <w:bCs/>
          <w:noProof w:val="0"/>
          <w:lang w:val="es-ES_tradnl" w:eastAsia="es-ES"/>
        </w:rPr>
        <w:lastRenderedPageBreak/>
        <w:t>consultoría para desarrollo de sistemas (el 58% del programa = US$ 43,8 millones).</w:t>
      </w:r>
    </w:p>
    <w:p w:rsidR="0096094D" w:rsidRPr="00756A16" w:rsidRDefault="0096094D" w:rsidP="00474880">
      <w:pPr>
        <w:pStyle w:val="ListParagraph"/>
        <w:keepNext/>
        <w:numPr>
          <w:ilvl w:val="3"/>
          <w:numId w:val="45"/>
        </w:numPr>
        <w:tabs>
          <w:tab w:val="clear" w:pos="2435"/>
        </w:tabs>
        <w:suppressAutoHyphens/>
        <w:spacing w:before="120" w:after="0" w:line="240" w:lineRule="auto"/>
        <w:ind w:left="225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La asignación anual de las inversiones en estas categorías de costo es hecha siguiendo los porcentajes de desembolso para el programa en su conjunto.</w:t>
      </w:r>
    </w:p>
    <w:p w:rsidR="0096094D" w:rsidRPr="00756A16" w:rsidRDefault="0096094D" w:rsidP="00474880">
      <w:pPr>
        <w:pStyle w:val="ListParagraph"/>
        <w:keepNext/>
        <w:numPr>
          <w:ilvl w:val="3"/>
          <w:numId w:val="45"/>
        </w:numPr>
        <w:tabs>
          <w:tab w:val="clear" w:pos="2435"/>
        </w:tabs>
        <w:suppressAutoHyphens/>
        <w:spacing w:before="120" w:after="0" w:line="240" w:lineRule="auto"/>
        <w:ind w:left="225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La mayor parte de las adquisiciones de bienes se refiere a vehículos, balanzas para puestos fiscales, mobiliario y, en menor parte, equipamientos de Tecnología de Información (TI). En general, se estima en 10 años la depreciación de la mayor parte de bienes. Sin embargo, equipamientos de TI se vuelven obsoletos en menos tiempo. Se adoptó el plazo de 7 años como promedio para depreciación de los valores asignados para adquisición de bienes.</w:t>
      </w:r>
    </w:p>
    <w:p w:rsidR="0096094D" w:rsidRPr="00756A16" w:rsidRDefault="0096094D" w:rsidP="00474880">
      <w:pPr>
        <w:pStyle w:val="ListParagraph"/>
        <w:keepNext/>
        <w:numPr>
          <w:ilvl w:val="3"/>
          <w:numId w:val="45"/>
        </w:numPr>
        <w:tabs>
          <w:tab w:val="clear" w:pos="2435"/>
        </w:tabs>
        <w:suppressAutoHyphens/>
        <w:spacing w:before="120" w:after="0" w:line="240" w:lineRule="auto"/>
        <w:ind w:left="225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Para los servicios de consultoría para desarrollo de sistemas, se adoptó una tasa de mantenimiento del 10% anual, lo que equivale en diez años al valor gastado en el desarrollo de los mismos. En otras palabras, sería como substituir al sistema en un plazo de diez años.</w:t>
      </w:r>
    </w:p>
    <w:p w:rsidR="0096094D" w:rsidRPr="00756A16" w:rsidRDefault="0096094D" w:rsidP="00474880">
      <w:pPr>
        <w:pStyle w:val="ListParagraph"/>
        <w:keepNext/>
        <w:numPr>
          <w:ilvl w:val="3"/>
          <w:numId w:val="45"/>
        </w:numPr>
        <w:tabs>
          <w:tab w:val="clear" w:pos="2435"/>
        </w:tabs>
        <w:suppressAutoHyphens/>
        <w:spacing w:before="120" w:after="0" w:line="240" w:lineRule="auto"/>
        <w:ind w:left="225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Los gastos de mantenimiento se inician en el año siguiente de las inversiones. La Tabla 2, </w:t>
      </w:r>
      <w:r w:rsidR="00301083">
        <w:rPr>
          <w:rFonts w:ascii="Arial" w:eastAsia="Times New Roman" w:hAnsi="Arial" w:cs="Arial"/>
          <w:bCs/>
          <w:noProof w:val="0"/>
          <w:lang w:val="es-ES_tradnl" w:eastAsia="es-ES"/>
        </w:rPr>
        <w:t xml:space="preserve">presentada </w:t>
      </w:r>
      <w:r w:rsidRPr="00756A16">
        <w:rPr>
          <w:rFonts w:ascii="Arial" w:eastAsia="Times New Roman" w:hAnsi="Arial" w:cs="Arial"/>
          <w:bCs/>
          <w:noProof w:val="0"/>
          <w:lang w:val="es-ES_tradnl" w:eastAsia="es-ES"/>
        </w:rPr>
        <w:t xml:space="preserve">a continuación, muestra la distribución de los valores de mantenimiento expresados en R$ 1.000. </w:t>
      </w:r>
    </w:p>
    <w:tbl>
      <w:tblPr>
        <w:tblpPr w:leftFromText="180" w:rightFromText="180" w:vertAnchor="text" w:horzAnchor="margin" w:tblpY="36"/>
        <w:tblW w:w="8499" w:type="dxa"/>
        <w:tblLook w:val="04A0" w:firstRow="1" w:lastRow="0" w:firstColumn="1" w:lastColumn="0" w:noHBand="0" w:noVBand="1"/>
      </w:tblPr>
      <w:tblGrid>
        <w:gridCol w:w="2000"/>
        <w:gridCol w:w="598"/>
        <w:gridCol w:w="598"/>
        <w:gridCol w:w="598"/>
        <w:gridCol w:w="521"/>
        <w:gridCol w:w="521"/>
        <w:gridCol w:w="521"/>
        <w:gridCol w:w="521"/>
        <w:gridCol w:w="521"/>
        <w:gridCol w:w="521"/>
        <w:gridCol w:w="521"/>
        <w:gridCol w:w="602"/>
        <w:gridCol w:w="597"/>
      </w:tblGrid>
      <w:tr w:rsidR="0096094D" w:rsidRPr="00756A16" w:rsidTr="00E214C9">
        <w:trPr>
          <w:trHeight w:val="300"/>
        </w:trPr>
        <w:tc>
          <w:tcPr>
            <w:tcW w:w="7899" w:type="dxa"/>
            <w:gridSpan w:val="12"/>
            <w:tcBorders>
              <w:top w:val="nil"/>
              <w:left w:val="nil"/>
              <w:bottom w:val="nil"/>
              <w:right w:val="nil"/>
            </w:tcBorders>
            <w:shd w:val="clear" w:color="auto" w:fill="auto"/>
            <w:noWrap/>
            <w:vAlign w:val="bottom"/>
            <w:hideMark/>
          </w:tcPr>
          <w:p w:rsidR="0096094D" w:rsidRPr="00756A16" w:rsidRDefault="0096094D" w:rsidP="00474880">
            <w:pPr>
              <w:spacing w:after="0" w:line="240" w:lineRule="auto"/>
              <w:jc w:val="center"/>
              <w:rPr>
                <w:rFonts w:ascii="Arial" w:eastAsia="Times New Roman" w:hAnsi="Arial" w:cs="Arial"/>
                <w:b/>
                <w:bCs/>
                <w:noProof w:val="0"/>
                <w:color w:val="000000"/>
                <w:sz w:val="20"/>
                <w:szCs w:val="20"/>
                <w:lang w:val="es-ES_tradnl"/>
              </w:rPr>
            </w:pPr>
            <w:r w:rsidRPr="00756A16">
              <w:rPr>
                <w:rFonts w:ascii="Arial" w:eastAsia="Times New Roman" w:hAnsi="Arial" w:cs="Arial"/>
                <w:b/>
                <w:bCs/>
                <w:noProof w:val="0"/>
                <w:color w:val="000000"/>
                <w:sz w:val="20"/>
                <w:szCs w:val="20"/>
                <w:lang w:val="es-ES_tradnl"/>
              </w:rPr>
              <w:t>Cuadro 3. Cálculo de los Costos de Mantenimiento en R$ 1.000</w:t>
            </w:r>
          </w:p>
        </w:tc>
        <w:tc>
          <w:tcPr>
            <w:tcW w:w="60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lang w:val="es-ES_tradnl"/>
              </w:rPr>
            </w:pPr>
          </w:p>
        </w:tc>
      </w:tr>
      <w:tr w:rsidR="0096094D" w:rsidRPr="00756A16" w:rsidTr="00960546">
        <w:trPr>
          <w:trHeight w:val="300"/>
        </w:trPr>
        <w:tc>
          <w:tcPr>
            <w:tcW w:w="2039" w:type="dxa"/>
            <w:tcBorders>
              <w:top w:val="single" w:sz="4" w:space="0" w:color="auto"/>
              <w:left w:val="single" w:sz="4" w:space="0" w:color="auto"/>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 </w:t>
            </w:r>
          </w:p>
        </w:tc>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Total</w:t>
            </w:r>
          </w:p>
        </w:tc>
        <w:tc>
          <w:tcPr>
            <w:tcW w:w="564"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1</w:t>
            </w:r>
          </w:p>
        </w:tc>
        <w:tc>
          <w:tcPr>
            <w:tcW w:w="564"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2</w:t>
            </w:r>
          </w:p>
        </w:tc>
        <w:tc>
          <w:tcPr>
            <w:tcW w:w="508"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3</w:t>
            </w:r>
          </w:p>
        </w:tc>
        <w:tc>
          <w:tcPr>
            <w:tcW w:w="508"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4</w:t>
            </w:r>
          </w:p>
        </w:tc>
        <w:tc>
          <w:tcPr>
            <w:tcW w:w="508"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5</w:t>
            </w:r>
          </w:p>
        </w:tc>
        <w:tc>
          <w:tcPr>
            <w:tcW w:w="508"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6</w:t>
            </w:r>
          </w:p>
        </w:tc>
        <w:tc>
          <w:tcPr>
            <w:tcW w:w="508"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7</w:t>
            </w:r>
          </w:p>
        </w:tc>
        <w:tc>
          <w:tcPr>
            <w:tcW w:w="508"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8</w:t>
            </w:r>
          </w:p>
        </w:tc>
        <w:tc>
          <w:tcPr>
            <w:tcW w:w="508"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9</w:t>
            </w:r>
          </w:p>
        </w:tc>
        <w:tc>
          <w:tcPr>
            <w:tcW w:w="611"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i/>
                <w:noProof w:val="0"/>
                <w:color w:val="000000"/>
                <w:sz w:val="14"/>
                <w:szCs w:val="14"/>
                <w:lang w:val="es-ES_tradnl"/>
              </w:rPr>
            </w:pPr>
            <w:r w:rsidRPr="00960546">
              <w:rPr>
                <w:rFonts w:ascii="Arial" w:eastAsia="Times New Roman" w:hAnsi="Arial" w:cs="Arial"/>
                <w:b/>
                <w:i/>
                <w:noProof w:val="0"/>
                <w:color w:val="000000"/>
                <w:sz w:val="14"/>
                <w:szCs w:val="14"/>
                <w:lang w:val="es-ES_tradnl"/>
              </w:rPr>
              <w:t>año 10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bCs/>
                <w:i/>
                <w:noProof w:val="0"/>
                <w:color w:val="000000"/>
                <w:sz w:val="14"/>
                <w:szCs w:val="14"/>
                <w:lang w:val="es-ES_tradnl"/>
              </w:rPr>
            </w:pPr>
            <w:r w:rsidRPr="00960546">
              <w:rPr>
                <w:rFonts w:ascii="Arial" w:eastAsia="Times New Roman" w:hAnsi="Arial" w:cs="Arial"/>
                <w:b/>
                <w:bCs/>
                <w:i/>
                <w:noProof w:val="0"/>
                <w:color w:val="000000"/>
                <w:sz w:val="14"/>
                <w:szCs w:val="14"/>
                <w:lang w:val="es-ES_tradnl"/>
              </w:rPr>
              <w:t>Total</w:t>
            </w:r>
          </w:p>
        </w:tc>
      </w:tr>
      <w:tr w:rsidR="0096094D" w:rsidRPr="00756A16" w:rsidTr="00E214C9">
        <w:trPr>
          <w:trHeight w:val="300"/>
        </w:trPr>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Gastos en bienes</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18000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5580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6120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3780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1260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1260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18000</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Gastos en consultoría</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43840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14906</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9206</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3069</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3069</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43840</w:t>
            </w:r>
          </w:p>
        </w:tc>
      </w:tr>
      <w:tr w:rsidR="0096094D" w:rsidRPr="00756A16" w:rsidTr="00E214C9">
        <w:trPr>
          <w:trHeight w:val="300"/>
        </w:trPr>
        <w:tc>
          <w:tcPr>
            <w:tcW w:w="8499"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6094D" w:rsidRPr="00756A16" w:rsidRDefault="0096094D" w:rsidP="00E214C9">
            <w:pPr>
              <w:spacing w:after="0" w:line="240" w:lineRule="auto"/>
              <w:jc w:val="center"/>
              <w:rPr>
                <w:rFonts w:ascii="Arial" w:eastAsia="Times New Roman" w:hAnsi="Arial" w:cs="Arial"/>
                <w:b/>
                <w:bCs/>
                <w:i/>
                <w:noProof w:val="0"/>
                <w:color w:val="000000"/>
                <w:sz w:val="20"/>
                <w:szCs w:val="20"/>
                <w:lang w:val="es-ES_tradnl"/>
              </w:rPr>
            </w:pPr>
            <w:r w:rsidRPr="00756A16">
              <w:rPr>
                <w:rFonts w:ascii="Arial" w:eastAsia="Times New Roman" w:hAnsi="Arial" w:cs="Arial"/>
                <w:b/>
                <w:bCs/>
                <w:i/>
                <w:noProof w:val="0"/>
                <w:color w:val="000000"/>
                <w:sz w:val="20"/>
                <w:szCs w:val="20"/>
                <w:lang w:val="es-ES_tradnl"/>
              </w:rPr>
              <w:t>Gastos mantenimiento</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Bienes adquiridos año en el año 1</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5580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698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698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698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698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698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698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698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698</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5580</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Bienes adquiridos año en el año 2</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6120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765</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765</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765</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765</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765</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765</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765</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765</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6120</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Bienes adquiridos año en el año 3</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3308</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473</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473</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473</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473</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473</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473</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473</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3308</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Bienes adquiridos año en el año 4</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945</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945</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Bienes adquiridos año en el año 5</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788</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158</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788</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301083"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Consultoría</w:t>
            </w:r>
            <w:r>
              <w:rPr>
                <w:rFonts w:ascii="Arial" w:eastAsia="Times New Roman" w:hAnsi="Arial" w:cs="Arial"/>
                <w:i/>
                <w:noProof w:val="0"/>
                <w:color w:val="000000"/>
                <w:sz w:val="14"/>
                <w:szCs w:val="14"/>
                <w:lang w:val="es-ES_tradnl"/>
              </w:rPr>
              <w:t>s</w:t>
            </w:r>
            <w:r w:rsidRPr="00756A16">
              <w:rPr>
                <w:rFonts w:ascii="Arial" w:eastAsia="Times New Roman" w:hAnsi="Arial" w:cs="Arial"/>
                <w:i/>
                <w:noProof w:val="0"/>
                <w:color w:val="000000"/>
                <w:sz w:val="14"/>
                <w:szCs w:val="14"/>
                <w:lang w:val="es-ES_tradnl"/>
              </w:rPr>
              <w:t xml:space="preserve"> pagada</w:t>
            </w:r>
            <w:r>
              <w:rPr>
                <w:rFonts w:ascii="Arial" w:eastAsia="Times New Roman" w:hAnsi="Arial" w:cs="Arial"/>
                <w:i/>
                <w:noProof w:val="0"/>
                <w:color w:val="000000"/>
                <w:sz w:val="14"/>
                <w:szCs w:val="14"/>
                <w:lang w:val="es-ES_tradnl"/>
              </w:rPr>
              <w:t>s</w:t>
            </w:r>
            <w:r w:rsidR="0096094D" w:rsidRPr="00756A16">
              <w:rPr>
                <w:rFonts w:ascii="Arial" w:eastAsia="Times New Roman" w:hAnsi="Arial" w:cs="Arial"/>
                <w:i/>
                <w:noProof w:val="0"/>
                <w:color w:val="000000"/>
                <w:sz w:val="14"/>
                <w:szCs w:val="14"/>
                <w:lang w:val="es-ES_tradnl"/>
              </w:rPr>
              <w:t xml:space="preserve"> en el año 1</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12231</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1359</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12231</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301083"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Consultorías pagadas</w:t>
            </w:r>
            <w:r w:rsidR="0096094D" w:rsidRPr="00756A16">
              <w:rPr>
                <w:rFonts w:ascii="Arial" w:eastAsia="Times New Roman" w:hAnsi="Arial" w:cs="Arial"/>
                <w:i/>
                <w:noProof w:val="0"/>
                <w:color w:val="000000"/>
                <w:sz w:val="14"/>
                <w:szCs w:val="14"/>
                <w:lang w:val="es-ES_tradnl"/>
              </w:rPr>
              <w:t xml:space="preserve"> en el año 2</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11924</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1491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1491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1491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1491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1491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1491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1491</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1491</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11924</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Consultorías pagadas en el año 3</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6444</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921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921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921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921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921</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921</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921</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6444</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Consultorías pagadas en el año 4</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1841</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1841</w:t>
            </w:r>
          </w:p>
        </w:tc>
      </w:tr>
      <w:tr w:rsidR="0096094D" w:rsidRPr="00756A16" w:rsidTr="00E214C9">
        <w:trPr>
          <w:trHeight w:val="300"/>
        </w:trPr>
        <w:tc>
          <w:tcPr>
            <w:tcW w:w="2039"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Consultorías pagadas en el año 5</w:t>
            </w:r>
          </w:p>
        </w:tc>
        <w:tc>
          <w:tcPr>
            <w:tcW w:w="56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1534</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5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61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307</w:t>
            </w:r>
          </w:p>
        </w:tc>
        <w:tc>
          <w:tcPr>
            <w:tcW w:w="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1534</w:t>
            </w:r>
          </w:p>
        </w:tc>
      </w:tr>
      <w:tr w:rsidR="0096094D" w:rsidRPr="00756A16" w:rsidTr="00E214C9">
        <w:trPr>
          <w:trHeight w:val="300"/>
        </w:trPr>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b/>
                <w:bCs/>
                <w:i/>
                <w:noProof w:val="0"/>
                <w:color w:val="000000"/>
                <w:sz w:val="14"/>
                <w:szCs w:val="14"/>
                <w:lang w:val="es-ES_tradnl"/>
              </w:rPr>
            </w:pPr>
            <w:r w:rsidRPr="00756A16">
              <w:rPr>
                <w:rFonts w:ascii="Arial" w:eastAsia="Times New Roman" w:hAnsi="Arial" w:cs="Arial"/>
                <w:b/>
                <w:bCs/>
                <w:i/>
                <w:noProof w:val="0"/>
                <w:color w:val="000000"/>
                <w:sz w:val="14"/>
                <w:szCs w:val="14"/>
                <w:lang w:val="es-ES_tradnl"/>
              </w:rPr>
              <w:t>Total</w:t>
            </w:r>
          </w:p>
        </w:tc>
        <w:tc>
          <w:tcPr>
            <w:tcW w:w="565"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50716</w:t>
            </w:r>
          </w:p>
        </w:tc>
        <w:tc>
          <w:tcPr>
            <w:tcW w:w="564"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0</w:t>
            </w:r>
          </w:p>
        </w:tc>
        <w:tc>
          <w:tcPr>
            <w:tcW w:w="564"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2057</w:t>
            </w:r>
          </w:p>
        </w:tc>
        <w:tc>
          <w:tcPr>
            <w:tcW w:w="5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4312</w:t>
            </w:r>
          </w:p>
        </w:tc>
        <w:tc>
          <w:tcPr>
            <w:tcW w:w="5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5705</w:t>
            </w:r>
          </w:p>
        </w:tc>
        <w:tc>
          <w:tcPr>
            <w:tcW w:w="5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6170</w:t>
            </w:r>
          </w:p>
        </w:tc>
        <w:tc>
          <w:tcPr>
            <w:tcW w:w="5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6634</w:t>
            </w:r>
          </w:p>
        </w:tc>
        <w:tc>
          <w:tcPr>
            <w:tcW w:w="5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6634</w:t>
            </w:r>
          </w:p>
        </w:tc>
        <w:tc>
          <w:tcPr>
            <w:tcW w:w="5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6634</w:t>
            </w:r>
          </w:p>
        </w:tc>
        <w:tc>
          <w:tcPr>
            <w:tcW w:w="5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6634</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5937</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i/>
                <w:noProof w:val="0"/>
                <w:color w:val="000000"/>
                <w:sz w:val="14"/>
                <w:szCs w:val="14"/>
                <w:lang w:val="es-ES_tradnl"/>
              </w:rPr>
            </w:pPr>
            <w:r w:rsidRPr="00756A16">
              <w:rPr>
                <w:rFonts w:ascii="Arial" w:eastAsia="Times New Roman" w:hAnsi="Arial" w:cs="Arial"/>
                <w:i/>
                <w:noProof w:val="0"/>
                <w:color w:val="000000"/>
                <w:sz w:val="14"/>
                <w:szCs w:val="14"/>
                <w:lang w:val="es-ES_tradnl"/>
              </w:rPr>
              <w:t>50716</w:t>
            </w:r>
          </w:p>
        </w:tc>
      </w:tr>
    </w:tbl>
    <w:p w:rsidR="0096094D" w:rsidRPr="00756A16" w:rsidRDefault="0096094D" w:rsidP="0096094D">
      <w:pPr>
        <w:keepNext/>
        <w:suppressAutoHyphens/>
        <w:spacing w:before="120" w:after="0" w:line="240" w:lineRule="auto"/>
        <w:jc w:val="both"/>
        <w:outlineLvl w:val="3"/>
        <w:rPr>
          <w:rFonts w:ascii="Arial" w:eastAsia="Times New Roman" w:hAnsi="Arial" w:cs="Arial"/>
          <w:bCs/>
          <w:noProof w:val="0"/>
          <w:sz w:val="24"/>
          <w:szCs w:val="24"/>
          <w:lang w:val="es-ES_tradnl" w:eastAsia="es-ES"/>
        </w:rPr>
      </w:pPr>
    </w:p>
    <w:p w:rsidR="0096094D"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Las estimaciones de los costos totales incluyendo costos de financiamiento, contrapartida, financieros y de mantenimiento están presentadas en el Cuadro 3.</w:t>
      </w:r>
    </w:p>
    <w:p w:rsidR="00745700" w:rsidRPr="00745700" w:rsidRDefault="00745700" w:rsidP="00745700">
      <w:pPr>
        <w:keepNext/>
        <w:tabs>
          <w:tab w:val="num" w:pos="1499"/>
        </w:tabs>
        <w:suppressAutoHyphens/>
        <w:spacing w:before="120" w:after="0" w:line="240" w:lineRule="auto"/>
        <w:jc w:val="both"/>
        <w:outlineLvl w:val="3"/>
        <w:rPr>
          <w:rFonts w:ascii="Arial" w:eastAsia="Times New Roman" w:hAnsi="Arial" w:cs="Arial"/>
          <w:bCs/>
          <w:noProof w:val="0"/>
          <w:lang w:val="es-ES_tradnl" w:eastAsia="es-ES"/>
        </w:rPr>
      </w:pPr>
    </w:p>
    <w:p w:rsidR="00745700" w:rsidRPr="00745700" w:rsidRDefault="00745700" w:rsidP="0096094D">
      <w:pPr>
        <w:pStyle w:val="ListParagraph"/>
        <w:keepNext/>
        <w:suppressAutoHyphens/>
        <w:spacing w:before="120" w:after="0" w:line="240" w:lineRule="auto"/>
        <w:ind w:left="851"/>
        <w:jc w:val="both"/>
        <w:outlineLvl w:val="3"/>
        <w:rPr>
          <w:rFonts w:ascii="Arial" w:eastAsia="Times New Roman" w:hAnsi="Arial" w:cs="Arial"/>
          <w:bCs/>
          <w:noProof w:val="0"/>
          <w:sz w:val="2"/>
          <w:szCs w:val="2"/>
          <w:lang w:val="es-ES_tradnl" w:eastAsia="es-ES"/>
        </w:rPr>
      </w:pPr>
    </w:p>
    <w:p w:rsidR="00745700" w:rsidRPr="00745700" w:rsidRDefault="00745700" w:rsidP="0096094D">
      <w:pPr>
        <w:pStyle w:val="ListParagraph"/>
        <w:keepNext/>
        <w:suppressAutoHyphens/>
        <w:spacing w:before="120" w:after="0" w:line="240" w:lineRule="auto"/>
        <w:ind w:left="851"/>
        <w:jc w:val="both"/>
        <w:outlineLvl w:val="3"/>
        <w:rPr>
          <w:rFonts w:ascii="Arial" w:eastAsia="Times New Roman" w:hAnsi="Arial" w:cs="Arial"/>
          <w:bCs/>
          <w:noProof w:val="0"/>
          <w:sz w:val="2"/>
          <w:szCs w:val="2"/>
          <w:lang w:val="es-ES_tradnl" w:eastAsia="es-ES"/>
        </w:rPr>
      </w:pPr>
    </w:p>
    <w:tbl>
      <w:tblPr>
        <w:tblW w:w="8940" w:type="dxa"/>
        <w:tblInd w:w="93" w:type="dxa"/>
        <w:tblLook w:val="04A0" w:firstRow="1" w:lastRow="0" w:firstColumn="1" w:lastColumn="0" w:noHBand="0" w:noVBand="1"/>
      </w:tblPr>
      <w:tblGrid>
        <w:gridCol w:w="1501"/>
        <w:gridCol w:w="761"/>
        <w:gridCol w:w="761"/>
        <w:gridCol w:w="761"/>
        <w:gridCol w:w="684"/>
        <w:gridCol w:w="684"/>
        <w:gridCol w:w="684"/>
        <w:gridCol w:w="684"/>
        <w:gridCol w:w="684"/>
        <w:gridCol w:w="684"/>
        <w:gridCol w:w="684"/>
        <w:gridCol w:w="839"/>
      </w:tblGrid>
      <w:tr w:rsidR="0096094D" w:rsidRPr="00756A16" w:rsidTr="00E214C9">
        <w:trPr>
          <w:trHeight w:val="300"/>
        </w:trPr>
        <w:tc>
          <w:tcPr>
            <w:tcW w:w="8940" w:type="dxa"/>
            <w:gridSpan w:val="12"/>
            <w:tcBorders>
              <w:top w:val="nil"/>
              <w:left w:val="nil"/>
              <w:bottom w:val="single" w:sz="4" w:space="0" w:color="auto"/>
              <w:right w:val="nil"/>
            </w:tcBorders>
            <w:shd w:val="clear" w:color="auto" w:fill="auto"/>
            <w:noWrap/>
            <w:vAlign w:val="bottom"/>
            <w:hideMark/>
          </w:tcPr>
          <w:p w:rsidR="0096094D" w:rsidRPr="00756A16" w:rsidRDefault="0096094D" w:rsidP="00745700">
            <w:pPr>
              <w:spacing w:after="0" w:line="240" w:lineRule="auto"/>
              <w:jc w:val="center"/>
              <w:rPr>
                <w:rFonts w:ascii="Arial" w:eastAsia="Times New Roman" w:hAnsi="Arial" w:cs="Arial"/>
                <w:b/>
                <w:bCs/>
                <w:noProof w:val="0"/>
                <w:color w:val="000000"/>
                <w:sz w:val="20"/>
                <w:szCs w:val="20"/>
                <w:lang w:val="es-ES_tradnl"/>
              </w:rPr>
            </w:pPr>
            <w:r w:rsidRPr="00756A16">
              <w:rPr>
                <w:rFonts w:ascii="Arial" w:eastAsia="Times New Roman" w:hAnsi="Arial" w:cs="Arial"/>
                <w:b/>
                <w:bCs/>
                <w:noProof w:val="0"/>
                <w:color w:val="000000"/>
                <w:sz w:val="20"/>
                <w:szCs w:val="20"/>
                <w:lang w:val="es-ES_tradnl"/>
              </w:rPr>
              <w:t>Cuadro 4. Costos PROFISCO II CE (en mil dólares)</w:t>
            </w:r>
          </w:p>
        </w:tc>
      </w:tr>
      <w:tr w:rsidR="0096094D" w:rsidRPr="00756A16" w:rsidTr="00E214C9">
        <w:trPr>
          <w:trHeight w:val="300"/>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2"/>
                <w:szCs w:val="12"/>
                <w:lang w:val="es-ES_tradnl"/>
              </w:rPr>
            </w:pPr>
            <w:r w:rsidRPr="00756A16">
              <w:rPr>
                <w:rFonts w:eastAsia="Times New Roman" w:cs="Calibri"/>
                <w:noProof w:val="0"/>
                <w:color w:val="000000"/>
                <w:sz w:val="12"/>
                <w:szCs w:val="12"/>
                <w:lang w:val="es-ES_tradnl"/>
              </w:rPr>
              <w:t> </w:t>
            </w:r>
          </w:p>
        </w:tc>
        <w:tc>
          <w:tcPr>
            <w:tcW w:w="725"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1</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2</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3</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4</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5</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6</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7</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8</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9</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año 10</w:t>
            </w:r>
          </w:p>
        </w:tc>
        <w:tc>
          <w:tcPr>
            <w:tcW w:w="814" w:type="dxa"/>
            <w:tcBorders>
              <w:top w:val="nil"/>
              <w:left w:val="nil"/>
              <w:bottom w:val="single" w:sz="4" w:space="0" w:color="auto"/>
              <w:right w:val="single" w:sz="4" w:space="0" w:color="auto"/>
            </w:tcBorders>
            <w:shd w:val="clear" w:color="auto" w:fill="auto"/>
            <w:noWrap/>
            <w:vAlign w:val="bottom"/>
            <w:hideMark/>
          </w:tcPr>
          <w:p w:rsidR="0096094D" w:rsidRPr="00960546" w:rsidRDefault="0096094D" w:rsidP="00E214C9">
            <w:pPr>
              <w:spacing w:after="0" w:line="240" w:lineRule="auto"/>
              <w:rPr>
                <w:rFonts w:ascii="Arial" w:eastAsia="Times New Roman" w:hAnsi="Arial" w:cs="Arial"/>
                <w:b/>
                <w:noProof w:val="0"/>
                <w:color w:val="000000"/>
                <w:sz w:val="14"/>
                <w:szCs w:val="14"/>
                <w:lang w:val="es-ES_tradnl"/>
              </w:rPr>
            </w:pPr>
            <w:r w:rsidRPr="00960546">
              <w:rPr>
                <w:rFonts w:ascii="Arial" w:eastAsia="Times New Roman" w:hAnsi="Arial" w:cs="Arial"/>
                <w:b/>
                <w:noProof w:val="0"/>
                <w:color w:val="000000"/>
                <w:sz w:val="14"/>
                <w:szCs w:val="14"/>
                <w:lang w:val="es-ES_tradnl"/>
              </w:rPr>
              <w:t>Total</w:t>
            </w:r>
          </w:p>
        </w:tc>
      </w:tr>
      <w:tr w:rsidR="0096094D" w:rsidRPr="00756A16" w:rsidTr="00E214C9">
        <w:trPr>
          <w:trHeight w:val="300"/>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6"/>
                <w:szCs w:val="16"/>
                <w:lang w:val="es-ES_tradnl"/>
              </w:rPr>
            </w:pPr>
            <w:r w:rsidRPr="00756A16">
              <w:rPr>
                <w:rFonts w:eastAsia="Times New Roman" w:cs="Calibri"/>
                <w:noProof w:val="0"/>
                <w:color w:val="000000"/>
                <w:sz w:val="16"/>
                <w:szCs w:val="16"/>
                <w:lang w:val="es-ES_tradnl"/>
              </w:rPr>
              <w:t>Costos totales</w:t>
            </w:r>
          </w:p>
        </w:tc>
        <w:tc>
          <w:tcPr>
            <w:tcW w:w="72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-24.282,6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-28.039,1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-18.654,1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-8.762,1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-9.198,3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-3.506,6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-3.427,8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-3.349,1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-3.270,3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-2.980,2 </w:t>
            </w:r>
          </w:p>
        </w:tc>
        <w:tc>
          <w:tcPr>
            <w:tcW w:w="81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-105.470,1 </w:t>
            </w:r>
          </w:p>
        </w:tc>
      </w:tr>
      <w:tr w:rsidR="0096094D" w:rsidRPr="00756A16" w:rsidTr="00E214C9">
        <w:trPr>
          <w:trHeight w:val="300"/>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6"/>
                <w:szCs w:val="16"/>
                <w:lang w:val="es-ES_tradnl"/>
              </w:rPr>
            </w:pPr>
            <w:r w:rsidRPr="00756A16">
              <w:rPr>
                <w:rFonts w:eastAsia="Times New Roman" w:cs="Calibri"/>
                <w:noProof w:val="0"/>
                <w:color w:val="000000"/>
                <w:sz w:val="16"/>
                <w:szCs w:val="16"/>
                <w:lang w:val="es-ES_tradnl"/>
              </w:rPr>
              <w:t>Financiamiento</w:t>
            </w:r>
          </w:p>
        </w:tc>
        <w:tc>
          <w:tcPr>
            <w:tcW w:w="72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-22.014,1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-24.042,2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-14.176,7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-4.713,3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-5.053,7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81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-70.000,0 </w:t>
            </w:r>
          </w:p>
        </w:tc>
      </w:tr>
      <w:tr w:rsidR="0096094D" w:rsidRPr="00756A16" w:rsidTr="00E214C9">
        <w:trPr>
          <w:trHeight w:val="300"/>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6"/>
                <w:szCs w:val="16"/>
                <w:lang w:val="es-ES_tradnl"/>
              </w:rPr>
            </w:pPr>
            <w:r w:rsidRPr="00756A16">
              <w:rPr>
                <w:rFonts w:eastAsia="Times New Roman" w:cs="Calibri"/>
                <w:noProof w:val="0"/>
                <w:color w:val="000000"/>
                <w:sz w:val="16"/>
                <w:szCs w:val="16"/>
                <w:lang w:val="es-ES_tradnl"/>
              </w:rPr>
              <w:t>Contrapartida local</w:t>
            </w:r>
          </w:p>
        </w:tc>
        <w:tc>
          <w:tcPr>
            <w:tcW w:w="72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-1.533,3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-2.166,7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-1.766,7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-833,3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-700,0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81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-7.000,0 </w:t>
            </w:r>
          </w:p>
        </w:tc>
      </w:tr>
      <w:tr w:rsidR="0096094D" w:rsidRPr="00756A16" w:rsidTr="00E214C9">
        <w:trPr>
          <w:trHeight w:val="300"/>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6"/>
                <w:szCs w:val="16"/>
                <w:lang w:val="es-ES_tradnl"/>
              </w:rPr>
            </w:pPr>
            <w:r w:rsidRPr="00756A16">
              <w:rPr>
                <w:rFonts w:eastAsia="Times New Roman" w:cs="Calibri"/>
                <w:noProof w:val="0"/>
                <w:color w:val="000000"/>
                <w:sz w:val="16"/>
                <w:szCs w:val="16"/>
                <w:lang w:val="es-ES_tradnl"/>
              </w:rPr>
              <w:t>Intereses</w:t>
            </w:r>
          </w:p>
        </w:tc>
        <w:tc>
          <w:tcPr>
            <w:tcW w:w="72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-495,3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-1.087,3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-1.355,2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-1.461,3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-1.575,0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-1.496,3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-1.417,5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-1.338,8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-1.260,0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-1.181,3 </w:t>
            </w:r>
          </w:p>
        </w:tc>
        <w:tc>
          <w:tcPr>
            <w:tcW w:w="81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-12.667,9 </w:t>
            </w:r>
          </w:p>
        </w:tc>
      </w:tr>
      <w:tr w:rsidR="0096094D" w:rsidRPr="00756A16" w:rsidTr="00E214C9">
        <w:trPr>
          <w:trHeight w:val="300"/>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6"/>
                <w:szCs w:val="16"/>
                <w:lang w:val="es-ES_tradnl"/>
              </w:rPr>
            </w:pPr>
            <w:r w:rsidRPr="00756A16">
              <w:rPr>
                <w:rFonts w:eastAsia="Times New Roman" w:cs="Calibri"/>
                <w:noProof w:val="0"/>
                <w:color w:val="000000"/>
                <w:sz w:val="16"/>
                <w:szCs w:val="16"/>
                <w:lang w:val="es-ES_tradnl"/>
              </w:rPr>
              <w:t>Comisión de Crédito</w:t>
            </w:r>
          </w:p>
        </w:tc>
        <w:tc>
          <w:tcPr>
            <w:tcW w:w="72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-239,9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-119,7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-48,8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-25,3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81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-433,8 </w:t>
            </w:r>
          </w:p>
        </w:tc>
      </w:tr>
      <w:tr w:rsidR="0096094D" w:rsidRPr="00756A16" w:rsidTr="00E214C9">
        <w:trPr>
          <w:trHeight w:val="300"/>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6"/>
                <w:szCs w:val="16"/>
                <w:lang w:val="es-ES_tradnl"/>
              </w:rPr>
            </w:pPr>
            <w:r w:rsidRPr="00756A16">
              <w:rPr>
                <w:rFonts w:eastAsia="Times New Roman" w:cs="Calibri"/>
                <w:noProof w:val="0"/>
                <w:color w:val="000000"/>
                <w:sz w:val="16"/>
                <w:szCs w:val="16"/>
                <w:lang w:val="es-ES_tradnl"/>
              </w:rPr>
              <w:t>Mantenimiento</w:t>
            </w:r>
          </w:p>
        </w:tc>
        <w:tc>
          <w:tcPr>
            <w:tcW w:w="725"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-623,2 </w:t>
            </w:r>
          </w:p>
        </w:tc>
        <w:tc>
          <w:tcPr>
            <w:tcW w:w="72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-1.306,7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-1.728,9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-1.869,6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-2.010,3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-2.010,3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-2.010,3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-2.010,3 </w:t>
            </w:r>
          </w:p>
        </w:tc>
        <w:tc>
          <w:tcPr>
            <w:tcW w:w="636"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-1.798,9 </w:t>
            </w:r>
          </w:p>
        </w:tc>
        <w:tc>
          <w:tcPr>
            <w:tcW w:w="81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-15.368,5 </w:t>
            </w:r>
          </w:p>
        </w:tc>
      </w:tr>
    </w:tbl>
    <w:p w:rsidR="0096094D" w:rsidRPr="00756A16" w:rsidRDefault="0096094D" w:rsidP="0096094D">
      <w:pPr>
        <w:ind w:left="-810"/>
        <w:jc w:val="center"/>
        <w:rPr>
          <w:rFonts w:ascii="Arial" w:eastAsiaTheme="minorEastAsia" w:hAnsi="Arial" w:cs="Arial"/>
          <w:b/>
          <w:noProof w:val="0"/>
          <w:lang w:val="es-ES_tradnl"/>
        </w:rPr>
      </w:pPr>
    </w:p>
    <w:p w:rsidR="0096094D" w:rsidRPr="00756A16" w:rsidRDefault="0096094D" w:rsidP="00745700">
      <w:pPr>
        <w:ind w:left="450"/>
        <w:rPr>
          <w:rFonts w:ascii="Arial" w:eastAsiaTheme="minorEastAsia" w:hAnsi="Arial" w:cs="Arial"/>
          <w:b/>
          <w:noProof w:val="0"/>
          <w:lang w:val="es-ES_tradnl"/>
        </w:rPr>
      </w:pPr>
      <w:r w:rsidRPr="00756A16">
        <w:rPr>
          <w:rFonts w:ascii="Arial" w:eastAsiaTheme="minorEastAsia" w:hAnsi="Arial" w:cs="Arial"/>
          <w:b/>
          <w:noProof w:val="0"/>
          <w:lang w:val="es-ES_tradnl"/>
        </w:rPr>
        <w:t xml:space="preserve">B. </w:t>
      </w:r>
      <w:r w:rsidR="00745700">
        <w:rPr>
          <w:rFonts w:ascii="Arial" w:eastAsiaTheme="minorEastAsia" w:hAnsi="Arial" w:cs="Arial"/>
          <w:b/>
          <w:noProof w:val="0"/>
          <w:lang w:val="es-ES_tradnl"/>
        </w:rPr>
        <w:t xml:space="preserve">  </w:t>
      </w:r>
      <w:r w:rsidRPr="00756A16">
        <w:rPr>
          <w:rFonts w:ascii="Arial" w:eastAsiaTheme="minorEastAsia" w:hAnsi="Arial" w:cs="Arial"/>
          <w:b/>
          <w:noProof w:val="0"/>
          <w:lang w:val="es-ES_tradnl"/>
        </w:rPr>
        <w:t>Beneficios</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El PROFISCO II CE incluye tres grandes áreas de actuación que suman 17 productos, por su parte, divididos en 66 subproductos. Casi todos los productos generarán aumento de ingresos, economía para el contribuyente o reducción de gastos para el gobierno. Para el análisis C-B fueron seleccionados apenas cinco subproductos que caracterizan bien estos potenciales beneficios y que cuentan con disponibilidad de datos para identificarlos y cuantificarlos adecuadamente.</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Como se puede verificar a continuación, el cálculo de los beneficios se basó en datos reales para todos los subproductos incluidos en el análisis. Un gran esfuerzo fue realizado para recabar y analizar los datos disponibles tanto para los ingresos y expedientes fiscales sobre el ICMS del sector minorista, como para los tiempos de espera y atención para las transacciones actualmente presenciales y para el volumen de trabajo y costo para el gobierno de los trámites en papel y manuales que serán eliminados por el programa. Cuando sea necesario, fueron adoptadas hipótesis fuertemente conservadoras.</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La siguiente tabla 4 presenta la lista de productos y número de subproductos del programa.</w:t>
      </w:r>
    </w:p>
    <w:p w:rsidR="0096094D" w:rsidRPr="00756A16" w:rsidRDefault="0096094D" w:rsidP="0096094D">
      <w:pPr>
        <w:pStyle w:val="ListParagraph"/>
        <w:keepNext/>
        <w:tabs>
          <w:tab w:val="num" w:pos="1499"/>
        </w:tabs>
        <w:suppressAutoHyphens/>
        <w:spacing w:before="120" w:after="0" w:line="240" w:lineRule="auto"/>
        <w:ind w:left="851"/>
        <w:jc w:val="both"/>
        <w:outlineLvl w:val="3"/>
        <w:rPr>
          <w:rFonts w:ascii="Arial" w:eastAsia="Times New Roman" w:hAnsi="Arial" w:cs="Arial"/>
          <w:bCs/>
          <w:noProof w:val="0"/>
          <w:lang w:val="es-ES_tradnl" w:eastAsia="es-ES"/>
        </w:rPr>
      </w:pPr>
    </w:p>
    <w:tbl>
      <w:tblPr>
        <w:tblW w:w="8758" w:type="dxa"/>
        <w:tblInd w:w="98" w:type="dxa"/>
        <w:tblLook w:val="04A0" w:firstRow="1" w:lastRow="0" w:firstColumn="1" w:lastColumn="0" w:noHBand="0" w:noVBand="1"/>
      </w:tblPr>
      <w:tblGrid>
        <w:gridCol w:w="6247"/>
        <w:gridCol w:w="2511"/>
      </w:tblGrid>
      <w:tr w:rsidR="0096094D" w:rsidRPr="00756A16" w:rsidTr="00E214C9">
        <w:trPr>
          <w:trHeight w:val="255"/>
        </w:trPr>
        <w:tc>
          <w:tcPr>
            <w:tcW w:w="6247" w:type="dxa"/>
            <w:tcBorders>
              <w:top w:val="single" w:sz="4" w:space="0" w:color="000000"/>
              <w:left w:val="single" w:sz="8" w:space="0" w:color="000000"/>
              <w:bottom w:val="single" w:sz="4" w:space="0" w:color="000000"/>
              <w:right w:val="single" w:sz="4" w:space="0" w:color="000000"/>
            </w:tcBorders>
            <w:shd w:val="clear" w:color="D7E4BD" w:fill="C3D69B"/>
            <w:vAlign w:val="center"/>
          </w:tcPr>
          <w:p w:rsidR="0096094D" w:rsidRPr="00756A16" w:rsidRDefault="0096094D" w:rsidP="00E214C9">
            <w:pPr>
              <w:spacing w:after="0" w:line="240" w:lineRule="auto"/>
              <w:rPr>
                <w:rFonts w:ascii="Arial" w:eastAsia="Times New Roman" w:hAnsi="Arial" w:cs="Arial"/>
                <w:b/>
                <w:bCs/>
                <w:noProof w:val="0"/>
                <w:sz w:val="20"/>
                <w:szCs w:val="20"/>
                <w:lang w:val="es-ES_tradnl"/>
              </w:rPr>
            </w:pPr>
            <w:r w:rsidRPr="00756A16">
              <w:rPr>
                <w:rFonts w:ascii="Arial" w:eastAsia="Times New Roman" w:hAnsi="Arial" w:cs="Arial"/>
                <w:b/>
                <w:bCs/>
                <w:noProof w:val="0"/>
                <w:sz w:val="20"/>
                <w:szCs w:val="20"/>
                <w:lang w:val="es-ES_tradnl"/>
              </w:rPr>
              <w:t>Cuadro 5. Productos del PROFISCO II - Ceará</w:t>
            </w:r>
          </w:p>
        </w:tc>
        <w:tc>
          <w:tcPr>
            <w:tcW w:w="2511" w:type="dxa"/>
            <w:tcBorders>
              <w:top w:val="single" w:sz="4" w:space="0" w:color="000000"/>
              <w:left w:val="single" w:sz="8" w:space="0" w:color="000000"/>
              <w:bottom w:val="single" w:sz="4" w:space="0" w:color="000000"/>
              <w:right w:val="single" w:sz="4" w:space="0" w:color="000000"/>
            </w:tcBorders>
            <w:shd w:val="clear" w:color="D7E4BD" w:fill="C3D69B"/>
          </w:tcPr>
          <w:p w:rsidR="0096094D" w:rsidRPr="00756A16" w:rsidRDefault="0096094D" w:rsidP="00E214C9">
            <w:pPr>
              <w:spacing w:after="0" w:line="240" w:lineRule="auto"/>
              <w:rPr>
                <w:rFonts w:ascii="Arial" w:eastAsia="Times New Roman" w:hAnsi="Arial" w:cs="Arial"/>
                <w:b/>
                <w:bCs/>
                <w:noProof w:val="0"/>
                <w:sz w:val="20"/>
                <w:szCs w:val="20"/>
                <w:lang w:val="es-ES_tradnl"/>
              </w:rPr>
            </w:pPr>
            <w:r w:rsidRPr="00756A16">
              <w:rPr>
                <w:rFonts w:ascii="Arial" w:eastAsia="Times New Roman" w:hAnsi="Arial" w:cs="Arial"/>
                <w:b/>
                <w:bCs/>
                <w:noProof w:val="0"/>
                <w:sz w:val="20"/>
                <w:szCs w:val="20"/>
                <w:lang w:val="es-ES_tradnl"/>
              </w:rPr>
              <w:t>Número de Subproductos</w:t>
            </w:r>
          </w:p>
        </w:tc>
      </w:tr>
      <w:tr w:rsidR="0096094D" w:rsidRPr="00756A16" w:rsidTr="00E214C9">
        <w:trPr>
          <w:trHeight w:val="255"/>
        </w:trPr>
        <w:tc>
          <w:tcPr>
            <w:tcW w:w="6247" w:type="dxa"/>
            <w:tcBorders>
              <w:top w:val="single" w:sz="4" w:space="0" w:color="000000"/>
              <w:left w:val="single" w:sz="8" w:space="0" w:color="000000"/>
              <w:bottom w:val="single" w:sz="4" w:space="0" w:color="000000"/>
              <w:right w:val="single" w:sz="4" w:space="0" w:color="000000"/>
            </w:tcBorders>
            <w:shd w:val="clear" w:color="D7E4BD" w:fill="C3D69B"/>
            <w:vAlign w:val="center"/>
            <w:hideMark/>
          </w:tcPr>
          <w:p w:rsidR="0096094D" w:rsidRPr="00756A16" w:rsidRDefault="0096094D" w:rsidP="00E214C9">
            <w:pPr>
              <w:spacing w:after="0" w:line="240" w:lineRule="auto"/>
              <w:rPr>
                <w:rFonts w:ascii="Arial" w:eastAsia="Times New Roman" w:hAnsi="Arial" w:cs="Arial"/>
                <w:b/>
                <w:bCs/>
                <w:noProof w:val="0"/>
                <w:sz w:val="18"/>
                <w:szCs w:val="18"/>
                <w:lang w:val="es-ES_tradnl"/>
              </w:rPr>
            </w:pPr>
            <w:r w:rsidRPr="00756A16">
              <w:rPr>
                <w:rFonts w:ascii="Arial" w:eastAsia="Times New Roman" w:hAnsi="Arial" w:cs="Arial"/>
                <w:b/>
                <w:bCs/>
                <w:noProof w:val="0"/>
                <w:sz w:val="18"/>
                <w:szCs w:val="18"/>
                <w:lang w:val="es-ES_tradnl"/>
              </w:rPr>
              <w:t>I. GESSTIÓN Y TRANSPARENCIA FISCAL</w:t>
            </w:r>
          </w:p>
        </w:tc>
        <w:tc>
          <w:tcPr>
            <w:tcW w:w="2511" w:type="dxa"/>
            <w:tcBorders>
              <w:top w:val="single" w:sz="4" w:space="0" w:color="000000"/>
              <w:left w:val="single" w:sz="8" w:space="0" w:color="000000"/>
              <w:bottom w:val="single" w:sz="4" w:space="0" w:color="000000"/>
              <w:right w:val="single" w:sz="4" w:space="0" w:color="000000"/>
            </w:tcBorders>
            <w:shd w:val="clear" w:color="D7E4BD" w:fill="C3D69B"/>
          </w:tcPr>
          <w:p w:rsidR="0096094D" w:rsidRPr="00756A16" w:rsidRDefault="0096094D" w:rsidP="00E214C9">
            <w:pPr>
              <w:spacing w:after="0" w:line="240" w:lineRule="auto"/>
              <w:jc w:val="center"/>
              <w:rPr>
                <w:rFonts w:ascii="Arial" w:eastAsia="Times New Roman" w:hAnsi="Arial" w:cs="Arial"/>
                <w:b/>
                <w:bCs/>
                <w:noProof w:val="0"/>
                <w:sz w:val="18"/>
                <w:szCs w:val="18"/>
                <w:lang w:val="es-ES_tradnl"/>
              </w:rPr>
            </w:pPr>
            <w:r w:rsidRPr="00756A16">
              <w:rPr>
                <w:rFonts w:ascii="Arial" w:eastAsia="Times New Roman" w:hAnsi="Arial" w:cs="Arial"/>
                <w:b/>
                <w:bCs/>
                <w:noProof w:val="0"/>
                <w:sz w:val="18"/>
                <w:szCs w:val="18"/>
                <w:lang w:val="es-ES_tradnl"/>
              </w:rPr>
              <w:t>28</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301083" w:rsidP="00E214C9">
            <w:pPr>
              <w:spacing w:after="0" w:line="240" w:lineRule="auto"/>
              <w:rPr>
                <w:rFonts w:ascii="Arial" w:eastAsia="Times New Roman" w:hAnsi="Arial" w:cs="Arial"/>
                <w:noProof w:val="0"/>
                <w:sz w:val="18"/>
                <w:szCs w:val="18"/>
                <w:lang w:val="es-ES_tradnl"/>
              </w:rPr>
            </w:pPr>
            <w:r>
              <w:rPr>
                <w:rFonts w:ascii="Arial" w:eastAsia="Times New Roman" w:hAnsi="Arial" w:cs="Arial"/>
                <w:noProof w:val="0"/>
                <w:sz w:val="18"/>
                <w:szCs w:val="18"/>
                <w:lang w:val="es-ES_tradnl"/>
              </w:rPr>
              <w:t>P</w:t>
            </w:r>
            <w:r w:rsidR="0096094D" w:rsidRPr="00756A16">
              <w:rPr>
                <w:rFonts w:ascii="Arial" w:eastAsia="Times New Roman" w:hAnsi="Arial" w:cs="Arial"/>
                <w:noProof w:val="0"/>
                <w:sz w:val="18"/>
                <w:szCs w:val="18"/>
                <w:lang w:val="es-ES_tradnl"/>
              </w:rPr>
              <w:t>1</w:t>
            </w:r>
            <w:r>
              <w:rPr>
                <w:rFonts w:ascii="Arial" w:eastAsia="Times New Roman" w:hAnsi="Arial" w:cs="Arial"/>
                <w:noProof w:val="0"/>
                <w:sz w:val="18"/>
                <w:szCs w:val="18"/>
                <w:lang w:val="es-ES_tradnl"/>
              </w:rPr>
              <w:t xml:space="preserve">.1 </w:t>
            </w:r>
            <w:r w:rsidR="0096094D" w:rsidRPr="00756A16">
              <w:rPr>
                <w:rFonts w:ascii="Arial" w:eastAsia="Times New Roman" w:hAnsi="Arial" w:cs="Arial"/>
                <w:noProof w:val="0"/>
                <w:sz w:val="18"/>
                <w:szCs w:val="18"/>
                <w:lang w:val="es-ES_tradnl"/>
              </w:rPr>
              <w:t>Proceso de Gobernanza perfeccionado</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4</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P1.2 Gestión de Proyectos de la SEFAZ fortalecida</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2</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P1.3 Gestión de Personas optimizada</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8</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P1.4 Plataformas Tecnológico modernizada</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8</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P1.5 Logística Sostenible implantada</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3</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P1.6 Relación SEFAZ y Sociedad intensificada</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3</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FFCC99" w:fill="FAC090"/>
            <w:vAlign w:val="center"/>
            <w:hideMark/>
          </w:tcPr>
          <w:p w:rsidR="0096094D" w:rsidRPr="00756A16" w:rsidRDefault="0096094D" w:rsidP="00E214C9">
            <w:pPr>
              <w:spacing w:after="0" w:line="240" w:lineRule="auto"/>
              <w:rPr>
                <w:rFonts w:ascii="Arial" w:eastAsia="Times New Roman" w:hAnsi="Arial" w:cs="Arial"/>
                <w:b/>
                <w:bCs/>
                <w:noProof w:val="0"/>
                <w:sz w:val="18"/>
                <w:szCs w:val="18"/>
                <w:lang w:val="es-ES_tradnl"/>
              </w:rPr>
            </w:pPr>
            <w:r w:rsidRPr="00756A16">
              <w:rPr>
                <w:rFonts w:ascii="Arial" w:eastAsia="Times New Roman" w:hAnsi="Arial" w:cs="Arial"/>
                <w:b/>
                <w:bCs/>
                <w:noProof w:val="0"/>
                <w:sz w:val="18"/>
                <w:szCs w:val="18"/>
                <w:lang w:val="es-ES_tradnl"/>
              </w:rPr>
              <w:t>II. ADMINISTRACIÓN TRIBUTARIA Y CONTENCIOSO FISCAL</w:t>
            </w:r>
          </w:p>
        </w:tc>
        <w:tc>
          <w:tcPr>
            <w:tcW w:w="2511" w:type="dxa"/>
            <w:tcBorders>
              <w:top w:val="nil"/>
              <w:left w:val="single" w:sz="8" w:space="0" w:color="000000"/>
              <w:bottom w:val="single" w:sz="4" w:space="0" w:color="000000"/>
              <w:right w:val="single" w:sz="4" w:space="0" w:color="000000"/>
            </w:tcBorders>
            <w:shd w:val="clear" w:color="FFCC99" w:fill="FAC090"/>
          </w:tcPr>
          <w:p w:rsidR="0096094D" w:rsidRPr="00756A16" w:rsidRDefault="0096094D" w:rsidP="00E214C9">
            <w:pPr>
              <w:spacing w:after="0" w:line="240" w:lineRule="auto"/>
              <w:jc w:val="center"/>
              <w:rPr>
                <w:rFonts w:ascii="Arial" w:eastAsia="Times New Roman" w:hAnsi="Arial" w:cs="Arial"/>
                <w:b/>
                <w:bCs/>
                <w:noProof w:val="0"/>
                <w:sz w:val="18"/>
                <w:szCs w:val="18"/>
                <w:lang w:val="es-ES_tradnl"/>
              </w:rPr>
            </w:pPr>
            <w:r w:rsidRPr="00756A16">
              <w:rPr>
                <w:rFonts w:ascii="Arial" w:eastAsia="Times New Roman" w:hAnsi="Arial" w:cs="Arial"/>
                <w:b/>
                <w:bCs/>
                <w:noProof w:val="0"/>
                <w:sz w:val="18"/>
                <w:szCs w:val="18"/>
                <w:lang w:val="es-ES_tradnl"/>
              </w:rPr>
              <w:t>21</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P2.1 Política Tributaria Simplificada y Monitoreada</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3</w:t>
            </w:r>
          </w:p>
        </w:tc>
      </w:tr>
      <w:tr w:rsidR="0096094D" w:rsidRPr="00756A16" w:rsidTr="00745700">
        <w:trPr>
          <w:trHeight w:val="255"/>
        </w:trPr>
        <w:tc>
          <w:tcPr>
            <w:tcW w:w="6247" w:type="dxa"/>
            <w:tcBorders>
              <w:top w:val="nil"/>
              <w:left w:val="single" w:sz="8" w:space="0" w:color="000000"/>
              <w:bottom w:val="single" w:sz="4" w:space="0" w:color="auto"/>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P2.2 Simplificación de Obligaciones Tributarias</w:t>
            </w:r>
          </w:p>
        </w:tc>
        <w:tc>
          <w:tcPr>
            <w:tcW w:w="2511" w:type="dxa"/>
            <w:tcBorders>
              <w:top w:val="nil"/>
              <w:left w:val="single" w:sz="8" w:space="0" w:color="000000"/>
              <w:bottom w:val="single" w:sz="4" w:space="0" w:color="auto"/>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3</w:t>
            </w:r>
          </w:p>
        </w:tc>
      </w:tr>
      <w:tr w:rsidR="0096094D" w:rsidRPr="00756A16" w:rsidTr="00745700">
        <w:trPr>
          <w:trHeight w:val="255"/>
        </w:trPr>
        <w:tc>
          <w:tcPr>
            <w:tcW w:w="6247" w:type="dxa"/>
            <w:tcBorders>
              <w:top w:val="single" w:sz="4" w:space="0" w:color="auto"/>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lastRenderedPageBreak/>
              <w:t>P2.3 Tecnología de Fiscalización e Inteligencia modernizadas</w:t>
            </w:r>
          </w:p>
        </w:tc>
        <w:tc>
          <w:tcPr>
            <w:tcW w:w="2511" w:type="dxa"/>
            <w:tcBorders>
              <w:top w:val="single" w:sz="4" w:space="0" w:color="auto"/>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3</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P2.4 Control del Tránsito de Mercaderías perfeccionado</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3</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P2.5 Gestión del Contencioso y Deuda Activa integradas</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3</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 2.6- Proceso de Atención automatizado</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1</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 2.7- Proceso de Recaudación automatizado</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5</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8EB4E3" w:fill="95B3D7"/>
            <w:vAlign w:val="center"/>
            <w:hideMark/>
          </w:tcPr>
          <w:p w:rsidR="0096094D" w:rsidRPr="00756A16" w:rsidRDefault="0096094D" w:rsidP="00E214C9">
            <w:pPr>
              <w:spacing w:after="0" w:line="240" w:lineRule="auto"/>
              <w:rPr>
                <w:rFonts w:ascii="Arial" w:eastAsia="Times New Roman" w:hAnsi="Arial" w:cs="Arial"/>
                <w:b/>
                <w:bCs/>
                <w:noProof w:val="0"/>
                <w:sz w:val="18"/>
                <w:szCs w:val="18"/>
                <w:lang w:val="es-ES_tradnl"/>
              </w:rPr>
            </w:pPr>
            <w:r w:rsidRPr="00756A16">
              <w:rPr>
                <w:rFonts w:ascii="Arial" w:eastAsia="Times New Roman" w:hAnsi="Arial" w:cs="Arial"/>
                <w:b/>
                <w:bCs/>
                <w:noProof w:val="0"/>
                <w:sz w:val="18"/>
                <w:szCs w:val="18"/>
                <w:lang w:val="es-ES_tradnl"/>
              </w:rPr>
              <w:t>III. Administración Financiera y gasto público</w:t>
            </w:r>
          </w:p>
        </w:tc>
        <w:tc>
          <w:tcPr>
            <w:tcW w:w="2511" w:type="dxa"/>
            <w:tcBorders>
              <w:top w:val="nil"/>
              <w:left w:val="single" w:sz="8" w:space="0" w:color="000000"/>
              <w:bottom w:val="single" w:sz="4" w:space="0" w:color="000000"/>
              <w:right w:val="single" w:sz="4" w:space="0" w:color="000000"/>
            </w:tcBorders>
            <w:shd w:val="clear" w:color="8EB4E3" w:fill="95B3D7"/>
          </w:tcPr>
          <w:p w:rsidR="0096094D" w:rsidRPr="00756A16" w:rsidRDefault="0096094D" w:rsidP="00E214C9">
            <w:pPr>
              <w:spacing w:after="0" w:line="240" w:lineRule="auto"/>
              <w:jc w:val="center"/>
              <w:rPr>
                <w:rFonts w:ascii="Arial" w:eastAsia="Times New Roman" w:hAnsi="Arial" w:cs="Arial"/>
                <w:b/>
                <w:bCs/>
                <w:noProof w:val="0"/>
                <w:sz w:val="18"/>
                <w:szCs w:val="18"/>
                <w:lang w:val="es-ES_tradnl"/>
              </w:rPr>
            </w:pPr>
            <w:r w:rsidRPr="00756A16">
              <w:rPr>
                <w:rFonts w:ascii="Arial" w:eastAsia="Times New Roman" w:hAnsi="Arial" w:cs="Arial"/>
                <w:b/>
                <w:bCs/>
                <w:noProof w:val="0"/>
                <w:sz w:val="18"/>
                <w:szCs w:val="18"/>
                <w:lang w:val="es-ES_tradnl"/>
              </w:rPr>
              <w:t>17</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P3.1 Planificación Financiera perfeccionada</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2</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P3.2 Sistema de Informaciones y Gestión Contable modernizado</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11</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P3.3 Gestión de la Deuda Pública perfeccionada</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2</w:t>
            </w:r>
          </w:p>
        </w:tc>
      </w:tr>
      <w:tr w:rsidR="0096094D" w:rsidRPr="00756A16" w:rsidTr="00E214C9">
        <w:trPr>
          <w:trHeight w:val="255"/>
        </w:trPr>
        <w:tc>
          <w:tcPr>
            <w:tcW w:w="6247" w:type="dxa"/>
            <w:tcBorders>
              <w:top w:val="nil"/>
              <w:left w:val="single" w:sz="8" w:space="0" w:color="000000"/>
              <w:bottom w:val="single" w:sz="4" w:space="0" w:color="000000"/>
              <w:right w:val="single" w:sz="4" w:space="0" w:color="000000"/>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P3.4 Gestión de costos implantada</w:t>
            </w:r>
          </w:p>
        </w:tc>
        <w:tc>
          <w:tcPr>
            <w:tcW w:w="2511" w:type="dxa"/>
            <w:tcBorders>
              <w:top w:val="nil"/>
              <w:left w:val="single" w:sz="8" w:space="0" w:color="000000"/>
              <w:bottom w:val="single" w:sz="4" w:space="0" w:color="000000"/>
              <w:right w:val="single" w:sz="4" w:space="0" w:color="000000"/>
            </w:tcBorders>
          </w:tcPr>
          <w:p w:rsidR="0096094D" w:rsidRPr="00756A16" w:rsidRDefault="0096094D" w:rsidP="00E214C9">
            <w:pPr>
              <w:spacing w:after="0" w:line="240" w:lineRule="auto"/>
              <w:jc w:val="center"/>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2</w:t>
            </w:r>
          </w:p>
        </w:tc>
      </w:tr>
    </w:tbl>
    <w:p w:rsidR="0096094D" w:rsidRPr="00756A16" w:rsidRDefault="0096094D" w:rsidP="00745700">
      <w:pPr>
        <w:spacing w:before="240"/>
        <w:ind w:left="360"/>
        <w:rPr>
          <w:rFonts w:ascii="Arial" w:eastAsiaTheme="minorEastAsia" w:hAnsi="Arial" w:cs="Arial"/>
          <w:b/>
          <w:noProof w:val="0"/>
          <w:lang w:val="es-ES_tradnl"/>
        </w:rPr>
      </w:pPr>
      <w:r w:rsidRPr="00756A16">
        <w:rPr>
          <w:rFonts w:ascii="Arial" w:eastAsiaTheme="minorEastAsia" w:hAnsi="Arial" w:cs="Arial"/>
          <w:b/>
          <w:noProof w:val="0"/>
          <w:lang w:val="es-ES_tradnl"/>
        </w:rPr>
        <w:t xml:space="preserve">B.1 </w:t>
      </w:r>
      <w:r w:rsidR="00745700">
        <w:rPr>
          <w:rFonts w:ascii="Arial" w:eastAsiaTheme="minorEastAsia" w:hAnsi="Arial" w:cs="Arial"/>
          <w:b/>
          <w:noProof w:val="0"/>
          <w:lang w:val="es-ES_tradnl"/>
        </w:rPr>
        <w:t xml:space="preserve">  </w:t>
      </w:r>
      <w:r w:rsidRPr="00756A16">
        <w:rPr>
          <w:rFonts w:ascii="Arial" w:eastAsiaTheme="minorEastAsia" w:hAnsi="Arial" w:cs="Arial"/>
          <w:b/>
          <w:noProof w:val="0"/>
          <w:lang w:val="es-ES_tradnl"/>
        </w:rPr>
        <w:t>Aumento de Recaudación</w:t>
      </w:r>
    </w:p>
    <w:p w:rsidR="0096094D" w:rsidRPr="00756A16" w:rsidRDefault="0096094D" w:rsidP="00745700">
      <w:pPr>
        <w:pStyle w:val="ListParagraph"/>
        <w:keepNext/>
        <w:suppressAutoHyphens/>
        <w:spacing w:before="120" w:after="0" w:line="240" w:lineRule="auto"/>
        <w:ind w:left="900"/>
        <w:jc w:val="both"/>
        <w:outlineLvl w:val="3"/>
        <w:rPr>
          <w:rFonts w:ascii="Arial" w:eastAsia="Times New Roman" w:hAnsi="Arial" w:cs="Arial"/>
          <w:b/>
          <w:bCs/>
          <w:noProof w:val="0"/>
          <w:lang w:val="es-ES_tradnl" w:eastAsia="es-ES"/>
        </w:rPr>
      </w:pPr>
      <w:r w:rsidRPr="00756A16">
        <w:rPr>
          <w:rFonts w:ascii="Arial" w:eastAsia="Times New Roman" w:hAnsi="Arial" w:cs="Arial"/>
          <w:b/>
          <w:bCs/>
          <w:noProof w:val="0"/>
          <w:lang w:val="es-ES_tradnl" w:eastAsia="es-ES"/>
        </w:rPr>
        <w:t>Subproducto 2.3.2: Nuevo sistema de control electrónico de operaciones fiscales al menudeo - Implantación de los Módulo Fiscales electrónicos (MF-e).</w:t>
      </w:r>
    </w:p>
    <w:p w:rsidR="0096094D" w:rsidRPr="00756A16" w:rsidRDefault="0096094D" w:rsidP="0096094D">
      <w:pPr>
        <w:pStyle w:val="ListParagraph"/>
        <w:keepNext/>
        <w:suppressAutoHyphens/>
        <w:spacing w:before="120" w:after="0" w:line="240" w:lineRule="auto"/>
        <w:ind w:left="2736"/>
        <w:jc w:val="both"/>
        <w:outlineLvl w:val="3"/>
        <w:rPr>
          <w:rFonts w:ascii="Arial" w:eastAsia="Times New Roman" w:hAnsi="Arial" w:cs="Arial"/>
          <w:b/>
          <w:bCs/>
          <w:noProof w:val="0"/>
          <w:lang w:val="es-ES_tradnl" w:eastAsia="es-ES"/>
        </w:rPr>
      </w:pP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La actual herramienta de emisión de cupón fiscal es frágil, basada en papel y vulnerable a la evasión fiscal. Además, es de alto costo tanto para el contribuyente (precio de adquisición de aproximadamente R$3000), como para la SEFAZ en el proceso de autorización y acreditación. El ECF tiene que ser substituido por uno nuevo cuando agota su memoria, con costo adicional para el contribuyente y para la SEFAZ que tiene que autorizar y acreditar el nuevo aparato. Actualmente el Estado de Ceará tiene 180 mil contribuyentes minoristas activos, pero apenas 50 mil </w:t>
      </w:r>
      <w:proofErr w:type="spellStart"/>
      <w:r w:rsidRPr="00756A16">
        <w:rPr>
          <w:rFonts w:ascii="Arial" w:eastAsia="Times New Roman" w:hAnsi="Arial" w:cs="Arial"/>
          <w:bCs/>
          <w:noProof w:val="0"/>
          <w:lang w:val="es-ES_tradnl" w:eastAsia="es-ES"/>
        </w:rPr>
        <w:t>ECFs</w:t>
      </w:r>
      <w:proofErr w:type="spellEnd"/>
      <w:r w:rsidRPr="00756A16">
        <w:rPr>
          <w:rFonts w:ascii="Arial" w:eastAsia="Times New Roman" w:hAnsi="Arial" w:cs="Arial"/>
          <w:bCs/>
          <w:noProof w:val="0"/>
          <w:lang w:val="es-ES_tradnl" w:eastAsia="es-ES"/>
        </w:rPr>
        <w:t xml:space="preserve"> están funcionando. La diferencia (130 mil contribuyentes) o no emiten cupones fiscales o usan cupones fiscales de papel.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La nueva herramienta del Módulo Fiscal Electrónico </w:t>
      </w:r>
      <w:r w:rsidR="00745700">
        <w:rPr>
          <w:rFonts w:ascii="Arial" w:eastAsia="Times New Roman" w:hAnsi="Arial" w:cs="Arial"/>
          <w:bCs/>
          <w:noProof w:val="0"/>
          <w:lang w:val="es-ES_tradnl" w:eastAsia="es-ES"/>
        </w:rPr>
        <w:t>(MF-e) restring</w:t>
      </w:r>
      <w:r w:rsidRPr="00756A16">
        <w:rPr>
          <w:rFonts w:ascii="Arial" w:eastAsia="Times New Roman" w:hAnsi="Arial" w:cs="Arial"/>
          <w:bCs/>
          <w:noProof w:val="0"/>
          <w:lang w:val="es-ES_tradnl" w:eastAsia="es-ES"/>
        </w:rPr>
        <w:t xml:space="preserve">e sustancialmente el potencial de retención. Ella no puede ser abierta, tiene un software de la SEFAZ interno, posee GPS lo que no permite que sea usada en otros establecimientos, inclusive en otros estados, tal como sucede con </w:t>
      </w:r>
      <w:proofErr w:type="spellStart"/>
      <w:r w:rsidRPr="00756A16">
        <w:rPr>
          <w:rFonts w:ascii="Arial" w:eastAsia="Times New Roman" w:hAnsi="Arial" w:cs="Arial"/>
          <w:bCs/>
          <w:noProof w:val="0"/>
          <w:lang w:val="es-ES_tradnl" w:eastAsia="es-ES"/>
        </w:rPr>
        <w:t>ECFs</w:t>
      </w:r>
      <w:proofErr w:type="spellEnd"/>
      <w:r w:rsidRPr="00756A16">
        <w:rPr>
          <w:rFonts w:ascii="Arial" w:eastAsia="Times New Roman" w:hAnsi="Arial" w:cs="Arial"/>
          <w:bCs/>
          <w:noProof w:val="0"/>
          <w:lang w:val="es-ES_tradnl" w:eastAsia="es-ES"/>
        </w:rPr>
        <w:t xml:space="preserve">, y permite el monitoreo a distancia en tiempo real. Un único MF-e puede ser utilizado por hasta 10 cajas de pago dependiendo del volumen de registros en cada una de ellas. El costo de adquisición es de R$1500, la mitad del costo del ECF. Además, al ser instalado no es necesario que la SEFAZ vaya al establecimiento para acreditar el aparato, ni que el contribuyente vaya a la SEFAZ. El proceso de acreditación es hecho on-line.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La substitución del ECF por el MF-e será hecha gradualmente, priorizando los sectores con mayor probabilidad de evasión, tales como combustibles y confección. Se estima que antes del final de la ejecución del programa, la totalidad de los 180 mil contribuyentes estarán utilizando el MF-e.</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Estimar el nivel de evasión relacionado con el ICMS es una tarea muy difícil. AMARAL, OLENIKE, AMARAL &amp; STEINBRUCH (2009): El estudio sobre la Evasión Fiscal de las Empresas Brasileñas, IBPT, es una referencia en esta área. Ellos analizaron 9.925 expedientes de infracción registrados contra empresas de todos los tamaños, siendo que en el 26,84% de los casos existía fuertes indicios de evasión y estimaron un nivel de evasión del 27,6%, el mismo valor de </w:t>
      </w:r>
      <w:r w:rsidR="00301083" w:rsidRPr="00756A16">
        <w:rPr>
          <w:rFonts w:ascii="Arial" w:eastAsia="Times New Roman" w:hAnsi="Arial" w:cs="Arial"/>
          <w:bCs/>
          <w:noProof w:val="0"/>
          <w:lang w:val="es-ES_tradnl" w:eastAsia="es-ES"/>
        </w:rPr>
        <w:t>un promedio linear</w:t>
      </w:r>
      <w:r w:rsidRPr="00756A16">
        <w:rPr>
          <w:rFonts w:ascii="Arial" w:eastAsia="Times New Roman" w:hAnsi="Arial" w:cs="Arial"/>
          <w:bCs/>
          <w:noProof w:val="0"/>
          <w:lang w:val="es-ES_tradnl" w:eastAsia="es-ES"/>
        </w:rPr>
        <w:t xml:space="preserve"> de estimaciones para el IVA en 14 países de América </w:t>
      </w:r>
      <w:r w:rsidRPr="00756A16">
        <w:rPr>
          <w:rFonts w:ascii="Arial" w:eastAsia="Times New Roman" w:hAnsi="Arial" w:cs="Arial"/>
          <w:bCs/>
          <w:noProof w:val="0"/>
          <w:lang w:val="es-ES_tradnl" w:eastAsia="es-ES"/>
        </w:rPr>
        <w:lastRenderedPageBreak/>
        <w:t>Latina. Este estudio no estuvo destinado apenas al sector minorista, sino a todos los sectores y a todo Brasil.</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El Estado de Ceará avanzó en la dirección a reducir el fraude fiscal, inclusive con recursos del BID con el PROFISCO I. Intuitivamente, se espera que los niveles de evasión en el estado sean menores que para el país en su conjunto. Se decidió para hacer esta evaluación, buscar informaciones para el estado y para el sector minorista en particular.</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Utilizando datos de 1.750 fiscalizaciones en firmas del sector minorista entre 2014 y 2016, que registraron un total declarado de ICMS debido por un valor de R$ 620.053.705, fueron registrado expedientes de actuación por un valor de R$ 146.790.729. En otras palabras, los fiscales de la SEFAZ interpretaron que las firmas omitieron casi R$ 150 millones del valor debido de ICMS. En este sentido, el valor total que debería haber sido declarado fue de R$ 766.844.433. El valor no declarado representó el 23,7% del total declarado; menor, pero próximo del valor encontrado en el estudio mencionado anteriormente para Brasil y para el IVA en 14 países de América Latina.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Sin embargo, es importante observar que las fiscalizaciones no son aleatorias, sino desencadenadas por algún indicativo de presencia de evasión. Aplicar el índice de evasión fiscal calculado a partir de fiscalizaciones para el universo del sector posiblemente estaría sobreestimando el total de evasión fiscal.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Se optó por un enfoque bastante conservador, adoptando la hipótesis de que el universo del sector minorista registra un porcentaje de evasión equivalente a la mitad verificada entre las firmas que fueron objeto de auditoría, el 11,8% del valor declarado de ICMS.</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Mediante la implantación del MF-e se espera cerrar dramáticamente las brechas de evasión, pero no se puede afirmar que ellas serán totalmente eliminadas. Nuevamente, para hacer una estimación de beneficios radicalmente conservadora se optó por asumir que el uso del MF-e reducirá apenas el 50% del fraude en el sector. De esta forma, la recaudación de ICMS aumentaría un 5,9% anualmente cuando los 50 mil contribuyentes activos estén utilizando el MF-e.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La recaudación de ICMS del sector minorista durante los último 12 meses (agosto 2016 – julio 2017) fue de R$1.461.977.216 en Ceará. Aplicando el porcentaje de 5,9%, se espera una recaudación adicional de R$ 86.526.659 al año. Esto sin considerar recaudaciones adicionales al aumentar la cantidad de establecimientos que actualmente no utilizan un sistema electrónico de emisión de cupón fiscal (130 mil).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Estos aumentos de recaudación serán distribuidos en el tiempo, comenzando en el segundo año de ejecución, asumiendo que los actuales </w:t>
      </w:r>
      <w:proofErr w:type="spellStart"/>
      <w:r w:rsidRPr="00756A16">
        <w:rPr>
          <w:rFonts w:ascii="Arial" w:eastAsia="Times New Roman" w:hAnsi="Arial" w:cs="Arial"/>
          <w:bCs/>
          <w:noProof w:val="0"/>
          <w:lang w:val="es-ES_tradnl" w:eastAsia="es-ES"/>
        </w:rPr>
        <w:t>ECFs</w:t>
      </w:r>
      <w:proofErr w:type="spellEnd"/>
      <w:r w:rsidRPr="00756A16">
        <w:rPr>
          <w:rFonts w:ascii="Arial" w:eastAsia="Times New Roman" w:hAnsi="Arial" w:cs="Arial"/>
          <w:bCs/>
          <w:noProof w:val="0"/>
          <w:lang w:val="es-ES_tradnl" w:eastAsia="es-ES"/>
        </w:rPr>
        <w:t xml:space="preserve"> serán sustituidos en tres años. Estos aumentos son permanentes, continuando durante los años de la evaluación costo-beneficio.</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En lo que se refiere al costo de adquisición del nuevo MF-e, se optó por desconsideran debido a la vida limitada de la herramienta actual que fuerza su substitución y el costo mucho menor de reposición de la nueva herramienta.</w:t>
      </w:r>
    </w:p>
    <w:p w:rsidR="00745700" w:rsidRPr="00756A16" w:rsidRDefault="00745700" w:rsidP="0096094D">
      <w:pPr>
        <w:keepNext/>
        <w:suppressAutoHyphens/>
        <w:spacing w:before="120" w:after="0" w:line="240" w:lineRule="auto"/>
        <w:jc w:val="both"/>
        <w:outlineLvl w:val="3"/>
        <w:rPr>
          <w:rFonts w:ascii="Arial" w:eastAsia="Times New Roman" w:hAnsi="Arial" w:cs="Arial"/>
          <w:bCs/>
          <w:noProof w:val="0"/>
          <w:lang w:val="es-ES_tradnl" w:eastAsia="es-ES"/>
        </w:rPr>
      </w:pPr>
      <w:r>
        <w:rPr>
          <w:rFonts w:ascii="Arial" w:eastAsia="Times New Roman" w:hAnsi="Arial" w:cs="Arial"/>
          <w:bCs/>
          <w:noProof w:val="0"/>
          <w:lang w:val="es-ES_tradnl" w:eastAsia="es-ES"/>
        </w:rPr>
        <w:t xml:space="preserve"> </w:t>
      </w:r>
    </w:p>
    <w:p w:rsidR="0096094D" w:rsidRPr="00756A16" w:rsidRDefault="0096094D" w:rsidP="00745700">
      <w:pPr>
        <w:ind w:left="900" w:hanging="450"/>
        <w:rPr>
          <w:rFonts w:ascii="Arial" w:eastAsiaTheme="minorEastAsia" w:hAnsi="Arial" w:cs="Arial"/>
          <w:b/>
          <w:noProof w:val="0"/>
          <w:lang w:val="es-ES_tradnl"/>
        </w:rPr>
      </w:pPr>
      <w:proofErr w:type="gramStart"/>
      <w:r w:rsidRPr="00756A16">
        <w:rPr>
          <w:rFonts w:ascii="Arial" w:eastAsiaTheme="minorEastAsia" w:hAnsi="Arial" w:cs="Arial"/>
          <w:b/>
          <w:noProof w:val="0"/>
          <w:lang w:val="es-ES_tradnl"/>
        </w:rPr>
        <w:t xml:space="preserve">B.2 </w:t>
      </w:r>
      <w:r w:rsidR="00745700">
        <w:rPr>
          <w:rFonts w:ascii="Arial" w:eastAsiaTheme="minorEastAsia" w:hAnsi="Arial" w:cs="Arial"/>
          <w:b/>
          <w:noProof w:val="0"/>
          <w:lang w:val="es-ES_tradnl"/>
        </w:rPr>
        <w:t xml:space="preserve"> </w:t>
      </w:r>
      <w:r w:rsidRPr="00756A16">
        <w:rPr>
          <w:rFonts w:ascii="Arial" w:eastAsiaTheme="minorEastAsia" w:hAnsi="Arial" w:cs="Arial"/>
          <w:b/>
          <w:noProof w:val="0"/>
          <w:lang w:val="es-ES_tradnl"/>
        </w:rPr>
        <w:t>Reducción</w:t>
      </w:r>
      <w:proofErr w:type="gramEnd"/>
      <w:r w:rsidRPr="00756A16">
        <w:rPr>
          <w:rFonts w:ascii="Arial" w:eastAsiaTheme="minorEastAsia" w:hAnsi="Arial" w:cs="Arial"/>
          <w:b/>
          <w:noProof w:val="0"/>
          <w:lang w:val="es-ES_tradnl"/>
        </w:rPr>
        <w:t xml:space="preserve"> de costos para que el contribuyente cumpla sus obligaciones tributarias</w:t>
      </w:r>
    </w:p>
    <w:p w:rsidR="0096094D" w:rsidRPr="00756A16" w:rsidRDefault="0096094D" w:rsidP="0096094D">
      <w:pPr>
        <w:keepNext/>
        <w:suppressAutoHyphens/>
        <w:spacing w:before="120" w:after="0" w:line="240" w:lineRule="auto"/>
        <w:ind w:left="851"/>
        <w:jc w:val="both"/>
        <w:outlineLvl w:val="3"/>
        <w:rPr>
          <w:rFonts w:ascii="Arial" w:eastAsia="Times New Roman" w:hAnsi="Arial" w:cs="Arial"/>
          <w:b/>
          <w:bCs/>
          <w:noProof w:val="0"/>
          <w:lang w:val="es-ES_tradnl" w:eastAsia="es-ES"/>
        </w:rPr>
      </w:pPr>
      <w:r w:rsidRPr="00756A16">
        <w:rPr>
          <w:rFonts w:ascii="Arial" w:eastAsia="Times New Roman" w:hAnsi="Arial" w:cs="Arial"/>
          <w:b/>
          <w:bCs/>
          <w:noProof w:val="0"/>
          <w:lang w:val="es-ES_tradnl" w:eastAsia="es-ES"/>
        </w:rPr>
        <w:lastRenderedPageBreak/>
        <w:t>Producto 2.6- Proceso de atención automatizado</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Brasil ocupa una de las peores posiciones (181 de 190) en materia del tiempo necesario para que el contribuyente cumpla con sus obligaciones tributarias, de acuerdo con el Informe </w:t>
      </w:r>
      <w:proofErr w:type="spellStart"/>
      <w:r w:rsidRPr="00756A16">
        <w:rPr>
          <w:rFonts w:ascii="Arial" w:eastAsia="Times New Roman" w:hAnsi="Arial" w:cs="Arial"/>
          <w:bCs/>
          <w:i/>
          <w:noProof w:val="0"/>
          <w:lang w:val="es-ES_tradnl" w:eastAsia="es-ES"/>
        </w:rPr>
        <w:t>Doing</w:t>
      </w:r>
      <w:proofErr w:type="spellEnd"/>
      <w:r w:rsidRPr="00756A16">
        <w:rPr>
          <w:rFonts w:ascii="Arial" w:eastAsia="Times New Roman" w:hAnsi="Arial" w:cs="Arial"/>
          <w:bCs/>
          <w:i/>
          <w:noProof w:val="0"/>
          <w:lang w:val="es-ES_tradnl" w:eastAsia="es-ES"/>
        </w:rPr>
        <w:t xml:space="preserve"> Business</w:t>
      </w:r>
      <w:r w:rsidRPr="00756A16">
        <w:rPr>
          <w:rFonts w:ascii="Arial" w:eastAsia="Times New Roman" w:hAnsi="Arial" w:cs="Arial"/>
          <w:bCs/>
          <w:noProof w:val="0"/>
          <w:lang w:val="es-ES_tradnl" w:eastAsia="es-ES"/>
        </w:rPr>
        <w:t xml:space="preserve">. Aunque los datos se refieran apenas a Rio de Janeiro y São Paulo, la situación no es diferente para el resto de Brasil. La edición de 2017 </w:t>
      </w:r>
      <w:r w:rsidR="00301083" w:rsidRPr="00756A16">
        <w:rPr>
          <w:rFonts w:ascii="Arial" w:eastAsia="Times New Roman" w:hAnsi="Arial" w:cs="Arial"/>
          <w:bCs/>
          <w:noProof w:val="0"/>
          <w:lang w:val="es-ES_tradnl" w:eastAsia="es-ES"/>
        </w:rPr>
        <w:t xml:space="preserve">del </w:t>
      </w:r>
      <w:proofErr w:type="spellStart"/>
      <w:r w:rsidR="006B2804" w:rsidRPr="006B2804">
        <w:rPr>
          <w:rFonts w:ascii="Arial" w:eastAsia="Times New Roman" w:hAnsi="Arial" w:cs="Arial"/>
          <w:bCs/>
          <w:i/>
          <w:noProof w:val="0"/>
          <w:lang w:val="es-ES_tradnl" w:eastAsia="es-ES"/>
        </w:rPr>
        <w:t>Doing</w:t>
      </w:r>
      <w:proofErr w:type="spellEnd"/>
      <w:r w:rsidR="006B2804" w:rsidRPr="006B2804">
        <w:rPr>
          <w:rFonts w:ascii="Arial" w:eastAsia="Times New Roman" w:hAnsi="Arial" w:cs="Arial"/>
          <w:bCs/>
          <w:i/>
          <w:noProof w:val="0"/>
          <w:lang w:val="es-ES_tradnl" w:eastAsia="es-ES"/>
        </w:rPr>
        <w:t xml:space="preserve"> Business</w:t>
      </w:r>
      <w:r w:rsidR="006B2804">
        <w:rPr>
          <w:rFonts w:ascii="Arial" w:eastAsia="Times New Roman" w:hAnsi="Arial" w:cs="Arial"/>
          <w:bCs/>
          <w:noProof w:val="0"/>
          <w:lang w:val="es-ES_tradnl" w:eastAsia="es-ES"/>
        </w:rPr>
        <w:t xml:space="preserve"> </w:t>
      </w:r>
      <w:r w:rsidR="00301083" w:rsidRPr="00301083">
        <w:rPr>
          <w:rFonts w:ascii="Arial" w:eastAsia="Times New Roman" w:hAnsi="Arial" w:cs="Arial"/>
          <w:bCs/>
          <w:noProof w:val="0"/>
          <w:lang w:val="es-ES_tradnl" w:eastAsia="es-ES"/>
        </w:rPr>
        <w:t>registr</w:t>
      </w:r>
      <w:r w:rsidR="006B2804">
        <w:rPr>
          <w:rFonts w:ascii="Arial" w:eastAsia="Times New Roman" w:hAnsi="Arial" w:cs="Arial"/>
          <w:bCs/>
          <w:noProof w:val="0"/>
          <w:lang w:val="es-ES_tradnl" w:eastAsia="es-ES"/>
        </w:rPr>
        <w:t>ó</w:t>
      </w:r>
      <w:r w:rsidRPr="00301083">
        <w:rPr>
          <w:rFonts w:ascii="Arial" w:eastAsia="Times New Roman" w:hAnsi="Arial" w:cs="Arial"/>
          <w:bCs/>
          <w:noProof w:val="0"/>
          <w:lang w:val="es-ES_tradnl" w:eastAsia="es-ES"/>
        </w:rPr>
        <w:t xml:space="preserve"> </w:t>
      </w:r>
      <w:r w:rsidRPr="00756A16">
        <w:rPr>
          <w:rFonts w:ascii="Arial" w:eastAsia="Times New Roman" w:hAnsi="Arial" w:cs="Arial"/>
          <w:bCs/>
          <w:noProof w:val="0"/>
          <w:lang w:val="es-ES_tradnl" w:eastAsia="es-ES"/>
        </w:rPr>
        <w:t>que una empresa, en promedio, gasta 2038 horas anualmente para cumplir sus obligaciones tributarias. Para el ICMS, este tiempo es de 1189 horas anualmente.</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La Implantación del Sistema Público de Escrituración Digital (SPED)</w:t>
      </w:r>
      <w:r w:rsidRPr="00756A16">
        <w:rPr>
          <w:rFonts w:ascii="Arial" w:eastAsia="Times New Roman" w:hAnsi="Arial" w:cs="Arial"/>
          <w:bCs/>
          <w:noProof w:val="0"/>
          <w:vertAlign w:val="superscript"/>
          <w:lang w:val="es-ES_tradnl" w:eastAsia="es-ES"/>
        </w:rPr>
        <w:footnoteReference w:id="7"/>
      </w:r>
      <w:r w:rsidRPr="00756A16">
        <w:rPr>
          <w:rFonts w:ascii="Arial" w:eastAsia="Times New Roman" w:hAnsi="Arial" w:cs="Arial"/>
          <w:bCs/>
          <w:noProof w:val="0"/>
          <w:lang w:val="es-ES_tradnl" w:eastAsia="es-ES"/>
        </w:rPr>
        <w:t xml:space="preserve">, apoyada por el PROFISCO I, representó un avance en dirección a mejorar las condiciones para que el contribuyente cumpla sus obligaciones tributarias. Sin embargo, todavía resta mucho por avanzar.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En Ceará también existen 113 diferentes transacciones que demandan la presencia física del contribuyente para realizarlas. Estas transacciones presenciales representan un costo para el contribuyente, incluyendo el tiempo de desplazamiento para ir y para volver del local de atención, tiempo de espera para ser atendido y tiempo de atención.</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PROFISCO II CE colocará a disposición online 58 de estos 113 servicios que actualmente son apenas presenciales. Apenas en los primeros seis meses de 2017 fueron un total de 190,781 atendimientos, incluyendo 147,241 de los servicios que serán colocados a disposición online.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Utilizando las estadísticas más recientes (de enero a junio de 2017) de tiempos medios de espera y atención por servicio recogidas por la SEFAZ y asumiendo conservadoramente una hora de traslado para que el contribuyente salga de su local de trabajo, vaya a la SEFAZ y regrese a su local de trabajo, multiplicando por el número promedio de atendimientos para los último treinta meses (promedio mensual entre Enero 2015 a Junio de 2017 multiplicado por 12), se concluye que los contribuyentes gastan casi 290 mil horas anualmente para realizar estas transacciones presenciales, incluyendo casi 230 mil horas en las transacciones que El PROFISCO II CE colocará a disposición online, tal como lo muestra la Tabla 5. </w:t>
      </w:r>
    </w:p>
    <w:p w:rsidR="0096094D" w:rsidRPr="00756A16" w:rsidRDefault="0096094D" w:rsidP="0096094D">
      <w:pPr>
        <w:pStyle w:val="ListParagraph"/>
        <w:keepNext/>
        <w:suppressAutoHyphens/>
        <w:spacing w:before="120" w:after="0" w:line="240" w:lineRule="auto"/>
        <w:ind w:left="1440"/>
        <w:jc w:val="both"/>
        <w:outlineLvl w:val="3"/>
        <w:rPr>
          <w:rFonts w:ascii="Arial" w:eastAsia="Times New Roman" w:hAnsi="Arial" w:cs="Arial"/>
          <w:bCs/>
          <w:noProof w:val="0"/>
          <w:lang w:val="es-ES_tradnl" w:eastAsia="es-ES"/>
        </w:rPr>
      </w:pPr>
    </w:p>
    <w:tbl>
      <w:tblPr>
        <w:tblW w:w="7600" w:type="dxa"/>
        <w:tblInd w:w="1088" w:type="dxa"/>
        <w:tblLook w:val="04A0" w:firstRow="1" w:lastRow="0" w:firstColumn="1" w:lastColumn="0" w:noHBand="0" w:noVBand="1"/>
      </w:tblPr>
      <w:tblGrid>
        <w:gridCol w:w="4640"/>
        <w:gridCol w:w="1360"/>
        <w:gridCol w:w="1600"/>
      </w:tblGrid>
      <w:tr w:rsidR="0096094D" w:rsidRPr="00756A16" w:rsidTr="00E214C9">
        <w:trPr>
          <w:trHeight w:val="255"/>
        </w:trPr>
        <w:tc>
          <w:tcPr>
            <w:tcW w:w="4640" w:type="dxa"/>
            <w:tcBorders>
              <w:top w:val="nil"/>
              <w:left w:val="nil"/>
              <w:bottom w:val="nil"/>
              <w:right w:val="nil"/>
            </w:tcBorders>
            <w:shd w:val="clear" w:color="auto" w:fill="auto"/>
            <w:noWrap/>
            <w:vAlign w:val="bottom"/>
            <w:hideMark/>
          </w:tcPr>
          <w:p w:rsidR="0096094D" w:rsidRPr="00756A16" w:rsidRDefault="0096094D" w:rsidP="00745700">
            <w:pPr>
              <w:spacing w:after="0" w:line="240" w:lineRule="auto"/>
              <w:jc w:val="center"/>
              <w:rPr>
                <w:rFonts w:ascii="Arial" w:eastAsia="Times New Roman" w:hAnsi="Arial" w:cs="Arial"/>
                <w:b/>
                <w:noProof w:val="0"/>
                <w:sz w:val="20"/>
                <w:szCs w:val="20"/>
                <w:lang w:val="es-ES_tradnl"/>
              </w:rPr>
            </w:pPr>
            <w:r w:rsidRPr="00756A16">
              <w:rPr>
                <w:rFonts w:ascii="Arial" w:eastAsia="Times New Roman" w:hAnsi="Arial" w:cs="Arial"/>
                <w:b/>
                <w:noProof w:val="0"/>
                <w:sz w:val="20"/>
                <w:szCs w:val="20"/>
                <w:lang w:val="es-ES_tradnl"/>
              </w:rPr>
              <w:t>Cuadro 6. Tiempos Medios al año</w:t>
            </w:r>
          </w:p>
        </w:tc>
        <w:tc>
          <w:tcPr>
            <w:tcW w:w="136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lang w:val="es-ES_tradnl"/>
              </w:rPr>
            </w:pPr>
          </w:p>
        </w:tc>
        <w:tc>
          <w:tcPr>
            <w:tcW w:w="160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lang w:val="es-ES_tradnl"/>
              </w:rPr>
            </w:pPr>
          </w:p>
        </w:tc>
      </w:tr>
      <w:tr w:rsidR="0096094D" w:rsidRPr="00756A16" w:rsidTr="00960546">
        <w:trPr>
          <w:trHeight w:val="255"/>
        </w:trPr>
        <w:tc>
          <w:tcPr>
            <w:tcW w:w="4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noProof w:val="0"/>
                <w:sz w:val="18"/>
                <w:szCs w:val="18"/>
                <w:lang w:val="es-ES_tradnl"/>
              </w:rPr>
            </w:pPr>
            <w:r w:rsidRPr="00960546">
              <w:rPr>
                <w:rFonts w:ascii="Arial" w:eastAsia="Times New Roman" w:hAnsi="Arial" w:cs="Arial"/>
                <w:b/>
                <w:noProof w:val="0"/>
                <w:sz w:val="18"/>
                <w:szCs w:val="18"/>
                <w:lang w:val="es-ES_tradnl"/>
              </w:rPr>
              <w:t>Todos</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96094D" w:rsidRPr="00960546" w:rsidRDefault="0096094D" w:rsidP="00960546">
            <w:pPr>
              <w:spacing w:after="0" w:line="240" w:lineRule="auto"/>
              <w:jc w:val="center"/>
              <w:rPr>
                <w:rFonts w:ascii="Arial" w:eastAsia="Times New Roman" w:hAnsi="Arial" w:cs="Arial"/>
                <w:b/>
                <w:noProof w:val="0"/>
                <w:sz w:val="18"/>
                <w:szCs w:val="18"/>
                <w:lang w:val="es-ES_tradnl"/>
              </w:rPr>
            </w:pPr>
            <w:r w:rsidRPr="00960546">
              <w:rPr>
                <w:rFonts w:ascii="Arial" w:eastAsia="Times New Roman" w:hAnsi="Arial" w:cs="Arial"/>
                <w:b/>
                <w:noProof w:val="0"/>
                <w:sz w:val="18"/>
                <w:szCs w:val="18"/>
                <w:lang w:val="es-ES_tradnl"/>
              </w:rPr>
              <w:t>Online en el futuro</w:t>
            </w:r>
          </w:p>
        </w:tc>
      </w:tr>
      <w:tr w:rsidR="0096094D" w:rsidRPr="00756A16" w:rsidTr="00E214C9">
        <w:trPr>
          <w:trHeight w:val="255"/>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Horas de espera</w:t>
            </w:r>
          </w:p>
        </w:tc>
        <w:tc>
          <w:tcPr>
            <w:tcW w:w="13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24.806,54 </w:t>
            </w:r>
          </w:p>
        </w:tc>
        <w:tc>
          <w:tcPr>
            <w:tcW w:w="1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19.730,71 </w:t>
            </w:r>
          </w:p>
        </w:tc>
      </w:tr>
      <w:tr w:rsidR="0096094D" w:rsidRPr="00756A16" w:rsidTr="00E214C9">
        <w:trPr>
          <w:trHeight w:val="255"/>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Horas de atención</w:t>
            </w:r>
          </w:p>
        </w:tc>
        <w:tc>
          <w:tcPr>
            <w:tcW w:w="13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26.385,46 </w:t>
            </w:r>
          </w:p>
        </w:tc>
        <w:tc>
          <w:tcPr>
            <w:tcW w:w="1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20.111,54 </w:t>
            </w:r>
          </w:p>
        </w:tc>
      </w:tr>
      <w:tr w:rsidR="0096094D" w:rsidRPr="00756A16" w:rsidTr="00E214C9">
        <w:trPr>
          <w:trHeight w:val="255"/>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Horas de desplazamiento</w:t>
            </w:r>
          </w:p>
        </w:tc>
        <w:tc>
          <w:tcPr>
            <w:tcW w:w="13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238.736,80 </w:t>
            </w:r>
          </w:p>
        </w:tc>
        <w:tc>
          <w:tcPr>
            <w:tcW w:w="1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188.804,00 </w:t>
            </w:r>
          </w:p>
        </w:tc>
      </w:tr>
      <w:tr w:rsidR="0096094D" w:rsidRPr="00756A16" w:rsidTr="00E214C9">
        <w:trPr>
          <w:trHeight w:val="255"/>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Total</w:t>
            </w:r>
          </w:p>
        </w:tc>
        <w:tc>
          <w:tcPr>
            <w:tcW w:w="13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289.928,80 </w:t>
            </w:r>
          </w:p>
        </w:tc>
        <w:tc>
          <w:tcPr>
            <w:tcW w:w="160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228.646,25 </w:t>
            </w:r>
          </w:p>
        </w:tc>
      </w:tr>
    </w:tbl>
    <w:p w:rsidR="0096094D" w:rsidRPr="00756A16" w:rsidRDefault="0096094D" w:rsidP="0096094D">
      <w:pPr>
        <w:pStyle w:val="ListParagraph"/>
        <w:keepNext/>
        <w:suppressAutoHyphens/>
        <w:spacing w:before="120" w:after="0" w:line="240" w:lineRule="auto"/>
        <w:ind w:left="1440"/>
        <w:jc w:val="both"/>
        <w:outlineLvl w:val="3"/>
        <w:rPr>
          <w:rFonts w:ascii="Times New Roman" w:eastAsia="Times New Roman" w:hAnsi="Times New Roman"/>
          <w:bCs/>
          <w:noProof w:val="0"/>
          <w:sz w:val="24"/>
          <w:szCs w:val="24"/>
          <w:lang w:val="es-ES_tradnl" w:eastAsia="es-ES"/>
        </w:rPr>
      </w:pP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En Ceará, así como en Brasil, son los profesionales de contabilidad </w:t>
      </w:r>
      <w:r w:rsidR="006B2804" w:rsidRPr="00756A16">
        <w:rPr>
          <w:rFonts w:ascii="Arial" w:eastAsia="Times New Roman" w:hAnsi="Arial" w:cs="Arial"/>
          <w:bCs/>
          <w:noProof w:val="0"/>
          <w:lang w:val="es-ES_tradnl" w:eastAsia="es-ES"/>
        </w:rPr>
        <w:t>quienes elaboran</w:t>
      </w:r>
      <w:r w:rsidRPr="00756A16">
        <w:rPr>
          <w:rFonts w:ascii="Arial" w:eastAsia="Times New Roman" w:hAnsi="Arial" w:cs="Arial"/>
          <w:bCs/>
          <w:noProof w:val="0"/>
          <w:lang w:val="es-ES_tradnl" w:eastAsia="es-ES"/>
        </w:rPr>
        <w:t xml:space="preserve"> la contabilidad de las empresas, a través de sectores dentro de las empresas o empresas de contabilidad externas. O sea, profesionales de </w:t>
      </w:r>
      <w:r w:rsidRPr="00756A16">
        <w:rPr>
          <w:rFonts w:ascii="Arial" w:eastAsia="Times New Roman" w:hAnsi="Arial" w:cs="Arial"/>
          <w:bCs/>
          <w:noProof w:val="0"/>
          <w:lang w:val="es-ES_tradnl" w:eastAsia="es-ES"/>
        </w:rPr>
        <w:lastRenderedPageBreak/>
        <w:t xml:space="preserve">contabilidad realizan los servicios de escrituración y las transacciones con el fisco.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Para la fijación de precios del costo de las transacciones descriptas anteriormente, se utilizó como base el menor salario para un profesional de contabilidad establecido por el Convenio Colectivo entre el Sindicato de los Contables en el Estado de Ceará y Sindicato de las Empresas de Servicios Contables de Ceará para 2016/2017.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Al salario de R$1.306,80 se le sumaron las cargas establecidas en ley, tal como es posible ver en el siguiente cuadro 6:</w:t>
      </w:r>
    </w:p>
    <w:p w:rsidR="0096094D" w:rsidRPr="00756A16" w:rsidRDefault="0096094D" w:rsidP="0096094D">
      <w:pPr>
        <w:keepNext/>
        <w:suppressAutoHyphens/>
        <w:spacing w:before="120" w:after="0" w:line="240" w:lineRule="auto"/>
        <w:jc w:val="both"/>
        <w:outlineLvl w:val="3"/>
        <w:rPr>
          <w:rFonts w:ascii="Arial" w:eastAsia="Times New Roman" w:hAnsi="Arial" w:cs="Arial"/>
          <w:bCs/>
          <w:noProof w:val="0"/>
          <w:lang w:val="es-ES_tradnl" w:eastAsia="es-ES"/>
        </w:rPr>
      </w:pPr>
    </w:p>
    <w:p w:rsidR="0096094D" w:rsidRPr="00756A16" w:rsidRDefault="0096094D" w:rsidP="00745700">
      <w:pPr>
        <w:pStyle w:val="ListParagraph"/>
        <w:keepNext/>
        <w:suppressAutoHyphens/>
        <w:spacing w:before="120" w:after="0" w:line="240" w:lineRule="auto"/>
        <w:ind w:left="1440"/>
        <w:jc w:val="center"/>
        <w:outlineLvl w:val="3"/>
        <w:rPr>
          <w:rFonts w:ascii="Arial" w:eastAsia="Times New Roman" w:hAnsi="Arial" w:cs="Arial"/>
          <w:b/>
          <w:noProof w:val="0"/>
          <w:sz w:val="20"/>
          <w:szCs w:val="20"/>
          <w:lang w:val="es-ES_tradnl"/>
        </w:rPr>
      </w:pPr>
      <w:r w:rsidRPr="00756A16">
        <w:rPr>
          <w:rFonts w:ascii="Arial" w:eastAsia="Times New Roman" w:hAnsi="Arial" w:cs="Arial"/>
          <w:b/>
          <w:noProof w:val="0"/>
          <w:sz w:val="20"/>
          <w:szCs w:val="20"/>
          <w:lang w:val="es-ES_tradnl"/>
        </w:rPr>
        <w:t>Cuadro 7. Salario de Contable I-Asistente</w:t>
      </w:r>
    </w:p>
    <w:tbl>
      <w:tblPr>
        <w:tblW w:w="6096"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275"/>
        <w:gridCol w:w="1560"/>
      </w:tblGrid>
      <w:tr w:rsidR="0096094D" w:rsidRPr="00756A16" w:rsidTr="00E214C9">
        <w:trPr>
          <w:trHeight w:val="325"/>
        </w:trPr>
        <w:tc>
          <w:tcPr>
            <w:tcW w:w="3261" w:type="dxa"/>
            <w:shd w:val="clear" w:color="auto" w:fill="auto"/>
            <w:noWrap/>
            <w:vAlign w:val="bottom"/>
            <w:hideMark/>
          </w:tcPr>
          <w:p w:rsidR="0096094D" w:rsidRPr="00647A34" w:rsidRDefault="0096094D" w:rsidP="00647A34">
            <w:pPr>
              <w:spacing w:after="0" w:line="240" w:lineRule="auto"/>
              <w:rPr>
                <w:rFonts w:ascii="Arial" w:eastAsia="Times New Roman" w:hAnsi="Arial" w:cs="Arial"/>
                <w:b/>
                <w:noProof w:val="0"/>
                <w:sz w:val="18"/>
                <w:szCs w:val="18"/>
                <w:lang w:val="es-ES_tradnl"/>
              </w:rPr>
            </w:pPr>
            <w:r w:rsidRPr="00647A34">
              <w:rPr>
                <w:rFonts w:ascii="Arial" w:eastAsia="Times New Roman" w:hAnsi="Arial" w:cs="Arial"/>
                <w:b/>
                <w:noProof w:val="0"/>
                <w:sz w:val="18"/>
                <w:szCs w:val="18"/>
                <w:lang w:val="es-ES_tradnl"/>
              </w:rPr>
              <w:t>Evento</w:t>
            </w:r>
          </w:p>
        </w:tc>
        <w:tc>
          <w:tcPr>
            <w:tcW w:w="1275" w:type="dxa"/>
            <w:shd w:val="clear" w:color="auto" w:fill="auto"/>
            <w:noWrap/>
            <w:vAlign w:val="bottom"/>
            <w:hideMark/>
          </w:tcPr>
          <w:p w:rsidR="0096094D" w:rsidRPr="00647A34" w:rsidRDefault="0096094D" w:rsidP="00647A34">
            <w:pPr>
              <w:spacing w:after="0" w:line="240" w:lineRule="auto"/>
              <w:jc w:val="center"/>
              <w:rPr>
                <w:rFonts w:ascii="Arial" w:eastAsia="Times New Roman" w:hAnsi="Arial" w:cs="Arial"/>
                <w:b/>
                <w:noProof w:val="0"/>
                <w:sz w:val="18"/>
                <w:szCs w:val="18"/>
                <w:lang w:val="es-ES_tradnl"/>
              </w:rPr>
            </w:pPr>
            <w:r w:rsidRPr="00647A34">
              <w:rPr>
                <w:rFonts w:ascii="Arial" w:eastAsia="Times New Roman" w:hAnsi="Arial" w:cs="Arial"/>
                <w:b/>
                <w:noProof w:val="0"/>
                <w:sz w:val="18"/>
                <w:szCs w:val="18"/>
                <w:lang w:val="es-ES_tradnl"/>
              </w:rPr>
              <w:t>Referencia</w:t>
            </w:r>
          </w:p>
        </w:tc>
        <w:tc>
          <w:tcPr>
            <w:tcW w:w="1560" w:type="dxa"/>
            <w:shd w:val="clear" w:color="auto" w:fill="auto"/>
            <w:noWrap/>
            <w:vAlign w:val="bottom"/>
            <w:hideMark/>
          </w:tcPr>
          <w:p w:rsidR="0096094D" w:rsidRPr="00647A34" w:rsidRDefault="0096094D" w:rsidP="00647A34">
            <w:pPr>
              <w:spacing w:after="0" w:line="240" w:lineRule="auto"/>
              <w:jc w:val="center"/>
              <w:rPr>
                <w:rFonts w:ascii="Arial" w:eastAsia="Times New Roman" w:hAnsi="Arial" w:cs="Arial"/>
                <w:b/>
                <w:noProof w:val="0"/>
                <w:sz w:val="18"/>
                <w:szCs w:val="18"/>
                <w:lang w:val="es-ES_tradnl"/>
              </w:rPr>
            </w:pPr>
            <w:r w:rsidRPr="00647A34">
              <w:rPr>
                <w:rFonts w:ascii="Arial" w:eastAsia="Times New Roman" w:hAnsi="Arial" w:cs="Arial"/>
                <w:b/>
                <w:noProof w:val="0"/>
                <w:sz w:val="18"/>
                <w:szCs w:val="18"/>
                <w:lang w:val="es-ES_tradnl"/>
              </w:rPr>
              <w:t>Valor</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Salario</w:t>
            </w:r>
          </w:p>
        </w:tc>
        <w:tc>
          <w:tcPr>
            <w:tcW w:w="1275"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R$ 1.306,80</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Vale transporte</w:t>
            </w:r>
          </w:p>
        </w:tc>
        <w:tc>
          <w:tcPr>
            <w:tcW w:w="1275"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R$ 0,00</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Descuento vale transporte</w:t>
            </w:r>
          </w:p>
        </w:tc>
        <w:tc>
          <w:tcPr>
            <w:tcW w:w="1275"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R$ 0,00</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Vale refección</w:t>
            </w:r>
          </w:p>
        </w:tc>
        <w:tc>
          <w:tcPr>
            <w:tcW w:w="1275"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R$ 0,00</w:t>
            </w:r>
          </w:p>
        </w:tc>
      </w:tr>
      <w:tr w:rsidR="0096094D" w:rsidRPr="00756A16" w:rsidTr="00E214C9">
        <w:trPr>
          <w:trHeight w:val="344"/>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Plan de salud</w:t>
            </w:r>
          </w:p>
        </w:tc>
        <w:tc>
          <w:tcPr>
            <w:tcW w:w="1275"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R$ 0,00</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Otros beneficios</w:t>
            </w:r>
          </w:p>
        </w:tc>
        <w:tc>
          <w:tcPr>
            <w:tcW w:w="1275"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R$ 0,00</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Provisión Aguinaldo</w:t>
            </w:r>
          </w:p>
        </w:tc>
        <w:tc>
          <w:tcPr>
            <w:tcW w:w="1275"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8,3%</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R$ 108,90</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Provisión Vacaciones</w:t>
            </w:r>
          </w:p>
        </w:tc>
        <w:tc>
          <w:tcPr>
            <w:tcW w:w="1275"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8,3%</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R$ 108,90</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Provisión 1/3 Vacaciones</w:t>
            </w:r>
          </w:p>
        </w:tc>
        <w:tc>
          <w:tcPr>
            <w:tcW w:w="1275"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33%</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R$ 36,30</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FGTS</w:t>
            </w:r>
          </w:p>
        </w:tc>
        <w:tc>
          <w:tcPr>
            <w:tcW w:w="1275"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8%</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R$ 104,54</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Provisión FGTS (Aguinaldo y Vacaciones)</w:t>
            </w:r>
          </w:p>
        </w:tc>
        <w:tc>
          <w:tcPr>
            <w:tcW w:w="1275"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8%</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R$ 20,33</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INSS</w:t>
            </w:r>
          </w:p>
        </w:tc>
        <w:tc>
          <w:tcPr>
            <w:tcW w:w="1275"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20%</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R$ 261,36</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Provisión INSS (Aguinaldo y Vacaciones)</w:t>
            </w:r>
          </w:p>
        </w:tc>
        <w:tc>
          <w:tcPr>
            <w:tcW w:w="1275"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20%</w:t>
            </w: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R$ 50,82</w:t>
            </w:r>
          </w:p>
        </w:tc>
      </w:tr>
      <w:tr w:rsidR="0096094D" w:rsidRPr="00756A16" w:rsidTr="00E214C9">
        <w:trPr>
          <w:trHeight w:val="255"/>
        </w:trPr>
        <w:tc>
          <w:tcPr>
            <w:tcW w:w="3261" w:type="dxa"/>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Costo </w:t>
            </w:r>
            <w:r w:rsidR="006B2804" w:rsidRPr="00756A16">
              <w:rPr>
                <w:rFonts w:ascii="Arial" w:eastAsia="Times New Roman" w:hAnsi="Arial" w:cs="Arial"/>
                <w:noProof w:val="0"/>
                <w:sz w:val="18"/>
                <w:szCs w:val="18"/>
                <w:lang w:val="es-ES_tradnl"/>
              </w:rPr>
              <w:t>funcionario</w:t>
            </w:r>
          </w:p>
        </w:tc>
        <w:tc>
          <w:tcPr>
            <w:tcW w:w="1275"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p>
        </w:tc>
        <w:tc>
          <w:tcPr>
            <w:tcW w:w="1560" w:type="dxa"/>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R$ 1.997,95</w:t>
            </w:r>
          </w:p>
        </w:tc>
      </w:tr>
    </w:tbl>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El salario mensual se dividió por 182 horas (carga de trabajo diaria de 8 horas para una media de 4,55 semanas al mes), llegándose a un costo hora de R$10,98. La siguiente tabla 6 muestra la economía en Reales para los contribuyentes que están utilizando:</w:t>
      </w:r>
    </w:p>
    <w:p w:rsidR="0096094D" w:rsidRPr="00756A16" w:rsidRDefault="0096094D" w:rsidP="0096094D">
      <w:pPr>
        <w:pStyle w:val="ListParagraph"/>
        <w:keepNext/>
        <w:numPr>
          <w:ilvl w:val="2"/>
          <w:numId w:val="45"/>
        </w:numPr>
        <w:suppressAutoHyphens/>
        <w:spacing w:before="120" w:after="0" w:line="240" w:lineRule="auto"/>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Las estadísticas más recientes de tiempo de espera y atención y suponiendo una hora de desplazamiento;</w:t>
      </w:r>
    </w:p>
    <w:p w:rsidR="0096094D" w:rsidRPr="00756A16" w:rsidRDefault="0096094D" w:rsidP="0096094D">
      <w:pPr>
        <w:pStyle w:val="ListParagraph"/>
        <w:keepNext/>
        <w:numPr>
          <w:ilvl w:val="2"/>
          <w:numId w:val="45"/>
        </w:numPr>
        <w:suppressAutoHyphens/>
        <w:spacing w:before="120" w:after="0" w:line="240" w:lineRule="auto"/>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Costo-hora basado en el menor salario para contador establecido por convenio colectivo;</w:t>
      </w:r>
    </w:p>
    <w:p w:rsidR="0096094D" w:rsidRDefault="0096094D" w:rsidP="0096094D">
      <w:pPr>
        <w:pStyle w:val="ListParagraph"/>
        <w:keepNext/>
        <w:numPr>
          <w:ilvl w:val="2"/>
          <w:numId w:val="45"/>
        </w:numPr>
        <w:suppressAutoHyphens/>
        <w:spacing w:before="120" w:after="0" w:line="240" w:lineRule="auto"/>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Número de atendimientos para los servicios – promedio últimos 3 años.</w:t>
      </w:r>
    </w:p>
    <w:p w:rsidR="00647A34" w:rsidRPr="00756A16" w:rsidRDefault="00647A34" w:rsidP="00647A34">
      <w:pPr>
        <w:pStyle w:val="ListParagraph"/>
        <w:keepNext/>
        <w:suppressAutoHyphens/>
        <w:spacing w:before="120" w:after="0" w:line="240" w:lineRule="auto"/>
        <w:ind w:left="2003"/>
        <w:jc w:val="both"/>
        <w:outlineLvl w:val="3"/>
        <w:rPr>
          <w:rFonts w:ascii="Arial" w:eastAsia="Times New Roman" w:hAnsi="Arial" w:cs="Arial"/>
          <w:bCs/>
          <w:noProof w:val="0"/>
          <w:lang w:val="es-ES_tradnl" w:eastAsia="es-ES"/>
        </w:rPr>
      </w:pPr>
    </w:p>
    <w:p w:rsidR="0096094D" w:rsidRPr="00756A16" w:rsidRDefault="00647A34" w:rsidP="00647A34">
      <w:pPr>
        <w:pStyle w:val="ListParagraph"/>
        <w:keepNext/>
        <w:suppressAutoHyphens/>
        <w:spacing w:before="120" w:after="0" w:line="240" w:lineRule="auto"/>
        <w:ind w:left="1440"/>
        <w:jc w:val="center"/>
        <w:outlineLvl w:val="3"/>
        <w:rPr>
          <w:rFonts w:ascii="Arial" w:eastAsia="Times New Roman" w:hAnsi="Arial" w:cs="Arial"/>
          <w:bCs/>
          <w:noProof w:val="0"/>
          <w:lang w:val="es-ES_tradnl" w:eastAsia="es-ES"/>
        </w:rPr>
      </w:pPr>
      <w:r w:rsidRPr="00756A16">
        <w:rPr>
          <w:rFonts w:ascii="Arial" w:eastAsia="Times New Roman" w:hAnsi="Arial" w:cs="Arial"/>
          <w:b/>
          <w:noProof w:val="0"/>
          <w:sz w:val="20"/>
          <w:szCs w:val="20"/>
          <w:lang w:val="es-ES_tradnl"/>
        </w:rPr>
        <w:t>Cuadro 8. Economía Anual para los Contribuyentes</w:t>
      </w:r>
    </w:p>
    <w:tbl>
      <w:tblPr>
        <w:tblW w:w="7061" w:type="dxa"/>
        <w:tblInd w:w="954" w:type="dxa"/>
        <w:tblLook w:val="04A0" w:firstRow="1" w:lastRow="0" w:firstColumn="1" w:lastColumn="0" w:noHBand="0" w:noVBand="1"/>
      </w:tblPr>
      <w:tblGrid>
        <w:gridCol w:w="2808"/>
        <w:gridCol w:w="1843"/>
        <w:gridCol w:w="2410"/>
      </w:tblGrid>
      <w:tr w:rsidR="0096094D" w:rsidRPr="00756A16" w:rsidTr="00647A34">
        <w:trPr>
          <w:trHeight w:val="255"/>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647A34" w:rsidRDefault="0096094D" w:rsidP="00E214C9">
            <w:pPr>
              <w:spacing w:after="0" w:line="240" w:lineRule="auto"/>
              <w:jc w:val="center"/>
              <w:rPr>
                <w:rFonts w:ascii="Arial" w:eastAsia="Times New Roman" w:hAnsi="Arial" w:cs="Arial"/>
                <w:b/>
                <w:noProof w:val="0"/>
                <w:sz w:val="18"/>
                <w:szCs w:val="18"/>
                <w:lang w:val="es-ES_tradnl"/>
              </w:rPr>
            </w:pPr>
            <w:r w:rsidRPr="00647A34">
              <w:rPr>
                <w:rFonts w:ascii="Arial" w:eastAsia="Times New Roman" w:hAnsi="Arial" w:cs="Arial"/>
                <w:b/>
                <w:noProof w:val="0"/>
                <w:sz w:val="18"/>
                <w:szCs w:val="18"/>
                <w:lang w:val="es-ES_tradnl"/>
              </w:rPr>
              <w:t>Tiempo en horas</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647A34" w:rsidRDefault="0096094D" w:rsidP="00E214C9">
            <w:pPr>
              <w:spacing w:after="0" w:line="240" w:lineRule="auto"/>
              <w:jc w:val="center"/>
              <w:rPr>
                <w:rFonts w:ascii="Arial" w:eastAsia="Times New Roman" w:hAnsi="Arial" w:cs="Arial"/>
                <w:b/>
                <w:noProof w:val="0"/>
                <w:sz w:val="18"/>
                <w:szCs w:val="18"/>
                <w:lang w:val="es-ES_tradnl"/>
              </w:rPr>
            </w:pPr>
            <w:r w:rsidRPr="00647A34">
              <w:rPr>
                <w:rFonts w:ascii="Arial" w:eastAsia="Times New Roman" w:hAnsi="Arial" w:cs="Arial"/>
                <w:b/>
                <w:noProof w:val="0"/>
                <w:sz w:val="18"/>
                <w:szCs w:val="18"/>
                <w:lang w:val="es-ES_tradnl"/>
              </w:rPr>
              <w:t>Valor (R$</w:t>
            </w:r>
          </w:p>
        </w:tc>
      </w:tr>
      <w:tr w:rsidR="0096094D" w:rsidRPr="00756A16" w:rsidTr="00647A34">
        <w:trPr>
          <w:trHeight w:val="255"/>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Horas de espera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19.731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R$ 216.599 </w:t>
            </w:r>
          </w:p>
        </w:tc>
      </w:tr>
      <w:tr w:rsidR="0096094D" w:rsidRPr="00756A16" w:rsidTr="00647A34">
        <w:trPr>
          <w:trHeight w:val="255"/>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Horas de atención</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20.112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R$ 220.779 </w:t>
            </w:r>
          </w:p>
        </w:tc>
      </w:tr>
      <w:tr w:rsidR="0096094D" w:rsidRPr="00756A16" w:rsidTr="00647A34">
        <w:trPr>
          <w:trHeight w:val="255"/>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Horas de desplazamiento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188.804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R$ 2.072.643 </w:t>
            </w:r>
          </w:p>
        </w:tc>
      </w:tr>
      <w:tr w:rsidR="0096094D" w:rsidRPr="00756A16" w:rsidTr="00647A34">
        <w:trPr>
          <w:trHeight w:val="255"/>
        </w:trPr>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Total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228.646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8"/>
                <w:szCs w:val="18"/>
                <w:lang w:val="es-ES_tradnl"/>
              </w:rPr>
            </w:pPr>
            <w:r w:rsidRPr="00756A16">
              <w:rPr>
                <w:rFonts w:ascii="Arial" w:eastAsia="Times New Roman" w:hAnsi="Arial" w:cs="Arial"/>
                <w:noProof w:val="0"/>
                <w:sz w:val="18"/>
                <w:szCs w:val="18"/>
                <w:lang w:val="es-ES_tradnl"/>
              </w:rPr>
              <w:t xml:space="preserve"> R$ 2.510.021 </w:t>
            </w:r>
          </w:p>
        </w:tc>
      </w:tr>
    </w:tbl>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lastRenderedPageBreak/>
        <w:t xml:space="preserve">La </w:t>
      </w:r>
      <w:proofErr w:type="spellStart"/>
      <w:r w:rsidRPr="00756A16">
        <w:rPr>
          <w:rFonts w:ascii="Arial" w:eastAsia="Times New Roman" w:hAnsi="Arial" w:cs="Arial"/>
          <w:bCs/>
          <w:noProof w:val="0"/>
          <w:lang w:val="es-ES_tradnl" w:eastAsia="es-ES"/>
        </w:rPr>
        <w:t>disponibilización</w:t>
      </w:r>
      <w:proofErr w:type="spellEnd"/>
      <w:r w:rsidRPr="00756A16">
        <w:rPr>
          <w:rFonts w:ascii="Arial" w:eastAsia="Times New Roman" w:hAnsi="Arial" w:cs="Arial"/>
          <w:bCs/>
          <w:noProof w:val="0"/>
          <w:lang w:val="es-ES_tradnl" w:eastAsia="es-ES"/>
        </w:rPr>
        <w:t xml:space="preserve"> de estos servicios online será realizada en tres años. De esta manera, la economía para los contribuyentes será distribuida acumulativamente en tres años.</w:t>
      </w:r>
    </w:p>
    <w:p w:rsidR="0096094D" w:rsidRPr="00756A16" w:rsidRDefault="0096094D" w:rsidP="00647A34">
      <w:pPr>
        <w:keepNext/>
        <w:suppressAutoHyphens/>
        <w:spacing w:before="120" w:after="0" w:line="240" w:lineRule="auto"/>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 </w:t>
      </w:r>
    </w:p>
    <w:p w:rsidR="0096094D" w:rsidRPr="00756A16" w:rsidRDefault="0096094D" w:rsidP="00900076">
      <w:pPr>
        <w:ind w:left="-630"/>
        <w:jc w:val="center"/>
        <w:rPr>
          <w:rFonts w:ascii="Arial" w:eastAsiaTheme="minorEastAsia" w:hAnsi="Arial" w:cs="Arial"/>
          <w:b/>
          <w:noProof w:val="0"/>
          <w:lang w:val="es-ES_tradnl"/>
        </w:rPr>
      </w:pPr>
      <w:r w:rsidRPr="00756A16">
        <w:rPr>
          <w:rFonts w:ascii="Arial" w:eastAsiaTheme="minorEastAsia" w:hAnsi="Arial" w:cs="Arial"/>
          <w:b/>
          <w:noProof w:val="0"/>
          <w:lang w:val="es-ES_tradnl"/>
        </w:rPr>
        <w:t xml:space="preserve">B.3 </w:t>
      </w:r>
      <w:r w:rsidR="00900076">
        <w:rPr>
          <w:rFonts w:ascii="Arial" w:eastAsiaTheme="minorEastAsia" w:hAnsi="Arial" w:cs="Arial"/>
          <w:b/>
          <w:noProof w:val="0"/>
          <w:lang w:val="es-ES_tradnl"/>
        </w:rPr>
        <w:t xml:space="preserve">   </w:t>
      </w:r>
      <w:r w:rsidRPr="00756A16">
        <w:rPr>
          <w:rFonts w:ascii="Arial" w:eastAsiaTheme="minorEastAsia" w:hAnsi="Arial" w:cs="Arial"/>
          <w:b/>
          <w:noProof w:val="0"/>
          <w:lang w:val="es-ES_tradnl"/>
        </w:rPr>
        <w:t>Reducción de costos para el Estado de Ceará en su gestión fiscal</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La modernización de la gestión fiscal de Ceará avanzó mediante el PROFISCO I, todavía resta mucho por hacer, especialmente en la integración de sistemas y automatización de innumerables procedimientos que actualmente son realizados manualmente y con duplicación de esfuerzos.</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Entre los diversos subproductos que reducirían el tiempo de tramitación, horas de trabajo y duplicación de esfuerzos, tres son analizados e incluidos en el análisis C-B tomándose en cuenta datos disponibles para identificar y cuantificar adecuadamente los beneficios. Ellos son:</w:t>
      </w:r>
    </w:p>
    <w:p w:rsidR="0096094D" w:rsidRPr="00756A16" w:rsidRDefault="0096094D" w:rsidP="00647A34">
      <w:pPr>
        <w:pStyle w:val="ListParagraph"/>
        <w:keepNext/>
        <w:numPr>
          <w:ilvl w:val="2"/>
          <w:numId w:val="45"/>
        </w:numPr>
        <w:tabs>
          <w:tab w:val="clear" w:pos="2003"/>
        </w:tabs>
        <w:suppressAutoHyphens/>
        <w:spacing w:before="120" w:after="0" w:line="240" w:lineRule="auto"/>
        <w:ind w:left="135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Subproducto 1.3.4: Análisis, elaboración de modelos y automatización de los procesos de RH.</w:t>
      </w:r>
    </w:p>
    <w:p w:rsidR="0096094D" w:rsidRPr="00756A16" w:rsidRDefault="0096094D" w:rsidP="00647A34">
      <w:pPr>
        <w:pStyle w:val="ListParagraph"/>
        <w:keepNext/>
        <w:numPr>
          <w:ilvl w:val="2"/>
          <w:numId w:val="45"/>
        </w:numPr>
        <w:tabs>
          <w:tab w:val="clear" w:pos="2003"/>
        </w:tabs>
        <w:suppressAutoHyphens/>
        <w:spacing w:before="120" w:after="0" w:line="240" w:lineRule="auto"/>
        <w:ind w:left="135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Subproducto 2.5.1: Implantación del Proceso Administrativo Tributario Electrónico (</w:t>
      </w:r>
      <w:proofErr w:type="gramStart"/>
      <w:r w:rsidRPr="00756A16">
        <w:rPr>
          <w:rFonts w:ascii="Arial" w:eastAsia="Times New Roman" w:hAnsi="Arial" w:cs="Arial"/>
          <w:bCs/>
          <w:noProof w:val="0"/>
          <w:lang w:val="es-ES_tradnl" w:eastAsia="es-ES"/>
        </w:rPr>
        <w:t>PAT-e</w:t>
      </w:r>
      <w:proofErr w:type="gramEnd"/>
      <w:r w:rsidRPr="00756A16">
        <w:rPr>
          <w:rFonts w:ascii="Arial" w:eastAsia="Times New Roman" w:hAnsi="Arial" w:cs="Arial"/>
          <w:bCs/>
          <w:noProof w:val="0"/>
          <w:lang w:val="es-ES_tradnl" w:eastAsia="es-ES"/>
        </w:rPr>
        <w:t>).</w:t>
      </w:r>
    </w:p>
    <w:p w:rsidR="0096094D" w:rsidRPr="00756A16" w:rsidRDefault="0096094D" w:rsidP="00647A34">
      <w:pPr>
        <w:pStyle w:val="ListParagraph"/>
        <w:keepNext/>
        <w:numPr>
          <w:ilvl w:val="2"/>
          <w:numId w:val="45"/>
        </w:numPr>
        <w:tabs>
          <w:tab w:val="clear" w:pos="2003"/>
        </w:tabs>
        <w:suppressAutoHyphens/>
        <w:spacing w:before="120" w:after="0" w:line="240" w:lineRule="auto"/>
        <w:ind w:left="1350"/>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Subproducto 3.2.8 Análisis, elaboración de modelos y automatización de la conciliación bancaria.</w:t>
      </w:r>
    </w:p>
    <w:p w:rsidR="0096094D" w:rsidRPr="00756A16" w:rsidRDefault="0096094D" w:rsidP="00900076">
      <w:pPr>
        <w:spacing w:before="240"/>
        <w:ind w:left="810"/>
        <w:jc w:val="both"/>
        <w:rPr>
          <w:rFonts w:ascii="Arial" w:eastAsia="Times New Roman" w:hAnsi="Arial" w:cs="Arial"/>
          <w:b/>
          <w:bCs/>
          <w:noProof w:val="0"/>
          <w:lang w:val="es-ES_tradnl" w:eastAsia="es-ES"/>
        </w:rPr>
      </w:pPr>
      <w:r w:rsidRPr="00756A16">
        <w:rPr>
          <w:rFonts w:ascii="Arial" w:eastAsia="Times New Roman" w:hAnsi="Arial" w:cs="Arial"/>
          <w:b/>
          <w:bCs/>
          <w:noProof w:val="0"/>
          <w:lang w:val="es-ES_tradnl" w:eastAsia="es-ES"/>
        </w:rPr>
        <w:t>Subproducto 1.3.4: Análisis, elaboración de modelos y automatización de los procesos de RH.</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Este análisis C-B toman un ejemplo entre diversos procesos de RH que serán automatizados a través del PROFISCO II CE, o de la gestión de las vacaciones de los funcionarios de la SEFAZ. Actualmente este proceso es totalmente manual. El siguiente cuadro muestra las diferentes acciones actualmente ejecutadas manualmente, los funcionarios asignados a estas acciones y el porcentaje de su tiempo de trabajo para realizarlas, el costo actual de cada funcionario por servicio y la economía que será generada al automatizarse el conjunto del proceso.</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costo anual actual para apenas este proceso es de R$1,2 millones y, cuando sea automatizado, generará una economía de casi R$800 mil anualmente. Es importante observar </w:t>
      </w:r>
      <w:r w:rsidR="006B2804" w:rsidRPr="00756A16">
        <w:rPr>
          <w:rFonts w:ascii="Arial" w:eastAsia="Times New Roman" w:hAnsi="Arial" w:cs="Arial"/>
          <w:bCs/>
          <w:noProof w:val="0"/>
          <w:lang w:val="es-ES_tradnl" w:eastAsia="es-ES"/>
        </w:rPr>
        <w:t>que,</w:t>
      </w:r>
      <w:r w:rsidRPr="00756A16">
        <w:rPr>
          <w:rFonts w:ascii="Arial" w:eastAsia="Times New Roman" w:hAnsi="Arial" w:cs="Arial"/>
          <w:bCs/>
          <w:noProof w:val="0"/>
          <w:lang w:val="es-ES_tradnl" w:eastAsia="es-ES"/>
        </w:rPr>
        <w:t xml:space="preserve"> en Brasil, los trabajadores reciben 13 salarios anualmente.</w:t>
      </w:r>
    </w:p>
    <w:tbl>
      <w:tblPr>
        <w:tblW w:w="9654" w:type="dxa"/>
        <w:tblInd w:w="93" w:type="dxa"/>
        <w:tblLayout w:type="fixed"/>
        <w:tblLook w:val="04A0" w:firstRow="1" w:lastRow="0" w:firstColumn="1" w:lastColumn="0" w:noHBand="0" w:noVBand="1"/>
      </w:tblPr>
      <w:tblGrid>
        <w:gridCol w:w="1077"/>
        <w:gridCol w:w="1890"/>
        <w:gridCol w:w="810"/>
        <w:gridCol w:w="720"/>
        <w:gridCol w:w="990"/>
        <w:gridCol w:w="810"/>
        <w:gridCol w:w="948"/>
        <w:gridCol w:w="708"/>
        <w:gridCol w:w="851"/>
        <w:gridCol w:w="850"/>
      </w:tblGrid>
      <w:tr w:rsidR="00900076" w:rsidRPr="00756A16" w:rsidTr="00900076">
        <w:trPr>
          <w:trHeight w:val="255"/>
        </w:trPr>
        <w:tc>
          <w:tcPr>
            <w:tcW w:w="9654" w:type="dxa"/>
            <w:gridSpan w:val="10"/>
            <w:tcBorders>
              <w:top w:val="nil"/>
              <w:left w:val="nil"/>
              <w:bottom w:val="single" w:sz="4" w:space="0" w:color="auto"/>
              <w:right w:val="nil"/>
            </w:tcBorders>
            <w:shd w:val="clear" w:color="auto" w:fill="auto"/>
            <w:noWrap/>
            <w:vAlign w:val="bottom"/>
          </w:tcPr>
          <w:p w:rsidR="00900076" w:rsidRPr="00756A16" w:rsidRDefault="00900076" w:rsidP="00900076">
            <w:pPr>
              <w:spacing w:before="240" w:after="0" w:line="240" w:lineRule="auto"/>
              <w:jc w:val="center"/>
              <w:rPr>
                <w:rFonts w:ascii="Arial" w:eastAsia="Times New Roman" w:hAnsi="Arial" w:cs="Arial"/>
                <w:b/>
                <w:bCs/>
                <w:noProof w:val="0"/>
                <w:sz w:val="20"/>
                <w:szCs w:val="20"/>
                <w:lang w:val="es-ES_tradnl"/>
              </w:rPr>
            </w:pPr>
            <w:r w:rsidRPr="00756A16">
              <w:rPr>
                <w:rFonts w:ascii="Arial" w:eastAsia="Times New Roman" w:hAnsi="Arial" w:cs="Arial"/>
                <w:b/>
                <w:bCs/>
                <w:noProof w:val="0"/>
                <w:sz w:val="20"/>
                <w:szCs w:val="20"/>
                <w:lang w:val="es-ES_tradnl"/>
              </w:rPr>
              <w:t>Cuadro 9. Reducción de Tiempo y Economía para el Estado con nuevo sistema de RH</w:t>
            </w:r>
          </w:p>
        </w:tc>
      </w:tr>
      <w:tr w:rsidR="0096094D" w:rsidRPr="00756A16" w:rsidTr="00960546">
        <w:trPr>
          <w:trHeight w:val="72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rsidR="0096094D" w:rsidRPr="00EC42DA" w:rsidRDefault="0096094D" w:rsidP="00EC42DA">
            <w:pPr>
              <w:spacing w:after="0" w:line="240" w:lineRule="auto"/>
              <w:jc w:val="center"/>
              <w:rPr>
                <w:rFonts w:ascii="Arial" w:eastAsia="Times New Roman" w:hAnsi="Arial" w:cs="Arial"/>
                <w:b/>
                <w:bCs/>
                <w:noProof w:val="0"/>
                <w:sz w:val="18"/>
                <w:szCs w:val="18"/>
                <w:lang w:val="es-ES_tradnl"/>
              </w:rPr>
            </w:pPr>
            <w:r w:rsidRPr="00EC42DA">
              <w:rPr>
                <w:rFonts w:ascii="Arial" w:eastAsia="Times New Roman" w:hAnsi="Arial" w:cs="Arial"/>
                <w:b/>
                <w:bCs/>
                <w:noProof w:val="0"/>
                <w:sz w:val="18"/>
                <w:szCs w:val="18"/>
                <w:lang w:val="es-ES_tradnl"/>
              </w:rPr>
              <w:t>S</w:t>
            </w:r>
            <w:r w:rsidR="00960546">
              <w:rPr>
                <w:rFonts w:ascii="Arial" w:eastAsia="Times New Roman" w:hAnsi="Arial" w:cs="Arial"/>
                <w:b/>
                <w:bCs/>
                <w:noProof w:val="0"/>
                <w:sz w:val="18"/>
                <w:szCs w:val="18"/>
                <w:lang w:val="es-ES_tradnl"/>
              </w:rPr>
              <w:t>istema</w:t>
            </w:r>
          </w:p>
        </w:tc>
        <w:tc>
          <w:tcPr>
            <w:tcW w:w="1890" w:type="dxa"/>
            <w:tcBorders>
              <w:top w:val="nil"/>
              <w:left w:val="nil"/>
              <w:bottom w:val="single" w:sz="4" w:space="0" w:color="auto"/>
              <w:right w:val="single" w:sz="4" w:space="0" w:color="auto"/>
            </w:tcBorders>
            <w:shd w:val="clear" w:color="auto" w:fill="auto"/>
            <w:noWrap/>
            <w:vAlign w:val="center"/>
            <w:hideMark/>
          </w:tcPr>
          <w:p w:rsidR="0096094D" w:rsidRPr="00EC42DA" w:rsidRDefault="0096094D" w:rsidP="00EC42DA">
            <w:pPr>
              <w:spacing w:after="0" w:line="240" w:lineRule="auto"/>
              <w:jc w:val="center"/>
              <w:rPr>
                <w:rFonts w:ascii="Arial" w:eastAsia="Times New Roman" w:hAnsi="Arial" w:cs="Arial"/>
                <w:b/>
                <w:bCs/>
                <w:noProof w:val="0"/>
                <w:sz w:val="18"/>
                <w:szCs w:val="18"/>
                <w:lang w:val="es-ES_tradnl"/>
              </w:rPr>
            </w:pPr>
            <w:r w:rsidRPr="00EC42DA">
              <w:rPr>
                <w:rFonts w:ascii="Arial" w:eastAsia="Times New Roman" w:hAnsi="Arial" w:cs="Arial"/>
                <w:b/>
                <w:bCs/>
                <w:noProof w:val="0"/>
                <w:sz w:val="18"/>
                <w:szCs w:val="18"/>
                <w:lang w:val="es-ES_tradnl"/>
              </w:rPr>
              <w:t>A</w:t>
            </w:r>
            <w:r w:rsidR="00960546">
              <w:rPr>
                <w:rFonts w:ascii="Arial" w:eastAsia="Times New Roman" w:hAnsi="Arial" w:cs="Arial"/>
                <w:b/>
                <w:bCs/>
                <w:noProof w:val="0"/>
                <w:sz w:val="18"/>
                <w:szCs w:val="18"/>
                <w:lang w:val="es-ES_tradnl"/>
              </w:rPr>
              <w:t>ctividades</w:t>
            </w:r>
          </w:p>
        </w:tc>
        <w:tc>
          <w:tcPr>
            <w:tcW w:w="810" w:type="dxa"/>
            <w:tcBorders>
              <w:top w:val="nil"/>
              <w:left w:val="nil"/>
              <w:bottom w:val="single" w:sz="4" w:space="0" w:color="auto"/>
              <w:right w:val="single" w:sz="4" w:space="0" w:color="auto"/>
            </w:tcBorders>
            <w:shd w:val="clear" w:color="auto" w:fill="auto"/>
            <w:vAlign w:val="center"/>
            <w:hideMark/>
          </w:tcPr>
          <w:p w:rsidR="0096094D" w:rsidRPr="00EC42DA" w:rsidRDefault="0096094D" w:rsidP="00EC42DA">
            <w:pPr>
              <w:spacing w:after="0" w:line="240" w:lineRule="auto"/>
              <w:jc w:val="center"/>
              <w:rPr>
                <w:rFonts w:ascii="Arial" w:hAnsi="Arial" w:cs="Arial"/>
                <w:b/>
                <w:noProof w:val="0"/>
                <w:sz w:val="18"/>
                <w:szCs w:val="18"/>
                <w:vertAlign w:val="superscript"/>
                <w:lang w:val="es-ES_tradnl"/>
              </w:rPr>
            </w:pPr>
            <w:r w:rsidRPr="00EC42DA">
              <w:rPr>
                <w:rFonts w:ascii="Arial" w:hAnsi="Arial" w:cs="Arial"/>
                <w:b/>
                <w:noProof w:val="0"/>
                <w:sz w:val="18"/>
                <w:szCs w:val="18"/>
                <w:vertAlign w:val="superscript"/>
                <w:lang w:val="es-ES_tradnl"/>
              </w:rPr>
              <w:t>Cantidad de Personas</w:t>
            </w:r>
          </w:p>
        </w:tc>
        <w:tc>
          <w:tcPr>
            <w:tcW w:w="720" w:type="dxa"/>
            <w:tcBorders>
              <w:top w:val="nil"/>
              <w:left w:val="nil"/>
              <w:bottom w:val="single" w:sz="4" w:space="0" w:color="auto"/>
              <w:right w:val="single" w:sz="4" w:space="0" w:color="auto"/>
            </w:tcBorders>
            <w:shd w:val="clear" w:color="auto" w:fill="auto"/>
            <w:vAlign w:val="center"/>
            <w:hideMark/>
          </w:tcPr>
          <w:p w:rsidR="0096094D" w:rsidRPr="00EC42DA" w:rsidRDefault="0096094D" w:rsidP="00EC42DA">
            <w:pPr>
              <w:spacing w:after="0" w:line="240" w:lineRule="auto"/>
              <w:jc w:val="center"/>
              <w:rPr>
                <w:rFonts w:ascii="Arial" w:hAnsi="Arial" w:cs="Arial"/>
                <w:b/>
                <w:noProof w:val="0"/>
                <w:sz w:val="18"/>
                <w:szCs w:val="18"/>
                <w:vertAlign w:val="superscript"/>
                <w:lang w:val="es-ES_tradnl"/>
              </w:rPr>
            </w:pPr>
            <w:r w:rsidRPr="00EC42DA">
              <w:rPr>
                <w:rFonts w:ascii="Arial" w:hAnsi="Arial" w:cs="Arial"/>
                <w:b/>
                <w:noProof w:val="0"/>
                <w:sz w:val="18"/>
                <w:szCs w:val="18"/>
                <w:vertAlign w:val="superscript"/>
                <w:lang w:val="es-ES_tradnl"/>
              </w:rPr>
              <w:t>% tiempo funcionario (a)</w:t>
            </w:r>
          </w:p>
        </w:tc>
        <w:tc>
          <w:tcPr>
            <w:tcW w:w="990" w:type="dxa"/>
            <w:tcBorders>
              <w:top w:val="nil"/>
              <w:left w:val="nil"/>
              <w:bottom w:val="single" w:sz="4" w:space="0" w:color="auto"/>
              <w:right w:val="single" w:sz="4" w:space="0" w:color="auto"/>
            </w:tcBorders>
            <w:shd w:val="clear" w:color="auto" w:fill="auto"/>
            <w:vAlign w:val="center"/>
            <w:hideMark/>
          </w:tcPr>
          <w:p w:rsidR="0096094D" w:rsidRPr="00EC42DA" w:rsidRDefault="00EC42DA" w:rsidP="00EC42DA">
            <w:pPr>
              <w:spacing w:after="0" w:line="240" w:lineRule="auto"/>
              <w:jc w:val="center"/>
              <w:rPr>
                <w:rFonts w:ascii="Arial" w:hAnsi="Arial" w:cs="Arial"/>
                <w:b/>
                <w:noProof w:val="0"/>
                <w:sz w:val="18"/>
                <w:szCs w:val="18"/>
                <w:vertAlign w:val="superscript"/>
                <w:lang w:val="es-ES_tradnl"/>
              </w:rPr>
            </w:pPr>
            <w:r>
              <w:rPr>
                <w:rFonts w:ascii="Arial" w:hAnsi="Arial" w:cs="Arial"/>
                <w:b/>
                <w:noProof w:val="0"/>
                <w:sz w:val="18"/>
                <w:szCs w:val="18"/>
                <w:vertAlign w:val="superscript"/>
                <w:lang w:val="es-ES_tradnl"/>
              </w:rPr>
              <w:t xml:space="preserve">Salario y beneficios </w:t>
            </w:r>
            <w:r w:rsidR="0096094D" w:rsidRPr="00EC42DA">
              <w:rPr>
                <w:rFonts w:ascii="Arial" w:hAnsi="Arial" w:cs="Arial"/>
                <w:b/>
                <w:noProof w:val="0"/>
                <w:sz w:val="18"/>
                <w:szCs w:val="18"/>
                <w:vertAlign w:val="superscript"/>
                <w:lang w:val="es-ES_tradnl"/>
              </w:rPr>
              <w:t>(b)</w:t>
            </w:r>
          </w:p>
        </w:tc>
        <w:tc>
          <w:tcPr>
            <w:tcW w:w="810" w:type="dxa"/>
            <w:tcBorders>
              <w:top w:val="nil"/>
              <w:left w:val="nil"/>
              <w:bottom w:val="single" w:sz="4" w:space="0" w:color="auto"/>
              <w:right w:val="single" w:sz="4" w:space="0" w:color="auto"/>
            </w:tcBorders>
            <w:shd w:val="clear" w:color="auto" w:fill="auto"/>
            <w:vAlign w:val="center"/>
            <w:hideMark/>
          </w:tcPr>
          <w:p w:rsidR="00EC42DA" w:rsidRDefault="0096094D" w:rsidP="00EC42DA">
            <w:pPr>
              <w:spacing w:after="0" w:line="240" w:lineRule="auto"/>
              <w:jc w:val="center"/>
              <w:rPr>
                <w:rFonts w:ascii="Arial" w:hAnsi="Arial" w:cs="Arial"/>
                <w:b/>
                <w:noProof w:val="0"/>
                <w:sz w:val="18"/>
                <w:szCs w:val="18"/>
                <w:vertAlign w:val="superscript"/>
                <w:lang w:val="es-ES_tradnl"/>
              </w:rPr>
            </w:pPr>
            <w:r w:rsidRPr="00EC42DA">
              <w:rPr>
                <w:rFonts w:ascii="Arial" w:hAnsi="Arial" w:cs="Arial"/>
                <w:b/>
                <w:noProof w:val="0"/>
                <w:sz w:val="18"/>
                <w:szCs w:val="18"/>
                <w:vertAlign w:val="superscript"/>
                <w:lang w:val="es-ES_tradnl"/>
              </w:rPr>
              <w:t>Costo mes</w:t>
            </w:r>
          </w:p>
          <w:p w:rsidR="0096094D" w:rsidRPr="00EC42DA" w:rsidRDefault="0096094D" w:rsidP="00EC42DA">
            <w:pPr>
              <w:spacing w:after="0" w:line="240" w:lineRule="auto"/>
              <w:jc w:val="center"/>
              <w:rPr>
                <w:rFonts w:ascii="Arial" w:hAnsi="Arial" w:cs="Arial"/>
                <w:b/>
                <w:noProof w:val="0"/>
                <w:sz w:val="18"/>
                <w:szCs w:val="18"/>
                <w:vertAlign w:val="superscript"/>
                <w:lang w:val="es-ES_tradnl"/>
              </w:rPr>
            </w:pPr>
            <w:r w:rsidRPr="00EC42DA">
              <w:rPr>
                <w:rFonts w:ascii="Arial" w:hAnsi="Arial" w:cs="Arial"/>
                <w:b/>
                <w:noProof w:val="0"/>
                <w:sz w:val="18"/>
                <w:szCs w:val="18"/>
                <w:vertAlign w:val="superscript"/>
                <w:lang w:val="es-ES_tradnl"/>
              </w:rPr>
              <w:t xml:space="preserve"> (c = a x b)</w:t>
            </w:r>
          </w:p>
        </w:tc>
        <w:tc>
          <w:tcPr>
            <w:tcW w:w="948" w:type="dxa"/>
            <w:tcBorders>
              <w:top w:val="nil"/>
              <w:left w:val="nil"/>
              <w:bottom w:val="single" w:sz="4" w:space="0" w:color="auto"/>
              <w:right w:val="single" w:sz="4" w:space="0" w:color="auto"/>
            </w:tcBorders>
            <w:shd w:val="clear" w:color="auto" w:fill="auto"/>
            <w:vAlign w:val="center"/>
            <w:hideMark/>
          </w:tcPr>
          <w:p w:rsidR="0096094D" w:rsidRPr="00EC42DA" w:rsidRDefault="0096094D" w:rsidP="00EC42DA">
            <w:pPr>
              <w:spacing w:after="0" w:line="240" w:lineRule="auto"/>
              <w:jc w:val="center"/>
              <w:rPr>
                <w:rFonts w:ascii="Arial" w:hAnsi="Arial" w:cs="Arial"/>
                <w:b/>
                <w:noProof w:val="0"/>
                <w:sz w:val="18"/>
                <w:szCs w:val="18"/>
                <w:vertAlign w:val="superscript"/>
                <w:lang w:val="es-ES_tradnl"/>
              </w:rPr>
            </w:pPr>
            <w:r w:rsidRPr="00EC42DA">
              <w:rPr>
                <w:rFonts w:ascii="Arial" w:hAnsi="Arial" w:cs="Arial"/>
                <w:b/>
                <w:noProof w:val="0"/>
                <w:sz w:val="18"/>
                <w:szCs w:val="18"/>
                <w:vertAlign w:val="superscript"/>
                <w:lang w:val="es-ES_tradnl"/>
              </w:rPr>
              <w:t>costo año</w:t>
            </w:r>
          </w:p>
          <w:p w:rsidR="0096094D" w:rsidRPr="00EC42DA" w:rsidRDefault="0096094D" w:rsidP="00EC42DA">
            <w:pPr>
              <w:spacing w:after="0" w:line="240" w:lineRule="auto"/>
              <w:jc w:val="center"/>
              <w:rPr>
                <w:rFonts w:ascii="Arial" w:hAnsi="Arial" w:cs="Arial"/>
                <w:b/>
                <w:noProof w:val="0"/>
                <w:sz w:val="18"/>
                <w:szCs w:val="18"/>
                <w:vertAlign w:val="superscript"/>
                <w:lang w:val="es-ES_tradnl"/>
              </w:rPr>
            </w:pPr>
            <w:r w:rsidRPr="00EC42DA">
              <w:rPr>
                <w:rFonts w:ascii="Arial" w:hAnsi="Arial" w:cs="Arial"/>
                <w:b/>
                <w:noProof w:val="0"/>
                <w:sz w:val="18"/>
                <w:szCs w:val="18"/>
                <w:vertAlign w:val="superscript"/>
                <w:lang w:val="es-ES_tradnl"/>
              </w:rPr>
              <w:t>(c x 13)</w:t>
            </w:r>
          </w:p>
        </w:tc>
        <w:tc>
          <w:tcPr>
            <w:tcW w:w="708" w:type="dxa"/>
            <w:tcBorders>
              <w:top w:val="nil"/>
              <w:left w:val="nil"/>
              <w:bottom w:val="single" w:sz="4" w:space="0" w:color="auto"/>
              <w:right w:val="single" w:sz="4" w:space="0" w:color="auto"/>
            </w:tcBorders>
            <w:shd w:val="clear" w:color="auto" w:fill="auto"/>
            <w:vAlign w:val="center"/>
            <w:hideMark/>
          </w:tcPr>
          <w:p w:rsidR="0096094D" w:rsidRPr="00EC42DA" w:rsidRDefault="00EC42DA" w:rsidP="00EC42DA">
            <w:pPr>
              <w:spacing w:after="0" w:line="240" w:lineRule="auto"/>
              <w:jc w:val="center"/>
              <w:rPr>
                <w:rFonts w:ascii="Arial" w:hAnsi="Arial" w:cs="Arial"/>
                <w:b/>
                <w:noProof w:val="0"/>
                <w:sz w:val="18"/>
                <w:szCs w:val="18"/>
                <w:vertAlign w:val="superscript"/>
                <w:lang w:val="es-ES_tradnl"/>
              </w:rPr>
            </w:pPr>
            <w:r>
              <w:rPr>
                <w:rFonts w:ascii="Arial" w:hAnsi="Arial" w:cs="Arial"/>
                <w:b/>
                <w:noProof w:val="0"/>
                <w:sz w:val="18"/>
                <w:szCs w:val="18"/>
                <w:vertAlign w:val="superscript"/>
                <w:lang w:val="es-ES_tradnl"/>
              </w:rPr>
              <w:t>% T</w:t>
            </w:r>
            <w:r w:rsidR="0096094D" w:rsidRPr="00EC42DA">
              <w:rPr>
                <w:rFonts w:ascii="Arial" w:hAnsi="Arial" w:cs="Arial"/>
                <w:b/>
                <w:noProof w:val="0"/>
                <w:sz w:val="18"/>
                <w:szCs w:val="18"/>
                <w:vertAlign w:val="superscript"/>
                <w:lang w:val="es-ES_tradnl"/>
              </w:rPr>
              <w:t>iempo funcionario</w:t>
            </w:r>
          </w:p>
        </w:tc>
        <w:tc>
          <w:tcPr>
            <w:tcW w:w="851" w:type="dxa"/>
            <w:tcBorders>
              <w:top w:val="nil"/>
              <w:left w:val="nil"/>
              <w:bottom w:val="single" w:sz="4" w:space="0" w:color="auto"/>
              <w:right w:val="single" w:sz="4" w:space="0" w:color="auto"/>
            </w:tcBorders>
            <w:shd w:val="clear" w:color="auto" w:fill="auto"/>
            <w:vAlign w:val="center"/>
            <w:hideMark/>
          </w:tcPr>
          <w:p w:rsidR="0096094D" w:rsidRPr="00EC42DA" w:rsidRDefault="00EC42DA" w:rsidP="00EC42DA">
            <w:pPr>
              <w:spacing w:after="0" w:line="240" w:lineRule="auto"/>
              <w:jc w:val="center"/>
              <w:rPr>
                <w:rFonts w:ascii="Arial" w:hAnsi="Arial" w:cs="Arial"/>
                <w:b/>
                <w:noProof w:val="0"/>
                <w:sz w:val="18"/>
                <w:szCs w:val="18"/>
                <w:vertAlign w:val="superscript"/>
                <w:lang w:val="es-ES_tradnl"/>
              </w:rPr>
            </w:pPr>
            <w:r>
              <w:rPr>
                <w:rFonts w:ascii="Arial" w:hAnsi="Arial" w:cs="Arial"/>
                <w:b/>
                <w:noProof w:val="0"/>
                <w:sz w:val="18"/>
                <w:szCs w:val="18"/>
                <w:vertAlign w:val="superscript"/>
                <w:lang w:val="es-ES_tradnl"/>
              </w:rPr>
              <w:t>% E</w:t>
            </w:r>
            <w:r w:rsidR="0096094D" w:rsidRPr="00EC42DA">
              <w:rPr>
                <w:rFonts w:ascii="Arial" w:hAnsi="Arial" w:cs="Arial"/>
                <w:b/>
                <w:noProof w:val="0"/>
                <w:sz w:val="18"/>
                <w:szCs w:val="18"/>
                <w:vertAlign w:val="superscript"/>
                <w:lang w:val="es-ES_tradnl"/>
              </w:rPr>
              <w:t>conomía de tiempo</w:t>
            </w:r>
          </w:p>
        </w:tc>
        <w:tc>
          <w:tcPr>
            <w:tcW w:w="850" w:type="dxa"/>
            <w:tcBorders>
              <w:top w:val="nil"/>
              <w:left w:val="nil"/>
              <w:bottom w:val="single" w:sz="4" w:space="0" w:color="auto"/>
              <w:right w:val="single" w:sz="4" w:space="0" w:color="auto"/>
            </w:tcBorders>
            <w:shd w:val="clear" w:color="auto" w:fill="auto"/>
            <w:vAlign w:val="center"/>
            <w:hideMark/>
          </w:tcPr>
          <w:p w:rsidR="0096094D" w:rsidRPr="00EC42DA" w:rsidRDefault="00EC42DA" w:rsidP="00EC42DA">
            <w:pPr>
              <w:spacing w:after="0" w:line="240" w:lineRule="auto"/>
              <w:jc w:val="center"/>
              <w:rPr>
                <w:rFonts w:ascii="Arial" w:hAnsi="Arial" w:cs="Arial"/>
                <w:b/>
                <w:noProof w:val="0"/>
                <w:sz w:val="18"/>
                <w:szCs w:val="18"/>
                <w:vertAlign w:val="superscript"/>
                <w:lang w:val="es-ES_tradnl"/>
              </w:rPr>
            </w:pPr>
            <w:r>
              <w:rPr>
                <w:rFonts w:ascii="Arial" w:hAnsi="Arial" w:cs="Arial"/>
                <w:b/>
                <w:noProof w:val="0"/>
                <w:sz w:val="18"/>
                <w:szCs w:val="18"/>
                <w:vertAlign w:val="superscript"/>
                <w:lang w:val="es-ES_tradnl"/>
              </w:rPr>
              <w:t>E</w:t>
            </w:r>
            <w:r w:rsidR="0096094D" w:rsidRPr="00EC42DA">
              <w:rPr>
                <w:rFonts w:ascii="Arial" w:hAnsi="Arial" w:cs="Arial"/>
                <w:b/>
                <w:noProof w:val="0"/>
                <w:sz w:val="18"/>
                <w:szCs w:val="18"/>
                <w:vertAlign w:val="superscript"/>
                <w:lang w:val="es-ES_tradnl"/>
              </w:rPr>
              <w:t>conomía de costo año R$</w:t>
            </w:r>
          </w:p>
        </w:tc>
      </w:tr>
      <w:tr w:rsidR="0096094D" w:rsidRPr="00756A16" w:rsidTr="00960546">
        <w:trPr>
          <w:trHeight w:val="390"/>
        </w:trPr>
        <w:tc>
          <w:tcPr>
            <w:tcW w:w="1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 </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 </w:t>
            </w:r>
          </w:p>
        </w:tc>
        <w:tc>
          <w:tcPr>
            <w:tcW w:w="346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6094D" w:rsidRPr="00756A16" w:rsidRDefault="0096094D" w:rsidP="00E214C9">
            <w:pPr>
              <w:spacing w:after="0" w:line="240" w:lineRule="auto"/>
              <w:jc w:val="center"/>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ACTUAL</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094D" w:rsidRPr="00756A16" w:rsidRDefault="0096094D" w:rsidP="00E214C9">
            <w:pPr>
              <w:spacing w:after="0" w:line="240" w:lineRule="auto"/>
              <w:jc w:val="center"/>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 xml:space="preserve"> CON PROFISCO II </w:t>
            </w:r>
          </w:p>
        </w:tc>
      </w:tr>
      <w:tr w:rsidR="0096094D" w:rsidRPr="00756A16" w:rsidTr="00960546">
        <w:trPr>
          <w:trHeight w:val="510"/>
        </w:trPr>
        <w:tc>
          <w:tcPr>
            <w:tcW w:w="10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ESCALA DE VACACIONES</w:t>
            </w:r>
          </w:p>
        </w:tc>
        <w:tc>
          <w:tcPr>
            <w:tcW w:w="1890" w:type="dxa"/>
            <w:tcBorders>
              <w:top w:val="single" w:sz="4" w:space="0" w:color="auto"/>
              <w:left w:val="nil"/>
              <w:bottom w:val="nil"/>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Elaboración y envío de informe para ser rellenado por los funcionarios de los períodos de goce de las vacaciones.</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70%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13.818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9.673 </w:t>
            </w:r>
          </w:p>
        </w:tc>
        <w:tc>
          <w:tcPr>
            <w:tcW w:w="94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125.743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50%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89.816 </w:t>
            </w:r>
          </w:p>
        </w:tc>
      </w:tr>
      <w:tr w:rsidR="0096094D" w:rsidRPr="00756A16" w:rsidTr="00960546">
        <w:trPr>
          <w:trHeight w:val="25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nil"/>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Digitación en el sistema de los períodos solicitados.</w:t>
            </w:r>
          </w:p>
        </w:tc>
        <w:tc>
          <w:tcPr>
            <w:tcW w:w="81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40%</w:t>
            </w:r>
          </w:p>
        </w:tc>
        <w:tc>
          <w:tcPr>
            <w:tcW w:w="99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33.187 </w:t>
            </w:r>
          </w:p>
        </w:tc>
        <w:tc>
          <w:tcPr>
            <w:tcW w:w="81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13.275 </w:t>
            </w:r>
          </w:p>
        </w:tc>
        <w:tc>
          <w:tcPr>
            <w:tcW w:w="94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172.574 </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10%</w:t>
            </w:r>
          </w:p>
        </w:tc>
        <w:tc>
          <w:tcPr>
            <w:tcW w:w="85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30%</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129.431 </w:t>
            </w:r>
          </w:p>
        </w:tc>
      </w:tr>
      <w:tr w:rsidR="0096094D" w:rsidRPr="00756A16" w:rsidTr="00960546">
        <w:trPr>
          <w:trHeight w:val="510"/>
        </w:trPr>
        <w:tc>
          <w:tcPr>
            <w:tcW w:w="1077" w:type="dxa"/>
            <w:vMerge/>
            <w:tcBorders>
              <w:top w:val="single" w:sz="4" w:space="0" w:color="auto"/>
              <w:left w:val="single" w:sz="4" w:space="0" w:color="auto"/>
              <w:bottom w:val="single" w:sz="4" w:space="0" w:color="auto"/>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Análisis y retorno para conocimiento de los funcionarios que no fueron contemplados con el período solicitando.</w:t>
            </w:r>
          </w:p>
        </w:tc>
        <w:tc>
          <w:tcPr>
            <w:tcW w:w="810"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single" w:sz="4" w:space="0" w:color="auto"/>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90"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10"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4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1"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28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single" w:sz="4" w:space="0" w:color="auto"/>
              <w:left w:val="nil"/>
              <w:bottom w:val="nil"/>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Inclusión, exclusión y alteración de períodos de vacaciones solicitados.</w:t>
            </w:r>
          </w:p>
        </w:tc>
        <w:tc>
          <w:tcPr>
            <w:tcW w:w="810" w:type="dxa"/>
            <w:tcBorders>
              <w:top w:val="single" w:sz="4" w:space="0" w:color="auto"/>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single" w:sz="4" w:space="0" w:color="auto"/>
              <w:left w:val="single" w:sz="4" w:space="0" w:color="auto"/>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90" w:type="dxa"/>
            <w:tcBorders>
              <w:top w:val="single" w:sz="4" w:space="0" w:color="auto"/>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10" w:type="dxa"/>
            <w:tcBorders>
              <w:top w:val="single" w:sz="4" w:space="0" w:color="auto"/>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48" w:type="dxa"/>
            <w:tcBorders>
              <w:top w:val="single" w:sz="4" w:space="0" w:color="auto"/>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single" w:sz="4" w:space="0" w:color="auto"/>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1" w:type="dxa"/>
            <w:tcBorders>
              <w:top w:val="single" w:sz="4" w:space="0" w:color="auto"/>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0" w:type="dxa"/>
            <w:tcBorders>
              <w:top w:val="single" w:sz="4" w:space="0" w:color="auto"/>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510"/>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Emisión y conferencia de informe mensual para envío a la nómina de pago.</w:t>
            </w:r>
          </w:p>
        </w:tc>
        <w:tc>
          <w:tcPr>
            <w:tcW w:w="810"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single" w:sz="4" w:space="0" w:color="auto"/>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90"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10"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4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1"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255"/>
        </w:trPr>
        <w:tc>
          <w:tcPr>
            <w:tcW w:w="10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6094D" w:rsidRPr="00756A16" w:rsidRDefault="0096094D" w:rsidP="00E214C9">
            <w:pPr>
              <w:spacing w:after="0" w:line="240" w:lineRule="auto"/>
              <w:jc w:val="center"/>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DERHU</w:t>
            </w:r>
          </w:p>
        </w:tc>
        <w:tc>
          <w:tcPr>
            <w:tcW w:w="1890" w:type="dxa"/>
            <w:tcBorders>
              <w:top w:val="single" w:sz="4" w:space="0" w:color="auto"/>
              <w:left w:val="nil"/>
              <w:bottom w:val="nil"/>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Inclusión de la declaración de derecho a días libres del TRE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23%</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3.211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730 </w:t>
            </w:r>
          </w:p>
        </w:tc>
        <w:tc>
          <w:tcPr>
            <w:tcW w:w="94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9.486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9.486 </w:t>
            </w:r>
          </w:p>
        </w:tc>
      </w:tr>
      <w:tr w:rsidR="0096094D" w:rsidRPr="00756A16" w:rsidTr="00960546">
        <w:trPr>
          <w:trHeight w:val="25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nil"/>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Registro de goce de días libres del TRE</w:t>
            </w:r>
          </w:p>
        </w:tc>
        <w:tc>
          <w:tcPr>
            <w:tcW w:w="81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23%</w:t>
            </w:r>
          </w:p>
        </w:tc>
        <w:tc>
          <w:tcPr>
            <w:tcW w:w="99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3.211 </w:t>
            </w:r>
          </w:p>
        </w:tc>
        <w:tc>
          <w:tcPr>
            <w:tcW w:w="81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730 </w:t>
            </w:r>
          </w:p>
        </w:tc>
        <w:tc>
          <w:tcPr>
            <w:tcW w:w="94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9.486 </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0%</w:t>
            </w:r>
          </w:p>
        </w:tc>
        <w:tc>
          <w:tcPr>
            <w:tcW w:w="85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23%</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9.486 </w:t>
            </w:r>
          </w:p>
        </w:tc>
      </w:tr>
      <w:tr w:rsidR="0096094D" w:rsidRPr="00756A16" w:rsidTr="00960546">
        <w:trPr>
          <w:trHeight w:val="25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nil"/>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Actualización del registro.</w:t>
            </w:r>
          </w:p>
        </w:tc>
        <w:tc>
          <w:tcPr>
            <w:tcW w:w="81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100%</w:t>
            </w:r>
          </w:p>
        </w:tc>
        <w:tc>
          <w:tcPr>
            <w:tcW w:w="99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3.211 </w:t>
            </w:r>
          </w:p>
        </w:tc>
        <w:tc>
          <w:tcPr>
            <w:tcW w:w="81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3.211 </w:t>
            </w:r>
          </w:p>
        </w:tc>
        <w:tc>
          <w:tcPr>
            <w:tcW w:w="94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41.738 </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70%</w:t>
            </w:r>
          </w:p>
        </w:tc>
        <w:tc>
          <w:tcPr>
            <w:tcW w:w="85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30%</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12.522 </w:t>
            </w:r>
          </w:p>
        </w:tc>
      </w:tr>
      <w:tr w:rsidR="0096094D" w:rsidRPr="00756A16" w:rsidTr="00960546">
        <w:trPr>
          <w:trHeight w:val="450"/>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nil"/>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Digitación de nombramientos, jubilaciones, fallecimiento, despidos y reintegración, publicados en el Diario Oficial.</w:t>
            </w:r>
          </w:p>
        </w:tc>
        <w:tc>
          <w:tcPr>
            <w:tcW w:w="810" w:type="dxa"/>
            <w:tcBorders>
              <w:top w:val="nil"/>
              <w:left w:val="single" w:sz="4" w:space="0" w:color="auto"/>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9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1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48"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0"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450"/>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nil"/>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Digitación de los dictámenes de licencia para tratamiento de salud y licencia para acompañar a personas de la familia.</w:t>
            </w:r>
          </w:p>
        </w:tc>
        <w:tc>
          <w:tcPr>
            <w:tcW w:w="810" w:type="dxa"/>
            <w:tcBorders>
              <w:top w:val="nil"/>
              <w:left w:val="single" w:sz="4" w:space="0" w:color="auto"/>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9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1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48"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0"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25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nil"/>
              <w:right w:val="nil"/>
            </w:tcBorders>
            <w:shd w:val="clear" w:color="auto" w:fill="auto"/>
            <w:hideMark/>
          </w:tcPr>
          <w:p w:rsidR="0096094D" w:rsidRPr="00756A16" w:rsidRDefault="006B2804" w:rsidP="00E214C9">
            <w:pPr>
              <w:spacing w:after="0" w:line="240" w:lineRule="auto"/>
              <w:rPr>
                <w:rFonts w:ascii="Arial" w:eastAsia="Times New Roman" w:hAnsi="Arial" w:cs="Arial"/>
                <w:noProof w:val="0"/>
                <w:sz w:val="14"/>
                <w:szCs w:val="14"/>
                <w:lang w:val="es-ES_tradnl"/>
              </w:rPr>
            </w:pPr>
            <w:r>
              <w:rPr>
                <w:rFonts w:ascii="Arial" w:eastAsia="Times New Roman" w:hAnsi="Arial" w:cs="Arial"/>
                <w:noProof w:val="0"/>
                <w:sz w:val="14"/>
                <w:szCs w:val="14"/>
                <w:lang w:val="es-ES_tradnl"/>
              </w:rPr>
              <w:t xml:space="preserve">Digitación de </w:t>
            </w:r>
            <w:proofErr w:type="gramStart"/>
            <w:r>
              <w:rPr>
                <w:rFonts w:ascii="Arial" w:eastAsia="Times New Roman" w:hAnsi="Arial" w:cs="Arial"/>
                <w:noProof w:val="0"/>
                <w:sz w:val="14"/>
                <w:szCs w:val="14"/>
                <w:lang w:val="es-ES_tradnl"/>
              </w:rPr>
              <w:t>licencia</w:t>
            </w:r>
            <w:r w:rsidR="00BD38C8">
              <w:rPr>
                <w:rFonts w:ascii="Arial" w:eastAsia="Times New Roman" w:hAnsi="Arial" w:cs="Arial"/>
                <w:noProof w:val="0"/>
                <w:sz w:val="14"/>
                <w:szCs w:val="14"/>
                <w:lang w:val="es-ES_tradnl"/>
              </w:rPr>
              <w:t xml:space="preserve"> </w:t>
            </w:r>
            <w:r>
              <w:rPr>
                <w:rFonts w:ascii="Arial" w:eastAsia="Times New Roman" w:hAnsi="Arial" w:cs="Arial"/>
                <w:noProof w:val="0"/>
                <w:sz w:val="14"/>
                <w:szCs w:val="14"/>
                <w:lang w:val="es-ES_tradnl"/>
              </w:rPr>
              <w:t xml:space="preserve"> </w:t>
            </w:r>
            <w:r w:rsidR="00BD38C8">
              <w:rPr>
                <w:rFonts w:ascii="Arial" w:eastAsia="Times New Roman" w:hAnsi="Arial" w:cs="Arial"/>
                <w:noProof w:val="0"/>
                <w:sz w:val="14"/>
                <w:szCs w:val="14"/>
                <w:lang w:val="es-ES_tradnl"/>
              </w:rPr>
              <w:t>por</w:t>
            </w:r>
            <w:proofErr w:type="gramEnd"/>
            <w:r w:rsidR="00BD38C8">
              <w:rPr>
                <w:rFonts w:ascii="Arial" w:eastAsia="Times New Roman" w:hAnsi="Arial" w:cs="Arial"/>
                <w:noProof w:val="0"/>
                <w:sz w:val="14"/>
                <w:szCs w:val="14"/>
                <w:lang w:val="es-ES_tradnl"/>
              </w:rPr>
              <w:t xml:space="preserve"> motivo de casamiento, duelo, paternidad y maternidad</w:t>
            </w:r>
            <w:r w:rsidR="0096094D" w:rsidRPr="00756A16">
              <w:rPr>
                <w:rFonts w:ascii="Arial" w:eastAsia="Times New Roman" w:hAnsi="Arial" w:cs="Arial"/>
                <w:noProof w:val="0"/>
                <w:sz w:val="14"/>
                <w:szCs w:val="14"/>
                <w:lang w:val="es-ES_tradnl"/>
              </w:rPr>
              <w:t>.</w:t>
            </w:r>
          </w:p>
        </w:tc>
        <w:tc>
          <w:tcPr>
            <w:tcW w:w="810" w:type="dxa"/>
            <w:tcBorders>
              <w:top w:val="nil"/>
              <w:left w:val="single" w:sz="4" w:space="0" w:color="auto"/>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9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1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48"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0"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450"/>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nil"/>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Digitación de comisiones y grupos de trabajo, alejamientos, reducción de carga horaria</w:t>
            </w:r>
          </w:p>
        </w:tc>
        <w:tc>
          <w:tcPr>
            <w:tcW w:w="810" w:type="dxa"/>
            <w:tcBorders>
              <w:top w:val="nil"/>
              <w:left w:val="single" w:sz="4" w:space="0" w:color="auto"/>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9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1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48"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0"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450"/>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single" w:sz="4" w:space="0" w:color="auto"/>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Digitación de cambios de asignación, substituciones de cargo comisionados, gratificación de titulación publicados en el Diario Oficial.</w:t>
            </w:r>
          </w:p>
        </w:tc>
        <w:tc>
          <w:tcPr>
            <w:tcW w:w="81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90"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10"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4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1"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450"/>
        </w:trPr>
        <w:tc>
          <w:tcPr>
            <w:tcW w:w="10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6094D" w:rsidRPr="00756A16" w:rsidRDefault="0096094D" w:rsidP="00E214C9">
            <w:pPr>
              <w:spacing w:after="0" w:line="240" w:lineRule="auto"/>
              <w:jc w:val="center"/>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BOLETÍN</w:t>
            </w:r>
          </w:p>
        </w:tc>
        <w:tc>
          <w:tcPr>
            <w:tcW w:w="1890" w:type="dxa"/>
            <w:tcBorders>
              <w:top w:val="single" w:sz="4" w:space="0" w:color="auto"/>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Recepción de los archivos enviados por las unidades con las informaciones de registro de asistencia de los funcionarios.</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68,2%</w:t>
            </w:r>
          </w:p>
        </w:tc>
        <w:tc>
          <w:tcPr>
            <w:tcW w:w="990" w:type="dxa"/>
            <w:tcBorders>
              <w:top w:val="single" w:sz="4" w:space="0" w:color="auto"/>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41.602 </w:t>
            </w:r>
          </w:p>
        </w:tc>
        <w:tc>
          <w:tcPr>
            <w:tcW w:w="810" w:type="dxa"/>
            <w:tcBorders>
              <w:top w:val="single" w:sz="4" w:space="0" w:color="auto"/>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28.365 </w:t>
            </w:r>
          </w:p>
        </w:tc>
        <w:tc>
          <w:tcPr>
            <w:tcW w:w="948" w:type="dxa"/>
            <w:tcBorders>
              <w:top w:val="single" w:sz="4" w:space="0" w:color="auto"/>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368.747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45%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245.831 </w:t>
            </w:r>
          </w:p>
        </w:tc>
      </w:tr>
      <w:tr w:rsidR="0096094D" w:rsidRPr="00756A16" w:rsidTr="00960546">
        <w:trPr>
          <w:trHeight w:val="25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Emisión de informe para verificación de las inconsistencias.</w:t>
            </w:r>
          </w:p>
        </w:tc>
        <w:tc>
          <w:tcPr>
            <w:tcW w:w="81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13.818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4.145 </w:t>
            </w:r>
          </w:p>
        </w:tc>
        <w:tc>
          <w:tcPr>
            <w:tcW w:w="94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53.890 </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5%</w:t>
            </w:r>
          </w:p>
        </w:tc>
        <w:tc>
          <w:tcPr>
            <w:tcW w:w="85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25%</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44.908 </w:t>
            </w:r>
          </w:p>
        </w:tc>
      </w:tr>
      <w:tr w:rsidR="0096094D" w:rsidRPr="00756A16" w:rsidTr="00960546">
        <w:trPr>
          <w:trHeight w:val="450"/>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Retorno de los archivos para las unidades detectadas con inconsistencias, para corrección.</w:t>
            </w:r>
          </w:p>
        </w:tc>
        <w:tc>
          <w:tcPr>
            <w:tcW w:w="810"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90"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10"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48"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0" w:type="dxa"/>
            <w:tcBorders>
              <w:top w:val="nil"/>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25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Envío de informe de faltas para la nómina de pago.</w:t>
            </w:r>
          </w:p>
        </w:tc>
        <w:tc>
          <w:tcPr>
            <w:tcW w:w="81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9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1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4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1"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255"/>
        </w:trPr>
        <w:tc>
          <w:tcPr>
            <w:tcW w:w="10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TIEMPO DE SERVICIO</w:t>
            </w:r>
          </w:p>
        </w:tc>
        <w:tc>
          <w:tcPr>
            <w:tcW w:w="1890" w:type="dxa"/>
            <w:tcBorders>
              <w:top w:val="single" w:sz="4" w:space="0" w:color="auto"/>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Inclusión de licencia especial.</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6.421 </w:t>
            </w:r>
          </w:p>
        </w:tc>
        <w:tc>
          <w:tcPr>
            <w:tcW w:w="810" w:type="dxa"/>
            <w:tcBorders>
              <w:top w:val="single" w:sz="4" w:space="0" w:color="auto"/>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1.926 </w:t>
            </w:r>
          </w:p>
        </w:tc>
        <w:tc>
          <w:tcPr>
            <w:tcW w:w="94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25.043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25.043 </w:t>
            </w:r>
          </w:p>
        </w:tc>
      </w:tr>
      <w:tr w:rsidR="0096094D" w:rsidRPr="00756A16" w:rsidTr="00960546">
        <w:trPr>
          <w:trHeight w:val="255"/>
        </w:trPr>
        <w:tc>
          <w:tcPr>
            <w:tcW w:w="1077" w:type="dxa"/>
            <w:vMerge/>
            <w:tcBorders>
              <w:top w:val="single" w:sz="4" w:space="0" w:color="auto"/>
              <w:left w:val="single" w:sz="4" w:space="0" w:color="auto"/>
              <w:bottom w:val="single" w:sz="4" w:space="0" w:color="auto"/>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Registro de tiempo de servicio.</w:t>
            </w:r>
          </w:p>
        </w:tc>
        <w:tc>
          <w:tcPr>
            <w:tcW w:w="81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30,0%</w:t>
            </w:r>
          </w:p>
        </w:tc>
        <w:tc>
          <w:tcPr>
            <w:tcW w:w="99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3.211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963 </w:t>
            </w:r>
          </w:p>
        </w:tc>
        <w:tc>
          <w:tcPr>
            <w:tcW w:w="94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12.522 </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30%</w:t>
            </w:r>
          </w:p>
        </w:tc>
        <w:tc>
          <w:tcPr>
            <w:tcW w:w="85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0%</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0 </w:t>
            </w:r>
          </w:p>
        </w:tc>
      </w:tr>
      <w:tr w:rsidR="0096094D" w:rsidRPr="00756A16" w:rsidTr="00960546">
        <w:trPr>
          <w:trHeight w:val="255"/>
        </w:trPr>
        <w:tc>
          <w:tcPr>
            <w:tcW w:w="1077" w:type="dxa"/>
            <w:vMerge/>
            <w:tcBorders>
              <w:top w:val="single" w:sz="4" w:space="0" w:color="auto"/>
              <w:left w:val="single" w:sz="4" w:space="0" w:color="auto"/>
              <w:bottom w:val="single" w:sz="4" w:space="0" w:color="auto"/>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single" w:sz="4" w:space="0" w:color="auto"/>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Recuento de vacaciones y licencia especial en doble.</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35.805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10.742 </w:t>
            </w:r>
          </w:p>
        </w:tc>
        <w:tc>
          <w:tcPr>
            <w:tcW w:w="94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139.640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0 </w:t>
            </w:r>
          </w:p>
        </w:tc>
      </w:tr>
      <w:tr w:rsidR="0096094D" w:rsidRPr="00756A16" w:rsidTr="00960546">
        <w:trPr>
          <w:trHeight w:val="675"/>
        </w:trPr>
        <w:tc>
          <w:tcPr>
            <w:tcW w:w="10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094D" w:rsidRPr="00756A16" w:rsidRDefault="0096094D" w:rsidP="00E214C9">
            <w:pPr>
              <w:spacing w:after="0" w:line="240" w:lineRule="auto"/>
              <w:jc w:val="center"/>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PDF</w:t>
            </w:r>
          </w:p>
        </w:tc>
        <w:tc>
          <w:tcPr>
            <w:tcW w:w="1890" w:type="dxa"/>
            <w:tcBorders>
              <w:top w:val="single" w:sz="4" w:space="0" w:color="auto"/>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RECEPCIÓN DE LAS INFORMACIONES DE LA CATRI Y PROCESAMIENTO MANUAL DE PLANILLA CON LOS VALORES QUE SERÁN DISTRIBUIDOS PARA SU INCLUSIÓN EN EL SISTEMA PDF</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33,0%</w:t>
            </w:r>
          </w:p>
        </w:tc>
        <w:tc>
          <w:tcPr>
            <w:tcW w:w="990" w:type="dxa"/>
            <w:tcBorders>
              <w:top w:val="single" w:sz="4" w:space="0" w:color="auto"/>
              <w:left w:val="nil"/>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29.066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9.592 </w:t>
            </w:r>
          </w:p>
        </w:tc>
        <w:tc>
          <w:tcPr>
            <w:tcW w:w="94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124.695 </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86.908 </w:t>
            </w:r>
          </w:p>
        </w:tc>
      </w:tr>
      <w:tr w:rsidR="0096094D" w:rsidRPr="00756A16" w:rsidTr="00960546">
        <w:trPr>
          <w:trHeight w:val="67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single" w:sz="4" w:space="0" w:color="auto"/>
              <w:left w:val="nil"/>
              <w:bottom w:val="single" w:sz="4" w:space="0" w:color="auto"/>
              <w:right w:val="single" w:sz="4" w:space="0" w:color="auto"/>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ACTUALIZACIÓN MANUAL DEL SISTEMA PDF PARA El CÁLCULO Y GENERACIÓN DE VPC CON LAS </w:t>
            </w:r>
            <w:r w:rsidR="006B2804">
              <w:rPr>
                <w:rFonts w:ascii="Arial" w:eastAsia="Times New Roman" w:hAnsi="Arial" w:cs="Arial"/>
                <w:noProof w:val="0"/>
                <w:sz w:val="14"/>
                <w:szCs w:val="14"/>
                <w:lang w:val="es-ES_tradnl"/>
              </w:rPr>
              <w:t>INFORMACIONES PARA LA</w:t>
            </w:r>
            <w:r w:rsidRPr="00756A16">
              <w:rPr>
                <w:rFonts w:ascii="Arial" w:eastAsia="Times New Roman" w:hAnsi="Arial" w:cs="Arial"/>
                <w:noProof w:val="0"/>
                <w:sz w:val="14"/>
                <w:szCs w:val="14"/>
                <w:lang w:val="es-ES_tradnl"/>
              </w:rPr>
              <w:t xml:space="preserve"> NÓMINA DE PAGO DE LOS FUNCIONARIOS DE LA SEFAZ </w:t>
            </w:r>
            <w:r w:rsidRPr="00756A16">
              <w:rPr>
                <w:rFonts w:ascii="Arial" w:eastAsia="Times New Roman" w:hAnsi="Arial" w:cs="Arial"/>
                <w:noProof w:val="0"/>
                <w:sz w:val="14"/>
                <w:szCs w:val="14"/>
                <w:lang w:val="es-ES_tradnl"/>
              </w:rPr>
              <w:lastRenderedPageBreak/>
              <w:t>ASIGNADOS A OTROS ÓRGANOS</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33,0%</w:t>
            </w:r>
          </w:p>
        </w:tc>
        <w:tc>
          <w:tcPr>
            <w:tcW w:w="990" w:type="dxa"/>
            <w:tcBorders>
              <w:top w:val="single" w:sz="4" w:space="0" w:color="auto"/>
              <w:left w:val="nil"/>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37.879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12.500 </w:t>
            </w:r>
          </w:p>
        </w:tc>
        <w:tc>
          <w:tcPr>
            <w:tcW w:w="948"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162.500 </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23%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xml:space="preserve">     113.258 </w:t>
            </w:r>
          </w:p>
        </w:tc>
      </w:tr>
      <w:tr w:rsidR="0096094D" w:rsidRPr="00756A16" w:rsidTr="00960546">
        <w:trPr>
          <w:trHeight w:val="76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single" w:sz="4" w:space="0" w:color="auto"/>
              <w:left w:val="nil"/>
              <w:bottom w:val="single" w:sz="4" w:space="0" w:color="auto"/>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RECEPCIÓN DE LAS INFORMACIONES DE LA CATRI Y PROCESAMIENTO MANUAL PARA INCLUSIÓN DE LOS PUNTOS INSTITUCIONALES Y PUNTOS DE GESTIÓN PARA CÁLCULO EN EL SISTEMA PDF.</w:t>
            </w:r>
          </w:p>
        </w:tc>
        <w:tc>
          <w:tcPr>
            <w:tcW w:w="810" w:type="dxa"/>
            <w:tcBorders>
              <w:top w:val="single" w:sz="4" w:space="0" w:color="auto"/>
              <w:left w:val="single" w:sz="4" w:space="0" w:color="auto"/>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90"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10"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48"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708"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1" w:type="dxa"/>
            <w:tcBorders>
              <w:top w:val="single" w:sz="4" w:space="0" w:color="auto"/>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495"/>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single" w:sz="4" w:space="0" w:color="auto"/>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CREACIÓN VPC DE VACACIONES MES Y REMESA PARA La NÓMINA+CÁLCULO DEL PDF VACACIONES NO PROGRAMADAS PARA INCLUSIÓN DEL VALOR EN LA NÓMINA</w:t>
            </w:r>
          </w:p>
        </w:tc>
        <w:tc>
          <w:tcPr>
            <w:tcW w:w="810" w:type="dxa"/>
            <w:tcBorders>
              <w:top w:val="single" w:sz="4" w:space="0" w:color="auto"/>
              <w:left w:val="single" w:sz="4" w:space="0" w:color="auto"/>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single" w:sz="4" w:space="0" w:color="auto"/>
              <w:left w:val="nil"/>
              <w:bottom w:val="nil"/>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90" w:type="dxa"/>
            <w:tcBorders>
              <w:top w:val="single" w:sz="4" w:space="0" w:color="auto"/>
              <w:left w:val="nil"/>
              <w:bottom w:val="nil"/>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10" w:type="dxa"/>
            <w:tcBorders>
              <w:top w:val="single" w:sz="4" w:space="0" w:color="auto"/>
              <w:left w:val="nil"/>
              <w:bottom w:val="nil"/>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948" w:type="dxa"/>
            <w:tcBorders>
              <w:top w:val="single" w:sz="4" w:space="0" w:color="auto"/>
              <w:left w:val="nil"/>
              <w:bottom w:val="nil"/>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708" w:type="dxa"/>
            <w:tcBorders>
              <w:top w:val="single" w:sz="4" w:space="0" w:color="auto"/>
              <w:left w:val="nil"/>
              <w:bottom w:val="nil"/>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1" w:type="dxa"/>
            <w:tcBorders>
              <w:top w:val="single" w:sz="4" w:space="0" w:color="auto"/>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p>
        </w:tc>
        <w:tc>
          <w:tcPr>
            <w:tcW w:w="850" w:type="dxa"/>
            <w:tcBorders>
              <w:top w:val="single" w:sz="4" w:space="0" w:color="auto"/>
              <w:left w:val="nil"/>
              <w:bottom w:val="nil"/>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60546">
        <w:trPr>
          <w:trHeight w:val="450"/>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96094D" w:rsidRPr="00756A16" w:rsidRDefault="0096094D" w:rsidP="00E214C9">
            <w:pPr>
              <w:spacing w:after="0" w:line="240" w:lineRule="auto"/>
              <w:rPr>
                <w:rFonts w:ascii="Arial" w:eastAsia="Times New Roman" w:hAnsi="Arial" w:cs="Arial"/>
                <w:noProof w:val="0"/>
                <w:sz w:val="14"/>
                <w:szCs w:val="14"/>
                <w:lang w:val="es-ES_tradnl"/>
              </w:rPr>
            </w:pPr>
          </w:p>
        </w:tc>
        <w:tc>
          <w:tcPr>
            <w:tcW w:w="1890" w:type="dxa"/>
            <w:tcBorders>
              <w:top w:val="nil"/>
              <w:left w:val="nil"/>
              <w:bottom w:val="single" w:sz="4" w:space="0" w:color="auto"/>
              <w:right w:val="nil"/>
            </w:tcBorders>
            <w:shd w:val="clear" w:color="auto" w:fill="auto"/>
            <w:hideMark/>
          </w:tcPr>
          <w:p w:rsidR="0096094D" w:rsidRPr="00756A16" w:rsidRDefault="0096094D" w:rsidP="00E214C9">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CREACIÓN ARCHIVO CATRI PARA SISTEMA PDF HACER El CÁLCULO DE LOS EXPEDIENTES PAGADOS EN EL BIMESTRE</w:t>
            </w:r>
          </w:p>
        </w:tc>
        <w:tc>
          <w:tcPr>
            <w:tcW w:w="810" w:type="dxa"/>
            <w:tcBorders>
              <w:top w:val="nil"/>
              <w:left w:val="single" w:sz="4" w:space="0" w:color="auto"/>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20" w:type="dxa"/>
            <w:tcBorders>
              <w:top w:val="nil"/>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90" w:type="dxa"/>
            <w:tcBorders>
              <w:top w:val="nil"/>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10" w:type="dxa"/>
            <w:tcBorders>
              <w:top w:val="nil"/>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48" w:type="dxa"/>
            <w:tcBorders>
              <w:top w:val="nil"/>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708" w:type="dxa"/>
            <w:tcBorders>
              <w:top w:val="nil"/>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1" w:type="dxa"/>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r>
      <w:tr w:rsidR="0096094D" w:rsidRPr="00756A16" w:rsidTr="00900076">
        <w:trPr>
          <w:trHeight w:val="179"/>
        </w:trPr>
        <w:tc>
          <w:tcPr>
            <w:tcW w:w="296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094D" w:rsidRPr="00756A16" w:rsidRDefault="0096094D" w:rsidP="00900076">
            <w:pPr>
              <w:spacing w:after="0" w:line="240" w:lineRule="auto"/>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TOTAL</w:t>
            </w:r>
          </w:p>
        </w:tc>
        <w:tc>
          <w:tcPr>
            <w:tcW w:w="81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900076">
            <w:pPr>
              <w:spacing w:after="0" w:line="240" w:lineRule="auto"/>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13</w:t>
            </w:r>
          </w:p>
        </w:tc>
        <w:tc>
          <w:tcPr>
            <w:tcW w:w="72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900076">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99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900076">
            <w:pPr>
              <w:spacing w:after="0" w:line="240" w:lineRule="auto"/>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 </w:t>
            </w:r>
          </w:p>
        </w:tc>
        <w:tc>
          <w:tcPr>
            <w:tcW w:w="81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900076">
            <w:pPr>
              <w:spacing w:after="0" w:line="240" w:lineRule="auto"/>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 xml:space="preserve">95.851 </w:t>
            </w:r>
          </w:p>
        </w:tc>
        <w:tc>
          <w:tcPr>
            <w:tcW w:w="94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900076">
            <w:pPr>
              <w:spacing w:after="0" w:line="240" w:lineRule="auto"/>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 xml:space="preserve">1.246.063 </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900076">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1"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900076">
            <w:pPr>
              <w:spacing w:after="0" w:line="240" w:lineRule="auto"/>
              <w:rPr>
                <w:rFonts w:ascii="Arial" w:eastAsia="Times New Roman" w:hAnsi="Arial" w:cs="Arial"/>
                <w:noProof w:val="0"/>
                <w:sz w:val="14"/>
                <w:szCs w:val="14"/>
                <w:lang w:val="es-ES_tradnl"/>
              </w:rPr>
            </w:pPr>
            <w:r w:rsidRPr="00756A16">
              <w:rPr>
                <w:rFonts w:ascii="Arial" w:eastAsia="Times New Roman" w:hAnsi="Arial" w:cs="Arial"/>
                <w:noProof w:val="0"/>
                <w:sz w:val="14"/>
                <w:szCs w:val="14"/>
                <w:lang w:val="es-ES_tradnl"/>
              </w:rPr>
              <w:t> </w:t>
            </w:r>
          </w:p>
        </w:tc>
        <w:tc>
          <w:tcPr>
            <w:tcW w:w="8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900076">
            <w:pPr>
              <w:spacing w:after="0" w:line="240" w:lineRule="auto"/>
              <w:rPr>
                <w:rFonts w:ascii="Arial" w:eastAsia="Times New Roman" w:hAnsi="Arial" w:cs="Arial"/>
                <w:b/>
                <w:bCs/>
                <w:noProof w:val="0"/>
                <w:sz w:val="14"/>
                <w:szCs w:val="14"/>
                <w:lang w:val="es-ES_tradnl"/>
              </w:rPr>
            </w:pPr>
            <w:r w:rsidRPr="00756A16">
              <w:rPr>
                <w:rFonts w:ascii="Arial" w:eastAsia="Times New Roman" w:hAnsi="Arial" w:cs="Arial"/>
                <w:b/>
                <w:bCs/>
                <w:noProof w:val="0"/>
                <w:sz w:val="14"/>
                <w:szCs w:val="14"/>
                <w:lang w:val="es-ES_tradnl"/>
              </w:rPr>
              <w:t xml:space="preserve">766.689 </w:t>
            </w:r>
          </w:p>
        </w:tc>
      </w:tr>
    </w:tbl>
    <w:p w:rsidR="0096094D" w:rsidRPr="00756A16" w:rsidRDefault="0096094D" w:rsidP="0096094D">
      <w:pPr>
        <w:pStyle w:val="ListParagraph"/>
        <w:keepNext/>
        <w:suppressAutoHyphens/>
        <w:spacing w:before="120" w:after="0" w:line="240" w:lineRule="auto"/>
        <w:ind w:left="142"/>
        <w:jc w:val="both"/>
        <w:outlineLvl w:val="3"/>
        <w:rPr>
          <w:rFonts w:ascii="Arial" w:eastAsia="Times New Roman" w:hAnsi="Arial" w:cs="Arial"/>
          <w:bCs/>
          <w:noProof w:val="0"/>
          <w:sz w:val="14"/>
          <w:szCs w:val="14"/>
          <w:lang w:val="es-ES_tradnl" w:eastAsia="es-ES"/>
        </w:rPr>
      </w:pPr>
    </w:p>
    <w:p w:rsidR="0096094D" w:rsidRPr="00756A16" w:rsidRDefault="0096094D" w:rsidP="00900076">
      <w:pPr>
        <w:ind w:left="900"/>
        <w:jc w:val="both"/>
        <w:rPr>
          <w:rFonts w:ascii="Arial" w:eastAsia="Times New Roman" w:hAnsi="Arial" w:cs="Arial"/>
          <w:b/>
          <w:bCs/>
          <w:noProof w:val="0"/>
          <w:lang w:val="es-ES_tradnl" w:eastAsia="es-ES"/>
        </w:rPr>
      </w:pPr>
      <w:r w:rsidRPr="00756A16">
        <w:rPr>
          <w:rFonts w:ascii="Arial" w:eastAsia="Times New Roman" w:hAnsi="Arial" w:cs="Arial"/>
          <w:b/>
          <w:bCs/>
          <w:noProof w:val="0"/>
          <w:lang w:val="es-ES_tradnl" w:eastAsia="es-ES"/>
        </w:rPr>
        <w:t>Subproducto 2.5.1: Implantación del Proceso Administrativo Tributario Electrónico (</w:t>
      </w:r>
      <w:proofErr w:type="gramStart"/>
      <w:r w:rsidRPr="00756A16">
        <w:rPr>
          <w:rFonts w:ascii="Arial" w:eastAsia="Times New Roman" w:hAnsi="Arial" w:cs="Arial"/>
          <w:b/>
          <w:bCs/>
          <w:noProof w:val="0"/>
          <w:lang w:val="es-ES_tradnl" w:eastAsia="es-ES"/>
        </w:rPr>
        <w:t>PAT-e</w:t>
      </w:r>
      <w:proofErr w:type="gramEnd"/>
      <w:r w:rsidRPr="00756A16">
        <w:rPr>
          <w:rFonts w:ascii="Arial" w:eastAsia="Times New Roman" w:hAnsi="Arial" w:cs="Arial"/>
          <w:b/>
          <w:bCs/>
          <w:noProof w:val="0"/>
          <w:lang w:val="es-ES_tradnl" w:eastAsia="es-ES"/>
        </w:rPr>
        <w:t>).</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proceso administrativo tributario de la esfera administrativa del contencioso fiscal es actualmente manual y en papel. Al llegar al contencioso, el proceso es recibido por el protocolo que inicia el trámite y pasa a numerar todas las páginas, encuadernación del proceso y envío para saneamiento. Esta parte del proceso lleva en promedio 36 minutos (0,6 horas). El saneamiento hace la revisión de cada proceso para verificar si está completo y sin errores. Verificándose la existencia de errores o la ausencia de algún documento requerido, vuelve al departamento de origen. El proceso de saneamiento insume en promedio 48 minutos (0,8 horas). Cada proceso es digitalizado a través de un contrato mensual que la SEFAZ celebra con una empresa tercerizada, con un costo mensual de R$16 mil. Al final de la primera y segunda instancias, se hace la citación del contribuyente, cuya preparación y envío demanda 40 minutos (0,66 horas) y para el control del retorno más 20 minutos (0,33 horas). La citación es enviada por los Correos utilizando correspondencia con recibo del destinatario (AR). En 2016 fueron iniciados 4866 procesos y fueron juzgados 2722 en la primera instancia y 858 en la segunda instancia, totalizando 3580 procesos juzgados. </w:t>
      </w:r>
    </w:p>
    <w:p w:rsidR="0096094D"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Los trabajos descritos en el siguiente cuadro son realizados por profesionales tercerizados, a un costo de R$ 20 por hora. Es posible verificar </w:t>
      </w:r>
      <w:r w:rsidR="006B2804" w:rsidRPr="00756A16">
        <w:rPr>
          <w:rFonts w:ascii="Arial" w:eastAsia="Times New Roman" w:hAnsi="Arial" w:cs="Arial"/>
          <w:bCs/>
          <w:noProof w:val="0"/>
          <w:lang w:val="es-ES_tradnl" w:eastAsia="es-ES"/>
        </w:rPr>
        <w:t>que,</w:t>
      </w:r>
      <w:r w:rsidRPr="00756A16">
        <w:rPr>
          <w:rFonts w:ascii="Arial" w:eastAsia="Times New Roman" w:hAnsi="Arial" w:cs="Arial"/>
          <w:bCs/>
          <w:noProof w:val="0"/>
          <w:lang w:val="es-ES_tradnl" w:eastAsia="es-ES"/>
        </w:rPr>
        <w:t xml:space="preserve"> en 2016, la SEFAZ gastó más de R$ 400 mil con estos procesos. La automatización de los procesos e integración de los sistemas eliminarán estos gastos. Se espera que </w:t>
      </w:r>
      <w:r w:rsidRPr="00756A16">
        <w:rPr>
          <w:rFonts w:ascii="Arial" w:eastAsia="Times New Roman" w:hAnsi="Arial" w:cs="Arial"/>
          <w:bCs/>
          <w:noProof w:val="0"/>
          <w:lang w:val="es-ES_tradnl" w:eastAsia="es-ES"/>
        </w:rPr>
        <w:lastRenderedPageBreak/>
        <w:t xml:space="preserve">este subproducto ya esté implantado en el segundo año de ejecución del programa. </w:t>
      </w:r>
    </w:p>
    <w:p w:rsidR="00900076" w:rsidRPr="00756A16" w:rsidRDefault="00900076" w:rsidP="00900076">
      <w:pPr>
        <w:pStyle w:val="ListParagraph"/>
        <w:keepNext/>
        <w:tabs>
          <w:tab w:val="num" w:pos="1499"/>
        </w:tabs>
        <w:suppressAutoHyphens/>
        <w:spacing w:before="120" w:after="0" w:line="240" w:lineRule="auto"/>
        <w:ind w:left="851"/>
        <w:jc w:val="both"/>
        <w:outlineLvl w:val="3"/>
        <w:rPr>
          <w:rFonts w:ascii="Arial" w:eastAsia="Times New Roman" w:hAnsi="Arial" w:cs="Arial"/>
          <w:bCs/>
          <w:noProof w:val="0"/>
          <w:lang w:val="es-ES_tradnl" w:eastAsia="es-ES"/>
        </w:rPr>
      </w:pPr>
    </w:p>
    <w:p w:rsidR="0096094D" w:rsidRPr="00756A16" w:rsidRDefault="00900076" w:rsidP="00900076">
      <w:pPr>
        <w:pStyle w:val="ListParagraph"/>
        <w:keepNext/>
        <w:suppressAutoHyphens/>
        <w:spacing w:before="360" w:after="0" w:line="240" w:lineRule="auto"/>
        <w:ind w:left="1440"/>
        <w:jc w:val="center"/>
        <w:outlineLvl w:val="3"/>
        <w:rPr>
          <w:rFonts w:ascii="Arial" w:eastAsia="Times New Roman" w:hAnsi="Arial" w:cs="Arial"/>
          <w:bCs/>
          <w:noProof w:val="0"/>
          <w:lang w:val="es-ES_tradnl" w:eastAsia="es-ES"/>
        </w:rPr>
      </w:pPr>
      <w:r w:rsidRPr="00756A16">
        <w:rPr>
          <w:rFonts w:ascii="Arial" w:eastAsia="Times New Roman" w:hAnsi="Arial" w:cs="Arial"/>
          <w:b/>
          <w:noProof w:val="0"/>
          <w:color w:val="000000"/>
          <w:sz w:val="20"/>
          <w:szCs w:val="20"/>
          <w:lang w:val="es-ES_tradnl"/>
        </w:rPr>
        <w:t xml:space="preserve">Cuadro 10. </w:t>
      </w:r>
      <w:proofErr w:type="spellStart"/>
      <w:r w:rsidRPr="00756A16">
        <w:rPr>
          <w:rFonts w:ascii="Arial" w:eastAsia="Times New Roman" w:hAnsi="Arial" w:cs="Arial"/>
          <w:b/>
          <w:noProof w:val="0"/>
          <w:color w:val="000000"/>
          <w:sz w:val="20"/>
          <w:szCs w:val="20"/>
          <w:lang w:val="es-ES_tradnl"/>
        </w:rPr>
        <w:t>Subproduto</w:t>
      </w:r>
      <w:proofErr w:type="spellEnd"/>
      <w:r w:rsidRPr="00756A16">
        <w:rPr>
          <w:rFonts w:ascii="Arial" w:eastAsia="Times New Roman" w:hAnsi="Arial" w:cs="Arial"/>
          <w:b/>
          <w:noProof w:val="0"/>
          <w:color w:val="000000"/>
          <w:sz w:val="20"/>
          <w:szCs w:val="20"/>
          <w:lang w:val="es-ES_tradnl"/>
        </w:rPr>
        <w:t xml:space="preserve"> 2.5.1 - Implantación del Proceso Administrativo Tributario Electrónico (</w:t>
      </w:r>
      <w:proofErr w:type="gramStart"/>
      <w:r w:rsidRPr="00756A16">
        <w:rPr>
          <w:rFonts w:ascii="Arial" w:eastAsia="Times New Roman" w:hAnsi="Arial" w:cs="Arial"/>
          <w:b/>
          <w:noProof w:val="0"/>
          <w:color w:val="000000"/>
          <w:sz w:val="20"/>
          <w:szCs w:val="20"/>
          <w:lang w:val="es-ES_tradnl"/>
        </w:rPr>
        <w:t>PAT-e</w:t>
      </w:r>
      <w:proofErr w:type="gramEnd"/>
      <w:r w:rsidRPr="00756A16">
        <w:rPr>
          <w:rFonts w:ascii="Arial" w:eastAsia="Times New Roman" w:hAnsi="Arial" w:cs="Arial"/>
          <w:b/>
          <w:noProof w:val="0"/>
          <w:color w:val="000000"/>
          <w:sz w:val="20"/>
          <w:szCs w:val="20"/>
          <w:lang w:val="es-ES_tradnl"/>
        </w:rPr>
        <w:t>).</w:t>
      </w:r>
    </w:p>
    <w:tbl>
      <w:tblPr>
        <w:tblW w:w="9890" w:type="dxa"/>
        <w:tblInd w:w="88" w:type="dxa"/>
        <w:tblLayout w:type="fixed"/>
        <w:tblLook w:val="04A0" w:firstRow="1" w:lastRow="0" w:firstColumn="1" w:lastColumn="0" w:noHBand="0" w:noVBand="1"/>
      </w:tblPr>
      <w:tblGrid>
        <w:gridCol w:w="3417"/>
        <w:gridCol w:w="1575"/>
        <w:gridCol w:w="980"/>
        <w:gridCol w:w="1083"/>
        <w:gridCol w:w="850"/>
        <w:gridCol w:w="993"/>
        <w:gridCol w:w="992"/>
      </w:tblGrid>
      <w:tr w:rsidR="0096094D" w:rsidRPr="00756A16" w:rsidTr="00EC42DA">
        <w:trPr>
          <w:trHeight w:val="395"/>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094D" w:rsidRPr="00EC42DA" w:rsidRDefault="0096094D" w:rsidP="00EC42DA">
            <w:pPr>
              <w:spacing w:after="0" w:line="240" w:lineRule="auto"/>
              <w:jc w:val="center"/>
              <w:rPr>
                <w:rFonts w:ascii="Arial" w:eastAsia="Times New Roman" w:hAnsi="Arial" w:cs="Arial"/>
                <w:b/>
                <w:noProof w:val="0"/>
                <w:color w:val="000000"/>
                <w:sz w:val="18"/>
                <w:szCs w:val="18"/>
                <w:lang w:val="es-ES_tradnl"/>
              </w:rPr>
            </w:pPr>
            <w:r w:rsidRPr="00EC42DA">
              <w:rPr>
                <w:rFonts w:ascii="Arial" w:eastAsia="Times New Roman" w:hAnsi="Arial" w:cs="Arial"/>
                <w:b/>
                <w:noProof w:val="0"/>
                <w:color w:val="000000"/>
                <w:sz w:val="18"/>
                <w:szCs w:val="18"/>
                <w:lang w:val="es-ES_tradnl"/>
              </w:rPr>
              <w:t>Unidad</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094D" w:rsidRPr="00EC42DA" w:rsidRDefault="0096094D" w:rsidP="00EC42DA">
            <w:pPr>
              <w:spacing w:after="0" w:line="240" w:lineRule="auto"/>
              <w:jc w:val="center"/>
              <w:rPr>
                <w:rFonts w:ascii="Arial" w:eastAsia="Times New Roman" w:hAnsi="Arial" w:cs="Arial"/>
                <w:b/>
                <w:noProof w:val="0"/>
                <w:color w:val="000000"/>
                <w:sz w:val="18"/>
                <w:szCs w:val="18"/>
                <w:lang w:val="es-ES_tradnl"/>
              </w:rPr>
            </w:pPr>
            <w:r w:rsidRPr="00EC42DA">
              <w:rPr>
                <w:rFonts w:ascii="Arial" w:eastAsia="Times New Roman" w:hAnsi="Arial" w:cs="Arial"/>
                <w:b/>
                <w:noProof w:val="0"/>
                <w:color w:val="000000"/>
                <w:sz w:val="18"/>
                <w:szCs w:val="18"/>
                <w:lang w:val="es-ES_tradnl"/>
              </w:rPr>
              <w:t>Número unidad</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094D" w:rsidRPr="00EC42DA" w:rsidRDefault="0096094D" w:rsidP="00EC42DA">
            <w:pPr>
              <w:spacing w:after="0" w:line="240" w:lineRule="auto"/>
              <w:jc w:val="center"/>
              <w:rPr>
                <w:rFonts w:ascii="Arial" w:eastAsia="Times New Roman" w:hAnsi="Arial" w:cs="Arial"/>
                <w:b/>
                <w:noProof w:val="0"/>
                <w:color w:val="000000"/>
                <w:sz w:val="18"/>
                <w:szCs w:val="18"/>
                <w:lang w:val="es-ES_tradnl"/>
              </w:rPr>
            </w:pPr>
            <w:r w:rsidRPr="00EC42DA">
              <w:rPr>
                <w:rFonts w:ascii="Arial" w:eastAsia="Times New Roman" w:hAnsi="Arial" w:cs="Arial"/>
                <w:b/>
                <w:noProof w:val="0"/>
                <w:color w:val="000000"/>
                <w:sz w:val="18"/>
                <w:szCs w:val="18"/>
                <w:lang w:val="es-ES_tradnl"/>
              </w:rPr>
              <w:t>Procesos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094D" w:rsidRPr="00EC42DA" w:rsidRDefault="0096094D" w:rsidP="00EC42DA">
            <w:pPr>
              <w:spacing w:after="0" w:line="240" w:lineRule="auto"/>
              <w:jc w:val="center"/>
              <w:rPr>
                <w:rFonts w:ascii="Arial" w:eastAsia="Times New Roman" w:hAnsi="Arial" w:cs="Arial"/>
                <w:b/>
                <w:noProof w:val="0"/>
                <w:color w:val="000000"/>
                <w:sz w:val="18"/>
                <w:szCs w:val="18"/>
                <w:lang w:val="es-ES_tradnl"/>
              </w:rPr>
            </w:pPr>
            <w:r w:rsidRPr="00EC42DA">
              <w:rPr>
                <w:rFonts w:ascii="Arial" w:eastAsia="Times New Roman" w:hAnsi="Arial" w:cs="Arial"/>
                <w:b/>
                <w:noProof w:val="0"/>
                <w:color w:val="000000"/>
                <w:sz w:val="18"/>
                <w:szCs w:val="18"/>
                <w:lang w:val="es-ES_tradnl"/>
              </w:rPr>
              <w:t>Total</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094D" w:rsidRPr="00EC42DA" w:rsidRDefault="0096094D" w:rsidP="00EC42DA">
            <w:pPr>
              <w:spacing w:after="0" w:line="240" w:lineRule="auto"/>
              <w:jc w:val="center"/>
              <w:rPr>
                <w:rFonts w:ascii="Arial" w:eastAsia="Times New Roman" w:hAnsi="Arial" w:cs="Arial"/>
                <w:b/>
                <w:noProof w:val="0"/>
                <w:color w:val="000000"/>
                <w:sz w:val="18"/>
                <w:szCs w:val="18"/>
                <w:lang w:val="es-ES_tradnl"/>
              </w:rPr>
            </w:pPr>
            <w:r w:rsidRPr="00EC42DA">
              <w:rPr>
                <w:rFonts w:ascii="Arial" w:eastAsia="Times New Roman" w:hAnsi="Arial" w:cs="Arial"/>
                <w:b/>
                <w:noProof w:val="0"/>
                <w:color w:val="000000"/>
                <w:sz w:val="18"/>
                <w:szCs w:val="18"/>
                <w:lang w:val="es-ES_tradnl"/>
              </w:rPr>
              <w:t>Costo unitario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094D" w:rsidRPr="00EC42DA" w:rsidRDefault="0096094D" w:rsidP="00EC42DA">
            <w:pPr>
              <w:spacing w:after="0" w:line="240" w:lineRule="auto"/>
              <w:jc w:val="center"/>
              <w:rPr>
                <w:rFonts w:ascii="Arial" w:eastAsia="Times New Roman" w:hAnsi="Arial" w:cs="Arial"/>
                <w:b/>
                <w:noProof w:val="0"/>
                <w:color w:val="000000"/>
                <w:sz w:val="18"/>
                <w:szCs w:val="18"/>
                <w:lang w:val="es-ES_tradnl"/>
              </w:rPr>
            </w:pPr>
            <w:r w:rsidRPr="00EC42DA">
              <w:rPr>
                <w:rFonts w:ascii="Arial" w:eastAsia="Times New Roman" w:hAnsi="Arial" w:cs="Arial"/>
                <w:b/>
                <w:noProof w:val="0"/>
                <w:color w:val="000000"/>
                <w:sz w:val="18"/>
                <w:szCs w:val="18"/>
                <w:lang w:val="es-ES_tradnl"/>
              </w:rPr>
              <w:t>Costo anual</w:t>
            </w:r>
          </w:p>
        </w:tc>
      </w:tr>
      <w:tr w:rsidR="0096094D" w:rsidRPr="00756A16" w:rsidTr="00900076">
        <w:trPr>
          <w:trHeight w:val="555"/>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Entrada, protocolo, encuadernación, numeración, envío</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hora</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0,6</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4.866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2.920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20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58.392 </w:t>
            </w:r>
          </w:p>
        </w:tc>
      </w:tr>
      <w:tr w:rsidR="0096094D" w:rsidRPr="00756A16" w:rsidTr="00900076">
        <w:trPr>
          <w:trHeight w:val="30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Saneamiento</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hora</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0,8</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4.866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3.893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20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77.856 </w:t>
            </w:r>
          </w:p>
        </w:tc>
      </w:tr>
      <w:tr w:rsidR="0096094D" w:rsidRPr="00756A16" w:rsidTr="00900076">
        <w:trPr>
          <w:trHeight w:val="30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Digitalización</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mensual</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1</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12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12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16.000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192.000 </w:t>
            </w:r>
          </w:p>
        </w:tc>
      </w:tr>
      <w:tr w:rsidR="0096094D" w:rsidRPr="00756A16" w:rsidTr="00900076">
        <w:trPr>
          <w:trHeight w:val="315"/>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Citación - </w:t>
            </w:r>
            <w:proofErr w:type="gramStart"/>
            <w:r w:rsidRPr="00756A16">
              <w:rPr>
                <w:rFonts w:ascii="Arial" w:eastAsia="Times New Roman" w:hAnsi="Arial" w:cs="Arial"/>
                <w:noProof w:val="0"/>
                <w:color w:val="000000"/>
                <w:sz w:val="18"/>
                <w:szCs w:val="18"/>
                <w:lang w:val="es-ES_tradnl"/>
              </w:rPr>
              <w:t>1</w:t>
            </w:r>
            <w:r w:rsidRPr="00756A16">
              <w:rPr>
                <w:rFonts w:ascii="Arial" w:eastAsia="Times New Roman" w:hAnsi="Arial" w:cs="Arial"/>
                <w:noProof w:val="0"/>
                <w:color w:val="000000"/>
                <w:sz w:val="18"/>
                <w:szCs w:val="18"/>
                <w:vertAlign w:val="superscript"/>
                <w:lang w:val="es-ES_tradnl"/>
              </w:rPr>
              <w:t>a</w:t>
            </w:r>
            <w:r w:rsidRPr="00756A16">
              <w:rPr>
                <w:rFonts w:ascii="Arial" w:eastAsia="Times New Roman" w:hAnsi="Arial" w:cs="Arial"/>
                <w:noProof w:val="0"/>
                <w:color w:val="000000"/>
                <w:sz w:val="18"/>
                <w:szCs w:val="18"/>
                <w:lang w:val="es-ES_tradnl"/>
              </w:rPr>
              <w:t xml:space="preserve">  y</w:t>
            </w:r>
            <w:proofErr w:type="gramEnd"/>
            <w:r w:rsidRPr="00756A16">
              <w:rPr>
                <w:rFonts w:ascii="Arial" w:eastAsia="Times New Roman" w:hAnsi="Arial" w:cs="Arial"/>
                <w:noProof w:val="0"/>
                <w:color w:val="000000"/>
                <w:sz w:val="18"/>
                <w:szCs w:val="18"/>
                <w:lang w:val="es-ES_tradnl"/>
              </w:rPr>
              <w:t xml:space="preserve"> 2</w:t>
            </w:r>
            <w:r w:rsidRPr="00756A16">
              <w:rPr>
                <w:rFonts w:ascii="Arial" w:eastAsia="Times New Roman" w:hAnsi="Arial" w:cs="Arial"/>
                <w:noProof w:val="0"/>
                <w:color w:val="000000"/>
                <w:sz w:val="18"/>
                <w:szCs w:val="18"/>
                <w:vertAlign w:val="superscript"/>
                <w:lang w:val="es-ES_tradnl"/>
              </w:rPr>
              <w:t>a</w:t>
            </w:r>
            <w:r w:rsidRPr="00756A16">
              <w:rPr>
                <w:rFonts w:ascii="Arial" w:eastAsia="Times New Roman" w:hAnsi="Arial" w:cs="Arial"/>
                <w:noProof w:val="0"/>
                <w:color w:val="000000"/>
                <w:sz w:val="18"/>
                <w:szCs w:val="18"/>
                <w:lang w:val="es-ES_tradnl"/>
              </w:rPr>
              <w:t xml:space="preserve"> instancias -  envío</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hora</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0,7</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3.580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2.387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20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47.733 </w:t>
            </w:r>
          </w:p>
        </w:tc>
      </w:tr>
      <w:tr w:rsidR="0096094D" w:rsidRPr="00756A16" w:rsidTr="00900076">
        <w:trPr>
          <w:trHeight w:val="315"/>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Citación - </w:t>
            </w:r>
            <w:proofErr w:type="gramStart"/>
            <w:r w:rsidRPr="00756A16">
              <w:rPr>
                <w:rFonts w:ascii="Arial" w:eastAsia="Times New Roman" w:hAnsi="Arial" w:cs="Arial"/>
                <w:noProof w:val="0"/>
                <w:color w:val="000000"/>
                <w:sz w:val="18"/>
                <w:szCs w:val="18"/>
                <w:lang w:val="es-ES_tradnl"/>
              </w:rPr>
              <w:t>1</w:t>
            </w:r>
            <w:r w:rsidRPr="00756A16">
              <w:rPr>
                <w:rFonts w:ascii="Arial" w:eastAsia="Times New Roman" w:hAnsi="Arial" w:cs="Arial"/>
                <w:noProof w:val="0"/>
                <w:color w:val="000000"/>
                <w:sz w:val="18"/>
                <w:szCs w:val="18"/>
                <w:vertAlign w:val="superscript"/>
                <w:lang w:val="es-ES_tradnl"/>
              </w:rPr>
              <w:t>a</w:t>
            </w:r>
            <w:r w:rsidRPr="00756A16">
              <w:rPr>
                <w:rFonts w:ascii="Arial" w:eastAsia="Times New Roman" w:hAnsi="Arial" w:cs="Arial"/>
                <w:noProof w:val="0"/>
                <w:color w:val="000000"/>
                <w:sz w:val="18"/>
                <w:szCs w:val="18"/>
                <w:lang w:val="es-ES_tradnl"/>
              </w:rPr>
              <w:t xml:space="preserve">  y</w:t>
            </w:r>
            <w:proofErr w:type="gramEnd"/>
            <w:r w:rsidRPr="00756A16">
              <w:rPr>
                <w:rFonts w:ascii="Arial" w:eastAsia="Times New Roman" w:hAnsi="Arial" w:cs="Arial"/>
                <w:noProof w:val="0"/>
                <w:color w:val="000000"/>
                <w:sz w:val="18"/>
                <w:szCs w:val="18"/>
                <w:lang w:val="es-ES_tradnl"/>
              </w:rPr>
              <w:t xml:space="preserve"> 2</w:t>
            </w:r>
            <w:r w:rsidRPr="00756A16">
              <w:rPr>
                <w:rFonts w:ascii="Arial" w:eastAsia="Times New Roman" w:hAnsi="Arial" w:cs="Arial"/>
                <w:noProof w:val="0"/>
                <w:color w:val="000000"/>
                <w:sz w:val="18"/>
                <w:szCs w:val="18"/>
                <w:vertAlign w:val="superscript"/>
                <w:lang w:val="es-ES_tradnl"/>
              </w:rPr>
              <w:t>a</w:t>
            </w:r>
            <w:r w:rsidRPr="00756A16">
              <w:rPr>
                <w:rFonts w:ascii="Arial" w:eastAsia="Times New Roman" w:hAnsi="Arial" w:cs="Arial"/>
                <w:noProof w:val="0"/>
                <w:color w:val="000000"/>
                <w:sz w:val="18"/>
                <w:szCs w:val="18"/>
                <w:lang w:val="es-ES_tradnl"/>
              </w:rPr>
              <w:t xml:space="preserve"> instancias -  retorno</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hora</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0,3</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3.580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1.193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20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23.867 </w:t>
            </w:r>
          </w:p>
        </w:tc>
      </w:tr>
      <w:tr w:rsidR="0096094D" w:rsidRPr="00756A16" w:rsidTr="00900076">
        <w:trPr>
          <w:trHeight w:val="315"/>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Correo - AR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correspondencia</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1</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3.580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3.580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10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36.874 </w:t>
            </w:r>
          </w:p>
        </w:tc>
      </w:tr>
      <w:tr w:rsidR="0096094D" w:rsidRPr="00756A16" w:rsidTr="00900076">
        <w:trPr>
          <w:trHeight w:val="267"/>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Total</w:t>
            </w:r>
          </w:p>
        </w:tc>
        <w:tc>
          <w:tcPr>
            <w:tcW w:w="1575"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p>
        </w:tc>
        <w:tc>
          <w:tcPr>
            <w:tcW w:w="980"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p>
        </w:tc>
        <w:tc>
          <w:tcPr>
            <w:tcW w:w="1083"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p>
        </w:tc>
        <w:tc>
          <w:tcPr>
            <w:tcW w:w="850"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p>
        </w:tc>
        <w:tc>
          <w:tcPr>
            <w:tcW w:w="993" w:type="dxa"/>
            <w:tcBorders>
              <w:top w:val="single" w:sz="4" w:space="0" w:color="auto"/>
              <w:left w:val="nil"/>
              <w:bottom w:val="single" w:sz="4" w:space="0" w:color="auto"/>
              <w:right w:val="nil"/>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436.722 </w:t>
            </w:r>
          </w:p>
        </w:tc>
      </w:tr>
    </w:tbl>
    <w:p w:rsidR="0096094D" w:rsidRPr="00756A16" w:rsidRDefault="0096094D" w:rsidP="0096094D">
      <w:pPr>
        <w:pStyle w:val="ListParagraph"/>
        <w:keepNext/>
        <w:suppressAutoHyphens/>
        <w:spacing w:before="120" w:after="0" w:line="240" w:lineRule="auto"/>
        <w:ind w:left="1440"/>
        <w:jc w:val="both"/>
        <w:outlineLvl w:val="3"/>
        <w:rPr>
          <w:rFonts w:ascii="Arial" w:eastAsia="Times New Roman" w:hAnsi="Arial" w:cs="Arial"/>
          <w:bCs/>
          <w:noProof w:val="0"/>
          <w:sz w:val="18"/>
          <w:szCs w:val="18"/>
          <w:lang w:val="es-ES_tradnl" w:eastAsia="es-ES"/>
        </w:rPr>
      </w:pPr>
    </w:p>
    <w:p w:rsidR="0096094D" w:rsidRPr="00756A16" w:rsidRDefault="0096094D" w:rsidP="00900076">
      <w:pPr>
        <w:ind w:left="810"/>
        <w:jc w:val="both"/>
        <w:rPr>
          <w:rFonts w:ascii="Arial" w:eastAsia="Times New Roman" w:hAnsi="Arial" w:cs="Arial"/>
          <w:b/>
          <w:bCs/>
          <w:noProof w:val="0"/>
          <w:lang w:val="es-ES_tradnl" w:eastAsia="es-ES"/>
        </w:rPr>
      </w:pPr>
      <w:r w:rsidRPr="00756A16">
        <w:rPr>
          <w:rFonts w:ascii="Arial" w:eastAsia="Times New Roman" w:hAnsi="Arial" w:cs="Arial"/>
          <w:b/>
          <w:bCs/>
          <w:noProof w:val="0"/>
          <w:lang w:val="es-ES_tradnl" w:eastAsia="es-ES"/>
        </w:rPr>
        <w:t>Subproducto 3.2.8 Análisis, elaboración de modelos y automatización de la conciliación bancaria</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La conciliación de las cuentas bancarias es el cruce entre los movimientos financieros y </w:t>
      </w:r>
      <w:r w:rsidR="006B2804" w:rsidRPr="00756A16">
        <w:rPr>
          <w:rFonts w:ascii="Arial" w:eastAsia="Times New Roman" w:hAnsi="Arial" w:cs="Arial"/>
          <w:bCs/>
          <w:noProof w:val="0"/>
          <w:lang w:val="es-ES_tradnl" w:eastAsia="es-ES"/>
        </w:rPr>
        <w:t>los movimientos contables</w:t>
      </w:r>
      <w:r w:rsidRPr="00756A16">
        <w:rPr>
          <w:rFonts w:ascii="Arial" w:eastAsia="Times New Roman" w:hAnsi="Arial" w:cs="Arial"/>
          <w:bCs/>
          <w:noProof w:val="0"/>
          <w:lang w:val="es-ES_tradnl" w:eastAsia="es-ES"/>
        </w:rPr>
        <w:t>. La conciliación está siendo realizada por diversos funcionarios, ya que el Estado tiene centenares de cuentas que debe conciliar; y en este proceso cada funcionario utiliza su propia metodología de trabajo, sin que haya un estándar definido.</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La unidad se encarga de las cuentas de la administración directa que están divididas en cinco grandes áreas: (i) la cuenta única de la Tesorería; (ii) las cuentas de gestión de los diferentes órganos de la administración directa; (iii) las cuentas de préstamos; (iv) las cuentas de convenios; y (v) las cuentas de transferencias. La unidad CECAI trabaja con la conciliación de las cuentas de 64 órganos de la administración indirecta tales como fundaciones, autarquías, empresas públicas y sociedades de economía mixta dependientes, fondos, etc. Cada órgano de la administración indirecta también asigna funcionarios para su propia conciliación, además de los funcionarios de la CECAI que hacen una segunda conciliación.</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Actualmente, el sistema SARC (Sistema de Apoyo a las Rutinas de la Contabilidad) hace una parte de la conciliación de forma automática, pero no es capaz de realizar la comparación financiera versus contable, con generación de reportes de excepción para análisis. De esta forma, la conciliación bancaria depende de la verificación manual para identificación y resolución de discrepancias, exigiendo diversos funcionarios para la tarea diaria de conciliación y preparación de los informes mensuales y anuales. </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nuevo sistema correlacionará las informaciones financieras y contables; generará informes de inconsistencias de los diversos cruzamientos de informaciones; generará también un informe final de conciliación con su debido cierre de saldo; </w:t>
      </w:r>
      <w:r w:rsidR="006B2804" w:rsidRPr="00756A16">
        <w:rPr>
          <w:rFonts w:ascii="Arial" w:eastAsia="Times New Roman" w:hAnsi="Arial" w:cs="Arial"/>
          <w:bCs/>
          <w:noProof w:val="0"/>
          <w:lang w:val="es-ES_tradnl" w:eastAsia="es-ES"/>
        </w:rPr>
        <w:t>emitirá</w:t>
      </w:r>
      <w:r w:rsidRPr="00756A16">
        <w:rPr>
          <w:rFonts w:ascii="Arial" w:eastAsia="Times New Roman" w:hAnsi="Arial" w:cs="Arial"/>
          <w:bCs/>
          <w:noProof w:val="0"/>
          <w:lang w:val="es-ES_tradnl" w:eastAsia="es-ES"/>
        </w:rPr>
        <w:t xml:space="preserve"> alertas de posibles inconsistencias de procesamiento (auditoría del sistema); de interfaz simple y de fácil comprensión para los </w:t>
      </w:r>
      <w:r w:rsidRPr="00756A16">
        <w:rPr>
          <w:rFonts w:ascii="Arial" w:eastAsia="Times New Roman" w:hAnsi="Arial" w:cs="Arial"/>
          <w:bCs/>
          <w:noProof w:val="0"/>
          <w:lang w:val="es-ES_tradnl" w:eastAsia="es-ES"/>
        </w:rPr>
        <w:lastRenderedPageBreak/>
        <w:t>usuarios y gestores; reducirá al mínimo posible los lanzamientos manuales de conciliación; y unificará la metodología de conciliación contable-financiera.</w:t>
      </w:r>
    </w:p>
    <w:p w:rsidR="0096094D"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El siguiente cuadro presenta los tiempos y costos actuales asociados con la conciliación bancaria de las administraciones directa e indirecta. Como un mínimo de lanzamientos manuales permanecerá, para el análisis C-B se optó por incluir apenas el 80% del costo actual como economía para el estado.</w:t>
      </w:r>
    </w:p>
    <w:p w:rsidR="00900076" w:rsidRPr="00756A16" w:rsidRDefault="00900076" w:rsidP="00900076">
      <w:pPr>
        <w:pStyle w:val="ListParagraph"/>
        <w:keepNext/>
        <w:tabs>
          <w:tab w:val="num" w:pos="1499"/>
        </w:tabs>
        <w:suppressAutoHyphens/>
        <w:spacing w:before="120" w:after="0" w:line="240" w:lineRule="auto"/>
        <w:ind w:left="851"/>
        <w:jc w:val="both"/>
        <w:outlineLvl w:val="3"/>
        <w:rPr>
          <w:rFonts w:ascii="Arial" w:eastAsia="Times New Roman" w:hAnsi="Arial" w:cs="Arial"/>
          <w:bCs/>
          <w:noProof w:val="0"/>
          <w:lang w:val="es-ES_tradnl" w:eastAsia="es-ES"/>
        </w:rPr>
      </w:pPr>
    </w:p>
    <w:p w:rsidR="0096094D" w:rsidRPr="00756A16" w:rsidRDefault="00900076" w:rsidP="00900076">
      <w:pPr>
        <w:pStyle w:val="ListParagraph"/>
        <w:keepNext/>
        <w:suppressAutoHyphens/>
        <w:spacing w:before="240" w:after="0" w:line="240" w:lineRule="auto"/>
        <w:ind w:left="1418"/>
        <w:jc w:val="center"/>
        <w:outlineLvl w:val="3"/>
        <w:rPr>
          <w:rFonts w:ascii="Arial" w:eastAsia="Times New Roman" w:hAnsi="Arial" w:cs="Arial"/>
          <w:bCs/>
          <w:noProof w:val="0"/>
          <w:lang w:val="es-ES_tradnl" w:eastAsia="es-ES"/>
        </w:rPr>
      </w:pPr>
      <w:r w:rsidRPr="00756A16">
        <w:rPr>
          <w:rFonts w:ascii="Arial" w:eastAsia="Times New Roman" w:hAnsi="Arial" w:cs="Arial"/>
          <w:b/>
          <w:noProof w:val="0"/>
          <w:color w:val="000000"/>
          <w:sz w:val="20"/>
          <w:szCs w:val="20"/>
          <w:lang w:val="es-ES_tradnl"/>
        </w:rPr>
        <w:t>Cuadro 11. Conciliación Bancaria</w:t>
      </w:r>
    </w:p>
    <w:tbl>
      <w:tblPr>
        <w:tblW w:w="9364" w:type="dxa"/>
        <w:tblInd w:w="88" w:type="dxa"/>
        <w:tblLook w:val="04A0" w:firstRow="1" w:lastRow="0" w:firstColumn="1" w:lastColumn="0" w:noHBand="0" w:noVBand="1"/>
      </w:tblPr>
      <w:tblGrid>
        <w:gridCol w:w="2770"/>
        <w:gridCol w:w="977"/>
        <w:gridCol w:w="1380"/>
        <w:gridCol w:w="1160"/>
        <w:gridCol w:w="1427"/>
        <w:gridCol w:w="1650"/>
      </w:tblGrid>
      <w:tr w:rsidR="0096094D" w:rsidRPr="00756A16" w:rsidTr="00900076">
        <w:trPr>
          <w:trHeight w:val="300"/>
        </w:trPr>
        <w:tc>
          <w:tcPr>
            <w:tcW w:w="2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w:t>
            </w:r>
          </w:p>
        </w:tc>
        <w:tc>
          <w:tcPr>
            <w:tcW w:w="977" w:type="dxa"/>
            <w:tcBorders>
              <w:top w:val="single" w:sz="4" w:space="0" w:color="auto"/>
              <w:left w:val="nil"/>
              <w:bottom w:val="single" w:sz="4" w:space="0" w:color="auto"/>
              <w:right w:val="single" w:sz="4" w:space="0" w:color="auto"/>
            </w:tcBorders>
            <w:shd w:val="clear" w:color="auto" w:fill="auto"/>
            <w:noWrap/>
            <w:vAlign w:val="center"/>
            <w:hideMark/>
          </w:tcPr>
          <w:p w:rsidR="0096094D" w:rsidRPr="00900076" w:rsidRDefault="0096094D" w:rsidP="00900076">
            <w:pPr>
              <w:spacing w:after="0" w:line="240" w:lineRule="auto"/>
              <w:jc w:val="center"/>
              <w:rPr>
                <w:rFonts w:ascii="Arial" w:eastAsia="Times New Roman" w:hAnsi="Arial" w:cs="Arial"/>
                <w:b/>
                <w:noProof w:val="0"/>
                <w:color w:val="000000"/>
                <w:sz w:val="18"/>
                <w:szCs w:val="18"/>
                <w:lang w:val="es-ES_tradnl"/>
              </w:rPr>
            </w:pPr>
            <w:r w:rsidRPr="00900076">
              <w:rPr>
                <w:rFonts w:ascii="Arial" w:eastAsia="Times New Roman" w:hAnsi="Arial" w:cs="Arial"/>
                <w:b/>
                <w:noProof w:val="0"/>
                <w:color w:val="000000"/>
                <w:sz w:val="18"/>
                <w:szCs w:val="18"/>
                <w:lang w:val="es-ES_tradnl"/>
              </w:rPr>
              <w:t>Personal</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96094D" w:rsidRPr="00900076" w:rsidRDefault="0096094D" w:rsidP="00900076">
            <w:pPr>
              <w:spacing w:after="0" w:line="240" w:lineRule="auto"/>
              <w:jc w:val="center"/>
              <w:rPr>
                <w:rFonts w:ascii="Arial" w:eastAsia="Times New Roman" w:hAnsi="Arial" w:cs="Arial"/>
                <w:b/>
                <w:noProof w:val="0"/>
                <w:color w:val="000000"/>
                <w:sz w:val="18"/>
                <w:szCs w:val="18"/>
                <w:lang w:val="es-ES_tradnl"/>
              </w:rPr>
            </w:pPr>
            <w:r w:rsidRPr="00900076">
              <w:rPr>
                <w:rFonts w:ascii="Arial" w:eastAsia="Times New Roman" w:hAnsi="Arial" w:cs="Arial"/>
                <w:b/>
                <w:noProof w:val="0"/>
                <w:color w:val="000000"/>
                <w:sz w:val="18"/>
                <w:szCs w:val="18"/>
                <w:lang w:val="es-ES_tradnl"/>
              </w:rPr>
              <w:t>% de tiempo</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96094D" w:rsidRPr="00900076" w:rsidRDefault="0096094D" w:rsidP="00900076">
            <w:pPr>
              <w:spacing w:after="0" w:line="240" w:lineRule="auto"/>
              <w:jc w:val="center"/>
              <w:rPr>
                <w:rFonts w:ascii="Arial" w:eastAsia="Times New Roman" w:hAnsi="Arial" w:cs="Arial"/>
                <w:b/>
                <w:noProof w:val="0"/>
                <w:color w:val="000000"/>
                <w:sz w:val="18"/>
                <w:szCs w:val="18"/>
                <w:lang w:val="es-ES_tradnl"/>
              </w:rPr>
            </w:pPr>
            <w:r w:rsidRPr="00900076">
              <w:rPr>
                <w:rFonts w:ascii="Arial" w:eastAsia="Times New Roman" w:hAnsi="Arial" w:cs="Arial"/>
                <w:b/>
                <w:noProof w:val="0"/>
                <w:color w:val="000000"/>
                <w:sz w:val="18"/>
                <w:szCs w:val="18"/>
                <w:lang w:val="es-ES_tradnl"/>
              </w:rPr>
              <w:t>Salario</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96094D" w:rsidRPr="00900076" w:rsidRDefault="0096094D" w:rsidP="00900076">
            <w:pPr>
              <w:spacing w:after="0" w:line="240" w:lineRule="auto"/>
              <w:jc w:val="center"/>
              <w:rPr>
                <w:rFonts w:ascii="Arial" w:eastAsia="Times New Roman" w:hAnsi="Arial" w:cs="Arial"/>
                <w:b/>
                <w:noProof w:val="0"/>
                <w:color w:val="000000"/>
                <w:sz w:val="18"/>
                <w:szCs w:val="18"/>
                <w:lang w:val="es-ES_tradnl"/>
              </w:rPr>
            </w:pPr>
            <w:r w:rsidRPr="00900076">
              <w:rPr>
                <w:rFonts w:ascii="Arial" w:eastAsia="Times New Roman" w:hAnsi="Arial" w:cs="Arial"/>
                <w:b/>
                <w:noProof w:val="0"/>
                <w:color w:val="000000"/>
                <w:sz w:val="18"/>
                <w:szCs w:val="18"/>
                <w:lang w:val="es-ES_tradnl"/>
              </w:rPr>
              <w:t>Costo Mensual</w:t>
            </w:r>
          </w:p>
        </w:tc>
        <w:tc>
          <w:tcPr>
            <w:tcW w:w="1650" w:type="dxa"/>
            <w:tcBorders>
              <w:top w:val="single" w:sz="4" w:space="0" w:color="auto"/>
              <w:left w:val="nil"/>
              <w:bottom w:val="single" w:sz="4" w:space="0" w:color="auto"/>
              <w:right w:val="single" w:sz="4" w:space="0" w:color="auto"/>
            </w:tcBorders>
            <w:shd w:val="clear" w:color="auto" w:fill="auto"/>
            <w:noWrap/>
            <w:vAlign w:val="center"/>
            <w:hideMark/>
          </w:tcPr>
          <w:p w:rsidR="0096094D" w:rsidRPr="00900076" w:rsidRDefault="0096094D" w:rsidP="00900076">
            <w:pPr>
              <w:spacing w:after="0" w:line="240" w:lineRule="auto"/>
              <w:jc w:val="center"/>
              <w:rPr>
                <w:rFonts w:ascii="Arial" w:eastAsia="Times New Roman" w:hAnsi="Arial" w:cs="Arial"/>
                <w:b/>
                <w:noProof w:val="0"/>
                <w:color w:val="000000"/>
                <w:sz w:val="18"/>
                <w:szCs w:val="18"/>
                <w:lang w:val="es-ES_tradnl"/>
              </w:rPr>
            </w:pPr>
            <w:r w:rsidRPr="00900076">
              <w:rPr>
                <w:rFonts w:ascii="Arial" w:eastAsia="Times New Roman" w:hAnsi="Arial" w:cs="Arial"/>
                <w:b/>
                <w:noProof w:val="0"/>
                <w:color w:val="000000"/>
                <w:sz w:val="18"/>
                <w:szCs w:val="18"/>
                <w:lang w:val="es-ES_tradnl"/>
              </w:rPr>
              <w:t>Costo anual</w:t>
            </w:r>
          </w:p>
        </w:tc>
      </w:tr>
      <w:tr w:rsidR="003E78DB" w:rsidRPr="00756A16" w:rsidTr="006273A2">
        <w:trPr>
          <w:trHeight w:val="300"/>
        </w:trPr>
        <w:tc>
          <w:tcPr>
            <w:tcW w:w="9364" w:type="dxa"/>
            <w:gridSpan w:val="6"/>
            <w:tcBorders>
              <w:top w:val="nil"/>
              <w:left w:val="single" w:sz="4" w:space="0" w:color="auto"/>
              <w:bottom w:val="single" w:sz="4" w:space="0" w:color="auto"/>
              <w:right w:val="single" w:sz="4" w:space="0" w:color="auto"/>
            </w:tcBorders>
            <w:shd w:val="clear" w:color="auto" w:fill="auto"/>
            <w:noWrap/>
            <w:vAlign w:val="bottom"/>
            <w:hideMark/>
          </w:tcPr>
          <w:p w:rsidR="003E78DB" w:rsidRPr="003E78DB" w:rsidRDefault="003E78DB" w:rsidP="003E78DB">
            <w:pPr>
              <w:spacing w:after="0" w:line="240" w:lineRule="auto"/>
              <w:rPr>
                <w:rFonts w:ascii="Arial" w:eastAsia="Times New Roman" w:hAnsi="Arial" w:cs="Arial"/>
                <w:b/>
                <w:noProof w:val="0"/>
                <w:color w:val="000000"/>
                <w:sz w:val="18"/>
                <w:szCs w:val="18"/>
                <w:lang w:val="es-ES_tradnl"/>
              </w:rPr>
            </w:pPr>
            <w:r w:rsidRPr="003E78DB">
              <w:rPr>
                <w:rFonts w:ascii="Arial" w:eastAsia="Times New Roman" w:hAnsi="Arial" w:cs="Arial"/>
                <w:b/>
                <w:noProof w:val="0"/>
                <w:color w:val="000000"/>
                <w:sz w:val="18"/>
                <w:szCs w:val="18"/>
                <w:lang w:val="es-ES_tradnl"/>
              </w:rPr>
              <w:t>Administración Directa </w:t>
            </w:r>
          </w:p>
        </w:tc>
      </w:tr>
      <w:tr w:rsidR="0096094D" w:rsidRPr="00756A16" w:rsidTr="00900076">
        <w:trPr>
          <w:trHeight w:val="300"/>
        </w:trPr>
        <w:tc>
          <w:tcPr>
            <w:tcW w:w="277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Funcionario público</w:t>
            </w:r>
          </w:p>
        </w:tc>
        <w:tc>
          <w:tcPr>
            <w:tcW w:w="9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9</w:t>
            </w:r>
          </w:p>
        </w:tc>
        <w:tc>
          <w:tcPr>
            <w:tcW w:w="138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30%</w:t>
            </w:r>
          </w:p>
        </w:tc>
        <w:tc>
          <w:tcPr>
            <w:tcW w:w="1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22.800 </w:t>
            </w:r>
          </w:p>
        </w:tc>
        <w:tc>
          <w:tcPr>
            <w:tcW w:w="142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61.560 </w:t>
            </w:r>
          </w:p>
        </w:tc>
        <w:tc>
          <w:tcPr>
            <w:tcW w:w="16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800.280 </w:t>
            </w:r>
          </w:p>
        </w:tc>
      </w:tr>
      <w:tr w:rsidR="0096094D" w:rsidRPr="00756A16" w:rsidTr="003E78DB">
        <w:trPr>
          <w:trHeight w:val="300"/>
        </w:trPr>
        <w:tc>
          <w:tcPr>
            <w:tcW w:w="277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Tercerizados</w:t>
            </w:r>
          </w:p>
        </w:tc>
        <w:tc>
          <w:tcPr>
            <w:tcW w:w="9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1</w:t>
            </w:r>
          </w:p>
        </w:tc>
        <w:tc>
          <w:tcPr>
            <w:tcW w:w="138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30%</w:t>
            </w:r>
          </w:p>
        </w:tc>
        <w:tc>
          <w:tcPr>
            <w:tcW w:w="1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3.000 </w:t>
            </w:r>
          </w:p>
        </w:tc>
        <w:tc>
          <w:tcPr>
            <w:tcW w:w="142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900 </w:t>
            </w:r>
          </w:p>
        </w:tc>
        <w:tc>
          <w:tcPr>
            <w:tcW w:w="16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11.700 </w:t>
            </w:r>
          </w:p>
        </w:tc>
      </w:tr>
      <w:tr w:rsidR="003E78DB" w:rsidRPr="00756A16" w:rsidTr="003E78DB">
        <w:trPr>
          <w:trHeight w:val="260"/>
        </w:trPr>
        <w:tc>
          <w:tcPr>
            <w:tcW w:w="93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78DB" w:rsidRPr="003E78DB" w:rsidRDefault="003E78DB" w:rsidP="003E78DB">
            <w:pPr>
              <w:spacing w:after="0" w:line="240" w:lineRule="auto"/>
              <w:rPr>
                <w:rFonts w:ascii="Arial" w:eastAsia="Times New Roman" w:hAnsi="Arial" w:cs="Arial"/>
                <w:b/>
                <w:noProof w:val="0"/>
                <w:color w:val="000000"/>
                <w:sz w:val="18"/>
                <w:szCs w:val="18"/>
                <w:lang w:val="es-ES_tradnl"/>
              </w:rPr>
            </w:pPr>
            <w:r w:rsidRPr="003E78DB">
              <w:rPr>
                <w:rFonts w:ascii="Arial" w:eastAsia="Times New Roman" w:hAnsi="Arial" w:cs="Arial"/>
                <w:b/>
                <w:noProof w:val="0"/>
                <w:color w:val="000000"/>
                <w:sz w:val="18"/>
                <w:szCs w:val="18"/>
                <w:lang w:val="es-ES_tradnl"/>
              </w:rPr>
              <w:t>Administración Indirecta</w:t>
            </w:r>
          </w:p>
        </w:tc>
      </w:tr>
      <w:tr w:rsidR="0096094D" w:rsidRPr="00756A16" w:rsidTr="00900076">
        <w:trPr>
          <w:trHeight w:val="300"/>
        </w:trPr>
        <w:tc>
          <w:tcPr>
            <w:tcW w:w="277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Funcionario público - SEFAZ</w:t>
            </w:r>
          </w:p>
        </w:tc>
        <w:tc>
          <w:tcPr>
            <w:tcW w:w="9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10</w:t>
            </w:r>
          </w:p>
        </w:tc>
        <w:tc>
          <w:tcPr>
            <w:tcW w:w="138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40%</w:t>
            </w:r>
          </w:p>
        </w:tc>
        <w:tc>
          <w:tcPr>
            <w:tcW w:w="1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22.800 </w:t>
            </w:r>
          </w:p>
        </w:tc>
        <w:tc>
          <w:tcPr>
            <w:tcW w:w="142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91.200 </w:t>
            </w:r>
          </w:p>
        </w:tc>
        <w:tc>
          <w:tcPr>
            <w:tcW w:w="16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1.185.600 </w:t>
            </w:r>
          </w:p>
        </w:tc>
      </w:tr>
      <w:tr w:rsidR="0096094D" w:rsidRPr="00756A16" w:rsidTr="00900076">
        <w:trPr>
          <w:trHeight w:val="300"/>
        </w:trPr>
        <w:tc>
          <w:tcPr>
            <w:tcW w:w="277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Tercerizados</w:t>
            </w:r>
          </w:p>
        </w:tc>
        <w:tc>
          <w:tcPr>
            <w:tcW w:w="9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2</w:t>
            </w:r>
          </w:p>
        </w:tc>
        <w:tc>
          <w:tcPr>
            <w:tcW w:w="138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40%</w:t>
            </w:r>
          </w:p>
        </w:tc>
        <w:tc>
          <w:tcPr>
            <w:tcW w:w="1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3.000 </w:t>
            </w:r>
          </w:p>
        </w:tc>
        <w:tc>
          <w:tcPr>
            <w:tcW w:w="142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2.400 </w:t>
            </w:r>
          </w:p>
        </w:tc>
        <w:tc>
          <w:tcPr>
            <w:tcW w:w="16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31.200 </w:t>
            </w:r>
          </w:p>
        </w:tc>
      </w:tr>
      <w:tr w:rsidR="0096094D" w:rsidRPr="00756A16" w:rsidTr="00900076">
        <w:trPr>
          <w:trHeight w:val="300"/>
        </w:trPr>
        <w:tc>
          <w:tcPr>
            <w:tcW w:w="277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64 órganos</w:t>
            </w:r>
          </w:p>
        </w:tc>
        <w:tc>
          <w:tcPr>
            <w:tcW w:w="9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64</w:t>
            </w:r>
          </w:p>
        </w:tc>
        <w:tc>
          <w:tcPr>
            <w:tcW w:w="138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50%</w:t>
            </w:r>
          </w:p>
        </w:tc>
        <w:tc>
          <w:tcPr>
            <w:tcW w:w="1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12.700 </w:t>
            </w:r>
          </w:p>
        </w:tc>
        <w:tc>
          <w:tcPr>
            <w:tcW w:w="142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406.400 </w:t>
            </w:r>
          </w:p>
        </w:tc>
        <w:tc>
          <w:tcPr>
            <w:tcW w:w="16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5.283.200 </w:t>
            </w:r>
          </w:p>
        </w:tc>
      </w:tr>
      <w:tr w:rsidR="0096094D" w:rsidRPr="00756A16" w:rsidTr="00900076">
        <w:trPr>
          <w:trHeight w:val="375"/>
        </w:trPr>
        <w:tc>
          <w:tcPr>
            <w:tcW w:w="2770" w:type="dxa"/>
            <w:tcBorders>
              <w:top w:val="nil"/>
              <w:left w:val="single" w:sz="4" w:space="0" w:color="auto"/>
              <w:bottom w:val="single" w:sz="4" w:space="0" w:color="auto"/>
              <w:right w:val="single" w:sz="4" w:space="0" w:color="auto"/>
            </w:tcBorders>
            <w:shd w:val="clear" w:color="auto" w:fill="auto"/>
            <w:noWrap/>
            <w:vAlign w:val="bottom"/>
            <w:hideMark/>
          </w:tcPr>
          <w:p w:rsidR="0096094D" w:rsidRPr="003E78DB" w:rsidRDefault="0096094D" w:rsidP="00E214C9">
            <w:pPr>
              <w:spacing w:after="0" w:line="240" w:lineRule="auto"/>
              <w:rPr>
                <w:rFonts w:ascii="Arial" w:eastAsia="Times New Roman" w:hAnsi="Arial" w:cs="Arial"/>
                <w:b/>
                <w:noProof w:val="0"/>
                <w:color w:val="000000"/>
                <w:sz w:val="18"/>
                <w:szCs w:val="18"/>
                <w:lang w:val="es-ES_tradnl"/>
              </w:rPr>
            </w:pPr>
            <w:r w:rsidRPr="003E78DB">
              <w:rPr>
                <w:rFonts w:ascii="Arial" w:eastAsia="Times New Roman" w:hAnsi="Arial" w:cs="Arial"/>
                <w:b/>
                <w:noProof w:val="0"/>
                <w:color w:val="000000"/>
                <w:sz w:val="18"/>
                <w:szCs w:val="18"/>
                <w:lang w:val="es-ES_tradnl"/>
              </w:rPr>
              <w:t>Total</w:t>
            </w:r>
          </w:p>
        </w:tc>
        <w:tc>
          <w:tcPr>
            <w:tcW w:w="9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w:t>
            </w:r>
          </w:p>
        </w:tc>
        <w:tc>
          <w:tcPr>
            <w:tcW w:w="138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w:t>
            </w:r>
          </w:p>
        </w:tc>
        <w:tc>
          <w:tcPr>
            <w:tcW w:w="1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w:t>
            </w:r>
          </w:p>
        </w:tc>
        <w:tc>
          <w:tcPr>
            <w:tcW w:w="142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562.460 </w:t>
            </w:r>
          </w:p>
        </w:tc>
        <w:tc>
          <w:tcPr>
            <w:tcW w:w="165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7.311.980 </w:t>
            </w:r>
          </w:p>
        </w:tc>
      </w:tr>
    </w:tbl>
    <w:p w:rsidR="0096094D" w:rsidRPr="00756A16" w:rsidRDefault="006B2804"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Pr>
          <w:rFonts w:ascii="Arial" w:eastAsia="Times New Roman" w:hAnsi="Arial" w:cs="Arial"/>
          <w:bCs/>
          <w:noProof w:val="0"/>
          <w:lang w:eastAsia="es-ES"/>
        </w:rPr>
        <w:t>La</w:t>
      </w:r>
      <w:r w:rsidR="0096094D" w:rsidRPr="00756A16">
        <w:rPr>
          <w:rFonts w:ascii="Arial" w:eastAsia="Times New Roman" w:hAnsi="Arial" w:cs="Arial"/>
          <w:bCs/>
          <w:noProof w:val="0"/>
          <w:lang w:val="es-ES_tradnl" w:eastAsia="es-ES"/>
        </w:rPr>
        <w:t xml:space="preserve"> suma de todos los beneficios anteriormente descritos, transformados en dólares, utilizando una tasa de cambio de R$3,3 = US$1, son presentados en el siguiente cuadro.</w:t>
      </w:r>
    </w:p>
    <w:p w:rsidR="0096094D" w:rsidRPr="00756A16" w:rsidRDefault="0096094D" w:rsidP="0096094D">
      <w:pPr>
        <w:pStyle w:val="ListParagraph"/>
        <w:keepNext/>
        <w:suppressAutoHyphens/>
        <w:spacing w:before="120" w:after="0" w:line="240" w:lineRule="auto"/>
        <w:ind w:left="1440"/>
        <w:jc w:val="both"/>
        <w:outlineLvl w:val="3"/>
        <w:rPr>
          <w:rFonts w:ascii="Arial" w:eastAsia="Times New Roman" w:hAnsi="Arial" w:cs="Arial"/>
          <w:bCs/>
          <w:noProof w:val="0"/>
          <w:lang w:val="es-ES_tradnl" w:eastAsia="es-ES"/>
        </w:rPr>
      </w:pPr>
    </w:p>
    <w:tbl>
      <w:tblPr>
        <w:tblW w:w="10491" w:type="dxa"/>
        <w:tblInd w:w="-318" w:type="dxa"/>
        <w:tblLook w:val="04A0" w:firstRow="1" w:lastRow="0" w:firstColumn="1" w:lastColumn="0" w:noHBand="0" w:noVBand="1"/>
      </w:tblPr>
      <w:tblGrid>
        <w:gridCol w:w="2142"/>
        <w:gridCol w:w="708"/>
        <w:gridCol w:w="672"/>
        <w:gridCol w:w="774"/>
        <w:gridCol w:w="774"/>
        <w:gridCol w:w="774"/>
        <w:gridCol w:w="774"/>
        <w:gridCol w:w="774"/>
        <w:gridCol w:w="774"/>
        <w:gridCol w:w="774"/>
        <w:gridCol w:w="774"/>
        <w:gridCol w:w="795"/>
      </w:tblGrid>
      <w:tr w:rsidR="0096094D" w:rsidRPr="00756A16" w:rsidTr="00E214C9">
        <w:trPr>
          <w:trHeight w:val="315"/>
        </w:trPr>
        <w:tc>
          <w:tcPr>
            <w:tcW w:w="10491" w:type="dxa"/>
            <w:gridSpan w:val="12"/>
            <w:tcBorders>
              <w:top w:val="nil"/>
              <w:left w:val="nil"/>
              <w:bottom w:val="single" w:sz="4" w:space="0" w:color="auto"/>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b/>
                <w:bCs/>
                <w:noProof w:val="0"/>
                <w:color w:val="000000"/>
                <w:sz w:val="20"/>
                <w:szCs w:val="20"/>
                <w:lang w:val="es-ES_tradnl"/>
              </w:rPr>
            </w:pPr>
            <w:r w:rsidRPr="00756A16">
              <w:rPr>
                <w:rFonts w:ascii="Arial" w:eastAsia="Times New Roman" w:hAnsi="Arial" w:cs="Arial"/>
                <w:b/>
                <w:bCs/>
                <w:noProof w:val="0"/>
                <w:color w:val="000000"/>
                <w:sz w:val="20"/>
                <w:szCs w:val="20"/>
                <w:lang w:val="es-ES_tradnl"/>
              </w:rPr>
              <w:t>Cuadro 12. Cálculos de los Beneficios del Programa (en US$1000)</w:t>
            </w:r>
          </w:p>
        </w:tc>
      </w:tr>
      <w:tr w:rsidR="0096094D" w:rsidRPr="00EC42DA" w:rsidTr="00E214C9">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ind w:left="-377"/>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1</w:t>
            </w:r>
          </w:p>
        </w:tc>
        <w:tc>
          <w:tcPr>
            <w:tcW w:w="672"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2</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3</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4</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5</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6</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7</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8</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9</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Año 10</w:t>
            </w:r>
          </w:p>
        </w:tc>
        <w:tc>
          <w:tcPr>
            <w:tcW w:w="777" w:type="dxa"/>
            <w:tcBorders>
              <w:top w:val="nil"/>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6"/>
                <w:szCs w:val="16"/>
                <w:lang w:val="es-ES_tradnl"/>
              </w:rPr>
            </w:pPr>
            <w:r w:rsidRPr="00EC42DA">
              <w:rPr>
                <w:rFonts w:ascii="Arial" w:eastAsia="Times New Roman" w:hAnsi="Arial" w:cs="Arial"/>
                <w:b/>
                <w:noProof w:val="0"/>
                <w:color w:val="000000"/>
                <w:sz w:val="16"/>
                <w:szCs w:val="16"/>
                <w:lang w:val="es-ES_tradnl"/>
              </w:rPr>
              <w:t>Total</w:t>
            </w:r>
          </w:p>
        </w:tc>
      </w:tr>
      <w:tr w:rsidR="0096094D" w:rsidRPr="00756A16" w:rsidTr="00E214C9">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Beneficios </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w:t>
            </w:r>
          </w:p>
        </w:tc>
        <w:tc>
          <w:tcPr>
            <w:tcW w:w="67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9.358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20.125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29.118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29.118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29.118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29.118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29.118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29.118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29.118 </w:t>
            </w:r>
          </w:p>
        </w:tc>
        <w:tc>
          <w:tcPr>
            <w:tcW w:w="7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233.310 </w:t>
            </w:r>
          </w:p>
        </w:tc>
      </w:tr>
      <w:tr w:rsidR="0096094D" w:rsidRPr="00756A16" w:rsidTr="00E214C9">
        <w:trPr>
          <w:trHeight w:val="300"/>
        </w:trPr>
        <w:tc>
          <w:tcPr>
            <w:tcW w:w="2142" w:type="dxa"/>
            <w:tcBorders>
              <w:top w:val="nil"/>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Producto 2.6- Proceso de atención automatizado</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0</w:t>
            </w:r>
          </w:p>
        </w:tc>
        <w:tc>
          <w:tcPr>
            <w:tcW w:w="67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254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507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761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761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761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761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761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761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761 </w:t>
            </w:r>
          </w:p>
        </w:tc>
        <w:tc>
          <w:tcPr>
            <w:tcW w:w="7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6.085 </w:t>
            </w:r>
          </w:p>
        </w:tc>
      </w:tr>
      <w:tr w:rsidR="0096094D" w:rsidRPr="00756A16" w:rsidTr="00E214C9">
        <w:trPr>
          <w:trHeight w:val="780"/>
        </w:trPr>
        <w:tc>
          <w:tcPr>
            <w:tcW w:w="2142" w:type="dxa"/>
            <w:tcBorders>
              <w:top w:val="nil"/>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Subproducto 2.3.2: Nuevo sistema de control electrónico de operaciones fiscales al menudeo - Implantación de los Módulo Fiscales electrónicos (MF-e)</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0</w:t>
            </w:r>
          </w:p>
        </w:tc>
        <w:tc>
          <w:tcPr>
            <w:tcW w:w="67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8.740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17.480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26.220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26.220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26.220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26.220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26.220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26.220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26.220 </w:t>
            </w:r>
          </w:p>
        </w:tc>
        <w:tc>
          <w:tcPr>
            <w:tcW w:w="7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209.762 </w:t>
            </w:r>
          </w:p>
        </w:tc>
      </w:tr>
      <w:tr w:rsidR="0096094D" w:rsidRPr="00756A16" w:rsidTr="00E214C9">
        <w:trPr>
          <w:trHeight w:val="542"/>
        </w:trPr>
        <w:tc>
          <w:tcPr>
            <w:tcW w:w="2142" w:type="dxa"/>
            <w:tcBorders>
              <w:top w:val="nil"/>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Subproducto 1.3.4: Análisis, elaboración de modelos y automatización de los procesos de RH</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0</w:t>
            </w:r>
          </w:p>
        </w:tc>
        <w:tc>
          <w:tcPr>
            <w:tcW w:w="67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232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232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232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232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232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232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232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232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232 </w:t>
            </w:r>
          </w:p>
        </w:tc>
        <w:tc>
          <w:tcPr>
            <w:tcW w:w="7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2.091 </w:t>
            </w:r>
          </w:p>
        </w:tc>
      </w:tr>
      <w:tr w:rsidR="0096094D" w:rsidRPr="00756A16" w:rsidTr="00E214C9">
        <w:trPr>
          <w:trHeight w:val="525"/>
        </w:trPr>
        <w:tc>
          <w:tcPr>
            <w:tcW w:w="2142" w:type="dxa"/>
            <w:tcBorders>
              <w:top w:val="nil"/>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Subproducto 2.5.1: Implantación del Proceso Administrativo Tributario Electrónico (</w:t>
            </w:r>
            <w:proofErr w:type="gramStart"/>
            <w:r w:rsidRPr="00756A16">
              <w:rPr>
                <w:rFonts w:ascii="Arial" w:eastAsia="Times New Roman" w:hAnsi="Arial" w:cs="Arial"/>
                <w:noProof w:val="0"/>
                <w:color w:val="000000"/>
                <w:sz w:val="16"/>
                <w:szCs w:val="16"/>
                <w:lang w:val="es-ES_tradnl"/>
              </w:rPr>
              <w:t>PAT-e</w:t>
            </w:r>
            <w:proofErr w:type="gramEnd"/>
            <w:r w:rsidRPr="00756A16">
              <w:rPr>
                <w:rFonts w:ascii="Arial" w:eastAsia="Times New Roman" w:hAnsi="Arial" w:cs="Arial"/>
                <w:noProof w:val="0"/>
                <w:color w:val="000000"/>
                <w:sz w:val="16"/>
                <w:szCs w:val="16"/>
                <w:lang w:val="es-ES_tradnl"/>
              </w:rPr>
              <w:t>).</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0</w:t>
            </w:r>
          </w:p>
        </w:tc>
        <w:tc>
          <w:tcPr>
            <w:tcW w:w="67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132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132 </w:t>
            </w:r>
          </w:p>
        </w:tc>
        <w:tc>
          <w:tcPr>
            <w:tcW w:w="7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1.192 </w:t>
            </w:r>
          </w:p>
        </w:tc>
      </w:tr>
      <w:tr w:rsidR="0096094D" w:rsidRPr="00756A16" w:rsidTr="00E214C9">
        <w:trPr>
          <w:trHeight w:val="525"/>
        </w:trPr>
        <w:tc>
          <w:tcPr>
            <w:tcW w:w="2142" w:type="dxa"/>
            <w:tcBorders>
              <w:top w:val="nil"/>
              <w:left w:val="single" w:sz="4" w:space="0" w:color="auto"/>
              <w:bottom w:val="single" w:sz="4" w:space="0" w:color="auto"/>
              <w:right w:val="single" w:sz="4" w:space="0" w:color="auto"/>
            </w:tcBorders>
            <w:shd w:val="clear" w:color="auto" w:fill="auto"/>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Subproducto 3.2.8 Análisis, elaboración de modelos y automatización de la conciliación bancaria</w:t>
            </w:r>
          </w:p>
        </w:tc>
        <w:tc>
          <w:tcPr>
            <w:tcW w:w="70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0</w:t>
            </w:r>
          </w:p>
        </w:tc>
        <w:tc>
          <w:tcPr>
            <w:tcW w:w="67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1.773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1.773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1.773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1.773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1.773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1.773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1.773 </w:t>
            </w:r>
          </w:p>
        </w:tc>
        <w:tc>
          <w:tcPr>
            <w:tcW w:w="77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1.773 </w:t>
            </w:r>
          </w:p>
        </w:tc>
        <w:tc>
          <w:tcPr>
            <w:tcW w:w="777"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6"/>
                <w:szCs w:val="16"/>
                <w:lang w:val="es-ES_tradnl"/>
              </w:rPr>
            </w:pPr>
            <w:r w:rsidRPr="00756A16">
              <w:rPr>
                <w:rFonts w:ascii="Arial" w:eastAsia="Times New Roman" w:hAnsi="Arial" w:cs="Arial"/>
                <w:noProof w:val="0"/>
                <w:color w:val="000000"/>
                <w:sz w:val="16"/>
                <w:szCs w:val="16"/>
                <w:lang w:val="es-ES_tradnl"/>
              </w:rPr>
              <w:t xml:space="preserve">    14.181 </w:t>
            </w:r>
          </w:p>
        </w:tc>
      </w:tr>
    </w:tbl>
    <w:p w:rsidR="0096094D" w:rsidRPr="00756A16" w:rsidRDefault="0096094D" w:rsidP="0096094D">
      <w:pPr>
        <w:pStyle w:val="ListParagraph"/>
        <w:keepNext/>
        <w:suppressAutoHyphens/>
        <w:spacing w:after="0" w:line="240" w:lineRule="auto"/>
        <w:ind w:left="0"/>
        <w:jc w:val="both"/>
        <w:outlineLvl w:val="3"/>
        <w:rPr>
          <w:rFonts w:ascii="Arial" w:eastAsia="Times New Roman" w:hAnsi="Arial" w:cs="Arial"/>
          <w:bCs/>
          <w:noProof w:val="0"/>
          <w:sz w:val="16"/>
          <w:szCs w:val="16"/>
          <w:lang w:val="es-ES_tradnl" w:eastAsia="es-ES"/>
        </w:rPr>
      </w:pPr>
    </w:p>
    <w:p w:rsidR="0096094D" w:rsidRPr="00756A16" w:rsidRDefault="0096094D" w:rsidP="003E78DB">
      <w:pPr>
        <w:pStyle w:val="Chapter"/>
        <w:keepNext/>
        <w:numPr>
          <w:ilvl w:val="0"/>
          <w:numId w:val="45"/>
        </w:numPr>
        <w:tabs>
          <w:tab w:val="clear" w:pos="1440"/>
          <w:tab w:val="clear" w:pos="1499"/>
        </w:tabs>
        <w:spacing w:before="240"/>
        <w:ind w:left="900" w:hanging="450"/>
        <w:jc w:val="left"/>
        <w:rPr>
          <w:rFonts w:ascii="Arial" w:eastAsiaTheme="minorEastAsia" w:hAnsi="Arial" w:cs="Arial"/>
          <w:sz w:val="22"/>
          <w:szCs w:val="22"/>
          <w:lang w:val="es-ES_tradnl"/>
        </w:rPr>
      </w:pPr>
      <w:r w:rsidRPr="00756A16">
        <w:rPr>
          <w:rFonts w:ascii="Arial" w:eastAsiaTheme="minorEastAsia" w:hAnsi="Arial" w:cs="Arial"/>
          <w:sz w:val="22"/>
          <w:szCs w:val="22"/>
          <w:lang w:val="es-ES_tradnl"/>
        </w:rPr>
        <w:t>RESULTADO DEL ANÁLISIS COSTO-BENEFICIO</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bookmarkStart w:id="3" w:name="_Hlk493347793"/>
      <w:r w:rsidRPr="00756A16">
        <w:rPr>
          <w:rFonts w:ascii="Arial" w:eastAsia="Times New Roman" w:hAnsi="Arial" w:cs="Arial"/>
          <w:bCs/>
          <w:noProof w:val="0"/>
          <w:lang w:val="es-ES_tradnl" w:eastAsia="es-ES"/>
        </w:rPr>
        <w:t xml:space="preserve">El análisis C-B demuestra que, en el horizonte de 10 años, utilizando todos los costos y los beneficios estimados para apenas cinco subproductos, el PROFISCO II CE tiene una tasa interna de retorno muy sólida. En el Escenario 1 (básico), utilizándose los resultados anteriormente descritos, el programa </w:t>
      </w:r>
      <w:r w:rsidRPr="00756A16">
        <w:rPr>
          <w:rFonts w:ascii="Arial" w:eastAsia="Times New Roman" w:hAnsi="Arial" w:cs="Arial"/>
          <w:bCs/>
          <w:noProof w:val="0"/>
          <w:lang w:val="es-ES_tradnl" w:eastAsia="es-ES"/>
        </w:rPr>
        <w:lastRenderedPageBreak/>
        <w:t>estima una tasa interna de retorno (TIR) del 30,3% y un valor presente neto (VPL) de más de US$ 50 millones. El flujo financiero anual (Beneficios – Costos) pasa a ser positivo ya en el tercer año del programa y, acumulativamente, pasa a ser positivo en el sexto año del programa, o sea, ya con retorno positivo para el conjunto del programa.</w:t>
      </w:r>
    </w:p>
    <w:bookmarkEnd w:id="3"/>
    <w:p w:rsidR="003E78DB" w:rsidRPr="00756A16" w:rsidRDefault="003E78DB" w:rsidP="003E78DB">
      <w:pPr>
        <w:pStyle w:val="ListParagraph"/>
        <w:keepNext/>
        <w:suppressAutoHyphens/>
        <w:spacing w:before="240" w:after="0" w:line="240" w:lineRule="auto"/>
        <w:ind w:left="851"/>
        <w:jc w:val="center"/>
        <w:outlineLvl w:val="3"/>
        <w:rPr>
          <w:rFonts w:ascii="Arial" w:eastAsia="Times New Roman" w:hAnsi="Arial" w:cs="Arial"/>
          <w:bCs/>
          <w:noProof w:val="0"/>
          <w:lang w:val="es-ES_tradnl" w:eastAsia="es-ES"/>
        </w:rPr>
      </w:pPr>
      <w:r w:rsidRPr="00756A16">
        <w:rPr>
          <w:rFonts w:ascii="Arial" w:eastAsia="Times New Roman" w:hAnsi="Arial" w:cs="Arial"/>
          <w:b/>
          <w:bCs/>
          <w:noProof w:val="0"/>
          <w:color w:val="000000"/>
          <w:sz w:val="20"/>
          <w:szCs w:val="20"/>
          <w:lang w:val="es-ES_tradnl"/>
        </w:rPr>
        <w:t>Cuadro 13. Escenario Básico del Análisis Costo-Beneficio (en US$1000)</w:t>
      </w:r>
    </w:p>
    <w:tbl>
      <w:tblPr>
        <w:tblW w:w="9859" w:type="dxa"/>
        <w:tblInd w:w="88" w:type="dxa"/>
        <w:tblLook w:val="04A0" w:firstRow="1" w:lastRow="0" w:firstColumn="1" w:lastColumn="0" w:noHBand="0" w:noVBand="1"/>
      </w:tblPr>
      <w:tblGrid>
        <w:gridCol w:w="1941"/>
        <w:gridCol w:w="723"/>
        <w:gridCol w:w="723"/>
        <w:gridCol w:w="723"/>
        <w:gridCol w:w="718"/>
        <w:gridCol w:w="718"/>
        <w:gridCol w:w="718"/>
        <w:gridCol w:w="718"/>
        <w:gridCol w:w="718"/>
        <w:gridCol w:w="718"/>
        <w:gridCol w:w="718"/>
        <w:gridCol w:w="723"/>
      </w:tblGrid>
      <w:tr w:rsidR="0096094D" w:rsidRPr="00756A16" w:rsidTr="003E78DB">
        <w:trPr>
          <w:trHeight w:val="300"/>
        </w:trPr>
        <w:tc>
          <w:tcPr>
            <w:tcW w:w="1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1</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2</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3</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4</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5</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6</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7</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8</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9</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10</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Total</w:t>
            </w:r>
          </w:p>
        </w:tc>
      </w:tr>
      <w:tr w:rsidR="0096094D" w:rsidRPr="00756A16" w:rsidTr="003E78DB">
        <w:trPr>
          <w:trHeight w:val="300"/>
        </w:trPr>
        <w:tc>
          <w:tcPr>
            <w:tcW w:w="194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Costos totales</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- 24.283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- 28.039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- 18.654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8.762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9.198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3.507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3.428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3.349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3.270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2.980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- 105.470 </w:t>
            </w:r>
          </w:p>
        </w:tc>
      </w:tr>
      <w:tr w:rsidR="0096094D" w:rsidRPr="00756A16" w:rsidTr="003E78DB">
        <w:trPr>
          <w:trHeight w:val="300"/>
        </w:trPr>
        <w:tc>
          <w:tcPr>
            <w:tcW w:w="194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Beneficios</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9.358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20.125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29.118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29.118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29.118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29.118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29.118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29.118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29.118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233.310 </w:t>
            </w:r>
          </w:p>
        </w:tc>
      </w:tr>
      <w:tr w:rsidR="0096094D" w:rsidRPr="00756A16" w:rsidTr="003E78DB">
        <w:trPr>
          <w:trHeight w:val="300"/>
        </w:trPr>
        <w:tc>
          <w:tcPr>
            <w:tcW w:w="194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Flujo</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- 24.283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- 18.681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1.470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20.356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19.920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25.612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25.690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25.769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25.848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26.138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127.840 </w:t>
            </w:r>
          </w:p>
        </w:tc>
      </w:tr>
      <w:tr w:rsidR="0096094D" w:rsidRPr="00756A16" w:rsidTr="003E78DB">
        <w:trPr>
          <w:trHeight w:val="300"/>
        </w:trPr>
        <w:tc>
          <w:tcPr>
            <w:tcW w:w="194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Valor Presente Neto</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50.564</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r>
      <w:tr w:rsidR="0096094D" w:rsidRPr="00756A16" w:rsidTr="003E78DB">
        <w:trPr>
          <w:trHeight w:val="300"/>
        </w:trPr>
        <w:tc>
          <w:tcPr>
            <w:tcW w:w="194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r w:rsidRPr="00756A16">
              <w:rPr>
                <w:rFonts w:eastAsia="Times New Roman" w:cs="Calibri"/>
                <w:noProof w:val="0"/>
                <w:color w:val="000000"/>
                <w:sz w:val="18"/>
                <w:szCs w:val="18"/>
                <w:lang w:val="es-ES_tradnl"/>
              </w:rPr>
              <w:t>TIR</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eastAsia="Times New Roman" w:cs="Calibri"/>
                <w:noProof w:val="0"/>
                <w:color w:val="000000"/>
                <w:sz w:val="18"/>
                <w:szCs w:val="18"/>
                <w:lang w:val="es-ES_tradnl"/>
              </w:rPr>
            </w:pPr>
            <w:r w:rsidRPr="00756A16">
              <w:rPr>
                <w:rFonts w:eastAsia="Times New Roman" w:cs="Calibri"/>
                <w:noProof w:val="0"/>
                <w:color w:val="000000"/>
                <w:sz w:val="18"/>
                <w:szCs w:val="18"/>
                <w:lang w:val="es-ES_tradnl"/>
              </w:rPr>
              <w:t>30%</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r>
    </w:tbl>
    <w:p w:rsidR="0096094D" w:rsidRPr="00756A16" w:rsidRDefault="003E78DB" w:rsidP="003E78DB">
      <w:pPr>
        <w:pStyle w:val="Chapter"/>
        <w:keepNext/>
        <w:numPr>
          <w:ilvl w:val="0"/>
          <w:numId w:val="45"/>
        </w:numPr>
        <w:tabs>
          <w:tab w:val="clear" w:pos="1440"/>
          <w:tab w:val="clear" w:pos="1499"/>
        </w:tabs>
        <w:spacing w:before="240"/>
        <w:ind w:left="900" w:hanging="450"/>
        <w:jc w:val="left"/>
        <w:rPr>
          <w:rFonts w:ascii="Arial" w:eastAsiaTheme="minorEastAsia" w:hAnsi="Arial" w:cs="Arial"/>
          <w:sz w:val="22"/>
          <w:szCs w:val="22"/>
          <w:lang w:val="es-ES_tradnl"/>
        </w:rPr>
      </w:pPr>
      <w:r>
        <w:rPr>
          <w:rFonts w:ascii="Arial" w:eastAsiaTheme="minorEastAsia" w:hAnsi="Arial" w:cs="Arial"/>
          <w:sz w:val="22"/>
          <w:szCs w:val="22"/>
          <w:lang w:val="es-ES_tradnl"/>
        </w:rPr>
        <w:t>A</w:t>
      </w:r>
      <w:r w:rsidR="0096094D" w:rsidRPr="00756A16">
        <w:rPr>
          <w:rFonts w:ascii="Arial" w:eastAsiaTheme="minorEastAsia" w:hAnsi="Arial" w:cs="Arial"/>
          <w:sz w:val="22"/>
          <w:szCs w:val="22"/>
          <w:lang w:val="es-ES_tradnl"/>
        </w:rPr>
        <w:t>nálisis de Sensibilidad</w:t>
      </w:r>
    </w:p>
    <w:p w:rsidR="0096094D" w:rsidRPr="00756A16" w:rsidRDefault="006B2804"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Todo análisis</w:t>
      </w:r>
      <w:r w:rsidR="0096094D" w:rsidRPr="00756A16">
        <w:rPr>
          <w:rFonts w:ascii="Arial" w:eastAsia="Times New Roman" w:hAnsi="Arial" w:cs="Arial"/>
          <w:bCs/>
          <w:noProof w:val="0"/>
          <w:lang w:val="es-ES_tradnl" w:eastAsia="es-ES"/>
        </w:rPr>
        <w:t xml:space="preserve"> C-B ex-ante está asociado a riesgos de diferentes tipos: costos por encima de los que fueron estimados, beneficios menores de lo esperado, etc. Un análisis de sensibilidad cambiando algunos parámetros utilizados en el escenario básico puede contextualizar mejor estos riesgos.</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Tres diferentes escenarios fueron diseñados: una desvalorización del Real, una reducción de beneficios y un escenario que mezcla desvalorización y reducción de beneficios.</w:t>
      </w:r>
    </w:p>
    <w:p w:rsidR="0096094D" w:rsidRPr="00756A16" w:rsidRDefault="0096094D" w:rsidP="0096094D">
      <w:pPr>
        <w:pStyle w:val="ListParagraph"/>
        <w:keepNext/>
        <w:numPr>
          <w:ilvl w:val="1"/>
          <w:numId w:val="45"/>
        </w:numPr>
        <w:tabs>
          <w:tab w:val="num" w:pos="851"/>
        </w:tabs>
        <w:suppressAutoHyphens/>
        <w:spacing w:before="120" w:after="0" w:line="240" w:lineRule="auto"/>
        <w:ind w:left="851"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Escenario 2: </w:t>
      </w:r>
      <w:r w:rsidRPr="00756A16">
        <w:rPr>
          <w:rFonts w:ascii="Arial" w:eastAsia="Times New Roman" w:hAnsi="Arial" w:cs="Arial"/>
          <w:b/>
          <w:bCs/>
          <w:noProof w:val="0"/>
          <w:lang w:val="es-ES_tradnl" w:eastAsia="es-ES"/>
        </w:rPr>
        <w:t xml:space="preserve">Desvalorización de 10% del Real. </w:t>
      </w:r>
      <w:r w:rsidRPr="00756A16">
        <w:rPr>
          <w:rFonts w:ascii="Arial" w:eastAsia="Times New Roman" w:hAnsi="Arial" w:cs="Arial"/>
          <w:bCs/>
          <w:noProof w:val="0"/>
          <w:lang w:val="es-ES_tradnl" w:eastAsia="es-ES"/>
        </w:rPr>
        <w:t>Como los costos, excepto mantenimiento, son fijos en dólares y los beneficios son medidos en Reales, una desvalorización del Real implica una reducción de los beneficios medidos en dólares. Asumiendo una desvalorización del 10% del Real, la TIR cae al 26,2%, el VPL a poco menos de US$ 40 millones, el flujo pasa a ser positivo en el cuarto año y el acumulado en el sexto. Aunque la desvalorización del Real llegase al 50%, la TIR continuaría sólida en 14,5% y el VPL en alrededor del US$ 10 millones.</w:t>
      </w:r>
    </w:p>
    <w:tbl>
      <w:tblPr>
        <w:tblW w:w="9964" w:type="dxa"/>
        <w:tblInd w:w="93" w:type="dxa"/>
        <w:tblLook w:val="04A0" w:firstRow="1" w:lastRow="0" w:firstColumn="1" w:lastColumn="0" w:noHBand="0" w:noVBand="1"/>
      </w:tblPr>
      <w:tblGrid>
        <w:gridCol w:w="2000"/>
        <w:gridCol w:w="664"/>
        <w:gridCol w:w="723"/>
        <w:gridCol w:w="723"/>
        <w:gridCol w:w="718"/>
        <w:gridCol w:w="718"/>
        <w:gridCol w:w="718"/>
        <w:gridCol w:w="718"/>
        <w:gridCol w:w="718"/>
        <w:gridCol w:w="718"/>
        <w:gridCol w:w="718"/>
        <w:gridCol w:w="828"/>
      </w:tblGrid>
      <w:tr w:rsidR="003E78DB" w:rsidRPr="00756A16" w:rsidTr="003E78DB">
        <w:trPr>
          <w:trHeight w:val="300"/>
        </w:trPr>
        <w:tc>
          <w:tcPr>
            <w:tcW w:w="9964" w:type="dxa"/>
            <w:gridSpan w:val="12"/>
            <w:tcBorders>
              <w:top w:val="nil"/>
              <w:left w:val="nil"/>
              <w:bottom w:val="nil"/>
              <w:right w:val="nil"/>
            </w:tcBorders>
            <w:shd w:val="clear" w:color="auto" w:fill="auto"/>
            <w:noWrap/>
            <w:vAlign w:val="bottom"/>
            <w:hideMark/>
          </w:tcPr>
          <w:p w:rsidR="003E78DB" w:rsidRPr="00756A16" w:rsidRDefault="003E78DB" w:rsidP="003E78DB">
            <w:pPr>
              <w:spacing w:after="0" w:line="240" w:lineRule="auto"/>
              <w:jc w:val="center"/>
              <w:rPr>
                <w:rFonts w:ascii="Arial" w:eastAsia="Times New Roman" w:hAnsi="Arial" w:cs="Arial"/>
                <w:b/>
                <w:bCs/>
                <w:noProof w:val="0"/>
                <w:color w:val="000000"/>
                <w:sz w:val="20"/>
                <w:szCs w:val="20"/>
                <w:lang w:val="es-ES_tradnl"/>
              </w:rPr>
            </w:pPr>
            <w:r w:rsidRPr="00756A16">
              <w:rPr>
                <w:rFonts w:ascii="Arial" w:eastAsia="Times New Roman" w:hAnsi="Arial" w:cs="Arial"/>
                <w:b/>
                <w:bCs/>
                <w:noProof w:val="0"/>
                <w:color w:val="000000"/>
                <w:sz w:val="20"/>
                <w:szCs w:val="20"/>
                <w:lang w:val="es-ES_tradnl"/>
              </w:rPr>
              <w:t>Cuadro 14. Escenario 2 - Análisis Costo-Beneficio - Desvalorización del Real en 10% En US$ 1000)</w:t>
            </w:r>
          </w:p>
        </w:tc>
      </w:tr>
      <w:tr w:rsidR="0096094D" w:rsidRPr="00756A16" w:rsidTr="003E78DB">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w:t>
            </w:r>
          </w:p>
        </w:tc>
        <w:tc>
          <w:tcPr>
            <w:tcW w:w="664"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1</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2</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3</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4</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5</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6</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7</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8</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9</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10</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Total</w:t>
            </w:r>
          </w:p>
        </w:tc>
      </w:tr>
      <w:tr w:rsidR="0096094D" w:rsidRPr="00756A16" w:rsidTr="003E78DB">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Costos totales</w:t>
            </w:r>
          </w:p>
        </w:tc>
        <w:tc>
          <w:tcPr>
            <w:tcW w:w="6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- 24.283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- 27.982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- 18.535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8.605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9.028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3.324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3.245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3.166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3.088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2.817 </w:t>
            </w:r>
          </w:p>
        </w:tc>
        <w:tc>
          <w:tcPr>
            <w:tcW w:w="82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- 104.073 </w:t>
            </w:r>
          </w:p>
        </w:tc>
      </w:tr>
      <w:tr w:rsidR="0096094D" w:rsidRPr="00756A16" w:rsidTr="003E78DB">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Beneficios</w:t>
            </w:r>
          </w:p>
        </w:tc>
        <w:tc>
          <w:tcPr>
            <w:tcW w:w="6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8.508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18.295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26.471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26.471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26.471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26.471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26.471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26.471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26.471 </w:t>
            </w:r>
          </w:p>
        </w:tc>
        <w:tc>
          <w:tcPr>
            <w:tcW w:w="82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212.100 </w:t>
            </w:r>
          </w:p>
        </w:tc>
      </w:tr>
      <w:tr w:rsidR="0096094D" w:rsidRPr="00756A16" w:rsidTr="003E78DB">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Flujo</w:t>
            </w:r>
          </w:p>
        </w:tc>
        <w:tc>
          <w:tcPr>
            <w:tcW w:w="664"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- 24.283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- 19.475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240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17.866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17.443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23.147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23.226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23.305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23.384 </w:t>
            </w:r>
          </w:p>
        </w:tc>
        <w:tc>
          <w:tcPr>
            <w:tcW w:w="71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23.654 </w:t>
            </w:r>
          </w:p>
        </w:tc>
        <w:tc>
          <w:tcPr>
            <w:tcW w:w="82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108.027 </w:t>
            </w:r>
          </w:p>
        </w:tc>
      </w:tr>
      <w:tr w:rsidR="0096094D" w:rsidRPr="00756A16" w:rsidTr="003E78DB">
        <w:trPr>
          <w:trHeight w:val="300"/>
        </w:trPr>
        <w:tc>
          <w:tcPr>
            <w:tcW w:w="200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Valor Presente Neto</w:t>
            </w:r>
          </w:p>
        </w:tc>
        <w:tc>
          <w:tcPr>
            <w:tcW w:w="664"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39.576 </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82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r>
      <w:tr w:rsidR="0096094D" w:rsidRPr="00756A16" w:rsidTr="003E78DB">
        <w:trPr>
          <w:trHeight w:val="300"/>
        </w:trPr>
        <w:tc>
          <w:tcPr>
            <w:tcW w:w="2000"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TIR</w:t>
            </w:r>
          </w:p>
        </w:tc>
        <w:tc>
          <w:tcPr>
            <w:tcW w:w="664"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26%</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82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r>
    </w:tbl>
    <w:p w:rsidR="0096094D" w:rsidRPr="00756A16" w:rsidRDefault="0096094D" w:rsidP="0096094D">
      <w:pPr>
        <w:pStyle w:val="ListParagraph"/>
        <w:keepNext/>
        <w:numPr>
          <w:ilvl w:val="1"/>
          <w:numId w:val="45"/>
        </w:numPr>
        <w:tabs>
          <w:tab w:val="num" w:pos="851"/>
        </w:tabs>
        <w:suppressAutoHyphens/>
        <w:spacing w:before="120" w:after="0" w:line="240" w:lineRule="auto"/>
        <w:ind w:left="284"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Escenario 3: Reducción de beneficios. De los cinco subproductos incluidos en el análisis, el subproducto 2.3.2 (Nuevo sistema de control electrónico de operaciones fiscales al menudeo - Implantación de los Módulos Fiscales electrónicos MF-e) representa, en el escenario básico, el 90% del total de los beneficios medidos, lo que no causa sorpresa en proyectos fiscales, en que las mayores ganancias resultan de productos tributarios. En el escenario básico se asumió que la brecha de evasión para todo el sector minorista sería la mitad de la encontrada entre las firmas de comercio minorista fiscalizaciones durante los últimos tres años. Con esta hipótesis bastante conservadora, se asumió, además, que la poderosas herramienta del MF-e reduciría la evasión en este sector en un 50%. En el escenario 3, se asume que el MF-e reduciría </w:t>
      </w:r>
      <w:r w:rsidRPr="00756A16">
        <w:rPr>
          <w:rFonts w:ascii="Arial" w:eastAsia="Times New Roman" w:hAnsi="Arial" w:cs="Arial"/>
          <w:bCs/>
          <w:noProof w:val="0"/>
          <w:lang w:val="es-ES_tradnl" w:eastAsia="es-ES"/>
        </w:rPr>
        <w:lastRenderedPageBreak/>
        <w:t xml:space="preserve">apenas el 35% de </w:t>
      </w:r>
      <w:r w:rsidR="006B2804" w:rsidRPr="00756A16">
        <w:rPr>
          <w:rFonts w:ascii="Arial" w:eastAsia="Times New Roman" w:hAnsi="Arial" w:cs="Arial"/>
          <w:bCs/>
          <w:noProof w:val="0"/>
          <w:lang w:val="es-ES_tradnl" w:eastAsia="es-ES"/>
        </w:rPr>
        <w:t>las brechas</w:t>
      </w:r>
      <w:r w:rsidRPr="00756A16">
        <w:rPr>
          <w:rFonts w:ascii="Arial" w:eastAsia="Times New Roman" w:hAnsi="Arial" w:cs="Arial"/>
          <w:bCs/>
          <w:noProof w:val="0"/>
          <w:lang w:val="es-ES_tradnl" w:eastAsia="es-ES"/>
        </w:rPr>
        <w:t xml:space="preserve"> de evasión. Esta reducción de la efectividad de la herramienta significa una reducción del 30% de los beneficios obtenidos por este subproducto. </w:t>
      </w:r>
    </w:p>
    <w:p w:rsidR="0096094D" w:rsidRPr="00756A16" w:rsidRDefault="0096094D" w:rsidP="0096094D">
      <w:pPr>
        <w:pStyle w:val="ListParagraph"/>
        <w:keepNext/>
        <w:numPr>
          <w:ilvl w:val="1"/>
          <w:numId w:val="45"/>
        </w:numPr>
        <w:tabs>
          <w:tab w:val="num" w:pos="851"/>
        </w:tabs>
        <w:suppressAutoHyphens/>
        <w:spacing w:before="120" w:after="0" w:line="240" w:lineRule="auto"/>
        <w:ind w:left="284"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En este escenario, la TIR pasó al 16,8%, el VPL se reduce a poco menos de US$ 16 millones, el flujo se vuelve positivo en el tercer año, pero el flujo acumulando (retorno) apenas queda positivo a partir del séptimo año.</w:t>
      </w:r>
    </w:p>
    <w:p w:rsidR="0096094D" w:rsidRDefault="0096094D" w:rsidP="0096094D">
      <w:pPr>
        <w:pStyle w:val="ListParagraph"/>
        <w:keepNext/>
        <w:numPr>
          <w:ilvl w:val="1"/>
          <w:numId w:val="45"/>
        </w:numPr>
        <w:tabs>
          <w:tab w:val="num" w:pos="851"/>
        </w:tabs>
        <w:suppressAutoHyphens/>
        <w:spacing w:before="120" w:after="0" w:line="240" w:lineRule="auto"/>
        <w:ind w:left="284"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La hipótesis de que el nivel de evasión para el sector es del 11,8% (mitad de la tasa estimada para las firmas fiscalizadas) es sumamente conservadora. Si, por ejemplo, se adoptara la hipótesis de que el sector en su conjunto tiene una tasa correspondiente al 70% del nivel de las firmas </w:t>
      </w:r>
      <w:r w:rsidR="006B2804" w:rsidRPr="00756A16">
        <w:rPr>
          <w:rFonts w:ascii="Arial" w:eastAsia="Times New Roman" w:hAnsi="Arial" w:cs="Arial"/>
          <w:bCs/>
          <w:noProof w:val="0"/>
          <w:lang w:val="es-ES_tradnl" w:eastAsia="es-ES"/>
        </w:rPr>
        <w:t>fiscalizadas (</w:t>
      </w:r>
      <w:r w:rsidRPr="00756A16">
        <w:rPr>
          <w:rFonts w:ascii="Arial" w:eastAsia="Times New Roman" w:hAnsi="Arial" w:cs="Arial"/>
          <w:bCs/>
          <w:noProof w:val="0"/>
          <w:lang w:val="es-ES_tradnl" w:eastAsia="es-ES"/>
        </w:rPr>
        <w:t xml:space="preserve">18,9%) y la herramienta reduciría la evasión a la mitad, la TIR pasaría al 54,4% y el VPL a US$120 millones. Inclusive si la tasa de efectividad de la herramienta fuera del 20% (reducción de evasión), la TIR también sería del 28,6%. </w:t>
      </w:r>
    </w:p>
    <w:p w:rsidR="003E78DB" w:rsidRPr="00756A16" w:rsidRDefault="003E78DB" w:rsidP="003E78DB">
      <w:pPr>
        <w:pStyle w:val="ListParagraph"/>
        <w:keepNext/>
        <w:tabs>
          <w:tab w:val="num" w:pos="1499"/>
        </w:tabs>
        <w:suppressAutoHyphens/>
        <w:spacing w:before="120" w:after="0" w:line="240" w:lineRule="auto"/>
        <w:ind w:left="284"/>
        <w:jc w:val="both"/>
        <w:outlineLvl w:val="3"/>
        <w:rPr>
          <w:rFonts w:ascii="Arial" w:eastAsia="Times New Roman" w:hAnsi="Arial" w:cs="Arial"/>
          <w:bCs/>
          <w:noProof w:val="0"/>
          <w:lang w:val="es-ES_tradnl" w:eastAsia="es-ES"/>
        </w:rPr>
      </w:pPr>
    </w:p>
    <w:p w:rsidR="0096094D" w:rsidRPr="00756A16" w:rsidRDefault="003E78DB" w:rsidP="003E78DB">
      <w:pPr>
        <w:pStyle w:val="ListParagraph"/>
        <w:keepNext/>
        <w:suppressAutoHyphens/>
        <w:spacing w:before="120" w:after="0" w:line="240" w:lineRule="auto"/>
        <w:ind w:left="284"/>
        <w:jc w:val="center"/>
        <w:outlineLvl w:val="3"/>
        <w:rPr>
          <w:rFonts w:ascii="Arial" w:eastAsia="Times New Roman" w:hAnsi="Arial" w:cs="Arial"/>
          <w:bCs/>
          <w:noProof w:val="0"/>
          <w:lang w:val="es-ES_tradnl" w:eastAsia="es-ES"/>
        </w:rPr>
      </w:pPr>
      <w:r w:rsidRPr="00756A16">
        <w:rPr>
          <w:rFonts w:ascii="Arial" w:eastAsia="Times New Roman" w:hAnsi="Arial" w:cs="Arial"/>
          <w:b/>
          <w:bCs/>
          <w:noProof w:val="0"/>
          <w:color w:val="000000"/>
          <w:sz w:val="20"/>
          <w:szCs w:val="20"/>
          <w:lang w:val="es-ES_tradnl"/>
        </w:rPr>
        <w:t>Cuadro 15. Análisis Costo-Beneficio - Reducción de Beneficios. (En US$ 1000)</w:t>
      </w:r>
    </w:p>
    <w:tbl>
      <w:tblPr>
        <w:tblW w:w="9922" w:type="dxa"/>
        <w:tblInd w:w="88" w:type="dxa"/>
        <w:tblLook w:val="04A0" w:firstRow="1" w:lastRow="0" w:firstColumn="1" w:lastColumn="0" w:noHBand="0" w:noVBand="1"/>
      </w:tblPr>
      <w:tblGrid>
        <w:gridCol w:w="1941"/>
        <w:gridCol w:w="723"/>
        <w:gridCol w:w="723"/>
        <w:gridCol w:w="723"/>
        <w:gridCol w:w="712"/>
        <w:gridCol w:w="712"/>
        <w:gridCol w:w="712"/>
        <w:gridCol w:w="712"/>
        <w:gridCol w:w="712"/>
        <w:gridCol w:w="712"/>
        <w:gridCol w:w="712"/>
        <w:gridCol w:w="828"/>
      </w:tblGrid>
      <w:tr w:rsidR="0096094D" w:rsidRPr="00756A16" w:rsidTr="003E78DB">
        <w:trPr>
          <w:trHeight w:val="300"/>
        </w:trPr>
        <w:tc>
          <w:tcPr>
            <w:tcW w:w="1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1</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2</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3</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4</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5</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6</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7</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8</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9</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10</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Total</w:t>
            </w:r>
          </w:p>
        </w:tc>
      </w:tr>
      <w:tr w:rsidR="0096094D" w:rsidRPr="00756A16" w:rsidTr="003E78DB">
        <w:trPr>
          <w:trHeight w:val="300"/>
        </w:trPr>
        <w:tc>
          <w:tcPr>
            <w:tcW w:w="194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Costos totales</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- 24.283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- 28.039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- 18.654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8.762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9.198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3.507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3.428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3.349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3.270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2.980 </w:t>
            </w:r>
          </w:p>
        </w:tc>
        <w:tc>
          <w:tcPr>
            <w:tcW w:w="82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- 105.470 </w:t>
            </w:r>
          </w:p>
        </w:tc>
      </w:tr>
      <w:tr w:rsidR="0096094D" w:rsidRPr="00756A16" w:rsidTr="003E78DB">
        <w:trPr>
          <w:trHeight w:val="300"/>
        </w:trPr>
        <w:tc>
          <w:tcPr>
            <w:tcW w:w="194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Beneficios</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6.736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14.881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21.252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21.252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21.252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21.252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21.252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21.252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21.252 </w:t>
            </w:r>
          </w:p>
        </w:tc>
        <w:tc>
          <w:tcPr>
            <w:tcW w:w="82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170.382 </w:t>
            </w:r>
          </w:p>
        </w:tc>
      </w:tr>
      <w:tr w:rsidR="0096094D" w:rsidRPr="00756A16" w:rsidTr="003E78DB">
        <w:trPr>
          <w:trHeight w:val="300"/>
        </w:trPr>
        <w:tc>
          <w:tcPr>
            <w:tcW w:w="194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Flujo</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- 24.283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- 21.303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3.774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12.490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12.054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17.746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17.824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17.903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17.982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18.272 </w:t>
            </w:r>
          </w:p>
        </w:tc>
        <w:tc>
          <w:tcPr>
            <w:tcW w:w="82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64.911 </w:t>
            </w:r>
          </w:p>
        </w:tc>
      </w:tr>
      <w:tr w:rsidR="0096094D" w:rsidRPr="00756A16" w:rsidTr="003E78DB">
        <w:trPr>
          <w:trHeight w:val="300"/>
        </w:trPr>
        <w:tc>
          <w:tcPr>
            <w:tcW w:w="194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Valor Presente Neto</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15.686 </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82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r>
      <w:tr w:rsidR="0096094D" w:rsidRPr="00756A16" w:rsidTr="003E78DB">
        <w:trPr>
          <w:trHeight w:val="300"/>
        </w:trPr>
        <w:tc>
          <w:tcPr>
            <w:tcW w:w="194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r w:rsidRPr="00756A16">
              <w:rPr>
                <w:rFonts w:eastAsia="Times New Roman" w:cs="Calibri"/>
                <w:noProof w:val="0"/>
                <w:color w:val="000000"/>
                <w:sz w:val="18"/>
                <w:szCs w:val="18"/>
                <w:lang w:val="es-ES_tradnl"/>
              </w:rPr>
              <w:t>TIR</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eastAsia="Times New Roman" w:cs="Calibri"/>
                <w:noProof w:val="0"/>
                <w:color w:val="000000"/>
                <w:sz w:val="18"/>
                <w:szCs w:val="18"/>
                <w:lang w:val="es-ES_tradnl"/>
              </w:rPr>
            </w:pPr>
            <w:r w:rsidRPr="00756A16">
              <w:rPr>
                <w:rFonts w:eastAsia="Times New Roman" w:cs="Calibri"/>
                <w:noProof w:val="0"/>
                <w:color w:val="000000"/>
                <w:sz w:val="18"/>
                <w:szCs w:val="18"/>
                <w:lang w:val="es-ES_tradnl"/>
              </w:rPr>
              <w:t>17%</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c>
          <w:tcPr>
            <w:tcW w:w="82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eastAsia="Times New Roman" w:cs="Calibri"/>
                <w:noProof w:val="0"/>
                <w:color w:val="000000"/>
                <w:sz w:val="18"/>
                <w:szCs w:val="18"/>
                <w:lang w:val="es-ES_tradnl"/>
              </w:rPr>
            </w:pPr>
          </w:p>
        </w:tc>
      </w:tr>
    </w:tbl>
    <w:p w:rsidR="0096094D" w:rsidRDefault="0096094D" w:rsidP="0096094D">
      <w:pPr>
        <w:pStyle w:val="ListParagraph"/>
        <w:keepNext/>
        <w:numPr>
          <w:ilvl w:val="1"/>
          <w:numId w:val="45"/>
        </w:numPr>
        <w:tabs>
          <w:tab w:val="num" w:pos="851"/>
        </w:tabs>
        <w:suppressAutoHyphens/>
        <w:spacing w:before="120" w:after="0" w:line="240" w:lineRule="auto"/>
        <w:ind w:left="284"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Escenario 4: Desvalorización y Reducción de Beneficios. Este escenario asume una desvalorización del Real del 10% y la pérdida de beneficios con el MF-y del 30%. En este caso la TIR pasa al 13,1%, el VPL cae a US$ 7 millones, el flujo anual pasa a ser positivo en el año 4, y el acumulado en el año 7. Inclusive en este escenario sumamente pesimista, el programa también tiene una tasa interna de retorno aceptable.</w:t>
      </w:r>
    </w:p>
    <w:p w:rsidR="003E78DB" w:rsidRPr="00756A16" w:rsidRDefault="003E78DB" w:rsidP="0096094D">
      <w:pPr>
        <w:pStyle w:val="ListParagraph"/>
        <w:keepNext/>
        <w:numPr>
          <w:ilvl w:val="1"/>
          <w:numId w:val="45"/>
        </w:numPr>
        <w:tabs>
          <w:tab w:val="num" w:pos="851"/>
        </w:tabs>
        <w:suppressAutoHyphens/>
        <w:spacing w:before="120" w:after="0" w:line="240" w:lineRule="auto"/>
        <w:ind w:left="284" w:hanging="567"/>
        <w:jc w:val="both"/>
        <w:outlineLvl w:val="3"/>
        <w:rPr>
          <w:rFonts w:ascii="Arial" w:eastAsia="Times New Roman" w:hAnsi="Arial" w:cs="Arial"/>
          <w:bCs/>
          <w:noProof w:val="0"/>
          <w:lang w:val="es-ES_tradnl" w:eastAsia="es-ES"/>
        </w:rPr>
      </w:pPr>
    </w:p>
    <w:tbl>
      <w:tblPr>
        <w:tblW w:w="9922" w:type="dxa"/>
        <w:tblInd w:w="93" w:type="dxa"/>
        <w:tblLook w:val="04A0" w:firstRow="1" w:lastRow="0" w:firstColumn="1" w:lastColumn="0" w:noHBand="0" w:noVBand="1"/>
      </w:tblPr>
      <w:tblGrid>
        <w:gridCol w:w="1941"/>
        <w:gridCol w:w="723"/>
        <w:gridCol w:w="723"/>
        <w:gridCol w:w="723"/>
        <w:gridCol w:w="712"/>
        <w:gridCol w:w="712"/>
        <w:gridCol w:w="712"/>
        <w:gridCol w:w="712"/>
        <w:gridCol w:w="712"/>
        <w:gridCol w:w="712"/>
        <w:gridCol w:w="712"/>
        <w:gridCol w:w="828"/>
      </w:tblGrid>
      <w:tr w:rsidR="0096094D" w:rsidRPr="00756A16" w:rsidTr="00E214C9">
        <w:trPr>
          <w:trHeight w:val="300"/>
        </w:trPr>
        <w:tc>
          <w:tcPr>
            <w:tcW w:w="9922" w:type="dxa"/>
            <w:gridSpan w:val="12"/>
            <w:tcBorders>
              <w:top w:val="nil"/>
              <w:left w:val="nil"/>
              <w:bottom w:val="nil"/>
              <w:right w:val="nil"/>
            </w:tcBorders>
            <w:shd w:val="clear" w:color="auto" w:fill="auto"/>
            <w:noWrap/>
            <w:vAlign w:val="bottom"/>
            <w:hideMark/>
          </w:tcPr>
          <w:p w:rsidR="0096094D" w:rsidRPr="00756A16" w:rsidRDefault="003E78DB" w:rsidP="003E78DB">
            <w:pPr>
              <w:spacing w:after="0" w:line="240" w:lineRule="auto"/>
              <w:jc w:val="center"/>
              <w:rPr>
                <w:rFonts w:ascii="Arial" w:eastAsia="Times New Roman" w:hAnsi="Arial" w:cs="Arial"/>
                <w:b/>
                <w:bCs/>
                <w:noProof w:val="0"/>
                <w:color w:val="000000"/>
                <w:lang w:val="es-ES_tradnl"/>
              </w:rPr>
            </w:pPr>
            <w:r w:rsidRPr="00756A16">
              <w:rPr>
                <w:rFonts w:ascii="Arial" w:eastAsia="Times New Roman" w:hAnsi="Arial" w:cs="Arial"/>
                <w:b/>
                <w:bCs/>
                <w:noProof w:val="0"/>
                <w:color w:val="000000"/>
                <w:sz w:val="20"/>
                <w:szCs w:val="20"/>
                <w:lang w:val="es-ES_tradnl"/>
              </w:rPr>
              <w:t>Cuadro 16. Escenario 4 - Análisis Costo-Beneficio - Desvalorización y Reducción de beneficios. (EN US$ 1000)</w:t>
            </w:r>
          </w:p>
          <w:p w:rsidR="0096094D" w:rsidRPr="003E78DB" w:rsidRDefault="0096094D" w:rsidP="00E214C9">
            <w:pPr>
              <w:spacing w:after="0" w:line="240" w:lineRule="auto"/>
              <w:rPr>
                <w:rFonts w:ascii="Arial" w:eastAsia="Times New Roman" w:hAnsi="Arial" w:cs="Arial"/>
                <w:b/>
                <w:bCs/>
                <w:noProof w:val="0"/>
                <w:color w:val="000000"/>
                <w:sz w:val="4"/>
                <w:szCs w:val="4"/>
                <w:lang w:val="es-ES_tradnl"/>
              </w:rPr>
            </w:pPr>
          </w:p>
        </w:tc>
      </w:tr>
      <w:tr w:rsidR="0096094D" w:rsidRPr="00756A16" w:rsidTr="00E214C9">
        <w:trPr>
          <w:trHeight w:val="300"/>
        </w:trPr>
        <w:tc>
          <w:tcPr>
            <w:tcW w:w="1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1</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2</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3</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4</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5</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6</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7</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8</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9</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Año 10</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4"/>
                <w:szCs w:val="14"/>
                <w:lang w:val="es-ES_tradnl"/>
              </w:rPr>
            </w:pPr>
            <w:r w:rsidRPr="00EC42DA">
              <w:rPr>
                <w:rFonts w:ascii="Arial" w:eastAsia="Times New Roman" w:hAnsi="Arial" w:cs="Arial"/>
                <w:b/>
                <w:noProof w:val="0"/>
                <w:color w:val="000000"/>
                <w:sz w:val="14"/>
                <w:szCs w:val="14"/>
                <w:lang w:val="es-ES_tradnl"/>
              </w:rPr>
              <w:t>Total</w:t>
            </w:r>
          </w:p>
        </w:tc>
      </w:tr>
      <w:tr w:rsidR="0096094D" w:rsidRPr="00756A16" w:rsidTr="00E214C9">
        <w:trPr>
          <w:trHeight w:val="300"/>
        </w:trPr>
        <w:tc>
          <w:tcPr>
            <w:tcW w:w="194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Costos totales</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- 24.283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- 28.039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- 18.654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8.762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9.198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3.507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3.428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3.349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3.270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2.980 </w:t>
            </w:r>
          </w:p>
        </w:tc>
        <w:tc>
          <w:tcPr>
            <w:tcW w:w="82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- 105.470 </w:t>
            </w:r>
          </w:p>
        </w:tc>
      </w:tr>
      <w:tr w:rsidR="0096094D" w:rsidRPr="00756A16" w:rsidTr="00E214C9">
        <w:trPr>
          <w:trHeight w:val="300"/>
        </w:trPr>
        <w:tc>
          <w:tcPr>
            <w:tcW w:w="194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Beneficios</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6.124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13.528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19.320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19.320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19.320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19.320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19.320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19.320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19.320 </w:t>
            </w:r>
          </w:p>
        </w:tc>
        <w:tc>
          <w:tcPr>
            <w:tcW w:w="82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154.892 </w:t>
            </w:r>
          </w:p>
        </w:tc>
      </w:tr>
      <w:tr w:rsidR="0096094D" w:rsidRPr="00756A16" w:rsidTr="00E214C9">
        <w:trPr>
          <w:trHeight w:val="300"/>
        </w:trPr>
        <w:tc>
          <w:tcPr>
            <w:tcW w:w="1941"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Flujo</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- 24.283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- 21.915 </w:t>
            </w:r>
          </w:p>
        </w:tc>
        <w:tc>
          <w:tcPr>
            <w:tcW w:w="72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5.126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10.558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10.122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15.814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15.892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15.971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16.050 </w:t>
            </w:r>
          </w:p>
        </w:tc>
        <w:tc>
          <w:tcPr>
            <w:tcW w:w="712"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16.340 </w:t>
            </w:r>
          </w:p>
        </w:tc>
        <w:tc>
          <w:tcPr>
            <w:tcW w:w="828"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49.422 </w:t>
            </w:r>
          </w:p>
        </w:tc>
      </w:tr>
      <w:tr w:rsidR="0096094D" w:rsidRPr="00756A16" w:rsidTr="00E214C9">
        <w:trPr>
          <w:trHeight w:val="300"/>
        </w:trPr>
        <w:tc>
          <w:tcPr>
            <w:tcW w:w="1941" w:type="dxa"/>
            <w:tcBorders>
              <w:top w:val="nil"/>
              <w:left w:val="nil"/>
              <w:bottom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Valor Presente Neto</w:t>
            </w:r>
          </w:p>
        </w:tc>
        <w:tc>
          <w:tcPr>
            <w:tcW w:w="723" w:type="dxa"/>
            <w:tcBorders>
              <w:top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 xml:space="preserve">    7.096 </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82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r>
      <w:tr w:rsidR="0096094D" w:rsidRPr="00756A16" w:rsidTr="00E214C9">
        <w:trPr>
          <w:trHeight w:val="300"/>
        </w:trPr>
        <w:tc>
          <w:tcPr>
            <w:tcW w:w="1941"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TIR</w:t>
            </w:r>
          </w:p>
        </w:tc>
        <w:tc>
          <w:tcPr>
            <w:tcW w:w="723" w:type="dxa"/>
            <w:tcBorders>
              <w:left w:val="nil"/>
              <w:bottom w:val="nil"/>
              <w:right w:val="nil"/>
            </w:tcBorders>
            <w:shd w:val="clear" w:color="auto" w:fill="auto"/>
            <w:noWrap/>
            <w:vAlign w:val="bottom"/>
            <w:hideMark/>
          </w:tcPr>
          <w:p w:rsidR="0096094D" w:rsidRPr="00756A16" w:rsidRDefault="0096094D" w:rsidP="00E214C9">
            <w:pPr>
              <w:spacing w:after="0" w:line="240" w:lineRule="auto"/>
              <w:jc w:val="right"/>
              <w:rPr>
                <w:rFonts w:ascii="Arial" w:eastAsia="Times New Roman" w:hAnsi="Arial" w:cs="Arial"/>
                <w:noProof w:val="0"/>
                <w:color w:val="000000"/>
                <w:sz w:val="14"/>
                <w:szCs w:val="14"/>
                <w:lang w:val="es-ES_tradnl"/>
              </w:rPr>
            </w:pPr>
            <w:r w:rsidRPr="00756A16">
              <w:rPr>
                <w:rFonts w:ascii="Arial" w:eastAsia="Times New Roman" w:hAnsi="Arial" w:cs="Arial"/>
                <w:noProof w:val="0"/>
                <w:color w:val="000000"/>
                <w:sz w:val="14"/>
                <w:szCs w:val="14"/>
                <w:lang w:val="es-ES_tradnl"/>
              </w:rPr>
              <w:t>13%</w:t>
            </w: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23"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712"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c>
          <w:tcPr>
            <w:tcW w:w="828" w:type="dxa"/>
            <w:tcBorders>
              <w:top w:val="nil"/>
              <w:left w:val="nil"/>
              <w:bottom w:val="nil"/>
              <w:right w:val="nil"/>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4"/>
                <w:szCs w:val="14"/>
                <w:lang w:val="es-ES_tradnl"/>
              </w:rPr>
            </w:pPr>
          </w:p>
        </w:tc>
      </w:tr>
    </w:tbl>
    <w:p w:rsidR="0096094D" w:rsidRPr="00756A16" w:rsidRDefault="0096094D" w:rsidP="003E78DB">
      <w:pPr>
        <w:pStyle w:val="Chapter"/>
        <w:keepNext/>
        <w:numPr>
          <w:ilvl w:val="0"/>
          <w:numId w:val="45"/>
        </w:numPr>
        <w:tabs>
          <w:tab w:val="clear" w:pos="1440"/>
          <w:tab w:val="clear" w:pos="1499"/>
        </w:tabs>
        <w:spacing w:before="240"/>
        <w:ind w:left="270" w:hanging="360"/>
        <w:jc w:val="left"/>
        <w:rPr>
          <w:rFonts w:ascii="Arial" w:eastAsiaTheme="minorEastAsia" w:hAnsi="Arial" w:cs="Arial"/>
          <w:sz w:val="22"/>
          <w:szCs w:val="22"/>
          <w:lang w:val="es-ES_tradnl"/>
        </w:rPr>
      </w:pPr>
      <w:r w:rsidRPr="00756A16">
        <w:rPr>
          <w:rFonts w:ascii="Arial" w:eastAsiaTheme="minorEastAsia" w:hAnsi="Arial" w:cs="Arial"/>
          <w:sz w:val="22"/>
          <w:szCs w:val="22"/>
          <w:lang w:val="es-ES_tradnl"/>
        </w:rPr>
        <w:t>Conclusiones</w:t>
      </w:r>
    </w:p>
    <w:p w:rsidR="0096094D" w:rsidRPr="00756A16" w:rsidRDefault="0096094D" w:rsidP="0096094D">
      <w:pPr>
        <w:pStyle w:val="ListParagraph"/>
        <w:keepNext/>
        <w:numPr>
          <w:ilvl w:val="1"/>
          <w:numId w:val="45"/>
        </w:numPr>
        <w:tabs>
          <w:tab w:val="num" w:pos="851"/>
        </w:tabs>
        <w:suppressAutoHyphens/>
        <w:spacing w:before="120" w:after="0" w:line="240" w:lineRule="auto"/>
        <w:ind w:left="284"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El PROFISCO II CE está diseñado para actuar en las áreas de gestión y transparencia fiscal; administración tributaria y contencioso fiscal; y administración financiera y gasto público. El programa cuenta con una financiación de US$ 70 millones del BID y US$ 7 millones de contrapartida local. </w:t>
      </w:r>
    </w:p>
    <w:p w:rsidR="0096094D" w:rsidRPr="00756A16" w:rsidRDefault="0096094D" w:rsidP="0096094D">
      <w:pPr>
        <w:pStyle w:val="ListParagraph"/>
        <w:keepNext/>
        <w:numPr>
          <w:ilvl w:val="1"/>
          <w:numId w:val="45"/>
        </w:numPr>
        <w:tabs>
          <w:tab w:val="num" w:pos="851"/>
        </w:tabs>
        <w:suppressAutoHyphens/>
        <w:spacing w:before="120" w:after="0" w:line="240" w:lineRule="auto"/>
        <w:ind w:left="284" w:hanging="567"/>
        <w:jc w:val="both"/>
        <w:outlineLvl w:val="3"/>
        <w:rPr>
          <w:rFonts w:ascii="Arial" w:eastAsia="Times New Roman" w:hAnsi="Arial" w:cs="Arial"/>
          <w:bCs/>
          <w:noProof w:val="0"/>
          <w:lang w:val="es-ES_tradnl" w:eastAsia="es-ES"/>
        </w:rPr>
      </w:pPr>
      <w:bookmarkStart w:id="4" w:name="_Hlk493346963"/>
      <w:r w:rsidRPr="00756A16">
        <w:rPr>
          <w:rFonts w:ascii="Arial" w:eastAsia="Times New Roman" w:hAnsi="Arial" w:cs="Arial"/>
          <w:bCs/>
          <w:noProof w:val="0"/>
          <w:lang w:val="es-ES_tradnl" w:eastAsia="es-ES"/>
        </w:rPr>
        <w:t xml:space="preserve">El análisis C-B incluyó apenas cinco subproductos del programa. Los criterios para la selección de estos subproductos fueron principalmente su representatividad para la recaudación fiscal, el impacto para el contribuyente y para la eficiencia de la administración fiscal y la disponibilidad de datos consistentes para llevar a cabo el </w:t>
      </w:r>
      <w:r w:rsidRPr="00756A16">
        <w:rPr>
          <w:rFonts w:ascii="Arial" w:eastAsia="Times New Roman" w:hAnsi="Arial" w:cs="Arial"/>
          <w:bCs/>
          <w:noProof w:val="0"/>
          <w:lang w:val="es-ES_tradnl" w:eastAsia="es-ES"/>
        </w:rPr>
        <w:lastRenderedPageBreak/>
        <w:t xml:space="preserve">análisis. </w:t>
      </w:r>
      <w:bookmarkStart w:id="5" w:name="_Hlk493346501"/>
      <w:bookmarkEnd w:id="4"/>
      <w:r w:rsidRPr="00756A16">
        <w:rPr>
          <w:rFonts w:ascii="Arial" w:eastAsia="Times New Roman" w:hAnsi="Arial" w:cs="Arial"/>
          <w:bCs/>
          <w:noProof w:val="0"/>
          <w:lang w:val="es-ES_tradnl" w:eastAsia="es-ES"/>
        </w:rPr>
        <w:t xml:space="preserve">Otros subproductos relacionados con la inteligencia fiscal, gestión de la deuda activa, contencioso fiscal, entre otros, generarán aumento de recaudación. Otros subproductos de integración de sistemas y rediseño de </w:t>
      </w:r>
      <w:r w:rsidR="006B2804" w:rsidRPr="00756A16">
        <w:rPr>
          <w:rFonts w:ascii="Arial" w:eastAsia="Times New Roman" w:hAnsi="Arial" w:cs="Arial"/>
          <w:bCs/>
          <w:noProof w:val="0"/>
          <w:lang w:val="es-ES_tradnl" w:eastAsia="es-ES"/>
        </w:rPr>
        <w:t>procesos mejorarán</w:t>
      </w:r>
      <w:r w:rsidRPr="00756A16">
        <w:rPr>
          <w:rFonts w:ascii="Arial" w:eastAsia="Times New Roman" w:hAnsi="Arial" w:cs="Arial"/>
          <w:bCs/>
          <w:noProof w:val="0"/>
          <w:lang w:val="es-ES_tradnl" w:eastAsia="es-ES"/>
        </w:rPr>
        <w:t xml:space="preserve"> el ambiente de negocios con economía de tiempo y costos para que el contribuyente cumpla con sus obligaciones tributarias. </w:t>
      </w:r>
      <w:bookmarkEnd w:id="5"/>
    </w:p>
    <w:p w:rsidR="0096094D" w:rsidRPr="00756A16" w:rsidRDefault="0096094D" w:rsidP="0096094D">
      <w:pPr>
        <w:pStyle w:val="ListParagraph"/>
        <w:keepNext/>
        <w:numPr>
          <w:ilvl w:val="1"/>
          <w:numId w:val="45"/>
        </w:numPr>
        <w:tabs>
          <w:tab w:val="num" w:pos="851"/>
        </w:tabs>
        <w:suppressAutoHyphens/>
        <w:spacing w:before="120" w:after="0" w:line="240" w:lineRule="auto"/>
        <w:ind w:left="284" w:hanging="567"/>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El siguiente cuadro resume los cuatro escenarios del análisis de sensibilidad. Recordando que el análisis apenas enfocó casos de deterioro del escenario básico. Tal como fue</w:t>
      </w:r>
      <w:r w:rsidR="006B2804">
        <w:rPr>
          <w:rFonts w:ascii="Arial" w:eastAsia="Times New Roman" w:hAnsi="Arial" w:cs="Arial"/>
          <w:bCs/>
          <w:noProof w:val="0"/>
          <w:lang w:val="es-ES_tradnl" w:eastAsia="es-ES"/>
        </w:rPr>
        <w:t xml:space="preserve"> mencionado anteriormente, las h</w:t>
      </w:r>
      <w:r w:rsidRPr="00756A16">
        <w:rPr>
          <w:rFonts w:ascii="Arial" w:eastAsia="Times New Roman" w:hAnsi="Arial" w:cs="Arial"/>
          <w:bCs/>
          <w:noProof w:val="0"/>
          <w:lang w:val="es-ES_tradnl" w:eastAsia="es-ES"/>
        </w:rPr>
        <w:t>ipótesis del escenario básico son sustancialmente conservadoras, especialmente para la tasa de evasión del sector minorista. La probabilidad de un retorno mayor que el del escenario básico es alta.</w:t>
      </w:r>
    </w:p>
    <w:p w:rsidR="0096094D" w:rsidRPr="00756A16" w:rsidRDefault="0096094D" w:rsidP="0096094D">
      <w:pPr>
        <w:keepNext/>
        <w:suppressAutoHyphens/>
        <w:spacing w:before="120" w:after="0" w:line="240" w:lineRule="auto"/>
        <w:jc w:val="both"/>
        <w:outlineLvl w:val="3"/>
        <w:rPr>
          <w:rFonts w:ascii="Arial" w:eastAsia="Times New Roman" w:hAnsi="Arial" w:cs="Arial"/>
          <w:bCs/>
          <w:noProof w:val="0"/>
          <w:lang w:val="es-ES_tradnl" w:eastAsia="es-ES"/>
        </w:rPr>
      </w:pPr>
      <w:r w:rsidRPr="00756A16">
        <w:rPr>
          <w:rFonts w:ascii="Arial" w:eastAsia="Times New Roman" w:hAnsi="Arial" w:cs="Arial"/>
          <w:bCs/>
          <w:noProof w:val="0"/>
          <w:lang w:val="es-ES_tradnl" w:eastAsia="es-ES"/>
        </w:rPr>
        <w:t xml:space="preserve"> </w:t>
      </w:r>
    </w:p>
    <w:tbl>
      <w:tblPr>
        <w:tblW w:w="6245" w:type="dxa"/>
        <w:tblInd w:w="1207" w:type="dxa"/>
        <w:tblLook w:val="04A0" w:firstRow="1" w:lastRow="0" w:firstColumn="1" w:lastColumn="0" w:noHBand="0" w:noVBand="1"/>
      </w:tblPr>
      <w:tblGrid>
        <w:gridCol w:w="2322"/>
        <w:gridCol w:w="763"/>
        <w:gridCol w:w="3160"/>
      </w:tblGrid>
      <w:tr w:rsidR="0096094D" w:rsidRPr="00756A16" w:rsidTr="00E214C9">
        <w:trPr>
          <w:trHeight w:val="300"/>
        </w:trPr>
        <w:tc>
          <w:tcPr>
            <w:tcW w:w="6245" w:type="dxa"/>
            <w:gridSpan w:val="3"/>
            <w:tcBorders>
              <w:top w:val="nil"/>
              <w:left w:val="nil"/>
              <w:bottom w:val="nil"/>
              <w:right w:val="nil"/>
            </w:tcBorders>
            <w:shd w:val="clear" w:color="auto" w:fill="auto"/>
            <w:noWrap/>
            <w:vAlign w:val="bottom"/>
            <w:hideMark/>
          </w:tcPr>
          <w:p w:rsidR="0096094D" w:rsidRPr="00756A16" w:rsidRDefault="0096094D" w:rsidP="00E214C9">
            <w:pPr>
              <w:spacing w:after="0" w:line="240" w:lineRule="auto"/>
              <w:jc w:val="center"/>
              <w:rPr>
                <w:rFonts w:ascii="Arial" w:eastAsia="Times New Roman" w:hAnsi="Arial" w:cs="Arial"/>
                <w:b/>
                <w:noProof w:val="0"/>
                <w:color w:val="000000"/>
                <w:sz w:val="20"/>
                <w:szCs w:val="20"/>
                <w:lang w:val="es-ES_tradnl"/>
              </w:rPr>
            </w:pPr>
            <w:r w:rsidRPr="00756A16">
              <w:rPr>
                <w:rFonts w:ascii="Arial" w:eastAsia="Times New Roman" w:hAnsi="Arial" w:cs="Arial"/>
                <w:b/>
                <w:noProof w:val="0"/>
                <w:color w:val="000000"/>
                <w:sz w:val="20"/>
                <w:szCs w:val="20"/>
                <w:lang w:val="es-ES_tradnl"/>
              </w:rPr>
              <w:t>Cuadro 17. Índice del análisis de Sensibilidad del Análisis Costo-Beneficio</w:t>
            </w:r>
          </w:p>
        </w:tc>
      </w:tr>
      <w:tr w:rsidR="0096094D" w:rsidRPr="00756A16" w:rsidTr="00E214C9">
        <w:trPr>
          <w:trHeight w:val="300"/>
        </w:trPr>
        <w:tc>
          <w:tcPr>
            <w:tcW w:w="2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rPr>
                <w:rFonts w:ascii="Arial" w:eastAsia="Times New Roman" w:hAnsi="Arial" w:cs="Arial"/>
                <w:b/>
                <w:noProof w:val="0"/>
                <w:color w:val="000000"/>
                <w:sz w:val="18"/>
                <w:szCs w:val="18"/>
                <w:lang w:val="es-ES_tradnl"/>
              </w:rPr>
            </w:pPr>
            <w:r w:rsidRPr="00EC42DA">
              <w:rPr>
                <w:rFonts w:ascii="Arial" w:eastAsia="Times New Roman" w:hAnsi="Arial" w:cs="Arial"/>
                <w:b/>
                <w:noProof w:val="0"/>
                <w:color w:val="000000"/>
                <w:sz w:val="18"/>
                <w:szCs w:val="18"/>
                <w:lang w:val="es-ES_tradnl"/>
              </w:rPr>
              <w:t> </w:t>
            </w:r>
          </w:p>
        </w:tc>
        <w:tc>
          <w:tcPr>
            <w:tcW w:w="763"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jc w:val="center"/>
              <w:rPr>
                <w:rFonts w:ascii="Arial" w:eastAsia="Times New Roman" w:hAnsi="Arial" w:cs="Arial"/>
                <w:b/>
                <w:noProof w:val="0"/>
                <w:color w:val="000000"/>
                <w:sz w:val="18"/>
                <w:szCs w:val="18"/>
                <w:lang w:val="es-ES_tradnl"/>
              </w:rPr>
            </w:pPr>
            <w:r w:rsidRPr="00EC42DA">
              <w:rPr>
                <w:rFonts w:ascii="Arial" w:eastAsia="Times New Roman" w:hAnsi="Arial" w:cs="Arial"/>
                <w:b/>
                <w:noProof w:val="0"/>
                <w:color w:val="000000"/>
                <w:sz w:val="18"/>
                <w:szCs w:val="18"/>
                <w:lang w:val="es-ES_tradnl"/>
              </w:rPr>
              <w:t>TIR</w:t>
            </w:r>
          </w:p>
        </w:tc>
        <w:tc>
          <w:tcPr>
            <w:tcW w:w="3160" w:type="dxa"/>
            <w:tcBorders>
              <w:top w:val="single" w:sz="4" w:space="0" w:color="auto"/>
              <w:left w:val="nil"/>
              <w:bottom w:val="single" w:sz="4" w:space="0" w:color="auto"/>
              <w:right w:val="single" w:sz="4" w:space="0" w:color="auto"/>
            </w:tcBorders>
            <w:shd w:val="clear" w:color="auto" w:fill="auto"/>
            <w:noWrap/>
            <w:vAlign w:val="bottom"/>
            <w:hideMark/>
          </w:tcPr>
          <w:p w:rsidR="0096094D" w:rsidRPr="00EC42DA" w:rsidRDefault="0096094D" w:rsidP="00E214C9">
            <w:pPr>
              <w:spacing w:after="0" w:line="240" w:lineRule="auto"/>
              <w:jc w:val="center"/>
              <w:rPr>
                <w:rFonts w:ascii="Arial" w:eastAsia="Times New Roman" w:hAnsi="Arial" w:cs="Arial"/>
                <w:b/>
                <w:noProof w:val="0"/>
                <w:color w:val="000000"/>
                <w:sz w:val="18"/>
                <w:szCs w:val="18"/>
                <w:lang w:val="es-ES_tradnl"/>
              </w:rPr>
            </w:pPr>
            <w:r w:rsidRPr="00EC42DA">
              <w:rPr>
                <w:rFonts w:ascii="Arial" w:eastAsia="Times New Roman" w:hAnsi="Arial" w:cs="Arial"/>
                <w:b/>
                <w:noProof w:val="0"/>
                <w:color w:val="000000"/>
                <w:sz w:val="18"/>
                <w:szCs w:val="18"/>
                <w:lang w:val="es-ES_tradnl"/>
              </w:rPr>
              <w:t>VPL</w:t>
            </w:r>
          </w:p>
        </w:tc>
      </w:tr>
      <w:tr w:rsidR="0096094D" w:rsidRPr="00756A16" w:rsidTr="00E214C9">
        <w:trPr>
          <w:trHeight w:val="300"/>
        </w:trPr>
        <w:tc>
          <w:tcPr>
            <w:tcW w:w="232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Básico</w:t>
            </w:r>
          </w:p>
        </w:tc>
        <w:tc>
          <w:tcPr>
            <w:tcW w:w="76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30,3%</w:t>
            </w:r>
          </w:p>
        </w:tc>
        <w:tc>
          <w:tcPr>
            <w:tcW w:w="3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                  50.564.279,82 </w:t>
            </w:r>
          </w:p>
        </w:tc>
      </w:tr>
      <w:tr w:rsidR="0096094D" w:rsidRPr="00756A16" w:rsidTr="00E214C9">
        <w:trPr>
          <w:trHeight w:val="300"/>
        </w:trPr>
        <w:tc>
          <w:tcPr>
            <w:tcW w:w="232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Desvalorización</w:t>
            </w:r>
          </w:p>
        </w:tc>
        <w:tc>
          <w:tcPr>
            <w:tcW w:w="76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26,2%</w:t>
            </w:r>
          </w:p>
        </w:tc>
        <w:tc>
          <w:tcPr>
            <w:tcW w:w="3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                  39.575.986,42 </w:t>
            </w:r>
          </w:p>
        </w:tc>
      </w:tr>
      <w:tr w:rsidR="0096094D" w:rsidRPr="00756A16" w:rsidTr="00E214C9">
        <w:trPr>
          <w:trHeight w:val="300"/>
        </w:trPr>
        <w:tc>
          <w:tcPr>
            <w:tcW w:w="232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Reducción beneficios</w:t>
            </w:r>
          </w:p>
        </w:tc>
        <w:tc>
          <w:tcPr>
            <w:tcW w:w="76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16,8%</w:t>
            </w:r>
          </w:p>
        </w:tc>
        <w:tc>
          <w:tcPr>
            <w:tcW w:w="3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                  15.685.589,72 </w:t>
            </w:r>
          </w:p>
        </w:tc>
      </w:tr>
      <w:tr w:rsidR="0096094D" w:rsidRPr="00756A16" w:rsidTr="00E214C9">
        <w:trPr>
          <w:trHeight w:val="300"/>
        </w:trPr>
        <w:tc>
          <w:tcPr>
            <w:tcW w:w="2322" w:type="dxa"/>
            <w:tcBorders>
              <w:top w:val="nil"/>
              <w:left w:val="single" w:sz="4" w:space="0" w:color="auto"/>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Doble</w:t>
            </w:r>
          </w:p>
        </w:tc>
        <w:tc>
          <w:tcPr>
            <w:tcW w:w="763"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jc w:val="center"/>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13,1%</w:t>
            </w:r>
          </w:p>
        </w:tc>
        <w:tc>
          <w:tcPr>
            <w:tcW w:w="3160" w:type="dxa"/>
            <w:tcBorders>
              <w:top w:val="nil"/>
              <w:left w:val="nil"/>
              <w:bottom w:val="single" w:sz="4" w:space="0" w:color="auto"/>
              <w:right w:val="single" w:sz="4" w:space="0" w:color="auto"/>
            </w:tcBorders>
            <w:shd w:val="clear" w:color="auto" w:fill="auto"/>
            <w:noWrap/>
            <w:vAlign w:val="bottom"/>
            <w:hideMark/>
          </w:tcPr>
          <w:p w:rsidR="0096094D" w:rsidRPr="00756A16" w:rsidRDefault="0096094D" w:rsidP="00E214C9">
            <w:pPr>
              <w:spacing w:after="0" w:line="240" w:lineRule="auto"/>
              <w:rPr>
                <w:rFonts w:ascii="Arial" w:eastAsia="Times New Roman" w:hAnsi="Arial" w:cs="Arial"/>
                <w:noProof w:val="0"/>
                <w:color w:val="000000"/>
                <w:sz w:val="18"/>
                <w:szCs w:val="18"/>
                <w:lang w:val="es-ES_tradnl"/>
              </w:rPr>
            </w:pPr>
            <w:r w:rsidRPr="00756A16">
              <w:rPr>
                <w:rFonts w:ascii="Arial" w:eastAsia="Times New Roman" w:hAnsi="Arial" w:cs="Arial"/>
                <w:noProof w:val="0"/>
                <w:color w:val="000000"/>
                <w:sz w:val="18"/>
                <w:szCs w:val="18"/>
                <w:lang w:val="es-ES_tradnl"/>
              </w:rPr>
              <w:t xml:space="preserve"> $                     7.096.377,49 </w:t>
            </w:r>
          </w:p>
        </w:tc>
      </w:tr>
    </w:tbl>
    <w:p w:rsidR="0096094D" w:rsidRPr="00756A16" w:rsidRDefault="0096094D" w:rsidP="0096094D">
      <w:pPr>
        <w:spacing w:before="120" w:after="120" w:line="240" w:lineRule="auto"/>
        <w:contextualSpacing/>
        <w:rPr>
          <w:rFonts w:ascii="Arial" w:hAnsi="Arial" w:cs="Arial"/>
          <w:b/>
          <w:smallCaps/>
          <w:noProof w:val="0"/>
          <w:sz w:val="20"/>
          <w:szCs w:val="20"/>
          <w:lang w:val="es-ES_tradnl"/>
        </w:rPr>
      </w:pPr>
    </w:p>
    <w:sectPr w:rsidR="0096094D" w:rsidRPr="00756A16" w:rsidSect="007459E7">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6B2" w:rsidRPr="00756A16" w:rsidRDefault="004506B2" w:rsidP="00D60DB6">
      <w:pPr>
        <w:spacing w:after="0" w:line="240" w:lineRule="auto"/>
        <w:rPr>
          <w:noProof w:val="0"/>
          <w:lang w:val="es-ES_tradnl"/>
        </w:rPr>
      </w:pPr>
      <w:r w:rsidRPr="00756A16">
        <w:rPr>
          <w:noProof w:val="0"/>
          <w:lang w:val="es-ES_tradnl"/>
        </w:rPr>
        <w:separator/>
      </w:r>
    </w:p>
  </w:endnote>
  <w:endnote w:type="continuationSeparator" w:id="0">
    <w:p w:rsidR="004506B2" w:rsidRPr="00756A16" w:rsidRDefault="004506B2" w:rsidP="00D60DB6">
      <w:pPr>
        <w:spacing w:after="0" w:line="240" w:lineRule="auto"/>
        <w:rPr>
          <w:noProof w:val="0"/>
          <w:lang w:val="es-ES_tradnl"/>
        </w:rPr>
      </w:pPr>
      <w:r w:rsidRPr="00756A16">
        <w:rPr>
          <w:noProof w:val="0"/>
          <w:lang w:val="es-ES_tradn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880" w:rsidRPr="00756A16" w:rsidRDefault="00474880">
    <w:pPr>
      <w:pStyle w:val="Footer"/>
      <w:rPr>
        <w:noProof w:val="0"/>
        <w:lang w:val="es-ES_trad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880" w:rsidRPr="00756A16" w:rsidRDefault="00474880">
    <w:pPr>
      <w:pStyle w:val="Footer"/>
      <w:rPr>
        <w:noProof w:val="0"/>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880" w:rsidRPr="00756A16" w:rsidRDefault="00474880">
    <w:pPr>
      <w:pStyle w:val="Footer"/>
      <w:rPr>
        <w:noProof w:val="0"/>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6B2" w:rsidRPr="00756A16" w:rsidRDefault="004506B2" w:rsidP="00D60DB6">
      <w:pPr>
        <w:spacing w:after="0" w:line="240" w:lineRule="auto"/>
        <w:rPr>
          <w:noProof w:val="0"/>
          <w:lang w:val="es-ES_tradnl"/>
        </w:rPr>
      </w:pPr>
      <w:r w:rsidRPr="00756A16">
        <w:rPr>
          <w:noProof w:val="0"/>
          <w:lang w:val="es-ES_tradnl"/>
        </w:rPr>
        <w:separator/>
      </w:r>
    </w:p>
  </w:footnote>
  <w:footnote w:type="continuationSeparator" w:id="0">
    <w:p w:rsidR="004506B2" w:rsidRPr="00756A16" w:rsidRDefault="004506B2" w:rsidP="00D60DB6">
      <w:pPr>
        <w:spacing w:after="0" w:line="240" w:lineRule="auto"/>
        <w:rPr>
          <w:noProof w:val="0"/>
          <w:lang w:val="es-ES_tradnl"/>
        </w:rPr>
      </w:pPr>
      <w:r w:rsidRPr="00756A16">
        <w:rPr>
          <w:noProof w:val="0"/>
          <w:lang w:val="es-ES_tradnl"/>
        </w:rPr>
        <w:continuationSeparator/>
      </w:r>
    </w:p>
  </w:footnote>
  <w:footnote w:id="1">
    <w:p w:rsidR="00474880" w:rsidRPr="00474880" w:rsidRDefault="00474880" w:rsidP="00474880">
      <w:pPr>
        <w:pStyle w:val="FootnoteText"/>
        <w:ind w:left="806" w:hanging="360"/>
        <w:jc w:val="both"/>
        <w:rPr>
          <w:rFonts w:ascii="Arial" w:hAnsi="Arial" w:cs="Arial"/>
          <w:sz w:val="18"/>
          <w:szCs w:val="18"/>
          <w:lang w:val="es-ES_tradnl"/>
        </w:rPr>
      </w:pPr>
      <w:r w:rsidRPr="00474880">
        <w:rPr>
          <w:rStyle w:val="FootnoteReference"/>
          <w:rFonts w:ascii="Arial" w:hAnsi="Arial" w:cs="Arial"/>
          <w:sz w:val="18"/>
          <w:szCs w:val="18"/>
          <w:lang w:val="es-ES_tradnl"/>
        </w:rPr>
        <w:footnoteRef/>
      </w:r>
      <w:r w:rsidRPr="00474880">
        <w:rPr>
          <w:rFonts w:ascii="Arial" w:hAnsi="Arial" w:cs="Arial"/>
          <w:sz w:val="18"/>
          <w:szCs w:val="18"/>
          <w:lang w:val="es-ES_tradnl"/>
        </w:rPr>
        <w:t xml:space="preserve"> </w:t>
      </w:r>
      <w:r>
        <w:rPr>
          <w:rFonts w:ascii="Arial" w:hAnsi="Arial" w:cs="Arial"/>
          <w:sz w:val="18"/>
          <w:szCs w:val="18"/>
          <w:lang w:val="es-ES_tradnl"/>
        </w:rPr>
        <w:tab/>
      </w:r>
      <w:r w:rsidRPr="00474880">
        <w:rPr>
          <w:rFonts w:ascii="Arial" w:hAnsi="Arial" w:cs="Arial"/>
          <w:sz w:val="18"/>
          <w:szCs w:val="18"/>
          <w:lang w:val="es-ES_tradnl"/>
        </w:rPr>
        <w:t>El IBGE estima una población de 9.020.460 habitantes en 2017.</w:t>
      </w:r>
    </w:p>
  </w:footnote>
  <w:footnote w:id="2">
    <w:p w:rsidR="00474880" w:rsidRPr="00474880" w:rsidRDefault="00474880" w:rsidP="00474880">
      <w:pPr>
        <w:pStyle w:val="FootnoteText"/>
        <w:ind w:left="806" w:hanging="360"/>
        <w:jc w:val="both"/>
        <w:rPr>
          <w:rFonts w:ascii="Arial" w:hAnsi="Arial" w:cs="Arial"/>
          <w:sz w:val="18"/>
          <w:szCs w:val="18"/>
          <w:lang w:val="es-ES_tradnl"/>
        </w:rPr>
      </w:pPr>
      <w:r w:rsidRPr="00474880">
        <w:rPr>
          <w:rStyle w:val="FootnoteReference"/>
          <w:rFonts w:ascii="Arial" w:hAnsi="Arial" w:cs="Arial"/>
          <w:sz w:val="18"/>
          <w:szCs w:val="18"/>
          <w:lang w:val="es-ES_tradnl"/>
        </w:rPr>
        <w:footnoteRef/>
      </w:r>
      <w:r w:rsidRPr="00474880">
        <w:rPr>
          <w:rFonts w:ascii="Arial" w:hAnsi="Arial" w:cs="Arial"/>
          <w:sz w:val="18"/>
          <w:szCs w:val="18"/>
          <w:lang w:val="es-ES_tradnl"/>
        </w:rPr>
        <w:t xml:space="preserve"> </w:t>
      </w:r>
      <w:r>
        <w:rPr>
          <w:rFonts w:ascii="Arial" w:hAnsi="Arial" w:cs="Arial"/>
          <w:sz w:val="18"/>
          <w:szCs w:val="18"/>
          <w:lang w:val="es-ES_tradnl"/>
        </w:rPr>
        <w:tab/>
      </w:r>
      <w:r w:rsidRPr="00474880">
        <w:rPr>
          <w:rFonts w:ascii="Arial" w:hAnsi="Arial" w:cs="Arial"/>
          <w:sz w:val="18"/>
          <w:szCs w:val="18"/>
          <w:lang w:val="es-ES_tradnl"/>
        </w:rPr>
        <w:t xml:space="preserve">La línea de extrema pobreza considerada era equivalente al rendimiento mensual domiciliario </w:t>
      </w:r>
      <w:r w:rsidRPr="00474880">
        <w:rPr>
          <w:rFonts w:ascii="Arial" w:hAnsi="Arial" w:cs="Arial"/>
          <w:i/>
          <w:sz w:val="18"/>
          <w:szCs w:val="18"/>
          <w:lang w:val="es-ES_tradnl"/>
        </w:rPr>
        <w:t xml:space="preserve">per </w:t>
      </w:r>
      <w:proofErr w:type="spellStart"/>
      <w:r w:rsidRPr="00474880">
        <w:rPr>
          <w:rFonts w:ascii="Arial" w:hAnsi="Arial" w:cs="Arial"/>
          <w:i/>
          <w:sz w:val="18"/>
          <w:szCs w:val="18"/>
          <w:lang w:val="es-ES_tradnl"/>
        </w:rPr>
        <w:t>capita</w:t>
      </w:r>
      <w:proofErr w:type="spellEnd"/>
      <w:r w:rsidRPr="00474880">
        <w:rPr>
          <w:rFonts w:ascii="Arial" w:hAnsi="Arial" w:cs="Arial"/>
          <w:sz w:val="18"/>
          <w:szCs w:val="18"/>
          <w:lang w:val="es-ES_tradnl"/>
        </w:rPr>
        <w:t xml:space="preserve"> nominal de hasta R$70.</w:t>
      </w:r>
    </w:p>
  </w:footnote>
  <w:footnote w:id="3">
    <w:p w:rsidR="00474880" w:rsidRPr="00474880" w:rsidRDefault="00474880" w:rsidP="00474880">
      <w:pPr>
        <w:pStyle w:val="FootnoteText"/>
        <w:ind w:left="806" w:hanging="360"/>
        <w:jc w:val="both"/>
        <w:rPr>
          <w:rFonts w:ascii="Arial" w:hAnsi="Arial" w:cs="Arial"/>
          <w:sz w:val="18"/>
          <w:szCs w:val="18"/>
          <w:lang w:val="es-ES_tradnl"/>
        </w:rPr>
      </w:pPr>
      <w:r w:rsidRPr="00474880">
        <w:rPr>
          <w:rStyle w:val="FootnoteReference"/>
          <w:rFonts w:ascii="Arial" w:hAnsi="Arial" w:cs="Arial"/>
          <w:sz w:val="18"/>
          <w:szCs w:val="18"/>
          <w:lang w:val="es-ES_tradnl"/>
        </w:rPr>
        <w:footnoteRef/>
      </w:r>
      <w:r w:rsidRPr="00474880">
        <w:rPr>
          <w:rFonts w:ascii="Arial" w:hAnsi="Arial" w:cs="Arial"/>
          <w:sz w:val="18"/>
          <w:szCs w:val="18"/>
          <w:lang w:val="es-ES_tradnl"/>
        </w:rPr>
        <w:t xml:space="preserve"> </w:t>
      </w:r>
      <w:r>
        <w:rPr>
          <w:rFonts w:ascii="Arial" w:hAnsi="Arial" w:cs="Arial"/>
          <w:sz w:val="18"/>
          <w:szCs w:val="18"/>
          <w:lang w:val="es-ES_tradnl"/>
        </w:rPr>
        <w:tab/>
      </w:r>
      <w:r w:rsidRPr="00474880">
        <w:rPr>
          <w:rFonts w:ascii="Arial" w:hAnsi="Arial" w:cs="Arial"/>
          <w:sz w:val="18"/>
          <w:szCs w:val="18"/>
          <w:lang w:val="es-ES_tradnl"/>
        </w:rPr>
        <w:t>Fuente PNAD/IBGE</w:t>
      </w:r>
    </w:p>
  </w:footnote>
  <w:footnote w:id="4">
    <w:p w:rsidR="00474880" w:rsidRPr="00474880" w:rsidRDefault="00474880" w:rsidP="00474880">
      <w:pPr>
        <w:pStyle w:val="FootnoteText"/>
        <w:ind w:left="806" w:hanging="360"/>
        <w:jc w:val="both"/>
        <w:rPr>
          <w:rFonts w:ascii="Arial" w:hAnsi="Arial" w:cs="Arial"/>
          <w:sz w:val="18"/>
          <w:szCs w:val="18"/>
          <w:lang w:val="es-ES_tradnl"/>
        </w:rPr>
      </w:pPr>
      <w:r w:rsidRPr="00474880">
        <w:rPr>
          <w:rStyle w:val="FootnoteReference"/>
          <w:rFonts w:ascii="Arial" w:hAnsi="Arial" w:cs="Arial"/>
          <w:sz w:val="18"/>
          <w:szCs w:val="18"/>
          <w:lang w:val="es-ES_tradnl"/>
        </w:rPr>
        <w:footnoteRef/>
      </w:r>
      <w:r w:rsidRPr="00474880">
        <w:rPr>
          <w:rFonts w:ascii="Arial" w:hAnsi="Arial" w:cs="Arial"/>
          <w:sz w:val="18"/>
          <w:szCs w:val="18"/>
          <w:lang w:val="es-ES_tradnl"/>
        </w:rPr>
        <w:t xml:space="preserve"> </w:t>
      </w:r>
      <w:r>
        <w:rPr>
          <w:rFonts w:ascii="Arial" w:hAnsi="Arial" w:cs="Arial"/>
          <w:sz w:val="18"/>
          <w:szCs w:val="18"/>
          <w:lang w:val="es-ES_tradnl"/>
        </w:rPr>
        <w:tab/>
      </w:r>
      <w:r w:rsidRPr="00474880">
        <w:rPr>
          <w:rFonts w:ascii="Arial" w:hAnsi="Arial" w:cs="Arial"/>
          <w:sz w:val="18"/>
          <w:szCs w:val="18"/>
          <w:lang w:val="es-ES_tradnl"/>
        </w:rPr>
        <w:t>Fuente IBGE. 2014 es el último año con datos del PIB por estado colocado a disposición por el IBGE</w:t>
      </w:r>
    </w:p>
  </w:footnote>
  <w:footnote w:id="5">
    <w:p w:rsidR="00474880" w:rsidRPr="00474880" w:rsidRDefault="00474880" w:rsidP="00474880">
      <w:pPr>
        <w:pStyle w:val="FootnoteText"/>
        <w:ind w:left="806" w:hanging="360"/>
        <w:jc w:val="both"/>
        <w:rPr>
          <w:rFonts w:ascii="Arial" w:hAnsi="Arial" w:cs="Arial"/>
          <w:sz w:val="18"/>
          <w:szCs w:val="18"/>
          <w:lang w:val="es-ES_tradnl"/>
        </w:rPr>
      </w:pPr>
      <w:r w:rsidRPr="00474880">
        <w:rPr>
          <w:rStyle w:val="FootnoteReference"/>
          <w:rFonts w:ascii="Arial" w:hAnsi="Arial" w:cs="Arial"/>
          <w:sz w:val="18"/>
          <w:szCs w:val="18"/>
          <w:lang w:val="es-ES_tradnl"/>
        </w:rPr>
        <w:footnoteRef/>
      </w:r>
      <w:r w:rsidRPr="00474880">
        <w:rPr>
          <w:rFonts w:ascii="Arial" w:hAnsi="Arial" w:cs="Arial"/>
          <w:sz w:val="18"/>
          <w:szCs w:val="18"/>
          <w:lang w:val="es-ES_tradnl"/>
        </w:rPr>
        <w:t xml:space="preserve"> 2016 fue un año atípico debido al crecimiento del Impuesto sobre la Transmisión </w:t>
      </w:r>
      <w:r w:rsidRPr="00474880">
        <w:rPr>
          <w:rFonts w:ascii="Arial" w:hAnsi="Arial" w:cs="Arial"/>
          <w:i/>
          <w:sz w:val="18"/>
          <w:szCs w:val="18"/>
          <w:lang w:val="es-ES_tradnl"/>
        </w:rPr>
        <w:t>Causa Mortis</w:t>
      </w:r>
      <w:r w:rsidRPr="00474880">
        <w:rPr>
          <w:rFonts w:ascii="Arial" w:hAnsi="Arial" w:cs="Arial"/>
          <w:sz w:val="18"/>
          <w:szCs w:val="18"/>
          <w:lang w:val="es-ES_tradnl"/>
        </w:rPr>
        <w:t xml:space="preserve"> y Donación de Bienes o Derechos (ITCD) del 800%.</w:t>
      </w:r>
    </w:p>
  </w:footnote>
  <w:footnote w:id="6">
    <w:p w:rsidR="00474880" w:rsidRPr="00474880" w:rsidRDefault="00474880" w:rsidP="00474880">
      <w:pPr>
        <w:pStyle w:val="FootnoteText"/>
        <w:ind w:left="806" w:hanging="360"/>
        <w:jc w:val="both"/>
        <w:rPr>
          <w:rFonts w:ascii="Arial" w:hAnsi="Arial" w:cs="Arial"/>
          <w:sz w:val="18"/>
          <w:szCs w:val="18"/>
          <w:lang w:val="es-ES_tradnl"/>
        </w:rPr>
      </w:pPr>
      <w:r w:rsidRPr="00474880">
        <w:rPr>
          <w:rStyle w:val="FootnoteReference"/>
          <w:rFonts w:ascii="Arial" w:hAnsi="Arial" w:cs="Arial"/>
          <w:sz w:val="18"/>
          <w:szCs w:val="18"/>
          <w:lang w:val="es-ES_tradnl"/>
        </w:rPr>
        <w:footnoteRef/>
      </w:r>
      <w:r w:rsidRPr="00474880">
        <w:rPr>
          <w:rFonts w:ascii="Arial" w:hAnsi="Arial" w:cs="Arial"/>
          <w:sz w:val="18"/>
          <w:szCs w:val="18"/>
          <w:lang w:val="es-ES_tradnl"/>
        </w:rPr>
        <w:t xml:space="preserve"> Fuente: Investigación Focus del Banco Central con agentes del mercado financiero – 1º de septiembre de 2017 - tasa de cambio media para 2018.</w:t>
      </w:r>
    </w:p>
  </w:footnote>
  <w:footnote w:id="7">
    <w:p w:rsidR="00474880" w:rsidRPr="00474880" w:rsidRDefault="00474880" w:rsidP="00474880">
      <w:pPr>
        <w:pStyle w:val="FootnoteText"/>
        <w:ind w:left="806" w:hanging="360"/>
        <w:jc w:val="both"/>
        <w:rPr>
          <w:rFonts w:ascii="Arial" w:hAnsi="Arial" w:cs="Arial"/>
          <w:color w:val="000000"/>
          <w:sz w:val="18"/>
          <w:szCs w:val="18"/>
          <w:lang w:val="es-ES_tradnl"/>
        </w:rPr>
      </w:pPr>
      <w:r w:rsidRPr="00474880">
        <w:rPr>
          <w:rStyle w:val="FootnoteReference"/>
          <w:rFonts w:ascii="Arial" w:hAnsi="Arial" w:cs="Arial"/>
          <w:sz w:val="18"/>
          <w:szCs w:val="18"/>
          <w:lang w:val="es-ES_tradnl"/>
        </w:rPr>
        <w:footnoteRef/>
      </w:r>
      <w:r w:rsidRPr="00474880">
        <w:rPr>
          <w:rFonts w:ascii="Arial" w:hAnsi="Arial" w:cs="Arial"/>
          <w:sz w:val="18"/>
          <w:szCs w:val="18"/>
          <w:lang w:val="es-ES_tradnl"/>
        </w:rPr>
        <w:t xml:space="preserve"> </w:t>
      </w:r>
      <w:r w:rsidR="00745700">
        <w:rPr>
          <w:rFonts w:ascii="Arial" w:hAnsi="Arial" w:cs="Arial"/>
          <w:sz w:val="18"/>
          <w:szCs w:val="18"/>
          <w:lang w:val="es-ES_tradnl"/>
        </w:rPr>
        <w:tab/>
      </w:r>
      <w:r w:rsidRPr="00474880">
        <w:rPr>
          <w:rFonts w:ascii="Arial" w:hAnsi="Arial" w:cs="Arial"/>
          <w:color w:val="000000"/>
          <w:sz w:val="18"/>
          <w:szCs w:val="18"/>
          <w:lang w:val="es-ES_tradnl"/>
        </w:rPr>
        <w:t xml:space="preserve">Sistema digital que permite el envío electrónico de los libros y documentos contables y fiscales de las empresas de forma integrada con los tres niveles de gobierno. Ofrece al fisco información en tiempo real y mayor efectividad en el control fiscal y, al contribuyente, racionalización en el cumplimiento de las obligaciones tributarias.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880" w:rsidRPr="00756A16" w:rsidRDefault="00474880">
    <w:pPr>
      <w:pStyle w:val="Header"/>
      <w:rPr>
        <w:noProof w:val="0"/>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880" w:rsidRPr="00756A16" w:rsidRDefault="00474880">
    <w:pPr>
      <w:pStyle w:val="Header"/>
      <w:jc w:val="center"/>
      <w:rPr>
        <w:noProof w:val="0"/>
        <w:lang w:val="es-ES_tradnl"/>
      </w:rPr>
    </w:pPr>
    <w:r w:rsidRPr="00756A16">
      <w:rPr>
        <w:noProof w:val="0"/>
        <w:lang w:val="es-ES_tradnl"/>
      </w:rPr>
      <w:fldChar w:fldCharType="begin"/>
    </w:r>
    <w:r w:rsidRPr="00756A16">
      <w:rPr>
        <w:noProof w:val="0"/>
        <w:lang w:val="es-ES_tradnl"/>
      </w:rPr>
      <w:instrText xml:space="preserve"> PAGE   \* MERGEFORMAT </w:instrText>
    </w:r>
    <w:r w:rsidRPr="00756A16">
      <w:rPr>
        <w:noProof w:val="0"/>
        <w:lang w:val="es-ES_tradnl"/>
      </w:rPr>
      <w:fldChar w:fldCharType="separate"/>
    </w:r>
    <w:r w:rsidR="00960546">
      <w:rPr>
        <w:lang w:val="es-ES_tradnl"/>
      </w:rPr>
      <w:t>1</w:t>
    </w:r>
    <w:r w:rsidRPr="00756A16">
      <w:rPr>
        <w:noProof w:val="0"/>
        <w:lang w:val="es-ES_tradnl"/>
      </w:rPr>
      <w:fldChar w:fldCharType="end"/>
    </w:r>
  </w:p>
  <w:p w:rsidR="00474880" w:rsidRPr="00756A16" w:rsidRDefault="00474880">
    <w:pPr>
      <w:pStyle w:val="Header"/>
      <w:rPr>
        <w:noProof w:val="0"/>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880" w:rsidRPr="00756A16" w:rsidRDefault="00474880">
    <w:pPr>
      <w:pStyle w:val="Header"/>
      <w:rPr>
        <w:noProof w:val="0"/>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104273"/>
    <w:multiLevelType w:val="hybridMultilevel"/>
    <w:tmpl w:val="F0D2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A7E00"/>
    <w:multiLevelType w:val="hybridMultilevel"/>
    <w:tmpl w:val="125A7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766D2"/>
    <w:multiLevelType w:val="hybridMultilevel"/>
    <w:tmpl w:val="87184B3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15:restartNumberingAfterBreak="0">
    <w:nsid w:val="0C7220B8"/>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0DAB7FC9"/>
    <w:multiLevelType w:val="multilevel"/>
    <w:tmpl w:val="EA1E1C68"/>
    <w:lvl w:ilvl="0">
      <w:start w:val="1"/>
      <w:numFmt w:val="upperRoman"/>
      <w:lvlText w:val="%1."/>
      <w:lvlJc w:val="center"/>
      <w:pPr>
        <w:tabs>
          <w:tab w:val="num" w:pos="2070"/>
        </w:tabs>
        <w:ind w:left="1422" w:firstLine="288"/>
      </w:pPr>
      <w:rPr>
        <w:rFonts w:ascii="Times New Roman" w:eastAsia="Times New Roman" w:hAnsi="Times New Roman" w:cs="Times New Roman"/>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15:restartNumberingAfterBreak="0">
    <w:nsid w:val="11EE15F3"/>
    <w:multiLevelType w:val="multilevel"/>
    <w:tmpl w:val="D66EF6A2"/>
    <w:lvl w:ilvl="0">
      <w:start w:val="1"/>
      <w:numFmt w:val="upperRoman"/>
      <w:lvlText w:val="%1."/>
      <w:lvlJc w:val="center"/>
      <w:pPr>
        <w:tabs>
          <w:tab w:val="num" w:pos="1800"/>
        </w:tabs>
        <w:ind w:left="1152" w:firstLine="288"/>
      </w:pPr>
      <w:rPr>
        <w:b/>
        <w:i w:val="0"/>
        <w:sz w:val="24"/>
        <w:szCs w:val="24"/>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14967708"/>
    <w:multiLevelType w:val="multilevel"/>
    <w:tmpl w:val="5D1C61C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EF6653"/>
    <w:multiLevelType w:val="multilevel"/>
    <w:tmpl w:val="D66EF6A2"/>
    <w:lvl w:ilvl="0">
      <w:start w:val="1"/>
      <w:numFmt w:val="upperRoman"/>
      <w:lvlText w:val="%1."/>
      <w:lvlJc w:val="center"/>
      <w:pPr>
        <w:tabs>
          <w:tab w:val="num" w:pos="1800"/>
        </w:tabs>
        <w:ind w:left="1152" w:firstLine="288"/>
      </w:pPr>
      <w:rPr>
        <w:b/>
        <w:i w:val="0"/>
        <w:sz w:val="24"/>
        <w:szCs w:val="24"/>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18B1623E"/>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1C9A051D"/>
    <w:multiLevelType w:val="hybridMultilevel"/>
    <w:tmpl w:val="62DE58AA"/>
    <w:lvl w:ilvl="0" w:tplc="E8188E24">
      <w:start w:val="1"/>
      <w:numFmt w:val="lowerRoman"/>
      <w:lvlText w:val="(%1)"/>
      <w:lvlJc w:val="left"/>
      <w:pPr>
        <w:ind w:left="1620" w:hanging="720"/>
      </w:pPr>
      <w:rPr>
        <w:rFonts w:ascii="Times New Roman" w:hAnsi="Times New Roman" w:cs="Times New Roman" w:hint="default"/>
        <w:sz w:val="24"/>
        <w:szCs w:val="24"/>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1" w15:restartNumberingAfterBreak="0">
    <w:nsid w:val="1D6315A6"/>
    <w:multiLevelType w:val="multilevel"/>
    <w:tmpl w:val="29726B22"/>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720" w:hanging="360"/>
      </w:pPr>
      <w:rPr>
        <w:rFonts w:eastAsia="Times New Roman" w:cs="Times New Roman" w:hint="default"/>
        <w:b w:val="0"/>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1800" w:hanging="72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2880" w:hanging="108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3960" w:hanging="1440"/>
      </w:pPr>
      <w:rPr>
        <w:rFonts w:eastAsia="Times New Roman" w:cs="Times New Roman" w:hint="default"/>
      </w:rPr>
    </w:lvl>
    <w:lvl w:ilvl="8">
      <w:start w:val="1"/>
      <w:numFmt w:val="decimal"/>
      <w:lvlText w:val="%1.%2.%3.%4.%5.%6.%7.%8.%9"/>
      <w:lvlJc w:val="left"/>
      <w:pPr>
        <w:ind w:left="4680" w:hanging="1800"/>
      </w:pPr>
      <w:rPr>
        <w:rFonts w:eastAsia="Times New Roman" w:cs="Times New Roman" w:hint="default"/>
      </w:rPr>
    </w:lvl>
  </w:abstractNum>
  <w:abstractNum w:abstractNumId="12" w15:restartNumberingAfterBreak="0">
    <w:nsid w:val="1F4972BB"/>
    <w:multiLevelType w:val="multilevel"/>
    <w:tmpl w:val="29726B22"/>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720" w:hanging="360"/>
      </w:pPr>
      <w:rPr>
        <w:rFonts w:eastAsia="Times New Roman" w:cs="Times New Roman" w:hint="default"/>
        <w:b w:val="0"/>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1800" w:hanging="72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2880" w:hanging="108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3960" w:hanging="1440"/>
      </w:pPr>
      <w:rPr>
        <w:rFonts w:eastAsia="Times New Roman" w:cs="Times New Roman" w:hint="default"/>
      </w:rPr>
    </w:lvl>
    <w:lvl w:ilvl="8">
      <w:start w:val="1"/>
      <w:numFmt w:val="decimal"/>
      <w:lvlText w:val="%1.%2.%3.%4.%5.%6.%7.%8.%9"/>
      <w:lvlJc w:val="left"/>
      <w:pPr>
        <w:ind w:left="4680" w:hanging="1800"/>
      </w:pPr>
      <w:rPr>
        <w:rFonts w:eastAsia="Times New Roman" w:cs="Times New Roman" w:hint="default"/>
      </w:rPr>
    </w:lvl>
  </w:abstractNum>
  <w:abstractNum w:abstractNumId="13" w15:restartNumberingAfterBreak="0">
    <w:nsid w:val="2035407F"/>
    <w:multiLevelType w:val="hybridMultilevel"/>
    <w:tmpl w:val="D21C3810"/>
    <w:lvl w:ilvl="0" w:tplc="2FDEC32A">
      <w:start w:val="1"/>
      <w:numFmt w:val="lowerRoman"/>
      <w:lvlText w:val="(%1)"/>
      <w:lvlJc w:val="left"/>
      <w:pPr>
        <w:ind w:left="1620" w:hanging="72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4" w15:restartNumberingAfterBreak="0">
    <w:nsid w:val="23256BE8"/>
    <w:multiLevelType w:val="hybridMultilevel"/>
    <w:tmpl w:val="B0568724"/>
    <w:lvl w:ilvl="0" w:tplc="CF7A11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0708A8"/>
    <w:multiLevelType w:val="multilevel"/>
    <w:tmpl w:val="7D468392"/>
    <w:lvl w:ilvl="0">
      <w:start w:val="7"/>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6" w15:restartNumberingAfterBreak="0">
    <w:nsid w:val="2A8B61AB"/>
    <w:multiLevelType w:val="hybridMultilevel"/>
    <w:tmpl w:val="A7F864F2"/>
    <w:lvl w:ilvl="0" w:tplc="EEB2EA04">
      <w:start w:val="1"/>
      <w:numFmt w:val="lowerRoman"/>
      <w:lvlText w:val="(%1)"/>
      <w:lvlJc w:val="left"/>
      <w:pPr>
        <w:ind w:left="1260" w:hanging="360"/>
      </w:pPr>
      <w:rPr>
        <w:rFonts w:ascii="Times New Roman" w:eastAsia="Calibri" w:hAnsi="Times New Roman"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2AA53F33"/>
    <w:multiLevelType w:val="hybridMultilevel"/>
    <w:tmpl w:val="0F42CE2C"/>
    <w:lvl w:ilvl="0" w:tplc="C23E353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8D35A8"/>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pStyle w:val="Heading9"/>
      <w:lvlText w:val="%9."/>
      <w:lvlJc w:val="left"/>
      <w:pPr>
        <w:tabs>
          <w:tab w:val="num" w:pos="1287"/>
        </w:tabs>
        <w:ind w:left="0" w:firstLine="567"/>
      </w:pPr>
      <w:rPr>
        <w:rFonts w:ascii="Arial" w:hAnsi="Arial" w:hint="default"/>
        <w:b w:val="0"/>
        <w:i w:val="0"/>
        <w:sz w:val="24"/>
      </w:rPr>
    </w:lvl>
  </w:abstractNum>
  <w:abstractNum w:abstractNumId="19" w15:restartNumberingAfterBreak="0">
    <w:nsid w:val="34E33889"/>
    <w:multiLevelType w:val="multilevel"/>
    <w:tmpl w:val="1C787EAC"/>
    <w:lvl w:ilvl="0">
      <w:start w:val="2"/>
      <w:numFmt w:val="decimal"/>
      <w:lvlText w:val="%1"/>
      <w:lvlJc w:val="left"/>
      <w:pPr>
        <w:ind w:left="360" w:hanging="360"/>
      </w:pPr>
      <w:rPr>
        <w:rFonts w:hint="default"/>
      </w:rPr>
    </w:lvl>
    <w:lvl w:ilvl="1">
      <w:start w:val="1"/>
      <w:numFmt w:val="bullet"/>
      <w:lvlText w:val=""/>
      <w:lvlJc w:val="left"/>
      <w:pPr>
        <w:ind w:left="450" w:hanging="360"/>
      </w:pPr>
      <w:rPr>
        <w:rFonts w:ascii="Symbol" w:hAnsi="Symbol"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0" w15:restartNumberingAfterBreak="0">
    <w:nsid w:val="34EC0224"/>
    <w:multiLevelType w:val="multilevel"/>
    <w:tmpl w:val="ACCEFF1C"/>
    <w:lvl w:ilvl="0">
      <w:start w:val="1"/>
      <w:numFmt w:val="upperRoman"/>
      <w:lvlText w:val="%1."/>
      <w:lvlJc w:val="left"/>
      <w:pPr>
        <w:tabs>
          <w:tab w:val="num" w:pos="1994"/>
        </w:tabs>
        <w:ind w:left="1346" w:firstLine="288"/>
      </w:pPr>
      <w:rPr>
        <w:rFonts w:hint="default"/>
        <w:b/>
        <w:i w:val="0"/>
        <w:sz w:val="24"/>
        <w:szCs w:val="24"/>
      </w:rPr>
    </w:lvl>
    <w:lvl w:ilvl="1">
      <w:start w:val="1"/>
      <w:numFmt w:val="decimal"/>
      <w:isLgl/>
      <w:lvlText w:val="%1.%2"/>
      <w:lvlJc w:val="left"/>
      <w:pPr>
        <w:tabs>
          <w:tab w:val="num" w:pos="2642"/>
        </w:tabs>
        <w:ind w:left="2642" w:hanging="1296"/>
      </w:pPr>
    </w:lvl>
    <w:lvl w:ilvl="2">
      <w:start w:val="1"/>
      <w:numFmt w:val="lowerLetter"/>
      <w:lvlText w:val="%3."/>
      <w:lvlJc w:val="left"/>
      <w:pPr>
        <w:tabs>
          <w:tab w:val="num" w:pos="2498"/>
        </w:tabs>
        <w:ind w:left="2498" w:hanging="432"/>
      </w:pPr>
      <w:rPr>
        <w:color w:val="auto"/>
      </w:rPr>
    </w:lvl>
    <w:lvl w:ilvl="3">
      <w:start w:val="1"/>
      <w:numFmt w:val="lowerRoman"/>
      <w:lvlText w:val="%4."/>
      <w:lvlJc w:val="right"/>
      <w:pPr>
        <w:tabs>
          <w:tab w:val="num" w:pos="2930"/>
        </w:tabs>
        <w:ind w:left="2930" w:hanging="288"/>
      </w:pPr>
    </w:lvl>
    <w:lvl w:ilvl="4">
      <w:start w:val="1"/>
      <w:numFmt w:val="decimal"/>
      <w:lvlText w:val="%1.%2.%3.%4.%5"/>
      <w:lvlJc w:val="left"/>
      <w:pPr>
        <w:ind w:left="2354" w:hanging="1008"/>
      </w:pPr>
    </w:lvl>
    <w:lvl w:ilvl="5">
      <w:start w:val="1"/>
      <w:numFmt w:val="decimal"/>
      <w:lvlText w:val="%1.%2.%3.%4.%5.%6"/>
      <w:lvlJc w:val="left"/>
      <w:pPr>
        <w:ind w:left="2498" w:hanging="1152"/>
      </w:pPr>
    </w:lvl>
    <w:lvl w:ilvl="6">
      <w:start w:val="1"/>
      <w:numFmt w:val="decimal"/>
      <w:lvlText w:val="%1.%2.%3.%4.%5.%6.%7"/>
      <w:lvlJc w:val="left"/>
      <w:pPr>
        <w:ind w:left="2642" w:hanging="1296"/>
      </w:pPr>
    </w:lvl>
    <w:lvl w:ilvl="7">
      <w:start w:val="1"/>
      <w:numFmt w:val="decimal"/>
      <w:lvlText w:val="%1.%2.%3.%4.%5.%6.%7.%8"/>
      <w:lvlJc w:val="left"/>
      <w:pPr>
        <w:ind w:left="2786" w:hanging="1440"/>
      </w:pPr>
    </w:lvl>
    <w:lvl w:ilvl="8">
      <w:start w:val="1"/>
      <w:numFmt w:val="decimal"/>
      <w:lvlText w:val="%1.%2.%3.%4.%5.%6.%7.%8.%9"/>
      <w:lvlJc w:val="left"/>
      <w:pPr>
        <w:ind w:left="2930" w:hanging="1584"/>
      </w:pPr>
    </w:lvl>
  </w:abstractNum>
  <w:abstractNum w:abstractNumId="21" w15:restartNumberingAfterBreak="0">
    <w:nsid w:val="359B4991"/>
    <w:multiLevelType w:val="multilevel"/>
    <w:tmpl w:val="020E215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15:restartNumberingAfterBreak="0">
    <w:nsid w:val="396C2DF8"/>
    <w:multiLevelType w:val="multilevel"/>
    <w:tmpl w:val="D66EF6A2"/>
    <w:lvl w:ilvl="0">
      <w:start w:val="1"/>
      <w:numFmt w:val="upperRoman"/>
      <w:lvlText w:val="%1."/>
      <w:lvlJc w:val="center"/>
      <w:pPr>
        <w:tabs>
          <w:tab w:val="num" w:pos="1800"/>
        </w:tabs>
        <w:ind w:left="1152" w:firstLine="288"/>
      </w:pPr>
      <w:rPr>
        <w:b/>
        <w:i w:val="0"/>
        <w:sz w:val="24"/>
        <w:szCs w:val="24"/>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3" w15:restartNumberingAfterBreak="0">
    <w:nsid w:val="39757D1E"/>
    <w:multiLevelType w:val="multilevel"/>
    <w:tmpl w:val="030AE2E4"/>
    <w:lvl w:ilvl="0">
      <w:start w:val="2"/>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4" w15:restartNumberingAfterBreak="0">
    <w:nsid w:val="39E1228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A493D0E"/>
    <w:multiLevelType w:val="hybridMultilevel"/>
    <w:tmpl w:val="E7508FD6"/>
    <w:lvl w:ilvl="0" w:tplc="DFE2A6D6">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2736F2F"/>
    <w:multiLevelType w:val="multilevel"/>
    <w:tmpl w:val="74123364"/>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27" w15:restartNumberingAfterBreak="0">
    <w:nsid w:val="44122D97"/>
    <w:multiLevelType w:val="multilevel"/>
    <w:tmpl w:val="D66EF6A2"/>
    <w:lvl w:ilvl="0">
      <w:start w:val="1"/>
      <w:numFmt w:val="upperRoman"/>
      <w:lvlText w:val="%1."/>
      <w:lvlJc w:val="center"/>
      <w:pPr>
        <w:tabs>
          <w:tab w:val="num" w:pos="1800"/>
        </w:tabs>
        <w:ind w:left="1152" w:firstLine="288"/>
      </w:pPr>
      <w:rPr>
        <w:b/>
        <w:i w:val="0"/>
        <w:sz w:val="24"/>
        <w:szCs w:val="24"/>
      </w:rPr>
    </w:lvl>
    <w:lvl w:ilvl="1">
      <w:start w:val="1"/>
      <w:numFmt w:val="decimal"/>
      <w:isLgl/>
      <w:lvlText w:val="%1.%2"/>
      <w:lvlJc w:val="left"/>
      <w:pPr>
        <w:tabs>
          <w:tab w:val="num" w:pos="5124"/>
        </w:tabs>
        <w:ind w:left="5124" w:hanging="1296"/>
      </w:p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8" w15:restartNumberingAfterBreak="0">
    <w:nsid w:val="46FB4932"/>
    <w:multiLevelType w:val="hybridMultilevel"/>
    <w:tmpl w:val="3618A530"/>
    <w:lvl w:ilvl="0" w:tplc="19F402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C1A7E"/>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0" w15:restartNumberingAfterBreak="0">
    <w:nsid w:val="489F2FFB"/>
    <w:multiLevelType w:val="hybridMultilevel"/>
    <w:tmpl w:val="62443D76"/>
    <w:lvl w:ilvl="0" w:tplc="582AB460">
      <w:start w:val="1"/>
      <w:numFmt w:val="lowerRoman"/>
      <w:lvlText w:val="(%1)"/>
      <w:lvlJc w:val="left"/>
      <w:pPr>
        <w:ind w:left="2160" w:hanging="72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31" w15:restartNumberingAfterBreak="0">
    <w:nsid w:val="4DED47CA"/>
    <w:multiLevelType w:val="multilevel"/>
    <w:tmpl w:val="766200D0"/>
    <w:lvl w:ilvl="0">
      <w:start w:val="1"/>
      <w:numFmt w:val="upperRoman"/>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2" w15:restartNumberingAfterBreak="0">
    <w:nsid w:val="4F954A84"/>
    <w:multiLevelType w:val="multilevel"/>
    <w:tmpl w:val="D66EF6A2"/>
    <w:lvl w:ilvl="0">
      <w:start w:val="1"/>
      <w:numFmt w:val="upperRoman"/>
      <w:lvlText w:val="%1."/>
      <w:lvlJc w:val="center"/>
      <w:pPr>
        <w:tabs>
          <w:tab w:val="num" w:pos="1800"/>
        </w:tabs>
        <w:ind w:left="1152" w:firstLine="288"/>
      </w:pPr>
      <w:rPr>
        <w:rFonts w:hint="default"/>
        <w:b/>
        <w:i w:val="0"/>
        <w:sz w:val="24"/>
        <w:szCs w:val="24"/>
      </w:rPr>
    </w:lvl>
    <w:lvl w:ilvl="1">
      <w:start w:val="1"/>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3" w15:restartNumberingAfterBreak="0">
    <w:nsid w:val="520418FB"/>
    <w:multiLevelType w:val="multilevel"/>
    <w:tmpl w:val="73CE24C2"/>
    <w:lvl w:ilvl="0">
      <w:start w:val="2"/>
      <w:numFmt w:val="decimal"/>
      <w:lvlText w:val="%1"/>
      <w:lvlJc w:val="left"/>
      <w:pPr>
        <w:ind w:left="360" w:hanging="360"/>
      </w:pPr>
      <w:rPr>
        <w:rFonts w:hint="default"/>
      </w:rPr>
    </w:lvl>
    <w:lvl w:ilvl="1">
      <w:start w:val="1"/>
      <w:numFmt w:val="decimal"/>
      <w:lvlText w:val="%1.%2"/>
      <w:lvlJc w:val="left"/>
      <w:pPr>
        <w:ind w:left="450" w:hanging="360"/>
      </w:pPr>
      <w:rPr>
        <w:rFonts w:hint="default"/>
        <w:i w:val="0"/>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4" w15:restartNumberingAfterBreak="0">
    <w:nsid w:val="546B6142"/>
    <w:multiLevelType w:val="hybridMultilevel"/>
    <w:tmpl w:val="4F000C64"/>
    <w:lvl w:ilvl="0" w:tplc="B248090A">
      <w:start w:val="1"/>
      <w:numFmt w:val="lowerRoman"/>
      <w:lvlText w:val="(%1)"/>
      <w:lvlJc w:val="left"/>
      <w:pPr>
        <w:ind w:left="1260" w:hanging="360"/>
      </w:pPr>
      <w:rPr>
        <w:rFonts w:ascii="Times New Roman" w:eastAsia="Calibri" w:hAnsi="Times New Roman" w:cs="Times New Roman"/>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5A292925"/>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5A5F45F1"/>
    <w:multiLevelType w:val="hybridMultilevel"/>
    <w:tmpl w:val="097C2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575E41"/>
    <w:multiLevelType w:val="hybridMultilevel"/>
    <w:tmpl w:val="6CEAD0F0"/>
    <w:lvl w:ilvl="0" w:tplc="79FC5D9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15:restartNumberingAfterBreak="0">
    <w:nsid w:val="6E40588F"/>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39" w15:restartNumberingAfterBreak="0">
    <w:nsid w:val="6F456C67"/>
    <w:multiLevelType w:val="hybridMultilevel"/>
    <w:tmpl w:val="DBBC3B94"/>
    <w:lvl w:ilvl="0" w:tplc="3912E634">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0" w15:restartNumberingAfterBreak="0">
    <w:nsid w:val="6F5262A9"/>
    <w:multiLevelType w:val="multilevel"/>
    <w:tmpl w:val="760632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9964DF"/>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2" w15:restartNumberingAfterBreak="0">
    <w:nsid w:val="71B2777C"/>
    <w:multiLevelType w:val="multilevel"/>
    <w:tmpl w:val="D66EF6A2"/>
    <w:lvl w:ilvl="0">
      <w:start w:val="1"/>
      <w:numFmt w:val="upperRoman"/>
      <w:lvlText w:val="%1."/>
      <w:lvlJc w:val="center"/>
      <w:pPr>
        <w:tabs>
          <w:tab w:val="num" w:pos="1800"/>
        </w:tabs>
        <w:ind w:left="1152" w:firstLine="288"/>
      </w:pPr>
      <w:rPr>
        <w:b/>
        <w:i w:val="0"/>
        <w:sz w:val="24"/>
        <w:szCs w:val="24"/>
      </w:rPr>
    </w:lvl>
    <w:lvl w:ilvl="1">
      <w:start w:val="1"/>
      <w:numFmt w:val="decimal"/>
      <w:isLgl/>
      <w:lvlText w:val="%1.%2"/>
      <w:lvlJc w:val="left"/>
      <w:pPr>
        <w:tabs>
          <w:tab w:val="num" w:pos="5124"/>
        </w:tabs>
        <w:ind w:left="5124" w:hanging="1296"/>
      </w:p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3" w15:restartNumberingAfterBreak="0">
    <w:nsid w:val="720F761D"/>
    <w:multiLevelType w:val="multilevel"/>
    <w:tmpl w:val="1CDA2020"/>
    <w:lvl w:ilvl="0">
      <w:start w:val="1"/>
      <w:numFmt w:val="decimal"/>
      <w:lvlText w:val="%1."/>
      <w:lvlJc w:val="left"/>
      <w:pPr>
        <w:ind w:left="720" w:hanging="360"/>
      </w:pPr>
    </w:lvl>
    <w:lvl w:ilvl="1">
      <w:start w:val="1"/>
      <w:numFmt w:val="decimal"/>
      <w:isLgl/>
      <w:lvlText w:val="%1.%2"/>
      <w:lvlJc w:val="left"/>
      <w:pPr>
        <w:ind w:left="45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4" w15:restartNumberingAfterBreak="0">
    <w:nsid w:val="72184DF6"/>
    <w:multiLevelType w:val="multilevel"/>
    <w:tmpl w:val="D66EF6A2"/>
    <w:lvl w:ilvl="0">
      <w:start w:val="1"/>
      <w:numFmt w:val="upperRoman"/>
      <w:lvlText w:val="%1."/>
      <w:lvlJc w:val="center"/>
      <w:pPr>
        <w:tabs>
          <w:tab w:val="num" w:pos="1499"/>
        </w:tabs>
        <w:ind w:left="851" w:firstLine="288"/>
      </w:pPr>
      <w:rPr>
        <w:b/>
        <w:i w:val="0"/>
        <w:sz w:val="24"/>
        <w:szCs w:val="24"/>
      </w:rPr>
    </w:lvl>
    <w:lvl w:ilvl="1">
      <w:start w:val="1"/>
      <w:numFmt w:val="decimal"/>
      <w:isLgl/>
      <w:lvlText w:val="%1.%2"/>
      <w:lvlJc w:val="left"/>
      <w:pPr>
        <w:tabs>
          <w:tab w:val="num" w:pos="995"/>
        </w:tabs>
        <w:ind w:left="995" w:hanging="1296"/>
      </w:pPr>
    </w:lvl>
    <w:lvl w:ilvl="2">
      <w:start w:val="1"/>
      <w:numFmt w:val="lowerLetter"/>
      <w:lvlText w:val="%3."/>
      <w:lvlJc w:val="left"/>
      <w:pPr>
        <w:tabs>
          <w:tab w:val="num" w:pos="2003"/>
        </w:tabs>
        <w:ind w:left="2003" w:hanging="432"/>
      </w:pPr>
      <w:rPr>
        <w:color w:val="auto"/>
      </w:rPr>
    </w:lvl>
    <w:lvl w:ilvl="3">
      <w:start w:val="1"/>
      <w:numFmt w:val="lowerRoman"/>
      <w:lvlText w:val="%4."/>
      <w:lvlJc w:val="right"/>
      <w:pPr>
        <w:tabs>
          <w:tab w:val="num" w:pos="2435"/>
        </w:tabs>
        <w:ind w:left="2435" w:hanging="288"/>
      </w:pPr>
    </w:lvl>
    <w:lvl w:ilvl="4">
      <w:start w:val="1"/>
      <w:numFmt w:val="decimal"/>
      <w:lvlText w:val="%1.%2.%3.%4.%5"/>
      <w:lvlJc w:val="left"/>
      <w:pPr>
        <w:ind w:left="1859" w:hanging="1008"/>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abstractNum w:abstractNumId="45" w15:restartNumberingAfterBreak="0">
    <w:nsid w:val="75481659"/>
    <w:multiLevelType w:val="hybridMultilevel"/>
    <w:tmpl w:val="74CE9D44"/>
    <w:lvl w:ilvl="0" w:tplc="57F6D1F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8733053"/>
    <w:multiLevelType w:val="multilevel"/>
    <w:tmpl w:val="959C28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7" w15:restartNumberingAfterBreak="0">
    <w:nsid w:val="7D1272B8"/>
    <w:multiLevelType w:val="hybridMultilevel"/>
    <w:tmpl w:val="4662A64E"/>
    <w:lvl w:ilvl="0" w:tplc="1F46324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E0B4441"/>
    <w:multiLevelType w:val="multilevel"/>
    <w:tmpl w:val="D66EF6A2"/>
    <w:lvl w:ilvl="0">
      <w:start w:val="1"/>
      <w:numFmt w:val="upperRoman"/>
      <w:lvlText w:val="%1."/>
      <w:lvlJc w:val="center"/>
      <w:pPr>
        <w:tabs>
          <w:tab w:val="num" w:pos="1800"/>
        </w:tabs>
        <w:ind w:left="1152" w:firstLine="288"/>
      </w:pPr>
      <w:rPr>
        <w:rFonts w:hint="default"/>
        <w:b/>
        <w:i w:val="0"/>
        <w:sz w:val="24"/>
        <w:szCs w:val="24"/>
      </w:rPr>
    </w:lvl>
    <w:lvl w:ilvl="1">
      <w:start w:val="1"/>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9" w15:restartNumberingAfterBreak="0">
    <w:nsid w:val="7FAF38F2"/>
    <w:multiLevelType w:val="hybridMultilevel"/>
    <w:tmpl w:val="F0E4F610"/>
    <w:lvl w:ilvl="0" w:tplc="C6FC38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3"/>
  </w:num>
  <w:num w:numId="3">
    <w:abstractNumId w:val="5"/>
  </w:num>
  <w:num w:numId="4">
    <w:abstractNumId w:val="41"/>
  </w:num>
  <w:num w:numId="5">
    <w:abstractNumId w:val="46"/>
  </w:num>
  <w:num w:numId="6">
    <w:abstractNumId w:val="18"/>
  </w:num>
  <w:num w:numId="7">
    <w:abstractNumId w:val="35"/>
  </w:num>
  <w:num w:numId="8">
    <w:abstractNumId w:val="9"/>
  </w:num>
  <w:num w:numId="9">
    <w:abstractNumId w:val="40"/>
  </w:num>
  <w:num w:numId="10">
    <w:abstractNumId w:val="4"/>
  </w:num>
  <w:num w:numId="11">
    <w:abstractNumId w:val="29"/>
  </w:num>
  <w:num w:numId="12">
    <w:abstractNumId w:val="15"/>
  </w:num>
  <w:num w:numId="13">
    <w:abstractNumId w:val="33"/>
  </w:num>
  <w:num w:numId="14">
    <w:abstractNumId w:val="39"/>
  </w:num>
  <w:num w:numId="15">
    <w:abstractNumId w:val="19"/>
  </w:num>
  <w:num w:numId="16">
    <w:abstractNumId w:val="17"/>
  </w:num>
  <w:num w:numId="17">
    <w:abstractNumId w:val="26"/>
  </w:num>
  <w:num w:numId="18">
    <w:abstractNumId w:val="23"/>
  </w:num>
  <w:num w:numId="19">
    <w:abstractNumId w:val="36"/>
  </w:num>
  <w:num w:numId="20">
    <w:abstractNumId w:val="28"/>
  </w:num>
  <w:num w:numId="21">
    <w:abstractNumId w:val="49"/>
  </w:num>
  <w:num w:numId="22">
    <w:abstractNumId w:val="2"/>
  </w:num>
  <w:num w:numId="23">
    <w:abstractNumId w:val="11"/>
  </w:num>
  <w:num w:numId="24">
    <w:abstractNumId w:val="47"/>
  </w:num>
  <w:num w:numId="25">
    <w:abstractNumId w:val="34"/>
  </w:num>
  <w:num w:numId="26">
    <w:abstractNumId w:val="37"/>
  </w:num>
  <w:num w:numId="27">
    <w:abstractNumId w:val="16"/>
  </w:num>
  <w:num w:numId="28">
    <w:abstractNumId w:val="10"/>
  </w:num>
  <w:num w:numId="29">
    <w:abstractNumId w:val="3"/>
  </w:num>
  <w:num w:numId="30">
    <w:abstractNumId w:val="30"/>
  </w:num>
  <w:num w:numId="31">
    <w:abstractNumId w:val="12"/>
  </w:num>
  <w:num w:numId="32">
    <w:abstractNumId w:val="13"/>
  </w:num>
  <w:num w:numId="33">
    <w:abstractNumId w:val="25"/>
  </w:num>
  <w:num w:numId="34">
    <w:abstractNumId w:val="45"/>
  </w:num>
  <w:num w:numId="35">
    <w:abstractNumId w:val="32"/>
  </w:num>
  <w:num w:numId="36">
    <w:abstractNumId w:val="7"/>
  </w:num>
  <w:num w:numId="37">
    <w:abstractNumId w:val="48"/>
  </w:num>
  <w:num w:numId="38">
    <w:abstractNumId w:val="24"/>
  </w:num>
  <w:num w:numId="39">
    <w:abstractNumId w:val="20"/>
  </w:num>
  <w:num w:numId="40">
    <w:abstractNumId w:val="6"/>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0"/>
  </w:num>
  <w:num w:numId="44">
    <w:abstractNumId w:val="21"/>
  </w:num>
  <w:num w:numId="45">
    <w:abstractNumId w:val="38"/>
  </w:num>
  <w:num w:numId="46">
    <w:abstractNumId w:val="44"/>
  </w:num>
  <w:num w:numId="47">
    <w:abstractNumId w:val="22"/>
  </w:num>
  <w:num w:numId="48">
    <w:abstractNumId w:val="8"/>
  </w:num>
  <w:num w:numId="49">
    <w:abstractNumId w:val="42"/>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434"/>
    <w:rsid w:val="000044AD"/>
    <w:rsid w:val="00004B24"/>
    <w:rsid w:val="00005D70"/>
    <w:rsid w:val="00006889"/>
    <w:rsid w:val="00014CAC"/>
    <w:rsid w:val="0002458C"/>
    <w:rsid w:val="00024DF4"/>
    <w:rsid w:val="00025999"/>
    <w:rsid w:val="00037ACA"/>
    <w:rsid w:val="00040E35"/>
    <w:rsid w:val="00041082"/>
    <w:rsid w:val="0004770A"/>
    <w:rsid w:val="00054043"/>
    <w:rsid w:val="000548B3"/>
    <w:rsid w:val="000643A8"/>
    <w:rsid w:val="00070DE4"/>
    <w:rsid w:val="00071EDA"/>
    <w:rsid w:val="0007257B"/>
    <w:rsid w:val="00073B05"/>
    <w:rsid w:val="0007543E"/>
    <w:rsid w:val="00077F7F"/>
    <w:rsid w:val="00084539"/>
    <w:rsid w:val="000853E0"/>
    <w:rsid w:val="00087454"/>
    <w:rsid w:val="00087EA5"/>
    <w:rsid w:val="000A31A6"/>
    <w:rsid w:val="000A6E8E"/>
    <w:rsid w:val="000B01E8"/>
    <w:rsid w:val="000B13FC"/>
    <w:rsid w:val="000B191E"/>
    <w:rsid w:val="000B3BEC"/>
    <w:rsid w:val="000B54BB"/>
    <w:rsid w:val="000B764F"/>
    <w:rsid w:val="000C3AB7"/>
    <w:rsid w:val="000C3C8E"/>
    <w:rsid w:val="000C7109"/>
    <w:rsid w:val="000C72D7"/>
    <w:rsid w:val="000C7848"/>
    <w:rsid w:val="000D674F"/>
    <w:rsid w:val="000E53CB"/>
    <w:rsid w:val="000E59CF"/>
    <w:rsid w:val="000E768E"/>
    <w:rsid w:val="000F6863"/>
    <w:rsid w:val="000F75D3"/>
    <w:rsid w:val="00100B3E"/>
    <w:rsid w:val="00106589"/>
    <w:rsid w:val="00112AEC"/>
    <w:rsid w:val="00114300"/>
    <w:rsid w:val="00116430"/>
    <w:rsid w:val="00121B3C"/>
    <w:rsid w:val="00121EFE"/>
    <w:rsid w:val="00132A36"/>
    <w:rsid w:val="00132EDC"/>
    <w:rsid w:val="00133057"/>
    <w:rsid w:val="00133541"/>
    <w:rsid w:val="00134CAA"/>
    <w:rsid w:val="001440A0"/>
    <w:rsid w:val="001468B3"/>
    <w:rsid w:val="001519E3"/>
    <w:rsid w:val="00153308"/>
    <w:rsid w:val="00155ED6"/>
    <w:rsid w:val="00156467"/>
    <w:rsid w:val="00157017"/>
    <w:rsid w:val="0016443B"/>
    <w:rsid w:val="00170345"/>
    <w:rsid w:val="0017172D"/>
    <w:rsid w:val="0017289C"/>
    <w:rsid w:val="001805B7"/>
    <w:rsid w:val="00183791"/>
    <w:rsid w:val="00183D4B"/>
    <w:rsid w:val="001964CE"/>
    <w:rsid w:val="001B1B23"/>
    <w:rsid w:val="001B29B2"/>
    <w:rsid w:val="001B6AF9"/>
    <w:rsid w:val="001B6F28"/>
    <w:rsid w:val="001C4843"/>
    <w:rsid w:val="001C574F"/>
    <w:rsid w:val="001C6AF8"/>
    <w:rsid w:val="001D7E2F"/>
    <w:rsid w:val="001E0051"/>
    <w:rsid w:val="001E0606"/>
    <w:rsid w:val="001E3977"/>
    <w:rsid w:val="001F051C"/>
    <w:rsid w:val="001F1038"/>
    <w:rsid w:val="001F1912"/>
    <w:rsid w:val="001F71A7"/>
    <w:rsid w:val="00201AC4"/>
    <w:rsid w:val="00202008"/>
    <w:rsid w:val="00211836"/>
    <w:rsid w:val="0021384E"/>
    <w:rsid w:val="00214402"/>
    <w:rsid w:val="00214966"/>
    <w:rsid w:val="002176D4"/>
    <w:rsid w:val="002215AF"/>
    <w:rsid w:val="0022604D"/>
    <w:rsid w:val="00227EDA"/>
    <w:rsid w:val="00230954"/>
    <w:rsid w:val="00231384"/>
    <w:rsid w:val="002324CC"/>
    <w:rsid w:val="002332CD"/>
    <w:rsid w:val="0024742D"/>
    <w:rsid w:val="00260BC5"/>
    <w:rsid w:val="00262986"/>
    <w:rsid w:val="0026409A"/>
    <w:rsid w:val="0026420A"/>
    <w:rsid w:val="00265154"/>
    <w:rsid w:val="0026650D"/>
    <w:rsid w:val="002666AF"/>
    <w:rsid w:val="00275D05"/>
    <w:rsid w:val="00282722"/>
    <w:rsid w:val="002848A6"/>
    <w:rsid w:val="0029174A"/>
    <w:rsid w:val="00295A34"/>
    <w:rsid w:val="00296B0F"/>
    <w:rsid w:val="002970CC"/>
    <w:rsid w:val="002A15DD"/>
    <w:rsid w:val="002A3658"/>
    <w:rsid w:val="002A3D3B"/>
    <w:rsid w:val="002A53E9"/>
    <w:rsid w:val="002A574C"/>
    <w:rsid w:val="002A6397"/>
    <w:rsid w:val="002B08D3"/>
    <w:rsid w:val="002B12F8"/>
    <w:rsid w:val="002B40E9"/>
    <w:rsid w:val="002B5550"/>
    <w:rsid w:val="002B5C7F"/>
    <w:rsid w:val="002B70A4"/>
    <w:rsid w:val="002C4C41"/>
    <w:rsid w:val="002C5C3F"/>
    <w:rsid w:val="002C6237"/>
    <w:rsid w:val="002D0BBC"/>
    <w:rsid w:val="002D12C5"/>
    <w:rsid w:val="002D41B7"/>
    <w:rsid w:val="002D4DDD"/>
    <w:rsid w:val="002D7848"/>
    <w:rsid w:val="002E0DA4"/>
    <w:rsid w:val="002E4E61"/>
    <w:rsid w:val="002E7382"/>
    <w:rsid w:val="002F1B43"/>
    <w:rsid w:val="002F57DB"/>
    <w:rsid w:val="002F68E0"/>
    <w:rsid w:val="002F7340"/>
    <w:rsid w:val="00301083"/>
    <w:rsid w:val="00301567"/>
    <w:rsid w:val="0030158A"/>
    <w:rsid w:val="003017DF"/>
    <w:rsid w:val="00311638"/>
    <w:rsid w:val="0031235D"/>
    <w:rsid w:val="0031314D"/>
    <w:rsid w:val="00316EAB"/>
    <w:rsid w:val="00321038"/>
    <w:rsid w:val="0032166E"/>
    <w:rsid w:val="00323E14"/>
    <w:rsid w:val="00333252"/>
    <w:rsid w:val="0034382A"/>
    <w:rsid w:val="003453F8"/>
    <w:rsid w:val="00345E3E"/>
    <w:rsid w:val="00346DC5"/>
    <w:rsid w:val="00347C79"/>
    <w:rsid w:val="0035173C"/>
    <w:rsid w:val="00352B22"/>
    <w:rsid w:val="003566C7"/>
    <w:rsid w:val="00360FC6"/>
    <w:rsid w:val="00361FC8"/>
    <w:rsid w:val="003620D1"/>
    <w:rsid w:val="00363AF9"/>
    <w:rsid w:val="00364457"/>
    <w:rsid w:val="0036722A"/>
    <w:rsid w:val="003713F0"/>
    <w:rsid w:val="00371932"/>
    <w:rsid w:val="00372435"/>
    <w:rsid w:val="00380C92"/>
    <w:rsid w:val="003825E1"/>
    <w:rsid w:val="003852FC"/>
    <w:rsid w:val="00387BC8"/>
    <w:rsid w:val="00391EB5"/>
    <w:rsid w:val="00392414"/>
    <w:rsid w:val="00393D03"/>
    <w:rsid w:val="0039473C"/>
    <w:rsid w:val="00395356"/>
    <w:rsid w:val="0039643E"/>
    <w:rsid w:val="003A1831"/>
    <w:rsid w:val="003A1E34"/>
    <w:rsid w:val="003A3B77"/>
    <w:rsid w:val="003A4F81"/>
    <w:rsid w:val="003A58B7"/>
    <w:rsid w:val="003B24F1"/>
    <w:rsid w:val="003B27CA"/>
    <w:rsid w:val="003B415D"/>
    <w:rsid w:val="003C05E0"/>
    <w:rsid w:val="003C36F1"/>
    <w:rsid w:val="003C5FD4"/>
    <w:rsid w:val="003C674F"/>
    <w:rsid w:val="003C74F0"/>
    <w:rsid w:val="003D01FC"/>
    <w:rsid w:val="003D0971"/>
    <w:rsid w:val="003D0EBF"/>
    <w:rsid w:val="003D40B3"/>
    <w:rsid w:val="003D48BB"/>
    <w:rsid w:val="003E1FBB"/>
    <w:rsid w:val="003E3913"/>
    <w:rsid w:val="003E4FB1"/>
    <w:rsid w:val="003E6EA7"/>
    <w:rsid w:val="003E754E"/>
    <w:rsid w:val="003E78DB"/>
    <w:rsid w:val="003F23EC"/>
    <w:rsid w:val="003F3D36"/>
    <w:rsid w:val="003F447A"/>
    <w:rsid w:val="003F51F4"/>
    <w:rsid w:val="003F532E"/>
    <w:rsid w:val="003F7999"/>
    <w:rsid w:val="00400147"/>
    <w:rsid w:val="0040144E"/>
    <w:rsid w:val="0040235A"/>
    <w:rsid w:val="00402577"/>
    <w:rsid w:val="00406346"/>
    <w:rsid w:val="00411A48"/>
    <w:rsid w:val="00414C77"/>
    <w:rsid w:val="00416445"/>
    <w:rsid w:val="00417009"/>
    <w:rsid w:val="004207E2"/>
    <w:rsid w:val="00421279"/>
    <w:rsid w:val="0042176B"/>
    <w:rsid w:val="004477D2"/>
    <w:rsid w:val="00447A25"/>
    <w:rsid w:val="004506B2"/>
    <w:rsid w:val="00451D35"/>
    <w:rsid w:val="00455BB8"/>
    <w:rsid w:val="00457B97"/>
    <w:rsid w:val="00470C9D"/>
    <w:rsid w:val="00471E17"/>
    <w:rsid w:val="00474880"/>
    <w:rsid w:val="00475166"/>
    <w:rsid w:val="00481112"/>
    <w:rsid w:val="00482527"/>
    <w:rsid w:val="00484934"/>
    <w:rsid w:val="004875C1"/>
    <w:rsid w:val="004914B1"/>
    <w:rsid w:val="004923A8"/>
    <w:rsid w:val="00496B86"/>
    <w:rsid w:val="004A006C"/>
    <w:rsid w:val="004A0219"/>
    <w:rsid w:val="004A091D"/>
    <w:rsid w:val="004A2760"/>
    <w:rsid w:val="004A3737"/>
    <w:rsid w:val="004B31F7"/>
    <w:rsid w:val="004B43CB"/>
    <w:rsid w:val="004B48CF"/>
    <w:rsid w:val="004B5BAA"/>
    <w:rsid w:val="004C06AC"/>
    <w:rsid w:val="004D377C"/>
    <w:rsid w:val="004D48F3"/>
    <w:rsid w:val="004D749A"/>
    <w:rsid w:val="004E4768"/>
    <w:rsid w:val="004E4BD6"/>
    <w:rsid w:val="004E4EC7"/>
    <w:rsid w:val="004E55BB"/>
    <w:rsid w:val="004E675C"/>
    <w:rsid w:val="004F402D"/>
    <w:rsid w:val="004F493E"/>
    <w:rsid w:val="004F58FA"/>
    <w:rsid w:val="004F7F36"/>
    <w:rsid w:val="00502046"/>
    <w:rsid w:val="00504AE5"/>
    <w:rsid w:val="005071B0"/>
    <w:rsid w:val="00512567"/>
    <w:rsid w:val="00515B69"/>
    <w:rsid w:val="00516063"/>
    <w:rsid w:val="005171C5"/>
    <w:rsid w:val="00517C80"/>
    <w:rsid w:val="00521E38"/>
    <w:rsid w:val="00524F42"/>
    <w:rsid w:val="00525C73"/>
    <w:rsid w:val="005311C8"/>
    <w:rsid w:val="00531DFC"/>
    <w:rsid w:val="0053580E"/>
    <w:rsid w:val="00536BB4"/>
    <w:rsid w:val="005376B3"/>
    <w:rsid w:val="00540E43"/>
    <w:rsid w:val="0054286A"/>
    <w:rsid w:val="00546366"/>
    <w:rsid w:val="00546B41"/>
    <w:rsid w:val="0054734B"/>
    <w:rsid w:val="00552B10"/>
    <w:rsid w:val="00552C9D"/>
    <w:rsid w:val="00556416"/>
    <w:rsid w:val="00562D79"/>
    <w:rsid w:val="00567AA6"/>
    <w:rsid w:val="0057129C"/>
    <w:rsid w:val="005728B1"/>
    <w:rsid w:val="00577167"/>
    <w:rsid w:val="005849FE"/>
    <w:rsid w:val="00596300"/>
    <w:rsid w:val="00596E1F"/>
    <w:rsid w:val="005A19EC"/>
    <w:rsid w:val="005A4F3F"/>
    <w:rsid w:val="005C13AE"/>
    <w:rsid w:val="005C221D"/>
    <w:rsid w:val="005C243F"/>
    <w:rsid w:val="005C3BCC"/>
    <w:rsid w:val="005C5B91"/>
    <w:rsid w:val="005D06F0"/>
    <w:rsid w:val="005D3D2E"/>
    <w:rsid w:val="005D58B6"/>
    <w:rsid w:val="005D5DDD"/>
    <w:rsid w:val="005D7DB6"/>
    <w:rsid w:val="005E3342"/>
    <w:rsid w:val="005E6DDC"/>
    <w:rsid w:val="005F4DAC"/>
    <w:rsid w:val="00602376"/>
    <w:rsid w:val="00604C3D"/>
    <w:rsid w:val="00610598"/>
    <w:rsid w:val="00610C60"/>
    <w:rsid w:val="0061459D"/>
    <w:rsid w:val="00615103"/>
    <w:rsid w:val="00615CB0"/>
    <w:rsid w:val="00615FD7"/>
    <w:rsid w:val="0062086B"/>
    <w:rsid w:val="006316B2"/>
    <w:rsid w:val="00634FED"/>
    <w:rsid w:val="00642F28"/>
    <w:rsid w:val="00647A34"/>
    <w:rsid w:val="00647CD5"/>
    <w:rsid w:val="00657071"/>
    <w:rsid w:val="00664620"/>
    <w:rsid w:val="006741DC"/>
    <w:rsid w:val="0067740C"/>
    <w:rsid w:val="00683A98"/>
    <w:rsid w:val="006845C5"/>
    <w:rsid w:val="00687CBE"/>
    <w:rsid w:val="00690C6C"/>
    <w:rsid w:val="00691023"/>
    <w:rsid w:val="006A1DBB"/>
    <w:rsid w:val="006A3961"/>
    <w:rsid w:val="006A6D73"/>
    <w:rsid w:val="006B228D"/>
    <w:rsid w:val="006B2639"/>
    <w:rsid w:val="006B2804"/>
    <w:rsid w:val="006B3D07"/>
    <w:rsid w:val="006B5333"/>
    <w:rsid w:val="006B6C7A"/>
    <w:rsid w:val="006C2556"/>
    <w:rsid w:val="006C44D8"/>
    <w:rsid w:val="006C4555"/>
    <w:rsid w:val="006C59C8"/>
    <w:rsid w:val="006C6B57"/>
    <w:rsid w:val="006C6ED0"/>
    <w:rsid w:val="006D42CE"/>
    <w:rsid w:val="006D7C90"/>
    <w:rsid w:val="006E0F6B"/>
    <w:rsid w:val="006E162B"/>
    <w:rsid w:val="006E2F4E"/>
    <w:rsid w:val="006E3B85"/>
    <w:rsid w:val="006E4CD9"/>
    <w:rsid w:val="006E6197"/>
    <w:rsid w:val="006E6A59"/>
    <w:rsid w:val="006E70FB"/>
    <w:rsid w:val="006E74CF"/>
    <w:rsid w:val="006F2267"/>
    <w:rsid w:val="006F22A1"/>
    <w:rsid w:val="006F6AEE"/>
    <w:rsid w:val="0070580A"/>
    <w:rsid w:val="007125AB"/>
    <w:rsid w:val="00713058"/>
    <w:rsid w:val="00713F6B"/>
    <w:rsid w:val="00714972"/>
    <w:rsid w:val="007174F6"/>
    <w:rsid w:val="00717F79"/>
    <w:rsid w:val="00730DAA"/>
    <w:rsid w:val="007325A8"/>
    <w:rsid w:val="00734785"/>
    <w:rsid w:val="00734AF4"/>
    <w:rsid w:val="007409A2"/>
    <w:rsid w:val="00741A42"/>
    <w:rsid w:val="007444A4"/>
    <w:rsid w:val="00745700"/>
    <w:rsid w:val="007459E7"/>
    <w:rsid w:val="0075283D"/>
    <w:rsid w:val="00756A16"/>
    <w:rsid w:val="00756D3D"/>
    <w:rsid w:val="007570BF"/>
    <w:rsid w:val="00760EB1"/>
    <w:rsid w:val="007613E5"/>
    <w:rsid w:val="007617F5"/>
    <w:rsid w:val="00761FB8"/>
    <w:rsid w:val="00764B8C"/>
    <w:rsid w:val="007662B9"/>
    <w:rsid w:val="007742B6"/>
    <w:rsid w:val="007803EE"/>
    <w:rsid w:val="007836AF"/>
    <w:rsid w:val="00784D35"/>
    <w:rsid w:val="00786759"/>
    <w:rsid w:val="007870AB"/>
    <w:rsid w:val="00787DB6"/>
    <w:rsid w:val="00791A34"/>
    <w:rsid w:val="00794D29"/>
    <w:rsid w:val="00796548"/>
    <w:rsid w:val="0079690E"/>
    <w:rsid w:val="007979E1"/>
    <w:rsid w:val="007A01B7"/>
    <w:rsid w:val="007A4F51"/>
    <w:rsid w:val="007A5FB8"/>
    <w:rsid w:val="007B01D7"/>
    <w:rsid w:val="007B25ED"/>
    <w:rsid w:val="007B5092"/>
    <w:rsid w:val="007B689F"/>
    <w:rsid w:val="007C7B21"/>
    <w:rsid w:val="007D057B"/>
    <w:rsid w:val="007D29A5"/>
    <w:rsid w:val="007D2BD4"/>
    <w:rsid w:val="007D4DBD"/>
    <w:rsid w:val="007D52BD"/>
    <w:rsid w:val="007D596F"/>
    <w:rsid w:val="007D604B"/>
    <w:rsid w:val="007E0F60"/>
    <w:rsid w:val="007E12BB"/>
    <w:rsid w:val="007E284F"/>
    <w:rsid w:val="007E4757"/>
    <w:rsid w:val="007F1D88"/>
    <w:rsid w:val="007F3F0C"/>
    <w:rsid w:val="007F4929"/>
    <w:rsid w:val="007F4DCB"/>
    <w:rsid w:val="007F63AE"/>
    <w:rsid w:val="007F689B"/>
    <w:rsid w:val="007F6961"/>
    <w:rsid w:val="00800B0E"/>
    <w:rsid w:val="00804399"/>
    <w:rsid w:val="0080594F"/>
    <w:rsid w:val="0080625B"/>
    <w:rsid w:val="00806B57"/>
    <w:rsid w:val="00806E89"/>
    <w:rsid w:val="008076FE"/>
    <w:rsid w:val="0081137E"/>
    <w:rsid w:val="00812080"/>
    <w:rsid w:val="0082059D"/>
    <w:rsid w:val="00826229"/>
    <w:rsid w:val="0083480A"/>
    <w:rsid w:val="00835681"/>
    <w:rsid w:val="0084023A"/>
    <w:rsid w:val="00847017"/>
    <w:rsid w:val="00852F1D"/>
    <w:rsid w:val="00853464"/>
    <w:rsid w:val="008607AE"/>
    <w:rsid w:val="00861A4B"/>
    <w:rsid w:val="00862434"/>
    <w:rsid w:val="00865D93"/>
    <w:rsid w:val="00866E69"/>
    <w:rsid w:val="00867F04"/>
    <w:rsid w:val="00870117"/>
    <w:rsid w:val="0087287D"/>
    <w:rsid w:val="00890612"/>
    <w:rsid w:val="0089407F"/>
    <w:rsid w:val="008975AE"/>
    <w:rsid w:val="008A3760"/>
    <w:rsid w:val="008A5079"/>
    <w:rsid w:val="008A5FA8"/>
    <w:rsid w:val="008A6216"/>
    <w:rsid w:val="008B025F"/>
    <w:rsid w:val="008B0F10"/>
    <w:rsid w:val="008B248A"/>
    <w:rsid w:val="008B4BDC"/>
    <w:rsid w:val="008B5BBD"/>
    <w:rsid w:val="008C14E5"/>
    <w:rsid w:val="008D1500"/>
    <w:rsid w:val="008D5AD8"/>
    <w:rsid w:val="008D7A70"/>
    <w:rsid w:val="008E24D4"/>
    <w:rsid w:val="008E6002"/>
    <w:rsid w:val="008E6C22"/>
    <w:rsid w:val="008E7EA8"/>
    <w:rsid w:val="008F0FD2"/>
    <w:rsid w:val="008F430F"/>
    <w:rsid w:val="008F5D05"/>
    <w:rsid w:val="008F72A7"/>
    <w:rsid w:val="00900076"/>
    <w:rsid w:val="0090266C"/>
    <w:rsid w:val="0091072B"/>
    <w:rsid w:val="0091386C"/>
    <w:rsid w:val="00914AA1"/>
    <w:rsid w:val="00915CCF"/>
    <w:rsid w:val="00920082"/>
    <w:rsid w:val="009219D9"/>
    <w:rsid w:val="00922591"/>
    <w:rsid w:val="009237A7"/>
    <w:rsid w:val="00925C36"/>
    <w:rsid w:val="009306C3"/>
    <w:rsid w:val="00931912"/>
    <w:rsid w:val="00932A38"/>
    <w:rsid w:val="00935526"/>
    <w:rsid w:val="0093712A"/>
    <w:rsid w:val="00951470"/>
    <w:rsid w:val="0095672C"/>
    <w:rsid w:val="009600ED"/>
    <w:rsid w:val="00960546"/>
    <w:rsid w:val="0096094D"/>
    <w:rsid w:val="00960C65"/>
    <w:rsid w:val="00961FE0"/>
    <w:rsid w:val="00963148"/>
    <w:rsid w:val="00970590"/>
    <w:rsid w:val="009744F1"/>
    <w:rsid w:val="00975208"/>
    <w:rsid w:val="00977F33"/>
    <w:rsid w:val="00980B81"/>
    <w:rsid w:val="009853B9"/>
    <w:rsid w:val="00986C05"/>
    <w:rsid w:val="00987036"/>
    <w:rsid w:val="00990F07"/>
    <w:rsid w:val="00991E4B"/>
    <w:rsid w:val="009932AC"/>
    <w:rsid w:val="00993749"/>
    <w:rsid w:val="009960BB"/>
    <w:rsid w:val="00996458"/>
    <w:rsid w:val="00996D81"/>
    <w:rsid w:val="009A0796"/>
    <w:rsid w:val="009A1895"/>
    <w:rsid w:val="009A2235"/>
    <w:rsid w:val="009A720F"/>
    <w:rsid w:val="009A73BB"/>
    <w:rsid w:val="009A7F5F"/>
    <w:rsid w:val="009B13B8"/>
    <w:rsid w:val="009B250B"/>
    <w:rsid w:val="009B30C4"/>
    <w:rsid w:val="009B68C4"/>
    <w:rsid w:val="009B6A49"/>
    <w:rsid w:val="009C4479"/>
    <w:rsid w:val="009C6665"/>
    <w:rsid w:val="009C6C00"/>
    <w:rsid w:val="009C7251"/>
    <w:rsid w:val="009D0CCC"/>
    <w:rsid w:val="009D4698"/>
    <w:rsid w:val="009D6289"/>
    <w:rsid w:val="009E0986"/>
    <w:rsid w:val="009E29B6"/>
    <w:rsid w:val="009E2FA5"/>
    <w:rsid w:val="009F0057"/>
    <w:rsid w:val="009F116B"/>
    <w:rsid w:val="009F1849"/>
    <w:rsid w:val="009F22DD"/>
    <w:rsid w:val="009F4E06"/>
    <w:rsid w:val="009F65E8"/>
    <w:rsid w:val="009F7E00"/>
    <w:rsid w:val="00A002E6"/>
    <w:rsid w:val="00A0181C"/>
    <w:rsid w:val="00A02DF9"/>
    <w:rsid w:val="00A032F3"/>
    <w:rsid w:val="00A07A6C"/>
    <w:rsid w:val="00A10D3A"/>
    <w:rsid w:val="00A16736"/>
    <w:rsid w:val="00A23467"/>
    <w:rsid w:val="00A2362B"/>
    <w:rsid w:val="00A23CCD"/>
    <w:rsid w:val="00A26F80"/>
    <w:rsid w:val="00A31BCC"/>
    <w:rsid w:val="00A33E61"/>
    <w:rsid w:val="00A33F2D"/>
    <w:rsid w:val="00A34C51"/>
    <w:rsid w:val="00A42821"/>
    <w:rsid w:val="00A43C59"/>
    <w:rsid w:val="00A472B6"/>
    <w:rsid w:val="00A51B2C"/>
    <w:rsid w:val="00A525EE"/>
    <w:rsid w:val="00A53C46"/>
    <w:rsid w:val="00A55E3F"/>
    <w:rsid w:val="00A57859"/>
    <w:rsid w:val="00A6349E"/>
    <w:rsid w:val="00A63935"/>
    <w:rsid w:val="00A64422"/>
    <w:rsid w:val="00A64D8A"/>
    <w:rsid w:val="00A65263"/>
    <w:rsid w:val="00A70A1D"/>
    <w:rsid w:val="00A7385E"/>
    <w:rsid w:val="00A742E1"/>
    <w:rsid w:val="00A74EE1"/>
    <w:rsid w:val="00A778FB"/>
    <w:rsid w:val="00A77E82"/>
    <w:rsid w:val="00A823A7"/>
    <w:rsid w:val="00A83D29"/>
    <w:rsid w:val="00A84E92"/>
    <w:rsid w:val="00A923F9"/>
    <w:rsid w:val="00A95CAF"/>
    <w:rsid w:val="00AA0E87"/>
    <w:rsid w:val="00AA0FFD"/>
    <w:rsid w:val="00AA1A19"/>
    <w:rsid w:val="00AA4451"/>
    <w:rsid w:val="00AA574B"/>
    <w:rsid w:val="00AA6DB3"/>
    <w:rsid w:val="00AB421C"/>
    <w:rsid w:val="00AB550A"/>
    <w:rsid w:val="00AB5F60"/>
    <w:rsid w:val="00AC0FDC"/>
    <w:rsid w:val="00AC24BB"/>
    <w:rsid w:val="00AC3AC8"/>
    <w:rsid w:val="00AC6DF7"/>
    <w:rsid w:val="00AD3E68"/>
    <w:rsid w:val="00AD669A"/>
    <w:rsid w:val="00AE0CC0"/>
    <w:rsid w:val="00AE31E3"/>
    <w:rsid w:val="00AE3ADB"/>
    <w:rsid w:val="00AE6192"/>
    <w:rsid w:val="00AE69FB"/>
    <w:rsid w:val="00AE760B"/>
    <w:rsid w:val="00AF0709"/>
    <w:rsid w:val="00AF2ABA"/>
    <w:rsid w:val="00AF4514"/>
    <w:rsid w:val="00B04062"/>
    <w:rsid w:val="00B043A7"/>
    <w:rsid w:val="00B106C2"/>
    <w:rsid w:val="00B11085"/>
    <w:rsid w:val="00B14C92"/>
    <w:rsid w:val="00B154BC"/>
    <w:rsid w:val="00B219DB"/>
    <w:rsid w:val="00B21EBB"/>
    <w:rsid w:val="00B23A25"/>
    <w:rsid w:val="00B27D9B"/>
    <w:rsid w:val="00B27EF1"/>
    <w:rsid w:val="00B33A3B"/>
    <w:rsid w:val="00B373D1"/>
    <w:rsid w:val="00B42798"/>
    <w:rsid w:val="00B433C7"/>
    <w:rsid w:val="00B4761E"/>
    <w:rsid w:val="00B52D4E"/>
    <w:rsid w:val="00B53F1A"/>
    <w:rsid w:val="00B564EC"/>
    <w:rsid w:val="00B57B6F"/>
    <w:rsid w:val="00B625FD"/>
    <w:rsid w:val="00B63038"/>
    <w:rsid w:val="00B6396B"/>
    <w:rsid w:val="00B645DC"/>
    <w:rsid w:val="00B65E87"/>
    <w:rsid w:val="00B66158"/>
    <w:rsid w:val="00B72339"/>
    <w:rsid w:val="00B72BFD"/>
    <w:rsid w:val="00B75BB6"/>
    <w:rsid w:val="00B778A9"/>
    <w:rsid w:val="00B77A51"/>
    <w:rsid w:val="00B80AFB"/>
    <w:rsid w:val="00B92905"/>
    <w:rsid w:val="00B93D9B"/>
    <w:rsid w:val="00B95670"/>
    <w:rsid w:val="00B96C12"/>
    <w:rsid w:val="00BA0706"/>
    <w:rsid w:val="00BA0B99"/>
    <w:rsid w:val="00BA49EB"/>
    <w:rsid w:val="00BA54F6"/>
    <w:rsid w:val="00BB164C"/>
    <w:rsid w:val="00BB1C0B"/>
    <w:rsid w:val="00BB67B7"/>
    <w:rsid w:val="00BC17EC"/>
    <w:rsid w:val="00BC3192"/>
    <w:rsid w:val="00BC766D"/>
    <w:rsid w:val="00BD0211"/>
    <w:rsid w:val="00BD38C8"/>
    <w:rsid w:val="00BD44C4"/>
    <w:rsid w:val="00BD51EC"/>
    <w:rsid w:val="00BD59F4"/>
    <w:rsid w:val="00BD6E35"/>
    <w:rsid w:val="00BE183E"/>
    <w:rsid w:val="00BE38E3"/>
    <w:rsid w:val="00BE4A1F"/>
    <w:rsid w:val="00BE7529"/>
    <w:rsid w:val="00BF13BD"/>
    <w:rsid w:val="00BF618C"/>
    <w:rsid w:val="00BF6194"/>
    <w:rsid w:val="00BF6C41"/>
    <w:rsid w:val="00C01662"/>
    <w:rsid w:val="00C02558"/>
    <w:rsid w:val="00C05506"/>
    <w:rsid w:val="00C07266"/>
    <w:rsid w:val="00C104E9"/>
    <w:rsid w:val="00C110EC"/>
    <w:rsid w:val="00C15584"/>
    <w:rsid w:val="00C171E2"/>
    <w:rsid w:val="00C240B6"/>
    <w:rsid w:val="00C255BB"/>
    <w:rsid w:val="00C255EE"/>
    <w:rsid w:val="00C2603C"/>
    <w:rsid w:val="00C260E3"/>
    <w:rsid w:val="00C26DB5"/>
    <w:rsid w:val="00C272B8"/>
    <w:rsid w:val="00C33D5B"/>
    <w:rsid w:val="00C34ED4"/>
    <w:rsid w:val="00C4082C"/>
    <w:rsid w:val="00C40AEA"/>
    <w:rsid w:val="00C44972"/>
    <w:rsid w:val="00C44B53"/>
    <w:rsid w:val="00C45808"/>
    <w:rsid w:val="00C45AA7"/>
    <w:rsid w:val="00C55248"/>
    <w:rsid w:val="00C56105"/>
    <w:rsid w:val="00C56863"/>
    <w:rsid w:val="00C6008A"/>
    <w:rsid w:val="00C6385F"/>
    <w:rsid w:val="00C648DC"/>
    <w:rsid w:val="00C64E31"/>
    <w:rsid w:val="00C65546"/>
    <w:rsid w:val="00C66F4A"/>
    <w:rsid w:val="00C67DA1"/>
    <w:rsid w:val="00C711F1"/>
    <w:rsid w:val="00C73C05"/>
    <w:rsid w:val="00C73C2B"/>
    <w:rsid w:val="00C75C6D"/>
    <w:rsid w:val="00C75F72"/>
    <w:rsid w:val="00C76512"/>
    <w:rsid w:val="00C77FDE"/>
    <w:rsid w:val="00C82D9B"/>
    <w:rsid w:val="00C83BD1"/>
    <w:rsid w:val="00C85F56"/>
    <w:rsid w:val="00C911AA"/>
    <w:rsid w:val="00C92461"/>
    <w:rsid w:val="00C957BC"/>
    <w:rsid w:val="00CA0358"/>
    <w:rsid w:val="00CA50ED"/>
    <w:rsid w:val="00CA7074"/>
    <w:rsid w:val="00CB696C"/>
    <w:rsid w:val="00CC00C6"/>
    <w:rsid w:val="00CC051B"/>
    <w:rsid w:val="00CC07B5"/>
    <w:rsid w:val="00CC0C62"/>
    <w:rsid w:val="00CC189E"/>
    <w:rsid w:val="00CC238A"/>
    <w:rsid w:val="00CC26E5"/>
    <w:rsid w:val="00CC52F8"/>
    <w:rsid w:val="00CC7984"/>
    <w:rsid w:val="00CD2120"/>
    <w:rsid w:val="00CD577A"/>
    <w:rsid w:val="00CE1192"/>
    <w:rsid w:val="00CE1DEB"/>
    <w:rsid w:val="00CE3225"/>
    <w:rsid w:val="00CF1BCF"/>
    <w:rsid w:val="00D03986"/>
    <w:rsid w:val="00D0664A"/>
    <w:rsid w:val="00D07D78"/>
    <w:rsid w:val="00D07DE7"/>
    <w:rsid w:val="00D112B0"/>
    <w:rsid w:val="00D152AD"/>
    <w:rsid w:val="00D15AA8"/>
    <w:rsid w:val="00D22071"/>
    <w:rsid w:val="00D225DE"/>
    <w:rsid w:val="00D2669B"/>
    <w:rsid w:val="00D27893"/>
    <w:rsid w:val="00D33B61"/>
    <w:rsid w:val="00D34045"/>
    <w:rsid w:val="00D454BC"/>
    <w:rsid w:val="00D46DCA"/>
    <w:rsid w:val="00D47708"/>
    <w:rsid w:val="00D47FDE"/>
    <w:rsid w:val="00D52820"/>
    <w:rsid w:val="00D5377D"/>
    <w:rsid w:val="00D55BB0"/>
    <w:rsid w:val="00D56AA0"/>
    <w:rsid w:val="00D60DB6"/>
    <w:rsid w:val="00D61F12"/>
    <w:rsid w:val="00D6795B"/>
    <w:rsid w:val="00D8171F"/>
    <w:rsid w:val="00D82503"/>
    <w:rsid w:val="00D82638"/>
    <w:rsid w:val="00D834E4"/>
    <w:rsid w:val="00D85A93"/>
    <w:rsid w:val="00D87CB0"/>
    <w:rsid w:val="00D910B9"/>
    <w:rsid w:val="00D9400B"/>
    <w:rsid w:val="00D96F3F"/>
    <w:rsid w:val="00D97C23"/>
    <w:rsid w:val="00DA26ED"/>
    <w:rsid w:val="00DA4C55"/>
    <w:rsid w:val="00DA6CB0"/>
    <w:rsid w:val="00DB044A"/>
    <w:rsid w:val="00DB3AEB"/>
    <w:rsid w:val="00DB4BE5"/>
    <w:rsid w:val="00DB4E9F"/>
    <w:rsid w:val="00DB7132"/>
    <w:rsid w:val="00DC1BBD"/>
    <w:rsid w:val="00DC3D38"/>
    <w:rsid w:val="00DC56F5"/>
    <w:rsid w:val="00DC6601"/>
    <w:rsid w:val="00DC7DD4"/>
    <w:rsid w:val="00DD1DEA"/>
    <w:rsid w:val="00DD53F2"/>
    <w:rsid w:val="00DE5503"/>
    <w:rsid w:val="00DE57A6"/>
    <w:rsid w:val="00DF157A"/>
    <w:rsid w:val="00DF230A"/>
    <w:rsid w:val="00DF55BD"/>
    <w:rsid w:val="00DF65EA"/>
    <w:rsid w:val="00E050E6"/>
    <w:rsid w:val="00E070CA"/>
    <w:rsid w:val="00E10524"/>
    <w:rsid w:val="00E12AEE"/>
    <w:rsid w:val="00E20A93"/>
    <w:rsid w:val="00E214C9"/>
    <w:rsid w:val="00E26DE9"/>
    <w:rsid w:val="00E27DC5"/>
    <w:rsid w:val="00E305E1"/>
    <w:rsid w:val="00E370C1"/>
    <w:rsid w:val="00E4105A"/>
    <w:rsid w:val="00E41A01"/>
    <w:rsid w:val="00E5337C"/>
    <w:rsid w:val="00E56113"/>
    <w:rsid w:val="00E60BF6"/>
    <w:rsid w:val="00E709A7"/>
    <w:rsid w:val="00E7291C"/>
    <w:rsid w:val="00E72C61"/>
    <w:rsid w:val="00E730F1"/>
    <w:rsid w:val="00E73E28"/>
    <w:rsid w:val="00E77E94"/>
    <w:rsid w:val="00E81A0C"/>
    <w:rsid w:val="00E83490"/>
    <w:rsid w:val="00EA3F2A"/>
    <w:rsid w:val="00EB0B74"/>
    <w:rsid w:val="00EB1C74"/>
    <w:rsid w:val="00EB1CDF"/>
    <w:rsid w:val="00EB283A"/>
    <w:rsid w:val="00EB7D6D"/>
    <w:rsid w:val="00EC42DA"/>
    <w:rsid w:val="00EC444A"/>
    <w:rsid w:val="00EF69F9"/>
    <w:rsid w:val="00F076DD"/>
    <w:rsid w:val="00F11805"/>
    <w:rsid w:val="00F13CE2"/>
    <w:rsid w:val="00F13FAF"/>
    <w:rsid w:val="00F14C9E"/>
    <w:rsid w:val="00F16BB4"/>
    <w:rsid w:val="00F21489"/>
    <w:rsid w:val="00F21D9E"/>
    <w:rsid w:val="00F2478B"/>
    <w:rsid w:val="00F35D9E"/>
    <w:rsid w:val="00F35F42"/>
    <w:rsid w:val="00F4196E"/>
    <w:rsid w:val="00F43974"/>
    <w:rsid w:val="00F44535"/>
    <w:rsid w:val="00F4468D"/>
    <w:rsid w:val="00F44D3C"/>
    <w:rsid w:val="00F47CBA"/>
    <w:rsid w:val="00F50C5A"/>
    <w:rsid w:val="00F51C68"/>
    <w:rsid w:val="00F53C06"/>
    <w:rsid w:val="00F54E0C"/>
    <w:rsid w:val="00F56CBA"/>
    <w:rsid w:val="00F619DC"/>
    <w:rsid w:val="00F61A56"/>
    <w:rsid w:val="00F6203A"/>
    <w:rsid w:val="00F63F49"/>
    <w:rsid w:val="00F64785"/>
    <w:rsid w:val="00F6540A"/>
    <w:rsid w:val="00F657D5"/>
    <w:rsid w:val="00F71ABA"/>
    <w:rsid w:val="00F735A1"/>
    <w:rsid w:val="00F73A66"/>
    <w:rsid w:val="00F75140"/>
    <w:rsid w:val="00F83512"/>
    <w:rsid w:val="00F84FA6"/>
    <w:rsid w:val="00F95D5F"/>
    <w:rsid w:val="00F975FC"/>
    <w:rsid w:val="00FA5EDC"/>
    <w:rsid w:val="00FA60F6"/>
    <w:rsid w:val="00FB096C"/>
    <w:rsid w:val="00FB570F"/>
    <w:rsid w:val="00FB5B25"/>
    <w:rsid w:val="00FB6C08"/>
    <w:rsid w:val="00FC4556"/>
    <w:rsid w:val="00FC5F72"/>
    <w:rsid w:val="00FC7D09"/>
    <w:rsid w:val="00FD3025"/>
    <w:rsid w:val="00FD4109"/>
    <w:rsid w:val="00FD4A49"/>
    <w:rsid w:val="00FD6A22"/>
    <w:rsid w:val="00FD6DA2"/>
    <w:rsid w:val="00FE29BC"/>
    <w:rsid w:val="00FE51E8"/>
    <w:rsid w:val="00FF275F"/>
    <w:rsid w:val="00FF2CF5"/>
    <w:rsid w:val="00FF53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A8FE2"/>
  <w15:docId w15:val="{5E5E4B29-2A0E-4B52-8590-16D8BAAA0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C92"/>
    <w:pPr>
      <w:spacing w:after="200" w:line="276" w:lineRule="auto"/>
    </w:pPr>
    <w:rPr>
      <w:noProof/>
      <w:sz w:val="22"/>
      <w:szCs w:val="22"/>
      <w:lang w:val="es-ES" w:eastAsia="en-US"/>
    </w:rPr>
  </w:style>
  <w:style w:type="paragraph" w:styleId="Heading4">
    <w:name w:val="heading 4"/>
    <w:basedOn w:val="Normal"/>
    <w:next w:val="Normal"/>
    <w:link w:val="Heading4Char"/>
    <w:uiPriority w:val="9"/>
    <w:semiHidden/>
    <w:unhideWhenUsed/>
    <w:qFormat/>
    <w:rsid w:val="00FD410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0853E0"/>
    <w:pPr>
      <w:numPr>
        <w:ilvl w:val="8"/>
        <w:numId w:val="6"/>
      </w:numPr>
      <w:spacing w:before="240" w:after="60" w:line="240" w:lineRule="auto"/>
      <w:outlineLvl w:val="8"/>
    </w:pPr>
    <w:rPr>
      <w:rFonts w:ascii="Arial" w:eastAsia="Times New Roman" w:hAnsi="Arial"/>
      <w:noProof w:val="0"/>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434"/>
    <w:pPr>
      <w:ind w:left="720"/>
      <w:contextualSpacing/>
    </w:pPr>
  </w:style>
  <w:style w:type="paragraph" w:customStyle="1" w:styleId="Chapter">
    <w:name w:val="Chapter"/>
    <w:basedOn w:val="Normal"/>
    <w:next w:val="Normal"/>
    <w:link w:val="ChapterChar"/>
    <w:rsid w:val="008E7EA8"/>
    <w:pPr>
      <w:tabs>
        <w:tab w:val="left" w:pos="1440"/>
      </w:tabs>
      <w:spacing w:after="240" w:line="240" w:lineRule="auto"/>
      <w:jc w:val="center"/>
    </w:pPr>
    <w:rPr>
      <w:rFonts w:ascii="Times New Roman" w:eastAsia="Times New Roman" w:hAnsi="Times New Roman"/>
      <w:b/>
      <w:smallCaps/>
      <w:noProof w:val="0"/>
      <w:sz w:val="24"/>
      <w:szCs w:val="20"/>
    </w:rPr>
  </w:style>
  <w:style w:type="paragraph" w:customStyle="1" w:styleId="Paragraph">
    <w:name w:val="Paragraph"/>
    <w:aliases w:val="paragraph,p,PARAGRAPH,PG,pa,at"/>
    <w:basedOn w:val="BodyTextIndent"/>
    <w:link w:val="ParagraphChar"/>
    <w:qFormat/>
    <w:rsid w:val="008E7EA8"/>
    <w:pPr>
      <w:numPr>
        <w:ilvl w:val="1"/>
        <w:numId w:val="3"/>
      </w:numPr>
      <w:spacing w:before="120" w:line="240" w:lineRule="auto"/>
      <w:jc w:val="both"/>
      <w:outlineLvl w:val="1"/>
    </w:pPr>
    <w:rPr>
      <w:rFonts w:ascii="Times New Roman" w:eastAsia="Times New Roman" w:hAnsi="Times New Roman"/>
      <w:noProof w:val="0"/>
      <w:sz w:val="24"/>
      <w:szCs w:val="20"/>
    </w:rPr>
  </w:style>
  <w:style w:type="paragraph" w:customStyle="1" w:styleId="subpar">
    <w:name w:val="subpar"/>
    <w:basedOn w:val="BodyTextIndent3"/>
    <w:uiPriority w:val="99"/>
    <w:rsid w:val="008E7EA8"/>
    <w:pPr>
      <w:numPr>
        <w:ilvl w:val="2"/>
        <w:numId w:val="3"/>
      </w:numPr>
      <w:tabs>
        <w:tab w:val="clear" w:pos="1152"/>
      </w:tabs>
      <w:ind w:left="360" w:firstLine="0"/>
    </w:pPr>
  </w:style>
  <w:style w:type="paragraph" w:customStyle="1" w:styleId="SubSubPar">
    <w:name w:val="SubSubPar"/>
    <w:basedOn w:val="subpar"/>
    <w:rsid w:val="008E7EA8"/>
  </w:style>
  <w:style w:type="character" w:customStyle="1" w:styleId="ChapterChar">
    <w:name w:val="Chapter Char"/>
    <w:link w:val="Chapter"/>
    <w:locked/>
    <w:rsid w:val="008E7EA8"/>
    <w:rPr>
      <w:rFonts w:ascii="Times New Roman" w:eastAsia="Times New Roman" w:hAnsi="Times New Roman" w:cs="Times New Roman"/>
      <w:b/>
      <w:smallCaps/>
      <w:sz w:val="24"/>
      <w:szCs w:val="20"/>
      <w:lang w:val="es-ES"/>
    </w:rPr>
  </w:style>
  <w:style w:type="paragraph" w:styleId="BodyTextIndent">
    <w:name w:val="Body Text Indent"/>
    <w:basedOn w:val="Normal"/>
    <w:link w:val="BodyTextIndentChar"/>
    <w:uiPriority w:val="99"/>
    <w:semiHidden/>
    <w:unhideWhenUsed/>
    <w:rsid w:val="008E7EA8"/>
    <w:pPr>
      <w:spacing w:after="120"/>
      <w:ind w:left="360"/>
    </w:pPr>
  </w:style>
  <w:style w:type="character" w:customStyle="1" w:styleId="BodyTextIndentChar">
    <w:name w:val="Body Text Indent Char"/>
    <w:basedOn w:val="DefaultParagraphFont"/>
    <w:link w:val="BodyTextIndent"/>
    <w:uiPriority w:val="99"/>
    <w:semiHidden/>
    <w:rsid w:val="008E7EA8"/>
  </w:style>
  <w:style w:type="paragraph" w:styleId="BodyTextIndent3">
    <w:name w:val="Body Text Indent 3"/>
    <w:basedOn w:val="Normal"/>
    <w:link w:val="BodyTextIndent3Char"/>
    <w:uiPriority w:val="99"/>
    <w:semiHidden/>
    <w:unhideWhenUsed/>
    <w:rsid w:val="008E7EA8"/>
    <w:pPr>
      <w:spacing w:after="120"/>
      <w:ind w:left="360"/>
    </w:pPr>
    <w:rPr>
      <w:noProof w:val="0"/>
      <w:sz w:val="16"/>
      <w:szCs w:val="16"/>
    </w:rPr>
  </w:style>
  <w:style w:type="character" w:customStyle="1" w:styleId="BodyTextIndent3Char">
    <w:name w:val="Body Text Indent 3 Char"/>
    <w:link w:val="BodyTextIndent3"/>
    <w:uiPriority w:val="99"/>
    <w:semiHidden/>
    <w:rsid w:val="008E7EA8"/>
    <w:rPr>
      <w:sz w:val="16"/>
      <w:szCs w:val="16"/>
    </w:rPr>
  </w:style>
  <w:style w:type="paragraph" w:styleId="EndnoteText">
    <w:name w:val="endnote text"/>
    <w:basedOn w:val="Normal"/>
    <w:link w:val="EndnoteTextChar"/>
    <w:uiPriority w:val="99"/>
    <w:semiHidden/>
    <w:unhideWhenUsed/>
    <w:rsid w:val="00D60DB6"/>
    <w:pPr>
      <w:spacing w:after="0" w:line="240" w:lineRule="auto"/>
    </w:pPr>
    <w:rPr>
      <w:noProof w:val="0"/>
      <w:sz w:val="20"/>
      <w:szCs w:val="20"/>
    </w:rPr>
  </w:style>
  <w:style w:type="character" w:customStyle="1" w:styleId="EndnoteTextChar">
    <w:name w:val="Endnote Text Char"/>
    <w:link w:val="EndnoteText"/>
    <w:uiPriority w:val="99"/>
    <w:semiHidden/>
    <w:rsid w:val="00D60DB6"/>
    <w:rPr>
      <w:sz w:val="20"/>
      <w:szCs w:val="20"/>
    </w:rPr>
  </w:style>
  <w:style w:type="character" w:styleId="EndnoteReference">
    <w:name w:val="endnote reference"/>
    <w:uiPriority w:val="99"/>
    <w:semiHidden/>
    <w:unhideWhenUsed/>
    <w:rsid w:val="00D60DB6"/>
    <w:rPr>
      <w:vertAlign w:val="superscript"/>
    </w:rPr>
  </w:style>
  <w:style w:type="paragraph" w:styleId="FootnoteText">
    <w:name w:val="footnote text"/>
    <w:aliases w:val="fn,Texto de rodapé,nota_rodapé,nota de rodapé,FOOTNOTES,single space,footnote text,Footnote Text Char Char,footnote,ADB,foottextfra,F,Texto nota pie Car Car,Texto nota pie IIRSA,Style 25,Texto nota piepddes Car Car,f"/>
    <w:basedOn w:val="Normal"/>
    <w:link w:val="FootnoteTextChar"/>
    <w:unhideWhenUsed/>
    <w:qFormat/>
    <w:rsid w:val="00D60DB6"/>
    <w:pPr>
      <w:spacing w:after="0" w:line="240" w:lineRule="auto"/>
    </w:pPr>
    <w:rPr>
      <w:noProof w:val="0"/>
      <w:sz w:val="20"/>
      <w:szCs w:val="20"/>
    </w:rPr>
  </w:style>
  <w:style w:type="character" w:customStyle="1" w:styleId="FootnoteTextChar">
    <w:name w:val="Footnote Text Char"/>
    <w:aliases w:val="fn Char,Texto de rodapé Char,nota_rodapé Char,nota de rodapé Char,FOOTNOTES Char,single space Char,footnote text Char,Footnote Text Char Char Char,footnote Char,ADB Char,foottextfra Char,F Char,Texto nota pie Car Car Char,f Char"/>
    <w:link w:val="FootnoteText"/>
    <w:uiPriority w:val="99"/>
    <w:rsid w:val="00D60DB6"/>
    <w:rPr>
      <w:sz w:val="20"/>
      <w:szCs w:val="20"/>
    </w:rPr>
  </w:style>
  <w:style w:type="character" w:styleId="FootnoteReference">
    <w:name w:val="footnote reference"/>
    <w:aliases w:val="Footnotes refss,ftref,Ref. de nota al pie.,Ref,de nota al pie,referencia nota al pie,16 Point,Superscript 6 Point,(Ref. de nota al pie),Texto de nota al pie,Fußnotenzeichen DISS,FC,Style 24,Footnote Reference1,Referência de rodapé"/>
    <w:unhideWhenUsed/>
    <w:qFormat/>
    <w:rsid w:val="00D60DB6"/>
    <w:rPr>
      <w:vertAlign w:val="superscript"/>
    </w:rPr>
  </w:style>
  <w:style w:type="paragraph" w:styleId="Caption">
    <w:name w:val="caption"/>
    <w:basedOn w:val="Normal"/>
    <w:next w:val="Normal"/>
    <w:qFormat/>
    <w:rsid w:val="00F44535"/>
    <w:pPr>
      <w:spacing w:after="0" w:line="240" w:lineRule="auto"/>
    </w:pPr>
    <w:rPr>
      <w:rFonts w:ascii="Times New Roman" w:eastAsia="Times New Roman" w:hAnsi="Times New Roman"/>
      <w:b/>
      <w:bCs/>
      <w:sz w:val="20"/>
      <w:szCs w:val="20"/>
      <w:lang w:eastAsia="es-ES"/>
    </w:rPr>
  </w:style>
  <w:style w:type="character" w:customStyle="1" w:styleId="Heading9Char">
    <w:name w:val="Heading 9 Char"/>
    <w:link w:val="Heading9"/>
    <w:rsid w:val="000853E0"/>
    <w:rPr>
      <w:rFonts w:ascii="Arial" w:eastAsia="Times New Roman" w:hAnsi="Arial" w:cs="Arial"/>
      <w:lang w:val="es-ES" w:eastAsia="es-ES"/>
    </w:rPr>
  </w:style>
  <w:style w:type="character" w:customStyle="1" w:styleId="TituloA">
    <w:name w:val="Titulo A"/>
    <w:rsid w:val="000853E0"/>
    <w:rPr>
      <w:rFonts w:ascii="Times New Roman" w:hAnsi="Times New Roman"/>
      <w:b/>
      <w:sz w:val="28"/>
      <w:szCs w:val="22"/>
    </w:rPr>
  </w:style>
  <w:style w:type="paragraph" w:styleId="Header">
    <w:name w:val="header"/>
    <w:basedOn w:val="Normal"/>
    <w:link w:val="HeaderChar"/>
    <w:uiPriority w:val="99"/>
    <w:unhideWhenUsed/>
    <w:rsid w:val="009E2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FA5"/>
  </w:style>
  <w:style w:type="paragraph" w:styleId="Footer">
    <w:name w:val="footer"/>
    <w:basedOn w:val="Normal"/>
    <w:link w:val="FooterChar"/>
    <w:uiPriority w:val="99"/>
    <w:unhideWhenUsed/>
    <w:rsid w:val="009E2F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lang w:val="en-US" w:eastAsia="en-US"/>
    </w:rPr>
  </w:style>
  <w:style w:type="table" w:styleId="LightList-Accent2">
    <w:name w:val="Light List Accent 2"/>
    <w:basedOn w:val="TableNormal"/>
    <w:uiPriority w:val="61"/>
    <w:rsid w:val="0075283D"/>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5283D"/>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sid w:val="0075283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59"/>
    <w:rsid w:val="00752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eNormal"/>
    <w:uiPriority w:val="61"/>
    <w:rsid w:val="0075283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sid w:val="007D52BD"/>
    <w:rPr>
      <w:smallCaps/>
      <w:color w:val="C0504D"/>
      <w:u w:val="single"/>
    </w:rPr>
  </w:style>
  <w:style w:type="paragraph" w:styleId="BalloonText">
    <w:name w:val="Balloon Text"/>
    <w:basedOn w:val="Normal"/>
    <w:link w:val="BalloonTextChar"/>
    <w:uiPriority w:val="99"/>
    <w:semiHidden/>
    <w:unhideWhenUsed/>
    <w:rsid w:val="00D47708"/>
    <w:pPr>
      <w:spacing w:after="0" w:line="240" w:lineRule="auto"/>
    </w:pPr>
    <w:rPr>
      <w:rFonts w:ascii="Tahoma" w:hAnsi="Tahoma"/>
      <w:noProof w:val="0"/>
      <w:sz w:val="16"/>
      <w:szCs w:val="16"/>
    </w:rPr>
  </w:style>
  <w:style w:type="character" w:customStyle="1" w:styleId="BalloonTextChar">
    <w:name w:val="Balloon Text Char"/>
    <w:link w:val="BalloonText"/>
    <w:uiPriority w:val="99"/>
    <w:semiHidden/>
    <w:rsid w:val="00D47708"/>
    <w:rPr>
      <w:rFonts w:ascii="Tahoma" w:hAnsi="Tahoma" w:cs="Tahoma"/>
      <w:sz w:val="16"/>
      <w:szCs w:val="16"/>
    </w:rPr>
  </w:style>
  <w:style w:type="character" w:customStyle="1" w:styleId="ParagraphChar">
    <w:name w:val="Paragraph Char"/>
    <w:aliases w:val="p Char,PARAGRAPH Char,PG Char,pa Char,at Char,paragraph Char"/>
    <w:link w:val="Paragraph"/>
    <w:locked/>
    <w:rsid w:val="006B5333"/>
    <w:rPr>
      <w:rFonts w:ascii="Times New Roman" w:eastAsia="Times New Roman" w:hAnsi="Times New Roman" w:cs="Times New Roman"/>
      <w:sz w:val="24"/>
      <w:szCs w:val="20"/>
      <w:lang w:val="es-ES"/>
    </w:rPr>
  </w:style>
  <w:style w:type="paragraph" w:styleId="z-TopofForm">
    <w:name w:val="HTML Top of Form"/>
    <w:basedOn w:val="Normal"/>
    <w:next w:val="Normal"/>
    <w:link w:val="z-TopofFormChar"/>
    <w:hidden/>
    <w:uiPriority w:val="99"/>
    <w:semiHidden/>
    <w:unhideWhenUsed/>
    <w:rsid w:val="00391EB5"/>
    <w:pPr>
      <w:pBdr>
        <w:bottom w:val="single" w:sz="6" w:space="1" w:color="auto"/>
      </w:pBdr>
      <w:spacing w:after="0" w:line="240" w:lineRule="auto"/>
      <w:jc w:val="center"/>
    </w:pPr>
    <w:rPr>
      <w:rFonts w:ascii="Arial" w:eastAsia="Times New Roman" w:hAnsi="Arial"/>
      <w:noProof w:val="0"/>
      <w:vanish/>
      <w:sz w:val="16"/>
      <w:szCs w:val="16"/>
    </w:rPr>
  </w:style>
  <w:style w:type="character" w:customStyle="1" w:styleId="z-TopofFormChar">
    <w:name w:val="z-Top of Form Char"/>
    <w:link w:val="z-TopofForm"/>
    <w:uiPriority w:val="99"/>
    <w:semiHidden/>
    <w:rsid w:val="00391E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spacing w:after="0" w:line="240" w:lineRule="auto"/>
      <w:jc w:val="center"/>
    </w:pPr>
    <w:rPr>
      <w:rFonts w:ascii="Arial" w:eastAsia="Times New Roman" w:hAnsi="Arial"/>
      <w:noProof w:val="0"/>
      <w:vanish/>
      <w:sz w:val="16"/>
      <w:szCs w:val="16"/>
    </w:rPr>
  </w:style>
  <w:style w:type="character" w:customStyle="1" w:styleId="z-BottomofFormChar">
    <w:name w:val="z-Bottom of Form Char"/>
    <w:link w:val="z-BottomofForm"/>
    <w:uiPriority w:val="99"/>
    <w:rsid w:val="00391EB5"/>
    <w:rPr>
      <w:rFonts w:ascii="Arial" w:eastAsia="Times New Roman" w:hAnsi="Arial" w:cs="Arial"/>
      <w:vanish/>
      <w:sz w:val="16"/>
      <w:szCs w:val="16"/>
    </w:rPr>
  </w:style>
  <w:style w:type="paragraph" w:styleId="NoSpacing">
    <w:name w:val="No Spacing"/>
    <w:link w:val="NoSpacingChar"/>
    <w:uiPriority w:val="1"/>
    <w:qFormat/>
    <w:rsid w:val="00114300"/>
    <w:rPr>
      <w:rFonts w:eastAsia="Times New Roman"/>
      <w:sz w:val="22"/>
      <w:szCs w:val="22"/>
      <w:lang w:eastAsia="en-US"/>
    </w:rPr>
  </w:style>
  <w:style w:type="character" w:customStyle="1" w:styleId="NoSpacingChar">
    <w:name w:val="No Spacing Char"/>
    <w:link w:val="NoSpacing"/>
    <w:uiPriority w:val="1"/>
    <w:rsid w:val="00114300"/>
    <w:rPr>
      <w:rFonts w:eastAsia="Times New Roman"/>
      <w:sz w:val="22"/>
      <w:szCs w:val="22"/>
      <w:lang w:val="pt-BR" w:eastAsia="en-US" w:bidi="ar-SA"/>
    </w:rPr>
  </w:style>
  <w:style w:type="character" w:styleId="CommentReference">
    <w:name w:val="annotation reference"/>
    <w:semiHidden/>
    <w:unhideWhenUsed/>
    <w:rsid w:val="00BC3192"/>
    <w:rPr>
      <w:sz w:val="16"/>
      <w:szCs w:val="16"/>
    </w:rPr>
  </w:style>
  <w:style w:type="paragraph" w:styleId="CommentText">
    <w:name w:val="annotation text"/>
    <w:basedOn w:val="Normal"/>
    <w:link w:val="CommentTextChar"/>
    <w:semiHidden/>
    <w:unhideWhenUsed/>
    <w:rsid w:val="00BC3192"/>
    <w:rPr>
      <w:sz w:val="20"/>
      <w:szCs w:val="20"/>
    </w:rPr>
  </w:style>
  <w:style w:type="character" w:customStyle="1" w:styleId="CommentTextChar">
    <w:name w:val="Comment Text Char"/>
    <w:link w:val="CommentText"/>
    <w:semiHidden/>
    <w:rsid w:val="00BC3192"/>
    <w:rPr>
      <w:noProof/>
      <w:lang w:val="es-ES"/>
    </w:rPr>
  </w:style>
  <w:style w:type="paragraph" w:styleId="CommentSubject">
    <w:name w:val="annotation subject"/>
    <w:basedOn w:val="CommentText"/>
    <w:next w:val="CommentText"/>
    <w:link w:val="CommentSubjectChar"/>
    <w:uiPriority w:val="99"/>
    <w:semiHidden/>
    <w:unhideWhenUsed/>
    <w:rsid w:val="00BC3192"/>
    <w:rPr>
      <w:b/>
      <w:bCs/>
    </w:rPr>
  </w:style>
  <w:style w:type="character" w:customStyle="1" w:styleId="CommentSubjectChar">
    <w:name w:val="Comment Subject Char"/>
    <w:link w:val="CommentSubject"/>
    <w:uiPriority w:val="99"/>
    <w:semiHidden/>
    <w:rsid w:val="00BC3192"/>
    <w:rPr>
      <w:b/>
      <w:bCs/>
      <w:noProof/>
      <w:lang w:val="es-ES"/>
    </w:rPr>
  </w:style>
  <w:style w:type="paragraph" w:styleId="Revision">
    <w:name w:val="Revision"/>
    <w:hidden/>
    <w:uiPriority w:val="99"/>
    <w:semiHidden/>
    <w:rsid w:val="0067740C"/>
    <w:rPr>
      <w:noProof/>
      <w:sz w:val="22"/>
      <w:szCs w:val="22"/>
      <w:lang w:val="es-ES" w:eastAsia="en-US"/>
    </w:rPr>
  </w:style>
  <w:style w:type="character" w:customStyle="1" w:styleId="Heading4Char">
    <w:name w:val="Heading 4 Char"/>
    <w:basedOn w:val="DefaultParagraphFont"/>
    <w:link w:val="Heading4"/>
    <w:uiPriority w:val="9"/>
    <w:semiHidden/>
    <w:rsid w:val="00FD4109"/>
    <w:rPr>
      <w:rFonts w:asciiTheme="majorHAnsi" w:eastAsiaTheme="majorEastAsia" w:hAnsiTheme="majorHAnsi" w:cstheme="majorBidi"/>
      <w:b/>
      <w:bCs/>
      <w:i/>
      <w:iCs/>
      <w:noProof/>
      <w:color w:val="4F81BD" w:themeColor="accent1"/>
      <w:sz w:val="22"/>
      <w:szCs w:val="22"/>
      <w:lang w:val="es-ES" w:eastAsia="en-US"/>
    </w:rPr>
  </w:style>
  <w:style w:type="paragraph" w:styleId="NormalWeb">
    <w:name w:val="Normal (Web)"/>
    <w:basedOn w:val="Normal"/>
    <w:uiPriority w:val="99"/>
    <w:semiHidden/>
    <w:unhideWhenUsed/>
    <w:rsid w:val="001F71A7"/>
    <w:pPr>
      <w:spacing w:before="100" w:beforeAutospacing="1" w:after="100" w:afterAutospacing="1" w:line="240" w:lineRule="auto"/>
    </w:pPr>
    <w:rPr>
      <w:rFonts w:ascii="Times New Roman" w:eastAsia="Times New Roman" w:hAnsi="Times New Roman"/>
      <w:noProof w:val="0"/>
      <w:sz w:val="24"/>
      <w:szCs w:val="24"/>
      <w:lang w:val="en-US"/>
    </w:rPr>
  </w:style>
  <w:style w:type="character" w:styleId="Emphasis">
    <w:name w:val="Emphasis"/>
    <w:basedOn w:val="DefaultParagraphFont"/>
    <w:uiPriority w:val="20"/>
    <w:qFormat/>
    <w:rsid w:val="001F71A7"/>
    <w:rPr>
      <w:i/>
      <w:iCs/>
    </w:rPr>
  </w:style>
  <w:style w:type="paragraph" w:styleId="BodyText">
    <w:name w:val="Body Text"/>
    <w:basedOn w:val="Normal"/>
    <w:link w:val="BodyTextChar"/>
    <w:uiPriority w:val="99"/>
    <w:semiHidden/>
    <w:unhideWhenUsed/>
    <w:rsid w:val="00B72339"/>
    <w:pPr>
      <w:spacing w:after="120"/>
    </w:pPr>
  </w:style>
  <w:style w:type="character" w:customStyle="1" w:styleId="BodyTextChar">
    <w:name w:val="Body Text Char"/>
    <w:basedOn w:val="DefaultParagraphFont"/>
    <w:link w:val="BodyText"/>
    <w:uiPriority w:val="99"/>
    <w:semiHidden/>
    <w:rsid w:val="00B72339"/>
    <w:rPr>
      <w:noProof/>
      <w:sz w:val="22"/>
      <w:szCs w:val="22"/>
      <w:lang w:val="es-ES" w:eastAsia="en-US"/>
    </w:rPr>
  </w:style>
  <w:style w:type="character" w:styleId="Strong">
    <w:name w:val="Strong"/>
    <w:basedOn w:val="DefaultParagraphFont"/>
    <w:uiPriority w:val="22"/>
    <w:qFormat/>
    <w:rsid w:val="00BD38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1633">
      <w:bodyDiv w:val="1"/>
      <w:marLeft w:val="0"/>
      <w:marRight w:val="0"/>
      <w:marTop w:val="0"/>
      <w:marBottom w:val="0"/>
      <w:divBdr>
        <w:top w:val="none" w:sz="0" w:space="0" w:color="auto"/>
        <w:left w:val="none" w:sz="0" w:space="0" w:color="auto"/>
        <w:bottom w:val="none" w:sz="0" w:space="0" w:color="auto"/>
        <w:right w:val="none" w:sz="0" w:space="0" w:color="auto"/>
      </w:divBdr>
    </w:div>
    <w:div w:id="40983965">
      <w:bodyDiv w:val="1"/>
      <w:marLeft w:val="0"/>
      <w:marRight w:val="0"/>
      <w:marTop w:val="0"/>
      <w:marBottom w:val="0"/>
      <w:divBdr>
        <w:top w:val="none" w:sz="0" w:space="0" w:color="auto"/>
        <w:left w:val="none" w:sz="0" w:space="0" w:color="auto"/>
        <w:bottom w:val="none" w:sz="0" w:space="0" w:color="auto"/>
        <w:right w:val="none" w:sz="0" w:space="0" w:color="auto"/>
      </w:divBdr>
    </w:div>
    <w:div w:id="49421953">
      <w:bodyDiv w:val="1"/>
      <w:marLeft w:val="0"/>
      <w:marRight w:val="0"/>
      <w:marTop w:val="0"/>
      <w:marBottom w:val="0"/>
      <w:divBdr>
        <w:top w:val="none" w:sz="0" w:space="0" w:color="auto"/>
        <w:left w:val="none" w:sz="0" w:space="0" w:color="auto"/>
        <w:bottom w:val="none" w:sz="0" w:space="0" w:color="auto"/>
        <w:right w:val="none" w:sz="0" w:space="0" w:color="auto"/>
      </w:divBdr>
    </w:div>
    <w:div w:id="59715532">
      <w:bodyDiv w:val="1"/>
      <w:marLeft w:val="0"/>
      <w:marRight w:val="0"/>
      <w:marTop w:val="0"/>
      <w:marBottom w:val="0"/>
      <w:divBdr>
        <w:top w:val="none" w:sz="0" w:space="0" w:color="auto"/>
        <w:left w:val="none" w:sz="0" w:space="0" w:color="auto"/>
        <w:bottom w:val="none" w:sz="0" w:space="0" w:color="auto"/>
        <w:right w:val="none" w:sz="0" w:space="0" w:color="auto"/>
      </w:divBdr>
    </w:div>
    <w:div w:id="62067190">
      <w:bodyDiv w:val="1"/>
      <w:marLeft w:val="0"/>
      <w:marRight w:val="0"/>
      <w:marTop w:val="0"/>
      <w:marBottom w:val="0"/>
      <w:divBdr>
        <w:top w:val="none" w:sz="0" w:space="0" w:color="auto"/>
        <w:left w:val="none" w:sz="0" w:space="0" w:color="auto"/>
        <w:bottom w:val="none" w:sz="0" w:space="0" w:color="auto"/>
        <w:right w:val="none" w:sz="0" w:space="0" w:color="auto"/>
      </w:divBdr>
    </w:div>
    <w:div w:id="99572726">
      <w:bodyDiv w:val="1"/>
      <w:marLeft w:val="0"/>
      <w:marRight w:val="0"/>
      <w:marTop w:val="0"/>
      <w:marBottom w:val="0"/>
      <w:divBdr>
        <w:top w:val="none" w:sz="0" w:space="0" w:color="auto"/>
        <w:left w:val="none" w:sz="0" w:space="0" w:color="auto"/>
        <w:bottom w:val="none" w:sz="0" w:space="0" w:color="auto"/>
        <w:right w:val="none" w:sz="0" w:space="0" w:color="auto"/>
      </w:divBdr>
    </w:div>
    <w:div w:id="171536263">
      <w:bodyDiv w:val="1"/>
      <w:marLeft w:val="0"/>
      <w:marRight w:val="0"/>
      <w:marTop w:val="0"/>
      <w:marBottom w:val="0"/>
      <w:divBdr>
        <w:top w:val="none" w:sz="0" w:space="0" w:color="auto"/>
        <w:left w:val="none" w:sz="0" w:space="0" w:color="auto"/>
        <w:bottom w:val="none" w:sz="0" w:space="0" w:color="auto"/>
        <w:right w:val="none" w:sz="0" w:space="0" w:color="auto"/>
      </w:divBdr>
    </w:div>
    <w:div w:id="211818771">
      <w:bodyDiv w:val="1"/>
      <w:marLeft w:val="0"/>
      <w:marRight w:val="0"/>
      <w:marTop w:val="0"/>
      <w:marBottom w:val="0"/>
      <w:divBdr>
        <w:top w:val="none" w:sz="0" w:space="0" w:color="auto"/>
        <w:left w:val="none" w:sz="0" w:space="0" w:color="auto"/>
        <w:bottom w:val="none" w:sz="0" w:space="0" w:color="auto"/>
        <w:right w:val="none" w:sz="0" w:space="0" w:color="auto"/>
      </w:divBdr>
    </w:div>
    <w:div w:id="314143544">
      <w:bodyDiv w:val="1"/>
      <w:marLeft w:val="0"/>
      <w:marRight w:val="0"/>
      <w:marTop w:val="0"/>
      <w:marBottom w:val="0"/>
      <w:divBdr>
        <w:top w:val="none" w:sz="0" w:space="0" w:color="auto"/>
        <w:left w:val="none" w:sz="0" w:space="0" w:color="auto"/>
        <w:bottom w:val="none" w:sz="0" w:space="0" w:color="auto"/>
        <w:right w:val="none" w:sz="0" w:space="0" w:color="auto"/>
      </w:divBdr>
    </w:div>
    <w:div w:id="430391756">
      <w:bodyDiv w:val="1"/>
      <w:marLeft w:val="0"/>
      <w:marRight w:val="0"/>
      <w:marTop w:val="0"/>
      <w:marBottom w:val="0"/>
      <w:divBdr>
        <w:top w:val="none" w:sz="0" w:space="0" w:color="auto"/>
        <w:left w:val="none" w:sz="0" w:space="0" w:color="auto"/>
        <w:bottom w:val="none" w:sz="0" w:space="0" w:color="auto"/>
        <w:right w:val="none" w:sz="0" w:space="0" w:color="auto"/>
      </w:divBdr>
    </w:div>
    <w:div w:id="437213311">
      <w:bodyDiv w:val="1"/>
      <w:marLeft w:val="0"/>
      <w:marRight w:val="0"/>
      <w:marTop w:val="0"/>
      <w:marBottom w:val="0"/>
      <w:divBdr>
        <w:top w:val="none" w:sz="0" w:space="0" w:color="auto"/>
        <w:left w:val="none" w:sz="0" w:space="0" w:color="auto"/>
        <w:bottom w:val="none" w:sz="0" w:space="0" w:color="auto"/>
        <w:right w:val="none" w:sz="0" w:space="0" w:color="auto"/>
      </w:divBdr>
    </w:div>
    <w:div w:id="446851295">
      <w:bodyDiv w:val="1"/>
      <w:marLeft w:val="0"/>
      <w:marRight w:val="0"/>
      <w:marTop w:val="0"/>
      <w:marBottom w:val="0"/>
      <w:divBdr>
        <w:top w:val="none" w:sz="0" w:space="0" w:color="auto"/>
        <w:left w:val="none" w:sz="0" w:space="0" w:color="auto"/>
        <w:bottom w:val="none" w:sz="0" w:space="0" w:color="auto"/>
        <w:right w:val="none" w:sz="0" w:space="0" w:color="auto"/>
      </w:divBdr>
    </w:div>
    <w:div w:id="491675355">
      <w:bodyDiv w:val="1"/>
      <w:marLeft w:val="0"/>
      <w:marRight w:val="0"/>
      <w:marTop w:val="0"/>
      <w:marBottom w:val="0"/>
      <w:divBdr>
        <w:top w:val="none" w:sz="0" w:space="0" w:color="auto"/>
        <w:left w:val="none" w:sz="0" w:space="0" w:color="auto"/>
        <w:bottom w:val="none" w:sz="0" w:space="0" w:color="auto"/>
        <w:right w:val="none" w:sz="0" w:space="0" w:color="auto"/>
      </w:divBdr>
    </w:div>
    <w:div w:id="535310352">
      <w:bodyDiv w:val="1"/>
      <w:marLeft w:val="0"/>
      <w:marRight w:val="0"/>
      <w:marTop w:val="0"/>
      <w:marBottom w:val="0"/>
      <w:divBdr>
        <w:top w:val="none" w:sz="0" w:space="0" w:color="auto"/>
        <w:left w:val="none" w:sz="0" w:space="0" w:color="auto"/>
        <w:bottom w:val="none" w:sz="0" w:space="0" w:color="auto"/>
        <w:right w:val="none" w:sz="0" w:space="0" w:color="auto"/>
      </w:divBdr>
    </w:div>
    <w:div w:id="596013735">
      <w:bodyDiv w:val="1"/>
      <w:marLeft w:val="0"/>
      <w:marRight w:val="0"/>
      <w:marTop w:val="0"/>
      <w:marBottom w:val="0"/>
      <w:divBdr>
        <w:top w:val="none" w:sz="0" w:space="0" w:color="auto"/>
        <w:left w:val="none" w:sz="0" w:space="0" w:color="auto"/>
        <w:bottom w:val="none" w:sz="0" w:space="0" w:color="auto"/>
        <w:right w:val="none" w:sz="0" w:space="0" w:color="auto"/>
      </w:divBdr>
    </w:div>
    <w:div w:id="739208665">
      <w:bodyDiv w:val="1"/>
      <w:marLeft w:val="0"/>
      <w:marRight w:val="0"/>
      <w:marTop w:val="0"/>
      <w:marBottom w:val="0"/>
      <w:divBdr>
        <w:top w:val="none" w:sz="0" w:space="0" w:color="auto"/>
        <w:left w:val="none" w:sz="0" w:space="0" w:color="auto"/>
        <w:bottom w:val="none" w:sz="0" w:space="0" w:color="auto"/>
        <w:right w:val="none" w:sz="0" w:space="0" w:color="auto"/>
      </w:divBdr>
    </w:div>
    <w:div w:id="828250855">
      <w:bodyDiv w:val="1"/>
      <w:marLeft w:val="0"/>
      <w:marRight w:val="0"/>
      <w:marTop w:val="0"/>
      <w:marBottom w:val="0"/>
      <w:divBdr>
        <w:top w:val="none" w:sz="0" w:space="0" w:color="auto"/>
        <w:left w:val="none" w:sz="0" w:space="0" w:color="auto"/>
        <w:bottom w:val="none" w:sz="0" w:space="0" w:color="auto"/>
        <w:right w:val="none" w:sz="0" w:space="0" w:color="auto"/>
      </w:divBdr>
    </w:div>
    <w:div w:id="837965151">
      <w:bodyDiv w:val="1"/>
      <w:marLeft w:val="0"/>
      <w:marRight w:val="0"/>
      <w:marTop w:val="0"/>
      <w:marBottom w:val="0"/>
      <w:divBdr>
        <w:top w:val="none" w:sz="0" w:space="0" w:color="auto"/>
        <w:left w:val="none" w:sz="0" w:space="0" w:color="auto"/>
        <w:bottom w:val="none" w:sz="0" w:space="0" w:color="auto"/>
        <w:right w:val="none" w:sz="0" w:space="0" w:color="auto"/>
      </w:divBdr>
    </w:div>
    <w:div w:id="845945247">
      <w:bodyDiv w:val="1"/>
      <w:marLeft w:val="0"/>
      <w:marRight w:val="0"/>
      <w:marTop w:val="0"/>
      <w:marBottom w:val="0"/>
      <w:divBdr>
        <w:top w:val="none" w:sz="0" w:space="0" w:color="auto"/>
        <w:left w:val="none" w:sz="0" w:space="0" w:color="auto"/>
        <w:bottom w:val="none" w:sz="0" w:space="0" w:color="auto"/>
        <w:right w:val="none" w:sz="0" w:space="0" w:color="auto"/>
      </w:divBdr>
    </w:div>
    <w:div w:id="862716575">
      <w:bodyDiv w:val="1"/>
      <w:marLeft w:val="0"/>
      <w:marRight w:val="0"/>
      <w:marTop w:val="0"/>
      <w:marBottom w:val="0"/>
      <w:divBdr>
        <w:top w:val="none" w:sz="0" w:space="0" w:color="auto"/>
        <w:left w:val="none" w:sz="0" w:space="0" w:color="auto"/>
        <w:bottom w:val="none" w:sz="0" w:space="0" w:color="auto"/>
        <w:right w:val="none" w:sz="0" w:space="0" w:color="auto"/>
      </w:divBdr>
    </w:div>
    <w:div w:id="898978287">
      <w:bodyDiv w:val="1"/>
      <w:marLeft w:val="0"/>
      <w:marRight w:val="0"/>
      <w:marTop w:val="0"/>
      <w:marBottom w:val="0"/>
      <w:divBdr>
        <w:top w:val="none" w:sz="0" w:space="0" w:color="auto"/>
        <w:left w:val="none" w:sz="0" w:space="0" w:color="auto"/>
        <w:bottom w:val="none" w:sz="0" w:space="0" w:color="auto"/>
        <w:right w:val="none" w:sz="0" w:space="0" w:color="auto"/>
      </w:divBdr>
    </w:div>
    <w:div w:id="1041125827">
      <w:bodyDiv w:val="1"/>
      <w:marLeft w:val="0"/>
      <w:marRight w:val="0"/>
      <w:marTop w:val="0"/>
      <w:marBottom w:val="0"/>
      <w:divBdr>
        <w:top w:val="none" w:sz="0" w:space="0" w:color="auto"/>
        <w:left w:val="none" w:sz="0" w:space="0" w:color="auto"/>
        <w:bottom w:val="none" w:sz="0" w:space="0" w:color="auto"/>
        <w:right w:val="none" w:sz="0" w:space="0" w:color="auto"/>
      </w:divBdr>
    </w:div>
    <w:div w:id="1050501330">
      <w:bodyDiv w:val="1"/>
      <w:marLeft w:val="0"/>
      <w:marRight w:val="0"/>
      <w:marTop w:val="0"/>
      <w:marBottom w:val="0"/>
      <w:divBdr>
        <w:top w:val="none" w:sz="0" w:space="0" w:color="auto"/>
        <w:left w:val="none" w:sz="0" w:space="0" w:color="auto"/>
        <w:bottom w:val="none" w:sz="0" w:space="0" w:color="auto"/>
        <w:right w:val="none" w:sz="0" w:space="0" w:color="auto"/>
      </w:divBdr>
    </w:div>
    <w:div w:id="1141069651">
      <w:bodyDiv w:val="1"/>
      <w:marLeft w:val="0"/>
      <w:marRight w:val="0"/>
      <w:marTop w:val="0"/>
      <w:marBottom w:val="0"/>
      <w:divBdr>
        <w:top w:val="none" w:sz="0" w:space="0" w:color="auto"/>
        <w:left w:val="none" w:sz="0" w:space="0" w:color="auto"/>
        <w:bottom w:val="none" w:sz="0" w:space="0" w:color="auto"/>
        <w:right w:val="none" w:sz="0" w:space="0" w:color="auto"/>
      </w:divBdr>
    </w:div>
    <w:div w:id="1256018964">
      <w:bodyDiv w:val="1"/>
      <w:marLeft w:val="0"/>
      <w:marRight w:val="0"/>
      <w:marTop w:val="0"/>
      <w:marBottom w:val="0"/>
      <w:divBdr>
        <w:top w:val="none" w:sz="0" w:space="0" w:color="auto"/>
        <w:left w:val="none" w:sz="0" w:space="0" w:color="auto"/>
        <w:bottom w:val="none" w:sz="0" w:space="0" w:color="auto"/>
        <w:right w:val="none" w:sz="0" w:space="0" w:color="auto"/>
      </w:divBdr>
    </w:div>
    <w:div w:id="1273127780">
      <w:bodyDiv w:val="1"/>
      <w:marLeft w:val="0"/>
      <w:marRight w:val="0"/>
      <w:marTop w:val="0"/>
      <w:marBottom w:val="0"/>
      <w:divBdr>
        <w:top w:val="none" w:sz="0" w:space="0" w:color="auto"/>
        <w:left w:val="none" w:sz="0" w:space="0" w:color="auto"/>
        <w:bottom w:val="none" w:sz="0" w:space="0" w:color="auto"/>
        <w:right w:val="none" w:sz="0" w:space="0" w:color="auto"/>
      </w:divBdr>
    </w:div>
    <w:div w:id="1357928029">
      <w:bodyDiv w:val="1"/>
      <w:marLeft w:val="0"/>
      <w:marRight w:val="0"/>
      <w:marTop w:val="0"/>
      <w:marBottom w:val="0"/>
      <w:divBdr>
        <w:top w:val="none" w:sz="0" w:space="0" w:color="auto"/>
        <w:left w:val="none" w:sz="0" w:space="0" w:color="auto"/>
        <w:bottom w:val="none" w:sz="0" w:space="0" w:color="auto"/>
        <w:right w:val="none" w:sz="0" w:space="0" w:color="auto"/>
      </w:divBdr>
    </w:div>
    <w:div w:id="1366640774">
      <w:bodyDiv w:val="1"/>
      <w:marLeft w:val="0"/>
      <w:marRight w:val="0"/>
      <w:marTop w:val="0"/>
      <w:marBottom w:val="0"/>
      <w:divBdr>
        <w:top w:val="none" w:sz="0" w:space="0" w:color="auto"/>
        <w:left w:val="none" w:sz="0" w:space="0" w:color="auto"/>
        <w:bottom w:val="none" w:sz="0" w:space="0" w:color="auto"/>
        <w:right w:val="none" w:sz="0" w:space="0" w:color="auto"/>
      </w:divBdr>
    </w:div>
    <w:div w:id="1381586851">
      <w:bodyDiv w:val="1"/>
      <w:marLeft w:val="0"/>
      <w:marRight w:val="0"/>
      <w:marTop w:val="0"/>
      <w:marBottom w:val="0"/>
      <w:divBdr>
        <w:top w:val="none" w:sz="0" w:space="0" w:color="auto"/>
        <w:left w:val="none" w:sz="0" w:space="0" w:color="auto"/>
        <w:bottom w:val="none" w:sz="0" w:space="0" w:color="auto"/>
        <w:right w:val="none" w:sz="0" w:space="0" w:color="auto"/>
      </w:divBdr>
    </w:div>
    <w:div w:id="1421216463">
      <w:bodyDiv w:val="1"/>
      <w:marLeft w:val="0"/>
      <w:marRight w:val="0"/>
      <w:marTop w:val="0"/>
      <w:marBottom w:val="0"/>
      <w:divBdr>
        <w:top w:val="none" w:sz="0" w:space="0" w:color="auto"/>
        <w:left w:val="none" w:sz="0" w:space="0" w:color="auto"/>
        <w:bottom w:val="none" w:sz="0" w:space="0" w:color="auto"/>
        <w:right w:val="none" w:sz="0" w:space="0" w:color="auto"/>
      </w:divBdr>
    </w:div>
    <w:div w:id="1460148954">
      <w:bodyDiv w:val="1"/>
      <w:marLeft w:val="0"/>
      <w:marRight w:val="0"/>
      <w:marTop w:val="0"/>
      <w:marBottom w:val="0"/>
      <w:divBdr>
        <w:top w:val="none" w:sz="0" w:space="0" w:color="auto"/>
        <w:left w:val="none" w:sz="0" w:space="0" w:color="auto"/>
        <w:bottom w:val="none" w:sz="0" w:space="0" w:color="auto"/>
        <w:right w:val="none" w:sz="0" w:space="0" w:color="auto"/>
      </w:divBdr>
    </w:div>
    <w:div w:id="1517302235">
      <w:bodyDiv w:val="1"/>
      <w:marLeft w:val="0"/>
      <w:marRight w:val="0"/>
      <w:marTop w:val="0"/>
      <w:marBottom w:val="0"/>
      <w:divBdr>
        <w:top w:val="none" w:sz="0" w:space="0" w:color="auto"/>
        <w:left w:val="none" w:sz="0" w:space="0" w:color="auto"/>
        <w:bottom w:val="none" w:sz="0" w:space="0" w:color="auto"/>
        <w:right w:val="none" w:sz="0" w:space="0" w:color="auto"/>
      </w:divBdr>
    </w:div>
    <w:div w:id="1533877753">
      <w:bodyDiv w:val="1"/>
      <w:marLeft w:val="0"/>
      <w:marRight w:val="0"/>
      <w:marTop w:val="0"/>
      <w:marBottom w:val="0"/>
      <w:divBdr>
        <w:top w:val="none" w:sz="0" w:space="0" w:color="auto"/>
        <w:left w:val="none" w:sz="0" w:space="0" w:color="auto"/>
        <w:bottom w:val="none" w:sz="0" w:space="0" w:color="auto"/>
        <w:right w:val="none" w:sz="0" w:space="0" w:color="auto"/>
      </w:divBdr>
    </w:div>
    <w:div w:id="1547525839">
      <w:bodyDiv w:val="1"/>
      <w:marLeft w:val="0"/>
      <w:marRight w:val="0"/>
      <w:marTop w:val="0"/>
      <w:marBottom w:val="0"/>
      <w:divBdr>
        <w:top w:val="none" w:sz="0" w:space="0" w:color="auto"/>
        <w:left w:val="none" w:sz="0" w:space="0" w:color="auto"/>
        <w:bottom w:val="none" w:sz="0" w:space="0" w:color="auto"/>
        <w:right w:val="none" w:sz="0" w:space="0" w:color="auto"/>
      </w:divBdr>
    </w:div>
    <w:div w:id="1579630117">
      <w:bodyDiv w:val="1"/>
      <w:marLeft w:val="0"/>
      <w:marRight w:val="0"/>
      <w:marTop w:val="0"/>
      <w:marBottom w:val="0"/>
      <w:divBdr>
        <w:top w:val="none" w:sz="0" w:space="0" w:color="auto"/>
        <w:left w:val="none" w:sz="0" w:space="0" w:color="auto"/>
        <w:bottom w:val="none" w:sz="0" w:space="0" w:color="auto"/>
        <w:right w:val="none" w:sz="0" w:space="0" w:color="auto"/>
      </w:divBdr>
    </w:div>
    <w:div w:id="1580482634">
      <w:bodyDiv w:val="1"/>
      <w:marLeft w:val="0"/>
      <w:marRight w:val="0"/>
      <w:marTop w:val="0"/>
      <w:marBottom w:val="0"/>
      <w:divBdr>
        <w:top w:val="none" w:sz="0" w:space="0" w:color="auto"/>
        <w:left w:val="none" w:sz="0" w:space="0" w:color="auto"/>
        <w:bottom w:val="none" w:sz="0" w:space="0" w:color="auto"/>
        <w:right w:val="none" w:sz="0" w:space="0" w:color="auto"/>
      </w:divBdr>
    </w:div>
    <w:div w:id="1589345795">
      <w:bodyDiv w:val="1"/>
      <w:marLeft w:val="0"/>
      <w:marRight w:val="0"/>
      <w:marTop w:val="0"/>
      <w:marBottom w:val="0"/>
      <w:divBdr>
        <w:top w:val="none" w:sz="0" w:space="0" w:color="auto"/>
        <w:left w:val="none" w:sz="0" w:space="0" w:color="auto"/>
        <w:bottom w:val="none" w:sz="0" w:space="0" w:color="auto"/>
        <w:right w:val="none" w:sz="0" w:space="0" w:color="auto"/>
      </w:divBdr>
    </w:div>
    <w:div w:id="1642540879">
      <w:bodyDiv w:val="1"/>
      <w:marLeft w:val="0"/>
      <w:marRight w:val="0"/>
      <w:marTop w:val="0"/>
      <w:marBottom w:val="0"/>
      <w:divBdr>
        <w:top w:val="none" w:sz="0" w:space="0" w:color="auto"/>
        <w:left w:val="none" w:sz="0" w:space="0" w:color="auto"/>
        <w:bottom w:val="none" w:sz="0" w:space="0" w:color="auto"/>
        <w:right w:val="none" w:sz="0" w:space="0" w:color="auto"/>
      </w:divBdr>
    </w:div>
    <w:div w:id="1647323448">
      <w:bodyDiv w:val="1"/>
      <w:marLeft w:val="0"/>
      <w:marRight w:val="0"/>
      <w:marTop w:val="0"/>
      <w:marBottom w:val="0"/>
      <w:divBdr>
        <w:top w:val="none" w:sz="0" w:space="0" w:color="auto"/>
        <w:left w:val="none" w:sz="0" w:space="0" w:color="auto"/>
        <w:bottom w:val="none" w:sz="0" w:space="0" w:color="auto"/>
        <w:right w:val="none" w:sz="0" w:space="0" w:color="auto"/>
      </w:divBdr>
    </w:div>
    <w:div w:id="1658071156">
      <w:bodyDiv w:val="1"/>
      <w:marLeft w:val="0"/>
      <w:marRight w:val="0"/>
      <w:marTop w:val="0"/>
      <w:marBottom w:val="0"/>
      <w:divBdr>
        <w:top w:val="none" w:sz="0" w:space="0" w:color="auto"/>
        <w:left w:val="none" w:sz="0" w:space="0" w:color="auto"/>
        <w:bottom w:val="none" w:sz="0" w:space="0" w:color="auto"/>
        <w:right w:val="none" w:sz="0" w:space="0" w:color="auto"/>
      </w:divBdr>
    </w:div>
    <w:div w:id="1704482522">
      <w:bodyDiv w:val="1"/>
      <w:marLeft w:val="0"/>
      <w:marRight w:val="0"/>
      <w:marTop w:val="0"/>
      <w:marBottom w:val="0"/>
      <w:divBdr>
        <w:top w:val="none" w:sz="0" w:space="0" w:color="auto"/>
        <w:left w:val="none" w:sz="0" w:space="0" w:color="auto"/>
        <w:bottom w:val="none" w:sz="0" w:space="0" w:color="auto"/>
        <w:right w:val="none" w:sz="0" w:space="0" w:color="auto"/>
      </w:divBdr>
    </w:div>
    <w:div w:id="1734620544">
      <w:bodyDiv w:val="1"/>
      <w:marLeft w:val="0"/>
      <w:marRight w:val="0"/>
      <w:marTop w:val="0"/>
      <w:marBottom w:val="0"/>
      <w:divBdr>
        <w:top w:val="none" w:sz="0" w:space="0" w:color="auto"/>
        <w:left w:val="none" w:sz="0" w:space="0" w:color="auto"/>
        <w:bottom w:val="none" w:sz="0" w:space="0" w:color="auto"/>
        <w:right w:val="none" w:sz="0" w:space="0" w:color="auto"/>
      </w:divBdr>
    </w:div>
    <w:div w:id="1750737777">
      <w:bodyDiv w:val="1"/>
      <w:marLeft w:val="0"/>
      <w:marRight w:val="0"/>
      <w:marTop w:val="0"/>
      <w:marBottom w:val="0"/>
      <w:divBdr>
        <w:top w:val="none" w:sz="0" w:space="0" w:color="auto"/>
        <w:left w:val="none" w:sz="0" w:space="0" w:color="auto"/>
        <w:bottom w:val="none" w:sz="0" w:space="0" w:color="auto"/>
        <w:right w:val="none" w:sz="0" w:space="0" w:color="auto"/>
      </w:divBdr>
    </w:div>
    <w:div w:id="1885630618">
      <w:bodyDiv w:val="1"/>
      <w:marLeft w:val="0"/>
      <w:marRight w:val="0"/>
      <w:marTop w:val="0"/>
      <w:marBottom w:val="0"/>
      <w:divBdr>
        <w:top w:val="none" w:sz="0" w:space="0" w:color="auto"/>
        <w:left w:val="none" w:sz="0" w:space="0" w:color="auto"/>
        <w:bottom w:val="none" w:sz="0" w:space="0" w:color="auto"/>
        <w:right w:val="none" w:sz="0" w:space="0" w:color="auto"/>
      </w:divBdr>
    </w:div>
    <w:div w:id="1901134103">
      <w:bodyDiv w:val="1"/>
      <w:marLeft w:val="0"/>
      <w:marRight w:val="0"/>
      <w:marTop w:val="0"/>
      <w:marBottom w:val="0"/>
      <w:divBdr>
        <w:top w:val="none" w:sz="0" w:space="0" w:color="auto"/>
        <w:left w:val="none" w:sz="0" w:space="0" w:color="auto"/>
        <w:bottom w:val="none" w:sz="0" w:space="0" w:color="auto"/>
        <w:right w:val="none" w:sz="0" w:space="0" w:color="auto"/>
      </w:divBdr>
    </w:div>
    <w:div w:id="1939678556">
      <w:bodyDiv w:val="1"/>
      <w:marLeft w:val="0"/>
      <w:marRight w:val="0"/>
      <w:marTop w:val="0"/>
      <w:marBottom w:val="0"/>
      <w:divBdr>
        <w:top w:val="none" w:sz="0" w:space="0" w:color="auto"/>
        <w:left w:val="none" w:sz="0" w:space="0" w:color="auto"/>
        <w:bottom w:val="none" w:sz="0" w:space="0" w:color="auto"/>
        <w:right w:val="none" w:sz="0" w:space="0" w:color="auto"/>
      </w:divBdr>
    </w:div>
    <w:div w:id="1954819483">
      <w:bodyDiv w:val="1"/>
      <w:marLeft w:val="0"/>
      <w:marRight w:val="0"/>
      <w:marTop w:val="0"/>
      <w:marBottom w:val="0"/>
      <w:divBdr>
        <w:top w:val="none" w:sz="0" w:space="0" w:color="auto"/>
        <w:left w:val="none" w:sz="0" w:space="0" w:color="auto"/>
        <w:bottom w:val="none" w:sz="0" w:space="0" w:color="auto"/>
        <w:right w:val="none" w:sz="0" w:space="0" w:color="auto"/>
      </w:divBdr>
    </w:div>
    <w:div w:id="1980761006">
      <w:bodyDiv w:val="1"/>
      <w:marLeft w:val="0"/>
      <w:marRight w:val="0"/>
      <w:marTop w:val="0"/>
      <w:marBottom w:val="0"/>
      <w:divBdr>
        <w:top w:val="none" w:sz="0" w:space="0" w:color="auto"/>
        <w:left w:val="none" w:sz="0" w:space="0" w:color="auto"/>
        <w:bottom w:val="none" w:sz="0" w:space="0" w:color="auto"/>
        <w:right w:val="none" w:sz="0" w:space="0" w:color="auto"/>
      </w:divBdr>
    </w:div>
    <w:div w:id="2033526351">
      <w:bodyDiv w:val="1"/>
      <w:marLeft w:val="0"/>
      <w:marRight w:val="0"/>
      <w:marTop w:val="0"/>
      <w:marBottom w:val="0"/>
      <w:divBdr>
        <w:top w:val="none" w:sz="0" w:space="0" w:color="auto"/>
        <w:left w:val="none" w:sz="0" w:space="0" w:color="auto"/>
        <w:bottom w:val="none" w:sz="0" w:space="0" w:color="auto"/>
        <w:right w:val="none" w:sz="0" w:space="0" w:color="auto"/>
      </w:divBdr>
    </w:div>
    <w:div w:id="210056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customXml" Target="../customXml/item8.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customXml" Target="../customXml/item5.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2.xml"/><Relationship Id="rId22" Type="http://schemas.openxmlformats.org/officeDocument/2006/relationships/customXml" Target="../customXml/item4.xml"/><Relationship Id="rId27" Type="http://schemas.openxmlformats.org/officeDocument/2006/relationships/customXml" Target="../customXml/item9.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000">
                <a:latin typeface="Arial" panose="020B0604020202020204" pitchFamily="34" charset="0"/>
                <a:cs typeface="Arial" panose="020B0604020202020204" pitchFamily="34" charset="0"/>
              </a:rPr>
              <a:t>Gráfico 1: Población Ceará y % de la Población de Brasil</a:t>
            </a:r>
          </a:p>
        </c:rich>
      </c:tx>
      <c:overlay val="0"/>
    </c:title>
    <c:autoTitleDeleted val="0"/>
    <c:plotArea>
      <c:layout/>
      <c:barChart>
        <c:barDir val="col"/>
        <c:grouping val="clustered"/>
        <c:varyColors val="0"/>
        <c:ser>
          <c:idx val="0"/>
          <c:order val="0"/>
          <c:tx>
            <c:strRef>
              <c:f>Plan6!$A$38</c:f>
              <c:strCache>
                <c:ptCount val="1"/>
                <c:pt idx="0">
                  <c:v>Ceará</c:v>
                </c:pt>
              </c:strCache>
            </c:strRef>
          </c:tx>
          <c:invertIfNegative val="0"/>
          <c:cat>
            <c:numRef>
              <c:f>Plan6!$B$37:$K$37</c:f>
              <c:numCache>
                <c:formatCode>General</c:formatCode>
                <c:ptCount val="10"/>
                <c:pt idx="0">
                  <c:v>1900</c:v>
                </c:pt>
                <c:pt idx="1">
                  <c:v>1920</c:v>
                </c:pt>
                <c:pt idx="2">
                  <c:v>1940</c:v>
                </c:pt>
                <c:pt idx="3">
                  <c:v>1950</c:v>
                </c:pt>
                <c:pt idx="4">
                  <c:v>1960</c:v>
                </c:pt>
                <c:pt idx="5">
                  <c:v>1970</c:v>
                </c:pt>
                <c:pt idx="6">
                  <c:v>1980</c:v>
                </c:pt>
                <c:pt idx="7">
                  <c:v>1991</c:v>
                </c:pt>
                <c:pt idx="8">
                  <c:v>2000</c:v>
                </c:pt>
                <c:pt idx="9">
                  <c:v>2010</c:v>
                </c:pt>
              </c:numCache>
            </c:numRef>
          </c:cat>
          <c:val>
            <c:numRef>
              <c:f>Plan6!$B$38:$K$38</c:f>
              <c:numCache>
                <c:formatCode>#,##0</c:formatCode>
                <c:ptCount val="10"/>
                <c:pt idx="0">
                  <c:v>849127</c:v>
                </c:pt>
                <c:pt idx="1">
                  <c:v>1319228</c:v>
                </c:pt>
                <c:pt idx="2">
                  <c:v>2091032</c:v>
                </c:pt>
                <c:pt idx="3">
                  <c:v>2695450</c:v>
                </c:pt>
                <c:pt idx="4">
                  <c:v>3337856</c:v>
                </c:pt>
                <c:pt idx="5">
                  <c:v>4491590</c:v>
                </c:pt>
                <c:pt idx="6">
                  <c:v>5380432</c:v>
                </c:pt>
                <c:pt idx="7">
                  <c:v>6362620</c:v>
                </c:pt>
                <c:pt idx="8">
                  <c:v>7418476</c:v>
                </c:pt>
                <c:pt idx="9">
                  <c:v>8452381</c:v>
                </c:pt>
              </c:numCache>
            </c:numRef>
          </c:val>
          <c:extLst>
            <c:ext xmlns:c16="http://schemas.microsoft.com/office/drawing/2014/chart" uri="{C3380CC4-5D6E-409C-BE32-E72D297353CC}">
              <c16:uniqueId val="{00000000-815E-40DA-97E9-39E2EDEB2DC4}"/>
            </c:ext>
          </c:extLst>
        </c:ser>
        <c:dLbls>
          <c:showLegendKey val="0"/>
          <c:showVal val="0"/>
          <c:showCatName val="0"/>
          <c:showSerName val="0"/>
          <c:showPercent val="0"/>
          <c:showBubbleSize val="0"/>
        </c:dLbls>
        <c:gapWidth val="150"/>
        <c:axId val="372367072"/>
        <c:axId val="369241712"/>
      </c:barChart>
      <c:lineChart>
        <c:grouping val="standard"/>
        <c:varyColors val="0"/>
        <c:ser>
          <c:idx val="1"/>
          <c:order val="1"/>
          <c:tx>
            <c:strRef>
              <c:f>Plan6!$A$39</c:f>
              <c:strCache>
                <c:ptCount val="1"/>
                <c:pt idx="0">
                  <c:v>% Brasil</c:v>
                </c:pt>
              </c:strCache>
            </c:strRef>
          </c:tx>
          <c:marker>
            <c:symbol val="none"/>
          </c:marker>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Plan6!$B$37:$K$37</c:f>
              <c:numCache>
                <c:formatCode>General</c:formatCode>
                <c:ptCount val="10"/>
                <c:pt idx="0">
                  <c:v>1900</c:v>
                </c:pt>
                <c:pt idx="1">
                  <c:v>1920</c:v>
                </c:pt>
                <c:pt idx="2">
                  <c:v>1940</c:v>
                </c:pt>
                <c:pt idx="3">
                  <c:v>1950</c:v>
                </c:pt>
                <c:pt idx="4">
                  <c:v>1960</c:v>
                </c:pt>
                <c:pt idx="5">
                  <c:v>1970</c:v>
                </c:pt>
                <c:pt idx="6">
                  <c:v>1980</c:v>
                </c:pt>
                <c:pt idx="7">
                  <c:v>1991</c:v>
                </c:pt>
                <c:pt idx="8">
                  <c:v>2000</c:v>
                </c:pt>
                <c:pt idx="9">
                  <c:v>2010</c:v>
                </c:pt>
              </c:numCache>
            </c:numRef>
          </c:cat>
          <c:val>
            <c:numRef>
              <c:f>Plan6!$B$39:$K$39</c:f>
              <c:numCache>
                <c:formatCode>0.0%</c:formatCode>
                <c:ptCount val="10"/>
                <c:pt idx="0">
                  <c:v>4.8692847075603236E-2</c:v>
                </c:pt>
                <c:pt idx="1">
                  <c:v>4.3061920925015193E-2</c:v>
                </c:pt>
                <c:pt idx="2">
                  <c:v>5.0708507780096258E-2</c:v>
                </c:pt>
                <c:pt idx="3">
                  <c:v>5.1891063438468638E-2</c:v>
                </c:pt>
                <c:pt idx="4">
                  <c:v>4.7017126903390133E-2</c:v>
                </c:pt>
                <c:pt idx="5">
                  <c:v>4.752573636618803E-2</c:v>
                </c:pt>
                <c:pt idx="6">
                  <c:v>4.4411114753869135E-2</c:v>
                </c:pt>
                <c:pt idx="7">
                  <c:v>4.3307446530231643E-2</c:v>
                </c:pt>
                <c:pt idx="8">
                  <c:v>4.3743414622405018E-2</c:v>
                </c:pt>
                <c:pt idx="9">
                  <c:v>4.4309955683182141E-2</c:v>
                </c:pt>
              </c:numCache>
            </c:numRef>
          </c:val>
          <c:smooth val="0"/>
          <c:extLst>
            <c:ext xmlns:c16="http://schemas.microsoft.com/office/drawing/2014/chart" uri="{C3380CC4-5D6E-409C-BE32-E72D297353CC}">
              <c16:uniqueId val="{00000001-815E-40DA-97E9-39E2EDEB2DC4}"/>
            </c:ext>
          </c:extLst>
        </c:ser>
        <c:dLbls>
          <c:showLegendKey val="0"/>
          <c:showVal val="0"/>
          <c:showCatName val="0"/>
          <c:showSerName val="0"/>
          <c:showPercent val="0"/>
          <c:showBubbleSize val="0"/>
        </c:dLbls>
        <c:marker val="1"/>
        <c:smooth val="0"/>
        <c:axId val="371178456"/>
        <c:axId val="369240144"/>
      </c:lineChart>
      <c:catAx>
        <c:axId val="371178456"/>
        <c:scaling>
          <c:orientation val="minMax"/>
        </c:scaling>
        <c:delete val="0"/>
        <c:axPos val="b"/>
        <c:numFmt formatCode="General" sourceLinked="1"/>
        <c:majorTickMark val="out"/>
        <c:minorTickMark val="none"/>
        <c:tickLblPos val="nextTo"/>
        <c:crossAx val="369240144"/>
        <c:crosses val="autoZero"/>
        <c:auto val="1"/>
        <c:lblAlgn val="ctr"/>
        <c:lblOffset val="100"/>
        <c:noMultiLvlLbl val="0"/>
      </c:catAx>
      <c:valAx>
        <c:axId val="369240144"/>
        <c:scaling>
          <c:orientation val="minMax"/>
        </c:scaling>
        <c:delete val="0"/>
        <c:axPos val="l"/>
        <c:majorGridlines/>
        <c:numFmt formatCode="0.0%" sourceLinked="1"/>
        <c:majorTickMark val="out"/>
        <c:minorTickMark val="none"/>
        <c:tickLblPos val="nextTo"/>
        <c:crossAx val="371178456"/>
        <c:crosses val="autoZero"/>
        <c:crossBetween val="between"/>
      </c:valAx>
      <c:valAx>
        <c:axId val="369241712"/>
        <c:scaling>
          <c:orientation val="minMax"/>
        </c:scaling>
        <c:delete val="0"/>
        <c:axPos val="r"/>
        <c:numFmt formatCode="#,##0" sourceLinked="1"/>
        <c:majorTickMark val="out"/>
        <c:minorTickMark val="none"/>
        <c:tickLblPos val="nextTo"/>
        <c:crossAx val="372367072"/>
        <c:crosses val="max"/>
        <c:crossBetween val="between"/>
      </c:valAx>
      <c:catAx>
        <c:axId val="372367072"/>
        <c:scaling>
          <c:orientation val="minMax"/>
        </c:scaling>
        <c:delete val="1"/>
        <c:axPos val="b"/>
        <c:numFmt formatCode="General" sourceLinked="1"/>
        <c:majorTickMark val="out"/>
        <c:minorTickMark val="none"/>
        <c:tickLblPos val="nextTo"/>
        <c:crossAx val="369241712"/>
        <c:crosses val="autoZero"/>
        <c:auto val="1"/>
        <c:lblAlgn val="ctr"/>
        <c:lblOffset val="100"/>
        <c:noMultiLvlLbl val="0"/>
      </c:catAx>
    </c:plotArea>
    <c:legend>
      <c:legendPos val="b"/>
      <c:overlay val="0"/>
      <c:txPr>
        <a:bodyPr/>
        <a:lstStyle/>
        <a:p>
          <a:pPr>
            <a:defRPr>
              <a:latin typeface="Arial" panose="020B0604020202020204" pitchFamily="34" charset="0"/>
              <a:cs typeface="Arial" panose="020B0604020202020204" pitchFamily="34" charset="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a:latin typeface="Arial" panose="020B0604020202020204" pitchFamily="34" charset="0"/>
                <a:cs typeface="Arial" panose="020B0604020202020204" pitchFamily="34" charset="0"/>
              </a:rPr>
              <a:t>Gráfico 2: Resultados Presupuestario y Primario como % del PIB</a:t>
            </a:r>
          </a:p>
        </c:rich>
      </c:tx>
      <c:layout>
        <c:manualLayout>
          <c:xMode val="edge"/>
          <c:yMode val="edge"/>
          <c:x val="0.1349514435695538"/>
          <c:y val="0"/>
        </c:manualLayout>
      </c:layout>
      <c:overlay val="1"/>
    </c:title>
    <c:autoTitleDeleted val="0"/>
    <c:plotArea>
      <c:layout>
        <c:manualLayout>
          <c:layoutTarget val="inner"/>
          <c:xMode val="edge"/>
          <c:yMode val="edge"/>
          <c:x val="0.10728018372703411"/>
          <c:y val="0.14281060001993423"/>
          <c:w val="0.86216426071741037"/>
          <c:h val="0.71800651599720922"/>
        </c:manualLayout>
      </c:layout>
      <c:lineChart>
        <c:grouping val="standard"/>
        <c:varyColors val="0"/>
        <c:ser>
          <c:idx val="0"/>
          <c:order val="0"/>
          <c:tx>
            <c:strRef>
              <c:f>'[PROFISCO - II Dados Fiscais -geral.ajustado. CEARA (1).xls]Resumo Setor Fiscal'!$D$49</c:f>
              <c:strCache>
                <c:ptCount val="1"/>
                <c:pt idx="0">
                  <c:v>Resultado orçamentario</c:v>
                </c:pt>
              </c:strCache>
            </c:strRef>
          </c:tx>
          <c:marker>
            <c:symbol val="none"/>
          </c:marker>
          <c:cat>
            <c:numRef>
              <c:f>'[PROFISCO - II Dados Fiscais -geral.ajustado. CEARA (1).xls]Resumo Setor Fiscal'!$E$48:$O$48</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'[PROFISCO - II Dados Fiscais -geral.ajustado. CEARA (1).xls]Resumo Setor Fiscal'!$E$49:$O$49</c:f>
              <c:numCache>
                <c:formatCode>0.0%</c:formatCode>
                <c:ptCount val="11"/>
                <c:pt idx="0">
                  <c:v>2.6432429790322658E-2</c:v>
                </c:pt>
                <c:pt idx="1">
                  <c:v>3.9755000298510534E-2</c:v>
                </c:pt>
                <c:pt idx="2">
                  <c:v>3.5517738288698378E-2</c:v>
                </c:pt>
                <c:pt idx="3">
                  <c:v>2.0349275261756044E-2</c:v>
                </c:pt>
                <c:pt idx="4">
                  <c:v>1.7481791924347203E-2</c:v>
                </c:pt>
                <c:pt idx="5">
                  <c:v>2.717954321563943E-2</c:v>
                </c:pt>
                <c:pt idx="6">
                  <c:v>7.7229625037638795E-3</c:v>
                </c:pt>
                <c:pt idx="7">
                  <c:v>4.6600788373670973E-3</c:v>
                </c:pt>
                <c:pt idx="8">
                  <c:v>-5.8768749101971414E-3</c:v>
                </c:pt>
                <c:pt idx="9">
                  <c:v>-1.2477365689896279E-3</c:v>
                </c:pt>
                <c:pt idx="10">
                  <c:v>8.8210630927526984E-3</c:v>
                </c:pt>
              </c:numCache>
            </c:numRef>
          </c:val>
          <c:smooth val="0"/>
          <c:extLst>
            <c:ext xmlns:c16="http://schemas.microsoft.com/office/drawing/2014/chart" uri="{C3380CC4-5D6E-409C-BE32-E72D297353CC}">
              <c16:uniqueId val="{00000000-51BD-4C78-BCDD-18ED8DCABFBA}"/>
            </c:ext>
          </c:extLst>
        </c:ser>
        <c:ser>
          <c:idx val="1"/>
          <c:order val="1"/>
          <c:tx>
            <c:strRef>
              <c:f>'[PROFISCO - II Dados Fiscais -geral.ajustado. CEARA (1).xls]Resumo Setor Fiscal'!$D$50</c:f>
              <c:strCache>
                <c:ptCount val="1"/>
                <c:pt idx="0">
                  <c:v>Resultado primário</c:v>
                </c:pt>
              </c:strCache>
            </c:strRef>
          </c:tx>
          <c:marker>
            <c:symbol val="none"/>
          </c:marker>
          <c:cat>
            <c:numRef>
              <c:f>'[PROFISCO - II Dados Fiscais -geral.ajustado. CEARA (1).xls]Resumo Setor Fiscal'!$E$48:$O$48</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'[PROFISCO - II Dados Fiscais -geral.ajustado. CEARA (1).xls]Resumo Setor Fiscal'!$E$50:$O$50</c:f>
              <c:numCache>
                <c:formatCode>0.00%</c:formatCode>
                <c:ptCount val="11"/>
                <c:pt idx="0">
                  <c:v>2.5701175784731304E-2</c:v>
                </c:pt>
                <c:pt idx="1">
                  <c:v>4.576075109624364E-2</c:v>
                </c:pt>
                <c:pt idx="2">
                  <c:v>4.0138495253575268E-2</c:v>
                </c:pt>
                <c:pt idx="3">
                  <c:v>1.8884977873958441E-2</c:v>
                </c:pt>
                <c:pt idx="4">
                  <c:v>7.5502787757135677E-3</c:v>
                </c:pt>
                <c:pt idx="5">
                  <c:v>2.0546359938012751E-2</c:v>
                </c:pt>
                <c:pt idx="6">
                  <c:v>6.4313444981129184E-3</c:v>
                </c:pt>
                <c:pt idx="7">
                  <c:v>-1.9455333318048596E-3</c:v>
                </c:pt>
                <c:pt idx="8">
                  <c:v>-1.4424270955622114E-2</c:v>
                </c:pt>
                <c:pt idx="9">
                  <c:v>-7.3162230667075728E-3</c:v>
                </c:pt>
                <c:pt idx="10">
                  <c:v>7.3416957163951338E-3</c:v>
                </c:pt>
              </c:numCache>
            </c:numRef>
          </c:val>
          <c:smooth val="0"/>
          <c:extLst>
            <c:ext xmlns:c16="http://schemas.microsoft.com/office/drawing/2014/chart" uri="{C3380CC4-5D6E-409C-BE32-E72D297353CC}">
              <c16:uniqueId val="{00000001-51BD-4C78-BCDD-18ED8DCABFBA}"/>
            </c:ext>
          </c:extLst>
        </c:ser>
        <c:dLbls>
          <c:showLegendKey val="0"/>
          <c:showVal val="0"/>
          <c:showCatName val="0"/>
          <c:showSerName val="0"/>
          <c:showPercent val="0"/>
          <c:showBubbleSize val="0"/>
        </c:dLbls>
        <c:smooth val="0"/>
        <c:axId val="372363152"/>
        <c:axId val="372368640"/>
      </c:lineChart>
      <c:catAx>
        <c:axId val="372363152"/>
        <c:scaling>
          <c:orientation val="minMax"/>
        </c:scaling>
        <c:delete val="0"/>
        <c:axPos val="b"/>
        <c:numFmt formatCode="General" sourceLinked="1"/>
        <c:majorTickMark val="out"/>
        <c:minorTickMark val="none"/>
        <c:tickLblPos val="nextTo"/>
        <c:crossAx val="372368640"/>
        <c:crosses val="autoZero"/>
        <c:auto val="1"/>
        <c:lblAlgn val="ctr"/>
        <c:lblOffset val="100"/>
        <c:noMultiLvlLbl val="0"/>
      </c:catAx>
      <c:valAx>
        <c:axId val="372368640"/>
        <c:scaling>
          <c:orientation val="minMax"/>
        </c:scaling>
        <c:delete val="0"/>
        <c:axPos val="l"/>
        <c:majorGridlines/>
        <c:numFmt formatCode="0.0%" sourceLinked="1"/>
        <c:majorTickMark val="out"/>
        <c:minorTickMark val="none"/>
        <c:tickLblPos val="nextTo"/>
        <c:crossAx val="372363152"/>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a:latin typeface="Arial" panose="020B0604020202020204" pitchFamily="34" charset="0"/>
                <a:cs typeface="Arial" panose="020B0604020202020204" pitchFamily="34" charset="0"/>
              </a:rPr>
              <a:t>Gráfico 3:</a:t>
            </a:r>
            <a:r>
              <a:rPr lang="en-US" sz="1000" baseline="0">
                <a:latin typeface="Arial" panose="020B0604020202020204" pitchFamily="34" charset="0"/>
                <a:cs typeface="Arial" panose="020B0604020202020204" pitchFamily="34" charset="0"/>
              </a:rPr>
              <a:t> </a:t>
            </a:r>
            <a:r>
              <a:rPr lang="en-US" sz="1000">
                <a:latin typeface="Arial" panose="020B0604020202020204" pitchFamily="34" charset="0"/>
                <a:cs typeface="Arial" panose="020B0604020202020204" pitchFamily="34" charset="0"/>
              </a:rPr>
              <a:t>Participación en el ICMS/Ingresos Tributarios y /Corrientes</a:t>
            </a:r>
          </a:p>
        </c:rich>
      </c:tx>
      <c:overlay val="1"/>
    </c:title>
    <c:autoTitleDeleted val="0"/>
    <c:plotArea>
      <c:layout>
        <c:manualLayout>
          <c:layoutTarget val="inner"/>
          <c:xMode val="edge"/>
          <c:yMode val="edge"/>
          <c:x val="0.10416166781853288"/>
          <c:y val="0.18815791648075619"/>
          <c:w val="0.87076707111498197"/>
          <c:h val="0.63093010897179991"/>
        </c:manualLayout>
      </c:layout>
      <c:lineChart>
        <c:grouping val="standard"/>
        <c:varyColors val="0"/>
        <c:ser>
          <c:idx val="0"/>
          <c:order val="0"/>
          <c:tx>
            <c:strRef>
              <c:f>'[PROFISCO - II Dados Fiscais -geral.ajustado. CEARA (1).xls]Receitas'!$A$62:$D$62</c:f>
              <c:strCache>
                <c:ptCount val="1"/>
                <c:pt idx="0">
                  <c:v>trib/corrente</c:v>
                </c:pt>
              </c:strCache>
            </c:strRef>
          </c:tx>
          <c:marker>
            <c:symbol val="none"/>
          </c:marker>
          <c:cat>
            <c:numRef>
              <c:f>'[PROFISCO - II Dados Fiscais -geral.ajustado. CEARA (1).xls]Receitas'!$E$61:$O$61</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'[PROFISCO - II Dados Fiscais -geral.ajustado. CEARA (1).xls]Receitas'!$E$62:$O$62</c:f>
              <c:numCache>
                <c:formatCode>0.0%</c:formatCode>
                <c:ptCount val="11"/>
                <c:pt idx="0">
                  <c:v>0.49732129786494672</c:v>
                </c:pt>
                <c:pt idx="1">
                  <c:v>0.48057116231610553</c:v>
                </c:pt>
                <c:pt idx="2">
                  <c:v>0.47673377293556307</c:v>
                </c:pt>
                <c:pt idx="3">
                  <c:v>0.48358765685590471</c:v>
                </c:pt>
                <c:pt idx="4">
                  <c:v>0.50099925497271292</c:v>
                </c:pt>
                <c:pt idx="5">
                  <c:v>0.49818915758478588</c:v>
                </c:pt>
                <c:pt idx="6">
                  <c:v>0.49929634748460017</c:v>
                </c:pt>
                <c:pt idx="7">
                  <c:v>0.52209303722428146</c:v>
                </c:pt>
                <c:pt idx="8">
                  <c:v>0.5505049263112336</c:v>
                </c:pt>
                <c:pt idx="9">
                  <c:v>0.55456314033238385</c:v>
                </c:pt>
                <c:pt idx="10">
                  <c:v>0.54529781534978516</c:v>
                </c:pt>
              </c:numCache>
            </c:numRef>
          </c:val>
          <c:smooth val="0"/>
          <c:extLst>
            <c:ext xmlns:c16="http://schemas.microsoft.com/office/drawing/2014/chart" uri="{C3380CC4-5D6E-409C-BE32-E72D297353CC}">
              <c16:uniqueId val="{00000000-5889-44B9-93FD-F3A7275F5C9C}"/>
            </c:ext>
          </c:extLst>
        </c:ser>
        <c:ser>
          <c:idx val="1"/>
          <c:order val="1"/>
          <c:tx>
            <c:strRef>
              <c:f>'[PROFISCO - II Dados Fiscais -geral.ajustado. CEARA (1).xls]Receitas'!$A$63:$D$63</c:f>
              <c:strCache>
                <c:ptCount val="1"/>
                <c:pt idx="0">
                  <c:v>icms/trib</c:v>
                </c:pt>
              </c:strCache>
            </c:strRef>
          </c:tx>
          <c:marker>
            <c:symbol val="none"/>
          </c:marker>
          <c:cat>
            <c:numRef>
              <c:f>'[PROFISCO - II Dados Fiscais -geral.ajustado. CEARA (1).xls]Receitas'!$E$61:$O$61</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'[PROFISCO - II Dados Fiscais -geral.ajustado. CEARA (1).xls]Receitas'!$E$63:$O$63</c:f>
              <c:numCache>
                <c:formatCode>0.0%</c:formatCode>
                <c:ptCount val="11"/>
                <c:pt idx="0">
                  <c:v>0.88520265471296944</c:v>
                </c:pt>
                <c:pt idx="1">
                  <c:v>0.87473464397336553</c:v>
                </c:pt>
                <c:pt idx="2">
                  <c:v>0.87336963717271809</c:v>
                </c:pt>
                <c:pt idx="3">
                  <c:v>0.8667365965419227</c:v>
                </c:pt>
                <c:pt idx="4">
                  <c:v>0.86650178632388153</c:v>
                </c:pt>
                <c:pt idx="5">
                  <c:v>0.85452913581413692</c:v>
                </c:pt>
                <c:pt idx="6">
                  <c:v>0.83104099600233061</c:v>
                </c:pt>
                <c:pt idx="7">
                  <c:v>0.86281865474089514</c:v>
                </c:pt>
                <c:pt idx="8">
                  <c:v>0.82490903441416463</c:v>
                </c:pt>
                <c:pt idx="9">
                  <c:v>0.81413768114161833</c:v>
                </c:pt>
                <c:pt idx="10">
                  <c:v>0.76240341339924433</c:v>
                </c:pt>
              </c:numCache>
            </c:numRef>
          </c:val>
          <c:smooth val="0"/>
          <c:extLst>
            <c:ext xmlns:c16="http://schemas.microsoft.com/office/drawing/2014/chart" uri="{C3380CC4-5D6E-409C-BE32-E72D297353CC}">
              <c16:uniqueId val="{00000001-5889-44B9-93FD-F3A7275F5C9C}"/>
            </c:ext>
          </c:extLst>
        </c:ser>
        <c:dLbls>
          <c:showLegendKey val="0"/>
          <c:showVal val="0"/>
          <c:showCatName val="0"/>
          <c:showSerName val="0"/>
          <c:showPercent val="0"/>
          <c:showBubbleSize val="0"/>
        </c:dLbls>
        <c:smooth val="0"/>
        <c:axId val="372366288"/>
        <c:axId val="372369816"/>
      </c:lineChart>
      <c:catAx>
        <c:axId val="372366288"/>
        <c:scaling>
          <c:orientation val="minMax"/>
        </c:scaling>
        <c:delete val="0"/>
        <c:axPos val="b"/>
        <c:numFmt formatCode="General" sourceLinked="1"/>
        <c:majorTickMark val="out"/>
        <c:minorTickMark val="none"/>
        <c:tickLblPos val="nextTo"/>
        <c:crossAx val="372369816"/>
        <c:crosses val="autoZero"/>
        <c:auto val="1"/>
        <c:lblAlgn val="ctr"/>
        <c:lblOffset val="100"/>
        <c:noMultiLvlLbl val="0"/>
      </c:catAx>
      <c:valAx>
        <c:axId val="372369816"/>
        <c:scaling>
          <c:orientation val="minMax"/>
          <c:min val="0.4"/>
        </c:scaling>
        <c:delete val="0"/>
        <c:axPos val="l"/>
        <c:majorGridlines/>
        <c:numFmt formatCode="0.0%" sourceLinked="0"/>
        <c:majorTickMark val="out"/>
        <c:minorTickMark val="none"/>
        <c:tickLblPos val="nextTo"/>
        <c:crossAx val="372366288"/>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000">
                <a:latin typeface="Arial" panose="020B0604020202020204" pitchFamily="34" charset="0"/>
                <a:cs typeface="Arial" panose="020B0604020202020204" pitchFamily="34" charset="0"/>
              </a:rPr>
              <a:t>Gráfico 4: % Inversión/Gasto Total</a:t>
            </a:r>
          </a:p>
        </c:rich>
      </c:tx>
      <c:overlay val="0"/>
    </c:title>
    <c:autoTitleDeleted val="0"/>
    <c:plotArea>
      <c:layout>
        <c:manualLayout>
          <c:layoutTarget val="inner"/>
          <c:xMode val="edge"/>
          <c:yMode val="edge"/>
          <c:x val="0.11286351706036746"/>
          <c:y val="0.14850721784776902"/>
          <c:w val="0.85658092738407698"/>
          <c:h val="0.68921660834062404"/>
        </c:manualLayout>
      </c:layout>
      <c:lineChart>
        <c:grouping val="standard"/>
        <c:varyColors val="0"/>
        <c:ser>
          <c:idx val="0"/>
          <c:order val="0"/>
          <c:tx>
            <c:strRef>
              <c:f>'Despesas - preço 2016'!$A$35</c:f>
              <c:strCache>
                <c:ptCount val="1"/>
                <c:pt idx="0">
                  <c:v>% Investimento/Despesa Total</c:v>
                </c:pt>
              </c:strCache>
            </c:strRef>
          </c:tx>
          <c:marker>
            <c:symbol val="none"/>
          </c:marker>
          <c:cat>
            <c:numRef>
              <c:f>'Despesas - preço 2016'!$B$34:$L$34</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'Despesas - preço 2016'!$B$35:$L$35</c:f>
              <c:numCache>
                <c:formatCode>0.0%</c:formatCode>
                <c:ptCount val="11"/>
                <c:pt idx="0">
                  <c:v>8.8086086651741086E-2</c:v>
                </c:pt>
                <c:pt idx="1">
                  <c:v>5.7479408120777065E-2</c:v>
                </c:pt>
                <c:pt idx="2">
                  <c:v>9.8740121917130552E-2</c:v>
                </c:pt>
                <c:pt idx="3">
                  <c:v>0.14875542695519475</c:v>
                </c:pt>
                <c:pt idx="4">
                  <c:v>0.13985530671984608</c:v>
                </c:pt>
                <c:pt idx="5">
                  <c:v>9.4444562355152695E-2</c:v>
                </c:pt>
                <c:pt idx="6">
                  <c:v>0.10364319110148199</c:v>
                </c:pt>
                <c:pt idx="7">
                  <c:v>0.15715618967497222</c:v>
                </c:pt>
                <c:pt idx="8">
                  <c:v>0.1229301825262821</c:v>
                </c:pt>
                <c:pt idx="9">
                  <c:v>6.6402428786352552E-2</c:v>
                </c:pt>
                <c:pt idx="10">
                  <c:v>9.3253906220463548E-2</c:v>
                </c:pt>
              </c:numCache>
            </c:numRef>
          </c:val>
          <c:smooth val="0"/>
          <c:extLst>
            <c:ext xmlns:c16="http://schemas.microsoft.com/office/drawing/2014/chart" uri="{C3380CC4-5D6E-409C-BE32-E72D297353CC}">
              <c16:uniqueId val="{00000000-7D80-45AB-971A-BE0808CCDA45}"/>
            </c:ext>
          </c:extLst>
        </c:ser>
        <c:dLbls>
          <c:showLegendKey val="0"/>
          <c:showVal val="0"/>
          <c:showCatName val="0"/>
          <c:showSerName val="0"/>
          <c:showPercent val="0"/>
          <c:showBubbleSize val="0"/>
        </c:dLbls>
        <c:smooth val="0"/>
        <c:axId val="372366680"/>
        <c:axId val="372367464"/>
      </c:lineChart>
      <c:catAx>
        <c:axId val="372366680"/>
        <c:scaling>
          <c:orientation val="minMax"/>
        </c:scaling>
        <c:delete val="0"/>
        <c:axPos val="b"/>
        <c:numFmt formatCode="General" sourceLinked="1"/>
        <c:majorTickMark val="out"/>
        <c:minorTickMark val="none"/>
        <c:tickLblPos val="nextTo"/>
        <c:crossAx val="372367464"/>
        <c:crosses val="autoZero"/>
        <c:auto val="1"/>
        <c:lblAlgn val="ctr"/>
        <c:lblOffset val="100"/>
        <c:noMultiLvlLbl val="0"/>
      </c:catAx>
      <c:valAx>
        <c:axId val="372367464"/>
        <c:scaling>
          <c:orientation val="minMax"/>
        </c:scaling>
        <c:delete val="0"/>
        <c:axPos val="l"/>
        <c:majorGridlines/>
        <c:numFmt formatCode="0.0%" sourceLinked="1"/>
        <c:majorTickMark val="out"/>
        <c:minorTickMark val="none"/>
        <c:tickLblPos val="nextTo"/>
        <c:crossAx val="37236668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2011-05-31T00:00:00</PublishDate>
  <Abstract>El presente estudio fue preparado por Luiz Villela (IFD/FMM) y Javier Beverinottil (Consultor IFD/FMM).</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1784DC5447CD345AD50CF9D0E3CAA9E" ma:contentTypeVersion="28" ma:contentTypeDescription="A content type to manage public (operations) IDB documents" ma:contentTypeScope="" ma:versionID="55dfc6aa8956e7f4c41526710bddbe85">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Barroso Tostes Neto, Jose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32</Value>
      <Value>15</Value>
      <Value>31</Value>
      <Value>30</Value>
      <Value>33</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R0001271332</Record_x0020_Number>
    <_dlc_DocId xmlns="cdc7663a-08f0-4737-9e8c-148ce897a09c">EZSHARE-266827654-7</_dlc_DocId>
    <_dlc_DocIdUrl xmlns="cdc7663a-08f0-4737-9e8c-148ce897a09c">
      <Url>https://idbg.sharepoint.com/teams/EZ-BR-LON/BR-L1502/_layouts/15/DocIdRedir.aspx?ID=EZSHARE-266827654-7</Url>
      <Description>EZSHARE-266827654-7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EE6E67-78E3-4A2F-B638-1C6C23374C4C}">
  <ds:schemaRefs>
    <ds:schemaRef ds:uri="http://schemas.openxmlformats.org/officeDocument/2006/bibliography"/>
  </ds:schemaRefs>
</ds:datastoreItem>
</file>

<file path=customXml/itemProps3.xml><?xml version="1.0" encoding="utf-8"?>
<ds:datastoreItem xmlns:ds="http://schemas.openxmlformats.org/officeDocument/2006/customXml" ds:itemID="{57A79B13-55F5-4BF1-B694-EAC60A33235F}"/>
</file>

<file path=customXml/itemProps4.xml><?xml version="1.0" encoding="utf-8"?>
<ds:datastoreItem xmlns:ds="http://schemas.openxmlformats.org/officeDocument/2006/customXml" ds:itemID="{49B67485-1AD3-44AC-BC05-EF405E01B398}"/>
</file>

<file path=customXml/itemProps5.xml><?xml version="1.0" encoding="utf-8"?>
<ds:datastoreItem xmlns:ds="http://schemas.openxmlformats.org/officeDocument/2006/customXml" ds:itemID="{95B8508C-FBC6-4F4B-8B5B-897BF020ED49}"/>
</file>

<file path=customXml/itemProps6.xml><?xml version="1.0" encoding="utf-8"?>
<ds:datastoreItem xmlns:ds="http://schemas.openxmlformats.org/officeDocument/2006/customXml" ds:itemID="{53A34EEA-2EE9-4A25-9A6A-E54BD8DC087F}"/>
</file>

<file path=customXml/itemProps7.xml><?xml version="1.0" encoding="utf-8"?>
<ds:datastoreItem xmlns:ds="http://schemas.openxmlformats.org/officeDocument/2006/customXml" ds:itemID="{136EBD5E-06B3-4A55-87FF-197FB6939C4C}"/>
</file>

<file path=customXml/itemProps8.xml><?xml version="1.0" encoding="utf-8"?>
<ds:datastoreItem xmlns:ds="http://schemas.openxmlformats.org/officeDocument/2006/customXml" ds:itemID="{7D2676EA-2D4A-4BD3-BB27-F15835A27625}"/>
</file>

<file path=customXml/itemProps9.xml><?xml version="1.0" encoding="utf-8"?>
<ds:datastoreItem xmlns:ds="http://schemas.openxmlformats.org/officeDocument/2006/customXml" ds:itemID="{BFAEA72A-331A-4EB6-8EEA-37D7C73A2F2A}"/>
</file>

<file path=docProps/app.xml><?xml version="1.0" encoding="utf-8"?>
<Properties xmlns="http://schemas.openxmlformats.org/officeDocument/2006/extended-properties" xmlns:vt="http://schemas.openxmlformats.org/officeDocument/2006/docPropsVTypes">
  <Template>Normal.dotm</Template>
  <TotalTime>15</TotalTime>
  <Pages>26</Pages>
  <Words>8923</Words>
  <Characters>50867</Characters>
  <Application>Microsoft Office Word</Application>
  <DocSecurity>0</DocSecurity>
  <Lines>423</Lines>
  <Paragraphs>119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Colombia</vt:lpstr>
      <vt:lpstr>Colombia</vt:lpstr>
    </vt:vector>
  </TitlesOfParts>
  <Company>Grizli777</Company>
  <LinksUpToDate>false</LinksUpToDate>
  <CharactersWithSpaces>59671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Colombia</dc:title>
  <dc:subject>PROGRAMA DE CONSOLIDACIÓN DE LA RESPONSABILIDAD FISCAL TERRITORIAL II (CO-L1117))</dc:subject>
  <dc:creator>Anexo de Análisis Económico</dc:creator>
  <cp:keywords/>
  <cp:lastModifiedBy>Kevish, Maria Lorena</cp:lastModifiedBy>
  <cp:revision>8</cp:revision>
  <cp:lastPrinted>2011-06-07T12:21:00Z</cp:lastPrinted>
  <dcterms:created xsi:type="dcterms:W3CDTF">2017-09-21T16:28:00Z</dcterms:created>
  <dcterms:modified xsi:type="dcterms:W3CDTF">2017-09-21T16:42:00Z</dcterms:modified>
  <cp:category>Estúdio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15;#Proposal for Operation Development (POD)|24e0d6d4-9e5f-4c37-abe1-0e66100c0228</vt:lpwstr>
  </property>
  <property fmtid="{D5CDD505-2E9C-101B-9397-08002B2CF9AE}" pid="7" name="Sub-Sector">
    <vt:lpwstr>32;#FISCAL POLICY FOR SUSTAINABILITY AND GROWTH|6e15b5e0-ae82-4b06-920a-eef6dd27cc8b</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31;#REFORM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_dlc_DocIdItemGuid">
    <vt:lpwstr>3b394e13-f05a-4fcc-9459-b26ceb834f6f</vt:lpwstr>
  </property>
  <property fmtid="{D5CDD505-2E9C-101B-9397-08002B2CF9AE}" pid="13" name="Disclosure Activity">
    <vt:lpwstr>Loan Proposal</vt:lpwstr>
  </property>
  <property fmtid="{D5CDD505-2E9C-101B-9397-08002B2CF9AE}" pid="14" name="ContentTypeId">
    <vt:lpwstr>0x0101001A458A224826124E8B45B1D613300CFC0031784DC5447CD345AD50CF9D0E3CAA9E</vt:lpwstr>
  </property>
</Properties>
</file>