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8FF76" w14:textId="77777777" w:rsidR="00B034D9" w:rsidRDefault="009D34CB">
      <w:pPr>
        <w:spacing w:before="200" w:after="200"/>
        <w:jc w:val="center"/>
      </w:pPr>
      <w:r>
        <w:rPr>
          <w:rFonts w:ascii="Arial" w:hAnsi="Arial" w:cs="Arial"/>
          <w:b/>
        </w:rPr>
        <w:t>TC ABSTRACT</w:t>
      </w:r>
    </w:p>
    <w:p w14:paraId="095D31A1" w14:textId="77777777" w:rsidR="00B034D9" w:rsidRDefault="009D34CB">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09"/>
        <w:gridCol w:w="5133"/>
      </w:tblGrid>
      <w:tr w:rsidR="00B034D9" w14:paraId="55E03E27" w14:textId="77777777">
        <w:trPr>
          <w:jc w:val="center"/>
        </w:trPr>
        <w:tc>
          <w:tcPr>
            <w:tcW w:w="5250" w:type="dxa"/>
          </w:tcPr>
          <w:p w14:paraId="5745A635"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26062C5A" w14:textId="77777777" w:rsidR="00B034D9" w:rsidRDefault="009D34CB">
            <w:pPr>
              <w:spacing w:before="40" w:after="40"/>
            </w:pPr>
            <w:r>
              <w:rPr>
                <w:rFonts w:ascii="Arial" w:hAnsi="Arial" w:cs="Arial"/>
                <w:sz w:val="18"/>
                <w:szCs w:val="18"/>
              </w:rPr>
              <w:t>PERU/CAN - Andean Group</w:t>
            </w:r>
          </w:p>
        </w:tc>
      </w:tr>
      <w:tr w:rsidR="00B034D9" w14:paraId="35DFA920" w14:textId="77777777">
        <w:trPr>
          <w:jc w:val="center"/>
        </w:trPr>
        <w:tc>
          <w:tcPr>
            <w:tcW w:w="5250" w:type="dxa"/>
          </w:tcPr>
          <w:p w14:paraId="16BD469F"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764AFD2D" w14:textId="77777777" w:rsidR="00B034D9" w:rsidRDefault="009D34CB">
            <w:pPr>
              <w:spacing w:before="40" w:after="40"/>
            </w:pPr>
            <w:r>
              <w:rPr>
                <w:rFonts w:ascii="Arial" w:hAnsi="Arial" w:cs="Arial"/>
                <w:sz w:val="18"/>
                <w:szCs w:val="18"/>
              </w:rPr>
              <w:t>Strengthen the institutional capacity of the public sector to improve the response of immigration services to nationals and foreigners.</w:t>
            </w:r>
          </w:p>
        </w:tc>
      </w:tr>
      <w:tr w:rsidR="00B034D9" w14:paraId="18EB3D9D" w14:textId="77777777">
        <w:trPr>
          <w:jc w:val="center"/>
        </w:trPr>
        <w:tc>
          <w:tcPr>
            <w:tcW w:w="5250" w:type="dxa"/>
          </w:tcPr>
          <w:p w14:paraId="6067FB2D"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101BE34A" w14:textId="77777777" w:rsidR="00B034D9" w:rsidRDefault="009D34CB">
            <w:pPr>
              <w:spacing w:before="40" w:after="40"/>
            </w:pPr>
            <w:r>
              <w:rPr>
                <w:rFonts w:ascii="Arial" w:hAnsi="Arial" w:cs="Arial"/>
                <w:sz w:val="18"/>
                <w:szCs w:val="18"/>
              </w:rPr>
              <w:t>PE-T1508</w:t>
            </w:r>
          </w:p>
        </w:tc>
      </w:tr>
      <w:tr w:rsidR="00B034D9" w14:paraId="27C1B843" w14:textId="77777777">
        <w:trPr>
          <w:jc w:val="center"/>
        </w:trPr>
        <w:tc>
          <w:tcPr>
            <w:tcW w:w="5250" w:type="dxa"/>
          </w:tcPr>
          <w:p w14:paraId="13A77E90"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Team Leader/Members:</w:t>
            </w:r>
          </w:p>
        </w:tc>
        <w:tc>
          <w:tcPr>
            <w:tcW w:w="6750" w:type="dxa"/>
          </w:tcPr>
          <w:p w14:paraId="1BAF1B94" w14:textId="77777777" w:rsidR="00B034D9" w:rsidRDefault="009D34CB">
            <w:pPr>
              <w:spacing w:before="40" w:after="40"/>
            </w:pPr>
            <w:r>
              <w:rPr>
                <w:rFonts w:ascii="Arial" w:hAnsi="Arial" w:cs="Arial"/>
                <w:sz w:val="18"/>
                <w:szCs w:val="18"/>
              </w:rPr>
              <w:t xml:space="preserve">ZEGARRA AZCUI, FRANCISCO (VPS/MIG) Team Leader; SOBRAL DE ELIA, MARIANA (VPS/MIG); HARRIS, JEREMY TYLER (VPS/MIG); VAN DER WERF CUADROS, CYNTHIA (VPS/MIG); ACEVEDO CALLE, DANIELA (LEG/SGO); VILLAFUERTE MANZANO, ALBA CECILIA (CAN/CAN); </w:t>
            </w:r>
            <w:r>
              <w:rPr>
                <w:rFonts w:ascii="Arial" w:hAnsi="Arial" w:cs="Arial"/>
                <w:sz w:val="18"/>
                <w:szCs w:val="18"/>
              </w:rPr>
              <w:t>ADELA DAVALOS (VPS/MIG)</w:t>
            </w:r>
          </w:p>
        </w:tc>
      </w:tr>
      <w:tr w:rsidR="00B034D9" w14:paraId="7AA5A281" w14:textId="77777777">
        <w:trPr>
          <w:jc w:val="center"/>
        </w:trPr>
        <w:tc>
          <w:tcPr>
            <w:tcW w:w="5250" w:type="dxa"/>
          </w:tcPr>
          <w:p w14:paraId="4DC69E5B"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57B5F5DA" w14:textId="77777777" w:rsidR="00B034D9" w:rsidRDefault="009D34CB">
            <w:pPr>
              <w:spacing w:before="40" w:after="40"/>
            </w:pPr>
            <w:r>
              <w:rPr>
                <w:rFonts w:ascii="Arial" w:hAnsi="Arial" w:cs="Arial"/>
                <w:sz w:val="18"/>
                <w:szCs w:val="18"/>
              </w:rPr>
              <w:t>Client Support</w:t>
            </w:r>
          </w:p>
        </w:tc>
      </w:tr>
      <w:tr w:rsidR="00B034D9" w14:paraId="56D7AE91" w14:textId="77777777">
        <w:trPr>
          <w:jc w:val="center"/>
        </w:trPr>
        <w:tc>
          <w:tcPr>
            <w:tcW w:w="5250" w:type="dxa"/>
          </w:tcPr>
          <w:p w14:paraId="3F5827CC"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33FB9D8B" w14:textId="77777777" w:rsidR="00B034D9" w:rsidRDefault="009D34CB">
            <w:pPr>
              <w:spacing w:before="40" w:after="40"/>
            </w:pPr>
            <w:r>
              <w:rPr>
                <w:rFonts w:ascii="Arial" w:hAnsi="Arial" w:cs="Arial"/>
                <w:sz w:val="18"/>
                <w:szCs w:val="18"/>
              </w:rPr>
              <w:t>N/A</w:t>
            </w:r>
          </w:p>
        </w:tc>
      </w:tr>
      <w:tr w:rsidR="00B034D9" w14:paraId="31A0588F" w14:textId="77777777">
        <w:trPr>
          <w:jc w:val="center"/>
        </w:trPr>
        <w:tc>
          <w:tcPr>
            <w:tcW w:w="5250" w:type="dxa"/>
          </w:tcPr>
          <w:p w14:paraId="2B50DF0C"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58899830" w14:textId="77777777" w:rsidR="00B034D9" w:rsidRDefault="009D34CB">
            <w:pPr>
              <w:spacing w:before="40" w:after="40"/>
            </w:pPr>
            <w:r>
              <w:rPr>
                <w:rFonts w:ascii="Arial" w:hAnsi="Arial" w:cs="Arial"/>
                <w:sz w:val="18"/>
                <w:szCs w:val="18"/>
              </w:rPr>
              <w:t>08 Mar 2022</w:t>
            </w:r>
          </w:p>
        </w:tc>
      </w:tr>
      <w:tr w:rsidR="00B034D9" w:rsidRPr="009D34CB" w14:paraId="730BFDA5" w14:textId="77777777">
        <w:trPr>
          <w:jc w:val="center"/>
        </w:trPr>
        <w:tc>
          <w:tcPr>
            <w:tcW w:w="5250" w:type="dxa"/>
          </w:tcPr>
          <w:p w14:paraId="6F7227BC"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096B4392" w14:textId="77777777" w:rsidR="00B034D9" w:rsidRPr="009D34CB" w:rsidRDefault="009D34CB">
            <w:pPr>
              <w:spacing w:before="40" w:after="40"/>
              <w:rPr>
                <w:lang w:val="es-419"/>
              </w:rPr>
            </w:pPr>
            <w:r w:rsidRPr="009D34CB">
              <w:rPr>
                <w:rFonts w:ascii="Arial" w:hAnsi="Arial" w:cs="Arial"/>
                <w:sz w:val="18"/>
                <w:szCs w:val="18"/>
                <w:lang w:val="es-419"/>
              </w:rPr>
              <w:t>Superintendencia Nacional de Migraciones del Peru</w:t>
            </w:r>
          </w:p>
        </w:tc>
      </w:tr>
      <w:tr w:rsidR="00B034D9" w14:paraId="5157C63F" w14:textId="77777777">
        <w:trPr>
          <w:jc w:val="center"/>
        </w:trPr>
        <w:tc>
          <w:tcPr>
            <w:tcW w:w="5250" w:type="dxa"/>
          </w:tcPr>
          <w:p w14:paraId="2E0E9954"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14:paraId="011D050F" w14:textId="77777777" w:rsidR="00B034D9" w:rsidRDefault="009D34CB">
            <w:pPr>
              <w:spacing w:before="40" w:after="40"/>
            </w:pPr>
            <w:r>
              <w:rPr>
                <w:rFonts w:ascii="Arial" w:hAnsi="Arial" w:cs="Arial"/>
                <w:sz w:val="18"/>
                <w:szCs w:val="18"/>
              </w:rPr>
              <w:t>INTER-AMERICAN DEVELOPMENT BANK</w:t>
            </w:r>
          </w:p>
        </w:tc>
      </w:tr>
      <w:tr w:rsidR="00B034D9" w14:paraId="7E41B9B9" w14:textId="77777777">
        <w:trPr>
          <w:jc w:val="center"/>
        </w:trPr>
        <w:tc>
          <w:tcPr>
            <w:tcW w:w="5250" w:type="dxa"/>
          </w:tcPr>
          <w:p w14:paraId="2F5D48C3"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28BD3908" w14:textId="77777777" w:rsidR="00B034D9" w:rsidRDefault="009D34CB">
            <w:pPr>
              <w:bidi/>
              <w:spacing w:before="40" w:after="40"/>
            </w:pPr>
            <w:r>
              <w:rPr>
                <w:rFonts w:ascii="Arial" w:hAnsi="Arial" w:cs="Arial"/>
                <w:sz w:val="18"/>
                <w:szCs w:val="18"/>
              </w:rPr>
              <w:t>US$150,000.00</w:t>
            </w:r>
          </w:p>
        </w:tc>
      </w:tr>
      <w:tr w:rsidR="00B034D9" w14:paraId="705D9681" w14:textId="77777777">
        <w:trPr>
          <w:jc w:val="center"/>
        </w:trPr>
        <w:tc>
          <w:tcPr>
            <w:tcW w:w="5250" w:type="dxa"/>
          </w:tcPr>
          <w:p w14:paraId="3A7EFBE6"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34926C9D" w14:textId="77777777" w:rsidR="00B034D9" w:rsidRDefault="009D34CB">
            <w:pPr>
              <w:bidi/>
              <w:spacing w:before="40" w:after="40"/>
            </w:pPr>
            <w:r>
              <w:rPr>
                <w:rFonts w:ascii="Arial" w:hAnsi="Arial" w:cs="Arial"/>
                <w:sz w:val="18"/>
                <w:szCs w:val="18"/>
              </w:rPr>
              <w:t>US$0.00</w:t>
            </w:r>
          </w:p>
        </w:tc>
      </w:tr>
      <w:tr w:rsidR="00B034D9" w14:paraId="5EDC8A9C" w14:textId="77777777">
        <w:trPr>
          <w:jc w:val="center"/>
        </w:trPr>
        <w:tc>
          <w:tcPr>
            <w:tcW w:w="5250" w:type="dxa"/>
          </w:tcPr>
          <w:p w14:paraId="5163BA0A"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79E4F01D" w14:textId="77777777" w:rsidR="00B034D9" w:rsidRDefault="009D34CB">
            <w:pPr>
              <w:bidi/>
              <w:spacing w:before="40" w:after="40"/>
            </w:pPr>
            <w:r>
              <w:rPr>
                <w:rFonts w:ascii="Arial" w:hAnsi="Arial" w:cs="Arial"/>
                <w:sz w:val="18"/>
                <w:szCs w:val="18"/>
              </w:rPr>
              <w:t>24 months</w:t>
            </w:r>
          </w:p>
        </w:tc>
      </w:tr>
      <w:tr w:rsidR="00B034D9" w14:paraId="5D8A645C" w14:textId="77777777">
        <w:trPr>
          <w:jc w:val="center"/>
        </w:trPr>
        <w:tc>
          <w:tcPr>
            <w:tcW w:w="5250" w:type="dxa"/>
          </w:tcPr>
          <w:p w14:paraId="4DBE6919"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1CD2C98A" w14:textId="77777777" w:rsidR="00B034D9" w:rsidRDefault="009D34CB">
            <w:pPr>
              <w:spacing w:before="40" w:after="40"/>
            </w:pPr>
            <w:r>
              <w:rPr>
                <w:rFonts w:ascii="Arial" w:hAnsi="Arial" w:cs="Arial"/>
                <w:sz w:val="18"/>
                <w:szCs w:val="18"/>
              </w:rPr>
              <w:t>Individuals; Firms</w:t>
            </w:r>
          </w:p>
        </w:tc>
      </w:tr>
      <w:tr w:rsidR="00B034D9" w14:paraId="49ADB690" w14:textId="77777777">
        <w:trPr>
          <w:jc w:val="center"/>
        </w:trPr>
        <w:tc>
          <w:tcPr>
            <w:tcW w:w="5250" w:type="dxa"/>
          </w:tcPr>
          <w:p w14:paraId="2139043A"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2363E0A4" w14:textId="77777777" w:rsidR="00B034D9" w:rsidRDefault="009D34CB">
            <w:pPr>
              <w:spacing w:before="40" w:after="40"/>
            </w:pPr>
            <w:r>
              <w:rPr>
                <w:rFonts w:ascii="Arial" w:hAnsi="Arial" w:cs="Arial"/>
                <w:sz w:val="18"/>
                <w:szCs w:val="18"/>
              </w:rPr>
              <w:t>SCL/MIG - Migration Unit</w:t>
            </w:r>
          </w:p>
        </w:tc>
      </w:tr>
      <w:tr w:rsidR="00B034D9" w14:paraId="745348D8" w14:textId="77777777">
        <w:trPr>
          <w:jc w:val="center"/>
        </w:trPr>
        <w:tc>
          <w:tcPr>
            <w:tcW w:w="5250" w:type="dxa"/>
          </w:tcPr>
          <w:p w14:paraId="28419AFD"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Unit of </w:t>
            </w:r>
            <w:r>
              <w:rPr>
                <w:rFonts w:ascii="Arial" w:hAnsi="Arial" w:cs="Arial"/>
                <w:sz w:val="18"/>
                <w:szCs w:val="18"/>
              </w:rPr>
              <w:t>Disbursement Responsibility:</w:t>
            </w:r>
          </w:p>
        </w:tc>
        <w:tc>
          <w:tcPr>
            <w:tcW w:w="6750" w:type="dxa"/>
          </w:tcPr>
          <w:p w14:paraId="77E3AC3B" w14:textId="77777777" w:rsidR="00B034D9" w:rsidRDefault="009D34CB">
            <w:pPr>
              <w:spacing w:before="40" w:after="40"/>
            </w:pPr>
            <w:r>
              <w:rPr>
                <w:rFonts w:ascii="Arial" w:hAnsi="Arial" w:cs="Arial"/>
                <w:sz w:val="18"/>
                <w:szCs w:val="18"/>
              </w:rPr>
              <w:t>SCL/MIG - Migration Unit</w:t>
            </w:r>
          </w:p>
        </w:tc>
      </w:tr>
      <w:tr w:rsidR="00B034D9" w14:paraId="5BDA6258" w14:textId="77777777">
        <w:trPr>
          <w:jc w:val="center"/>
        </w:trPr>
        <w:tc>
          <w:tcPr>
            <w:tcW w:w="5250" w:type="dxa"/>
          </w:tcPr>
          <w:p w14:paraId="3A1E7896" w14:textId="77777777" w:rsidR="00B034D9" w:rsidRDefault="009D34CB">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6750" w:type="dxa"/>
          </w:tcPr>
          <w:p w14:paraId="3E04DE8B" w14:textId="77777777" w:rsidR="00B034D9" w:rsidRDefault="009D34CB">
            <w:pPr>
              <w:spacing w:before="40" w:after="40"/>
            </w:pPr>
            <w:r>
              <w:rPr>
                <w:rFonts w:ascii="Arial" w:hAnsi="Arial" w:cs="Arial"/>
                <w:sz w:val="18"/>
                <w:szCs w:val="18"/>
              </w:rPr>
              <w:t>Yes</w:t>
            </w:r>
            <w:r>
              <w:rPr>
                <w:rFonts w:ascii="Arial" w:hAnsi="Arial" w:cs="Arial"/>
                <w:sz w:val="18"/>
                <w:szCs w:val="18"/>
              </w:rPr>
              <w:br/>
            </w:r>
            <w:r>
              <w:rPr>
                <w:rFonts w:ascii="Arial" w:hAnsi="Arial" w:cs="Arial"/>
                <w:sz w:val="18"/>
                <w:szCs w:val="18"/>
              </w:rPr>
              <w:br/>
            </w:r>
            <w:proofErr w:type="spellStart"/>
            <w:r>
              <w:rPr>
                <w:rFonts w:ascii="Arial" w:hAnsi="Arial" w:cs="Arial"/>
                <w:sz w:val="18"/>
                <w:szCs w:val="18"/>
              </w:rPr>
              <w:t>Yes</w:t>
            </w:r>
            <w:proofErr w:type="spellEnd"/>
          </w:p>
        </w:tc>
      </w:tr>
      <w:tr w:rsidR="00B034D9" w14:paraId="26F4A733" w14:textId="77777777">
        <w:trPr>
          <w:jc w:val="center"/>
        </w:trPr>
        <w:tc>
          <w:tcPr>
            <w:tcW w:w="5250" w:type="dxa"/>
          </w:tcPr>
          <w:p w14:paraId="63FBC0BA" w14:textId="77777777" w:rsidR="00B034D9" w:rsidRDefault="009D34CB">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6750" w:type="dxa"/>
          </w:tcPr>
          <w:p w14:paraId="4C1D9BF3" w14:textId="77777777" w:rsidR="00B034D9" w:rsidRDefault="009D34CB">
            <w:pPr>
              <w:spacing w:before="40" w:after="40"/>
            </w:pPr>
            <w:r>
              <w:rPr>
                <w:rFonts w:ascii="Arial" w:hAnsi="Arial" w:cs="Arial"/>
                <w:sz w:val="18"/>
                <w:szCs w:val="18"/>
              </w:rPr>
              <w:t xml:space="preserve">Social inclusion and </w:t>
            </w:r>
            <w:proofErr w:type="gramStart"/>
            <w:r>
              <w:rPr>
                <w:rFonts w:ascii="Arial" w:hAnsi="Arial" w:cs="Arial"/>
                <w:sz w:val="18"/>
                <w:szCs w:val="18"/>
              </w:rPr>
              <w:t>equality ;</w:t>
            </w:r>
            <w:proofErr w:type="gramEnd"/>
            <w:r>
              <w:rPr>
                <w:rFonts w:ascii="Arial" w:hAnsi="Arial" w:cs="Arial"/>
                <w:sz w:val="18"/>
                <w:szCs w:val="18"/>
              </w:rPr>
              <w:t xml:space="preserve"> </w:t>
            </w:r>
            <w:r>
              <w:rPr>
                <w:rFonts w:ascii="Arial" w:hAnsi="Arial" w:cs="Arial"/>
                <w:sz w:val="18"/>
                <w:szCs w:val="18"/>
              </w:rPr>
              <w:t>Productivity and innovation ; Institutional capacity and rule of law</w:t>
            </w:r>
          </w:p>
        </w:tc>
      </w:tr>
      <w:tr w:rsidR="00B034D9" w14:paraId="49818187" w14:textId="77777777">
        <w:trPr>
          <w:jc w:val="center"/>
        </w:trPr>
        <w:tc>
          <w:tcPr>
            <w:tcW w:w="5250" w:type="dxa"/>
          </w:tcPr>
          <w:p w14:paraId="12BF14EA" w14:textId="77777777" w:rsidR="00B034D9" w:rsidRDefault="00B034D9"/>
        </w:tc>
        <w:tc>
          <w:tcPr>
            <w:tcW w:w="6750" w:type="dxa"/>
          </w:tcPr>
          <w:p w14:paraId="47921020" w14:textId="77777777" w:rsidR="00B034D9" w:rsidRDefault="00B034D9"/>
        </w:tc>
      </w:tr>
    </w:tbl>
    <w:p w14:paraId="0852F316" w14:textId="77777777" w:rsidR="00B034D9" w:rsidRDefault="009D34CB">
      <w:pPr>
        <w:spacing w:before="120" w:after="120"/>
        <w:ind w:left="579" w:hanging="579"/>
      </w:pPr>
      <w:r>
        <w:rPr>
          <w:rFonts w:ascii="Arial" w:hAnsi="Arial" w:cs="Arial"/>
          <w:b/>
        </w:rPr>
        <w:t>II.</w:t>
      </w:r>
      <w:r>
        <w:rPr>
          <w:rFonts w:ascii="Arial" w:hAnsi="Arial" w:cs="Arial"/>
          <w:b/>
        </w:rPr>
        <w:tab/>
        <w:t>Objective and Justification</w:t>
      </w:r>
    </w:p>
    <w:p w14:paraId="71443AB4" w14:textId="77777777" w:rsidR="00B034D9" w:rsidRDefault="009D34CB">
      <w:pPr>
        <w:spacing w:before="120" w:after="120"/>
        <w:ind w:left="579" w:hanging="579"/>
        <w:jc w:val="both"/>
      </w:pPr>
      <w:r>
        <w:rPr>
          <w:rFonts w:ascii="Arial" w:hAnsi="Arial" w:cs="Arial"/>
        </w:rPr>
        <w:t>2.1</w:t>
      </w:r>
      <w:r>
        <w:rPr>
          <w:rFonts w:ascii="Arial" w:hAnsi="Arial" w:cs="Arial"/>
        </w:rPr>
        <w:tab/>
        <w:t xml:space="preserve">The objective of technical cooperation is to strengthen the institutional capacity of the public sector and its digital </w:t>
      </w:r>
      <w:r>
        <w:rPr>
          <w:rFonts w:ascii="Arial" w:hAnsi="Arial" w:cs="Arial"/>
        </w:rPr>
        <w:t>transformation agenda, to improve the response of migration services to national and foreign citizens, and public policy decision making, which contributes to the planning of programs, projects, plans, and other mechanisms, for the attention of the populat</w:t>
      </w:r>
      <w:r>
        <w:rPr>
          <w:rFonts w:ascii="Arial" w:hAnsi="Arial" w:cs="Arial"/>
        </w:rPr>
        <w:t>ion in condition of mobility and receiving population, in areas with high concentrations of migratory flows in the Peruvian national territory.</w:t>
      </w:r>
    </w:p>
    <w:p w14:paraId="618CEF91" w14:textId="77777777" w:rsidR="00B034D9" w:rsidRPr="009D34CB" w:rsidRDefault="009D34CB">
      <w:pPr>
        <w:spacing w:before="120" w:after="120"/>
        <w:ind w:left="579" w:hanging="579"/>
        <w:jc w:val="both"/>
        <w:rPr>
          <w:lang w:val="es-419"/>
        </w:rPr>
      </w:pPr>
      <w:r w:rsidRPr="009D34CB">
        <w:rPr>
          <w:rFonts w:ascii="Arial" w:hAnsi="Arial" w:cs="Arial"/>
          <w:lang w:val="es-419"/>
        </w:rPr>
        <w:t>2.2</w:t>
      </w:r>
      <w:r w:rsidRPr="009D34CB">
        <w:rPr>
          <w:rFonts w:ascii="Arial" w:hAnsi="Arial" w:cs="Arial"/>
          <w:lang w:val="es-419"/>
        </w:rPr>
        <w:tab/>
        <w:t>Desde el 2018, Perú enfrenta uno de los mayores éxodos migratorios en la historia del mundo, recibiendo a má</w:t>
      </w:r>
      <w:r w:rsidRPr="009D34CB">
        <w:rPr>
          <w:rFonts w:ascii="Arial" w:hAnsi="Arial" w:cs="Arial"/>
          <w:lang w:val="es-419"/>
        </w:rPr>
        <w:t>s de 1 millón de migrantes desde Venezuela . Este flujo repentino, ha demandado un esfuerzo importante del Gobierno para planificar, formular e implementar políticas de atención en poblaciones receptoras, que se ha ido retroalimentando de la información de</w:t>
      </w:r>
      <w:r w:rsidRPr="009D34CB">
        <w:rPr>
          <w:rFonts w:ascii="Arial" w:hAnsi="Arial" w:cs="Arial"/>
          <w:lang w:val="es-419"/>
        </w:rPr>
        <w:t>rivada de los procesos de regularización y de caracterización. Esto, se ha visto reflejado en acciones importantes como: (i) La implementación de dos procesos de regularización de población migrante y refugiada proveniente de Venezuela; y (ii) La implement</w:t>
      </w:r>
      <w:r w:rsidRPr="009D34CB">
        <w:rPr>
          <w:rFonts w:ascii="Arial" w:hAnsi="Arial" w:cs="Arial"/>
          <w:lang w:val="es-419"/>
        </w:rPr>
        <w:t xml:space="preserve">ación de la Agencia Digital , como Plataforma de la Superintendencia Nacional de Migraciones (SNM), para llevar a cabo trámites migratorios tanto para peruanos como extranjeros, como mecanismo de facilitación y agilización de procesos para los ciudadanos. </w:t>
      </w:r>
      <w:r w:rsidRPr="009D34CB">
        <w:rPr>
          <w:rFonts w:ascii="Arial" w:hAnsi="Arial" w:cs="Arial"/>
          <w:lang w:val="es-419"/>
        </w:rPr>
        <w:br/>
        <w:t xml:space="preserve">En ese contexto desafiante, la SNM, tuvo la responsabilidad de diseñar e </w:t>
      </w:r>
      <w:r w:rsidRPr="009D34CB">
        <w:rPr>
          <w:rFonts w:ascii="Arial" w:hAnsi="Arial" w:cs="Arial"/>
          <w:lang w:val="es-419"/>
        </w:rPr>
        <w:lastRenderedPageBreak/>
        <w:t xml:space="preserve">implementar, con el apoyo del BID, un Sistema de Registro de Información Migratoria (SRIM) que permite registrar datos personales de peruanos y extranjeros, así como, la información </w:t>
      </w:r>
      <w:r w:rsidRPr="009D34CB">
        <w:rPr>
          <w:rFonts w:ascii="Arial" w:hAnsi="Arial" w:cs="Arial"/>
          <w:lang w:val="es-419"/>
        </w:rPr>
        <w:t>migratoria y documentos expedidos a favor de estos, con la finalidad de fortalecer la gestión migratoria del país. El SRIM es el registro interoperable más grande que en los últimos años se ha trazado el Estado Peruano y tiene en la SNM, al organismo técni</w:t>
      </w:r>
      <w:r w:rsidRPr="009D34CB">
        <w:rPr>
          <w:rFonts w:ascii="Arial" w:hAnsi="Arial" w:cs="Arial"/>
          <w:lang w:val="es-419"/>
        </w:rPr>
        <w:t>co especializado, encargado de su diseño, desarrollo, implementación y administración continua para una eficiente gestión optima de la información, que permita llevar a cabo un análisis adecuado del perfil de la población migrante, y la transferencia de la</w:t>
      </w:r>
      <w:r w:rsidRPr="009D34CB">
        <w:rPr>
          <w:rFonts w:ascii="Arial" w:hAnsi="Arial" w:cs="Arial"/>
          <w:lang w:val="es-419"/>
        </w:rPr>
        <w:t xml:space="preserve"> información caracterizada e individual del registro.  La presente Cooperación Técnica, pretende dar continuidad al apoyo mencionado, con la promoción de tecnologías de analítica de los datos para generar modelos probabilísticos, para la producción, sistem</w:t>
      </w:r>
      <w:r w:rsidRPr="009D34CB">
        <w:rPr>
          <w:rFonts w:ascii="Arial" w:hAnsi="Arial" w:cs="Arial"/>
          <w:lang w:val="es-419"/>
        </w:rPr>
        <w:t>atización y difusión de la información, con fines de planificación a nivel nacional y territorial.</w:t>
      </w:r>
    </w:p>
    <w:p w14:paraId="76CF8855" w14:textId="77777777" w:rsidR="00B034D9" w:rsidRPr="009D34CB" w:rsidRDefault="009D34CB">
      <w:pPr>
        <w:spacing w:before="120" w:after="120"/>
        <w:ind w:left="579" w:hanging="579"/>
        <w:jc w:val="both"/>
        <w:rPr>
          <w:lang w:val="es-419"/>
        </w:rPr>
      </w:pPr>
      <w:r w:rsidRPr="009D34CB">
        <w:rPr>
          <w:rFonts w:ascii="Arial" w:hAnsi="Arial" w:cs="Arial"/>
          <w:lang w:val="es-419"/>
        </w:rPr>
        <w:t>2.3</w:t>
      </w:r>
      <w:r w:rsidRPr="009D34CB">
        <w:rPr>
          <w:rFonts w:ascii="Arial" w:hAnsi="Arial" w:cs="Arial"/>
          <w:lang w:val="es-419"/>
        </w:rPr>
        <w:tab/>
        <w:t>Asimismo, la asistencia tecnica apoyará la arquitectura de solución del nuevo Sistema de Control Migratorio, bajo un modelo interoperable, efectivo y efi</w:t>
      </w:r>
      <w:r w:rsidRPr="009D34CB">
        <w:rPr>
          <w:rFonts w:ascii="Arial" w:hAnsi="Arial" w:cs="Arial"/>
          <w:lang w:val="es-419"/>
        </w:rPr>
        <w:t xml:space="preserve">ciente, que incremente la capacidad operativa de la SNM y con ello la capacidad de toma de decisiones informadas. </w:t>
      </w:r>
    </w:p>
    <w:p w14:paraId="12AE0BFC" w14:textId="77777777" w:rsidR="00B034D9" w:rsidRPr="009D34CB" w:rsidRDefault="009D34CB">
      <w:pPr>
        <w:spacing w:before="120" w:after="120"/>
        <w:ind w:left="579" w:hanging="579"/>
        <w:jc w:val="both"/>
        <w:rPr>
          <w:lang w:val="es-419"/>
        </w:rPr>
      </w:pPr>
      <w:r w:rsidRPr="009D34CB">
        <w:rPr>
          <w:rFonts w:ascii="Arial" w:hAnsi="Arial" w:cs="Arial"/>
          <w:lang w:val="es-419"/>
        </w:rPr>
        <w:t>2.4</w:t>
      </w:r>
      <w:r w:rsidRPr="009D34CB">
        <w:rPr>
          <w:rFonts w:ascii="Arial" w:hAnsi="Arial" w:cs="Arial"/>
          <w:lang w:val="es-419"/>
        </w:rPr>
        <w:tab/>
        <w:t>Finalmente, los riesgos de ciberseguridad representan un importante reto para fortalecer la capacidad institucional en materia migratoria</w:t>
      </w:r>
      <w:r w:rsidRPr="009D34CB">
        <w:rPr>
          <w:rFonts w:ascii="Arial" w:hAnsi="Arial" w:cs="Arial"/>
          <w:lang w:val="es-419"/>
        </w:rPr>
        <w:t>. La información recopilada por la SNM es altamente sensible y contiene datos confidenciales, que pueden estar sujetos a brechas de seguridad.</w:t>
      </w:r>
    </w:p>
    <w:p w14:paraId="3A0E73A0" w14:textId="77777777" w:rsidR="00B034D9" w:rsidRDefault="009D34CB">
      <w:pPr>
        <w:spacing w:before="120" w:after="120"/>
        <w:ind w:left="579" w:hanging="579"/>
      </w:pPr>
      <w:r>
        <w:rPr>
          <w:rFonts w:ascii="Arial" w:hAnsi="Arial" w:cs="Arial"/>
          <w:b/>
        </w:rPr>
        <w:t>III.</w:t>
      </w:r>
      <w:r>
        <w:rPr>
          <w:rFonts w:ascii="Arial" w:hAnsi="Arial" w:cs="Arial"/>
          <w:b/>
        </w:rPr>
        <w:tab/>
        <w:t>Description of Activities and Outputs</w:t>
      </w:r>
    </w:p>
    <w:p w14:paraId="577699FD" w14:textId="77777777" w:rsidR="00B034D9" w:rsidRPr="009D34CB" w:rsidRDefault="009D34CB">
      <w:pPr>
        <w:spacing w:before="120" w:after="120"/>
        <w:ind w:left="579" w:hanging="579"/>
        <w:jc w:val="both"/>
        <w:rPr>
          <w:lang w:val="es-419"/>
        </w:rPr>
      </w:pPr>
      <w:r w:rsidRPr="009D34CB">
        <w:rPr>
          <w:rFonts w:ascii="Arial" w:hAnsi="Arial" w:cs="Arial"/>
          <w:lang w:val="es-419"/>
        </w:rPr>
        <w:t>3.1</w:t>
      </w:r>
      <w:r w:rsidRPr="009D34CB">
        <w:rPr>
          <w:rFonts w:ascii="Arial" w:hAnsi="Arial" w:cs="Arial"/>
          <w:lang w:val="es-419"/>
        </w:rPr>
        <w:tab/>
      </w:r>
      <w:r w:rsidRPr="009D34CB">
        <w:rPr>
          <w:rFonts w:ascii="Arial" w:hAnsi="Arial" w:cs="Arial"/>
          <w:b/>
          <w:lang w:val="es-419"/>
        </w:rPr>
        <w:t>Component I: Apoyo a la transformación digital del sector Migrator</w:t>
      </w:r>
      <w:r w:rsidRPr="009D34CB">
        <w:rPr>
          <w:rFonts w:ascii="Arial" w:hAnsi="Arial" w:cs="Arial"/>
          <w:b/>
          <w:lang w:val="es-419"/>
        </w:rPr>
        <w:t>io en el Perú</w:t>
      </w:r>
      <w:proofErr w:type="gramStart"/>
      <w:r w:rsidRPr="009D34CB">
        <w:rPr>
          <w:rFonts w:ascii="Arial" w:hAnsi="Arial" w:cs="Arial"/>
          <w:b/>
          <w:lang w:val="es-419"/>
        </w:rPr>
        <w:t>. .</w:t>
      </w:r>
      <w:proofErr w:type="gramEnd"/>
      <w:r w:rsidRPr="009D34CB">
        <w:rPr>
          <w:rFonts w:ascii="Arial" w:hAnsi="Arial" w:cs="Arial"/>
          <w:b/>
          <w:lang w:val="es-419"/>
        </w:rPr>
        <w:t xml:space="preserve"> </w:t>
      </w:r>
      <w:r w:rsidRPr="009D34CB">
        <w:rPr>
          <w:rFonts w:ascii="Arial" w:hAnsi="Arial" w:cs="Arial"/>
          <w:lang w:val="es-419"/>
        </w:rPr>
        <w:t xml:space="preserve">Se realizarán actividades de consultoría especializada para apoyar la arquitectura de solución del nuevo Sistema de Control Migratorio, la gestion de la información del SRIM y un diagnóstico de las vulnerabilidades que afecten a las </w:t>
      </w:r>
      <w:r w:rsidRPr="009D34CB">
        <w:rPr>
          <w:rFonts w:ascii="Arial" w:hAnsi="Arial" w:cs="Arial"/>
          <w:lang w:val="es-419"/>
        </w:rPr>
        <w:t>propiedades de confidencialidad, integridad y disponibilidad de los activos de información, desde el enfoque de la seguridad lógica y física; con el objetivo de desarrollar pruebas alineadas a las mejores prácticas y/o estándares de ciber seguridad</w:t>
      </w:r>
    </w:p>
    <w:p w14:paraId="7BFE6915" w14:textId="77777777" w:rsidR="00B034D9" w:rsidRDefault="009D34CB">
      <w:pPr>
        <w:spacing w:before="120" w:after="120"/>
        <w:ind w:left="579" w:hanging="579"/>
      </w:pPr>
      <w:r>
        <w:rPr>
          <w:rFonts w:ascii="Arial" w:hAnsi="Arial" w:cs="Arial"/>
          <w:b/>
        </w:rPr>
        <w:t>IV.</w:t>
      </w:r>
      <w:r>
        <w:rPr>
          <w:rFonts w:ascii="Arial" w:hAnsi="Arial" w:cs="Arial"/>
          <w:b/>
        </w:rPr>
        <w:tab/>
        <w:t>Bud</w:t>
      </w:r>
      <w:r>
        <w:rPr>
          <w:rFonts w:ascii="Arial" w:hAnsi="Arial" w:cs="Arial"/>
          <w:b/>
        </w:rPr>
        <w:t>get</w:t>
      </w:r>
    </w:p>
    <w:p w14:paraId="6A12333A" w14:textId="77777777" w:rsidR="00B034D9" w:rsidRDefault="009D34CB">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B034D9" w14:paraId="5B343489" w14:textId="77777777">
        <w:tc>
          <w:tcPr>
            <w:tcW w:w="2310" w:type="dxa"/>
            <w:vAlign w:val="center"/>
          </w:tcPr>
          <w:p w14:paraId="574427CA" w14:textId="77777777" w:rsidR="00B034D9" w:rsidRDefault="009D34CB">
            <w:pPr>
              <w:spacing w:before="40" w:after="40"/>
              <w:jc w:val="center"/>
            </w:pPr>
            <w:r>
              <w:rPr>
                <w:rFonts w:ascii="Arial" w:hAnsi="Arial" w:cs="Arial"/>
                <w:b/>
                <w:sz w:val="18"/>
                <w:szCs w:val="18"/>
              </w:rPr>
              <w:t>Activity/Component</w:t>
            </w:r>
          </w:p>
        </w:tc>
        <w:tc>
          <w:tcPr>
            <w:tcW w:w="2310" w:type="dxa"/>
          </w:tcPr>
          <w:p w14:paraId="6CB7438D" w14:textId="77777777" w:rsidR="00B034D9" w:rsidRDefault="009D34CB">
            <w:pPr>
              <w:spacing w:before="40" w:after="40"/>
              <w:jc w:val="center"/>
            </w:pPr>
            <w:r>
              <w:rPr>
                <w:rFonts w:ascii="Arial" w:hAnsi="Arial" w:cs="Arial"/>
                <w:b/>
                <w:sz w:val="18"/>
                <w:szCs w:val="18"/>
              </w:rPr>
              <w:t>IDB/Fund Funding</w:t>
            </w:r>
          </w:p>
        </w:tc>
        <w:tc>
          <w:tcPr>
            <w:tcW w:w="2310" w:type="dxa"/>
          </w:tcPr>
          <w:p w14:paraId="4DA769E3" w14:textId="77777777" w:rsidR="00B034D9" w:rsidRDefault="009D34CB">
            <w:pPr>
              <w:spacing w:before="40" w:after="40"/>
              <w:jc w:val="center"/>
            </w:pPr>
            <w:r>
              <w:rPr>
                <w:rFonts w:ascii="Arial" w:hAnsi="Arial" w:cs="Arial"/>
                <w:b/>
                <w:sz w:val="18"/>
                <w:szCs w:val="18"/>
              </w:rPr>
              <w:t>Counterpart Funding</w:t>
            </w:r>
          </w:p>
        </w:tc>
        <w:tc>
          <w:tcPr>
            <w:tcW w:w="2310" w:type="dxa"/>
          </w:tcPr>
          <w:p w14:paraId="2A96186F" w14:textId="77777777" w:rsidR="00B034D9" w:rsidRDefault="009D34CB">
            <w:pPr>
              <w:spacing w:before="40" w:after="40"/>
              <w:jc w:val="center"/>
            </w:pPr>
            <w:r>
              <w:rPr>
                <w:rFonts w:ascii="Arial" w:hAnsi="Arial" w:cs="Arial"/>
                <w:b/>
                <w:sz w:val="18"/>
                <w:szCs w:val="18"/>
              </w:rPr>
              <w:t>Total Funding</w:t>
            </w:r>
          </w:p>
        </w:tc>
      </w:tr>
      <w:tr w:rsidR="00B034D9" w14:paraId="08173A5B" w14:textId="77777777">
        <w:tc>
          <w:tcPr>
            <w:tcW w:w="2310" w:type="dxa"/>
            <w:vAlign w:val="center"/>
          </w:tcPr>
          <w:p w14:paraId="7CD06048" w14:textId="77777777" w:rsidR="00B034D9" w:rsidRPr="009D34CB" w:rsidRDefault="009D34CB">
            <w:pPr>
              <w:spacing w:before="40" w:after="40"/>
              <w:rPr>
                <w:lang w:val="es-419"/>
              </w:rPr>
            </w:pPr>
            <w:r w:rsidRPr="009D34CB">
              <w:rPr>
                <w:rFonts w:ascii="Arial" w:hAnsi="Arial" w:cs="Arial"/>
                <w:sz w:val="18"/>
                <w:szCs w:val="18"/>
                <w:lang w:val="es-419"/>
              </w:rPr>
              <w:t xml:space="preserve">Apoyo a la transformación digital del sector Migratorio en el Perú. </w:t>
            </w:r>
          </w:p>
        </w:tc>
        <w:tc>
          <w:tcPr>
            <w:tcW w:w="2310" w:type="dxa"/>
            <w:vAlign w:val="center"/>
          </w:tcPr>
          <w:p w14:paraId="610A954D" w14:textId="77777777" w:rsidR="00B034D9" w:rsidRDefault="009D34CB">
            <w:pPr>
              <w:spacing w:before="40" w:after="40"/>
              <w:jc w:val="right"/>
            </w:pPr>
            <w:r>
              <w:rPr>
                <w:rFonts w:ascii="Arial" w:hAnsi="Arial" w:cs="Arial"/>
                <w:sz w:val="18"/>
                <w:szCs w:val="18"/>
              </w:rPr>
              <w:t>US$150,000.00</w:t>
            </w:r>
          </w:p>
        </w:tc>
        <w:tc>
          <w:tcPr>
            <w:tcW w:w="2310" w:type="dxa"/>
            <w:vAlign w:val="center"/>
          </w:tcPr>
          <w:p w14:paraId="6E0EA195" w14:textId="77777777" w:rsidR="00B034D9" w:rsidRDefault="009D34CB">
            <w:pPr>
              <w:spacing w:before="40" w:after="40"/>
              <w:jc w:val="right"/>
            </w:pPr>
            <w:r>
              <w:rPr>
                <w:rFonts w:ascii="Arial" w:hAnsi="Arial" w:cs="Arial"/>
                <w:sz w:val="18"/>
                <w:szCs w:val="18"/>
              </w:rPr>
              <w:t>US$0.00</w:t>
            </w:r>
          </w:p>
        </w:tc>
        <w:tc>
          <w:tcPr>
            <w:tcW w:w="2310" w:type="dxa"/>
            <w:vAlign w:val="center"/>
          </w:tcPr>
          <w:p w14:paraId="4259BF93" w14:textId="77777777" w:rsidR="00B034D9" w:rsidRDefault="009D34CB">
            <w:pPr>
              <w:spacing w:before="40" w:after="40"/>
              <w:jc w:val="right"/>
            </w:pPr>
            <w:r>
              <w:rPr>
                <w:rFonts w:ascii="Arial" w:hAnsi="Arial" w:cs="Arial"/>
                <w:sz w:val="18"/>
                <w:szCs w:val="18"/>
              </w:rPr>
              <w:t>US$150,000.00</w:t>
            </w:r>
          </w:p>
        </w:tc>
      </w:tr>
      <w:tr w:rsidR="00B034D9" w14:paraId="2AB394A5" w14:textId="77777777">
        <w:tc>
          <w:tcPr>
            <w:tcW w:w="2310" w:type="dxa"/>
            <w:vAlign w:val="center"/>
          </w:tcPr>
          <w:p w14:paraId="7E266143" w14:textId="77777777" w:rsidR="00B034D9" w:rsidRDefault="009D34CB">
            <w:pPr>
              <w:spacing w:before="40" w:after="40"/>
            </w:pPr>
            <w:r>
              <w:rPr>
                <w:rFonts w:ascii="Arial" w:hAnsi="Arial" w:cs="Arial"/>
                <w:b/>
                <w:sz w:val="18"/>
                <w:szCs w:val="18"/>
              </w:rPr>
              <w:t>Total</w:t>
            </w:r>
          </w:p>
        </w:tc>
        <w:tc>
          <w:tcPr>
            <w:tcW w:w="2310" w:type="dxa"/>
            <w:vAlign w:val="center"/>
          </w:tcPr>
          <w:p w14:paraId="216E4DFD" w14:textId="77777777" w:rsidR="00B034D9" w:rsidRDefault="009D34CB">
            <w:pPr>
              <w:spacing w:before="40" w:after="40"/>
              <w:jc w:val="right"/>
            </w:pPr>
            <w:r>
              <w:rPr>
                <w:rFonts w:ascii="Arial" w:hAnsi="Arial" w:cs="Arial"/>
                <w:b/>
                <w:sz w:val="18"/>
                <w:szCs w:val="18"/>
              </w:rPr>
              <w:t>US$150,000.00</w:t>
            </w:r>
          </w:p>
        </w:tc>
        <w:tc>
          <w:tcPr>
            <w:tcW w:w="2310" w:type="dxa"/>
            <w:vAlign w:val="center"/>
          </w:tcPr>
          <w:p w14:paraId="1FB2A620" w14:textId="77777777" w:rsidR="00B034D9" w:rsidRDefault="009D34CB">
            <w:pPr>
              <w:spacing w:before="40" w:after="40"/>
              <w:jc w:val="right"/>
            </w:pPr>
            <w:r>
              <w:rPr>
                <w:rFonts w:ascii="Arial" w:hAnsi="Arial" w:cs="Arial"/>
                <w:b/>
                <w:sz w:val="18"/>
                <w:szCs w:val="18"/>
              </w:rPr>
              <w:t>US$0.00</w:t>
            </w:r>
          </w:p>
        </w:tc>
        <w:tc>
          <w:tcPr>
            <w:tcW w:w="2310" w:type="dxa"/>
            <w:vAlign w:val="center"/>
          </w:tcPr>
          <w:p w14:paraId="239BCA7B" w14:textId="77777777" w:rsidR="00B034D9" w:rsidRDefault="009D34CB">
            <w:pPr>
              <w:spacing w:before="40" w:after="40"/>
              <w:jc w:val="right"/>
            </w:pPr>
            <w:r>
              <w:rPr>
                <w:rFonts w:ascii="Arial" w:hAnsi="Arial" w:cs="Arial"/>
                <w:b/>
                <w:sz w:val="18"/>
                <w:szCs w:val="18"/>
              </w:rPr>
              <w:t>US$150,000.00</w:t>
            </w:r>
          </w:p>
        </w:tc>
      </w:tr>
    </w:tbl>
    <w:p w14:paraId="465A4E1D" w14:textId="77777777" w:rsidR="00B034D9" w:rsidRDefault="009D34CB">
      <w:pPr>
        <w:spacing w:before="120" w:after="120"/>
        <w:ind w:left="579" w:hanging="579"/>
      </w:pPr>
      <w:r>
        <w:rPr>
          <w:rFonts w:ascii="Arial" w:hAnsi="Arial" w:cs="Arial"/>
          <w:b/>
        </w:rPr>
        <w:t>V.</w:t>
      </w:r>
      <w:r>
        <w:rPr>
          <w:rFonts w:ascii="Arial" w:hAnsi="Arial" w:cs="Arial"/>
          <w:b/>
        </w:rPr>
        <w:tab/>
      </w:r>
      <w:r>
        <w:rPr>
          <w:rFonts w:ascii="Arial" w:hAnsi="Arial" w:cs="Arial"/>
          <w:b/>
        </w:rPr>
        <w:t>Executing Agency and Execution Structure</w:t>
      </w:r>
    </w:p>
    <w:p w14:paraId="11739604" w14:textId="77777777" w:rsidR="00B034D9" w:rsidRPr="009D34CB" w:rsidRDefault="009D34CB">
      <w:pPr>
        <w:spacing w:before="200" w:after="200"/>
        <w:ind w:left="579" w:hanging="579"/>
        <w:jc w:val="both"/>
        <w:rPr>
          <w:lang w:val="es-419"/>
        </w:rPr>
      </w:pPr>
      <w:r w:rsidRPr="009D34CB">
        <w:rPr>
          <w:rFonts w:ascii="Arial" w:hAnsi="Arial" w:cs="Arial"/>
          <w:lang w:val="es-419"/>
        </w:rPr>
        <w:t>5.1</w:t>
      </w:r>
      <w:r w:rsidRPr="009D34CB">
        <w:rPr>
          <w:rFonts w:ascii="Arial" w:hAnsi="Arial" w:cs="Arial"/>
          <w:lang w:val="es-419"/>
        </w:rPr>
        <w:tab/>
        <w:t>De acuerdo con la solicitud del Gobierno de Perú, la presente CT será ejecutada por el Banco Interamericano de Desarrollo (BID), de conformidad con los lineamientos y requisitos establecidos en la Política de Co</w:t>
      </w:r>
      <w:r w:rsidRPr="009D34CB">
        <w:rPr>
          <w:rFonts w:ascii="Arial" w:hAnsi="Arial" w:cs="Arial"/>
          <w:lang w:val="es-419"/>
        </w:rPr>
        <w:t>operación Técnica (GN-2470-2) y en las Guías Operativas de CT (GN-2629-1), a través de la unidad de migración del sector social (MIG/SCL), y por solicitud del beneficiario.</w:t>
      </w:r>
    </w:p>
    <w:p w14:paraId="1A4EC503" w14:textId="77777777" w:rsidR="00B034D9" w:rsidRPr="009D34CB" w:rsidRDefault="009D34CB">
      <w:pPr>
        <w:spacing w:before="200" w:after="200"/>
        <w:ind w:left="579" w:hanging="579"/>
        <w:jc w:val="both"/>
        <w:rPr>
          <w:lang w:val="es-419"/>
        </w:rPr>
      </w:pPr>
      <w:r w:rsidRPr="009D34CB">
        <w:rPr>
          <w:rFonts w:ascii="Arial" w:hAnsi="Arial" w:cs="Arial"/>
          <w:lang w:val="es-419"/>
        </w:rPr>
        <w:t>5.2</w:t>
      </w:r>
      <w:r w:rsidRPr="009D34CB">
        <w:rPr>
          <w:rFonts w:ascii="Arial" w:hAnsi="Arial" w:cs="Arial"/>
          <w:lang w:val="es-419"/>
        </w:rPr>
        <w:tab/>
        <w:t>Ello, por la experiencia generada por el Banco en apoyar procesos de transforma</w:t>
      </w:r>
      <w:r w:rsidRPr="009D34CB">
        <w:rPr>
          <w:rFonts w:ascii="Arial" w:hAnsi="Arial" w:cs="Arial"/>
          <w:lang w:val="es-419"/>
        </w:rPr>
        <w:t xml:space="preserve">ción digital en servicios a la ciudadanía, y su capacidad, a través del </w:t>
      </w:r>
      <w:proofErr w:type="gramStart"/>
      <w:r w:rsidRPr="009D34CB">
        <w:rPr>
          <w:rFonts w:ascii="Arial" w:hAnsi="Arial" w:cs="Arial"/>
          <w:lang w:val="es-419"/>
        </w:rPr>
        <w:t>Cluster</w:t>
      </w:r>
      <w:proofErr w:type="gramEnd"/>
      <w:r w:rsidRPr="009D34CB">
        <w:rPr>
          <w:rFonts w:ascii="Arial" w:hAnsi="Arial" w:cs="Arial"/>
          <w:lang w:val="es-419"/>
        </w:rPr>
        <w:t xml:space="preserve"> Digital del Sector Social, de asesorar y transferir lecciones aprendidas de otros países, así como la promoción de mejores prácticas de dentro y fuera de la región sobre la tem</w:t>
      </w:r>
      <w:r w:rsidRPr="009D34CB">
        <w:rPr>
          <w:rFonts w:ascii="Arial" w:hAnsi="Arial" w:cs="Arial"/>
          <w:lang w:val="es-419"/>
        </w:rPr>
        <w:t>ática. El Banco supervisará los servicios de consultoría y el beneficiario podrá brindar insumos técnicos a los informes de los consultores.</w:t>
      </w:r>
    </w:p>
    <w:p w14:paraId="5AE8C859" w14:textId="77777777" w:rsidR="00B034D9" w:rsidRPr="009D34CB" w:rsidRDefault="009D34CB">
      <w:pPr>
        <w:spacing w:before="120" w:after="120"/>
        <w:ind w:left="579" w:hanging="579"/>
        <w:rPr>
          <w:lang w:val="es-419"/>
        </w:rPr>
      </w:pPr>
      <w:r w:rsidRPr="009D34CB">
        <w:rPr>
          <w:rFonts w:ascii="Arial" w:hAnsi="Arial" w:cs="Arial"/>
          <w:b/>
          <w:lang w:val="es-419"/>
        </w:rPr>
        <w:lastRenderedPageBreak/>
        <w:t>VI.</w:t>
      </w:r>
      <w:r w:rsidRPr="009D34CB">
        <w:rPr>
          <w:rFonts w:ascii="Arial" w:hAnsi="Arial" w:cs="Arial"/>
          <w:b/>
          <w:lang w:val="es-419"/>
        </w:rPr>
        <w:tab/>
        <w:t>Project Risks and Issues</w:t>
      </w:r>
    </w:p>
    <w:p w14:paraId="2F5AEA61" w14:textId="77777777" w:rsidR="00B034D9" w:rsidRPr="009D34CB" w:rsidRDefault="009D34CB">
      <w:pPr>
        <w:spacing w:before="200" w:after="200"/>
        <w:ind w:left="579" w:hanging="579"/>
        <w:jc w:val="both"/>
        <w:rPr>
          <w:lang w:val="es-419"/>
        </w:rPr>
      </w:pPr>
      <w:r w:rsidRPr="009D34CB">
        <w:rPr>
          <w:rFonts w:ascii="Arial" w:hAnsi="Arial" w:cs="Arial"/>
          <w:lang w:val="es-419"/>
        </w:rPr>
        <w:t>6.1</w:t>
      </w:r>
      <w:r w:rsidRPr="009D34CB">
        <w:rPr>
          <w:rFonts w:ascii="Arial" w:hAnsi="Arial" w:cs="Arial"/>
          <w:lang w:val="es-419"/>
        </w:rPr>
        <w:tab/>
        <w:t xml:space="preserve">La coordinación y el grado de interoperabilidad de la información entre el SRIM y </w:t>
      </w:r>
      <w:r w:rsidRPr="009D34CB">
        <w:rPr>
          <w:rFonts w:ascii="Arial" w:hAnsi="Arial" w:cs="Arial"/>
          <w:lang w:val="es-419"/>
        </w:rPr>
        <w:t>otras agencias del estado supone esfuerzos de coordinación importantes, tanto por parte del Banco como por parte de las entidades del estado.  Para ello, se establecerán mesas de diálogo intersectoriales y con el Banco de forma periódica que reúnan a los a</w:t>
      </w:r>
      <w:r w:rsidRPr="009D34CB">
        <w:rPr>
          <w:rFonts w:ascii="Arial" w:hAnsi="Arial" w:cs="Arial"/>
          <w:lang w:val="es-419"/>
        </w:rPr>
        <w:t>ctores clave en la implementación del único componente de esta TC.</w:t>
      </w:r>
    </w:p>
    <w:p w14:paraId="4DDE623B" w14:textId="77777777" w:rsidR="00B034D9" w:rsidRDefault="009D34CB">
      <w:pPr>
        <w:spacing w:before="120" w:after="120"/>
        <w:ind w:left="579" w:hanging="579"/>
      </w:pPr>
      <w:r>
        <w:rPr>
          <w:rFonts w:ascii="Arial" w:hAnsi="Arial" w:cs="Arial"/>
          <w:b/>
        </w:rPr>
        <w:t>VII.</w:t>
      </w:r>
      <w:r>
        <w:rPr>
          <w:rFonts w:ascii="Arial" w:hAnsi="Arial" w:cs="Arial"/>
          <w:b/>
        </w:rPr>
        <w:tab/>
        <w:t>Environmental and Social Classification</w:t>
      </w:r>
    </w:p>
    <w:p w14:paraId="676B46DA" w14:textId="77777777" w:rsidR="00B034D9" w:rsidRDefault="009D34CB">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B034D9"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AA155" w14:textId="77777777" w:rsidR="00000000" w:rsidRDefault="009D34CB">
      <w:r>
        <w:separator/>
      </w:r>
    </w:p>
  </w:endnote>
  <w:endnote w:type="continuationSeparator" w:id="0">
    <w:p w14:paraId="7E5B19AE" w14:textId="77777777" w:rsidR="00000000" w:rsidRDefault="009D3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065C0" w14:textId="77777777" w:rsidR="00B034D9" w:rsidRDefault="009D34CB">
    <w:pPr>
      <w:pStyle w:val="FooterStyle"/>
      <w:jc w:val="center"/>
    </w:pPr>
    <w:r>
      <w:t xml:space="preserve"> - </w:t>
    </w:r>
    <w:r>
      <w:fldChar w:fldCharType="begin"/>
    </w:r>
    <w:r>
      <w:instrText xml:space="preserve"> PAGE </w:instrText>
    </w:r>
    <w:r>
      <w:fldChar w:fldCharType="separate"/>
    </w:r>
    <w:r>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9F5BC" w14:textId="77777777" w:rsidR="00000000" w:rsidRDefault="009D34CB">
      <w:r>
        <w:separator/>
      </w:r>
    </w:p>
  </w:footnote>
  <w:footnote w:type="continuationSeparator" w:id="0">
    <w:p w14:paraId="3E2FE801" w14:textId="77777777" w:rsidR="00000000" w:rsidRDefault="009D34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1915A3"/>
    <w:rsid w:val="00217F62"/>
    <w:rsid w:val="009D34CB"/>
    <w:rsid w:val="00A906D8"/>
    <w:rsid w:val="00AB5A74"/>
    <w:rsid w:val="00B034D9"/>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E8860"/>
  <w15:docId w15:val="{7B64F235-BF57-4FD0-B3F2-81F536C4A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6582D13E6CF004F9DEFC7AB30E09ABD" ma:contentTypeVersion="9912" ma:contentTypeDescription="The base project type from which other project content types inherit their information." ma:contentTypeScope="" ma:versionID="2f2fcd8628ba719825cd946c89315646">
  <xsd:schema xmlns:xsd="http://www.w3.org/2001/XMLSchema" xmlns:xs="http://www.w3.org/2001/XMLSchema" xmlns:p="http://schemas.microsoft.com/office/2006/metadata/properties" xmlns:ns2="cdc7663a-08f0-4737-9e8c-148ce897a09c" targetNamespace="http://schemas.microsoft.com/office/2006/metadata/properties" ma:root="true" ma:fieldsID="7628fc349b9acfb95834b52784abb2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E-T150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LastSyncTimeStamp="2021-01-22T21:42:09.51Z"/>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38E36AF5CD2E541908EC9FA0FB989D8" ma:contentTypeVersion="0" ma:contentTypeDescription="A content type to manage public (operations) IDB documents" ma:contentTypeScope="" ma:versionID="d49f08bd0a184744a9d7022e6832b38c">
  <xsd:schema xmlns:xsd="http://www.w3.org/2001/XMLSchema" xmlns:xs="http://www.w3.org/2001/XMLSchema" xmlns:p="http://schemas.microsoft.com/office/2006/metadata/properties" xmlns:ns2="cdc7663a-08f0-4737-9e8c-148ce897a09c" targetNamespace="http://schemas.microsoft.com/office/2006/metadata/properties" ma:root="true" ma:fieldsID="05f81d4b87fe9aacb67f70b6f3202ad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T150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SCL/MIG</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Adela Davalos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MIGRATION ＆ MIGRANTS</TermName>
          <TermId xmlns="http://schemas.microsoft.com/office/infopath/2007/PartnerControls">249eb24d-9db0-433e-a327-7ea6b4c84b8f</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384</Value>
      <Value>30</Value>
      <Value>29</Value>
      <Value>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PE-T1508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Extracted_x0020_Keywords xmlns="cdc7663a-08f0-4737-9e8c-148ce897a09c" xsi:nil="true"/>
    <_dlc_DocId xmlns="cdc7663a-08f0-4737-9e8c-148ce897a09c">EZSHARE-26787594-1</_dlc_DocId>
    <_dlc_DocIdUrl xmlns="cdc7663a-08f0-4737-9e8c-148ce897a09c">
      <Url>https://idbg.sharepoint.com/teams/EZ-PE-TCP/PE-T1508/_layouts/15/DocIdRedir.aspx?ID=EZSHARE-26787594-1</Url>
      <Description>EZSHARE-26787594-1</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C493BBA-D9DA-4692-81B5-E9E97246E5BC}"/>
</file>

<file path=customXml/itemProps2.xml><?xml version="1.0" encoding="utf-8"?>
<ds:datastoreItem xmlns:ds="http://schemas.openxmlformats.org/officeDocument/2006/customXml" ds:itemID="{4D07F765-8034-4F28-B318-45841DDF83C0}"/>
</file>

<file path=customXml/itemProps3.xml><?xml version="1.0" encoding="utf-8"?>
<ds:datastoreItem xmlns:ds="http://schemas.openxmlformats.org/officeDocument/2006/customXml" ds:itemID="{89B80E0F-3E1E-4311-A6CF-758A841CF7C1}"/>
</file>

<file path=customXml/itemProps4.xml><?xml version="1.0" encoding="utf-8"?>
<ds:datastoreItem xmlns:ds="http://schemas.openxmlformats.org/officeDocument/2006/customXml" ds:itemID="{5026D9C8-14D4-45F3-9620-CDAB95A0FF37}"/>
</file>

<file path=customXml/itemProps5.xml><?xml version="1.0" encoding="utf-8"?>
<ds:datastoreItem xmlns:ds="http://schemas.openxmlformats.org/officeDocument/2006/customXml" ds:itemID="{7D6AA6F2-F585-4A9C-A240-6F9B4DA85EBF}"/>
</file>

<file path=customXml/itemProps6.xml><?xml version="1.0" encoding="utf-8"?>
<ds:datastoreItem xmlns:ds="http://schemas.openxmlformats.org/officeDocument/2006/customXml" ds:itemID="{D1BB1E3A-E89D-4F7B-A8F1-2FA23B0E37FA}"/>
</file>

<file path=customXml/itemProps7.xml><?xml version="1.0" encoding="utf-8"?>
<ds:datastoreItem xmlns:ds="http://schemas.openxmlformats.org/officeDocument/2006/customXml" ds:itemID="{5BDC39FA-48C8-43C9-8F6B-190AD2F9740A}"/>
</file>

<file path=docProps/app.xml><?xml version="1.0" encoding="utf-8"?>
<Properties xmlns="http://schemas.openxmlformats.org/officeDocument/2006/extended-properties" xmlns:vt="http://schemas.openxmlformats.org/officeDocument/2006/docPropsVTypes">
  <Template>Normal</Template>
  <TotalTime>0</TotalTime>
  <Pages>3</Pages>
  <Words>1003</Words>
  <Characters>5720</Characters>
  <Application>Microsoft Office Word</Application>
  <DocSecurity>0</DocSecurity>
  <Lines>47</Lines>
  <Paragraphs>13</Paragraphs>
  <ScaleCrop>false</ScaleCrop>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Adela Davalos</cp:lastModifiedBy>
  <cp:revision>2</cp:revision>
  <dcterms:created xsi:type="dcterms:W3CDTF">2022-03-17T17:15:00Z</dcterms:created>
  <dcterms:modified xsi:type="dcterms:W3CDTF">2022-03-17T17:15:00Z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29;#Peru|c988f60b-81f1-4c24-8da7-d5473741c5b0</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384;#MIGRATION ＆ MIGRANTS|249eb24d-9db0-433e-a327-7ea6b4c84b8f</vt:lpwstr>
  </property>
  <property fmtid="{D5CDD505-2E9C-101B-9397-08002B2CF9AE}" pid="13" name="Fund IDB">
    <vt:lpwstr/>
  </property>
  <property fmtid="{D5CDD505-2E9C-101B-9397-08002B2CF9AE}" pid="14" name="Sector IDB">
    <vt:lpwstr>30;#SOCIAL INVESTMENT|3f908695-d5b5-49f6-941f-76876b39564f</vt:lpwstr>
  </property>
  <property fmtid="{D5CDD505-2E9C-101B-9397-08002B2CF9AE}" pid="15" name="_dlc_DocIdItemGuid">
    <vt:lpwstr>0f0a60b1-a6d1-4898-83ff-b096d282fcfe</vt:lpwstr>
  </property>
  <property fmtid="{D5CDD505-2E9C-101B-9397-08002B2CF9AE}" pid="16" name="Disclosure Activity">
    <vt:lpwstr>TC Abstract</vt:lpwstr>
  </property>
  <property fmtid="{D5CDD505-2E9C-101B-9397-08002B2CF9AE}" pid="18" name="ContentTypeId">
    <vt:lpwstr>0x0101001A458A224826124E8B45B1D613300CFC00238E36AF5CD2E541908EC9FA0FB989D8</vt:lpwstr>
  </property>
  <property fmtid="{D5CDD505-2E9C-101B-9397-08002B2CF9AE}" pid="19" name="Series Operations IDB">
    <vt:lpwstr/>
  </property>
</Properties>
</file>