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6BD91" w14:textId="77777777" w:rsidR="0007271D" w:rsidRPr="0007271D" w:rsidRDefault="0007271D" w:rsidP="0007271D">
      <w:pPr>
        <w:spacing w:after="0"/>
        <w:jc w:val="center"/>
        <w:rPr>
          <w:rFonts w:ascii="Arial" w:eastAsia="Calibri" w:hAnsi="Arial" w:cs="Arial"/>
          <w:b/>
        </w:rPr>
      </w:pPr>
      <w:bookmarkStart w:id="0" w:name="_Hlk494117973"/>
      <w:r w:rsidRPr="0007271D">
        <w:rPr>
          <w:rFonts w:ascii="Arial" w:eastAsia="Calibri" w:hAnsi="Arial" w:cs="Arial"/>
          <w:b/>
        </w:rPr>
        <w:t>Technical Annex</w:t>
      </w:r>
    </w:p>
    <w:p w14:paraId="06931F9F" w14:textId="77777777" w:rsidR="0007271D" w:rsidRPr="0007271D" w:rsidRDefault="0007271D" w:rsidP="0007271D">
      <w:pPr>
        <w:spacing w:after="0"/>
        <w:jc w:val="center"/>
        <w:rPr>
          <w:rFonts w:ascii="Arial" w:eastAsia="Calibri" w:hAnsi="Arial" w:cs="Arial"/>
          <w:b/>
        </w:rPr>
      </w:pPr>
      <w:r w:rsidRPr="0007271D">
        <w:rPr>
          <w:rFonts w:ascii="Arial" w:eastAsia="Calibri" w:hAnsi="Arial" w:cs="Arial"/>
          <w:b/>
        </w:rPr>
        <w:t>Regional Integration</w:t>
      </w:r>
    </w:p>
    <w:p w14:paraId="5530D63A" w14:textId="77777777" w:rsidR="0007271D" w:rsidRPr="0007271D" w:rsidRDefault="0007271D" w:rsidP="0007271D">
      <w:pPr>
        <w:spacing w:after="0"/>
        <w:jc w:val="center"/>
        <w:rPr>
          <w:rFonts w:ascii="Arial" w:hAnsi="Arial" w:cs="Arial"/>
          <w:b/>
        </w:rPr>
      </w:pPr>
    </w:p>
    <w:p w14:paraId="4D974324" w14:textId="77777777" w:rsidR="0007271D" w:rsidRPr="0007271D" w:rsidRDefault="0007271D" w:rsidP="0007271D">
      <w:pPr>
        <w:spacing w:after="0"/>
        <w:jc w:val="center"/>
        <w:rPr>
          <w:rFonts w:ascii="Arial" w:hAnsi="Arial" w:cs="Arial"/>
          <w:b/>
        </w:rPr>
      </w:pPr>
    </w:p>
    <w:p w14:paraId="3EF78E46"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Sustainable Energy Facility (SEF) for the Eastern Caribbean Expanded - (SEF Expanded)</w:t>
      </w:r>
    </w:p>
    <w:p w14:paraId="3A19F73C" w14:textId="77777777" w:rsidR="0007271D" w:rsidRPr="0007271D" w:rsidRDefault="0007271D" w:rsidP="0007271D">
      <w:pPr>
        <w:spacing w:after="0"/>
        <w:jc w:val="center"/>
        <w:rPr>
          <w:rFonts w:ascii="Arial" w:hAnsi="Arial" w:cs="Arial"/>
          <w:b/>
          <w:sz w:val="20"/>
        </w:rPr>
      </w:pPr>
      <w:bookmarkStart w:id="1" w:name="Text7"/>
      <w:bookmarkStart w:id="2" w:name="_Hlk494193339"/>
      <w:r w:rsidRPr="0007271D">
        <w:rPr>
          <w:rFonts w:ascii="Arial" w:hAnsi="Arial" w:cs="Arial"/>
          <w:b/>
          <w:sz w:val="20"/>
        </w:rPr>
        <w:t>(</w:t>
      </w:r>
      <w:bookmarkEnd w:id="1"/>
      <w:r w:rsidRPr="0007271D">
        <w:rPr>
          <w:rFonts w:ascii="Arial" w:hAnsi="Arial" w:cs="Arial"/>
          <w:b/>
          <w:sz w:val="20"/>
        </w:rPr>
        <w:t>RG-L1112)</w:t>
      </w:r>
    </w:p>
    <w:bookmarkEnd w:id="2"/>
    <w:p w14:paraId="112E908B"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&amp;</w:t>
      </w:r>
    </w:p>
    <w:p w14:paraId="426BCC82"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Green Climate Fund (GCF) Grant for the SEF Expanded</w:t>
      </w:r>
    </w:p>
    <w:p w14:paraId="3C9170EB"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(RG-G1013)</w:t>
      </w:r>
    </w:p>
    <w:p w14:paraId="32A5AB1B"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&amp;</w:t>
      </w:r>
    </w:p>
    <w:p w14:paraId="18A20C71"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Republic of Italy (REI) Grant for the SEF Expanded)</w:t>
      </w:r>
    </w:p>
    <w:p w14:paraId="1BC41887" w14:textId="77777777" w:rsidR="0007271D" w:rsidRPr="0007271D" w:rsidRDefault="0007271D" w:rsidP="0007271D">
      <w:pPr>
        <w:spacing w:after="0"/>
        <w:jc w:val="center"/>
        <w:rPr>
          <w:rFonts w:ascii="Arial" w:hAnsi="Arial" w:cs="Arial"/>
          <w:b/>
          <w:sz w:val="20"/>
        </w:rPr>
      </w:pPr>
      <w:r w:rsidRPr="0007271D">
        <w:rPr>
          <w:rFonts w:ascii="Arial" w:hAnsi="Arial" w:cs="Arial"/>
          <w:b/>
          <w:sz w:val="20"/>
        </w:rPr>
        <w:t>(RG-G1015)</w:t>
      </w:r>
    </w:p>
    <w:bookmarkEnd w:id="0"/>
    <w:p w14:paraId="4CEDC5D7" w14:textId="77777777" w:rsidR="003E38D2" w:rsidRDefault="003E38D2" w:rsidP="000A06C5">
      <w:pPr>
        <w:pStyle w:val="Title"/>
        <w:jc w:val="center"/>
        <w:rPr>
          <w:rFonts w:ascii="Arial" w:eastAsia="Calibri" w:hAnsi="Arial" w:cs="Arial"/>
          <w:b/>
          <w:color w:val="auto"/>
          <w:sz w:val="22"/>
          <w:szCs w:val="22"/>
          <w:lang w:val="en-US"/>
        </w:rPr>
      </w:pPr>
    </w:p>
    <w:p w14:paraId="58CB97EE" w14:textId="77777777" w:rsidR="00F0461D" w:rsidRPr="007670CC" w:rsidRDefault="00F0461D" w:rsidP="003E38D2">
      <w:pPr>
        <w:pStyle w:val="Title"/>
        <w:rPr>
          <w:rFonts w:ascii="Arial" w:eastAsia="Calibri" w:hAnsi="Arial" w:cs="Arial"/>
          <w:b/>
          <w:color w:val="auto"/>
          <w:sz w:val="22"/>
          <w:szCs w:val="22"/>
          <w:lang w:val="en-US"/>
        </w:rPr>
      </w:pPr>
      <w:r w:rsidRPr="007670CC">
        <w:rPr>
          <w:rFonts w:ascii="Arial" w:hAnsi="Arial" w:cs="Arial"/>
          <w:b/>
          <w:noProof/>
          <w:color w:val="365F91" w:themeColor="accent1" w:themeShade="BF"/>
          <w:sz w:val="22"/>
          <w:szCs w:val="22"/>
          <w:lang w:val="en-US" w:eastAsia="en-US"/>
        </w:rPr>
        <mc:AlternateContent>
          <mc:Choice Requires="wps">
            <w:drawing>
              <wp:anchor distT="0" distB="0" distL="114300" distR="114300" simplePos="0" relativeHeight="251667456" behindDoc="0" locked="0" layoutInCell="1" allowOverlap="1" wp14:anchorId="5E4FDE9D" wp14:editId="391C0F31">
                <wp:simplePos x="0" y="0"/>
                <wp:positionH relativeFrom="column">
                  <wp:posOffset>-68580</wp:posOffset>
                </wp:positionH>
                <wp:positionV relativeFrom="paragraph">
                  <wp:posOffset>401320</wp:posOffset>
                </wp:positionV>
                <wp:extent cx="6108065" cy="4297680"/>
                <wp:effectExtent l="0" t="0" r="26035" b="266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4297680"/>
                        </a:xfrm>
                        <a:prstGeom prst="rect">
                          <a:avLst/>
                        </a:prstGeom>
                        <a:noFill/>
                        <a:ln w="9525">
                          <a:solidFill>
                            <a:srgbClr val="4F81B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9B80D" id="Rectangle 3" o:spid="_x0000_s1026" style="position:absolute;margin-left:-5.4pt;margin-top:31.6pt;width:480.95pt;height:33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" filled="f" strokecolor="#4f81bd"/>
            </w:pict>
          </mc:Fallback>
        </mc:AlternateContent>
      </w:r>
    </w:p>
    <w:p w14:paraId="1590629A" w14:textId="77777777" w:rsidR="003E38D2" w:rsidRPr="003E38D2" w:rsidRDefault="003E38D2" w:rsidP="001B2AED">
      <w:pPr>
        <w:jc w:val="both"/>
        <w:rPr>
          <w:rFonts w:ascii="Arial" w:hAnsi="Arial" w:cs="Arial"/>
          <w:b/>
        </w:rPr>
      </w:pPr>
      <w:r w:rsidRPr="003E38D2">
        <w:rPr>
          <w:rFonts w:ascii="Arial" w:hAnsi="Arial" w:cs="Arial"/>
          <w:b/>
        </w:rPr>
        <w:t>Executive Summary</w:t>
      </w:r>
    </w:p>
    <w:p w14:paraId="5F2358F4" w14:textId="77777777" w:rsidR="0007271D" w:rsidRDefault="0007271D" w:rsidP="001B2AED">
      <w:pPr>
        <w:jc w:val="both"/>
        <w:rPr>
          <w:rFonts w:ascii="Arial" w:hAnsi="Arial" w:cs="Arial"/>
        </w:rPr>
      </w:pPr>
      <w:r w:rsidRPr="00A70110">
        <w:rPr>
          <w:rFonts w:ascii="Arial" w:hAnsi="Arial" w:cs="Arial"/>
        </w:rPr>
        <w:t xml:space="preserve">The proposed operation, the </w:t>
      </w:r>
      <w:bookmarkStart w:id="3" w:name="_Hlk494120850"/>
      <w:r w:rsidRPr="00A70110">
        <w:rPr>
          <w:rFonts w:ascii="Arial" w:hAnsi="Arial" w:cs="Arial"/>
        </w:rPr>
        <w:t xml:space="preserve">Sustainable Energy Facility for the Eastern Caribbean Expanded (SEF-Expanded) </w:t>
      </w:r>
      <w:bookmarkEnd w:id="3"/>
      <w:r w:rsidRPr="00A70110">
        <w:rPr>
          <w:rFonts w:ascii="Arial" w:hAnsi="Arial" w:cs="Arial"/>
        </w:rPr>
        <w:t xml:space="preserve">is a complement to the Sustainable Energy Facility </w:t>
      </w:r>
      <w:r>
        <w:rPr>
          <w:rFonts w:ascii="Arial" w:hAnsi="Arial" w:cs="Arial"/>
        </w:rPr>
        <w:t xml:space="preserve">(SEF) </w:t>
      </w:r>
      <w:r w:rsidRPr="00A70110">
        <w:rPr>
          <w:rFonts w:ascii="Arial" w:hAnsi="Arial" w:cs="Arial"/>
        </w:rPr>
        <w:t>for the Eastern Caribbean approved by the IDB in October 2015 (SEF-2015), and together they comprise the SEF Program.</w:t>
      </w:r>
    </w:p>
    <w:p w14:paraId="6A186C85" w14:textId="77777777" w:rsidR="0007271D" w:rsidRDefault="0007271D" w:rsidP="001B2AED">
      <w:pPr>
        <w:jc w:val="both"/>
        <w:rPr>
          <w:rFonts w:ascii="Arial" w:hAnsi="Arial" w:cs="Arial"/>
        </w:rPr>
      </w:pPr>
      <w:r>
        <w:rPr>
          <w:rFonts w:ascii="Arial" w:hAnsi="Arial" w:cs="Arial"/>
        </w:rPr>
        <w:t>Like the SEF-2015, t</w:t>
      </w:r>
      <w:r w:rsidR="00B14099" w:rsidRPr="009923E3">
        <w:rPr>
          <w:rFonts w:ascii="Arial" w:hAnsi="Arial" w:cs="Arial"/>
        </w:rPr>
        <w:t xml:space="preserve">he </w:t>
      </w:r>
      <w:r>
        <w:rPr>
          <w:rFonts w:ascii="Arial" w:hAnsi="Arial" w:cs="Arial"/>
        </w:rPr>
        <w:t xml:space="preserve">SEF-Expanded </w:t>
      </w:r>
      <w:r w:rsidR="00B14099" w:rsidRPr="009923E3">
        <w:rPr>
          <w:rFonts w:ascii="Arial" w:hAnsi="Arial" w:cs="Arial"/>
        </w:rPr>
        <w:t xml:space="preserve">meets the Bank’s requirement as a regional integration project that generates regional additionality through the “Energy Integration” of the region.  </w:t>
      </w:r>
    </w:p>
    <w:p w14:paraId="46080907" w14:textId="77777777" w:rsidR="0007271D" w:rsidRDefault="00B14099" w:rsidP="0007271D">
      <w:pPr>
        <w:jc w:val="both"/>
        <w:rPr>
          <w:rFonts w:ascii="Arial" w:hAnsi="Arial" w:cs="Arial"/>
        </w:rPr>
      </w:pPr>
      <w:r w:rsidRPr="009923E3">
        <w:rPr>
          <w:rFonts w:ascii="Arial" w:hAnsi="Arial" w:cs="Arial"/>
        </w:rPr>
        <w:t xml:space="preserve">The Eastern Caribbean </w:t>
      </w:r>
      <w:r w:rsidR="0007271D">
        <w:rPr>
          <w:rFonts w:ascii="Arial" w:hAnsi="Arial" w:cs="Arial"/>
        </w:rPr>
        <w:t>electricity markets are relatively small and geographically isolated. T</w:t>
      </w:r>
      <w:r w:rsidR="0007271D" w:rsidRPr="00E8108D">
        <w:rPr>
          <w:rFonts w:ascii="Arial" w:hAnsi="Arial" w:cs="Arial"/>
        </w:rPr>
        <w:t xml:space="preserve">hey lack the scale necessary to utilize cheaper and cleaner fossil fuel options, such as natural gas, and have not yet fully developed other RE endowments. Consequently, they depend on costly imported liquid fossil fuels for electricity generation resulting in high electricity costs for final users. </w:t>
      </w:r>
      <w:r w:rsidRPr="009923E3">
        <w:rPr>
          <w:rFonts w:ascii="Arial" w:hAnsi="Arial" w:cs="Arial"/>
        </w:rPr>
        <w:t xml:space="preserve">The proposed </w:t>
      </w:r>
      <w:r w:rsidR="0007271D">
        <w:rPr>
          <w:rFonts w:ascii="Arial" w:hAnsi="Arial" w:cs="Arial"/>
        </w:rPr>
        <w:t>program</w:t>
      </w:r>
      <w:r w:rsidRPr="009923E3">
        <w:rPr>
          <w:rFonts w:ascii="Arial" w:hAnsi="Arial" w:cs="Arial"/>
        </w:rPr>
        <w:t xml:space="preserve"> works to </w:t>
      </w:r>
      <w:r w:rsidR="004C66F6" w:rsidRPr="00A70110">
        <w:rPr>
          <w:rFonts w:ascii="Arial" w:hAnsi="Arial" w:cs="Arial"/>
        </w:rPr>
        <w:t>radically change the energy matrix of the six Eastern Caribbean Countries (ECC)</w:t>
      </w:r>
      <w:r w:rsidR="004C66F6">
        <w:rPr>
          <w:rFonts w:ascii="Arial" w:hAnsi="Arial" w:cs="Arial"/>
        </w:rPr>
        <w:t xml:space="preserve"> reducing the cost of electricity generation and improving energy security. </w:t>
      </w:r>
      <w:r w:rsidR="0007271D">
        <w:rPr>
          <w:rFonts w:ascii="Arial" w:hAnsi="Arial" w:cs="Arial"/>
        </w:rPr>
        <w:t xml:space="preserve">To this end the program supports the </w:t>
      </w:r>
      <w:r w:rsidRPr="009923E3">
        <w:rPr>
          <w:rFonts w:ascii="Arial" w:hAnsi="Arial" w:cs="Arial"/>
        </w:rPr>
        <w:t>develop</w:t>
      </w:r>
      <w:r w:rsidR="0007271D">
        <w:rPr>
          <w:rFonts w:ascii="Arial" w:hAnsi="Arial" w:cs="Arial"/>
        </w:rPr>
        <w:t>ment of</w:t>
      </w:r>
      <w:r w:rsidRPr="009923E3">
        <w:rPr>
          <w:rFonts w:ascii="Arial" w:hAnsi="Arial" w:cs="Arial"/>
        </w:rPr>
        <w:t xml:space="preserve"> geothermal energy </w:t>
      </w:r>
      <w:r w:rsidR="0007271D">
        <w:rPr>
          <w:rFonts w:ascii="Arial" w:hAnsi="Arial" w:cs="Arial"/>
        </w:rPr>
        <w:t>(GE) re</w:t>
      </w:r>
      <w:r w:rsidRPr="009923E3">
        <w:rPr>
          <w:rFonts w:ascii="Arial" w:hAnsi="Arial" w:cs="Arial"/>
        </w:rPr>
        <w:t>sources</w:t>
      </w:r>
      <w:r w:rsidR="004C66F6">
        <w:rPr>
          <w:rFonts w:ascii="Arial" w:hAnsi="Arial" w:cs="Arial"/>
        </w:rPr>
        <w:t xml:space="preserve"> for</w:t>
      </w:r>
      <w:r w:rsidRPr="009923E3">
        <w:rPr>
          <w:rFonts w:ascii="Arial" w:hAnsi="Arial" w:cs="Arial"/>
        </w:rPr>
        <w:t xml:space="preserve"> </w:t>
      </w:r>
      <w:r w:rsidR="0007271D">
        <w:rPr>
          <w:rFonts w:ascii="Arial" w:hAnsi="Arial" w:cs="Arial"/>
        </w:rPr>
        <w:t xml:space="preserve">which all ECC </w:t>
      </w:r>
      <w:r w:rsidR="004C66F6">
        <w:rPr>
          <w:rFonts w:ascii="Arial" w:hAnsi="Arial" w:cs="Arial"/>
        </w:rPr>
        <w:t xml:space="preserve">except for Antigua &amp; Barbuda (A&amp;B) </w:t>
      </w:r>
      <w:r w:rsidR="0007271D">
        <w:rPr>
          <w:rFonts w:ascii="Arial" w:hAnsi="Arial" w:cs="Arial"/>
        </w:rPr>
        <w:t xml:space="preserve">have potential. </w:t>
      </w:r>
    </w:p>
    <w:p w14:paraId="3D4F1BCC" w14:textId="77777777" w:rsidR="00F0461D" w:rsidRPr="009923E3" w:rsidRDefault="004C66F6" w:rsidP="0007271D">
      <w:pPr>
        <w:jc w:val="both"/>
        <w:rPr>
          <w:rFonts w:ascii="Arial" w:hAnsi="Arial" w:cs="Arial"/>
        </w:rPr>
      </w:pPr>
      <w:r>
        <w:rPr>
          <w:rFonts w:ascii="Arial" w:hAnsi="Arial" w:cs="Arial"/>
        </w:rPr>
        <w:t xml:space="preserve">GE resources can be harnessed to produce electricity </w:t>
      </w:r>
      <w:r w:rsidR="0007271D">
        <w:rPr>
          <w:rFonts w:ascii="Arial" w:hAnsi="Arial" w:cs="Arial"/>
        </w:rPr>
        <w:t xml:space="preserve">locally </w:t>
      </w:r>
      <w:r w:rsidR="00B14099" w:rsidRPr="009923E3">
        <w:rPr>
          <w:rFonts w:ascii="Arial" w:hAnsi="Arial" w:cs="Arial"/>
        </w:rPr>
        <w:t xml:space="preserve">that could </w:t>
      </w:r>
      <w:r>
        <w:rPr>
          <w:rFonts w:ascii="Arial" w:hAnsi="Arial" w:cs="Arial"/>
        </w:rPr>
        <w:t xml:space="preserve">be </w:t>
      </w:r>
      <w:r w:rsidR="00B14099" w:rsidRPr="009923E3">
        <w:rPr>
          <w:rFonts w:ascii="Arial" w:hAnsi="Arial" w:cs="Arial"/>
        </w:rPr>
        <w:t>provide</w:t>
      </w:r>
      <w:r>
        <w:rPr>
          <w:rFonts w:ascii="Arial" w:hAnsi="Arial" w:cs="Arial"/>
        </w:rPr>
        <w:t>d</w:t>
      </w:r>
      <w:r w:rsidR="00B14099" w:rsidRPr="009923E3">
        <w:rPr>
          <w:rFonts w:ascii="Arial" w:hAnsi="Arial" w:cs="Arial"/>
        </w:rPr>
        <w:t xml:space="preserve"> to neighboring islands with a future undersea cable</w:t>
      </w:r>
      <w:r w:rsidR="007F4634" w:rsidRPr="009923E3">
        <w:rPr>
          <w:rFonts w:ascii="Arial" w:hAnsi="Arial" w:cs="Arial"/>
        </w:rPr>
        <w:t xml:space="preserve"> (integrating infrastructure)</w:t>
      </w:r>
      <w:r w:rsidR="00B14099" w:rsidRPr="009923E3">
        <w:rPr>
          <w:rFonts w:ascii="Arial" w:hAnsi="Arial" w:cs="Arial"/>
        </w:rPr>
        <w:t xml:space="preserve">.  </w:t>
      </w:r>
      <w:proofErr w:type="gramStart"/>
      <w:r w:rsidR="007F4634" w:rsidRPr="009923E3">
        <w:rPr>
          <w:rFonts w:ascii="Arial" w:hAnsi="Arial" w:cs="Arial"/>
        </w:rPr>
        <w:t xml:space="preserve">As a </w:t>
      </w:r>
      <w:r w:rsidRPr="009923E3">
        <w:rPr>
          <w:rFonts w:ascii="Arial" w:hAnsi="Arial" w:cs="Arial"/>
        </w:rPr>
        <w:t>consequence</w:t>
      </w:r>
      <w:r>
        <w:rPr>
          <w:rFonts w:ascii="Arial" w:hAnsi="Arial" w:cs="Arial"/>
        </w:rPr>
        <w:t xml:space="preserve"> of</w:t>
      </w:r>
      <w:proofErr w:type="gramEnd"/>
      <w:r>
        <w:rPr>
          <w:rFonts w:ascii="Arial" w:hAnsi="Arial" w:cs="Arial"/>
        </w:rPr>
        <w:t xml:space="preserve"> reduced electricity prices</w:t>
      </w:r>
      <w:r w:rsidRPr="009923E3">
        <w:rPr>
          <w:rFonts w:ascii="Arial" w:hAnsi="Arial" w:cs="Arial"/>
        </w:rPr>
        <w:t>,</w:t>
      </w:r>
      <w:r w:rsidR="007F4634" w:rsidRPr="009923E3">
        <w:rPr>
          <w:rFonts w:ascii="Arial" w:hAnsi="Arial" w:cs="Arial"/>
        </w:rPr>
        <w:t xml:space="preserve"> the region’s economies are expected to become more </w:t>
      </w:r>
      <w:r w:rsidR="00B14099" w:rsidRPr="009923E3">
        <w:rPr>
          <w:rFonts w:ascii="Arial" w:hAnsi="Arial" w:cs="Arial"/>
        </w:rPr>
        <w:t xml:space="preserve">competitive globally.  </w:t>
      </w:r>
      <w:r w:rsidR="002A5236" w:rsidRPr="009923E3">
        <w:rPr>
          <w:rFonts w:ascii="Arial" w:hAnsi="Arial" w:cs="Arial"/>
        </w:rPr>
        <w:t xml:space="preserve">  </w:t>
      </w:r>
    </w:p>
    <w:p w14:paraId="1EEA3B2D" w14:textId="77777777" w:rsidR="008808BF" w:rsidRPr="009923E3" w:rsidRDefault="008808BF" w:rsidP="00A94646">
      <w:pPr>
        <w:pStyle w:val="ListParagraph"/>
        <w:ind w:left="0"/>
        <w:jc w:val="both"/>
        <w:rPr>
          <w:rFonts w:ascii="Arial" w:hAnsi="Arial" w:cs="Arial"/>
        </w:rPr>
      </w:pPr>
    </w:p>
    <w:p w14:paraId="1AECED90" w14:textId="77777777" w:rsidR="0024110A" w:rsidRPr="009923E3" w:rsidRDefault="003C1E67" w:rsidP="00AB576F">
      <w:pPr>
        <w:pStyle w:val="ListParagraph"/>
        <w:numPr>
          <w:ilvl w:val="0"/>
          <w:numId w:val="1"/>
        </w:numPr>
        <w:rPr>
          <w:rFonts w:ascii="Arial" w:hAnsi="Arial" w:cs="Arial"/>
        </w:rPr>
      </w:pPr>
      <w:r w:rsidRPr="009923E3">
        <w:rPr>
          <w:rFonts w:ascii="Arial" w:hAnsi="Arial" w:cs="Arial"/>
        </w:rPr>
        <w:t>T</w:t>
      </w:r>
      <w:r w:rsidR="00916ABB" w:rsidRPr="009923E3">
        <w:rPr>
          <w:rFonts w:ascii="Arial" w:hAnsi="Arial" w:cs="Arial"/>
        </w:rPr>
        <w:t xml:space="preserve">he </w:t>
      </w:r>
      <w:r w:rsidR="001B1EFA" w:rsidRPr="009923E3">
        <w:rPr>
          <w:rFonts w:ascii="Arial" w:hAnsi="Arial" w:cs="Arial"/>
          <w:i/>
        </w:rPr>
        <w:t xml:space="preserve">Sustainable Energy Facility </w:t>
      </w:r>
      <w:r w:rsidR="00BB13D3">
        <w:rPr>
          <w:rFonts w:ascii="Arial" w:hAnsi="Arial" w:cs="Arial"/>
          <w:i/>
        </w:rPr>
        <w:t xml:space="preserve">(SEF) </w:t>
      </w:r>
      <w:r w:rsidR="001B1EFA" w:rsidRPr="009923E3">
        <w:rPr>
          <w:rFonts w:ascii="Arial" w:hAnsi="Arial" w:cs="Arial"/>
          <w:i/>
        </w:rPr>
        <w:t>for the Eastern Caribbean</w:t>
      </w:r>
      <w:r w:rsidR="00AB576F" w:rsidRPr="009923E3">
        <w:rPr>
          <w:rFonts w:ascii="Arial" w:hAnsi="Arial" w:cs="Arial"/>
          <w:i/>
        </w:rPr>
        <w:t xml:space="preserve"> </w:t>
      </w:r>
      <w:r w:rsidR="00BB13D3">
        <w:rPr>
          <w:rFonts w:ascii="Arial" w:hAnsi="Arial" w:cs="Arial"/>
          <w:i/>
        </w:rPr>
        <w:t xml:space="preserve">Expanded </w:t>
      </w:r>
      <w:r w:rsidR="00C729FA" w:rsidRPr="009923E3">
        <w:rPr>
          <w:rFonts w:ascii="Arial" w:hAnsi="Arial" w:cs="Arial"/>
        </w:rPr>
        <w:t>(</w:t>
      </w:r>
      <w:r w:rsidR="001B1EFA" w:rsidRPr="009923E3">
        <w:rPr>
          <w:rFonts w:ascii="Arial" w:hAnsi="Arial" w:cs="Arial"/>
        </w:rPr>
        <w:t>RG</w:t>
      </w:r>
      <w:r w:rsidR="00C729FA" w:rsidRPr="009923E3">
        <w:rPr>
          <w:rFonts w:ascii="Arial" w:hAnsi="Arial" w:cs="Arial"/>
        </w:rPr>
        <w:t>-L</w:t>
      </w:r>
      <w:r w:rsidR="00BB13D3">
        <w:rPr>
          <w:rFonts w:ascii="Arial" w:hAnsi="Arial" w:cs="Arial"/>
        </w:rPr>
        <w:t xml:space="preserve">1112 &amp; RG-G1013 &amp; RG-G1015) </w:t>
      </w:r>
      <w:r w:rsidR="00BA1257" w:rsidRPr="009923E3">
        <w:rPr>
          <w:rFonts w:ascii="Arial" w:hAnsi="Arial" w:cs="Arial"/>
        </w:rPr>
        <w:t>has</w:t>
      </w:r>
      <w:r w:rsidR="00916ABB" w:rsidRPr="009923E3">
        <w:rPr>
          <w:rFonts w:ascii="Arial" w:hAnsi="Arial" w:cs="Arial"/>
        </w:rPr>
        <w:t xml:space="preserve"> been evaluated </w:t>
      </w:r>
      <w:r w:rsidR="00C729FA" w:rsidRPr="009923E3">
        <w:rPr>
          <w:rFonts w:ascii="Arial" w:hAnsi="Arial" w:cs="Arial"/>
        </w:rPr>
        <w:t xml:space="preserve">using </w:t>
      </w:r>
      <w:r w:rsidRPr="009923E3">
        <w:rPr>
          <w:rFonts w:ascii="Arial" w:hAnsi="Arial" w:cs="Arial"/>
        </w:rPr>
        <w:t xml:space="preserve">the Bank’s </w:t>
      </w:r>
      <w:r w:rsidRPr="009923E3">
        <w:rPr>
          <w:rFonts w:ascii="Arial" w:hAnsi="Arial" w:cs="Arial"/>
          <w:i/>
        </w:rPr>
        <w:t>Sector Strategy to Support Competitive Global and Regional Integration</w:t>
      </w:r>
      <w:r w:rsidRPr="009923E3">
        <w:rPr>
          <w:rFonts w:ascii="Arial" w:hAnsi="Arial" w:cs="Arial"/>
        </w:rPr>
        <w:t xml:space="preserve"> (GN-2565-4)</w:t>
      </w:r>
      <w:r w:rsidR="0024110A" w:rsidRPr="009923E3">
        <w:rPr>
          <w:rFonts w:ascii="Arial" w:hAnsi="Arial" w:cs="Arial"/>
        </w:rPr>
        <w:t xml:space="preserve"> framework, </w:t>
      </w:r>
      <w:r w:rsidR="00916ABB" w:rsidRPr="009923E3">
        <w:rPr>
          <w:rFonts w:ascii="Arial" w:hAnsi="Arial" w:cs="Arial"/>
        </w:rPr>
        <w:t>to analyze and validate the project’s contribution to the regional cooperation and integration</w:t>
      </w:r>
      <w:r w:rsidR="0024110A" w:rsidRPr="009923E3">
        <w:rPr>
          <w:rFonts w:ascii="Arial" w:hAnsi="Arial" w:cs="Arial"/>
        </w:rPr>
        <w:t xml:space="preserve"> financing goal</w:t>
      </w:r>
      <w:r w:rsidR="00916ABB" w:rsidRPr="009923E3">
        <w:rPr>
          <w:rFonts w:ascii="Arial" w:hAnsi="Arial" w:cs="Arial"/>
        </w:rPr>
        <w:t xml:space="preserve">.  </w:t>
      </w:r>
    </w:p>
    <w:p w14:paraId="0E627A58" w14:textId="77777777" w:rsidR="00801882" w:rsidRPr="009923E3" w:rsidRDefault="00801882" w:rsidP="00A94646">
      <w:pPr>
        <w:pStyle w:val="ListParagraph"/>
        <w:rPr>
          <w:rFonts w:ascii="Arial" w:hAnsi="Arial" w:cs="Arial"/>
        </w:rPr>
      </w:pPr>
    </w:p>
    <w:p w14:paraId="72FC2AF4" w14:textId="77777777" w:rsidR="002C5AC8" w:rsidRPr="009923E3" w:rsidRDefault="00812F47" w:rsidP="002C5AC8">
      <w:pPr>
        <w:pStyle w:val="ListParagraph"/>
        <w:numPr>
          <w:ilvl w:val="0"/>
          <w:numId w:val="1"/>
        </w:numPr>
        <w:rPr>
          <w:rFonts w:ascii="Arial" w:hAnsi="Arial" w:cs="Arial"/>
        </w:rPr>
      </w:pPr>
      <w:r w:rsidRPr="009923E3">
        <w:rPr>
          <w:rFonts w:ascii="Arial" w:hAnsi="Arial" w:cs="Arial"/>
        </w:rPr>
        <w:lastRenderedPageBreak/>
        <w:t xml:space="preserve">This annex aims to demonstrate in a quantitative and deliberative way that the </w:t>
      </w:r>
      <w:r w:rsidR="00217C8C">
        <w:rPr>
          <w:rFonts w:ascii="Arial" w:hAnsi="Arial" w:cs="Arial"/>
          <w:i/>
        </w:rPr>
        <w:t>Program</w:t>
      </w:r>
      <w:r w:rsidR="001B1EFA" w:rsidRPr="009923E3">
        <w:rPr>
          <w:rFonts w:ascii="Arial" w:hAnsi="Arial" w:cs="Arial"/>
          <w:i/>
        </w:rPr>
        <w:t xml:space="preserve"> </w:t>
      </w:r>
      <w:r w:rsidRPr="009923E3">
        <w:rPr>
          <w:rFonts w:ascii="Arial" w:hAnsi="Arial" w:cs="Arial"/>
        </w:rPr>
        <w:t>will</w:t>
      </w:r>
      <w:r w:rsidR="000B3466" w:rsidRPr="009923E3">
        <w:rPr>
          <w:rFonts w:ascii="Arial" w:hAnsi="Arial" w:cs="Arial"/>
        </w:rPr>
        <w:t xml:space="preserve"> </w:t>
      </w:r>
      <w:r w:rsidR="002C5AC8" w:rsidRPr="009923E3">
        <w:rPr>
          <w:rFonts w:ascii="Arial" w:hAnsi="Arial" w:cs="Arial"/>
        </w:rPr>
        <w:t>decrease base load energy prices in the Eastern Caribbean making the regional economies more globally competitive by:</w:t>
      </w:r>
    </w:p>
    <w:p w14:paraId="4F08BA31" w14:textId="77777777" w:rsidR="006C6347" w:rsidRPr="009923E3" w:rsidRDefault="006C6347" w:rsidP="005134F1">
      <w:pPr>
        <w:pStyle w:val="ListParagraph"/>
        <w:ind w:left="1440"/>
        <w:rPr>
          <w:rFonts w:ascii="Arial" w:hAnsi="Arial" w:cs="Arial"/>
        </w:rPr>
      </w:pPr>
    </w:p>
    <w:p w14:paraId="1CDBC4D7" w14:textId="77777777" w:rsidR="00A550AA" w:rsidRPr="009923E3" w:rsidRDefault="00A550AA" w:rsidP="00A550AA">
      <w:pPr>
        <w:pStyle w:val="ListParagraph"/>
        <w:numPr>
          <w:ilvl w:val="1"/>
          <w:numId w:val="1"/>
        </w:numPr>
        <w:rPr>
          <w:rFonts w:ascii="Arial" w:hAnsi="Arial" w:cs="Arial"/>
        </w:rPr>
      </w:pPr>
      <w:r w:rsidRPr="009923E3">
        <w:rPr>
          <w:rFonts w:ascii="Arial" w:hAnsi="Arial" w:cs="Arial"/>
        </w:rPr>
        <w:t>Get</w:t>
      </w:r>
      <w:r w:rsidR="00540972" w:rsidRPr="009923E3">
        <w:rPr>
          <w:rFonts w:ascii="Arial" w:hAnsi="Arial" w:cs="Arial"/>
        </w:rPr>
        <w:t>ting</w:t>
      </w:r>
      <w:r w:rsidRPr="009923E3">
        <w:rPr>
          <w:rFonts w:ascii="Arial" w:hAnsi="Arial" w:cs="Arial"/>
        </w:rPr>
        <w:t xml:space="preserve"> the Eastern Caribbean countries to address energy as a problem with a regional solution.</w:t>
      </w:r>
    </w:p>
    <w:p w14:paraId="361B3A2F" w14:textId="77777777" w:rsidR="00A550AA" w:rsidRPr="009923E3" w:rsidRDefault="00A550AA" w:rsidP="00A550AA">
      <w:pPr>
        <w:pStyle w:val="ListParagraph"/>
        <w:ind w:left="1440"/>
        <w:rPr>
          <w:rFonts w:ascii="Arial" w:hAnsi="Arial" w:cs="Arial"/>
        </w:rPr>
      </w:pPr>
    </w:p>
    <w:p w14:paraId="4D93DAE4" w14:textId="77777777" w:rsidR="002C5AC8" w:rsidRPr="009923E3" w:rsidRDefault="001B1EFA" w:rsidP="002C5AC8">
      <w:pPr>
        <w:pStyle w:val="ListParagraph"/>
        <w:numPr>
          <w:ilvl w:val="1"/>
          <w:numId w:val="1"/>
        </w:numPr>
        <w:rPr>
          <w:rFonts w:ascii="Arial" w:hAnsi="Arial" w:cs="Arial"/>
        </w:rPr>
      </w:pPr>
      <w:r w:rsidRPr="009923E3">
        <w:rPr>
          <w:rFonts w:ascii="Arial" w:hAnsi="Arial" w:cs="Arial"/>
        </w:rPr>
        <w:t>Allow</w:t>
      </w:r>
      <w:r w:rsidR="00540972" w:rsidRPr="009923E3">
        <w:rPr>
          <w:rFonts w:ascii="Arial" w:hAnsi="Arial" w:cs="Arial"/>
        </w:rPr>
        <w:t>ing</w:t>
      </w:r>
      <w:r w:rsidRPr="009923E3">
        <w:rPr>
          <w:rFonts w:ascii="Arial" w:hAnsi="Arial" w:cs="Arial"/>
        </w:rPr>
        <w:t xml:space="preserve"> the first steps to be taken </w:t>
      </w:r>
      <w:r w:rsidR="00A550AA" w:rsidRPr="009923E3">
        <w:rPr>
          <w:rFonts w:ascii="Arial" w:hAnsi="Arial" w:cs="Arial"/>
        </w:rPr>
        <w:t>towards</w:t>
      </w:r>
      <w:r w:rsidRPr="009923E3">
        <w:rPr>
          <w:rFonts w:ascii="Arial" w:hAnsi="Arial" w:cs="Arial"/>
        </w:rPr>
        <w:t xml:space="preserve"> a plan to connect the energy systems of different Eastern Caribbean island countries.  </w:t>
      </w:r>
    </w:p>
    <w:p w14:paraId="3C41310C" w14:textId="77777777" w:rsidR="002C5AC8" w:rsidRPr="009923E3" w:rsidRDefault="002C5AC8" w:rsidP="002C5AC8">
      <w:pPr>
        <w:pStyle w:val="ListParagraph"/>
        <w:rPr>
          <w:rFonts w:ascii="Arial" w:hAnsi="Arial" w:cs="Arial"/>
        </w:rPr>
      </w:pPr>
    </w:p>
    <w:p w14:paraId="2C03797E" w14:textId="77777777" w:rsidR="0063607F" w:rsidRPr="009923E3" w:rsidRDefault="000B3466" w:rsidP="00A94646">
      <w:pPr>
        <w:pStyle w:val="ListParagraph"/>
        <w:numPr>
          <w:ilvl w:val="0"/>
          <w:numId w:val="1"/>
        </w:numPr>
        <w:rPr>
          <w:rFonts w:ascii="Arial" w:hAnsi="Arial" w:cs="Arial"/>
        </w:rPr>
      </w:pPr>
      <w:r w:rsidRPr="009923E3">
        <w:rPr>
          <w:rFonts w:ascii="Arial" w:hAnsi="Arial" w:cs="Arial"/>
        </w:rPr>
        <w:t>This annex is structured</w:t>
      </w:r>
      <w:r w:rsidR="00AE2B0B" w:rsidRPr="009923E3">
        <w:rPr>
          <w:rFonts w:ascii="Arial" w:hAnsi="Arial" w:cs="Arial"/>
        </w:rPr>
        <w:t xml:space="preserve"> into </w:t>
      </w:r>
      <w:r w:rsidR="00BA1257" w:rsidRPr="009923E3">
        <w:rPr>
          <w:rFonts w:ascii="Arial" w:hAnsi="Arial" w:cs="Arial"/>
        </w:rPr>
        <w:t>three</w:t>
      </w:r>
      <w:r w:rsidR="008562A6" w:rsidRPr="009923E3">
        <w:rPr>
          <w:rFonts w:ascii="Arial" w:hAnsi="Arial" w:cs="Arial"/>
        </w:rPr>
        <w:t xml:space="preserve"> sections.  </w:t>
      </w:r>
    </w:p>
    <w:p w14:paraId="1C58B257" w14:textId="77777777" w:rsidR="006C6347" w:rsidRPr="009923E3" w:rsidRDefault="006C6347" w:rsidP="007F0501">
      <w:pPr>
        <w:pStyle w:val="ListParagraph"/>
        <w:ind w:left="1260"/>
        <w:rPr>
          <w:rFonts w:ascii="Arial" w:hAnsi="Arial" w:cs="Arial"/>
        </w:rPr>
      </w:pPr>
    </w:p>
    <w:p w14:paraId="11BE65BC" w14:textId="77777777" w:rsidR="007F0501" w:rsidRPr="009923E3" w:rsidRDefault="00217C8C" w:rsidP="007F0501">
      <w:pPr>
        <w:pStyle w:val="ListParagraph"/>
        <w:numPr>
          <w:ilvl w:val="0"/>
          <w:numId w:val="14"/>
        </w:numPr>
        <w:ind w:left="1260"/>
        <w:rPr>
          <w:rFonts w:ascii="Arial" w:hAnsi="Arial" w:cs="Arial"/>
        </w:rPr>
      </w:pPr>
      <w:r>
        <w:rPr>
          <w:rFonts w:ascii="Arial" w:hAnsi="Arial" w:cs="Arial"/>
        </w:rPr>
        <w:t>Program</w:t>
      </w:r>
      <w:r w:rsidR="007F0501" w:rsidRPr="009923E3">
        <w:rPr>
          <w:rFonts w:ascii="Arial" w:hAnsi="Arial" w:cs="Arial"/>
        </w:rPr>
        <w:t xml:space="preserve"> description.  </w:t>
      </w:r>
    </w:p>
    <w:p w14:paraId="5051A4A1" w14:textId="77777777" w:rsidR="00ED6D60" w:rsidRPr="009923E3" w:rsidRDefault="00217C8C" w:rsidP="00A764E2">
      <w:pPr>
        <w:pStyle w:val="ListParagraph"/>
        <w:numPr>
          <w:ilvl w:val="0"/>
          <w:numId w:val="14"/>
        </w:numPr>
        <w:ind w:left="1260"/>
        <w:rPr>
          <w:rFonts w:ascii="Arial" w:hAnsi="Arial" w:cs="Arial"/>
        </w:rPr>
      </w:pPr>
      <w:r>
        <w:rPr>
          <w:rFonts w:ascii="Arial" w:hAnsi="Arial" w:cs="Arial"/>
        </w:rPr>
        <w:t>Program</w:t>
      </w:r>
      <w:r w:rsidR="008562A6" w:rsidRPr="009923E3">
        <w:rPr>
          <w:rFonts w:ascii="Arial" w:hAnsi="Arial" w:cs="Arial"/>
        </w:rPr>
        <w:t xml:space="preserve"> aspects relevant to the Bank’s goals of Global and Regional Integration. </w:t>
      </w:r>
    </w:p>
    <w:p w14:paraId="67258B54" w14:textId="77777777" w:rsidR="0045303C" w:rsidRPr="009923E3" w:rsidRDefault="0063607F" w:rsidP="002C5AC8">
      <w:pPr>
        <w:pStyle w:val="ListParagraph"/>
        <w:numPr>
          <w:ilvl w:val="0"/>
          <w:numId w:val="14"/>
        </w:numPr>
        <w:ind w:left="1260"/>
        <w:rPr>
          <w:rFonts w:ascii="Arial" w:hAnsi="Arial" w:cs="Arial"/>
        </w:rPr>
      </w:pPr>
      <w:r w:rsidRPr="009923E3">
        <w:rPr>
          <w:rFonts w:ascii="Arial" w:hAnsi="Arial" w:cs="Arial"/>
        </w:rPr>
        <w:t>Validation through the Bank’s Regional Integration Framework</w:t>
      </w:r>
      <w:r w:rsidR="00726129" w:rsidRPr="009923E3">
        <w:rPr>
          <w:rFonts w:ascii="Arial" w:hAnsi="Arial" w:cs="Arial"/>
        </w:rPr>
        <w:t xml:space="preserve">. </w:t>
      </w:r>
    </w:p>
    <w:p w14:paraId="265F035D" w14:textId="77777777" w:rsidR="00560595" w:rsidRPr="009923E3" w:rsidRDefault="00217C8C" w:rsidP="00A94646">
      <w:pPr>
        <w:pStyle w:val="Heading2"/>
        <w:numPr>
          <w:ilvl w:val="0"/>
          <w:numId w:val="3"/>
        </w:numPr>
        <w:ind w:left="720"/>
        <w:rPr>
          <w:rFonts w:ascii="Arial" w:hAnsi="Arial" w:cs="Arial"/>
          <w:color w:val="auto"/>
          <w:sz w:val="22"/>
          <w:szCs w:val="22"/>
        </w:rPr>
      </w:pPr>
      <w:r>
        <w:rPr>
          <w:rFonts w:ascii="Arial" w:hAnsi="Arial" w:cs="Arial"/>
          <w:color w:val="auto"/>
          <w:sz w:val="22"/>
          <w:szCs w:val="22"/>
        </w:rPr>
        <w:t>Program</w:t>
      </w:r>
      <w:r w:rsidR="007D343E" w:rsidRPr="009923E3">
        <w:rPr>
          <w:rFonts w:ascii="Arial" w:hAnsi="Arial" w:cs="Arial"/>
          <w:color w:val="auto"/>
          <w:sz w:val="22"/>
          <w:szCs w:val="22"/>
        </w:rPr>
        <w:t xml:space="preserve"> description</w:t>
      </w:r>
    </w:p>
    <w:p w14:paraId="2610C534" w14:textId="77777777" w:rsidR="0045303C" w:rsidRPr="009923E3" w:rsidRDefault="0045303C" w:rsidP="0045303C">
      <w:pPr>
        <w:rPr>
          <w:rFonts w:ascii="Arial" w:hAnsi="Arial" w:cs="Arial"/>
        </w:rPr>
      </w:pPr>
    </w:p>
    <w:p w14:paraId="6C6A1B21" w14:textId="77777777" w:rsidR="00217C8C" w:rsidRDefault="00A54728" w:rsidP="00217C8C">
      <w:pPr>
        <w:pStyle w:val="ListParagraph"/>
        <w:numPr>
          <w:ilvl w:val="1"/>
          <w:numId w:val="3"/>
        </w:numPr>
        <w:ind w:left="360"/>
        <w:jc w:val="both"/>
        <w:rPr>
          <w:rFonts w:ascii="Arial" w:hAnsi="Arial" w:cs="Arial"/>
        </w:rPr>
      </w:pPr>
      <w:r w:rsidRPr="009923E3">
        <w:rPr>
          <w:rFonts w:ascii="Arial" w:hAnsi="Arial" w:cs="Arial"/>
        </w:rPr>
        <w:t xml:space="preserve">The </w:t>
      </w:r>
      <w:r w:rsidR="00217C8C" w:rsidRPr="00217C8C">
        <w:rPr>
          <w:rFonts w:ascii="Arial" w:hAnsi="Arial" w:cs="Arial"/>
        </w:rPr>
        <w:t>Sustainable Energy Facility for the Eastern Caribbean Expanded (SEF-Expanded) is a complement to the Sustainable Energy Facility (SEF) for the Eastern Caribbean approved by the IDB in October 2015 (SEF-2015), and together they comprise the SEF Program.</w:t>
      </w:r>
    </w:p>
    <w:p w14:paraId="3D9FA684" w14:textId="77777777" w:rsidR="00217C8C" w:rsidRDefault="00217C8C" w:rsidP="00217C8C">
      <w:pPr>
        <w:pStyle w:val="ListParagraph"/>
        <w:ind w:left="360"/>
        <w:jc w:val="both"/>
        <w:rPr>
          <w:rFonts w:ascii="Arial" w:hAnsi="Arial" w:cs="Arial"/>
        </w:rPr>
      </w:pPr>
    </w:p>
    <w:p w14:paraId="30C3F497" w14:textId="77777777" w:rsidR="00217C8C" w:rsidRDefault="00217C8C" w:rsidP="00217C8C">
      <w:pPr>
        <w:pStyle w:val="ListParagraph"/>
        <w:numPr>
          <w:ilvl w:val="1"/>
          <w:numId w:val="3"/>
        </w:numPr>
        <w:ind w:left="360"/>
        <w:jc w:val="both"/>
        <w:rPr>
          <w:rFonts w:ascii="Arial" w:hAnsi="Arial" w:cs="Arial"/>
        </w:rPr>
      </w:pPr>
      <w:r w:rsidRPr="00217C8C">
        <w:rPr>
          <w:rFonts w:ascii="Arial" w:hAnsi="Arial" w:cs="Arial"/>
        </w:rPr>
        <w:t xml:space="preserve">The SEF-2015 </w:t>
      </w:r>
      <w:r w:rsidR="001E5B52" w:rsidRPr="00217C8C">
        <w:rPr>
          <w:rFonts w:ascii="Arial" w:hAnsi="Arial" w:cs="Arial"/>
        </w:rPr>
        <w:t xml:space="preserve">intends to contribute to the diversification of the energy matrix in the Eastern Caribbean </w:t>
      </w:r>
      <w:r>
        <w:rPr>
          <w:rFonts w:ascii="Arial" w:hAnsi="Arial" w:cs="Arial"/>
        </w:rPr>
        <w:t>countries (ECC)</w:t>
      </w:r>
      <w:r w:rsidR="000171DB">
        <w:rPr>
          <w:rFonts w:ascii="Arial" w:hAnsi="Arial" w:cs="Arial"/>
        </w:rPr>
        <w:t xml:space="preserve"> </w:t>
      </w:r>
      <w:r w:rsidR="001E5B52" w:rsidRPr="00217C8C">
        <w:rPr>
          <w:rFonts w:ascii="Arial" w:hAnsi="Arial" w:cs="Arial"/>
        </w:rPr>
        <w:t>by de</w:t>
      </w:r>
      <w:r w:rsidR="00D158FF" w:rsidRPr="00217C8C">
        <w:rPr>
          <w:rFonts w:ascii="Arial" w:hAnsi="Arial" w:cs="Arial"/>
        </w:rPr>
        <w:t xml:space="preserve">ploying renewable energy </w:t>
      </w:r>
      <w:r>
        <w:rPr>
          <w:rFonts w:ascii="Arial" w:hAnsi="Arial" w:cs="Arial"/>
        </w:rPr>
        <w:t xml:space="preserve">(RE) </w:t>
      </w:r>
      <w:r w:rsidR="00D158FF" w:rsidRPr="00217C8C">
        <w:rPr>
          <w:rFonts w:ascii="Arial" w:hAnsi="Arial" w:cs="Arial"/>
        </w:rPr>
        <w:t xml:space="preserve">technologies with </w:t>
      </w:r>
      <w:proofErr w:type="gramStart"/>
      <w:r w:rsidR="00D158FF" w:rsidRPr="00217C8C">
        <w:rPr>
          <w:rFonts w:ascii="Arial" w:hAnsi="Arial" w:cs="Arial"/>
        </w:rPr>
        <w:t>particular emphasis</w:t>
      </w:r>
      <w:proofErr w:type="gramEnd"/>
      <w:r w:rsidR="00D158FF" w:rsidRPr="00217C8C">
        <w:rPr>
          <w:rFonts w:ascii="Arial" w:hAnsi="Arial" w:cs="Arial"/>
        </w:rPr>
        <w:t xml:space="preserve"> on geothermal energy </w:t>
      </w:r>
      <w:r>
        <w:rPr>
          <w:rFonts w:ascii="Arial" w:hAnsi="Arial" w:cs="Arial"/>
        </w:rPr>
        <w:t xml:space="preserve">(GE) </w:t>
      </w:r>
      <w:r w:rsidR="00D158FF" w:rsidRPr="00217C8C">
        <w:rPr>
          <w:rFonts w:ascii="Arial" w:hAnsi="Arial" w:cs="Arial"/>
        </w:rPr>
        <w:t>and promoting the implementation of energy efficiency</w:t>
      </w:r>
      <w:r>
        <w:rPr>
          <w:rFonts w:ascii="Arial" w:hAnsi="Arial" w:cs="Arial"/>
        </w:rPr>
        <w:t xml:space="preserve"> (EE)</w:t>
      </w:r>
      <w:r w:rsidR="00D158FF" w:rsidRPr="00217C8C">
        <w:rPr>
          <w:rFonts w:ascii="Arial" w:hAnsi="Arial" w:cs="Arial"/>
        </w:rPr>
        <w:t xml:space="preserve"> measures to reduce the region’s dependency on liquid fossil fuels while reducing the cost of power generation. </w:t>
      </w:r>
      <w:r w:rsidRPr="00217C8C">
        <w:rPr>
          <w:rFonts w:ascii="Arial" w:hAnsi="Arial" w:cs="Arial"/>
        </w:rPr>
        <w:t>To achieve this, the SEF</w:t>
      </w:r>
      <w:r>
        <w:rPr>
          <w:rFonts w:ascii="Arial" w:hAnsi="Arial" w:cs="Arial"/>
        </w:rPr>
        <w:t>-2015</w:t>
      </w:r>
      <w:r w:rsidRPr="00217C8C">
        <w:rPr>
          <w:rFonts w:ascii="Arial" w:hAnsi="Arial" w:cs="Arial"/>
        </w:rPr>
        <w:t xml:space="preserve"> has </w:t>
      </w:r>
      <w:r w:rsidR="00D158FF" w:rsidRPr="00217C8C">
        <w:rPr>
          <w:rFonts w:ascii="Arial" w:hAnsi="Arial" w:cs="Arial"/>
        </w:rPr>
        <w:t xml:space="preserve">three </w:t>
      </w:r>
      <w:r w:rsidR="00A54728" w:rsidRPr="00217C8C">
        <w:rPr>
          <w:rFonts w:ascii="Arial" w:hAnsi="Arial" w:cs="Arial"/>
        </w:rPr>
        <w:t xml:space="preserve">components: </w:t>
      </w:r>
      <w:r w:rsidRPr="00217C8C">
        <w:rPr>
          <w:rFonts w:ascii="Arial" w:hAnsi="Arial" w:cs="Arial"/>
        </w:rPr>
        <w:t xml:space="preserve">(i) </w:t>
      </w:r>
      <w:r w:rsidR="000477C9" w:rsidRPr="00217C8C">
        <w:rPr>
          <w:rFonts w:ascii="Arial" w:hAnsi="Arial" w:cs="Arial"/>
        </w:rPr>
        <w:t xml:space="preserve">Loans to public sector actors to promote the incorporation of </w:t>
      </w:r>
      <w:r>
        <w:rPr>
          <w:rFonts w:ascii="Arial" w:hAnsi="Arial" w:cs="Arial"/>
        </w:rPr>
        <w:t xml:space="preserve">Energy Efficiency technologies; (ii) </w:t>
      </w:r>
      <w:r w:rsidR="000477C9" w:rsidRPr="00217C8C">
        <w:rPr>
          <w:rFonts w:ascii="Arial" w:hAnsi="Arial" w:cs="Arial"/>
        </w:rPr>
        <w:t>Technical assistance to improve the regulatory framework, increase capacity, a</w:t>
      </w:r>
      <w:r>
        <w:rPr>
          <w:rFonts w:ascii="Arial" w:hAnsi="Arial" w:cs="Arial"/>
        </w:rPr>
        <w:t xml:space="preserve">nd strengthen the institution; and (iii) </w:t>
      </w:r>
      <w:r w:rsidR="000477C9" w:rsidRPr="00217C8C">
        <w:rPr>
          <w:rFonts w:ascii="Arial" w:hAnsi="Arial" w:cs="Arial"/>
        </w:rPr>
        <w:t>Loans to implement Renewable Energy projects of both variable and base load sources.</w:t>
      </w:r>
      <w:r>
        <w:rPr>
          <w:rFonts w:ascii="Arial" w:hAnsi="Arial" w:cs="Arial"/>
        </w:rPr>
        <w:t xml:space="preserve"> Support for GE comes under the latter.</w:t>
      </w:r>
      <w:r w:rsidR="000171DB">
        <w:rPr>
          <w:rFonts w:ascii="Arial" w:hAnsi="Arial" w:cs="Arial"/>
        </w:rPr>
        <w:t xml:space="preserve"> Beneficiary countries are </w:t>
      </w:r>
      <w:r w:rsidR="000171DB" w:rsidRPr="00A70110">
        <w:rPr>
          <w:rFonts w:ascii="Arial" w:hAnsi="Arial" w:cs="Arial"/>
        </w:rPr>
        <w:t>Antigua and Barbuda (A&amp;B), Dominica (DOM), Grenada (GRE), Saint Kitts and Nevis (SKN), Saint Lucia (SL), and Saint Vincent and the Grenadines (SVG)</w:t>
      </w:r>
      <w:r w:rsidR="000171DB">
        <w:rPr>
          <w:rFonts w:ascii="Arial" w:hAnsi="Arial" w:cs="Arial"/>
        </w:rPr>
        <w:t xml:space="preserve">. </w:t>
      </w:r>
    </w:p>
    <w:p w14:paraId="688B0824" w14:textId="77777777" w:rsidR="00217C8C" w:rsidRPr="00217C8C" w:rsidRDefault="00217C8C" w:rsidP="00217C8C">
      <w:pPr>
        <w:pStyle w:val="ListParagraph"/>
        <w:rPr>
          <w:rFonts w:ascii="Arial" w:hAnsi="Arial" w:cs="Arial"/>
        </w:rPr>
      </w:pPr>
    </w:p>
    <w:p w14:paraId="38C42B44" w14:textId="359A629E" w:rsidR="00217C8C" w:rsidRDefault="00217C8C" w:rsidP="00217C8C">
      <w:pPr>
        <w:pStyle w:val="ListParagraph"/>
        <w:numPr>
          <w:ilvl w:val="1"/>
          <w:numId w:val="3"/>
        </w:numPr>
        <w:ind w:left="360"/>
        <w:jc w:val="both"/>
        <w:rPr>
          <w:rFonts w:ascii="Arial" w:hAnsi="Arial" w:cs="Arial"/>
        </w:rPr>
      </w:pPr>
      <w:r w:rsidRPr="00217C8C">
        <w:rPr>
          <w:rFonts w:ascii="Arial" w:hAnsi="Arial" w:cs="Arial"/>
        </w:rPr>
        <w:t>The SEF-Expanded aims to help de-risk GE projects making it more likely that GE development attracts private investment and expertise, leverages other commercial debt resources, and allows for electricity tariffs to reflect an appropriate mix of concessional finance, commercial debt and equity.</w:t>
      </w:r>
      <w:r>
        <w:rPr>
          <w:rFonts w:ascii="Arial" w:hAnsi="Arial" w:cs="Arial"/>
        </w:rPr>
        <w:t xml:space="preserve"> </w:t>
      </w:r>
      <w:r w:rsidR="007440F6" w:rsidRPr="004868C6">
        <w:rPr>
          <w:rFonts w:ascii="Arial" w:hAnsi="Arial" w:cs="Arial"/>
        </w:rPr>
        <w:t>To this end, a line of credit to the</w:t>
      </w:r>
      <w:r w:rsidR="007440F6">
        <w:rPr>
          <w:rFonts w:ascii="Arial" w:hAnsi="Arial" w:cs="Arial"/>
        </w:rPr>
        <w:t xml:space="preserve"> Caribbean Development Bank (</w:t>
      </w:r>
      <w:r w:rsidR="007440F6" w:rsidRPr="004868C6">
        <w:rPr>
          <w:rFonts w:ascii="Arial" w:hAnsi="Arial" w:cs="Arial"/>
        </w:rPr>
        <w:t>CDB</w:t>
      </w:r>
      <w:r w:rsidR="007440F6">
        <w:rPr>
          <w:rFonts w:ascii="Arial" w:hAnsi="Arial" w:cs="Arial"/>
        </w:rPr>
        <w:t>)</w:t>
      </w:r>
      <w:r w:rsidR="007440F6" w:rsidRPr="004868C6">
        <w:rPr>
          <w:rFonts w:ascii="Arial" w:hAnsi="Arial" w:cs="Arial"/>
        </w:rPr>
        <w:t xml:space="preserve"> will include resources from different donors which the CDB will make available on-demand to meet the 5ECCs financing needs for unlocking geothermal development. </w:t>
      </w:r>
      <w:r w:rsidR="000171DB">
        <w:rPr>
          <w:rFonts w:ascii="Arial" w:hAnsi="Arial" w:cs="Arial"/>
        </w:rPr>
        <w:t xml:space="preserve">While SEF-2015 resources are available for all six ECC and to support EE and RE broadly, SEF-Expanded resources are available only for GE development and hence only </w:t>
      </w:r>
      <w:r w:rsidR="000171DB">
        <w:rPr>
          <w:rFonts w:ascii="Arial" w:hAnsi="Arial" w:cs="Arial"/>
        </w:rPr>
        <w:lastRenderedPageBreak/>
        <w:t>five of the ECC can access this funding</w:t>
      </w:r>
      <w:r w:rsidR="00CA4CDA">
        <w:rPr>
          <w:rFonts w:ascii="Arial" w:hAnsi="Arial" w:cs="Arial"/>
        </w:rPr>
        <w:t xml:space="preserve"> (5ECC)</w:t>
      </w:r>
      <w:r w:rsidR="000171DB">
        <w:rPr>
          <w:rStyle w:val="FootnoteReference"/>
          <w:rFonts w:ascii="Arial" w:hAnsi="Arial" w:cs="Arial"/>
        </w:rPr>
        <w:footnoteReference w:id="1"/>
      </w:r>
      <w:r w:rsidR="000171DB">
        <w:rPr>
          <w:rFonts w:ascii="Arial" w:hAnsi="Arial" w:cs="Arial"/>
        </w:rPr>
        <w:t xml:space="preserve">. </w:t>
      </w:r>
      <w:r>
        <w:rPr>
          <w:rFonts w:ascii="Arial" w:hAnsi="Arial" w:cs="Arial"/>
        </w:rPr>
        <w:t xml:space="preserve">To achieve </w:t>
      </w:r>
      <w:r w:rsidR="000171DB">
        <w:rPr>
          <w:rFonts w:ascii="Arial" w:hAnsi="Arial" w:cs="Arial"/>
        </w:rPr>
        <w:t>its objectives</w:t>
      </w:r>
      <w:r>
        <w:rPr>
          <w:rFonts w:ascii="Arial" w:hAnsi="Arial" w:cs="Arial"/>
        </w:rPr>
        <w:t xml:space="preserve"> the SEF Expanded has the following components:   </w:t>
      </w:r>
    </w:p>
    <w:p w14:paraId="58BC8F8A" w14:textId="77777777" w:rsidR="00217C8C" w:rsidRPr="00217C8C" w:rsidRDefault="00217C8C" w:rsidP="00217C8C">
      <w:pPr>
        <w:pStyle w:val="ListParagraph"/>
        <w:rPr>
          <w:rFonts w:ascii="Arial" w:hAnsi="Arial" w:cs="Arial"/>
          <w:b/>
        </w:rPr>
      </w:pPr>
    </w:p>
    <w:p w14:paraId="02A6EB7B" w14:textId="773592DA" w:rsidR="00CA4CDA" w:rsidRPr="007C289C" w:rsidRDefault="00217C8C" w:rsidP="00CA4CDA">
      <w:pPr>
        <w:pStyle w:val="ListParagraph"/>
        <w:numPr>
          <w:ilvl w:val="1"/>
          <w:numId w:val="3"/>
        </w:numPr>
        <w:ind w:left="360"/>
        <w:jc w:val="both"/>
        <w:rPr>
          <w:rFonts w:ascii="Arial" w:hAnsi="Arial" w:cs="Arial"/>
        </w:rPr>
      </w:pPr>
      <w:r w:rsidRPr="00217C8C">
        <w:rPr>
          <w:rFonts w:ascii="Arial" w:hAnsi="Arial" w:cs="Arial"/>
          <w:b/>
        </w:rPr>
        <w:t>Component 1 –</w:t>
      </w:r>
      <w:r w:rsidR="00CA4CDA" w:rsidRPr="004868C6">
        <w:rPr>
          <w:rFonts w:ascii="Arial" w:hAnsi="Arial" w:cs="Arial"/>
          <w:b/>
        </w:rPr>
        <w:t>GE Project Development (US$80.45 million).</w:t>
      </w:r>
      <w:r w:rsidR="00CA4CDA" w:rsidRPr="00B771D9">
        <w:t xml:space="preserve"> </w:t>
      </w:r>
      <w:r w:rsidR="00CA4CDA" w:rsidRPr="004868C6">
        <w:rPr>
          <w:rFonts w:ascii="Arial" w:hAnsi="Arial" w:cs="Arial"/>
        </w:rPr>
        <w:t>Will support GE projects as they advance through successive stages of development all the way to plant construction by offering funding under:</w:t>
      </w:r>
    </w:p>
    <w:p w14:paraId="0764C1F4" w14:textId="77777777" w:rsidR="00217C8C" w:rsidRPr="00217C8C" w:rsidRDefault="00217C8C" w:rsidP="00217C8C">
      <w:pPr>
        <w:pStyle w:val="ListParagraph"/>
        <w:rPr>
          <w:rFonts w:ascii="Arial" w:hAnsi="Arial" w:cs="Arial"/>
          <w:b/>
        </w:rPr>
      </w:pPr>
    </w:p>
    <w:p w14:paraId="1A15E1EB" w14:textId="18BA0096" w:rsidR="00CA4CDA" w:rsidRPr="007C289C" w:rsidRDefault="00217C8C" w:rsidP="007C289C">
      <w:pPr>
        <w:pStyle w:val="ListParagraph"/>
        <w:numPr>
          <w:ilvl w:val="1"/>
          <w:numId w:val="3"/>
        </w:numPr>
        <w:ind w:left="360"/>
        <w:jc w:val="both"/>
        <w:rPr>
          <w:rFonts w:ascii="Arial" w:hAnsi="Arial" w:cs="Arial"/>
        </w:rPr>
      </w:pPr>
      <w:r w:rsidRPr="007C289C">
        <w:rPr>
          <w:rFonts w:ascii="Arial" w:hAnsi="Arial" w:cs="Arial"/>
          <w:b/>
        </w:rPr>
        <w:t xml:space="preserve">Sub-component 1.1 - </w:t>
      </w:r>
      <w:r w:rsidR="00CA4CDA" w:rsidRPr="004868C6">
        <w:rPr>
          <w:rFonts w:ascii="Arial" w:hAnsi="Arial" w:cs="Arial"/>
          <w:b/>
        </w:rPr>
        <w:t>Pre-feasibility (US$4.45 million).</w:t>
      </w:r>
      <w:r w:rsidR="00CA4CDA" w:rsidRPr="007C289C">
        <w:rPr>
          <w:b/>
          <w:bCs/>
          <w:szCs w:val="20"/>
        </w:rPr>
        <w:t xml:space="preserve"> </w:t>
      </w:r>
      <w:r w:rsidR="00CA4CDA" w:rsidRPr="004868C6">
        <w:rPr>
          <w:rFonts w:ascii="Arial" w:hAnsi="Arial" w:cs="Arial"/>
        </w:rPr>
        <w:t>Will be financed with the non</w:t>
      </w:r>
      <w:r w:rsidR="00CA4CDA" w:rsidRPr="004868C6">
        <w:rPr>
          <w:rFonts w:ascii="Arial" w:hAnsi="Arial" w:cs="Arial"/>
        </w:rPr>
        <w:noBreakHyphen/>
        <w:t>reimbursable TC provided by REI (RG-T3170) for purposes of carrying out pre</w:t>
      </w:r>
      <w:r w:rsidR="00CA4CDA" w:rsidRPr="004868C6">
        <w:rPr>
          <w:rFonts w:ascii="Arial" w:hAnsi="Arial" w:cs="Arial"/>
        </w:rPr>
        <w:noBreakHyphen/>
        <w:t>feasibility studies required to identify promising exploratory drilling sites.</w:t>
      </w:r>
    </w:p>
    <w:p w14:paraId="7D6DB922" w14:textId="77777777" w:rsidR="00217C8C" w:rsidRPr="00217C8C" w:rsidRDefault="00217C8C" w:rsidP="00217C8C">
      <w:pPr>
        <w:pStyle w:val="ListParagraph"/>
        <w:rPr>
          <w:rFonts w:ascii="Arial" w:hAnsi="Arial" w:cs="Arial"/>
          <w:b/>
        </w:rPr>
      </w:pPr>
    </w:p>
    <w:p w14:paraId="4DBC277C" w14:textId="26C03A48" w:rsidR="00CA4CDA" w:rsidRPr="007C289C" w:rsidRDefault="00217C8C" w:rsidP="007C289C">
      <w:pPr>
        <w:pStyle w:val="ListParagraph"/>
        <w:numPr>
          <w:ilvl w:val="1"/>
          <w:numId w:val="3"/>
        </w:numPr>
        <w:ind w:left="360"/>
        <w:jc w:val="both"/>
        <w:rPr>
          <w:rFonts w:ascii="Arial" w:hAnsi="Arial" w:cs="Arial"/>
        </w:rPr>
      </w:pPr>
      <w:r w:rsidRPr="007C289C">
        <w:rPr>
          <w:rFonts w:ascii="Arial" w:hAnsi="Arial" w:cs="Arial"/>
          <w:b/>
        </w:rPr>
        <w:t>Sub-component 1.2 –</w:t>
      </w:r>
      <w:bookmarkStart w:id="4" w:name="_Ref494055143"/>
      <w:r w:rsidR="00CA4CDA" w:rsidRPr="004868C6">
        <w:rPr>
          <w:rFonts w:ascii="Arial" w:hAnsi="Arial" w:cs="Arial"/>
          <w:b/>
        </w:rPr>
        <w:t>Exploration Drilling (US$16 million).</w:t>
      </w:r>
      <w:r w:rsidR="00CA4CDA" w:rsidRPr="007C289C">
        <w:rPr>
          <w:b/>
          <w:bCs/>
          <w:szCs w:val="20"/>
        </w:rPr>
        <w:t xml:space="preserve"> </w:t>
      </w:r>
      <w:r w:rsidR="00CA4CDA" w:rsidRPr="004868C6">
        <w:rPr>
          <w:rFonts w:ascii="Arial" w:hAnsi="Arial" w:cs="Arial"/>
        </w:rPr>
        <w:t>Grant resources that will be provided by GCF</w:t>
      </w:r>
      <w:r w:rsidR="00CA4CDA" w:rsidRPr="004868C6">
        <w:rPr>
          <w:rFonts w:ascii="Arial" w:hAnsi="Arial" w:cs="Arial"/>
        </w:rPr>
        <w:footnoteReference w:id="2"/>
      </w:r>
      <w:r w:rsidR="00CA4CDA" w:rsidRPr="004868C6">
        <w:rPr>
          <w:rFonts w:ascii="Arial" w:hAnsi="Arial" w:cs="Arial"/>
        </w:rPr>
        <w:t xml:space="preserve"> (RG-G1013) for exploratory drilling risk mitigation.</w:t>
      </w:r>
    </w:p>
    <w:p w14:paraId="2417114D" w14:textId="77777777" w:rsidR="00217C8C" w:rsidRPr="00217C8C" w:rsidRDefault="00217C8C" w:rsidP="00217C8C">
      <w:pPr>
        <w:pStyle w:val="ListParagraph"/>
        <w:rPr>
          <w:rFonts w:ascii="Arial" w:hAnsi="Arial" w:cs="Arial"/>
          <w:b/>
        </w:rPr>
      </w:pPr>
    </w:p>
    <w:p w14:paraId="509B6611" w14:textId="676E321D" w:rsidR="00CA4CDA" w:rsidRPr="007C289C" w:rsidRDefault="00217C8C" w:rsidP="007C289C">
      <w:pPr>
        <w:pStyle w:val="ListParagraph"/>
        <w:numPr>
          <w:ilvl w:val="1"/>
          <w:numId w:val="3"/>
        </w:numPr>
        <w:ind w:left="360"/>
        <w:jc w:val="both"/>
        <w:rPr>
          <w:rFonts w:ascii="Arial" w:hAnsi="Arial" w:cs="Arial"/>
        </w:rPr>
      </w:pPr>
      <w:r w:rsidRPr="007C289C">
        <w:rPr>
          <w:rFonts w:ascii="Arial" w:hAnsi="Arial" w:cs="Arial"/>
          <w:b/>
        </w:rPr>
        <w:t xml:space="preserve">Component 2: </w:t>
      </w:r>
      <w:bookmarkEnd w:id="4"/>
      <w:r w:rsidR="00CA4CDA" w:rsidRPr="004868C6">
        <w:rPr>
          <w:rFonts w:ascii="Arial" w:hAnsi="Arial" w:cs="Arial"/>
          <w:b/>
        </w:rPr>
        <w:t>Technical Assistance: Regulatory Framework, Institutional Strengthening and Capacity Building (US$5.16 million).</w:t>
      </w:r>
      <w:r w:rsidR="00CA4CDA" w:rsidRPr="007C289C">
        <w:rPr>
          <w:b/>
          <w:bCs/>
          <w:szCs w:val="20"/>
        </w:rPr>
        <w:t xml:space="preserve"> </w:t>
      </w:r>
      <w:r w:rsidR="00CA4CDA" w:rsidRPr="004868C6">
        <w:rPr>
          <w:rFonts w:ascii="Arial" w:hAnsi="Arial" w:cs="Arial"/>
        </w:rPr>
        <w:t>Will be financed by a grant for US$4 million from GCF</w:t>
      </w:r>
      <w:r w:rsidR="00CA4CDA" w:rsidRPr="004868C6">
        <w:rPr>
          <w:rFonts w:ascii="Arial" w:hAnsi="Arial" w:cs="Arial"/>
        </w:rPr>
        <w:footnoteReference w:id="3"/>
      </w:r>
      <w:r w:rsidR="00CA4CDA" w:rsidRPr="004868C6">
        <w:rPr>
          <w:rFonts w:ascii="Arial" w:hAnsi="Arial" w:cs="Arial"/>
        </w:rPr>
        <w:t xml:space="preserve"> (RG-G1013) to provide non-reimbursable TC to the CDB and the 5ECC. Additional funds from REI (RG-T3170) for US$1.16 million will be used to provide technical assistance to the 5ECC. Technical assistance to the CDB includes the following activities: (</w:t>
      </w:r>
      <w:proofErr w:type="spellStart"/>
      <w:r w:rsidR="00CA4CDA" w:rsidRPr="004868C6">
        <w:rPr>
          <w:rFonts w:ascii="Arial" w:hAnsi="Arial" w:cs="Arial"/>
        </w:rPr>
        <w:t>i</w:t>
      </w:r>
      <w:proofErr w:type="spellEnd"/>
      <w:r w:rsidR="00CA4CDA" w:rsidRPr="004868C6">
        <w:rPr>
          <w:rFonts w:ascii="Arial" w:hAnsi="Arial" w:cs="Arial"/>
        </w:rPr>
        <w:t xml:space="preserve">) developing staff capacity to evaluate and execute sub-loans; (ii) consulting services to provide specific skills and advisory services when required for sub-project preparation; and (iii) drafting of legal documents (i.e. loan contracts for GE sub-loans). Technical assistance to the 5ECC governments will support the ministries responsible for energy and electric utilities, to develop an effective legal, policy and regulatory framework for the implementation of GE projects, as well as to make progress in negotiations with private sector actors to develop GE. </w:t>
      </w:r>
      <w:bookmarkStart w:id="5" w:name="_Ref492997798"/>
      <w:r w:rsidR="00CA4CDA" w:rsidRPr="004868C6">
        <w:rPr>
          <w:rFonts w:ascii="Arial" w:hAnsi="Arial" w:cs="Arial"/>
        </w:rPr>
        <w:t xml:space="preserve">To this end, </w:t>
      </w:r>
      <w:bookmarkEnd w:id="5"/>
      <w:r w:rsidR="00CA4CDA" w:rsidRPr="004868C6">
        <w:rPr>
          <w:rFonts w:ascii="Arial" w:hAnsi="Arial" w:cs="Arial"/>
        </w:rPr>
        <w:t>resources from GCF or REI will support: (</w:t>
      </w:r>
      <w:proofErr w:type="spellStart"/>
      <w:r w:rsidR="00CA4CDA" w:rsidRPr="004868C6">
        <w:rPr>
          <w:rFonts w:ascii="Arial" w:hAnsi="Arial" w:cs="Arial"/>
        </w:rPr>
        <w:t>i</w:t>
      </w:r>
      <w:proofErr w:type="spellEnd"/>
      <w:r w:rsidR="00CA4CDA" w:rsidRPr="004868C6">
        <w:rPr>
          <w:rFonts w:ascii="Arial" w:hAnsi="Arial" w:cs="Arial"/>
        </w:rPr>
        <w:t>) transaction advisory support to structure projects and negotiate with private partners; (ii) training to acquire the necessary skills to enable GE development and project execution; and (iii) capacity building to strengthen governments technical, institutional, environmental and regulatory capacity.</w:t>
      </w:r>
    </w:p>
    <w:p w14:paraId="1A6F7AC2" w14:textId="77777777" w:rsidR="006C6347" w:rsidRPr="009923E3" w:rsidRDefault="00375C96" w:rsidP="005134F1">
      <w:pPr>
        <w:pStyle w:val="Heading2"/>
        <w:numPr>
          <w:ilvl w:val="0"/>
          <w:numId w:val="3"/>
        </w:numPr>
        <w:ind w:left="720"/>
        <w:rPr>
          <w:rFonts w:ascii="Arial" w:hAnsi="Arial" w:cs="Arial"/>
          <w:color w:val="auto"/>
          <w:sz w:val="22"/>
          <w:szCs w:val="22"/>
        </w:rPr>
      </w:pPr>
      <w:r w:rsidRPr="009923E3">
        <w:rPr>
          <w:rFonts w:ascii="Arial" w:hAnsi="Arial" w:cs="Arial"/>
          <w:color w:val="auto"/>
          <w:sz w:val="22"/>
          <w:szCs w:val="22"/>
        </w:rPr>
        <w:t>Project Aspects Relevant to Global and Regional Integration</w:t>
      </w:r>
    </w:p>
    <w:p w14:paraId="41C536AC" w14:textId="77777777" w:rsidR="0045303C" w:rsidRPr="009923E3" w:rsidRDefault="0045303C" w:rsidP="0045303C">
      <w:pPr>
        <w:rPr>
          <w:rFonts w:ascii="Arial" w:hAnsi="Arial" w:cs="Arial"/>
        </w:rPr>
      </w:pPr>
    </w:p>
    <w:p w14:paraId="45CF484A" w14:textId="77777777" w:rsidR="00EF6946" w:rsidRPr="009923E3" w:rsidRDefault="000E7E2D" w:rsidP="006D40CE">
      <w:pPr>
        <w:pStyle w:val="ListParagraph"/>
        <w:numPr>
          <w:ilvl w:val="1"/>
          <w:numId w:val="3"/>
        </w:numPr>
        <w:ind w:left="360"/>
        <w:rPr>
          <w:rFonts w:ascii="Arial" w:hAnsi="Arial" w:cs="Arial"/>
        </w:rPr>
      </w:pPr>
      <w:r w:rsidRPr="009923E3">
        <w:rPr>
          <w:rFonts w:ascii="Arial" w:hAnsi="Arial" w:cs="Arial"/>
        </w:rPr>
        <w:t>This section develops the justification of</w:t>
      </w:r>
      <w:r w:rsidR="007D343E" w:rsidRPr="009923E3">
        <w:rPr>
          <w:rFonts w:ascii="Arial" w:hAnsi="Arial" w:cs="Arial"/>
        </w:rPr>
        <w:t xml:space="preserve"> </w:t>
      </w:r>
      <w:r w:rsidR="00375C96" w:rsidRPr="009923E3">
        <w:rPr>
          <w:rFonts w:ascii="Arial" w:hAnsi="Arial" w:cs="Arial"/>
        </w:rPr>
        <w:t xml:space="preserve">how the project </w:t>
      </w:r>
      <w:r w:rsidR="00D158FF" w:rsidRPr="009923E3">
        <w:rPr>
          <w:rFonts w:ascii="Arial" w:hAnsi="Arial" w:cs="Arial"/>
          <w:i/>
        </w:rPr>
        <w:t xml:space="preserve">Sustainable Energy Facility for the Eastern Caribbean </w:t>
      </w:r>
      <w:r w:rsidR="00150EA1">
        <w:rPr>
          <w:rFonts w:ascii="Arial" w:hAnsi="Arial" w:cs="Arial"/>
          <w:i/>
        </w:rPr>
        <w:t xml:space="preserve">Expanded </w:t>
      </w:r>
      <w:r w:rsidR="00375C96" w:rsidRPr="009923E3">
        <w:rPr>
          <w:rFonts w:ascii="Arial" w:hAnsi="Arial" w:cs="Arial"/>
        </w:rPr>
        <w:t>will contribute</w:t>
      </w:r>
      <w:r w:rsidR="00001C95" w:rsidRPr="009923E3">
        <w:rPr>
          <w:rFonts w:ascii="Arial" w:hAnsi="Arial" w:cs="Arial"/>
        </w:rPr>
        <w:t xml:space="preserve"> to global and regional integration</w:t>
      </w:r>
      <w:r w:rsidR="00375C96" w:rsidRPr="009923E3">
        <w:rPr>
          <w:rFonts w:ascii="Arial" w:hAnsi="Arial" w:cs="Arial"/>
        </w:rPr>
        <w:t>.</w:t>
      </w:r>
      <w:r w:rsidR="00001C95" w:rsidRPr="009923E3">
        <w:rPr>
          <w:rFonts w:ascii="Arial" w:hAnsi="Arial" w:cs="Arial"/>
        </w:rPr>
        <w:t xml:space="preserve"> </w:t>
      </w:r>
    </w:p>
    <w:p w14:paraId="3C1516A0" w14:textId="77777777" w:rsidR="003B667C" w:rsidRPr="009923E3" w:rsidRDefault="003B667C" w:rsidP="00A94646">
      <w:pPr>
        <w:pStyle w:val="ListParagraph"/>
        <w:ind w:left="360"/>
        <w:jc w:val="both"/>
        <w:rPr>
          <w:rFonts w:ascii="Arial" w:hAnsi="Arial" w:cs="Arial"/>
        </w:rPr>
      </w:pPr>
    </w:p>
    <w:p w14:paraId="1011C681" w14:textId="77777777" w:rsidR="00C96B9F" w:rsidRDefault="00F47CA3" w:rsidP="00257BEC">
      <w:pPr>
        <w:pStyle w:val="ListParagraph"/>
        <w:numPr>
          <w:ilvl w:val="1"/>
          <w:numId w:val="3"/>
        </w:numPr>
        <w:ind w:left="360"/>
        <w:jc w:val="both"/>
        <w:rPr>
          <w:rFonts w:ascii="Arial" w:hAnsi="Arial" w:cs="Arial"/>
        </w:rPr>
      </w:pPr>
      <w:r w:rsidRPr="00022A3B">
        <w:rPr>
          <w:rFonts w:ascii="Arial" w:hAnsi="Arial" w:cs="Arial"/>
        </w:rPr>
        <w:t>The Eastern Caribbean</w:t>
      </w:r>
      <w:r w:rsidR="00C96B9F" w:rsidRPr="00022A3B">
        <w:rPr>
          <w:rFonts w:ascii="Arial" w:hAnsi="Arial" w:cs="Arial"/>
        </w:rPr>
        <w:t xml:space="preserve"> has some of the highest and most volatile electricity prices in the world. This is due to the countries being isolated </w:t>
      </w:r>
      <w:r w:rsidR="00E25C9A" w:rsidRPr="00022A3B">
        <w:rPr>
          <w:rFonts w:ascii="Arial" w:hAnsi="Arial" w:cs="Arial"/>
        </w:rPr>
        <w:t xml:space="preserve">economically and geographically </w:t>
      </w:r>
      <w:r w:rsidR="00C96B9F" w:rsidRPr="00022A3B">
        <w:rPr>
          <w:rFonts w:ascii="Arial" w:hAnsi="Arial" w:cs="Arial"/>
        </w:rPr>
        <w:t>and</w:t>
      </w:r>
      <w:r w:rsidR="00A550AA" w:rsidRPr="00022A3B">
        <w:rPr>
          <w:rFonts w:ascii="Arial" w:hAnsi="Arial" w:cs="Arial"/>
        </w:rPr>
        <w:t xml:space="preserve"> having</w:t>
      </w:r>
      <w:r w:rsidR="00C96B9F" w:rsidRPr="00022A3B">
        <w:rPr>
          <w:rFonts w:ascii="Arial" w:hAnsi="Arial" w:cs="Arial"/>
        </w:rPr>
        <w:t xml:space="preserve"> small </w:t>
      </w:r>
      <w:r w:rsidR="00E25C9A" w:rsidRPr="00022A3B">
        <w:rPr>
          <w:rFonts w:ascii="Arial" w:hAnsi="Arial" w:cs="Arial"/>
        </w:rPr>
        <w:t>energy/</w:t>
      </w:r>
      <w:r w:rsidR="00C96B9F" w:rsidRPr="00022A3B">
        <w:rPr>
          <w:rFonts w:ascii="Arial" w:hAnsi="Arial" w:cs="Arial"/>
        </w:rPr>
        <w:t xml:space="preserve">electricity markets. </w:t>
      </w:r>
      <w:r w:rsidR="007A670C" w:rsidRPr="00022A3B">
        <w:rPr>
          <w:rFonts w:ascii="Arial" w:hAnsi="Arial" w:cs="Arial"/>
        </w:rPr>
        <w:t xml:space="preserve">As of 2012, the average electricity price for 10 utilities in the Caribbean was US$0.33 per kWh, compared with an average tariff of US$0.11 per kWh in Florida. Of the utilities chosen, it was the big market utilities (in this case three utilities in the Dominican Republic) that had tariffs below US$0.30 per kWh. The smaller more isolated electricity markets like those in the </w:t>
      </w:r>
      <w:r w:rsidR="00150EA1" w:rsidRPr="00022A3B">
        <w:rPr>
          <w:rFonts w:ascii="Arial" w:hAnsi="Arial" w:cs="Arial"/>
        </w:rPr>
        <w:t>ECC</w:t>
      </w:r>
      <w:r w:rsidR="007A670C" w:rsidRPr="00022A3B">
        <w:rPr>
          <w:rFonts w:ascii="Arial" w:hAnsi="Arial" w:cs="Arial"/>
        </w:rPr>
        <w:t xml:space="preserve"> had tariffs that were above the average price</w:t>
      </w:r>
      <w:r w:rsidR="009B3204" w:rsidRPr="00022A3B">
        <w:rPr>
          <w:rFonts w:ascii="Arial" w:hAnsi="Arial" w:cs="Arial"/>
        </w:rPr>
        <w:t>, US$0.39 per kWh in 2013</w:t>
      </w:r>
      <w:r w:rsidR="00A74A07" w:rsidRPr="00022A3B">
        <w:rPr>
          <w:rFonts w:ascii="Arial" w:hAnsi="Arial" w:cs="Arial"/>
        </w:rPr>
        <w:t xml:space="preserve"> (Table 1)</w:t>
      </w:r>
      <w:r w:rsidR="007A670C" w:rsidRPr="00022A3B">
        <w:rPr>
          <w:rFonts w:ascii="Arial" w:hAnsi="Arial" w:cs="Arial"/>
        </w:rPr>
        <w:t xml:space="preserve">.  </w:t>
      </w:r>
      <w:r w:rsidR="00022A3B" w:rsidRPr="00022A3B">
        <w:rPr>
          <w:rFonts w:ascii="Arial" w:hAnsi="Arial" w:cs="Arial"/>
        </w:rPr>
        <w:t>The following map shows the location of the ECC, quite distant from larger electricity markets and relatively small when compared to other countries.</w:t>
      </w:r>
    </w:p>
    <w:p w14:paraId="14F8F631" w14:textId="63938C9F" w:rsidR="00022A3B" w:rsidRPr="004868C6" w:rsidRDefault="007923C4" w:rsidP="004868C6">
      <w:pPr>
        <w:pStyle w:val="Caption"/>
        <w:keepNext/>
        <w:jc w:val="center"/>
        <w:rPr>
          <w:rFonts w:ascii="Arial" w:hAnsi="Arial" w:cs="Arial"/>
        </w:rPr>
      </w:pPr>
      <w:r w:rsidRPr="004868C6">
        <w:rPr>
          <w:rFonts w:ascii="Arial" w:hAnsi="Arial" w:cs="Arial"/>
          <w:color w:val="auto"/>
          <w:sz w:val="22"/>
          <w:szCs w:val="22"/>
        </w:rPr>
        <w:t>Figure 1: Geographical distribution of the 5ECC</w:t>
      </w:r>
    </w:p>
    <w:p w14:paraId="2E09798A" w14:textId="77777777" w:rsidR="00022A3B" w:rsidRPr="00022A3B" w:rsidRDefault="00022A3B" w:rsidP="00022A3B">
      <w:pPr>
        <w:pStyle w:val="ListParagraph"/>
        <w:ind w:left="360"/>
        <w:jc w:val="both"/>
        <w:rPr>
          <w:rFonts w:ascii="Arial" w:hAnsi="Arial" w:cs="Arial"/>
        </w:rPr>
      </w:pPr>
      <w:r>
        <w:rPr>
          <w:rFonts w:ascii="Arial" w:hAnsi="Arial" w:cs="Arial"/>
          <w:noProof/>
        </w:rPr>
        <mc:AlternateContent>
          <mc:Choice Requires="wps">
            <w:drawing>
              <wp:anchor distT="0" distB="0" distL="114300" distR="114300" simplePos="0" relativeHeight="251683840" behindDoc="0" locked="0" layoutInCell="1" allowOverlap="1" wp14:anchorId="047FA2B2" wp14:editId="2F913C9D">
                <wp:simplePos x="0" y="0"/>
                <wp:positionH relativeFrom="column">
                  <wp:posOffset>4404360</wp:posOffset>
                </wp:positionH>
                <wp:positionV relativeFrom="paragraph">
                  <wp:posOffset>3518535</wp:posOffset>
                </wp:positionV>
                <wp:extent cx="426720" cy="259080"/>
                <wp:effectExtent l="0" t="0" r="240030" b="26670"/>
                <wp:wrapNone/>
                <wp:docPr id="17" name="Callout: Bent Line 17"/>
                <wp:cNvGraphicFramePr/>
                <a:graphic xmlns:a="http://schemas.openxmlformats.org/drawingml/2006/main">
                  <a:graphicData uri="http://schemas.microsoft.com/office/word/2010/wordprocessingShape">
                    <wps:wsp>
                      <wps:cNvSpPr/>
                      <wps:spPr>
                        <a:xfrm>
                          <a:off x="0" y="0"/>
                          <a:ext cx="426720" cy="259080"/>
                        </a:xfrm>
                        <a:prstGeom prst="borderCallout2">
                          <a:avLst>
                            <a:gd name="adj1" fmla="val 18751"/>
                            <a:gd name="adj2" fmla="val 104167"/>
                            <a:gd name="adj3" fmla="val 18750"/>
                            <a:gd name="adj4" fmla="val 126190"/>
                            <a:gd name="adj5" fmla="val 36029"/>
                            <a:gd name="adj6" fmla="val 151547"/>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D3D77C" w14:textId="77777777" w:rsidR="00022A3B" w:rsidRPr="00022A3B" w:rsidRDefault="00022A3B" w:rsidP="00022A3B">
                            <w:pPr>
                              <w:jc w:val="center"/>
                              <w:rPr>
                                <w:b/>
                                <w:sz w:val="16"/>
                              </w:rPr>
                            </w:pPr>
                            <w:r>
                              <w:rPr>
                                <w:b/>
                                <w:sz w:val="16"/>
                              </w:rPr>
                              <w:t>GREE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FA2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Bent Line 17" o:spid="_x0000_s1026" type="#_x0000_t48" style="position:absolute;left:0;text-align:left;margin-left:346.8pt;margin-top:277.05pt;width:33.6pt;height:20.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" adj="32734,7782,27257,,22500" fillcolor="#4f81bd [3204]" strokecolor="#1f497d [3215]" strokeweight="2pt">
                <v:textbox>
                  <w:txbxContent>
                    <w:p w14:paraId="1BD3D77C" w14:textId="77777777" w:rsidR="00022A3B" w:rsidRPr="00022A3B" w:rsidRDefault="00022A3B" w:rsidP="00022A3B">
                      <w:pPr>
                        <w:jc w:val="center"/>
                        <w:rPr>
                          <w:b/>
                          <w:sz w:val="16"/>
                        </w:rPr>
                      </w:pPr>
                      <w:r>
                        <w:rPr>
                          <w:b/>
                          <w:sz w:val="16"/>
                        </w:rPr>
                        <w:t>GREE</w:t>
                      </w:r>
                    </w:p>
                  </w:txbxContent>
                </v:textbox>
                <o:callout v:ext="edit" minusx="t" minusy="t"/>
              </v:shape>
            </w:pict>
          </mc:Fallback>
        </mc:AlternateContent>
      </w:r>
      <w:r>
        <w:rPr>
          <w:rFonts w:ascii="Arial" w:hAnsi="Arial" w:cs="Arial"/>
          <w:noProof/>
        </w:rPr>
        <mc:AlternateContent>
          <mc:Choice Requires="wps">
            <w:drawing>
              <wp:anchor distT="0" distB="0" distL="114300" distR="114300" simplePos="0" relativeHeight="251677696" behindDoc="0" locked="0" layoutInCell="1" allowOverlap="1" wp14:anchorId="71CF247B" wp14:editId="32B76D88">
                <wp:simplePos x="0" y="0"/>
                <wp:positionH relativeFrom="column">
                  <wp:posOffset>4450080</wp:posOffset>
                </wp:positionH>
                <wp:positionV relativeFrom="paragraph">
                  <wp:posOffset>3068955</wp:posOffset>
                </wp:positionV>
                <wp:extent cx="426720" cy="259080"/>
                <wp:effectExtent l="0" t="0" r="240030" b="26670"/>
                <wp:wrapNone/>
                <wp:docPr id="16" name="Callout: Bent Line 16"/>
                <wp:cNvGraphicFramePr/>
                <a:graphic xmlns:a="http://schemas.openxmlformats.org/drawingml/2006/main">
                  <a:graphicData uri="http://schemas.microsoft.com/office/word/2010/wordprocessingShape">
                    <wps:wsp>
                      <wps:cNvSpPr/>
                      <wps:spPr>
                        <a:xfrm>
                          <a:off x="0" y="0"/>
                          <a:ext cx="426720" cy="259080"/>
                        </a:xfrm>
                        <a:prstGeom prst="borderCallout2">
                          <a:avLst>
                            <a:gd name="adj1" fmla="val 18751"/>
                            <a:gd name="adj2" fmla="val 104167"/>
                            <a:gd name="adj3" fmla="val 18750"/>
                            <a:gd name="adj4" fmla="val 126190"/>
                            <a:gd name="adj5" fmla="val 36029"/>
                            <a:gd name="adj6" fmla="val 151547"/>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98ADB4" w14:textId="77777777" w:rsidR="00022A3B" w:rsidRPr="00022A3B" w:rsidRDefault="00022A3B" w:rsidP="00022A3B">
                            <w:pPr>
                              <w:jc w:val="center"/>
                              <w:rPr>
                                <w:b/>
                                <w:sz w:val="16"/>
                              </w:rPr>
                            </w:pPr>
                            <w:r w:rsidRPr="00022A3B">
                              <w:rPr>
                                <w:b/>
                                <w:sz w:val="16"/>
                              </w:rPr>
                              <w:t>S</w:t>
                            </w:r>
                            <w:r>
                              <w:rPr>
                                <w:b/>
                                <w:sz w:val="16"/>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F247B" id="Callout: Bent Line 16" o:spid="_x0000_s1027" type="#_x0000_t48" style="position:absolute;left:0;text-align:left;margin-left:350.4pt;margin-top:241.65pt;width:33.6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" adj="32734,7782,27257,,22500" fillcolor="#4f81bd [3204]" strokecolor="#1f497d [3215]" strokeweight="2pt">
                <v:textbox>
                  <w:txbxContent>
                    <w:p w14:paraId="4398ADB4" w14:textId="77777777" w:rsidR="00022A3B" w:rsidRPr="00022A3B" w:rsidRDefault="00022A3B" w:rsidP="00022A3B">
                      <w:pPr>
                        <w:jc w:val="center"/>
                        <w:rPr>
                          <w:b/>
                          <w:sz w:val="16"/>
                        </w:rPr>
                      </w:pPr>
                      <w:r w:rsidRPr="00022A3B">
                        <w:rPr>
                          <w:b/>
                          <w:sz w:val="16"/>
                        </w:rPr>
                        <w:t>S</w:t>
                      </w:r>
                      <w:r>
                        <w:rPr>
                          <w:b/>
                          <w:sz w:val="16"/>
                        </w:rPr>
                        <w:t>L</w:t>
                      </w:r>
                    </w:p>
                  </w:txbxContent>
                </v:textbox>
                <o:callout v:ext="edit" minusx="t" minusy="t"/>
              </v:shape>
            </w:pict>
          </mc:Fallback>
        </mc:AlternateContent>
      </w:r>
      <w:r>
        <w:rPr>
          <w:rFonts w:ascii="Arial" w:hAnsi="Arial" w:cs="Arial"/>
          <w:noProof/>
        </w:rPr>
        <mc:AlternateContent>
          <mc:Choice Requires="wps">
            <w:drawing>
              <wp:anchor distT="0" distB="0" distL="114300" distR="114300" simplePos="0" relativeHeight="251674624" behindDoc="0" locked="0" layoutInCell="1" allowOverlap="1" wp14:anchorId="41F1D525" wp14:editId="758AC501">
                <wp:simplePos x="0" y="0"/>
                <wp:positionH relativeFrom="column">
                  <wp:posOffset>5265420</wp:posOffset>
                </wp:positionH>
                <wp:positionV relativeFrom="paragraph">
                  <wp:posOffset>2748915</wp:posOffset>
                </wp:positionV>
                <wp:extent cx="525780" cy="259080"/>
                <wp:effectExtent l="133350" t="0" r="26670" b="26670"/>
                <wp:wrapNone/>
                <wp:docPr id="15" name="Callout: Bent Line 15"/>
                <wp:cNvGraphicFramePr/>
                <a:graphic xmlns:a="http://schemas.openxmlformats.org/drawingml/2006/main">
                  <a:graphicData uri="http://schemas.microsoft.com/office/word/2010/wordprocessingShape">
                    <wps:wsp>
                      <wps:cNvSpPr/>
                      <wps:spPr>
                        <a:xfrm>
                          <a:off x="0" y="0"/>
                          <a:ext cx="525780" cy="259080"/>
                        </a:xfrm>
                        <a:prstGeom prst="borderCallout2">
                          <a:avLst>
                            <a:gd name="adj1" fmla="val 18750"/>
                            <a:gd name="adj2" fmla="val -8333"/>
                            <a:gd name="adj3" fmla="val 18750"/>
                            <a:gd name="adj4" fmla="val -16667"/>
                            <a:gd name="adj5" fmla="val 41911"/>
                            <a:gd name="adj6" fmla="val -25058"/>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9C5C1" w14:textId="77777777" w:rsidR="00022A3B" w:rsidRPr="00022A3B" w:rsidRDefault="00022A3B" w:rsidP="00022A3B">
                            <w:pPr>
                              <w:jc w:val="center"/>
                              <w:rPr>
                                <w:b/>
                                <w:sz w:val="16"/>
                              </w:rPr>
                            </w:pPr>
                            <w:r>
                              <w:rPr>
                                <w:b/>
                                <w:sz w:val="16"/>
                              </w:rPr>
                              <w:t>DOM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1D525" id="Callout: Bent Line 15" o:spid="_x0000_s1028" type="#_x0000_t48" style="position:absolute;left:0;text-align:left;margin-left:414.6pt;margin-top:216.45pt;width:41.4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" adj="-5413,9053" fillcolor="#4f81bd [3204]" strokecolor="#1f497d [3215]" strokeweight="2pt">
                <v:textbox>
                  <w:txbxContent>
                    <w:p w14:paraId="3F69C5C1" w14:textId="77777777" w:rsidR="00022A3B" w:rsidRPr="00022A3B" w:rsidRDefault="00022A3B" w:rsidP="00022A3B">
                      <w:pPr>
                        <w:jc w:val="center"/>
                        <w:rPr>
                          <w:b/>
                          <w:sz w:val="16"/>
                        </w:rPr>
                      </w:pPr>
                      <w:r>
                        <w:rPr>
                          <w:b/>
                          <w:sz w:val="16"/>
                        </w:rPr>
                        <w:t>DOM</w:t>
                      </w:r>
                    </w:p>
                  </w:txbxContent>
                </v:textbox>
                <o:callout v:ext="edit" minusy="t"/>
              </v:shape>
            </w:pict>
          </mc:Fallback>
        </mc:AlternateContent>
      </w:r>
      <w:r>
        <w:rPr>
          <w:rFonts w:ascii="Arial" w:hAnsi="Arial" w:cs="Arial"/>
          <w:noProof/>
        </w:rPr>
        <mc:AlternateContent>
          <mc:Choice Requires="wps">
            <w:drawing>
              <wp:anchor distT="0" distB="0" distL="114300" distR="114300" simplePos="0" relativeHeight="251670528" behindDoc="0" locked="0" layoutInCell="1" allowOverlap="1" wp14:anchorId="67B4AC06" wp14:editId="19385B57">
                <wp:simplePos x="0" y="0"/>
                <wp:positionH relativeFrom="column">
                  <wp:posOffset>5273040</wp:posOffset>
                </wp:positionH>
                <wp:positionV relativeFrom="paragraph">
                  <wp:posOffset>2413635</wp:posOffset>
                </wp:positionV>
                <wp:extent cx="426720" cy="259080"/>
                <wp:effectExtent l="209550" t="0" r="11430" b="26670"/>
                <wp:wrapNone/>
                <wp:docPr id="14" name="Callout: Bent Line 14"/>
                <wp:cNvGraphicFramePr/>
                <a:graphic xmlns:a="http://schemas.openxmlformats.org/drawingml/2006/main">
                  <a:graphicData uri="http://schemas.microsoft.com/office/word/2010/wordprocessingShape">
                    <wps:wsp>
                      <wps:cNvSpPr/>
                      <wps:spPr>
                        <a:xfrm>
                          <a:off x="0" y="0"/>
                          <a:ext cx="426720" cy="259080"/>
                        </a:xfrm>
                        <a:prstGeom prst="borderCallout2">
                          <a:avLst>
                            <a:gd name="adj1" fmla="val 18750"/>
                            <a:gd name="adj2" fmla="val -8333"/>
                            <a:gd name="adj3" fmla="val 18750"/>
                            <a:gd name="adj4" fmla="val -16667"/>
                            <a:gd name="adj5" fmla="val 68382"/>
                            <a:gd name="adj6" fmla="val -48453"/>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5E1FBE" w14:textId="77777777" w:rsidR="00022A3B" w:rsidRPr="00022A3B" w:rsidRDefault="00022A3B" w:rsidP="00022A3B">
                            <w:pPr>
                              <w:jc w:val="center"/>
                              <w:rPr>
                                <w:b/>
                                <w:sz w:val="16"/>
                              </w:rPr>
                            </w:pPr>
                            <w:r>
                              <w:rPr>
                                <w:b/>
                                <w:sz w:val="16"/>
                              </w:rPr>
                              <w:t>SKN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4AC06" id="Callout: Bent Line 14" o:spid="_x0000_s1029" type="#_x0000_t48" style="position:absolute;left:0;text-align:left;margin-left:415.2pt;margin-top:190.05pt;width:33.6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" adj="-10466,14771" fillcolor="#4f81bd [3204]" strokecolor="#1f497d [3215]" strokeweight="2pt">
                <v:textbox>
                  <w:txbxContent>
                    <w:p w14:paraId="055E1FBE" w14:textId="77777777" w:rsidR="00022A3B" w:rsidRPr="00022A3B" w:rsidRDefault="00022A3B" w:rsidP="00022A3B">
                      <w:pPr>
                        <w:jc w:val="center"/>
                        <w:rPr>
                          <w:b/>
                          <w:sz w:val="16"/>
                        </w:rPr>
                      </w:pPr>
                      <w:r>
                        <w:rPr>
                          <w:b/>
                          <w:sz w:val="16"/>
                        </w:rPr>
                        <w:t>SKN</w:t>
                      </w:r>
                    </w:p>
                  </w:txbxContent>
                </v:textbox>
                <o:callout v:ext="edit" minusy="t"/>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14:anchorId="2214E76F" wp14:editId="16FF441A">
                <wp:simplePos x="0" y="0"/>
                <wp:positionH relativeFrom="column">
                  <wp:posOffset>5364480</wp:posOffset>
                </wp:positionH>
                <wp:positionV relativeFrom="paragraph">
                  <wp:posOffset>3282315</wp:posOffset>
                </wp:positionV>
                <wp:extent cx="426720" cy="259080"/>
                <wp:effectExtent l="209550" t="0" r="11430" b="26670"/>
                <wp:wrapNone/>
                <wp:docPr id="13" name="Callout: Bent Line 13"/>
                <wp:cNvGraphicFramePr/>
                <a:graphic xmlns:a="http://schemas.openxmlformats.org/drawingml/2006/main">
                  <a:graphicData uri="http://schemas.microsoft.com/office/word/2010/wordprocessingShape">
                    <wps:wsp>
                      <wps:cNvSpPr/>
                      <wps:spPr>
                        <a:xfrm>
                          <a:off x="0" y="0"/>
                          <a:ext cx="426720" cy="259080"/>
                        </a:xfrm>
                        <a:prstGeom prst="borderCallout2">
                          <a:avLst>
                            <a:gd name="adj1" fmla="val 18750"/>
                            <a:gd name="adj2" fmla="val -8333"/>
                            <a:gd name="adj3" fmla="val 18750"/>
                            <a:gd name="adj4" fmla="val -16667"/>
                            <a:gd name="adj5" fmla="val 68382"/>
                            <a:gd name="adj6" fmla="val -48453"/>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ED6D17" w14:textId="77777777" w:rsidR="00022A3B" w:rsidRPr="00022A3B" w:rsidRDefault="00022A3B" w:rsidP="00022A3B">
                            <w:pPr>
                              <w:jc w:val="center"/>
                              <w:rPr>
                                <w:b/>
                                <w:sz w:val="16"/>
                              </w:rPr>
                            </w:pPr>
                            <w:r w:rsidRPr="00022A3B">
                              <w:rPr>
                                <w:b/>
                                <w:sz w:val="16"/>
                              </w:rPr>
                              <w:t>SVG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4E76F" id="Callout: Bent Line 13" o:spid="_x0000_s1030" type="#_x0000_t48" style="position:absolute;left:0;text-align:left;margin-left:422.4pt;margin-top:258.45pt;width:33.6pt;height:2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" adj="-10466,14771" fillcolor="#4f81bd [3204]" strokecolor="#1f497d [3215]" strokeweight="2pt">
                <v:textbox>
                  <w:txbxContent>
                    <w:p w14:paraId="6AED6D17" w14:textId="77777777" w:rsidR="00022A3B" w:rsidRPr="00022A3B" w:rsidRDefault="00022A3B" w:rsidP="00022A3B">
                      <w:pPr>
                        <w:jc w:val="center"/>
                        <w:rPr>
                          <w:b/>
                          <w:sz w:val="16"/>
                        </w:rPr>
                      </w:pPr>
                      <w:r w:rsidRPr="00022A3B">
                        <w:rPr>
                          <w:b/>
                          <w:sz w:val="16"/>
                        </w:rPr>
                        <w:t>SVG</w:t>
                      </w:r>
                    </w:p>
                  </w:txbxContent>
                </v:textbox>
                <o:callout v:ext="edit" minusy="t"/>
              </v:shape>
            </w:pict>
          </mc:Fallback>
        </mc:AlternateContent>
      </w:r>
      <w:r>
        <w:rPr>
          <w:rFonts w:ascii="Arial" w:hAnsi="Arial" w:cs="Arial"/>
          <w:noProof/>
        </w:rPr>
        <mc:AlternateContent>
          <mc:Choice Requires="wpi">
            <w:drawing>
              <wp:anchor distT="0" distB="0" distL="114300" distR="114300" simplePos="0" relativeHeight="251660288" behindDoc="0" locked="0" layoutInCell="1" allowOverlap="1" wp14:anchorId="59E44474" wp14:editId="2522FA06">
                <wp:simplePos x="0" y="0"/>
                <wp:positionH relativeFrom="column">
                  <wp:posOffset>5029200</wp:posOffset>
                </wp:positionH>
                <wp:positionV relativeFrom="paragraph">
                  <wp:posOffset>2649855</wp:posOffset>
                </wp:positionV>
                <wp:extent cx="360" cy="360"/>
                <wp:effectExtent l="76200" t="114300" r="95250" b="133350"/>
                <wp:wrapNone/>
                <wp:docPr id="11" name="Ink 11"/>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type w14:anchorId="34E99C1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393.15pt;margin-top:203pt;width:5.7pt;height:11.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">
                <v:imagedata r:id="rId18" o:title=""/>
              </v:shape>
            </w:pict>
          </mc:Fallback>
        </mc:AlternateContent>
      </w:r>
      <w:r>
        <w:rPr>
          <w:rFonts w:ascii="Arial" w:hAnsi="Arial" w:cs="Arial"/>
          <w:noProof/>
        </w:rPr>
        <mc:AlternateContent>
          <mc:Choice Requires="wpi">
            <w:drawing>
              <wp:anchor distT="0" distB="0" distL="114300" distR="114300" simplePos="0" relativeHeight="251656192" behindDoc="0" locked="0" layoutInCell="1" allowOverlap="1" wp14:anchorId="49DE7087" wp14:editId="758FB54B">
                <wp:simplePos x="0" y="0"/>
                <wp:positionH relativeFrom="column">
                  <wp:posOffset>5082480</wp:posOffset>
                </wp:positionH>
                <wp:positionV relativeFrom="paragraph">
                  <wp:posOffset>3640575</wp:posOffset>
                </wp:positionV>
                <wp:extent cx="360" cy="360"/>
                <wp:effectExtent l="76200" t="114300" r="95250" b="133350"/>
                <wp:wrapNone/>
                <wp:docPr id="10" name="Ink 10"/>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w14:anchorId="526FFF77" id="Ink 10" o:spid="_x0000_s1026" type="#_x0000_t75" style="position:absolute;margin-left:397.35pt;margin-top:281pt;width:5.7pt;height:11.4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">
                <v:imagedata r:id="rId18" o:title=""/>
              </v:shape>
            </w:pict>
          </mc:Fallback>
        </mc:AlternateContent>
      </w:r>
      <w:r>
        <w:rPr>
          <w:rFonts w:ascii="Arial" w:hAnsi="Arial" w:cs="Arial"/>
          <w:noProof/>
        </w:rPr>
        <mc:AlternateContent>
          <mc:Choice Requires="wpi">
            <w:drawing>
              <wp:anchor distT="0" distB="0" distL="114300" distR="114300" simplePos="0" relativeHeight="251652096" behindDoc="0" locked="0" layoutInCell="1" allowOverlap="1" wp14:anchorId="252AFEAD" wp14:editId="7D78F335">
                <wp:simplePos x="0" y="0"/>
                <wp:positionH relativeFrom="column">
                  <wp:posOffset>5128200</wp:posOffset>
                </wp:positionH>
                <wp:positionV relativeFrom="paragraph">
                  <wp:posOffset>3472815</wp:posOffset>
                </wp:positionV>
                <wp:extent cx="360" cy="360"/>
                <wp:effectExtent l="76200" t="114300" r="95250" b="133350"/>
                <wp:wrapNone/>
                <wp:docPr id="9" name="Ink 9"/>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pict>
              <v:shape w14:anchorId="3271FD3A" id="Ink 9" o:spid="_x0000_s1026" type="#_x0000_t75" style="position:absolute;margin-left:400.95pt;margin-top:267.8pt;width:5.7pt;height:11.4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">
                <v:imagedata r:id="rId18" o:title=""/>
              </v:shape>
            </w:pict>
          </mc:Fallback>
        </mc:AlternateContent>
      </w:r>
      <w:r>
        <w:rPr>
          <w:rFonts w:ascii="Arial" w:hAnsi="Arial" w:cs="Arial"/>
          <w:noProof/>
        </w:rPr>
        <mc:AlternateContent>
          <mc:Choice Requires="wpi">
            <w:drawing>
              <wp:anchor distT="0" distB="0" distL="114300" distR="114300" simplePos="0" relativeHeight="251648000" behindDoc="0" locked="0" layoutInCell="1" allowOverlap="1" wp14:anchorId="24173995" wp14:editId="2A08D063">
                <wp:simplePos x="0" y="0"/>
                <wp:positionH relativeFrom="column">
                  <wp:posOffset>5204520</wp:posOffset>
                </wp:positionH>
                <wp:positionV relativeFrom="paragraph">
                  <wp:posOffset>3183375</wp:posOffset>
                </wp:positionV>
                <wp:extent cx="360" cy="360"/>
                <wp:effectExtent l="76200" t="114300" r="95250" b="133350"/>
                <wp:wrapNone/>
                <wp:docPr id="8" name="Ink 8"/>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376A0D4A" id="Ink 8" o:spid="_x0000_s1026" type="#_x0000_t75" style="position:absolute;margin-left:406.95pt;margin-top:245pt;width:5.7pt;height:11.4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">
                <v:imagedata r:id="rId18" o:title=""/>
              </v:shape>
            </w:pict>
          </mc:Fallback>
        </mc:AlternateContent>
      </w:r>
      <w:r>
        <w:rPr>
          <w:rFonts w:ascii="Arial" w:hAnsi="Arial" w:cs="Arial"/>
          <w:noProof/>
        </w:rPr>
        <mc:AlternateContent>
          <mc:Choice Requires="wpi">
            <w:drawing>
              <wp:anchor distT="0" distB="0" distL="114300" distR="114300" simplePos="0" relativeHeight="251643904" behindDoc="0" locked="0" layoutInCell="1" allowOverlap="1" wp14:anchorId="2F2F35D7" wp14:editId="413144B5">
                <wp:simplePos x="0" y="0"/>
                <wp:positionH relativeFrom="column">
                  <wp:posOffset>5090040</wp:posOffset>
                </wp:positionH>
                <wp:positionV relativeFrom="paragraph">
                  <wp:posOffset>2840295</wp:posOffset>
                </wp:positionV>
                <wp:extent cx="360" cy="360"/>
                <wp:effectExtent l="76200" t="114300" r="95250" b="133350"/>
                <wp:wrapNone/>
                <wp:docPr id="7" name="Ink 7"/>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42915AE8" id="Ink 7" o:spid="_x0000_s1026" type="#_x0000_t75" style="position:absolute;margin-left:397.95pt;margin-top:218pt;width:5.7pt;height:11.4pt;z-index:2516439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">
                <v:imagedata r:id="rId18" o:title=""/>
              </v:shape>
            </w:pict>
          </mc:Fallback>
        </mc:AlternateContent>
      </w:r>
      <w:r>
        <w:rPr>
          <w:noProof/>
        </w:rPr>
        <w:drawing>
          <wp:inline distT="0" distB="0" distL="0" distR="0" wp14:anchorId="1A25B829" wp14:editId="3416BFA8">
            <wp:extent cx="5603597" cy="4091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13899" cy="4099463"/>
                    </a:xfrm>
                    <a:prstGeom prst="rect">
                      <a:avLst/>
                    </a:prstGeom>
                  </pic:spPr>
                </pic:pic>
              </a:graphicData>
            </a:graphic>
          </wp:inline>
        </w:drawing>
      </w:r>
    </w:p>
    <w:p w14:paraId="3C885E67" w14:textId="77777777" w:rsidR="00A74A07" w:rsidRPr="009923E3" w:rsidRDefault="00A74A07" w:rsidP="00A74A07">
      <w:pPr>
        <w:pStyle w:val="ListParagraph"/>
        <w:rPr>
          <w:rFonts w:ascii="Arial" w:hAnsi="Arial" w:cs="Arial"/>
        </w:rPr>
      </w:pPr>
    </w:p>
    <w:p w14:paraId="569A62E5" w14:textId="77777777" w:rsidR="00A74A07" w:rsidRPr="009923E3" w:rsidRDefault="00A74A07" w:rsidP="000A06C5">
      <w:pPr>
        <w:pStyle w:val="Caption"/>
        <w:keepNext/>
        <w:jc w:val="center"/>
        <w:rPr>
          <w:rFonts w:ascii="Arial" w:hAnsi="Arial" w:cs="Arial"/>
          <w:color w:val="auto"/>
          <w:sz w:val="22"/>
          <w:szCs w:val="22"/>
        </w:rPr>
      </w:pPr>
      <w:r w:rsidRPr="009923E3">
        <w:rPr>
          <w:rFonts w:ascii="Arial" w:hAnsi="Arial" w:cs="Arial"/>
          <w:color w:val="auto"/>
          <w:sz w:val="22"/>
          <w:szCs w:val="22"/>
        </w:rPr>
        <w:t xml:space="preserve">Table </w:t>
      </w:r>
      <w:r w:rsidRPr="009923E3">
        <w:rPr>
          <w:rFonts w:ascii="Arial" w:hAnsi="Arial" w:cs="Arial"/>
          <w:color w:val="auto"/>
          <w:sz w:val="22"/>
          <w:szCs w:val="22"/>
        </w:rPr>
        <w:fldChar w:fldCharType="begin"/>
      </w:r>
      <w:r w:rsidRPr="009923E3">
        <w:rPr>
          <w:rFonts w:ascii="Arial" w:hAnsi="Arial" w:cs="Arial"/>
          <w:color w:val="auto"/>
          <w:sz w:val="22"/>
          <w:szCs w:val="22"/>
        </w:rPr>
        <w:instrText xml:space="preserve"> SEQ Table \* ARABIC </w:instrText>
      </w:r>
      <w:r w:rsidRPr="009923E3">
        <w:rPr>
          <w:rFonts w:ascii="Arial" w:hAnsi="Arial" w:cs="Arial"/>
          <w:color w:val="auto"/>
          <w:sz w:val="22"/>
          <w:szCs w:val="22"/>
        </w:rPr>
        <w:fldChar w:fldCharType="separate"/>
      </w:r>
      <w:r w:rsidRPr="009923E3">
        <w:rPr>
          <w:rFonts w:ascii="Arial" w:hAnsi="Arial" w:cs="Arial"/>
          <w:noProof/>
          <w:color w:val="auto"/>
          <w:sz w:val="22"/>
          <w:szCs w:val="22"/>
        </w:rPr>
        <w:t>1</w:t>
      </w:r>
      <w:r w:rsidRPr="009923E3">
        <w:rPr>
          <w:rFonts w:ascii="Arial" w:hAnsi="Arial" w:cs="Arial"/>
          <w:color w:val="auto"/>
          <w:sz w:val="22"/>
          <w:szCs w:val="22"/>
        </w:rPr>
        <w:fldChar w:fldCharType="end"/>
      </w:r>
      <w:r w:rsidRPr="009923E3">
        <w:rPr>
          <w:rFonts w:ascii="Arial" w:hAnsi="Arial" w:cs="Arial"/>
          <w:color w:val="auto"/>
          <w:sz w:val="22"/>
          <w:szCs w:val="22"/>
        </w:rPr>
        <w:t>: Electricity Prices in the Eastern Caribbean</w:t>
      </w:r>
      <w:r w:rsidRPr="009923E3">
        <w:rPr>
          <w:rStyle w:val="FootnoteReference"/>
          <w:rFonts w:ascii="Arial" w:hAnsi="Arial" w:cs="Arial"/>
          <w:color w:val="auto"/>
          <w:sz w:val="22"/>
          <w:szCs w:val="22"/>
        </w:rPr>
        <w:footnoteReference w:id="4"/>
      </w:r>
    </w:p>
    <w:tbl>
      <w:tblPr>
        <w:tblW w:w="4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7"/>
        <w:gridCol w:w="2460"/>
        <w:gridCol w:w="2110"/>
      </w:tblGrid>
      <w:tr w:rsidR="009923E3" w:rsidRPr="009923E3" w14:paraId="5953466E" w14:textId="77777777" w:rsidTr="000A06C5">
        <w:trPr>
          <w:trHeight w:val="260"/>
          <w:tblHeader/>
          <w:jc w:val="center"/>
        </w:trPr>
        <w:tc>
          <w:tcPr>
            <w:tcW w:w="1948" w:type="pct"/>
            <w:vMerge w:val="restart"/>
            <w:shd w:val="clear" w:color="auto" w:fill="auto"/>
            <w:vAlign w:val="center"/>
            <w:hideMark/>
          </w:tcPr>
          <w:p w14:paraId="7BD0BDFC" w14:textId="77777777" w:rsidR="00A74A07" w:rsidRPr="009923E3" w:rsidRDefault="00A74A07" w:rsidP="00A74A07">
            <w:pPr>
              <w:keepNext/>
              <w:spacing w:after="0"/>
              <w:jc w:val="center"/>
              <w:rPr>
                <w:rFonts w:ascii="Arial" w:hAnsi="Arial" w:cs="Arial"/>
                <w:b/>
                <w:lang w:eastAsia="en-NZ"/>
              </w:rPr>
            </w:pPr>
            <w:r w:rsidRPr="009923E3">
              <w:rPr>
                <w:rFonts w:ascii="Arial" w:hAnsi="Arial" w:cs="Arial"/>
                <w:b/>
                <w:lang w:eastAsia="en-NZ"/>
              </w:rPr>
              <w:t>Country</w:t>
            </w:r>
          </w:p>
        </w:tc>
        <w:tc>
          <w:tcPr>
            <w:tcW w:w="3052" w:type="pct"/>
            <w:gridSpan w:val="2"/>
            <w:shd w:val="clear" w:color="auto" w:fill="auto"/>
            <w:vAlign w:val="center"/>
            <w:hideMark/>
          </w:tcPr>
          <w:p w14:paraId="121561BD" w14:textId="77777777" w:rsidR="00A74A07" w:rsidRPr="009923E3" w:rsidRDefault="00A74A07" w:rsidP="00A74A07">
            <w:pPr>
              <w:keepNext/>
              <w:spacing w:after="0"/>
              <w:jc w:val="center"/>
              <w:rPr>
                <w:rFonts w:ascii="Arial" w:hAnsi="Arial" w:cs="Arial"/>
                <w:b/>
                <w:lang w:eastAsia="en-NZ"/>
              </w:rPr>
            </w:pPr>
            <w:r w:rsidRPr="009923E3">
              <w:rPr>
                <w:rFonts w:ascii="Arial" w:hAnsi="Arial" w:cs="Arial"/>
                <w:b/>
                <w:lang w:eastAsia="en-NZ"/>
              </w:rPr>
              <w:t>Average Tariff (US$/kWh sold)</w:t>
            </w:r>
          </w:p>
        </w:tc>
      </w:tr>
      <w:tr w:rsidR="009923E3" w:rsidRPr="009923E3" w14:paraId="6ED63781" w14:textId="77777777" w:rsidTr="000A06C5">
        <w:trPr>
          <w:trHeight w:val="440"/>
          <w:tblHeader/>
          <w:jc w:val="center"/>
        </w:trPr>
        <w:tc>
          <w:tcPr>
            <w:tcW w:w="1948" w:type="pct"/>
            <w:vMerge/>
            <w:shd w:val="clear" w:color="auto" w:fill="auto"/>
            <w:vAlign w:val="center"/>
          </w:tcPr>
          <w:p w14:paraId="6AC1E1B2" w14:textId="77777777" w:rsidR="00A74A07" w:rsidRPr="009923E3" w:rsidRDefault="00A74A07" w:rsidP="00A74A07">
            <w:pPr>
              <w:keepNext/>
              <w:spacing w:after="0"/>
              <w:jc w:val="center"/>
              <w:rPr>
                <w:rFonts w:ascii="Arial" w:hAnsi="Arial" w:cs="Arial"/>
                <w:b/>
                <w:lang w:eastAsia="en-NZ"/>
              </w:rPr>
            </w:pPr>
          </w:p>
        </w:tc>
        <w:tc>
          <w:tcPr>
            <w:tcW w:w="1643" w:type="pct"/>
            <w:shd w:val="clear" w:color="auto" w:fill="auto"/>
            <w:vAlign w:val="center"/>
          </w:tcPr>
          <w:p w14:paraId="2AFC4D8C" w14:textId="77777777" w:rsidR="00A74A07" w:rsidRPr="009923E3" w:rsidRDefault="00A74A07" w:rsidP="00A74A07">
            <w:pPr>
              <w:keepNext/>
              <w:spacing w:after="0"/>
              <w:jc w:val="center"/>
              <w:rPr>
                <w:rFonts w:ascii="Arial" w:hAnsi="Arial" w:cs="Arial"/>
                <w:b/>
                <w:lang w:eastAsia="en-NZ"/>
              </w:rPr>
            </w:pPr>
            <w:r w:rsidRPr="009923E3">
              <w:rPr>
                <w:rFonts w:ascii="Arial" w:hAnsi="Arial" w:cs="Arial"/>
                <w:b/>
                <w:lang w:eastAsia="en-NZ"/>
              </w:rPr>
              <w:t>2013</w:t>
            </w:r>
          </w:p>
        </w:tc>
        <w:tc>
          <w:tcPr>
            <w:tcW w:w="1409" w:type="pct"/>
            <w:vAlign w:val="center"/>
          </w:tcPr>
          <w:p w14:paraId="2C37AC35" w14:textId="77777777" w:rsidR="00A74A07" w:rsidRPr="009923E3" w:rsidRDefault="00A74A07" w:rsidP="00A74A07">
            <w:pPr>
              <w:keepNext/>
              <w:spacing w:after="0"/>
              <w:jc w:val="center"/>
              <w:rPr>
                <w:rFonts w:ascii="Arial" w:hAnsi="Arial" w:cs="Arial"/>
                <w:b/>
                <w:bCs/>
                <w:kern w:val="24"/>
              </w:rPr>
            </w:pPr>
            <w:r w:rsidRPr="009923E3">
              <w:rPr>
                <w:rFonts w:ascii="Arial" w:hAnsi="Arial" w:cs="Arial"/>
                <w:b/>
                <w:lang w:eastAsia="en-NZ"/>
              </w:rPr>
              <w:t>2015 Est.</w:t>
            </w:r>
          </w:p>
        </w:tc>
      </w:tr>
      <w:tr w:rsidR="009923E3" w:rsidRPr="009923E3" w14:paraId="7CBCD878" w14:textId="77777777" w:rsidTr="000A06C5">
        <w:trPr>
          <w:trHeight w:val="271"/>
          <w:jc w:val="center"/>
        </w:trPr>
        <w:tc>
          <w:tcPr>
            <w:tcW w:w="1948" w:type="pct"/>
            <w:shd w:val="clear" w:color="auto" w:fill="auto"/>
            <w:vAlign w:val="center"/>
          </w:tcPr>
          <w:p w14:paraId="2B1C504B" w14:textId="77777777" w:rsidR="00A74A07" w:rsidRPr="009923E3" w:rsidRDefault="00A74A07" w:rsidP="00A74A07">
            <w:pPr>
              <w:keepNext/>
              <w:spacing w:after="0"/>
              <w:rPr>
                <w:rFonts w:ascii="Arial" w:hAnsi="Arial" w:cs="Arial"/>
                <w:lang w:eastAsia="en-NZ"/>
              </w:rPr>
            </w:pPr>
            <w:r w:rsidRPr="009923E3">
              <w:rPr>
                <w:rFonts w:ascii="Arial" w:hAnsi="Arial" w:cs="Arial"/>
                <w:lang w:eastAsia="en-NZ"/>
              </w:rPr>
              <w:t>Antigua &amp;Barbuda</w:t>
            </w:r>
          </w:p>
        </w:tc>
        <w:tc>
          <w:tcPr>
            <w:tcW w:w="1643" w:type="pct"/>
            <w:shd w:val="clear" w:color="auto" w:fill="auto"/>
            <w:vAlign w:val="center"/>
          </w:tcPr>
          <w:p w14:paraId="78410D9B" w14:textId="77777777" w:rsidR="00A74A07" w:rsidRPr="009923E3" w:rsidRDefault="00A74A07" w:rsidP="00A74A07">
            <w:pPr>
              <w:keepNext/>
              <w:spacing w:after="0"/>
              <w:jc w:val="center"/>
              <w:rPr>
                <w:rFonts w:ascii="Arial" w:hAnsi="Arial" w:cs="Arial"/>
                <w:lang w:val="es-ES" w:eastAsia="en-NZ"/>
              </w:rPr>
            </w:pPr>
            <w:r w:rsidRPr="009923E3">
              <w:rPr>
                <w:rFonts w:ascii="Arial" w:hAnsi="Arial" w:cs="Arial"/>
                <w:lang w:val="es-ES" w:eastAsia="en-NZ"/>
              </w:rPr>
              <w:t>0.44</w:t>
            </w:r>
          </w:p>
        </w:tc>
        <w:tc>
          <w:tcPr>
            <w:tcW w:w="1409" w:type="pct"/>
            <w:vAlign w:val="center"/>
          </w:tcPr>
          <w:p w14:paraId="72B3F4A2" w14:textId="77777777" w:rsidR="00A74A07" w:rsidRPr="009923E3" w:rsidRDefault="00A74A07" w:rsidP="00A74A07">
            <w:pPr>
              <w:keepNext/>
              <w:spacing w:after="0"/>
              <w:jc w:val="center"/>
              <w:rPr>
                <w:rFonts w:ascii="Arial" w:hAnsi="Arial" w:cs="Arial"/>
                <w:kern w:val="24"/>
                <w:lang w:val="es-CO"/>
              </w:rPr>
            </w:pPr>
            <w:r w:rsidRPr="009923E3">
              <w:rPr>
                <w:rFonts w:ascii="Arial" w:hAnsi="Arial" w:cs="Arial"/>
                <w:kern w:val="24"/>
                <w:lang w:val="es-CO"/>
              </w:rPr>
              <w:t>0.34</w:t>
            </w:r>
          </w:p>
        </w:tc>
      </w:tr>
      <w:tr w:rsidR="009923E3" w:rsidRPr="009923E3" w14:paraId="37A7CD95" w14:textId="77777777" w:rsidTr="000A06C5">
        <w:trPr>
          <w:trHeight w:val="271"/>
          <w:jc w:val="center"/>
        </w:trPr>
        <w:tc>
          <w:tcPr>
            <w:tcW w:w="1948" w:type="pct"/>
            <w:shd w:val="clear" w:color="auto" w:fill="auto"/>
            <w:vAlign w:val="center"/>
            <w:hideMark/>
          </w:tcPr>
          <w:p w14:paraId="73C969E7" w14:textId="77777777" w:rsidR="00A74A07" w:rsidRPr="009923E3" w:rsidRDefault="00A74A07" w:rsidP="00A74A07">
            <w:pPr>
              <w:keepNext/>
              <w:spacing w:after="0"/>
              <w:rPr>
                <w:rFonts w:ascii="Arial" w:hAnsi="Arial" w:cs="Arial"/>
                <w:lang w:eastAsia="en-NZ"/>
              </w:rPr>
            </w:pPr>
            <w:r w:rsidRPr="009923E3">
              <w:rPr>
                <w:rFonts w:ascii="Arial" w:hAnsi="Arial" w:cs="Arial"/>
                <w:lang w:eastAsia="en-NZ"/>
              </w:rPr>
              <w:t>Dominica</w:t>
            </w:r>
          </w:p>
        </w:tc>
        <w:tc>
          <w:tcPr>
            <w:tcW w:w="1643" w:type="pct"/>
            <w:shd w:val="clear" w:color="auto" w:fill="auto"/>
            <w:vAlign w:val="center"/>
            <w:hideMark/>
          </w:tcPr>
          <w:p w14:paraId="10F0BBEE" w14:textId="77777777" w:rsidR="00A74A07" w:rsidRPr="009923E3" w:rsidRDefault="00A74A07" w:rsidP="00A74A07">
            <w:pPr>
              <w:keepNext/>
              <w:spacing w:after="0"/>
              <w:jc w:val="center"/>
              <w:rPr>
                <w:rFonts w:ascii="Arial" w:hAnsi="Arial" w:cs="Arial"/>
                <w:lang w:val="es-ES" w:eastAsia="en-NZ"/>
              </w:rPr>
            </w:pPr>
            <w:r w:rsidRPr="009923E3">
              <w:rPr>
                <w:rFonts w:ascii="Arial" w:hAnsi="Arial" w:cs="Arial"/>
                <w:lang w:val="es-ES" w:eastAsia="en-NZ"/>
              </w:rPr>
              <w:t>0.41</w:t>
            </w:r>
          </w:p>
        </w:tc>
        <w:tc>
          <w:tcPr>
            <w:tcW w:w="1409" w:type="pct"/>
            <w:vAlign w:val="center"/>
          </w:tcPr>
          <w:p w14:paraId="7E665A6C" w14:textId="77777777" w:rsidR="00A74A07" w:rsidRPr="009923E3" w:rsidRDefault="00A74A07" w:rsidP="00A74A07">
            <w:pPr>
              <w:keepNext/>
              <w:spacing w:after="0"/>
              <w:jc w:val="center"/>
              <w:rPr>
                <w:rFonts w:ascii="Arial" w:hAnsi="Arial" w:cs="Arial"/>
                <w:lang w:val="es-ES" w:eastAsia="en-NZ"/>
              </w:rPr>
            </w:pPr>
            <w:r w:rsidRPr="009923E3">
              <w:rPr>
                <w:rFonts w:ascii="Arial" w:hAnsi="Arial" w:cs="Arial"/>
                <w:kern w:val="24"/>
                <w:lang w:val="es-CO"/>
              </w:rPr>
              <w:t>0.32</w:t>
            </w:r>
          </w:p>
        </w:tc>
      </w:tr>
      <w:tr w:rsidR="009923E3" w:rsidRPr="009923E3" w14:paraId="2C311AC2" w14:textId="77777777" w:rsidTr="000A06C5">
        <w:trPr>
          <w:trHeight w:val="271"/>
          <w:jc w:val="center"/>
        </w:trPr>
        <w:tc>
          <w:tcPr>
            <w:tcW w:w="1948" w:type="pct"/>
            <w:shd w:val="clear" w:color="auto" w:fill="auto"/>
            <w:vAlign w:val="center"/>
            <w:hideMark/>
          </w:tcPr>
          <w:p w14:paraId="3B8699C8" w14:textId="77777777" w:rsidR="00A74A07" w:rsidRPr="009923E3" w:rsidRDefault="00A74A07" w:rsidP="00A74A07">
            <w:pPr>
              <w:keepNext/>
              <w:spacing w:after="0"/>
              <w:rPr>
                <w:rFonts w:ascii="Arial" w:hAnsi="Arial" w:cs="Arial"/>
                <w:lang w:eastAsia="en-NZ"/>
              </w:rPr>
            </w:pPr>
            <w:r w:rsidRPr="009923E3">
              <w:rPr>
                <w:rFonts w:ascii="Arial" w:hAnsi="Arial" w:cs="Arial"/>
                <w:lang w:eastAsia="en-NZ"/>
              </w:rPr>
              <w:t>Grenada</w:t>
            </w:r>
          </w:p>
        </w:tc>
        <w:tc>
          <w:tcPr>
            <w:tcW w:w="1643" w:type="pct"/>
            <w:shd w:val="clear" w:color="auto" w:fill="auto"/>
            <w:vAlign w:val="center"/>
            <w:hideMark/>
          </w:tcPr>
          <w:p w14:paraId="35C66087"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0.40</w:t>
            </w:r>
          </w:p>
        </w:tc>
        <w:tc>
          <w:tcPr>
            <w:tcW w:w="1409" w:type="pct"/>
            <w:vAlign w:val="center"/>
          </w:tcPr>
          <w:p w14:paraId="1671F0D7" w14:textId="77777777" w:rsidR="00A74A07" w:rsidRPr="009923E3" w:rsidRDefault="00A74A07" w:rsidP="00A74A07">
            <w:pPr>
              <w:keepNext/>
              <w:spacing w:after="0"/>
              <w:jc w:val="center"/>
              <w:rPr>
                <w:rFonts w:ascii="Arial" w:hAnsi="Arial" w:cs="Arial"/>
                <w:highlight w:val="yellow"/>
                <w:lang w:eastAsia="en-NZ"/>
              </w:rPr>
            </w:pPr>
            <w:r w:rsidRPr="009923E3">
              <w:rPr>
                <w:rFonts w:ascii="Arial" w:hAnsi="Arial" w:cs="Arial"/>
                <w:kern w:val="24"/>
                <w:lang w:val="es-CO"/>
              </w:rPr>
              <w:t>0.28</w:t>
            </w:r>
          </w:p>
        </w:tc>
      </w:tr>
      <w:tr w:rsidR="009923E3" w:rsidRPr="009923E3" w14:paraId="62C14506" w14:textId="77777777" w:rsidTr="000A06C5">
        <w:trPr>
          <w:trHeight w:val="271"/>
          <w:jc w:val="center"/>
        </w:trPr>
        <w:tc>
          <w:tcPr>
            <w:tcW w:w="1948" w:type="pct"/>
            <w:shd w:val="clear" w:color="auto" w:fill="auto"/>
            <w:vAlign w:val="center"/>
            <w:hideMark/>
          </w:tcPr>
          <w:p w14:paraId="72DC5638" w14:textId="77777777" w:rsidR="00A74A07" w:rsidRPr="009923E3" w:rsidRDefault="00A74A07" w:rsidP="00A74A07">
            <w:pPr>
              <w:keepNext/>
              <w:spacing w:after="0"/>
              <w:rPr>
                <w:rFonts w:ascii="Arial" w:hAnsi="Arial" w:cs="Arial"/>
                <w:lang w:eastAsia="en-NZ"/>
              </w:rPr>
            </w:pPr>
            <w:r w:rsidRPr="009923E3">
              <w:rPr>
                <w:rFonts w:ascii="Arial" w:hAnsi="Arial" w:cs="Arial"/>
                <w:lang w:eastAsia="en-NZ"/>
              </w:rPr>
              <w:t>Santa Lucia</w:t>
            </w:r>
          </w:p>
        </w:tc>
        <w:tc>
          <w:tcPr>
            <w:tcW w:w="1643" w:type="pct"/>
            <w:shd w:val="clear" w:color="auto" w:fill="auto"/>
            <w:vAlign w:val="center"/>
            <w:hideMark/>
          </w:tcPr>
          <w:p w14:paraId="09E4A912"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0.37</w:t>
            </w:r>
          </w:p>
        </w:tc>
        <w:tc>
          <w:tcPr>
            <w:tcW w:w="1409" w:type="pct"/>
            <w:vAlign w:val="center"/>
          </w:tcPr>
          <w:p w14:paraId="2436BB6F" w14:textId="77777777" w:rsidR="00A74A07" w:rsidRPr="009923E3" w:rsidRDefault="00A74A07" w:rsidP="00A74A07">
            <w:pPr>
              <w:keepNext/>
              <w:spacing w:after="0"/>
              <w:jc w:val="center"/>
              <w:rPr>
                <w:rFonts w:ascii="Arial" w:hAnsi="Arial" w:cs="Arial"/>
                <w:lang w:eastAsia="en-NZ"/>
              </w:rPr>
            </w:pPr>
            <w:r w:rsidRPr="009923E3">
              <w:rPr>
                <w:rFonts w:ascii="Arial" w:hAnsi="Arial" w:cs="Arial"/>
                <w:kern w:val="24"/>
                <w:lang w:val="es-CO"/>
              </w:rPr>
              <w:t>0.25</w:t>
            </w:r>
          </w:p>
        </w:tc>
      </w:tr>
      <w:tr w:rsidR="009923E3" w:rsidRPr="009923E3" w14:paraId="4ECE7B2B" w14:textId="77777777" w:rsidTr="000A06C5">
        <w:trPr>
          <w:trHeight w:val="206"/>
          <w:jc w:val="center"/>
        </w:trPr>
        <w:tc>
          <w:tcPr>
            <w:tcW w:w="1948" w:type="pct"/>
            <w:shd w:val="clear" w:color="auto" w:fill="auto"/>
            <w:vAlign w:val="center"/>
            <w:hideMark/>
          </w:tcPr>
          <w:p w14:paraId="2B81DDC2" w14:textId="77777777" w:rsidR="00A74A07" w:rsidRPr="009923E3" w:rsidRDefault="00A74A07" w:rsidP="00A74A07">
            <w:pPr>
              <w:keepNext/>
              <w:spacing w:after="0"/>
              <w:ind w:left="3600" w:hanging="3600"/>
              <w:rPr>
                <w:rFonts w:ascii="Arial" w:hAnsi="Arial" w:cs="Arial"/>
                <w:lang w:eastAsia="en-NZ"/>
              </w:rPr>
            </w:pPr>
            <w:r w:rsidRPr="009923E3">
              <w:rPr>
                <w:rFonts w:ascii="Arial" w:hAnsi="Arial" w:cs="Arial"/>
                <w:lang w:eastAsia="en-NZ"/>
              </w:rPr>
              <w:t>St. Kitts</w:t>
            </w:r>
          </w:p>
        </w:tc>
        <w:tc>
          <w:tcPr>
            <w:tcW w:w="1643" w:type="pct"/>
            <w:shd w:val="clear" w:color="auto" w:fill="auto"/>
            <w:vAlign w:val="center"/>
          </w:tcPr>
          <w:p w14:paraId="30252881"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0.35</w:t>
            </w:r>
          </w:p>
        </w:tc>
        <w:tc>
          <w:tcPr>
            <w:tcW w:w="1409" w:type="pct"/>
            <w:vAlign w:val="center"/>
          </w:tcPr>
          <w:p w14:paraId="1C8FAC37"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0.31</w:t>
            </w:r>
          </w:p>
        </w:tc>
      </w:tr>
      <w:tr w:rsidR="009923E3" w:rsidRPr="009923E3" w14:paraId="22FFB2BF" w14:textId="77777777" w:rsidTr="000A06C5">
        <w:trPr>
          <w:trHeight w:val="242"/>
          <w:jc w:val="center"/>
        </w:trPr>
        <w:tc>
          <w:tcPr>
            <w:tcW w:w="1948" w:type="pct"/>
            <w:shd w:val="clear" w:color="auto" w:fill="auto"/>
            <w:vAlign w:val="center"/>
            <w:hideMark/>
          </w:tcPr>
          <w:p w14:paraId="6257FB82" w14:textId="77777777" w:rsidR="00A74A07" w:rsidRPr="009923E3" w:rsidRDefault="00A74A07" w:rsidP="00A74A07">
            <w:pPr>
              <w:keepNext/>
              <w:spacing w:after="0"/>
              <w:ind w:left="3600" w:hanging="3600"/>
              <w:rPr>
                <w:rFonts w:ascii="Arial" w:hAnsi="Arial" w:cs="Arial"/>
                <w:lang w:eastAsia="en-NZ"/>
              </w:rPr>
            </w:pPr>
            <w:r w:rsidRPr="009923E3">
              <w:rPr>
                <w:rFonts w:ascii="Arial" w:hAnsi="Arial" w:cs="Arial"/>
                <w:lang w:eastAsia="en-NZ"/>
              </w:rPr>
              <w:t>Nevis</w:t>
            </w:r>
          </w:p>
        </w:tc>
        <w:tc>
          <w:tcPr>
            <w:tcW w:w="1643" w:type="pct"/>
            <w:shd w:val="clear" w:color="auto" w:fill="auto"/>
            <w:vAlign w:val="center"/>
          </w:tcPr>
          <w:p w14:paraId="645890BA"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0.37</w:t>
            </w:r>
          </w:p>
        </w:tc>
        <w:tc>
          <w:tcPr>
            <w:tcW w:w="1409" w:type="pct"/>
            <w:vAlign w:val="center"/>
          </w:tcPr>
          <w:p w14:paraId="34B51BFE"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0.33</w:t>
            </w:r>
          </w:p>
        </w:tc>
      </w:tr>
      <w:tr w:rsidR="00A74A07" w:rsidRPr="009923E3" w14:paraId="4D4D9802" w14:textId="77777777" w:rsidTr="000A06C5">
        <w:trPr>
          <w:trHeight w:val="296"/>
          <w:jc w:val="center"/>
        </w:trPr>
        <w:tc>
          <w:tcPr>
            <w:tcW w:w="1948" w:type="pct"/>
            <w:shd w:val="clear" w:color="auto" w:fill="auto"/>
            <w:vAlign w:val="center"/>
            <w:hideMark/>
          </w:tcPr>
          <w:p w14:paraId="46790A33" w14:textId="77777777" w:rsidR="00A74A07" w:rsidRPr="009923E3" w:rsidRDefault="00A74A07" w:rsidP="00A74A07">
            <w:pPr>
              <w:keepNext/>
              <w:spacing w:after="0"/>
              <w:rPr>
                <w:rFonts w:ascii="Arial" w:hAnsi="Arial" w:cs="Arial"/>
                <w:lang w:eastAsia="en-NZ"/>
              </w:rPr>
            </w:pPr>
            <w:r w:rsidRPr="009923E3">
              <w:rPr>
                <w:rFonts w:ascii="Arial" w:hAnsi="Arial" w:cs="Arial"/>
                <w:lang w:eastAsia="en-NZ"/>
              </w:rPr>
              <w:t>Saint Vincent &amp; the Grenadines</w:t>
            </w:r>
          </w:p>
        </w:tc>
        <w:tc>
          <w:tcPr>
            <w:tcW w:w="1643" w:type="pct"/>
            <w:shd w:val="clear" w:color="auto" w:fill="auto"/>
            <w:vAlign w:val="center"/>
            <w:hideMark/>
          </w:tcPr>
          <w:p w14:paraId="2C8924F0" w14:textId="77777777" w:rsidR="00A74A07" w:rsidRPr="009923E3" w:rsidRDefault="00A74A07" w:rsidP="00A74A07">
            <w:pPr>
              <w:keepNext/>
              <w:spacing w:after="0"/>
              <w:jc w:val="center"/>
              <w:rPr>
                <w:rFonts w:ascii="Arial" w:hAnsi="Arial" w:cs="Arial"/>
                <w:lang w:eastAsia="en-NZ"/>
              </w:rPr>
            </w:pPr>
            <w:r w:rsidRPr="009923E3">
              <w:rPr>
                <w:rFonts w:ascii="Arial" w:hAnsi="Arial" w:cs="Arial"/>
                <w:lang w:eastAsia="en-NZ"/>
              </w:rPr>
              <w:t xml:space="preserve">0.36 </w:t>
            </w:r>
          </w:p>
        </w:tc>
        <w:tc>
          <w:tcPr>
            <w:tcW w:w="1409" w:type="pct"/>
            <w:vAlign w:val="center"/>
          </w:tcPr>
          <w:p w14:paraId="245ADFEF" w14:textId="77777777" w:rsidR="00A74A07" w:rsidRPr="009923E3" w:rsidRDefault="00A74A07" w:rsidP="00A74A07">
            <w:pPr>
              <w:keepNext/>
              <w:spacing w:after="0"/>
              <w:jc w:val="center"/>
              <w:rPr>
                <w:rFonts w:ascii="Arial" w:hAnsi="Arial" w:cs="Arial"/>
                <w:lang w:eastAsia="en-NZ"/>
              </w:rPr>
            </w:pPr>
            <w:r w:rsidRPr="009923E3">
              <w:rPr>
                <w:rFonts w:ascii="Arial" w:hAnsi="Arial" w:cs="Arial"/>
                <w:kern w:val="24"/>
                <w:lang w:val="es-CO"/>
              </w:rPr>
              <w:t>0.27</w:t>
            </w:r>
          </w:p>
        </w:tc>
      </w:tr>
    </w:tbl>
    <w:p w14:paraId="34CD69CE" w14:textId="77777777" w:rsidR="00A74A07" w:rsidRPr="009923E3" w:rsidRDefault="00A74A07" w:rsidP="00A74A07">
      <w:pPr>
        <w:jc w:val="both"/>
        <w:rPr>
          <w:rFonts w:ascii="Arial" w:hAnsi="Arial" w:cs="Arial"/>
        </w:rPr>
      </w:pPr>
    </w:p>
    <w:p w14:paraId="4760DEF3" w14:textId="77777777" w:rsidR="00C96B9F" w:rsidRPr="009923E3" w:rsidRDefault="00C96B9F" w:rsidP="00C96B9F">
      <w:pPr>
        <w:pStyle w:val="ListParagraph"/>
        <w:rPr>
          <w:rFonts w:ascii="Arial" w:hAnsi="Arial" w:cs="Arial"/>
        </w:rPr>
      </w:pPr>
    </w:p>
    <w:p w14:paraId="6A55E552" w14:textId="77777777" w:rsidR="007A670C" w:rsidRPr="009923E3" w:rsidRDefault="007A670C" w:rsidP="007A670C">
      <w:pPr>
        <w:pStyle w:val="ListParagraph"/>
        <w:numPr>
          <w:ilvl w:val="1"/>
          <w:numId w:val="3"/>
        </w:numPr>
        <w:ind w:left="360"/>
        <w:jc w:val="both"/>
        <w:rPr>
          <w:rFonts w:ascii="Arial" w:hAnsi="Arial" w:cs="Arial"/>
        </w:rPr>
      </w:pPr>
      <w:r w:rsidRPr="009923E3">
        <w:rPr>
          <w:rFonts w:ascii="Arial" w:hAnsi="Arial" w:cs="Arial"/>
        </w:rPr>
        <w:t xml:space="preserve">The initial solution would seem to be that the smaller energy markets should use a cheaper, possibly </w:t>
      </w:r>
      <w:r w:rsidR="00150EA1">
        <w:rPr>
          <w:rFonts w:ascii="Arial" w:hAnsi="Arial" w:cs="Arial"/>
        </w:rPr>
        <w:t>RE</w:t>
      </w:r>
      <w:r w:rsidRPr="009923E3">
        <w:rPr>
          <w:rFonts w:ascii="Arial" w:hAnsi="Arial" w:cs="Arial"/>
        </w:rPr>
        <w:t xml:space="preserve"> source, such as wind or </w:t>
      </w:r>
      <w:r w:rsidR="00150EA1">
        <w:rPr>
          <w:rFonts w:ascii="Arial" w:hAnsi="Arial" w:cs="Arial"/>
        </w:rPr>
        <w:t>GE</w:t>
      </w:r>
      <w:r w:rsidRPr="009923E3">
        <w:rPr>
          <w:rFonts w:ascii="Arial" w:hAnsi="Arial" w:cs="Arial"/>
        </w:rPr>
        <w:t xml:space="preserve">.  However, the small market size </w:t>
      </w:r>
      <w:r w:rsidR="00150EA1">
        <w:rPr>
          <w:rFonts w:ascii="Arial" w:hAnsi="Arial" w:cs="Arial"/>
        </w:rPr>
        <w:t xml:space="preserve">often </w:t>
      </w:r>
      <w:r w:rsidRPr="009923E3">
        <w:rPr>
          <w:rFonts w:ascii="Arial" w:hAnsi="Arial" w:cs="Arial"/>
        </w:rPr>
        <w:t xml:space="preserve">makes it </w:t>
      </w:r>
      <w:r w:rsidR="00150EA1">
        <w:rPr>
          <w:rFonts w:ascii="Arial" w:hAnsi="Arial" w:cs="Arial"/>
        </w:rPr>
        <w:t xml:space="preserve">difficult </w:t>
      </w:r>
      <w:r w:rsidRPr="009923E3">
        <w:rPr>
          <w:rFonts w:ascii="Arial" w:hAnsi="Arial" w:cs="Arial"/>
        </w:rPr>
        <w:t xml:space="preserve">to finance the large upfront capital expenditure required to construct the necessary infrastructure for a less expensive generation source (e.g. geothermal or natural gas turbines if they require a special LNG terminal) or the renewable source is too </w:t>
      </w:r>
      <w:r w:rsidR="009D25E4" w:rsidRPr="009923E3">
        <w:rPr>
          <w:rFonts w:ascii="Arial" w:hAnsi="Arial" w:cs="Arial"/>
        </w:rPr>
        <w:t>intermittent</w:t>
      </w:r>
      <w:r w:rsidRPr="009923E3">
        <w:rPr>
          <w:rFonts w:ascii="Arial" w:hAnsi="Arial" w:cs="Arial"/>
        </w:rPr>
        <w:t xml:space="preserve"> </w:t>
      </w:r>
      <w:r w:rsidR="009D25E4" w:rsidRPr="009923E3">
        <w:rPr>
          <w:rFonts w:ascii="Arial" w:hAnsi="Arial" w:cs="Arial"/>
        </w:rPr>
        <w:t xml:space="preserve">or is not available </w:t>
      </w:r>
      <w:r w:rsidRPr="009923E3">
        <w:rPr>
          <w:rFonts w:ascii="Arial" w:hAnsi="Arial" w:cs="Arial"/>
        </w:rPr>
        <w:t>to be used as a base source in the location (e.g., wind and solar power generation sources).  A second reason for high cost is the small scale of procurement</w:t>
      </w:r>
      <w:r w:rsidR="00A74A07" w:rsidRPr="009923E3">
        <w:rPr>
          <w:rFonts w:ascii="Arial" w:hAnsi="Arial" w:cs="Arial"/>
        </w:rPr>
        <w:t xml:space="preserve"> of energy technologies</w:t>
      </w:r>
      <w:r w:rsidRPr="009923E3">
        <w:rPr>
          <w:rFonts w:ascii="Arial" w:hAnsi="Arial" w:cs="Arial"/>
        </w:rPr>
        <w:t>. Small energy/electricity markets are often required to purchase generation and energy efficiency materials and technologies in such small quantities that it drives up purchasing prices, reducing their cost effectiveness.  For example, a 2kW grid tied solar system in Belize costs US$4.40 per watt</w:t>
      </w:r>
      <w:r w:rsidRPr="009923E3">
        <w:rPr>
          <w:rFonts w:ascii="Arial" w:hAnsi="Arial" w:cs="Arial"/>
          <w:vertAlign w:val="superscript"/>
        </w:rPr>
        <w:footnoteReference w:id="5"/>
      </w:r>
      <w:r w:rsidRPr="009923E3">
        <w:rPr>
          <w:rFonts w:ascii="Arial" w:hAnsi="Arial" w:cs="Arial"/>
        </w:rPr>
        <w:t xml:space="preserve">  while a similar system in the United States costs from US$1.50 to US$2.50 per watt.</w:t>
      </w:r>
      <w:r w:rsidRPr="009923E3">
        <w:rPr>
          <w:rFonts w:ascii="Arial" w:hAnsi="Arial" w:cs="Arial"/>
          <w:vertAlign w:val="superscript"/>
        </w:rPr>
        <w:footnoteReference w:id="6"/>
      </w:r>
      <w:r w:rsidRPr="009923E3">
        <w:rPr>
          <w:rFonts w:ascii="Arial" w:hAnsi="Arial" w:cs="Arial"/>
        </w:rPr>
        <w:t xml:space="preserve"> A good portion of this difference is due to the scale at which the United States can purchase such systems compared to Belize.</w:t>
      </w:r>
      <w:r w:rsidRPr="009923E3">
        <w:rPr>
          <w:rStyle w:val="FootnoteReference"/>
          <w:rFonts w:ascii="Arial" w:hAnsi="Arial" w:cs="Arial"/>
        </w:rPr>
        <w:footnoteReference w:id="7"/>
      </w:r>
      <w:r w:rsidRPr="009923E3">
        <w:rPr>
          <w:rFonts w:ascii="Arial" w:hAnsi="Arial" w:cs="Arial"/>
        </w:rPr>
        <w:t xml:space="preserve"> </w:t>
      </w:r>
    </w:p>
    <w:p w14:paraId="7C4B5AD8" w14:textId="77777777" w:rsidR="007A670C" w:rsidRPr="009923E3" w:rsidRDefault="007A670C" w:rsidP="007A670C">
      <w:pPr>
        <w:pStyle w:val="ListParagraph"/>
        <w:ind w:left="360"/>
        <w:jc w:val="both"/>
        <w:rPr>
          <w:rFonts w:ascii="Arial" w:hAnsi="Arial" w:cs="Arial"/>
        </w:rPr>
      </w:pPr>
    </w:p>
    <w:p w14:paraId="71E90B6C" w14:textId="77777777" w:rsidR="002C5AC8" w:rsidRPr="009923E3" w:rsidRDefault="002C5AC8" w:rsidP="002C5AC8">
      <w:pPr>
        <w:pStyle w:val="ListParagraph"/>
        <w:numPr>
          <w:ilvl w:val="1"/>
          <w:numId w:val="3"/>
        </w:numPr>
        <w:ind w:left="360"/>
        <w:jc w:val="both"/>
        <w:rPr>
          <w:rFonts w:ascii="Arial" w:hAnsi="Arial" w:cs="Arial"/>
        </w:rPr>
      </w:pPr>
      <w:r w:rsidRPr="009923E3">
        <w:rPr>
          <w:rFonts w:ascii="Arial" w:hAnsi="Arial" w:cs="Arial"/>
        </w:rPr>
        <w:t xml:space="preserve">The project Sustainable Energy Facility for the Eastern Caribbean </w:t>
      </w:r>
      <w:r w:rsidR="00150EA1">
        <w:rPr>
          <w:rFonts w:ascii="Arial" w:hAnsi="Arial" w:cs="Arial"/>
        </w:rPr>
        <w:t xml:space="preserve">Expanded </w:t>
      </w:r>
      <w:r w:rsidRPr="009923E3">
        <w:rPr>
          <w:rFonts w:ascii="Arial" w:hAnsi="Arial" w:cs="Arial"/>
        </w:rPr>
        <w:t>will help reduce the Eastern Caribbean’s energy prices by</w:t>
      </w:r>
      <w:r w:rsidR="009B3204" w:rsidRPr="009923E3">
        <w:rPr>
          <w:rFonts w:ascii="Arial" w:hAnsi="Arial" w:cs="Arial"/>
        </w:rPr>
        <w:t xml:space="preserve"> encouraging regional integration to</w:t>
      </w:r>
      <w:r w:rsidRPr="009923E3">
        <w:rPr>
          <w:rFonts w:ascii="Arial" w:hAnsi="Arial" w:cs="Arial"/>
        </w:rPr>
        <w:t xml:space="preserve"> increas</w:t>
      </w:r>
      <w:r w:rsidR="009B3204" w:rsidRPr="009923E3">
        <w:rPr>
          <w:rFonts w:ascii="Arial" w:hAnsi="Arial" w:cs="Arial"/>
        </w:rPr>
        <w:t>e</w:t>
      </w:r>
      <w:r w:rsidRPr="009923E3">
        <w:rPr>
          <w:rFonts w:ascii="Arial" w:hAnsi="Arial" w:cs="Arial"/>
        </w:rPr>
        <w:t xml:space="preserve"> the scale of the market</w:t>
      </w:r>
      <w:r w:rsidR="009B3204" w:rsidRPr="009923E3">
        <w:rPr>
          <w:rFonts w:ascii="Arial" w:hAnsi="Arial" w:cs="Arial"/>
        </w:rPr>
        <w:t>s</w:t>
      </w:r>
      <w:r w:rsidRPr="009923E3">
        <w:rPr>
          <w:rFonts w:ascii="Arial" w:hAnsi="Arial" w:cs="Arial"/>
        </w:rPr>
        <w:t xml:space="preserve">, which will reduce procurement costs and make cheaper technologies with high upfront costs more affordable by: </w:t>
      </w:r>
    </w:p>
    <w:p w14:paraId="14683149" w14:textId="77777777" w:rsidR="002C5AC8" w:rsidRPr="009923E3" w:rsidRDefault="002C5AC8" w:rsidP="002C5AC8">
      <w:pPr>
        <w:pStyle w:val="ListParagraph"/>
        <w:rPr>
          <w:rFonts w:ascii="Arial" w:hAnsi="Arial" w:cs="Arial"/>
        </w:rPr>
      </w:pPr>
    </w:p>
    <w:p w14:paraId="7C378B84" w14:textId="77777777" w:rsidR="00B12060" w:rsidRPr="009923E3" w:rsidRDefault="002C178F" w:rsidP="002C178F">
      <w:pPr>
        <w:pStyle w:val="ListParagraph"/>
        <w:numPr>
          <w:ilvl w:val="1"/>
          <w:numId w:val="1"/>
        </w:numPr>
        <w:rPr>
          <w:rFonts w:ascii="Arial" w:hAnsi="Arial" w:cs="Arial"/>
        </w:rPr>
      </w:pPr>
      <w:r w:rsidRPr="009923E3">
        <w:rPr>
          <w:rFonts w:ascii="Arial" w:hAnsi="Arial" w:cs="Arial"/>
        </w:rPr>
        <w:t>Promoting integration of the Eastern Caribbean countries to create a larger demand of goods and services, which will allow them to reduce generation costs by addressing energy as a regional problem. In this case the procurement of new, efficient energy technologies will reduce energy supply costs.</w:t>
      </w:r>
      <w:r w:rsidR="002C5AC8" w:rsidRPr="009923E3">
        <w:rPr>
          <w:rFonts w:ascii="Arial" w:hAnsi="Arial" w:cs="Arial"/>
        </w:rPr>
        <w:t xml:space="preserve">  </w:t>
      </w:r>
    </w:p>
    <w:p w14:paraId="79F04A86" w14:textId="77777777" w:rsidR="00B12060" w:rsidRPr="009923E3" w:rsidRDefault="00B12060" w:rsidP="00B12060">
      <w:pPr>
        <w:pStyle w:val="ListParagraph"/>
        <w:ind w:left="1440"/>
        <w:rPr>
          <w:rFonts w:ascii="Arial" w:hAnsi="Arial" w:cs="Arial"/>
        </w:rPr>
      </w:pPr>
    </w:p>
    <w:p w14:paraId="1267F563" w14:textId="51F2AF00" w:rsidR="00B12060" w:rsidRDefault="00F47CA3" w:rsidP="00B12060">
      <w:pPr>
        <w:pStyle w:val="ListParagraph"/>
        <w:numPr>
          <w:ilvl w:val="1"/>
          <w:numId w:val="1"/>
        </w:numPr>
        <w:rPr>
          <w:rFonts w:ascii="Arial" w:hAnsi="Arial" w:cs="Arial"/>
        </w:rPr>
      </w:pPr>
      <w:r w:rsidRPr="009923E3">
        <w:rPr>
          <w:rFonts w:ascii="Arial" w:hAnsi="Arial" w:cs="Arial"/>
        </w:rPr>
        <w:t>Allowing the first steps to be taken to connect the energy systems of different Eastern Caribbean island countries.</w:t>
      </w:r>
      <w:r w:rsidR="00553BD7">
        <w:rPr>
          <w:rFonts w:ascii="Arial" w:hAnsi="Arial" w:cs="Arial"/>
        </w:rPr>
        <w:t xml:space="preserve"> Figure 2 shows the possible interconnection transmission lines.</w:t>
      </w:r>
      <w:r w:rsidRPr="009923E3">
        <w:rPr>
          <w:rFonts w:ascii="Arial" w:hAnsi="Arial" w:cs="Arial"/>
        </w:rPr>
        <w:t xml:space="preserve"> </w:t>
      </w:r>
      <w:r w:rsidR="00553BD7">
        <w:rPr>
          <w:rFonts w:ascii="Arial" w:hAnsi="Arial" w:cs="Arial"/>
        </w:rPr>
        <w:t xml:space="preserve"> </w:t>
      </w:r>
      <w:r w:rsidRPr="009923E3">
        <w:rPr>
          <w:rFonts w:ascii="Arial" w:hAnsi="Arial" w:cs="Arial"/>
        </w:rPr>
        <w:t xml:space="preserve"> </w:t>
      </w:r>
    </w:p>
    <w:p w14:paraId="53D01E29" w14:textId="7369C240" w:rsidR="007923C4" w:rsidRPr="005F65D7" w:rsidRDefault="007923C4" w:rsidP="004868C6">
      <w:pPr>
        <w:pStyle w:val="Caption"/>
        <w:keepNext/>
        <w:ind w:left="720"/>
        <w:jc w:val="center"/>
        <w:rPr>
          <w:rFonts w:ascii="Arial" w:hAnsi="Arial" w:cs="Arial"/>
          <w:color w:val="auto"/>
          <w:sz w:val="22"/>
          <w:szCs w:val="22"/>
        </w:rPr>
      </w:pPr>
      <w:r w:rsidRPr="005F65D7">
        <w:rPr>
          <w:rFonts w:ascii="Arial" w:hAnsi="Arial" w:cs="Arial"/>
          <w:color w:val="auto"/>
          <w:sz w:val="22"/>
          <w:szCs w:val="22"/>
        </w:rPr>
        <w:t xml:space="preserve">Figure </w:t>
      </w:r>
      <w:r>
        <w:rPr>
          <w:rFonts w:ascii="Arial" w:hAnsi="Arial" w:cs="Arial"/>
          <w:color w:val="auto"/>
          <w:sz w:val="22"/>
          <w:szCs w:val="22"/>
        </w:rPr>
        <w:t>2</w:t>
      </w:r>
      <w:r w:rsidRPr="005F65D7">
        <w:rPr>
          <w:rFonts w:ascii="Arial" w:hAnsi="Arial" w:cs="Arial"/>
          <w:color w:val="auto"/>
          <w:sz w:val="22"/>
          <w:szCs w:val="22"/>
        </w:rPr>
        <w:t xml:space="preserve">: </w:t>
      </w:r>
      <w:r>
        <w:rPr>
          <w:rFonts w:ascii="Arial" w:hAnsi="Arial" w:cs="Arial"/>
          <w:color w:val="auto"/>
          <w:sz w:val="22"/>
          <w:szCs w:val="22"/>
        </w:rPr>
        <w:t xml:space="preserve">Possible GE plants and </w:t>
      </w:r>
      <w:r w:rsidR="00553BD7">
        <w:rPr>
          <w:rFonts w:ascii="Arial" w:hAnsi="Arial" w:cs="Arial"/>
          <w:color w:val="auto"/>
          <w:sz w:val="22"/>
          <w:szCs w:val="22"/>
        </w:rPr>
        <w:t>interconnection transmission lines ECC</w:t>
      </w:r>
    </w:p>
    <w:p w14:paraId="09DAD861" w14:textId="77777777" w:rsidR="005920DD" w:rsidRDefault="007923C4" w:rsidP="004868C6">
      <w:pPr>
        <w:jc w:val="center"/>
        <w:rPr>
          <w:rFonts w:ascii="Arial" w:hAnsi="Arial" w:cs="Arial"/>
        </w:rPr>
      </w:pPr>
      <w:r>
        <w:rPr>
          <w:noProof/>
        </w:rPr>
        <w:drawing>
          <wp:inline distT="0" distB="0" distL="0" distR="0" wp14:anchorId="422C43CD" wp14:editId="47CD142B">
            <wp:extent cx="5427133" cy="4660608"/>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27961" cy="4661319"/>
                    </a:xfrm>
                    <a:prstGeom prst="rect">
                      <a:avLst/>
                    </a:prstGeom>
                  </pic:spPr>
                </pic:pic>
              </a:graphicData>
            </a:graphic>
          </wp:inline>
        </w:drawing>
      </w:r>
    </w:p>
    <w:p w14:paraId="47C30F97" w14:textId="1D2F147C" w:rsidR="007923C4" w:rsidRPr="004868C6" w:rsidRDefault="007923C4" w:rsidP="004868C6">
      <w:pPr>
        <w:rPr>
          <w:rFonts w:ascii="Arial" w:hAnsi="Arial" w:cs="Arial"/>
        </w:rPr>
      </w:pPr>
    </w:p>
    <w:p w14:paraId="2BABC3DA" w14:textId="77777777" w:rsidR="009D25E4" w:rsidRPr="009923E3" w:rsidRDefault="009D25E4" w:rsidP="009D25E4">
      <w:pPr>
        <w:pStyle w:val="ListParagraph"/>
        <w:ind w:left="360"/>
        <w:jc w:val="both"/>
        <w:rPr>
          <w:rFonts w:ascii="Arial" w:hAnsi="Arial" w:cs="Arial"/>
        </w:rPr>
      </w:pPr>
    </w:p>
    <w:p w14:paraId="77854807" w14:textId="77777777" w:rsidR="0054120D" w:rsidRPr="009923E3" w:rsidRDefault="009B3204" w:rsidP="0054120D">
      <w:pPr>
        <w:pStyle w:val="ListParagraph"/>
        <w:numPr>
          <w:ilvl w:val="1"/>
          <w:numId w:val="3"/>
        </w:numPr>
        <w:ind w:left="360"/>
        <w:jc w:val="both"/>
        <w:rPr>
          <w:rFonts w:ascii="Arial" w:hAnsi="Arial" w:cs="Arial"/>
        </w:rPr>
      </w:pPr>
      <w:r w:rsidRPr="009923E3">
        <w:rPr>
          <w:rFonts w:ascii="Arial" w:hAnsi="Arial" w:cs="Arial"/>
        </w:rPr>
        <w:t xml:space="preserve">Physically connecting the islands electrical infrastructure is an easy way to increase the scale of the market.  </w:t>
      </w:r>
      <w:r w:rsidR="007A670C" w:rsidRPr="009923E3">
        <w:rPr>
          <w:rFonts w:ascii="Arial" w:hAnsi="Arial" w:cs="Arial"/>
        </w:rPr>
        <w:t xml:space="preserve">Progress has already been made in developing </w:t>
      </w:r>
      <w:r w:rsidRPr="009923E3">
        <w:rPr>
          <w:rFonts w:ascii="Arial" w:hAnsi="Arial" w:cs="Arial"/>
        </w:rPr>
        <w:t xml:space="preserve">such </w:t>
      </w:r>
      <w:r w:rsidR="007A670C" w:rsidRPr="009923E3">
        <w:rPr>
          <w:rFonts w:ascii="Arial" w:hAnsi="Arial" w:cs="Arial"/>
        </w:rPr>
        <w:t xml:space="preserve">a plan to </w:t>
      </w:r>
      <w:r w:rsidR="001C4A6D" w:rsidRPr="009923E3">
        <w:rPr>
          <w:rFonts w:ascii="Arial" w:hAnsi="Arial" w:cs="Arial"/>
        </w:rPr>
        <w:t xml:space="preserve">physically </w:t>
      </w:r>
      <w:r w:rsidR="007A670C" w:rsidRPr="009923E3">
        <w:rPr>
          <w:rFonts w:ascii="Arial" w:hAnsi="Arial" w:cs="Arial"/>
        </w:rPr>
        <w:t xml:space="preserve">connect some of the isolated energy/electricity markets in the Caribbean and increase the scale of appropriate generation solutions.  </w:t>
      </w:r>
      <w:r w:rsidR="0054120D" w:rsidRPr="009923E3">
        <w:rPr>
          <w:rFonts w:ascii="Arial" w:hAnsi="Arial" w:cs="Arial"/>
        </w:rPr>
        <w:t>The World Bank based on a study completed by NEXANT</w:t>
      </w:r>
      <w:r w:rsidR="00CC3FB2" w:rsidRPr="009923E3">
        <w:rPr>
          <w:rStyle w:val="FootnoteReference"/>
          <w:rFonts w:ascii="Arial" w:hAnsi="Arial" w:cs="Arial"/>
        </w:rPr>
        <w:footnoteReference w:id="8"/>
      </w:r>
      <w:r w:rsidR="0054120D" w:rsidRPr="009923E3">
        <w:rPr>
          <w:rFonts w:ascii="Arial" w:hAnsi="Arial" w:cs="Arial"/>
        </w:rPr>
        <w:t xml:space="preserve"> determined that by developing geothermal energy sources on those islands that have such resources</w:t>
      </w:r>
      <w:r w:rsidR="00815D33" w:rsidRPr="009923E3">
        <w:rPr>
          <w:rFonts w:ascii="Arial" w:hAnsi="Arial" w:cs="Arial"/>
        </w:rPr>
        <w:t xml:space="preserve"> (Dominica and St. Kitts)</w:t>
      </w:r>
      <w:r w:rsidR="0054120D" w:rsidRPr="009923E3">
        <w:rPr>
          <w:rFonts w:ascii="Arial" w:hAnsi="Arial" w:cs="Arial"/>
        </w:rPr>
        <w:t>, they could develop the power sources in excess of local needs and provide it by undersea transmission lines to neighboring islands</w:t>
      </w:r>
      <w:r w:rsidR="00815D33" w:rsidRPr="009923E3">
        <w:rPr>
          <w:rFonts w:ascii="Arial" w:hAnsi="Arial" w:cs="Arial"/>
        </w:rPr>
        <w:t xml:space="preserve"> (Martinique, Guadeloupe, and Nevis)</w:t>
      </w:r>
      <w:r w:rsidR="0054120D" w:rsidRPr="009923E3">
        <w:rPr>
          <w:rFonts w:ascii="Arial" w:hAnsi="Arial" w:cs="Arial"/>
        </w:rPr>
        <w:t>.</w:t>
      </w:r>
      <w:r w:rsidR="00CC3FB2" w:rsidRPr="009923E3">
        <w:rPr>
          <w:rStyle w:val="FootnoteReference"/>
          <w:rFonts w:ascii="Arial" w:hAnsi="Arial" w:cs="Arial"/>
        </w:rPr>
        <w:footnoteReference w:id="9"/>
      </w:r>
      <w:r w:rsidR="0054120D" w:rsidRPr="009923E3">
        <w:rPr>
          <w:rFonts w:ascii="Arial" w:hAnsi="Arial" w:cs="Arial"/>
        </w:rPr>
        <w:t xml:space="preserve">  All this was found to be more economical th</w:t>
      </w:r>
      <w:r w:rsidR="001F69C5" w:rsidRPr="009923E3">
        <w:rPr>
          <w:rFonts w:ascii="Arial" w:hAnsi="Arial" w:cs="Arial"/>
        </w:rPr>
        <w:t>a</w:t>
      </w:r>
      <w:r w:rsidR="0054120D" w:rsidRPr="009923E3">
        <w:rPr>
          <w:rFonts w:ascii="Arial" w:hAnsi="Arial" w:cs="Arial"/>
        </w:rPr>
        <w:t xml:space="preserve">n the current diesel and heavy fuel oil generation sources, more </w:t>
      </w:r>
      <w:r w:rsidR="009D25E4" w:rsidRPr="009923E3">
        <w:rPr>
          <w:rFonts w:ascii="Arial" w:hAnsi="Arial" w:cs="Arial"/>
        </w:rPr>
        <w:t xml:space="preserve">predictable </w:t>
      </w:r>
      <w:r w:rsidR="0054120D" w:rsidRPr="009923E3">
        <w:rPr>
          <w:rFonts w:ascii="Arial" w:hAnsi="Arial" w:cs="Arial"/>
        </w:rPr>
        <w:t xml:space="preserve">as </w:t>
      </w:r>
      <w:r w:rsidR="00CC3FB2" w:rsidRPr="009923E3">
        <w:rPr>
          <w:rFonts w:ascii="Arial" w:hAnsi="Arial" w:cs="Arial"/>
        </w:rPr>
        <w:t>the geothermal sources</w:t>
      </w:r>
      <w:r w:rsidR="0054120D" w:rsidRPr="009923E3">
        <w:rPr>
          <w:rFonts w:ascii="Arial" w:hAnsi="Arial" w:cs="Arial"/>
        </w:rPr>
        <w:t xml:space="preserve"> will be stable unlike the highly variable prices for hydrocarbon fuel sources, and </w:t>
      </w:r>
      <w:r w:rsidR="00CC3FB2" w:rsidRPr="009923E3">
        <w:rPr>
          <w:rFonts w:ascii="Arial" w:hAnsi="Arial" w:cs="Arial"/>
        </w:rPr>
        <w:t xml:space="preserve">more </w:t>
      </w:r>
      <w:r w:rsidR="009D25E4" w:rsidRPr="009923E3">
        <w:rPr>
          <w:rFonts w:ascii="Arial" w:hAnsi="Arial" w:cs="Arial"/>
        </w:rPr>
        <w:t>reliable</w:t>
      </w:r>
      <w:r w:rsidR="00CC3FB2" w:rsidRPr="009923E3">
        <w:rPr>
          <w:rFonts w:ascii="Arial" w:hAnsi="Arial" w:cs="Arial"/>
        </w:rPr>
        <w:t xml:space="preserve"> as </w:t>
      </w:r>
      <w:r w:rsidR="0054120D" w:rsidRPr="009923E3">
        <w:rPr>
          <w:rFonts w:ascii="Arial" w:hAnsi="Arial" w:cs="Arial"/>
        </w:rPr>
        <w:t xml:space="preserve">it would provide a renewable </w:t>
      </w:r>
      <w:r w:rsidR="00CC3FB2" w:rsidRPr="009923E3">
        <w:rPr>
          <w:rFonts w:ascii="Arial" w:hAnsi="Arial" w:cs="Arial"/>
        </w:rPr>
        <w:t xml:space="preserve">base power </w:t>
      </w:r>
      <w:r w:rsidR="0054120D" w:rsidRPr="009923E3">
        <w:rPr>
          <w:rFonts w:ascii="Arial" w:hAnsi="Arial" w:cs="Arial"/>
        </w:rPr>
        <w:t xml:space="preserve">source (in </w:t>
      </w:r>
      <w:r w:rsidR="00CC3FB2" w:rsidRPr="009923E3">
        <w:rPr>
          <w:rFonts w:ascii="Arial" w:hAnsi="Arial" w:cs="Arial"/>
        </w:rPr>
        <w:t>contrast</w:t>
      </w:r>
      <w:r w:rsidR="0054120D" w:rsidRPr="009923E3">
        <w:rPr>
          <w:rFonts w:ascii="Arial" w:hAnsi="Arial" w:cs="Arial"/>
        </w:rPr>
        <w:t xml:space="preserve"> with </w:t>
      </w:r>
      <w:r w:rsidR="009D25E4" w:rsidRPr="009923E3">
        <w:rPr>
          <w:rFonts w:ascii="Arial" w:hAnsi="Arial" w:cs="Arial"/>
        </w:rPr>
        <w:t>intermittent renewable energies</w:t>
      </w:r>
      <w:r w:rsidR="0054120D" w:rsidRPr="009923E3">
        <w:rPr>
          <w:rFonts w:ascii="Arial" w:hAnsi="Arial" w:cs="Arial"/>
        </w:rPr>
        <w:t xml:space="preserve"> such as wind and solar which can only be delivered when the wind blows and the sun shines). </w:t>
      </w:r>
      <w:r w:rsidR="001F69C5" w:rsidRPr="009923E3">
        <w:rPr>
          <w:rFonts w:ascii="Arial" w:hAnsi="Arial" w:cs="Arial"/>
        </w:rPr>
        <w:t xml:space="preserve"> In this context, the installation of geothermal power plants is the first step to allow future interconnections.</w:t>
      </w:r>
    </w:p>
    <w:p w14:paraId="4F291979" w14:textId="77777777" w:rsidR="008D3359" w:rsidRPr="009923E3" w:rsidRDefault="008D3359" w:rsidP="008D3359">
      <w:pPr>
        <w:pStyle w:val="ListParagraph"/>
        <w:ind w:left="360"/>
        <w:jc w:val="both"/>
        <w:rPr>
          <w:rFonts w:ascii="Arial" w:hAnsi="Arial" w:cs="Arial"/>
        </w:rPr>
      </w:pPr>
    </w:p>
    <w:p w14:paraId="76C30435" w14:textId="77777777" w:rsidR="007C0B10" w:rsidRPr="009923E3" w:rsidRDefault="0015064F" w:rsidP="007C0B10">
      <w:pPr>
        <w:pStyle w:val="ListParagraph"/>
        <w:numPr>
          <w:ilvl w:val="1"/>
          <w:numId w:val="3"/>
        </w:numPr>
        <w:ind w:left="360"/>
        <w:jc w:val="both"/>
        <w:rPr>
          <w:rFonts w:ascii="Arial" w:hAnsi="Arial" w:cs="Arial"/>
        </w:rPr>
      </w:pPr>
      <w:r w:rsidRPr="009923E3">
        <w:rPr>
          <w:rFonts w:ascii="Arial" w:hAnsi="Arial" w:cs="Arial"/>
        </w:rPr>
        <w:t>Working together as a region on energy, even without physically linking the isolated economies together, can bring significant economic benefits to the countries.  The purchase of energy technologies in bulk can greatly reduce the cost.</w:t>
      </w:r>
      <w:r w:rsidRPr="009923E3">
        <w:rPr>
          <w:rStyle w:val="FootnoteReference"/>
          <w:rFonts w:ascii="Arial" w:hAnsi="Arial" w:cs="Arial"/>
        </w:rPr>
        <w:footnoteReference w:id="10"/>
      </w:r>
      <w:r w:rsidRPr="009923E3">
        <w:rPr>
          <w:rFonts w:ascii="Arial" w:hAnsi="Arial" w:cs="Arial"/>
        </w:rPr>
        <w:t xml:space="preserve">  As noted earlier, Belize pays twice the price per kWh to buy and install photovoltaic panels than the United States, due to its small purchasing size.  Similar benefits could be arranged for the purchase of fuel oil, natural gas, renewable energy technologies, bundling of carbon credits, energy efficiency equipment (e.g. LED street lighting), etc.   </w:t>
      </w:r>
      <w:r w:rsidR="009D25E4" w:rsidRPr="009923E3">
        <w:rPr>
          <w:rFonts w:ascii="Arial" w:hAnsi="Arial" w:cs="Arial"/>
        </w:rPr>
        <w:t>It just requires a regional approach to purchasing in the region.</w:t>
      </w:r>
    </w:p>
    <w:p w14:paraId="32854982" w14:textId="77777777" w:rsidR="00AF66CE" w:rsidRPr="009923E3" w:rsidRDefault="00AF66CE" w:rsidP="00AF66CE">
      <w:pPr>
        <w:pStyle w:val="ListParagraph"/>
        <w:rPr>
          <w:rFonts w:ascii="Arial" w:hAnsi="Arial" w:cs="Arial"/>
        </w:rPr>
      </w:pPr>
    </w:p>
    <w:p w14:paraId="3E61DB91" w14:textId="77777777" w:rsidR="00AF66CE" w:rsidRPr="009923E3" w:rsidRDefault="00AF66CE" w:rsidP="007C0B10">
      <w:pPr>
        <w:pStyle w:val="ListParagraph"/>
        <w:numPr>
          <w:ilvl w:val="1"/>
          <w:numId w:val="3"/>
        </w:numPr>
        <w:ind w:left="360"/>
        <w:jc w:val="both"/>
        <w:rPr>
          <w:rFonts w:ascii="Arial" w:hAnsi="Arial" w:cs="Arial"/>
        </w:rPr>
      </w:pPr>
      <w:r w:rsidRPr="009923E3">
        <w:rPr>
          <w:rFonts w:ascii="Arial" w:hAnsi="Arial" w:cs="Arial"/>
        </w:rPr>
        <w:t>This is not the first time that the Inter-American Development Bank has determined that the above activities are important for the regiona</w:t>
      </w:r>
      <w:r w:rsidR="009D25E4" w:rsidRPr="009923E3">
        <w:rPr>
          <w:rFonts w:ascii="Arial" w:hAnsi="Arial" w:cs="Arial"/>
        </w:rPr>
        <w:t>l integration of the Caribbean r</w:t>
      </w:r>
      <w:r w:rsidRPr="009923E3">
        <w:rPr>
          <w:rFonts w:ascii="Arial" w:hAnsi="Arial" w:cs="Arial"/>
        </w:rPr>
        <w:t>egion.  The Caribbean Country Department’s Strategic Agenda on Integration from August 2014 determined that “reducing the cost of electricity is the highest priority for the regional energy sector,” and that this can achieved by “Regional collaboration [as it] can help capture economies of scale,” geothermal power can be generated in excess on some islands and be exported by an undersea grid interconnection to other islands, and “bundling of [carbon] emissions will create economies of scale in the use of energy efficient technologies.”</w:t>
      </w:r>
    </w:p>
    <w:p w14:paraId="4B310D43" w14:textId="77777777" w:rsidR="00E05841" w:rsidRPr="009923E3" w:rsidRDefault="009649CC" w:rsidP="00A94646">
      <w:pPr>
        <w:pStyle w:val="Heading2"/>
        <w:numPr>
          <w:ilvl w:val="0"/>
          <w:numId w:val="3"/>
        </w:numPr>
        <w:ind w:left="720"/>
        <w:rPr>
          <w:rFonts w:ascii="Arial" w:hAnsi="Arial" w:cs="Arial"/>
          <w:color w:val="auto"/>
          <w:sz w:val="22"/>
          <w:szCs w:val="22"/>
        </w:rPr>
      </w:pPr>
      <w:r w:rsidRPr="009923E3">
        <w:rPr>
          <w:rFonts w:ascii="Arial" w:hAnsi="Arial" w:cs="Arial"/>
          <w:color w:val="auto"/>
          <w:sz w:val="22"/>
          <w:szCs w:val="22"/>
        </w:rPr>
        <w:t>Validation of</w:t>
      </w:r>
      <w:r w:rsidR="00AE2B0B" w:rsidRPr="009923E3">
        <w:rPr>
          <w:rFonts w:ascii="Arial" w:hAnsi="Arial" w:cs="Arial"/>
          <w:color w:val="auto"/>
          <w:sz w:val="22"/>
          <w:szCs w:val="22"/>
        </w:rPr>
        <w:t xml:space="preserve"> Project Criteria with the Integration Strategy Framework</w:t>
      </w:r>
    </w:p>
    <w:p w14:paraId="33D69709" w14:textId="77777777" w:rsidR="00CA586B" w:rsidRPr="009923E3" w:rsidRDefault="00CA586B" w:rsidP="00224905">
      <w:pPr>
        <w:rPr>
          <w:rFonts w:ascii="Arial" w:hAnsi="Arial" w:cs="Arial"/>
        </w:rPr>
      </w:pPr>
    </w:p>
    <w:p w14:paraId="4A6D09FD" w14:textId="77777777" w:rsidR="00DC754E" w:rsidRPr="009923E3" w:rsidRDefault="00DC754E" w:rsidP="00224905">
      <w:pPr>
        <w:rPr>
          <w:rFonts w:ascii="Arial" w:hAnsi="Arial" w:cs="Arial"/>
          <w:vanish/>
        </w:rPr>
      </w:pPr>
    </w:p>
    <w:p w14:paraId="542500F5" w14:textId="77777777" w:rsidR="00CA586B" w:rsidRPr="009923E3" w:rsidRDefault="00CA586B" w:rsidP="00CA586B">
      <w:pPr>
        <w:pStyle w:val="ListParagraph"/>
        <w:numPr>
          <w:ilvl w:val="0"/>
          <w:numId w:val="5"/>
        </w:numPr>
        <w:rPr>
          <w:rFonts w:ascii="Arial" w:hAnsi="Arial" w:cs="Arial"/>
          <w:vanish/>
        </w:rPr>
      </w:pPr>
    </w:p>
    <w:p w14:paraId="2AA28CE0" w14:textId="77777777" w:rsidR="00CA586B" w:rsidRPr="009923E3" w:rsidRDefault="00CA586B" w:rsidP="00CA586B">
      <w:pPr>
        <w:pStyle w:val="ListParagraph"/>
        <w:numPr>
          <w:ilvl w:val="0"/>
          <w:numId w:val="5"/>
        </w:numPr>
        <w:rPr>
          <w:rFonts w:ascii="Arial" w:hAnsi="Arial" w:cs="Arial"/>
          <w:vanish/>
        </w:rPr>
      </w:pPr>
    </w:p>
    <w:p w14:paraId="390326FF" w14:textId="77777777" w:rsidR="00DC754E" w:rsidRPr="00DC754E" w:rsidRDefault="00DC754E" w:rsidP="00DC754E">
      <w:pPr>
        <w:pStyle w:val="ListParagraph"/>
        <w:numPr>
          <w:ilvl w:val="1"/>
          <w:numId w:val="3"/>
        </w:numPr>
        <w:ind w:left="360"/>
        <w:jc w:val="both"/>
        <w:rPr>
          <w:rFonts w:ascii="Arial" w:hAnsi="Arial" w:cs="Arial"/>
        </w:rPr>
      </w:pPr>
      <w:r w:rsidRPr="00DC754E">
        <w:rPr>
          <w:rFonts w:ascii="Arial" w:hAnsi="Arial" w:cs="Arial"/>
        </w:rPr>
        <w:t>The Program is aligned with the development challenge of regional integration included in the Bank</w:t>
      </w:r>
      <w:r>
        <w:rPr>
          <w:rFonts w:ascii="Arial" w:hAnsi="Arial" w:cs="Arial"/>
        </w:rPr>
        <w:t>’s Institutional Strategy</w:t>
      </w:r>
      <w:r w:rsidRPr="00DC754E">
        <w:rPr>
          <w:rFonts w:ascii="Arial" w:hAnsi="Arial" w:cs="Arial"/>
        </w:rPr>
        <w:t xml:space="preserve"> 2010-2020 (GN-2788-5) due to the contribution it makes, by providing end to end financing solutions for the entire geothermal development cycle, to </w:t>
      </w:r>
      <w:r>
        <w:rPr>
          <w:rFonts w:ascii="Arial" w:hAnsi="Arial" w:cs="Arial"/>
        </w:rPr>
        <w:t>enable</w:t>
      </w:r>
      <w:r w:rsidRPr="00DC754E">
        <w:rPr>
          <w:rFonts w:ascii="Arial" w:hAnsi="Arial" w:cs="Arial"/>
        </w:rPr>
        <w:t xml:space="preserve"> ECC governments to engage private sector actors to develop GE projects </w:t>
      </w:r>
      <w:r>
        <w:rPr>
          <w:rFonts w:ascii="Arial" w:hAnsi="Arial" w:cs="Arial"/>
        </w:rPr>
        <w:t xml:space="preserve">with </w:t>
      </w:r>
      <w:r w:rsidRPr="00DC754E">
        <w:rPr>
          <w:rFonts w:ascii="Arial" w:hAnsi="Arial" w:cs="Arial"/>
        </w:rPr>
        <w:t>the possibility</w:t>
      </w:r>
      <w:r>
        <w:rPr>
          <w:rFonts w:ascii="Arial" w:hAnsi="Arial" w:cs="Arial"/>
        </w:rPr>
        <w:t xml:space="preserve"> </w:t>
      </w:r>
      <w:r w:rsidRPr="00DC754E">
        <w:rPr>
          <w:rFonts w:ascii="Arial" w:hAnsi="Arial" w:cs="Arial"/>
        </w:rPr>
        <w:t>of exporting power to neighboring islands via undersea cables</w:t>
      </w:r>
      <w:r>
        <w:rPr>
          <w:rStyle w:val="FootnoteReference"/>
          <w:rFonts w:ascii="Arial" w:hAnsi="Arial" w:cs="Arial"/>
        </w:rPr>
        <w:footnoteReference w:id="11"/>
      </w:r>
      <w:r>
        <w:rPr>
          <w:rFonts w:ascii="Arial" w:hAnsi="Arial" w:cs="Arial"/>
        </w:rPr>
        <w:t xml:space="preserve">, </w:t>
      </w:r>
      <w:r w:rsidRPr="00DC754E">
        <w:rPr>
          <w:rFonts w:ascii="Arial" w:hAnsi="Arial" w:cs="Arial"/>
        </w:rPr>
        <w:t xml:space="preserve">making the interconnection between electricity markets in the ECC possible.  </w:t>
      </w:r>
    </w:p>
    <w:p w14:paraId="48FBD243" w14:textId="77777777" w:rsidR="00DC754E" w:rsidRDefault="00DC754E" w:rsidP="00DC754E">
      <w:pPr>
        <w:pStyle w:val="ListParagraph"/>
        <w:ind w:left="360"/>
        <w:jc w:val="both"/>
        <w:rPr>
          <w:rFonts w:ascii="Arial" w:hAnsi="Arial" w:cs="Arial"/>
        </w:rPr>
      </w:pPr>
    </w:p>
    <w:p w14:paraId="7FBE3512" w14:textId="77777777" w:rsidR="00DC754E" w:rsidRDefault="00DC754E" w:rsidP="00DC754E">
      <w:pPr>
        <w:pStyle w:val="ListParagraph"/>
        <w:numPr>
          <w:ilvl w:val="1"/>
          <w:numId w:val="3"/>
        </w:numPr>
        <w:ind w:left="360"/>
        <w:jc w:val="both"/>
        <w:rPr>
          <w:rFonts w:ascii="Arial" w:hAnsi="Arial" w:cs="Arial"/>
        </w:rPr>
      </w:pPr>
      <w:r w:rsidRPr="009923E3">
        <w:rPr>
          <w:rFonts w:ascii="Arial" w:hAnsi="Arial" w:cs="Arial"/>
        </w:rPr>
        <w:t xml:space="preserve">According to the Bank’s </w:t>
      </w:r>
      <w:r w:rsidRPr="009923E3">
        <w:rPr>
          <w:rFonts w:ascii="Arial" w:hAnsi="Arial" w:cs="Arial"/>
          <w:i/>
        </w:rPr>
        <w:t>Sector Strategy to Support Competitive Global and Regional Integration</w:t>
      </w:r>
      <w:r w:rsidRPr="009923E3">
        <w:rPr>
          <w:rFonts w:ascii="Arial" w:hAnsi="Arial" w:cs="Arial"/>
        </w:rPr>
        <w:t xml:space="preserve"> (GN-2565-4), regional integration operations are aligned with one or more of the four general strategic criteria: (i) a cross-country focus; (ii) national subsidiarity; (iii) regional additionality; and (iv) compensation of coordination failures. </w:t>
      </w:r>
    </w:p>
    <w:p w14:paraId="3F06E07C" w14:textId="77777777" w:rsidR="00DC754E" w:rsidRPr="00DC754E" w:rsidRDefault="00DC754E" w:rsidP="00DC754E">
      <w:pPr>
        <w:pStyle w:val="ListParagraph"/>
        <w:ind w:left="360"/>
        <w:jc w:val="both"/>
        <w:rPr>
          <w:rFonts w:ascii="Arial" w:hAnsi="Arial" w:cs="Arial"/>
        </w:rPr>
      </w:pPr>
    </w:p>
    <w:p w14:paraId="05DED316" w14:textId="77777777" w:rsidR="00AE2B0B" w:rsidRPr="00DC754E" w:rsidRDefault="00AE2B0B" w:rsidP="00A94646">
      <w:pPr>
        <w:pStyle w:val="ListParagraph"/>
        <w:ind w:left="360"/>
        <w:jc w:val="both"/>
        <w:rPr>
          <w:rFonts w:ascii="Arial" w:hAnsi="Arial" w:cs="Arial"/>
        </w:rPr>
      </w:pPr>
    </w:p>
    <w:p w14:paraId="5054A4E5" w14:textId="77777777" w:rsidR="00AE2B0B" w:rsidRPr="009923E3" w:rsidRDefault="003B45D6" w:rsidP="00AE4D8F">
      <w:pPr>
        <w:pStyle w:val="ListParagraph"/>
        <w:numPr>
          <w:ilvl w:val="1"/>
          <w:numId w:val="3"/>
        </w:numPr>
        <w:ind w:left="360"/>
        <w:jc w:val="both"/>
        <w:rPr>
          <w:rFonts w:ascii="Arial" w:hAnsi="Arial" w:cs="Arial"/>
        </w:rPr>
      </w:pPr>
      <w:r w:rsidRPr="009923E3">
        <w:rPr>
          <w:rFonts w:ascii="Arial" w:hAnsi="Arial" w:cs="Arial"/>
        </w:rPr>
        <w:t>Considering the scope of the project outlined in the first section of this Annex,</w:t>
      </w:r>
      <w:r w:rsidR="00AE4D8F" w:rsidRPr="009923E3">
        <w:rPr>
          <w:rFonts w:ascii="Arial" w:hAnsi="Arial" w:cs="Arial"/>
        </w:rPr>
        <w:t xml:space="preserve"> and </w:t>
      </w:r>
      <w:r w:rsidR="00027E0B" w:rsidRPr="009923E3">
        <w:rPr>
          <w:rFonts w:ascii="Arial" w:hAnsi="Arial" w:cs="Arial"/>
        </w:rPr>
        <w:t>according</w:t>
      </w:r>
      <w:r w:rsidR="00AE4D8F" w:rsidRPr="009923E3">
        <w:rPr>
          <w:rFonts w:ascii="Arial" w:hAnsi="Arial" w:cs="Arial"/>
        </w:rPr>
        <w:t xml:space="preserve"> to the </w:t>
      </w:r>
      <w:r w:rsidR="00027E0B" w:rsidRPr="009923E3">
        <w:rPr>
          <w:rFonts w:ascii="Arial" w:hAnsi="Arial" w:cs="Arial"/>
        </w:rPr>
        <w:t xml:space="preserve">Guidelines for the </w:t>
      </w:r>
      <w:r w:rsidR="002C178F" w:rsidRPr="009923E3">
        <w:rPr>
          <w:rFonts w:ascii="Arial" w:hAnsi="Arial" w:cs="Arial"/>
        </w:rPr>
        <w:t>Classifications</w:t>
      </w:r>
      <w:r w:rsidR="00027E0B" w:rsidRPr="009923E3">
        <w:rPr>
          <w:rFonts w:ascii="Arial" w:hAnsi="Arial" w:cs="Arial"/>
        </w:rPr>
        <w:t xml:space="preserve"> of Regional Integration Pro</w:t>
      </w:r>
      <w:r w:rsidR="002C178F" w:rsidRPr="009923E3">
        <w:rPr>
          <w:rFonts w:ascii="Arial" w:hAnsi="Arial" w:cs="Arial"/>
        </w:rPr>
        <w:t>j</w:t>
      </w:r>
      <w:r w:rsidR="00027E0B" w:rsidRPr="009923E3">
        <w:rPr>
          <w:rFonts w:ascii="Arial" w:hAnsi="Arial" w:cs="Arial"/>
        </w:rPr>
        <w:t>ects (GN-2733 and GN-2650)</w:t>
      </w:r>
      <w:r w:rsidRPr="009923E3">
        <w:rPr>
          <w:rFonts w:ascii="Arial" w:hAnsi="Arial" w:cs="Arial"/>
        </w:rPr>
        <w:t xml:space="preserve"> this project contributes to </w:t>
      </w:r>
      <w:r w:rsidR="00B31BEA" w:rsidRPr="009923E3">
        <w:rPr>
          <w:rFonts w:ascii="Arial" w:hAnsi="Arial" w:cs="Arial"/>
        </w:rPr>
        <w:t>regional additionality</w:t>
      </w:r>
      <w:r w:rsidRPr="009923E3">
        <w:rPr>
          <w:rFonts w:ascii="Arial" w:hAnsi="Arial" w:cs="Arial"/>
        </w:rPr>
        <w:t>, as it</w:t>
      </w:r>
      <w:r w:rsidR="00AE4D8F" w:rsidRPr="009923E3">
        <w:rPr>
          <w:rFonts w:ascii="Arial" w:hAnsi="Arial" w:cs="Arial"/>
        </w:rPr>
        <w:t xml:space="preserve"> </w:t>
      </w:r>
      <w:r w:rsidR="00DC754E" w:rsidRPr="009923E3">
        <w:rPr>
          <w:rFonts w:ascii="Arial" w:hAnsi="Arial" w:cs="Arial"/>
        </w:rPr>
        <w:t>supports</w:t>
      </w:r>
      <w:r w:rsidR="00AE4D8F" w:rsidRPr="009923E3">
        <w:rPr>
          <w:rFonts w:ascii="Arial" w:hAnsi="Arial" w:cs="Arial"/>
        </w:rPr>
        <w:t xml:space="preserve"> simultaneously in a group of countries nationa</w:t>
      </w:r>
      <w:r w:rsidR="002C178F" w:rsidRPr="009923E3">
        <w:rPr>
          <w:rFonts w:ascii="Arial" w:hAnsi="Arial" w:cs="Arial"/>
        </w:rPr>
        <w:t xml:space="preserve">l </w:t>
      </w:r>
      <w:r w:rsidR="00AE4D8F" w:rsidRPr="009923E3">
        <w:rPr>
          <w:rFonts w:ascii="Arial" w:hAnsi="Arial" w:cs="Arial"/>
        </w:rPr>
        <w:t>level policy reforms or investments that are part of a specific supra-national plan, program or initiative</w:t>
      </w:r>
      <w:r w:rsidRPr="009923E3">
        <w:rPr>
          <w:rFonts w:ascii="Arial" w:hAnsi="Arial" w:cs="Arial"/>
        </w:rPr>
        <w:t xml:space="preserve"> </w:t>
      </w:r>
      <w:r w:rsidR="00AE4D8F" w:rsidRPr="009923E3">
        <w:rPr>
          <w:rFonts w:ascii="Arial" w:hAnsi="Arial" w:cs="Arial"/>
        </w:rPr>
        <w:t xml:space="preserve">to contribute with regional </w:t>
      </w:r>
      <w:r w:rsidR="002C178F" w:rsidRPr="009923E3">
        <w:rPr>
          <w:rFonts w:ascii="Arial" w:hAnsi="Arial" w:cs="Arial"/>
        </w:rPr>
        <w:t>objectives</w:t>
      </w:r>
      <w:r w:rsidR="00027E0B" w:rsidRPr="009923E3">
        <w:rPr>
          <w:rFonts w:ascii="Arial" w:hAnsi="Arial" w:cs="Arial"/>
        </w:rPr>
        <w:t xml:space="preserve">. The project </w:t>
      </w:r>
      <w:r w:rsidRPr="009923E3">
        <w:rPr>
          <w:rFonts w:ascii="Arial" w:hAnsi="Arial" w:cs="Arial"/>
        </w:rPr>
        <w:t xml:space="preserve">has a direct effect on improving </w:t>
      </w:r>
      <w:r w:rsidR="00985F4C" w:rsidRPr="009923E3">
        <w:rPr>
          <w:rFonts w:ascii="Arial" w:hAnsi="Arial" w:cs="Arial"/>
        </w:rPr>
        <w:t xml:space="preserve">the integration of the region’s independent energy systems.  </w:t>
      </w:r>
      <w:r w:rsidRPr="009923E3">
        <w:rPr>
          <w:rFonts w:ascii="Arial" w:hAnsi="Arial" w:cs="Arial"/>
        </w:rPr>
        <w:t xml:space="preserve">The project is critical </w:t>
      </w:r>
      <w:r w:rsidR="00244D0F" w:rsidRPr="009923E3">
        <w:rPr>
          <w:rFonts w:ascii="Arial" w:hAnsi="Arial" w:cs="Arial"/>
        </w:rPr>
        <w:t xml:space="preserve">for </w:t>
      </w:r>
      <w:r w:rsidR="00985F4C" w:rsidRPr="009923E3">
        <w:rPr>
          <w:rFonts w:ascii="Arial" w:hAnsi="Arial" w:cs="Arial"/>
        </w:rPr>
        <w:t xml:space="preserve">the Eastern Caribbean Countries to reduce their energy prices and become more economically competitive with the </w:t>
      </w:r>
      <w:r w:rsidRPr="009923E3">
        <w:rPr>
          <w:rFonts w:ascii="Arial" w:hAnsi="Arial" w:cs="Arial"/>
        </w:rPr>
        <w:t>rest of the world.</w:t>
      </w:r>
    </w:p>
    <w:p w14:paraId="5A46BDFB" w14:textId="77777777" w:rsidR="00AE2B0B" w:rsidRPr="009923E3" w:rsidRDefault="00AE2B0B" w:rsidP="00A94646">
      <w:pPr>
        <w:pStyle w:val="ListParagraph"/>
        <w:jc w:val="both"/>
        <w:rPr>
          <w:rFonts w:ascii="Arial" w:hAnsi="Arial" w:cs="Arial"/>
        </w:rPr>
      </w:pPr>
    </w:p>
    <w:p w14:paraId="66F32963" w14:textId="77777777" w:rsidR="00E20296" w:rsidRPr="009923E3" w:rsidRDefault="007578B6" w:rsidP="00E978BB">
      <w:pPr>
        <w:pStyle w:val="ListParagraph"/>
        <w:numPr>
          <w:ilvl w:val="1"/>
          <w:numId w:val="3"/>
        </w:numPr>
        <w:ind w:left="360"/>
        <w:jc w:val="both"/>
        <w:rPr>
          <w:rFonts w:ascii="Arial" w:hAnsi="Arial" w:cs="Arial"/>
        </w:rPr>
      </w:pPr>
      <w:r w:rsidRPr="009923E3">
        <w:rPr>
          <w:rFonts w:ascii="Arial" w:hAnsi="Arial" w:cs="Arial"/>
        </w:rPr>
        <w:t xml:space="preserve">The activities that support global and regional integration can be classified in three main areas: (i) Infrastructure; (ii) Institutional strengthening and capacity development; and (iii) </w:t>
      </w:r>
      <w:r w:rsidR="001C00BF" w:rsidRPr="009923E3">
        <w:rPr>
          <w:rFonts w:ascii="Arial" w:hAnsi="Arial" w:cs="Arial"/>
        </w:rPr>
        <w:t xml:space="preserve">Functional cooperation and regional public goods. In accordance with the described components in the loan proposal, the operation is classified under the area of </w:t>
      </w:r>
      <w:r w:rsidR="00985F4C" w:rsidRPr="009923E3">
        <w:rPr>
          <w:rFonts w:ascii="Arial" w:hAnsi="Arial" w:cs="Arial"/>
        </w:rPr>
        <w:t>infrastructure as it will</w:t>
      </w:r>
      <w:r w:rsidR="002C178F" w:rsidRPr="009923E3">
        <w:rPr>
          <w:rFonts w:ascii="Arial" w:hAnsi="Arial" w:cs="Arial"/>
        </w:rPr>
        <w:t xml:space="preserve"> construct energy infrastructure that will</w:t>
      </w:r>
      <w:r w:rsidR="00985F4C" w:rsidRPr="009923E3">
        <w:rPr>
          <w:rFonts w:ascii="Arial" w:hAnsi="Arial" w:cs="Arial"/>
        </w:rPr>
        <w:t xml:space="preserve"> </w:t>
      </w:r>
      <w:r w:rsidR="002C178F" w:rsidRPr="009923E3">
        <w:rPr>
          <w:rFonts w:ascii="Arial" w:hAnsi="Arial" w:cs="Arial"/>
        </w:rPr>
        <w:t>contribute to regional generation capacity</w:t>
      </w:r>
      <w:r w:rsidR="00985F4C" w:rsidRPr="009923E3">
        <w:rPr>
          <w:rFonts w:ascii="Arial" w:hAnsi="Arial" w:cs="Arial"/>
        </w:rPr>
        <w:t xml:space="preserve">.  </w:t>
      </w:r>
    </w:p>
    <w:p w14:paraId="1987A7B0" w14:textId="77777777" w:rsidR="00090085" w:rsidRPr="009923E3" w:rsidRDefault="00090085" w:rsidP="00E978BB">
      <w:pPr>
        <w:pStyle w:val="ListParagraph"/>
        <w:ind w:left="360"/>
        <w:jc w:val="both"/>
        <w:rPr>
          <w:rFonts w:ascii="Arial" w:hAnsi="Arial" w:cs="Arial"/>
        </w:rPr>
      </w:pPr>
    </w:p>
    <w:p w14:paraId="0438D3EC" w14:textId="77777777" w:rsidR="00602E1F" w:rsidRPr="009923E3" w:rsidRDefault="00027E0B" w:rsidP="002B0E32">
      <w:pPr>
        <w:pStyle w:val="ListParagraph"/>
        <w:numPr>
          <w:ilvl w:val="1"/>
          <w:numId w:val="3"/>
        </w:numPr>
        <w:ind w:left="360"/>
        <w:jc w:val="both"/>
        <w:rPr>
          <w:rFonts w:ascii="Arial" w:hAnsi="Arial" w:cs="Arial"/>
        </w:rPr>
      </w:pPr>
      <w:r w:rsidRPr="009923E3">
        <w:rPr>
          <w:rFonts w:ascii="Arial" w:hAnsi="Arial" w:cs="Arial"/>
        </w:rPr>
        <w:t>This operation belong</w:t>
      </w:r>
      <w:r w:rsidR="002C178F" w:rsidRPr="009923E3">
        <w:rPr>
          <w:rFonts w:ascii="Arial" w:hAnsi="Arial" w:cs="Arial"/>
        </w:rPr>
        <w:t>s</w:t>
      </w:r>
      <w:r w:rsidRPr="009923E3">
        <w:rPr>
          <w:rFonts w:ascii="Arial" w:hAnsi="Arial" w:cs="Arial"/>
        </w:rPr>
        <w:t xml:space="preserve"> to the Energy Integration Subsector as it</w:t>
      </w:r>
      <w:r w:rsidR="002C178F" w:rsidRPr="009923E3">
        <w:rPr>
          <w:rFonts w:ascii="Arial" w:hAnsi="Arial" w:cs="Arial"/>
        </w:rPr>
        <w:t xml:space="preserve"> contributes to greater efficiency and energy security through the physical integration of power grids, the regulatory harmonization of regional energy markets and the development of regional generation capacity.</w:t>
      </w:r>
      <w:r w:rsidR="002C178F" w:rsidRPr="009923E3" w:rsidDel="002C178F">
        <w:rPr>
          <w:rFonts w:ascii="Arial" w:hAnsi="Arial" w:cs="Arial"/>
        </w:rPr>
        <w:t xml:space="preserve"> </w:t>
      </w:r>
      <w:r w:rsidR="00602E1F" w:rsidRPr="009923E3">
        <w:rPr>
          <w:rFonts w:ascii="Arial" w:hAnsi="Arial" w:cs="Arial"/>
        </w:rPr>
        <w:t>In accordance with the Guidelines for Classifying Lending Program Priorities (GN-2650) the “</w:t>
      </w:r>
      <w:r w:rsidR="00985F4C" w:rsidRPr="009923E3">
        <w:rPr>
          <w:rFonts w:ascii="Arial" w:hAnsi="Arial" w:cs="Arial"/>
        </w:rPr>
        <w:t>Energy Integration</w:t>
      </w:r>
      <w:r w:rsidR="00602E1F" w:rsidRPr="009923E3">
        <w:rPr>
          <w:rFonts w:ascii="Arial" w:hAnsi="Arial" w:cs="Arial"/>
        </w:rPr>
        <w:t xml:space="preserve">” subsector implicates automatic eligibility for the completion of the financing goal to back regional cooperation and integration. </w:t>
      </w:r>
    </w:p>
    <w:p w14:paraId="1326B511" w14:textId="77777777" w:rsidR="00280EC4" w:rsidRPr="009923E3" w:rsidRDefault="00280EC4" w:rsidP="00280EC4">
      <w:pPr>
        <w:pStyle w:val="ListParagraph"/>
        <w:rPr>
          <w:rFonts w:ascii="Arial" w:hAnsi="Arial" w:cs="Arial"/>
        </w:rPr>
      </w:pPr>
    </w:p>
    <w:tbl>
      <w:tblPr>
        <w:tblStyle w:val="TableGrid"/>
        <w:tblW w:w="0" w:type="auto"/>
        <w:tblInd w:w="720" w:type="dxa"/>
        <w:tblLayout w:type="fixed"/>
        <w:tblLook w:val="04A0" w:firstRow="1" w:lastRow="0" w:firstColumn="1" w:lastColumn="0" w:noHBand="0" w:noVBand="1"/>
      </w:tblPr>
      <w:tblGrid>
        <w:gridCol w:w="1796"/>
        <w:gridCol w:w="1744"/>
        <w:gridCol w:w="3408"/>
        <w:gridCol w:w="1800"/>
      </w:tblGrid>
      <w:tr w:rsidR="009923E3" w:rsidRPr="009923E3" w14:paraId="11692CEE" w14:textId="77777777" w:rsidTr="00732B2B">
        <w:tc>
          <w:tcPr>
            <w:tcW w:w="1796" w:type="dxa"/>
            <w:vAlign w:val="center"/>
          </w:tcPr>
          <w:p w14:paraId="4EFD06B8" w14:textId="77777777" w:rsidR="00371D39" w:rsidRPr="009923E3" w:rsidRDefault="00371D39" w:rsidP="00732B2B">
            <w:pPr>
              <w:pStyle w:val="ListParagraph"/>
              <w:ind w:left="0"/>
              <w:jc w:val="center"/>
              <w:rPr>
                <w:rFonts w:ascii="Arial" w:hAnsi="Arial" w:cs="Arial"/>
                <w:sz w:val="22"/>
                <w:szCs w:val="22"/>
                <w:lang w:val="es-ES_tradnl"/>
              </w:rPr>
            </w:pPr>
            <w:r w:rsidRPr="009923E3">
              <w:rPr>
                <w:rFonts w:ascii="Arial" w:hAnsi="Arial" w:cs="Arial"/>
                <w:sz w:val="22"/>
                <w:szCs w:val="22"/>
                <w:lang w:val="es-ES_tradnl"/>
              </w:rPr>
              <w:t>Sub-sector</w:t>
            </w:r>
          </w:p>
        </w:tc>
        <w:tc>
          <w:tcPr>
            <w:tcW w:w="1744" w:type="dxa"/>
            <w:vAlign w:val="center"/>
          </w:tcPr>
          <w:p w14:paraId="5BF7ADDD" w14:textId="77777777" w:rsidR="00371D39" w:rsidRPr="009923E3" w:rsidRDefault="00371D39" w:rsidP="00732B2B">
            <w:pPr>
              <w:pStyle w:val="ListParagraph"/>
              <w:ind w:left="0"/>
              <w:jc w:val="center"/>
              <w:rPr>
                <w:rFonts w:ascii="Arial" w:hAnsi="Arial" w:cs="Arial"/>
                <w:sz w:val="22"/>
                <w:szCs w:val="22"/>
                <w:lang w:val="es-ES_tradnl"/>
              </w:rPr>
            </w:pPr>
            <w:r w:rsidRPr="009923E3">
              <w:rPr>
                <w:rFonts w:ascii="Arial" w:hAnsi="Arial" w:cs="Arial"/>
                <w:sz w:val="22"/>
                <w:szCs w:val="22"/>
              </w:rPr>
              <w:t>Code</w:t>
            </w:r>
          </w:p>
        </w:tc>
        <w:tc>
          <w:tcPr>
            <w:tcW w:w="3408" w:type="dxa"/>
            <w:vAlign w:val="center"/>
          </w:tcPr>
          <w:p w14:paraId="47D5DC23" w14:textId="77777777" w:rsidR="00371D39" w:rsidRPr="009923E3" w:rsidRDefault="00371D39" w:rsidP="00732B2B">
            <w:pPr>
              <w:pStyle w:val="ListParagraph"/>
              <w:ind w:left="0"/>
              <w:jc w:val="center"/>
              <w:rPr>
                <w:rFonts w:ascii="Arial" w:hAnsi="Arial" w:cs="Arial"/>
                <w:sz w:val="22"/>
                <w:szCs w:val="22"/>
                <w:lang w:val="es-ES_tradnl"/>
              </w:rPr>
            </w:pPr>
            <w:r w:rsidRPr="009923E3">
              <w:rPr>
                <w:rFonts w:ascii="Arial" w:hAnsi="Arial" w:cs="Arial"/>
                <w:sz w:val="22"/>
                <w:szCs w:val="22"/>
              </w:rPr>
              <w:t>Description</w:t>
            </w:r>
          </w:p>
        </w:tc>
        <w:tc>
          <w:tcPr>
            <w:tcW w:w="1800" w:type="dxa"/>
            <w:vAlign w:val="center"/>
          </w:tcPr>
          <w:p w14:paraId="726B1748" w14:textId="77777777" w:rsidR="00371D39" w:rsidRPr="009923E3" w:rsidRDefault="00371D39" w:rsidP="00732B2B">
            <w:pPr>
              <w:pStyle w:val="ListParagraph"/>
              <w:ind w:left="0"/>
              <w:jc w:val="center"/>
              <w:rPr>
                <w:rFonts w:ascii="Arial" w:hAnsi="Arial" w:cs="Arial"/>
                <w:sz w:val="22"/>
                <w:szCs w:val="22"/>
                <w:lang w:val="es-ES_tradnl"/>
              </w:rPr>
            </w:pPr>
            <w:r w:rsidRPr="009923E3">
              <w:rPr>
                <w:rFonts w:ascii="Arial" w:hAnsi="Arial" w:cs="Arial"/>
                <w:sz w:val="22"/>
                <w:szCs w:val="22"/>
              </w:rPr>
              <w:t>Automatic</w:t>
            </w:r>
            <w:r w:rsidRPr="009923E3">
              <w:rPr>
                <w:rFonts w:ascii="Arial" w:hAnsi="Arial" w:cs="Arial"/>
                <w:sz w:val="22"/>
                <w:szCs w:val="22"/>
                <w:lang w:val="es-ES_tradnl"/>
              </w:rPr>
              <w:t>(A)/</w:t>
            </w:r>
            <w:r w:rsidRPr="009923E3">
              <w:rPr>
                <w:rFonts w:ascii="Arial" w:hAnsi="Arial" w:cs="Arial"/>
                <w:sz w:val="22"/>
                <w:szCs w:val="22"/>
              </w:rPr>
              <w:t>Conditional</w:t>
            </w:r>
            <w:r w:rsidRPr="009923E3">
              <w:rPr>
                <w:rFonts w:ascii="Arial" w:hAnsi="Arial" w:cs="Arial"/>
                <w:sz w:val="22"/>
                <w:szCs w:val="22"/>
                <w:lang w:val="es-ES_tradnl"/>
              </w:rPr>
              <w:t>(C)</w:t>
            </w:r>
          </w:p>
        </w:tc>
      </w:tr>
      <w:tr w:rsidR="008630A0" w:rsidRPr="009923E3" w14:paraId="040380BB" w14:textId="77777777" w:rsidTr="00985F4C">
        <w:tc>
          <w:tcPr>
            <w:tcW w:w="1796" w:type="dxa"/>
            <w:vAlign w:val="center"/>
          </w:tcPr>
          <w:p w14:paraId="0AED5F09" w14:textId="77777777" w:rsidR="008630A0" w:rsidRPr="009923E3" w:rsidRDefault="00864FF5" w:rsidP="00985F4C">
            <w:pPr>
              <w:jc w:val="center"/>
              <w:rPr>
                <w:rFonts w:ascii="Arial" w:hAnsi="Arial" w:cs="Arial"/>
                <w:sz w:val="22"/>
                <w:szCs w:val="22"/>
              </w:rPr>
            </w:pPr>
            <w:r w:rsidRPr="009923E3">
              <w:rPr>
                <w:rFonts w:ascii="Arial" w:hAnsi="Arial" w:cs="Arial"/>
                <w:sz w:val="22"/>
                <w:szCs w:val="22"/>
              </w:rPr>
              <w:t>Energy Integration</w:t>
            </w:r>
          </w:p>
        </w:tc>
        <w:tc>
          <w:tcPr>
            <w:tcW w:w="1744" w:type="dxa"/>
            <w:vAlign w:val="center"/>
          </w:tcPr>
          <w:p w14:paraId="4F639511" w14:textId="77777777" w:rsidR="008630A0" w:rsidRPr="009923E3" w:rsidRDefault="00864FF5" w:rsidP="00985F4C">
            <w:pPr>
              <w:pStyle w:val="Heading2"/>
              <w:numPr>
                <w:ilvl w:val="0"/>
                <w:numId w:val="0"/>
              </w:numPr>
              <w:jc w:val="center"/>
              <w:outlineLvl w:val="1"/>
              <w:rPr>
                <w:rFonts w:ascii="Arial" w:hAnsi="Arial" w:cs="Arial"/>
                <w:color w:val="auto"/>
                <w:sz w:val="22"/>
                <w:szCs w:val="22"/>
              </w:rPr>
            </w:pPr>
            <w:r w:rsidRPr="009923E3">
              <w:rPr>
                <w:rFonts w:ascii="Arial" w:hAnsi="Arial" w:cs="Arial"/>
                <w:color w:val="auto"/>
                <w:sz w:val="22"/>
                <w:szCs w:val="22"/>
              </w:rPr>
              <w:t>EN</w:t>
            </w:r>
            <w:r w:rsidR="008630A0" w:rsidRPr="009923E3">
              <w:rPr>
                <w:rFonts w:ascii="Arial" w:hAnsi="Arial" w:cs="Arial"/>
                <w:color w:val="auto"/>
                <w:sz w:val="22"/>
                <w:szCs w:val="22"/>
              </w:rPr>
              <w:t>-</w:t>
            </w:r>
            <w:r w:rsidRPr="009923E3">
              <w:rPr>
                <w:rFonts w:ascii="Arial" w:hAnsi="Arial" w:cs="Arial"/>
                <w:color w:val="auto"/>
                <w:sz w:val="22"/>
                <w:szCs w:val="22"/>
              </w:rPr>
              <w:t>INT</w:t>
            </w:r>
          </w:p>
        </w:tc>
        <w:tc>
          <w:tcPr>
            <w:tcW w:w="3408" w:type="dxa"/>
            <w:vAlign w:val="center"/>
          </w:tcPr>
          <w:p w14:paraId="3A5A7AE1" w14:textId="77777777" w:rsidR="008630A0" w:rsidRPr="009923E3" w:rsidRDefault="00864FF5" w:rsidP="00985F4C">
            <w:pPr>
              <w:spacing w:after="200" w:line="276" w:lineRule="auto"/>
              <w:rPr>
                <w:rFonts w:ascii="Arial" w:hAnsi="Arial" w:cs="Arial"/>
                <w:sz w:val="22"/>
                <w:szCs w:val="22"/>
              </w:rPr>
            </w:pPr>
            <w:r w:rsidRPr="009923E3">
              <w:rPr>
                <w:rFonts w:ascii="Arial" w:hAnsi="Arial" w:cs="Arial"/>
                <w:sz w:val="22"/>
                <w:szCs w:val="22"/>
              </w:rPr>
              <w:t>Activities that contribute to greater efficiency and energy security through the physical integration of power grids, the regulatory harmonization of regional energy markets and the development of regional generation capacity.</w:t>
            </w:r>
          </w:p>
        </w:tc>
        <w:tc>
          <w:tcPr>
            <w:tcW w:w="1800" w:type="dxa"/>
            <w:vAlign w:val="center"/>
          </w:tcPr>
          <w:p w14:paraId="3C28CB14" w14:textId="77777777" w:rsidR="008630A0" w:rsidRPr="009923E3" w:rsidRDefault="008630A0" w:rsidP="00985F4C">
            <w:pPr>
              <w:jc w:val="center"/>
              <w:rPr>
                <w:rFonts w:ascii="Arial" w:hAnsi="Arial" w:cs="Arial"/>
                <w:sz w:val="22"/>
                <w:szCs w:val="22"/>
              </w:rPr>
            </w:pPr>
            <w:r w:rsidRPr="009923E3">
              <w:rPr>
                <w:rFonts w:ascii="Arial" w:hAnsi="Arial" w:cs="Arial"/>
                <w:sz w:val="22"/>
                <w:szCs w:val="22"/>
              </w:rPr>
              <w:t>A</w:t>
            </w:r>
          </w:p>
        </w:tc>
      </w:tr>
    </w:tbl>
    <w:p w14:paraId="156E3DD5" w14:textId="77777777" w:rsidR="008630A0" w:rsidRDefault="008630A0" w:rsidP="007917F9">
      <w:pPr>
        <w:pStyle w:val="Heading2"/>
        <w:numPr>
          <w:ilvl w:val="0"/>
          <w:numId w:val="0"/>
        </w:numPr>
        <w:rPr>
          <w:rFonts w:ascii="Arial" w:hAnsi="Arial" w:cs="Arial"/>
          <w:color w:val="auto"/>
          <w:sz w:val="22"/>
          <w:szCs w:val="22"/>
          <w:lang w:val="es-ES_tradnl"/>
        </w:rPr>
      </w:pPr>
    </w:p>
    <w:p w14:paraId="56538CDD" w14:textId="77480271" w:rsidR="00396B63" w:rsidRPr="004868C6" w:rsidRDefault="00396B63" w:rsidP="004868C6">
      <w:pPr>
        <w:rPr>
          <w:lang w:val="es-ES_tradnl"/>
        </w:rPr>
      </w:pPr>
      <w:bookmarkStart w:id="6" w:name="_GoBack"/>
      <w:bookmarkEnd w:id="6"/>
    </w:p>
    <w:sectPr w:rsidR="00396B63" w:rsidRPr="004868C6" w:rsidSect="009143BA">
      <w:headerReference w:type="default" r:id="rId25"/>
      <w:footerReference w:type="first" r:id="rId26"/>
      <w:pgSz w:w="12240" w:h="15840"/>
      <w:pgMar w:top="911"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2E5B5" w14:textId="77777777" w:rsidR="00403527" w:rsidRDefault="00403527" w:rsidP="00891C0F">
      <w:pPr>
        <w:spacing w:after="0" w:line="240" w:lineRule="auto"/>
      </w:pPr>
      <w:r>
        <w:separator/>
      </w:r>
    </w:p>
  </w:endnote>
  <w:endnote w:type="continuationSeparator" w:id="0">
    <w:p w14:paraId="4C24F8D6" w14:textId="77777777" w:rsidR="00403527" w:rsidRDefault="00403527" w:rsidP="00891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916123"/>
      <w:docPartObj>
        <w:docPartGallery w:val="Page Numbers (Bottom of Page)"/>
        <w:docPartUnique/>
      </w:docPartObj>
    </w:sdtPr>
    <w:sdtEndPr>
      <w:rPr>
        <w:noProof/>
      </w:rPr>
    </w:sdtEndPr>
    <w:sdtContent>
      <w:p w14:paraId="0A0FC836" w14:textId="77777777" w:rsidR="00FB7306" w:rsidRDefault="00FB7306">
        <w:pPr>
          <w:pStyle w:val="Footer"/>
          <w:jc w:val="right"/>
        </w:pPr>
        <w:r>
          <w:fldChar w:fldCharType="begin"/>
        </w:r>
        <w:r>
          <w:instrText xml:space="preserve"> PAGE   \* MERGEFORMAT </w:instrText>
        </w:r>
        <w:r>
          <w:fldChar w:fldCharType="separate"/>
        </w:r>
        <w:r w:rsidR="00E25524">
          <w:rPr>
            <w:noProof/>
          </w:rPr>
          <w:t>1</w:t>
        </w:r>
        <w:r>
          <w:rPr>
            <w:noProof/>
          </w:rPr>
          <w:fldChar w:fldCharType="end"/>
        </w:r>
      </w:p>
    </w:sdtContent>
  </w:sdt>
  <w:p w14:paraId="1A8075A5" w14:textId="77777777" w:rsidR="00FB7306" w:rsidRDefault="00FB7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3A1C2" w14:textId="77777777" w:rsidR="00403527" w:rsidRDefault="00403527" w:rsidP="00891C0F">
      <w:pPr>
        <w:spacing w:after="0" w:line="240" w:lineRule="auto"/>
      </w:pPr>
      <w:r>
        <w:separator/>
      </w:r>
    </w:p>
  </w:footnote>
  <w:footnote w:type="continuationSeparator" w:id="0">
    <w:p w14:paraId="28FF4F09" w14:textId="77777777" w:rsidR="00403527" w:rsidRDefault="00403527" w:rsidP="00891C0F">
      <w:pPr>
        <w:spacing w:after="0" w:line="240" w:lineRule="auto"/>
      </w:pPr>
      <w:r>
        <w:continuationSeparator/>
      </w:r>
    </w:p>
  </w:footnote>
  <w:footnote w:id="1">
    <w:p w14:paraId="2184E1F7" w14:textId="77777777" w:rsidR="000171DB" w:rsidRDefault="000171DB" w:rsidP="000171DB">
      <w:pPr>
        <w:pStyle w:val="FootnoteText"/>
      </w:pPr>
      <w:r>
        <w:rPr>
          <w:rStyle w:val="FootnoteReference"/>
        </w:rPr>
        <w:footnoteRef/>
      </w:r>
      <w:r>
        <w:t xml:space="preserve"> </w:t>
      </w:r>
      <w:r>
        <w:rPr>
          <w:rFonts w:cs="Arial"/>
          <w:szCs w:val="18"/>
        </w:rPr>
        <w:t>As A&amp;B does not have GE potential, it is eligible to receive SEF-2015 resources but not eligible to receive SEF-Expanded resources meant to support GE development exclusively.</w:t>
      </w:r>
    </w:p>
  </w:footnote>
  <w:footnote w:id="2">
    <w:p w14:paraId="4F415284" w14:textId="77777777" w:rsidR="00CA4CDA" w:rsidRPr="005F65D7" w:rsidRDefault="00CA4CDA" w:rsidP="00CA4CDA">
      <w:pPr>
        <w:pStyle w:val="FootnoteText"/>
        <w:ind w:left="270" w:hanging="216"/>
        <w:rPr>
          <w:sz w:val="18"/>
          <w:szCs w:val="18"/>
        </w:rPr>
      </w:pPr>
      <w:r w:rsidRPr="005F65D7">
        <w:rPr>
          <w:rStyle w:val="FootnoteReference"/>
          <w:sz w:val="18"/>
          <w:szCs w:val="18"/>
        </w:rPr>
        <w:footnoteRef/>
      </w:r>
      <w:r w:rsidRPr="005F65D7">
        <w:rPr>
          <w:sz w:val="18"/>
          <w:szCs w:val="18"/>
        </w:rPr>
        <w:t xml:space="preserve"> </w:t>
      </w:r>
      <w:r>
        <w:rPr>
          <w:sz w:val="18"/>
          <w:szCs w:val="18"/>
        </w:rPr>
        <w:tab/>
      </w:r>
      <w:r w:rsidRPr="005F65D7">
        <w:rPr>
          <w:sz w:val="18"/>
          <w:szCs w:val="18"/>
        </w:rPr>
        <w:t>Component 1</w:t>
      </w:r>
      <w:r>
        <w:rPr>
          <w:sz w:val="18"/>
          <w:szCs w:val="18"/>
        </w:rPr>
        <w:t xml:space="preserve">. </w:t>
      </w:r>
      <w:r w:rsidRPr="005F65D7">
        <w:rPr>
          <w:sz w:val="18"/>
          <w:szCs w:val="18"/>
        </w:rPr>
        <w:t xml:space="preserve">Output 1.1. Exploration Drilling as per </w:t>
      </w:r>
      <w:r>
        <w:rPr>
          <w:sz w:val="18"/>
          <w:szCs w:val="18"/>
        </w:rPr>
        <w:t>f</w:t>
      </w:r>
      <w:r w:rsidRPr="005F65D7">
        <w:rPr>
          <w:sz w:val="18"/>
          <w:szCs w:val="18"/>
        </w:rPr>
        <w:t xml:space="preserve">unding </w:t>
      </w:r>
      <w:r>
        <w:rPr>
          <w:sz w:val="18"/>
          <w:szCs w:val="18"/>
        </w:rPr>
        <w:t>p</w:t>
      </w:r>
      <w:r w:rsidRPr="005F65D7">
        <w:rPr>
          <w:sz w:val="18"/>
          <w:szCs w:val="18"/>
        </w:rPr>
        <w:t>roposal to the GCF</w:t>
      </w:r>
      <w:r>
        <w:rPr>
          <w:sz w:val="18"/>
          <w:szCs w:val="18"/>
        </w:rPr>
        <w:t>.</w:t>
      </w:r>
    </w:p>
  </w:footnote>
  <w:footnote w:id="3">
    <w:p w14:paraId="1DB18ECD" w14:textId="77777777" w:rsidR="00CA4CDA" w:rsidRPr="005F65D7" w:rsidRDefault="00CA4CDA" w:rsidP="00CA4CDA">
      <w:pPr>
        <w:pStyle w:val="FootnoteText"/>
        <w:ind w:left="270" w:hanging="216"/>
        <w:rPr>
          <w:sz w:val="18"/>
          <w:szCs w:val="18"/>
        </w:rPr>
      </w:pPr>
      <w:r w:rsidRPr="005F65D7">
        <w:rPr>
          <w:rStyle w:val="FootnoteReference"/>
          <w:sz w:val="18"/>
          <w:szCs w:val="18"/>
        </w:rPr>
        <w:footnoteRef/>
      </w:r>
      <w:r w:rsidRPr="005F65D7">
        <w:rPr>
          <w:sz w:val="18"/>
          <w:szCs w:val="18"/>
        </w:rPr>
        <w:t xml:space="preserve"> </w:t>
      </w:r>
      <w:r>
        <w:rPr>
          <w:sz w:val="18"/>
          <w:szCs w:val="18"/>
        </w:rPr>
        <w:tab/>
      </w:r>
      <w:r w:rsidRPr="005F65D7">
        <w:rPr>
          <w:sz w:val="18"/>
          <w:szCs w:val="18"/>
        </w:rPr>
        <w:t>Component 2</w:t>
      </w:r>
      <w:r>
        <w:rPr>
          <w:sz w:val="18"/>
          <w:szCs w:val="18"/>
        </w:rPr>
        <w:t xml:space="preserve">. </w:t>
      </w:r>
      <w:r w:rsidRPr="005F65D7">
        <w:rPr>
          <w:sz w:val="18"/>
          <w:szCs w:val="18"/>
        </w:rPr>
        <w:t xml:space="preserve">Output 2.1. Regulatory </w:t>
      </w:r>
      <w:r>
        <w:rPr>
          <w:sz w:val="18"/>
          <w:szCs w:val="18"/>
        </w:rPr>
        <w:t>F</w:t>
      </w:r>
      <w:r w:rsidRPr="005F65D7">
        <w:rPr>
          <w:sz w:val="18"/>
          <w:szCs w:val="18"/>
        </w:rPr>
        <w:t>ramework</w:t>
      </w:r>
      <w:r>
        <w:rPr>
          <w:sz w:val="18"/>
          <w:szCs w:val="18"/>
        </w:rPr>
        <w:t xml:space="preserve">; </w:t>
      </w:r>
      <w:r w:rsidRPr="005F65D7">
        <w:rPr>
          <w:sz w:val="18"/>
          <w:szCs w:val="18"/>
        </w:rPr>
        <w:t xml:space="preserve">and Output 2.2. Institutional </w:t>
      </w:r>
      <w:r>
        <w:rPr>
          <w:sz w:val="18"/>
          <w:szCs w:val="18"/>
        </w:rPr>
        <w:t>S</w:t>
      </w:r>
      <w:r w:rsidRPr="005F65D7">
        <w:rPr>
          <w:sz w:val="18"/>
          <w:szCs w:val="18"/>
        </w:rPr>
        <w:t xml:space="preserve">trengthening, </w:t>
      </w:r>
      <w:r>
        <w:rPr>
          <w:sz w:val="18"/>
          <w:szCs w:val="18"/>
        </w:rPr>
        <w:t>C</w:t>
      </w:r>
      <w:r w:rsidRPr="005F65D7">
        <w:rPr>
          <w:sz w:val="18"/>
          <w:szCs w:val="18"/>
        </w:rPr>
        <w:t xml:space="preserve">apacity </w:t>
      </w:r>
      <w:r>
        <w:rPr>
          <w:sz w:val="18"/>
          <w:szCs w:val="18"/>
        </w:rPr>
        <w:t>B</w:t>
      </w:r>
      <w:r w:rsidRPr="005F65D7">
        <w:rPr>
          <w:sz w:val="18"/>
          <w:szCs w:val="18"/>
        </w:rPr>
        <w:t xml:space="preserve">uilding as per </w:t>
      </w:r>
      <w:r>
        <w:rPr>
          <w:sz w:val="18"/>
          <w:szCs w:val="18"/>
        </w:rPr>
        <w:t>f</w:t>
      </w:r>
      <w:r w:rsidRPr="005F65D7">
        <w:rPr>
          <w:sz w:val="18"/>
          <w:szCs w:val="18"/>
        </w:rPr>
        <w:t xml:space="preserve">unding </w:t>
      </w:r>
      <w:r>
        <w:rPr>
          <w:sz w:val="18"/>
          <w:szCs w:val="18"/>
        </w:rPr>
        <w:t>p</w:t>
      </w:r>
      <w:r w:rsidRPr="005F65D7">
        <w:rPr>
          <w:sz w:val="18"/>
          <w:szCs w:val="18"/>
        </w:rPr>
        <w:t xml:space="preserve">roposal to the </w:t>
      </w:r>
      <w:proofErr w:type="spellStart"/>
      <w:r w:rsidRPr="005F65D7">
        <w:rPr>
          <w:sz w:val="18"/>
          <w:szCs w:val="18"/>
        </w:rPr>
        <w:t>GCF</w:t>
      </w:r>
      <w:r>
        <w:rPr>
          <w:sz w:val="18"/>
          <w:szCs w:val="18"/>
        </w:rPr>
        <w:t>.Gen</w:t>
      </w:r>
      <w:proofErr w:type="spellEnd"/>
    </w:p>
  </w:footnote>
  <w:footnote w:id="4">
    <w:p w14:paraId="01DD87FE" w14:textId="77777777" w:rsidR="00A74A07" w:rsidRDefault="00A74A07">
      <w:pPr>
        <w:pStyle w:val="FootnoteText"/>
      </w:pPr>
      <w:r>
        <w:rPr>
          <w:rStyle w:val="FootnoteReference"/>
        </w:rPr>
        <w:footnoteRef/>
      </w:r>
      <w:r>
        <w:t xml:space="preserve"> </w:t>
      </w:r>
      <w:r w:rsidRPr="00A74A07">
        <w:t>World Bank – World Development Indicators; 2013 Annual Reports for DOMLEC, GRENLEC, LUCELEC, and VINLEC (2011); Email from General Manager of NEVLEC on 5 November 2014; Farrell Cartwright (Nevis Geothermal Project and Power Take-off Presentation 2012); SKELEC (Request for Proposal Renewable Energy Infusion Study 2013), U.S. Energy Information Administration.</w:t>
      </w:r>
    </w:p>
  </w:footnote>
  <w:footnote w:id="5">
    <w:p w14:paraId="2AB6C4C9" w14:textId="77777777" w:rsidR="007A670C" w:rsidRDefault="007A670C" w:rsidP="007A670C">
      <w:pPr>
        <w:pStyle w:val="FootnoteText"/>
      </w:pPr>
      <w:r>
        <w:rPr>
          <w:rStyle w:val="FootnoteReference"/>
        </w:rPr>
        <w:footnoteRef/>
      </w:r>
      <w:r>
        <w:t xml:space="preserve"> </w:t>
      </w:r>
      <w:proofErr w:type="spellStart"/>
      <w:r>
        <w:t>ProSolar</w:t>
      </w:r>
      <w:proofErr w:type="spellEnd"/>
      <w:r>
        <w:t xml:space="preserve"> Engineering Ltd.</w:t>
      </w:r>
    </w:p>
  </w:footnote>
  <w:footnote w:id="6">
    <w:p w14:paraId="40A81EA0" w14:textId="77777777" w:rsidR="007A670C" w:rsidRDefault="007A670C" w:rsidP="007A670C">
      <w:pPr>
        <w:pStyle w:val="FootnoteText"/>
      </w:pPr>
      <w:r>
        <w:rPr>
          <w:rStyle w:val="FootnoteReference"/>
        </w:rPr>
        <w:footnoteRef/>
      </w:r>
      <w:r>
        <w:t xml:space="preserve"> Affordable Solar, Go Green Solar, and Wholesale Solar costs (as reported by Castalia in the Caribbean Regional Energy Integration Assessment, 2014).</w:t>
      </w:r>
    </w:p>
  </w:footnote>
  <w:footnote w:id="7">
    <w:p w14:paraId="0CABB52C" w14:textId="77777777" w:rsidR="007A670C" w:rsidRDefault="007A670C" w:rsidP="007A670C">
      <w:pPr>
        <w:pStyle w:val="FootnoteText"/>
      </w:pPr>
      <w:r>
        <w:rPr>
          <w:rStyle w:val="FootnoteReference"/>
        </w:rPr>
        <w:footnoteRef/>
      </w:r>
      <w:r>
        <w:t xml:space="preserve"> Castalia (2014). “Caribbean Regional Energy Integration Assessment.”</w:t>
      </w:r>
    </w:p>
  </w:footnote>
  <w:footnote w:id="8">
    <w:p w14:paraId="325212AE" w14:textId="77777777" w:rsidR="00CC3FB2" w:rsidRDefault="00CC3FB2" w:rsidP="00CC3FB2">
      <w:pPr>
        <w:pStyle w:val="FootnoteText"/>
      </w:pPr>
      <w:r>
        <w:rPr>
          <w:rStyle w:val="FootnoteReference"/>
        </w:rPr>
        <w:footnoteRef/>
      </w:r>
      <w:r>
        <w:t xml:space="preserve"> NEXANT (2010). “Caribbean Regional Electricity Generation, Interconnection, and Fuels Supply Strategy.”</w:t>
      </w:r>
    </w:p>
  </w:footnote>
  <w:footnote w:id="9">
    <w:p w14:paraId="11A371CF" w14:textId="77777777" w:rsidR="00CC3FB2" w:rsidRDefault="00CC3FB2">
      <w:pPr>
        <w:pStyle w:val="FootnoteText"/>
      </w:pPr>
      <w:r>
        <w:rPr>
          <w:rStyle w:val="FootnoteReference"/>
        </w:rPr>
        <w:footnoteRef/>
      </w:r>
      <w:r>
        <w:t xml:space="preserve"> World Bank (2011). “Caribbean Regional Electricity Supply Options: Toward Greater Security, Renewables and Resilience.”</w:t>
      </w:r>
    </w:p>
  </w:footnote>
  <w:footnote w:id="10">
    <w:p w14:paraId="4651C872" w14:textId="77777777" w:rsidR="0015064F" w:rsidRDefault="0015064F">
      <w:pPr>
        <w:pStyle w:val="FootnoteText"/>
      </w:pPr>
      <w:r>
        <w:rPr>
          <w:rStyle w:val="FootnoteReference"/>
        </w:rPr>
        <w:footnoteRef/>
      </w:r>
      <w:r>
        <w:t xml:space="preserve"> See footnote 3.</w:t>
      </w:r>
    </w:p>
  </w:footnote>
  <w:footnote w:id="11">
    <w:p w14:paraId="4A83AABC" w14:textId="77777777" w:rsidR="00DC754E" w:rsidRDefault="00DC754E" w:rsidP="00DC754E">
      <w:pPr>
        <w:pStyle w:val="FootnoteText"/>
      </w:pPr>
      <w:r>
        <w:rPr>
          <w:rStyle w:val="FootnoteReference"/>
        </w:rPr>
        <w:footnoteRef/>
      </w:r>
      <w:r>
        <w:t xml:space="preserve"> </w:t>
      </w:r>
      <w:r w:rsidRPr="003549EC">
        <w:t>Nevis could be connected to St Kitts, Dominica to Guadeloupe, and Dominica to Martinique with a 5km, 70km and 100km undersea cable respectively.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1DFC7" w14:textId="77777777" w:rsidR="00B31BEA" w:rsidRDefault="00B31BEA" w:rsidP="00B31BEA">
    <w:pPr>
      <w:pStyle w:val="Title"/>
      <w:jc w:val="right"/>
      <w:rPr>
        <w:rFonts w:eastAsia="Calibri"/>
        <w:sz w:val="16"/>
        <w:szCs w:val="16"/>
        <w:lang w:val="en-US"/>
      </w:rPr>
    </w:pPr>
    <w:r>
      <w:rPr>
        <w:rFonts w:eastAsia="Calibri"/>
        <w:sz w:val="16"/>
        <w:szCs w:val="16"/>
        <w:lang w:val="en-US"/>
      </w:rPr>
      <w:t xml:space="preserve">SUSTAINABLE ENERGY FACILITY </w:t>
    </w:r>
    <w:r w:rsidRPr="00B31BEA">
      <w:rPr>
        <w:rFonts w:eastAsia="Calibri"/>
        <w:sz w:val="16"/>
        <w:szCs w:val="16"/>
        <w:lang w:val="en-US"/>
      </w:rPr>
      <w:t>FOR THE EASTERN CARIBBEAN</w:t>
    </w:r>
    <w:r w:rsidR="00DC754E">
      <w:rPr>
        <w:rFonts w:eastAsia="Calibri"/>
        <w:sz w:val="16"/>
        <w:szCs w:val="16"/>
        <w:lang w:val="en-US"/>
      </w:rPr>
      <w:t xml:space="preserve"> EXPANDED (SEF EXPANDED)</w:t>
    </w:r>
  </w:p>
  <w:p w14:paraId="78C2D784" w14:textId="77777777" w:rsidR="00B31BEA" w:rsidRDefault="00B31BEA" w:rsidP="0024110A">
    <w:pPr>
      <w:pStyle w:val="Title"/>
      <w:jc w:val="right"/>
      <w:rPr>
        <w:rFonts w:eastAsia="Calibri"/>
        <w:sz w:val="16"/>
        <w:szCs w:val="16"/>
        <w:lang w:val="en-US"/>
      </w:rPr>
    </w:pPr>
    <w:r w:rsidRPr="00B31BEA">
      <w:rPr>
        <w:rFonts w:eastAsia="Calibri"/>
        <w:sz w:val="16"/>
        <w:szCs w:val="16"/>
        <w:lang w:val="en-US"/>
      </w:rPr>
      <w:t>Technical Annex RG-L1</w:t>
    </w:r>
    <w:r w:rsidR="00DC754E">
      <w:rPr>
        <w:rFonts w:eastAsia="Calibri"/>
        <w:sz w:val="16"/>
        <w:szCs w:val="16"/>
        <w:lang w:val="en-US"/>
      </w:rPr>
      <w:t>112 &amp; RG-G1013 &amp; RG-G1015</w:t>
    </w:r>
  </w:p>
  <w:p w14:paraId="65D2D777" w14:textId="77777777" w:rsidR="00FB7306" w:rsidRPr="00B31BEA" w:rsidRDefault="009143BA" w:rsidP="00B31BEA">
    <w:pPr>
      <w:pStyle w:val="Title"/>
      <w:jc w:val="right"/>
      <w:rPr>
        <w:lang w:val="en-US"/>
      </w:rPr>
    </w:pPr>
    <w:r w:rsidRPr="006D40CE">
      <w:rPr>
        <w:rFonts w:eastAsia="Calibri"/>
        <w:sz w:val="16"/>
        <w:szCs w:val="16"/>
        <w:lang w:val="en-US"/>
      </w:rPr>
      <w:t>Regional Integration</w:t>
    </w:r>
    <w:r w:rsidR="00FB7306" w:rsidRPr="006D40CE">
      <w:rPr>
        <w:rFonts w:eastAsia="Calibri"/>
        <w:sz w:val="16"/>
        <w:szCs w:val="16"/>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81CB5"/>
    <w:multiLevelType w:val="hybridMultilevel"/>
    <w:tmpl w:val="24F895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751427"/>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A2267F7"/>
    <w:multiLevelType w:val="hybridMultilevel"/>
    <w:tmpl w:val="63A89426"/>
    <w:lvl w:ilvl="0" w:tplc="E69458C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DAB7FC9"/>
    <w:multiLevelType w:val="multilevel"/>
    <w:tmpl w:val="11740D12"/>
    <w:lvl w:ilvl="0">
      <w:start w:val="1"/>
      <w:numFmt w:val="decimal"/>
      <w:lvlText w:val="%1"/>
      <w:lvlJc w:val="left"/>
      <w:pPr>
        <w:ind w:left="1872" w:hanging="432"/>
      </w:pPr>
      <w:rPr>
        <w:b/>
        <w:i w:val="0"/>
      </w:rPr>
    </w:lvl>
    <w:lvl w:ilvl="1">
      <w:start w:val="1"/>
      <w:numFmt w:val="decimal"/>
      <w:lvlText w:val="%1.%2"/>
      <w:lvlJc w:val="left"/>
      <w:pPr>
        <w:ind w:left="2016" w:hanging="576"/>
      </w:pPr>
      <w:rPr>
        <w:i w:val="0"/>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159244D6"/>
    <w:multiLevelType w:val="hybridMultilevel"/>
    <w:tmpl w:val="07E65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0195E"/>
    <w:multiLevelType w:val="multilevel"/>
    <w:tmpl w:val="2966714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B6B7D68"/>
    <w:multiLevelType w:val="hybridMultilevel"/>
    <w:tmpl w:val="A3EC3F24"/>
    <w:lvl w:ilvl="0" w:tplc="5DC85338">
      <w:start w:val="1"/>
      <w:numFmt w:val="decimal"/>
      <w:lvlText w:val="3.%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2D860AF"/>
    <w:multiLevelType w:val="hybridMultilevel"/>
    <w:tmpl w:val="E3E424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F1ACA"/>
    <w:multiLevelType w:val="multilevel"/>
    <w:tmpl w:val="F98289D2"/>
    <w:lvl w:ilvl="0">
      <w:start w:val="1"/>
      <w:numFmt w:val="upperRoman"/>
      <w:lvlText w:val="%1."/>
      <w:lvlJc w:val="left"/>
      <w:pPr>
        <w:ind w:left="1080" w:hanging="720"/>
      </w:pPr>
      <w:rPr>
        <w:rFonts w:hint="default"/>
      </w:rPr>
    </w:lvl>
    <w:lvl w:ilvl="1">
      <w:start w:val="1"/>
      <w:numFmt w:val="decimal"/>
      <w:lvlText w:val="%2.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21B6783"/>
    <w:multiLevelType w:val="hybridMultilevel"/>
    <w:tmpl w:val="A9B6438C"/>
    <w:lvl w:ilvl="0" w:tplc="E6945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670360"/>
    <w:multiLevelType w:val="hybridMultilevel"/>
    <w:tmpl w:val="3C1EB4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D7DB3"/>
    <w:multiLevelType w:val="multilevel"/>
    <w:tmpl w:val="61C8A832"/>
    <w:lvl w:ilvl="0">
      <w:start w:val="1"/>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9905A8"/>
    <w:multiLevelType w:val="multilevel"/>
    <w:tmpl w:val="B15EE2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rFonts w:ascii="Times New Roman" w:hAnsi="Times New Roman" w:cs="Times New Roman" w:hint="default"/>
        <w:b w:val="0"/>
        <w:i w:val="0"/>
        <w:color w:val="000000"/>
        <w:sz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15:restartNumberingAfterBreak="0">
    <w:nsid w:val="57EB0DD2"/>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15:restartNumberingAfterBreak="0">
    <w:nsid w:val="5A9E3AB9"/>
    <w:multiLevelType w:val="multilevel"/>
    <w:tmpl w:val="6D6085BA"/>
    <w:lvl w:ilvl="0">
      <w:start w:val="2"/>
      <w:numFmt w:val="upperRoman"/>
      <w:lvlText w:val="%1."/>
      <w:lvlJc w:val="right"/>
      <w:pPr>
        <w:ind w:left="720" w:hanging="432"/>
      </w:pPr>
      <w:rPr>
        <w:rFonts w:hint="default"/>
        <w:b/>
        <w:i w:val="0"/>
      </w:rPr>
    </w:lvl>
    <w:lvl w:ilvl="1">
      <w:start w:val="1"/>
      <w:numFmt w:val="decimal"/>
      <w:lvlText w:val="%2."/>
      <w:lvlJc w:val="left"/>
      <w:pPr>
        <w:ind w:left="864" w:hanging="576"/>
      </w:pPr>
      <w:rPr>
        <w:rFonts w:hint="default"/>
        <w:i w:val="0"/>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16" w15:restartNumberingAfterBreak="0">
    <w:nsid w:val="60FF6875"/>
    <w:multiLevelType w:val="hybridMultilevel"/>
    <w:tmpl w:val="2C226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E3434F"/>
    <w:multiLevelType w:val="multilevel"/>
    <w:tmpl w:val="E592A8E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6C1D50E3"/>
    <w:multiLevelType w:val="hybridMultilevel"/>
    <w:tmpl w:val="10BA1D24"/>
    <w:lvl w:ilvl="0" w:tplc="58E8345A">
      <w:numFmt w:val="none"/>
      <w:lvlText w:val=""/>
      <w:lvlJc w:val="left"/>
      <w:pPr>
        <w:tabs>
          <w:tab w:val="num" w:pos="360"/>
        </w:tabs>
      </w:pPr>
    </w:lvl>
    <w:lvl w:ilvl="1" w:tplc="E4621E6E">
      <w:start w:val="1"/>
      <w:numFmt w:val="lowerLetter"/>
      <w:lvlText w:val="%2."/>
      <w:lvlJc w:val="left"/>
      <w:pPr>
        <w:ind w:left="1440" w:hanging="360"/>
      </w:pPr>
    </w:lvl>
    <w:lvl w:ilvl="2" w:tplc="DA383556">
      <w:start w:val="1"/>
      <w:numFmt w:val="lowerRoman"/>
      <w:lvlText w:val="%3."/>
      <w:lvlJc w:val="right"/>
      <w:pPr>
        <w:ind w:left="2160" w:hanging="180"/>
      </w:pPr>
    </w:lvl>
    <w:lvl w:ilvl="3" w:tplc="829C26A8">
      <w:start w:val="1"/>
      <w:numFmt w:val="decimal"/>
      <w:lvlText w:val="%4."/>
      <w:lvlJc w:val="left"/>
      <w:pPr>
        <w:ind w:left="2880" w:hanging="360"/>
      </w:pPr>
    </w:lvl>
    <w:lvl w:ilvl="4" w:tplc="4FE46E68">
      <w:start w:val="1"/>
      <w:numFmt w:val="lowerLetter"/>
      <w:lvlText w:val="%5."/>
      <w:lvlJc w:val="left"/>
      <w:pPr>
        <w:ind w:left="3600" w:hanging="360"/>
      </w:pPr>
    </w:lvl>
    <w:lvl w:ilvl="5" w:tplc="EEACF72E">
      <w:start w:val="1"/>
      <w:numFmt w:val="lowerRoman"/>
      <w:lvlText w:val="%6."/>
      <w:lvlJc w:val="right"/>
      <w:pPr>
        <w:ind w:left="4320" w:hanging="180"/>
      </w:pPr>
    </w:lvl>
    <w:lvl w:ilvl="6" w:tplc="48CC4178">
      <w:start w:val="1"/>
      <w:numFmt w:val="decimal"/>
      <w:lvlText w:val="%7."/>
      <w:lvlJc w:val="left"/>
      <w:pPr>
        <w:ind w:left="5040" w:hanging="360"/>
      </w:pPr>
    </w:lvl>
    <w:lvl w:ilvl="7" w:tplc="22045C46">
      <w:start w:val="1"/>
      <w:numFmt w:val="lowerLetter"/>
      <w:lvlText w:val="%8."/>
      <w:lvlJc w:val="left"/>
      <w:pPr>
        <w:ind w:left="5760" w:hanging="360"/>
      </w:pPr>
    </w:lvl>
    <w:lvl w:ilvl="8" w:tplc="879E3074">
      <w:start w:val="1"/>
      <w:numFmt w:val="lowerRoman"/>
      <w:lvlText w:val="%9."/>
      <w:lvlJc w:val="right"/>
      <w:pPr>
        <w:ind w:left="6480" w:hanging="180"/>
      </w:pPr>
    </w:lvl>
  </w:abstractNum>
  <w:abstractNum w:abstractNumId="19" w15:restartNumberingAfterBreak="0">
    <w:nsid w:val="6CC47548"/>
    <w:multiLevelType w:val="hybridMultilevel"/>
    <w:tmpl w:val="271EF42C"/>
    <w:lvl w:ilvl="0" w:tplc="5DC85338">
      <w:start w:val="1"/>
      <w:numFmt w:val="decimal"/>
      <w:lvlText w:val="3.%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A86C5E"/>
    <w:multiLevelType w:val="hybridMultilevel"/>
    <w:tmpl w:val="27E6EFC2"/>
    <w:lvl w:ilvl="0" w:tplc="E69458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2A0016"/>
    <w:multiLevelType w:val="multilevel"/>
    <w:tmpl w:val="61C8A832"/>
    <w:lvl w:ilvl="0">
      <w:start w:val="1"/>
      <w:numFmt w:val="upperRoman"/>
      <w:lvlText w:val="%1."/>
      <w:lvlJc w:val="left"/>
      <w:pPr>
        <w:ind w:left="3960" w:hanging="720"/>
      </w:pPr>
      <w:rPr>
        <w:rFonts w:hint="default"/>
      </w:rPr>
    </w:lvl>
    <w:lvl w:ilvl="1">
      <w:start w:val="1"/>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A933233"/>
    <w:multiLevelType w:val="hybridMultilevel"/>
    <w:tmpl w:val="FA60EB4E"/>
    <w:lvl w:ilvl="0" w:tplc="04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9"/>
  </w:num>
  <w:num w:numId="5">
    <w:abstractNumId w:val="1"/>
  </w:num>
  <w:num w:numId="6">
    <w:abstractNumId w:val="17"/>
  </w:num>
  <w:num w:numId="7">
    <w:abstractNumId w:val="7"/>
  </w:num>
  <w:num w:numId="8">
    <w:abstractNumId w:val="2"/>
  </w:num>
  <w:num w:numId="9">
    <w:abstractNumId w:val="10"/>
  </w:num>
  <w:num w:numId="10">
    <w:abstractNumId w:val="0"/>
  </w:num>
  <w:num w:numId="11">
    <w:abstractNumId w:val="20"/>
  </w:num>
  <w:num w:numId="12">
    <w:abstractNumId w:val="12"/>
  </w:num>
  <w:num w:numId="13">
    <w:abstractNumId w:val="19"/>
  </w:num>
  <w:num w:numId="14">
    <w:abstractNumId w:val="22"/>
  </w:num>
  <w:num w:numId="15">
    <w:abstractNumId w:val="16"/>
  </w:num>
  <w:num w:numId="16">
    <w:abstractNumId w:val="14"/>
  </w:num>
  <w:num w:numId="17">
    <w:abstractNumId w:val="14"/>
  </w:num>
  <w:num w:numId="18">
    <w:abstractNumId w:val="11"/>
  </w:num>
  <w:num w:numId="19">
    <w:abstractNumId w:val="13"/>
  </w:num>
  <w:num w:numId="20">
    <w:abstractNumId w:val="6"/>
  </w:num>
  <w:num w:numId="21">
    <w:abstractNumId w:val="15"/>
  </w:num>
  <w:num w:numId="22">
    <w:abstractNumId w:val="8"/>
  </w:num>
  <w:num w:numId="23">
    <w:abstractNumId w:val="3"/>
  </w:num>
  <w:num w:numId="24">
    <w:abstractNumId w:val="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882"/>
    <w:rsid w:val="00001C95"/>
    <w:rsid w:val="00004AB8"/>
    <w:rsid w:val="00014023"/>
    <w:rsid w:val="0001655A"/>
    <w:rsid w:val="000171DB"/>
    <w:rsid w:val="00022A3B"/>
    <w:rsid w:val="0002348F"/>
    <w:rsid w:val="00027E0B"/>
    <w:rsid w:val="00041581"/>
    <w:rsid w:val="000452DE"/>
    <w:rsid w:val="000477C9"/>
    <w:rsid w:val="00056595"/>
    <w:rsid w:val="0007271D"/>
    <w:rsid w:val="00073B70"/>
    <w:rsid w:val="00076F3F"/>
    <w:rsid w:val="00081249"/>
    <w:rsid w:val="00087B4B"/>
    <w:rsid w:val="00090085"/>
    <w:rsid w:val="00095A7C"/>
    <w:rsid w:val="000A01D3"/>
    <w:rsid w:val="000A06C5"/>
    <w:rsid w:val="000B069E"/>
    <w:rsid w:val="000B3466"/>
    <w:rsid w:val="000E0BDC"/>
    <w:rsid w:val="000E3D79"/>
    <w:rsid w:val="000E7E2D"/>
    <w:rsid w:val="00102F88"/>
    <w:rsid w:val="00111361"/>
    <w:rsid w:val="00122154"/>
    <w:rsid w:val="001271B6"/>
    <w:rsid w:val="001320A8"/>
    <w:rsid w:val="001334E7"/>
    <w:rsid w:val="00145206"/>
    <w:rsid w:val="001455DF"/>
    <w:rsid w:val="0015064F"/>
    <w:rsid w:val="00150EA1"/>
    <w:rsid w:val="00167898"/>
    <w:rsid w:val="00170FCA"/>
    <w:rsid w:val="00182ABB"/>
    <w:rsid w:val="001837F2"/>
    <w:rsid w:val="001845DB"/>
    <w:rsid w:val="001A4C05"/>
    <w:rsid w:val="001A67E7"/>
    <w:rsid w:val="001A714D"/>
    <w:rsid w:val="001B1EFA"/>
    <w:rsid w:val="001B2AED"/>
    <w:rsid w:val="001C00BF"/>
    <w:rsid w:val="001C4A6D"/>
    <w:rsid w:val="001C7813"/>
    <w:rsid w:val="001E5B52"/>
    <w:rsid w:val="001E7D47"/>
    <w:rsid w:val="001F69C5"/>
    <w:rsid w:val="001F78F5"/>
    <w:rsid w:val="00201D29"/>
    <w:rsid w:val="00210502"/>
    <w:rsid w:val="002139AE"/>
    <w:rsid w:val="00217C8C"/>
    <w:rsid w:val="00224905"/>
    <w:rsid w:val="0024110A"/>
    <w:rsid w:val="00244D0F"/>
    <w:rsid w:val="00280EC4"/>
    <w:rsid w:val="002968B5"/>
    <w:rsid w:val="00297AA7"/>
    <w:rsid w:val="002A24D3"/>
    <w:rsid w:val="002A5236"/>
    <w:rsid w:val="002B0E32"/>
    <w:rsid w:val="002C0388"/>
    <w:rsid w:val="002C178F"/>
    <w:rsid w:val="002C5AC8"/>
    <w:rsid w:val="002F0861"/>
    <w:rsid w:val="00322304"/>
    <w:rsid w:val="00340719"/>
    <w:rsid w:val="00371D39"/>
    <w:rsid w:val="00375029"/>
    <w:rsid w:val="00375C96"/>
    <w:rsid w:val="00376788"/>
    <w:rsid w:val="00383001"/>
    <w:rsid w:val="00386A4A"/>
    <w:rsid w:val="003928EE"/>
    <w:rsid w:val="00396B63"/>
    <w:rsid w:val="00397696"/>
    <w:rsid w:val="00397BDB"/>
    <w:rsid w:val="00397C0C"/>
    <w:rsid w:val="003A3BE9"/>
    <w:rsid w:val="003B45D6"/>
    <w:rsid w:val="003B594A"/>
    <w:rsid w:val="003B667C"/>
    <w:rsid w:val="003C1E67"/>
    <w:rsid w:val="003C3546"/>
    <w:rsid w:val="003E0AB8"/>
    <w:rsid w:val="003E121D"/>
    <w:rsid w:val="003E31B4"/>
    <w:rsid w:val="003E38D2"/>
    <w:rsid w:val="003E7C15"/>
    <w:rsid w:val="00403527"/>
    <w:rsid w:val="00412B28"/>
    <w:rsid w:val="00421E5B"/>
    <w:rsid w:val="00432783"/>
    <w:rsid w:val="004455B2"/>
    <w:rsid w:val="0045303C"/>
    <w:rsid w:val="00454075"/>
    <w:rsid w:val="00470AAB"/>
    <w:rsid w:val="00473E6F"/>
    <w:rsid w:val="004868C6"/>
    <w:rsid w:val="00491616"/>
    <w:rsid w:val="00492A77"/>
    <w:rsid w:val="004A2151"/>
    <w:rsid w:val="004A3166"/>
    <w:rsid w:val="004B0334"/>
    <w:rsid w:val="004B1E3C"/>
    <w:rsid w:val="004C66F6"/>
    <w:rsid w:val="004D0D12"/>
    <w:rsid w:val="004E060A"/>
    <w:rsid w:val="005116E3"/>
    <w:rsid w:val="005134F1"/>
    <w:rsid w:val="00540972"/>
    <w:rsid w:val="0054120D"/>
    <w:rsid w:val="0055137F"/>
    <w:rsid w:val="00553BD7"/>
    <w:rsid w:val="00560595"/>
    <w:rsid w:val="00561D00"/>
    <w:rsid w:val="005674C0"/>
    <w:rsid w:val="005920DD"/>
    <w:rsid w:val="005A31A8"/>
    <w:rsid w:val="005A48EF"/>
    <w:rsid w:val="005B5EF3"/>
    <w:rsid w:val="005C4B82"/>
    <w:rsid w:val="005D1E9D"/>
    <w:rsid w:val="00602E1F"/>
    <w:rsid w:val="00604CAE"/>
    <w:rsid w:val="00605CDB"/>
    <w:rsid w:val="0063607F"/>
    <w:rsid w:val="006825E9"/>
    <w:rsid w:val="006908A0"/>
    <w:rsid w:val="006A05A8"/>
    <w:rsid w:val="006B530F"/>
    <w:rsid w:val="006B798A"/>
    <w:rsid w:val="006C6347"/>
    <w:rsid w:val="006D40CE"/>
    <w:rsid w:val="006E2CA0"/>
    <w:rsid w:val="006E47FC"/>
    <w:rsid w:val="00702822"/>
    <w:rsid w:val="00715113"/>
    <w:rsid w:val="00716EBE"/>
    <w:rsid w:val="007231EF"/>
    <w:rsid w:val="00726129"/>
    <w:rsid w:val="007264BE"/>
    <w:rsid w:val="00732B2B"/>
    <w:rsid w:val="007440F6"/>
    <w:rsid w:val="00744738"/>
    <w:rsid w:val="0075215F"/>
    <w:rsid w:val="007578B6"/>
    <w:rsid w:val="0076414A"/>
    <w:rsid w:val="007670CC"/>
    <w:rsid w:val="007917F9"/>
    <w:rsid w:val="007923C4"/>
    <w:rsid w:val="00795A73"/>
    <w:rsid w:val="007A670C"/>
    <w:rsid w:val="007B2C51"/>
    <w:rsid w:val="007C0B10"/>
    <w:rsid w:val="007C12E2"/>
    <w:rsid w:val="007C289C"/>
    <w:rsid w:val="007D343E"/>
    <w:rsid w:val="007F0501"/>
    <w:rsid w:val="007F4634"/>
    <w:rsid w:val="007F4E9E"/>
    <w:rsid w:val="00801882"/>
    <w:rsid w:val="00801A03"/>
    <w:rsid w:val="00812F47"/>
    <w:rsid w:val="00815D33"/>
    <w:rsid w:val="00825395"/>
    <w:rsid w:val="00825AC6"/>
    <w:rsid w:val="00836730"/>
    <w:rsid w:val="0085527D"/>
    <w:rsid w:val="008562A6"/>
    <w:rsid w:val="0085673B"/>
    <w:rsid w:val="00862D46"/>
    <w:rsid w:val="008630A0"/>
    <w:rsid w:val="00864FF5"/>
    <w:rsid w:val="008808BF"/>
    <w:rsid w:val="00882D08"/>
    <w:rsid w:val="00882ECC"/>
    <w:rsid w:val="0089097D"/>
    <w:rsid w:val="00891C0F"/>
    <w:rsid w:val="00894EBE"/>
    <w:rsid w:val="008A5EA6"/>
    <w:rsid w:val="008C249D"/>
    <w:rsid w:val="008D3359"/>
    <w:rsid w:val="008E24BE"/>
    <w:rsid w:val="008E3C78"/>
    <w:rsid w:val="008E5658"/>
    <w:rsid w:val="008F37DE"/>
    <w:rsid w:val="008F5A21"/>
    <w:rsid w:val="009052D4"/>
    <w:rsid w:val="009143BA"/>
    <w:rsid w:val="00916300"/>
    <w:rsid w:val="00916ABB"/>
    <w:rsid w:val="00920215"/>
    <w:rsid w:val="00921235"/>
    <w:rsid w:val="00923B7A"/>
    <w:rsid w:val="009425D6"/>
    <w:rsid w:val="00945BC4"/>
    <w:rsid w:val="009532A8"/>
    <w:rsid w:val="00955E8C"/>
    <w:rsid w:val="00956AA9"/>
    <w:rsid w:val="00957668"/>
    <w:rsid w:val="00960059"/>
    <w:rsid w:val="00960220"/>
    <w:rsid w:val="009649CC"/>
    <w:rsid w:val="0096690F"/>
    <w:rsid w:val="00985D4A"/>
    <w:rsid w:val="00985F4C"/>
    <w:rsid w:val="0099230C"/>
    <w:rsid w:val="009923E3"/>
    <w:rsid w:val="009B1D5B"/>
    <w:rsid w:val="009B3204"/>
    <w:rsid w:val="009B4B7A"/>
    <w:rsid w:val="009B642F"/>
    <w:rsid w:val="009D0A4C"/>
    <w:rsid w:val="009D25E4"/>
    <w:rsid w:val="009E0FA0"/>
    <w:rsid w:val="009E7531"/>
    <w:rsid w:val="00A012D2"/>
    <w:rsid w:val="00A065B9"/>
    <w:rsid w:val="00A0705B"/>
    <w:rsid w:val="00A11062"/>
    <w:rsid w:val="00A137CD"/>
    <w:rsid w:val="00A258EA"/>
    <w:rsid w:val="00A31009"/>
    <w:rsid w:val="00A35223"/>
    <w:rsid w:val="00A35BF6"/>
    <w:rsid w:val="00A436A6"/>
    <w:rsid w:val="00A54728"/>
    <w:rsid w:val="00A54DD4"/>
    <w:rsid w:val="00A550AA"/>
    <w:rsid w:val="00A60474"/>
    <w:rsid w:val="00A74A07"/>
    <w:rsid w:val="00A764E2"/>
    <w:rsid w:val="00A81D01"/>
    <w:rsid w:val="00A86A47"/>
    <w:rsid w:val="00A94646"/>
    <w:rsid w:val="00A96F8B"/>
    <w:rsid w:val="00AB576F"/>
    <w:rsid w:val="00AB790E"/>
    <w:rsid w:val="00AD4818"/>
    <w:rsid w:val="00AE2B0B"/>
    <w:rsid w:val="00AE4D8F"/>
    <w:rsid w:val="00AE75AE"/>
    <w:rsid w:val="00AF2D93"/>
    <w:rsid w:val="00AF66CE"/>
    <w:rsid w:val="00B010F5"/>
    <w:rsid w:val="00B12060"/>
    <w:rsid w:val="00B12512"/>
    <w:rsid w:val="00B14099"/>
    <w:rsid w:val="00B1578C"/>
    <w:rsid w:val="00B16FEE"/>
    <w:rsid w:val="00B31BEA"/>
    <w:rsid w:val="00B35AC0"/>
    <w:rsid w:val="00B3748A"/>
    <w:rsid w:val="00B56EB1"/>
    <w:rsid w:val="00B57F68"/>
    <w:rsid w:val="00B60DAB"/>
    <w:rsid w:val="00B675FC"/>
    <w:rsid w:val="00B7721E"/>
    <w:rsid w:val="00B81584"/>
    <w:rsid w:val="00B907A5"/>
    <w:rsid w:val="00BA1257"/>
    <w:rsid w:val="00BB13D3"/>
    <w:rsid w:val="00BC004B"/>
    <w:rsid w:val="00BC720B"/>
    <w:rsid w:val="00BD1139"/>
    <w:rsid w:val="00BE7506"/>
    <w:rsid w:val="00BF4A52"/>
    <w:rsid w:val="00C072A0"/>
    <w:rsid w:val="00C07799"/>
    <w:rsid w:val="00C20026"/>
    <w:rsid w:val="00C306C5"/>
    <w:rsid w:val="00C4276E"/>
    <w:rsid w:val="00C729FA"/>
    <w:rsid w:val="00C76093"/>
    <w:rsid w:val="00C7653B"/>
    <w:rsid w:val="00C85BFD"/>
    <w:rsid w:val="00C950D9"/>
    <w:rsid w:val="00C96B9F"/>
    <w:rsid w:val="00CA4CDA"/>
    <w:rsid w:val="00CA586B"/>
    <w:rsid w:val="00CB114E"/>
    <w:rsid w:val="00CC3FB2"/>
    <w:rsid w:val="00CD04C0"/>
    <w:rsid w:val="00CE6A70"/>
    <w:rsid w:val="00CF1157"/>
    <w:rsid w:val="00CF6221"/>
    <w:rsid w:val="00D13109"/>
    <w:rsid w:val="00D158FF"/>
    <w:rsid w:val="00D31DBB"/>
    <w:rsid w:val="00D4045B"/>
    <w:rsid w:val="00D50DFC"/>
    <w:rsid w:val="00D63DDA"/>
    <w:rsid w:val="00D64121"/>
    <w:rsid w:val="00D858A8"/>
    <w:rsid w:val="00DB4330"/>
    <w:rsid w:val="00DC5699"/>
    <w:rsid w:val="00DC754E"/>
    <w:rsid w:val="00E04C98"/>
    <w:rsid w:val="00E05841"/>
    <w:rsid w:val="00E20296"/>
    <w:rsid w:val="00E24DFF"/>
    <w:rsid w:val="00E25524"/>
    <w:rsid w:val="00E25C9A"/>
    <w:rsid w:val="00E42130"/>
    <w:rsid w:val="00E4719B"/>
    <w:rsid w:val="00E64677"/>
    <w:rsid w:val="00E76988"/>
    <w:rsid w:val="00E978BB"/>
    <w:rsid w:val="00E97945"/>
    <w:rsid w:val="00EB0F84"/>
    <w:rsid w:val="00EC1BF4"/>
    <w:rsid w:val="00EC1F62"/>
    <w:rsid w:val="00ED6D60"/>
    <w:rsid w:val="00ED7F60"/>
    <w:rsid w:val="00EE6847"/>
    <w:rsid w:val="00EF5711"/>
    <w:rsid w:val="00EF6946"/>
    <w:rsid w:val="00EF700C"/>
    <w:rsid w:val="00F0461D"/>
    <w:rsid w:val="00F056DA"/>
    <w:rsid w:val="00F11D54"/>
    <w:rsid w:val="00F252FE"/>
    <w:rsid w:val="00F34894"/>
    <w:rsid w:val="00F365AB"/>
    <w:rsid w:val="00F47CA3"/>
    <w:rsid w:val="00F55E6E"/>
    <w:rsid w:val="00F66B15"/>
    <w:rsid w:val="00F74402"/>
    <w:rsid w:val="00FB4D08"/>
    <w:rsid w:val="00FB7306"/>
    <w:rsid w:val="00FC5D28"/>
    <w:rsid w:val="00FC5DB0"/>
    <w:rsid w:val="00FF3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F7741"/>
  <w15:docId w15:val="{7D4835EC-D1DB-45E7-8B0D-E8EFE0DCD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1882"/>
    <w:pPr>
      <w:keepNext/>
      <w:keepLines/>
      <w:numPr>
        <w:numId w:val="1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C95"/>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C96"/>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5C96"/>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5C96"/>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75C96"/>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5C96"/>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75C96"/>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75C96"/>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801882"/>
    <w:pPr>
      <w:ind w:left="720"/>
      <w:contextualSpacing/>
    </w:pPr>
  </w:style>
  <w:style w:type="character" w:styleId="CommentReference">
    <w:name w:val="annotation reference"/>
    <w:basedOn w:val="DefaultParagraphFont"/>
    <w:uiPriority w:val="99"/>
    <w:semiHidden/>
    <w:unhideWhenUsed/>
    <w:rsid w:val="00D64121"/>
    <w:rPr>
      <w:sz w:val="16"/>
      <w:szCs w:val="16"/>
    </w:rPr>
  </w:style>
  <w:style w:type="paragraph" w:styleId="CommentText">
    <w:name w:val="annotation text"/>
    <w:basedOn w:val="Normal"/>
    <w:link w:val="CommentTextChar"/>
    <w:uiPriority w:val="99"/>
    <w:semiHidden/>
    <w:unhideWhenUsed/>
    <w:rsid w:val="00D64121"/>
    <w:pPr>
      <w:spacing w:line="240" w:lineRule="auto"/>
    </w:pPr>
    <w:rPr>
      <w:sz w:val="20"/>
      <w:szCs w:val="20"/>
    </w:rPr>
  </w:style>
  <w:style w:type="character" w:customStyle="1" w:styleId="CommentTextChar">
    <w:name w:val="Comment Text Char"/>
    <w:basedOn w:val="DefaultParagraphFont"/>
    <w:link w:val="CommentText"/>
    <w:uiPriority w:val="99"/>
    <w:semiHidden/>
    <w:rsid w:val="00D64121"/>
    <w:rPr>
      <w:sz w:val="20"/>
      <w:szCs w:val="20"/>
    </w:rPr>
  </w:style>
  <w:style w:type="paragraph" w:styleId="CommentSubject">
    <w:name w:val="annotation subject"/>
    <w:basedOn w:val="CommentText"/>
    <w:next w:val="CommentText"/>
    <w:link w:val="CommentSubjectChar"/>
    <w:uiPriority w:val="99"/>
    <w:semiHidden/>
    <w:unhideWhenUsed/>
    <w:rsid w:val="00D64121"/>
    <w:rPr>
      <w:b/>
      <w:bCs/>
    </w:rPr>
  </w:style>
  <w:style w:type="character" w:customStyle="1" w:styleId="CommentSubjectChar">
    <w:name w:val="Comment Subject Char"/>
    <w:basedOn w:val="CommentTextChar"/>
    <w:link w:val="CommentSubject"/>
    <w:uiPriority w:val="99"/>
    <w:semiHidden/>
    <w:rsid w:val="00D64121"/>
    <w:rPr>
      <w:b/>
      <w:bCs/>
      <w:sz w:val="20"/>
      <w:szCs w:val="20"/>
    </w:rPr>
  </w:style>
  <w:style w:type="paragraph" w:styleId="BalloonText">
    <w:name w:val="Balloon Text"/>
    <w:basedOn w:val="Normal"/>
    <w:link w:val="BalloonTextChar"/>
    <w:uiPriority w:val="99"/>
    <w:semiHidden/>
    <w:unhideWhenUsed/>
    <w:rsid w:val="00D64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121"/>
    <w:rPr>
      <w:rFonts w:ascii="Tahoma" w:hAnsi="Tahoma" w:cs="Tahoma"/>
      <w:sz w:val="16"/>
      <w:szCs w:val="16"/>
    </w:rPr>
  </w:style>
  <w:style w:type="paragraph" w:customStyle="1" w:styleId="Chapter">
    <w:name w:val="Chapter"/>
    <w:basedOn w:val="Normal"/>
    <w:next w:val="Normal"/>
    <w:rsid w:val="006825E9"/>
    <w:pPr>
      <w:numPr>
        <w:numId w:val="2"/>
      </w:numPr>
      <w:tabs>
        <w:tab w:val="left" w:pos="1440"/>
      </w:tabs>
      <w:spacing w:before="240" w:after="240" w:line="240" w:lineRule="auto"/>
      <w:jc w:val="center"/>
    </w:pPr>
    <w:rPr>
      <w:rFonts w:ascii="Times New Roman" w:eastAsia="MS Mincho" w:hAnsi="Times New Roman" w:cs="Times New Roman"/>
      <w:b/>
      <w:smallCaps/>
      <w:sz w:val="24"/>
      <w:szCs w:val="20"/>
    </w:rPr>
  </w:style>
  <w:style w:type="character" w:customStyle="1" w:styleId="ParagraphChar">
    <w:name w:val="Paragraph Char"/>
    <w:link w:val="Paragraph"/>
    <w:locked/>
    <w:rsid w:val="006825E9"/>
    <w:rPr>
      <w:sz w:val="24"/>
    </w:rPr>
  </w:style>
  <w:style w:type="paragraph" w:customStyle="1" w:styleId="Paragraph">
    <w:name w:val="Paragraph"/>
    <w:aliases w:val="paragraph,p,PARAGRAPH,PG,pa,at"/>
    <w:basedOn w:val="BodyTextIndent"/>
    <w:link w:val="ParagraphChar"/>
    <w:rsid w:val="006825E9"/>
    <w:pPr>
      <w:numPr>
        <w:ilvl w:val="1"/>
        <w:numId w:val="2"/>
      </w:numPr>
      <w:spacing w:before="120" w:line="240" w:lineRule="auto"/>
      <w:jc w:val="both"/>
      <w:outlineLvl w:val="1"/>
    </w:pPr>
    <w:rPr>
      <w:sz w:val="24"/>
    </w:rPr>
  </w:style>
  <w:style w:type="paragraph" w:customStyle="1" w:styleId="subpar">
    <w:name w:val="subpar"/>
    <w:basedOn w:val="BodyTextIndent3"/>
    <w:rsid w:val="006825E9"/>
    <w:pPr>
      <w:numPr>
        <w:ilvl w:val="2"/>
        <w:numId w:val="2"/>
      </w:numPr>
      <w:tabs>
        <w:tab w:val="clear" w:pos="1152"/>
        <w:tab w:val="num" w:pos="360"/>
      </w:tabs>
      <w:spacing w:before="120" w:line="240" w:lineRule="auto"/>
      <w:ind w:left="360" w:firstLine="0"/>
      <w:jc w:val="both"/>
      <w:outlineLvl w:val="2"/>
    </w:pPr>
    <w:rPr>
      <w:rFonts w:ascii="Times New Roman" w:eastAsia="MS Mincho" w:hAnsi="Times New Roman" w:cs="Times New Roman"/>
      <w:sz w:val="24"/>
    </w:rPr>
  </w:style>
  <w:style w:type="paragraph" w:customStyle="1" w:styleId="SubSubPar">
    <w:name w:val="SubSubPar"/>
    <w:basedOn w:val="subpar"/>
    <w:rsid w:val="006825E9"/>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6825E9"/>
    <w:pPr>
      <w:spacing w:after="120"/>
      <w:ind w:left="360"/>
    </w:pPr>
  </w:style>
  <w:style w:type="character" w:customStyle="1" w:styleId="BodyTextIndentChar">
    <w:name w:val="Body Text Indent Char"/>
    <w:basedOn w:val="DefaultParagraphFont"/>
    <w:link w:val="BodyTextIndent"/>
    <w:uiPriority w:val="99"/>
    <w:semiHidden/>
    <w:rsid w:val="006825E9"/>
  </w:style>
  <w:style w:type="paragraph" w:styleId="BodyTextIndent3">
    <w:name w:val="Body Text Indent 3"/>
    <w:basedOn w:val="Normal"/>
    <w:link w:val="BodyTextIndent3Char"/>
    <w:uiPriority w:val="99"/>
    <w:semiHidden/>
    <w:unhideWhenUsed/>
    <w:rsid w:val="006825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25E9"/>
    <w:rPr>
      <w:sz w:val="16"/>
      <w:szCs w:val="16"/>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Char2 Char Char,Char2 Char,ft,ADB,f"/>
    <w:basedOn w:val="Normal"/>
    <w:link w:val="FootnoteTextChar"/>
    <w:unhideWhenUsed/>
    <w:qFormat/>
    <w:rsid w:val="00891C0F"/>
    <w:pPr>
      <w:spacing w:after="0" w:line="240" w:lineRule="auto"/>
    </w:pPr>
    <w:rPr>
      <w:sz w:val="20"/>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rsid w:val="00891C0F"/>
    <w:rPr>
      <w:sz w:val="20"/>
      <w:szCs w:val="20"/>
    </w:rPr>
  </w:style>
  <w:style w:type="character" w:styleId="FootnoteReference">
    <w:name w:val="footnote reference"/>
    <w:aliases w:val="ftref,Fußnotenzeichen DISS,16 Point,Superscript 6 Point,BVI fnr, BVI fnr,Знак сноски 1,referencia nota al pie,FC,Footnote Reference Number,Footnote,Ref,de nota al pie,Normal + Font:9 Point,Superscript 3 Point Times,SUPERS,number"/>
    <w:basedOn w:val="DefaultParagraphFont"/>
    <w:unhideWhenUsed/>
    <w:rsid w:val="00891C0F"/>
    <w:rPr>
      <w:vertAlign w:val="superscript"/>
    </w:rPr>
  </w:style>
  <w:style w:type="character" w:customStyle="1" w:styleId="Heading2Char">
    <w:name w:val="Heading 2 Char"/>
    <w:basedOn w:val="DefaultParagraphFont"/>
    <w:link w:val="Heading2"/>
    <w:uiPriority w:val="9"/>
    <w:rsid w:val="00001C95"/>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3E0AB8"/>
    <w:pPr>
      <w:spacing w:line="240" w:lineRule="auto"/>
    </w:pPr>
    <w:rPr>
      <w:b/>
      <w:bCs/>
      <w:color w:val="4F81BD" w:themeColor="accent1"/>
      <w:sz w:val="18"/>
      <w:szCs w:val="18"/>
    </w:rPr>
  </w:style>
  <w:style w:type="paragraph" w:styleId="Title">
    <w:name w:val="Title"/>
    <w:basedOn w:val="Normal"/>
    <w:next w:val="Normal"/>
    <w:link w:val="TitleChar"/>
    <w:qFormat/>
    <w:rsid w:val="0024110A"/>
    <w:pPr>
      <w:pBdr>
        <w:bottom w:val="single" w:sz="8" w:space="4" w:color="4F81BD"/>
      </w:pBdr>
      <w:spacing w:after="300" w:line="240" w:lineRule="auto"/>
      <w:contextualSpacing/>
    </w:pPr>
    <w:rPr>
      <w:rFonts w:ascii="Cambria" w:eastAsia="MS Gothic" w:hAnsi="Cambria" w:cs="Times New Roman"/>
      <w:color w:val="17365D"/>
      <w:spacing w:val="5"/>
      <w:kern w:val="28"/>
      <w:sz w:val="52"/>
      <w:szCs w:val="52"/>
      <w:lang w:val="es-ES_tradnl" w:eastAsia="es-ES_tradnl"/>
    </w:rPr>
  </w:style>
  <w:style w:type="character" w:customStyle="1" w:styleId="TitleChar">
    <w:name w:val="Title Char"/>
    <w:basedOn w:val="DefaultParagraphFont"/>
    <w:link w:val="Title"/>
    <w:rsid w:val="0024110A"/>
    <w:rPr>
      <w:rFonts w:ascii="Cambria" w:eastAsia="MS Gothic" w:hAnsi="Cambria" w:cs="Times New Roman"/>
      <w:color w:val="17365D"/>
      <w:spacing w:val="5"/>
      <w:kern w:val="28"/>
      <w:sz w:val="52"/>
      <w:szCs w:val="52"/>
      <w:lang w:val="es-ES_tradnl" w:eastAsia="es-ES_tradnl"/>
    </w:rPr>
  </w:style>
  <w:style w:type="paragraph" w:styleId="Header">
    <w:name w:val="header"/>
    <w:basedOn w:val="Normal"/>
    <w:link w:val="HeaderChar"/>
    <w:uiPriority w:val="99"/>
    <w:unhideWhenUsed/>
    <w:rsid w:val="00241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10A"/>
  </w:style>
  <w:style w:type="paragraph" w:styleId="Footer">
    <w:name w:val="footer"/>
    <w:basedOn w:val="Normal"/>
    <w:link w:val="FooterChar"/>
    <w:uiPriority w:val="99"/>
    <w:unhideWhenUsed/>
    <w:rsid w:val="00241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10A"/>
  </w:style>
  <w:style w:type="character" w:customStyle="1" w:styleId="ListParagraphChar">
    <w:name w:val="List Paragraph Char"/>
    <w:basedOn w:val="DefaultParagraphFont"/>
    <w:link w:val="ListParagraph"/>
    <w:uiPriority w:val="34"/>
    <w:rsid w:val="00F0461D"/>
  </w:style>
  <w:style w:type="paragraph" w:styleId="Revision">
    <w:name w:val="Revision"/>
    <w:hidden/>
    <w:uiPriority w:val="99"/>
    <w:semiHidden/>
    <w:rsid w:val="00F0461D"/>
    <w:pPr>
      <w:spacing w:after="0" w:line="240" w:lineRule="auto"/>
    </w:pPr>
  </w:style>
  <w:style w:type="table" w:styleId="TableGrid">
    <w:name w:val="Table Grid"/>
    <w:basedOn w:val="TableNormal"/>
    <w:rsid w:val="00E05841"/>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75C9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75C9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5C9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75C9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75C9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75C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75C96"/>
    <w:rPr>
      <w:rFonts w:asciiTheme="majorHAnsi" w:eastAsiaTheme="majorEastAsia" w:hAnsiTheme="majorHAnsi" w:cstheme="majorBidi"/>
      <w:i/>
      <w:iCs/>
      <w:color w:val="404040" w:themeColor="text1" w:themeTint="BF"/>
      <w:sz w:val="20"/>
      <w:szCs w:val="20"/>
    </w:rPr>
  </w:style>
  <w:style w:type="paragraph" w:styleId="NormalWeb">
    <w:name w:val="Normal (Web)"/>
    <w:basedOn w:val="Normal"/>
    <w:semiHidden/>
    <w:rsid w:val="00A74A07"/>
    <w:pPr>
      <w:spacing w:before="165" w:after="120" w:line="240" w:lineRule="auto"/>
      <w:jc w:val="both"/>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88115">
      <w:bodyDiv w:val="1"/>
      <w:marLeft w:val="0"/>
      <w:marRight w:val="0"/>
      <w:marTop w:val="0"/>
      <w:marBottom w:val="0"/>
      <w:divBdr>
        <w:top w:val="none" w:sz="0" w:space="0" w:color="auto"/>
        <w:left w:val="none" w:sz="0" w:space="0" w:color="auto"/>
        <w:bottom w:val="none" w:sz="0" w:space="0" w:color="auto"/>
        <w:right w:val="none" w:sz="0" w:space="0" w:color="auto"/>
      </w:divBdr>
    </w:div>
    <w:div w:id="299578240">
      <w:bodyDiv w:val="1"/>
      <w:marLeft w:val="0"/>
      <w:marRight w:val="0"/>
      <w:marTop w:val="0"/>
      <w:marBottom w:val="0"/>
      <w:divBdr>
        <w:top w:val="none" w:sz="0" w:space="0" w:color="auto"/>
        <w:left w:val="none" w:sz="0" w:space="0" w:color="auto"/>
        <w:bottom w:val="none" w:sz="0" w:space="0" w:color="auto"/>
        <w:right w:val="none" w:sz="0" w:space="0" w:color="auto"/>
      </w:divBdr>
    </w:div>
    <w:div w:id="332802785">
      <w:bodyDiv w:val="1"/>
      <w:marLeft w:val="0"/>
      <w:marRight w:val="0"/>
      <w:marTop w:val="0"/>
      <w:marBottom w:val="0"/>
      <w:divBdr>
        <w:top w:val="none" w:sz="0" w:space="0" w:color="auto"/>
        <w:left w:val="none" w:sz="0" w:space="0" w:color="auto"/>
        <w:bottom w:val="none" w:sz="0" w:space="0" w:color="auto"/>
        <w:right w:val="none" w:sz="0" w:space="0" w:color="auto"/>
      </w:divBdr>
      <w:divsChild>
        <w:div w:id="500660987">
          <w:marLeft w:val="547"/>
          <w:marRight w:val="0"/>
          <w:marTop w:val="67"/>
          <w:marBottom w:val="0"/>
          <w:divBdr>
            <w:top w:val="none" w:sz="0" w:space="0" w:color="auto"/>
            <w:left w:val="none" w:sz="0" w:space="0" w:color="auto"/>
            <w:bottom w:val="none" w:sz="0" w:space="0" w:color="auto"/>
            <w:right w:val="none" w:sz="0" w:space="0" w:color="auto"/>
          </w:divBdr>
        </w:div>
      </w:divsChild>
    </w:div>
    <w:div w:id="483358386">
      <w:bodyDiv w:val="1"/>
      <w:marLeft w:val="0"/>
      <w:marRight w:val="0"/>
      <w:marTop w:val="0"/>
      <w:marBottom w:val="0"/>
      <w:divBdr>
        <w:top w:val="none" w:sz="0" w:space="0" w:color="auto"/>
        <w:left w:val="none" w:sz="0" w:space="0" w:color="auto"/>
        <w:bottom w:val="none" w:sz="0" w:space="0" w:color="auto"/>
        <w:right w:val="none" w:sz="0" w:space="0" w:color="auto"/>
      </w:divBdr>
    </w:div>
    <w:div w:id="1879049498">
      <w:bodyDiv w:val="1"/>
      <w:marLeft w:val="0"/>
      <w:marRight w:val="0"/>
      <w:marTop w:val="0"/>
      <w:marBottom w:val="0"/>
      <w:divBdr>
        <w:top w:val="none" w:sz="0" w:space="0" w:color="auto"/>
        <w:left w:val="none" w:sz="0" w:space="0" w:color="auto"/>
        <w:bottom w:val="none" w:sz="0" w:space="0" w:color="auto"/>
        <w:right w:val="none" w:sz="0" w:space="0" w:color="auto"/>
      </w:divBdr>
    </w:div>
    <w:div w:id="207134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ink/ink4.xml"/><Relationship Id="rId7" Type="http://schemas.openxmlformats.org/officeDocument/2006/relationships/customXml" Target="../customXml/item7.xml"/><Relationship Id="rId12" Type="http://schemas.openxmlformats.org/officeDocument/2006/relationships/footnotes" Target="footnotes.xml"/><Relationship Id="rId25" Type="http://schemas.openxmlformats.org/officeDocument/2006/relationships/header" Target="header1.xml"/><Relationship Id="rId2" Type="http://schemas.openxmlformats.org/officeDocument/2006/relationships/customXml" Target="../customXml/item2.xml"/><Relationship Id="rId20" Type="http://schemas.openxmlformats.org/officeDocument/2006/relationships/customXml" Target="ink/ink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3.png"/><Relationship Id="rId5" Type="http://schemas.openxmlformats.org/officeDocument/2006/relationships/customXml" Target="../customXml/item5.xm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ustomXml" Target="ink/ink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ustomXml" Target="ink/ink1.xml"/><Relationship Id="rId22" Type="http://schemas.openxmlformats.org/officeDocument/2006/relationships/customXml" Target="ink/ink5.xml"/><Relationship Id="rId27"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3840" units="cm"/>
          <inkml:channel name="Y" type="integer" max="1080" units="cm"/>
          <inkml:channel name="T" type="integer" max="2.14748E9" units="dev"/>
        </inkml:traceFormat>
        <inkml:channelProperties>
          <inkml:channelProperty channel="X" name="resolution" value="56.72083" units="1/cm"/>
          <inkml:channelProperty channel="Y" name="resolution" value="28.34646" units="1/cm"/>
          <inkml:channelProperty channel="T" name="resolution" value="1" units="1/dev"/>
        </inkml:channelProperties>
      </inkml:inkSource>
      <inkml:timestamp xml:id="ts0" timeString="2017-09-26T22:04:08.986"/>
    </inkml:context>
    <inkml:brush xml:id="br0">
      <inkml:brushProperty name="width" value="0.2" units="cm"/>
      <inkml:brushProperty name="height" value="0.4" units="cm"/>
      <inkml:brushProperty name="color" value="#FFFC00"/>
      <inkml:brushProperty name="tip" value="rectangle"/>
      <inkml:brushProperty name="rasterOp" value="maskPen"/>
      <inkml:brushProperty name="fitToCurve" value="1"/>
    </inkml:brush>
  </inkml:definitions>
  <inkml:trace contextRef="#ctx0" brushRef="#br0">0 0 0</inkml:trace>
</inkml:ink>
</file>

<file path=word/ink/ink2.xml><?xml version="1.0" encoding="utf-8"?>
<inkml:ink xmlns:inkml="http://www.w3.org/2003/InkML">
  <inkml:definitions>
    <inkml:context xml:id="ctx0">
      <inkml:inkSource xml:id="inkSrc0">
        <inkml:traceFormat>
          <inkml:channel name="X" type="integer" max="3840" units="cm"/>
          <inkml:channel name="Y" type="integer" max="1080" units="cm"/>
          <inkml:channel name="T" type="integer" max="2.14748E9" units="dev"/>
        </inkml:traceFormat>
        <inkml:channelProperties>
          <inkml:channelProperty channel="X" name="resolution" value="56.72083" units="1/cm"/>
          <inkml:channelProperty channel="Y" name="resolution" value="28.34646" units="1/cm"/>
          <inkml:channelProperty channel="T" name="resolution" value="1" units="1/dev"/>
        </inkml:channelProperties>
      </inkml:inkSource>
      <inkml:timestamp xml:id="ts0" timeString="2017-09-26T22:04:04.162"/>
    </inkml:context>
    <inkml:brush xml:id="br0">
      <inkml:brushProperty name="width" value="0.2" units="cm"/>
      <inkml:brushProperty name="height" value="0.4" units="cm"/>
      <inkml:brushProperty name="color" value="#FFFC00"/>
      <inkml:brushProperty name="tip" value="rectangle"/>
      <inkml:brushProperty name="rasterOp" value="maskPen"/>
      <inkml:brushProperty name="fitToCurve" value="1"/>
    </inkml:brush>
  </inkml:definitions>
  <inkml:trace contextRef="#ctx0" brushRef="#br0">0 0 0</inkml:trace>
</inkml:ink>
</file>

<file path=word/ink/ink3.xml><?xml version="1.0" encoding="utf-8"?>
<inkml:ink xmlns:inkml="http://www.w3.org/2003/InkML">
  <inkml:definitions>
    <inkml:context xml:id="ctx0">
      <inkml:inkSource xml:id="inkSrc0">
        <inkml:traceFormat>
          <inkml:channel name="X" type="integer" max="3840" units="cm"/>
          <inkml:channel name="Y" type="integer" max="1080" units="cm"/>
          <inkml:channel name="T" type="integer" max="2.14748E9" units="dev"/>
        </inkml:traceFormat>
        <inkml:channelProperties>
          <inkml:channelProperty channel="X" name="resolution" value="56.72083" units="1/cm"/>
          <inkml:channelProperty channel="Y" name="resolution" value="28.34646" units="1/cm"/>
          <inkml:channelProperty channel="T" name="resolution" value="1" units="1/dev"/>
        </inkml:channelProperties>
      </inkml:inkSource>
      <inkml:timestamp xml:id="ts0" timeString="2017-09-26T22:04:01.961"/>
    </inkml:context>
    <inkml:brush xml:id="br0">
      <inkml:brushProperty name="width" value="0.2" units="cm"/>
      <inkml:brushProperty name="height" value="0.4" units="cm"/>
      <inkml:brushProperty name="color" value="#FFFC00"/>
      <inkml:brushProperty name="tip" value="rectangle"/>
      <inkml:brushProperty name="rasterOp" value="maskPen"/>
      <inkml:brushProperty name="fitToCurve" value="1"/>
    </inkml:brush>
  </inkml:definitions>
  <inkml:trace contextRef="#ctx0" brushRef="#br0">0 0 0</inkml:trace>
</inkml:ink>
</file>

<file path=word/ink/ink4.xml><?xml version="1.0" encoding="utf-8"?>
<inkml:ink xmlns:inkml="http://www.w3.org/2003/InkML">
  <inkml:definitions>
    <inkml:context xml:id="ctx0">
      <inkml:inkSource xml:id="inkSrc0">
        <inkml:traceFormat>
          <inkml:channel name="X" type="integer" max="3840" units="cm"/>
          <inkml:channel name="Y" type="integer" max="1080" units="cm"/>
          <inkml:channel name="T" type="integer" max="2.14748E9" units="dev"/>
        </inkml:traceFormat>
        <inkml:channelProperties>
          <inkml:channelProperty channel="X" name="resolution" value="56.72083" units="1/cm"/>
          <inkml:channelProperty channel="Y" name="resolution" value="28.34646" units="1/cm"/>
          <inkml:channelProperty channel="T" name="resolution" value="1" units="1/dev"/>
        </inkml:channelProperties>
      </inkml:inkSource>
      <inkml:timestamp xml:id="ts0" timeString="2017-09-26T22:03:56.362"/>
    </inkml:context>
    <inkml:brush xml:id="br0">
      <inkml:brushProperty name="width" value="0.2" units="cm"/>
      <inkml:brushProperty name="height" value="0.4" units="cm"/>
      <inkml:brushProperty name="color" value="#FFFC00"/>
      <inkml:brushProperty name="tip" value="rectangle"/>
      <inkml:brushProperty name="rasterOp" value="maskPen"/>
      <inkml:brushProperty name="fitToCurve" value="1"/>
    </inkml:brush>
  </inkml:definitions>
  <inkml:trace contextRef="#ctx0" brushRef="#br0">0 0 0</inkml:trace>
</inkml:ink>
</file>

<file path=word/ink/ink5.xml><?xml version="1.0" encoding="utf-8"?>
<inkml:ink xmlns:inkml="http://www.w3.org/2003/InkML">
  <inkml:definitions>
    <inkml:context xml:id="ctx0">
      <inkml:inkSource xml:id="inkSrc0">
        <inkml:traceFormat>
          <inkml:channel name="X" type="integer" max="3840" units="cm"/>
          <inkml:channel name="Y" type="integer" max="1080" units="cm"/>
          <inkml:channel name="T" type="integer" max="2.14748E9" units="dev"/>
        </inkml:traceFormat>
        <inkml:channelProperties>
          <inkml:channelProperty channel="X" name="resolution" value="56.72083" units="1/cm"/>
          <inkml:channelProperty channel="Y" name="resolution" value="28.34646" units="1/cm"/>
          <inkml:channelProperty channel="T" name="resolution" value="1" units="1/dev"/>
        </inkml:channelProperties>
      </inkml:inkSource>
      <inkml:timestamp xml:id="ts0" timeString="2017-09-26T22:03:51.466"/>
    </inkml:context>
    <inkml:brush xml:id="br0">
      <inkml:brushProperty name="width" value="0.2" units="cm"/>
      <inkml:brushProperty name="height" value="0.4" units="cm"/>
      <inkml:brushProperty name="color" value="#FFFC00"/>
      <inkml:brushProperty name="tip" value="rectangle"/>
      <inkml:brushProperty name="rasterOp" value="maskPen"/>
      <inkml:brushProperty name="fitToCurve" value="1"/>
    </inkml:brush>
  </inkml:definitions>
  <inkml:trace contextRef="#ctx0" brushRef="#br0">0 0 0,'0'0'125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DC7C1DE0E17643823C94CEB3B7E6C7" ma:contentTypeVersion="516" ma:contentTypeDescription="A content type to manage public (operations) IDB documents" ma:contentTypeScope="" ma:versionID="837e8e783c2d4cc2fc8fbdfde4ed12bb">
  <xsd:schema xmlns:xsd="http://www.w3.org/2001/XMLSchema" xmlns:xs="http://www.w3.org/2001/XMLSchema" xmlns:p="http://schemas.microsoft.com/office/2006/metadata/properties" xmlns:ns2="cdc7663a-08f0-4737-9e8c-148ce897a09c" targetNamespace="http://schemas.microsoft.com/office/2006/metadata/properties" ma:root="true" ma:fieldsID="833c980aec3a9032a337da1ebef40df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1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Gischler Blanco, Christiaan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75689d2d-7a16-471d-b709-fbca189b4de2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TaxCatchAll xmlns="cdc7663a-08f0-4737-9e8c-148ce897a09c">
      <Value>20</Value>
      <Value>26</Value>
      <Value>86</Value>
      <Value>1</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RG-L1112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R0001306936</Record_x0020_Number>
    <_dlc_DocId xmlns="cdc7663a-08f0-4737-9e8c-148ce897a09c">EZSHARE-272729925-28</_dlc_DocId>
    <_dlc_DocIdUrl xmlns="cdc7663a-08f0-4737-9e8c-148ce897a09c">
      <Url>https://idbg.sharepoint.com/teams/EZ-RG-LON/RG-L1112/_layouts/15/DocIdRedir.aspx?ID=EZSHARE-272729925-28</Url>
      <Description>EZSHARE-272729925-28</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AE7C6-C9C1-415E-BADB-446FAFA365E9}">
  <ds:schemaRefs>
    <ds:schemaRef ds:uri="http://schemas.microsoft.com/sharepoint/events"/>
  </ds:schemaRefs>
</ds:datastoreItem>
</file>

<file path=customXml/itemProps2.xml><?xml version="1.0" encoding="utf-8"?>
<ds:datastoreItem xmlns:ds="http://schemas.openxmlformats.org/officeDocument/2006/customXml" ds:itemID="{0A701F48-9E6C-424E-9731-C08487690B41}"/>
</file>

<file path=customXml/itemProps3.xml><?xml version="1.0" encoding="utf-8"?>
<ds:datastoreItem xmlns:ds="http://schemas.openxmlformats.org/officeDocument/2006/customXml" ds:itemID="{365B2B5A-353F-4253-9DE2-C6BC1C71A002}"/>
</file>

<file path=customXml/itemProps4.xml><?xml version="1.0" encoding="utf-8"?>
<ds:datastoreItem xmlns:ds="http://schemas.openxmlformats.org/officeDocument/2006/customXml" ds:itemID="{E8AE3830-5EDB-4288-8577-C93D12C119C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20CC9E38-2F25-4227-BA6C-422AC4A64512}"/>
</file>

<file path=customXml/itemProps6.xml><?xml version="1.0" encoding="utf-8"?>
<ds:datastoreItem xmlns:ds="http://schemas.openxmlformats.org/officeDocument/2006/customXml" ds:itemID="{F87A4937-F5B2-42A7-B85A-99CE677CA56D}">
  <ds:schemaRefs>
    <ds:schemaRef ds:uri="http://schemas.microsoft.com/sharepoint/v3/contenttype/forms"/>
  </ds:schemaRefs>
</ds:datastoreItem>
</file>

<file path=customXml/itemProps7.xml><?xml version="1.0" encoding="utf-8"?>
<ds:datastoreItem xmlns:ds="http://schemas.openxmlformats.org/officeDocument/2006/customXml" ds:itemID="{12F98CEB-A11D-4E4F-8D6E-DE4A79B3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2363</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Correa Poseiro, Cecilia</cp:lastModifiedBy>
  <cp:revision>8</cp:revision>
  <cp:lastPrinted>2014-02-19T20:01:00Z</cp:lastPrinted>
  <dcterms:created xsi:type="dcterms:W3CDTF">2017-09-29T20:59:00Z</dcterms:created>
  <dcterms:modified xsi:type="dcterms:W3CDTF">2018-06-18T21:00:00Z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85;#ENERGY|75689d2d-7a16-471d-b709-fbca189b4de2</vt:lpwstr>
  </property>
  <property fmtid="{D5CDD505-2E9C-101B-9397-08002B2CF9AE}" pid="7" name="Fund IDB">
    <vt:lpwstr>86;#GRN|d0f1dc7f-e162-4a9c-9421-b7d8c382a710</vt:lpwstr>
  </property>
  <property fmtid="{D5CDD505-2E9C-101B-9397-08002B2CF9AE}" pid="8" name="Country">
    <vt:lpwstr>20;#Regional|2537a5b7-6d8e-482c-94dc-32c3cc44ff65</vt:lpwstr>
  </property>
  <property fmtid="{D5CDD505-2E9C-101B-9397-08002B2CF9AE}" pid="9" name="Sector IDB">
    <vt:lpwstr>26;#ENERGY|4fed196a-cd0b-4970-87de-42da17f9b203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aa36e08a-baf8-42ec-985b-87587f323a3f</vt:lpwstr>
  </property>
  <property fmtid="{D5CDD505-2E9C-101B-9397-08002B2CF9AE}" pid="12" name="RecordStorageActiveId">
    <vt:lpwstr>1ebc20a4-5ba1-42e1-a704-ba09c7a28855</vt:lpwstr>
  </property>
  <property fmtid="{D5CDD505-2E9C-101B-9397-08002B2CF9AE}" pid="13" name="Disclosure Activity">
    <vt:lpwstr>Loan Proposal</vt:lpwstr>
  </property>
  <property fmtid="{D5CDD505-2E9C-101B-9397-08002B2CF9AE}" pid="14" name="ContentTypeId">
    <vt:lpwstr>0x0101001A458A224826124E8B45B1D613300CFC00BCDC7C1DE0E17643823C94CEB3B7E6C7</vt:lpwstr>
  </property>
</Properties>
</file>