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ECD301" w14:textId="77777777" w:rsidR="00C575D2" w:rsidRPr="008E106E" w:rsidRDefault="00C575D2" w:rsidP="00C575D2">
      <w:pPr>
        <w:jc w:val="center"/>
        <w:rPr>
          <w:rFonts w:ascii="Arial" w:hAnsi="Arial" w:cs="Arial"/>
          <w:smallCaps/>
          <w:sz w:val="22"/>
          <w:szCs w:val="22"/>
        </w:rPr>
      </w:pPr>
      <w:r w:rsidRPr="008E106E">
        <w:rPr>
          <w:rFonts w:ascii="Arial" w:hAnsi="Arial" w:cs="Arial"/>
          <w:smallCaps/>
          <w:sz w:val="22"/>
          <w:szCs w:val="22"/>
        </w:rPr>
        <w:t>Document of the Inter-American Development Bank</w:t>
      </w:r>
    </w:p>
    <w:p w14:paraId="00677CF2" w14:textId="77777777" w:rsidR="00C575D2" w:rsidRPr="008E106E" w:rsidRDefault="00C575D2" w:rsidP="00C575D2">
      <w:pPr>
        <w:jc w:val="center"/>
        <w:rPr>
          <w:rFonts w:ascii="Arial" w:hAnsi="Arial" w:cs="Arial"/>
          <w:sz w:val="22"/>
          <w:szCs w:val="22"/>
        </w:rPr>
      </w:pPr>
    </w:p>
    <w:p w14:paraId="7E52EE5E" w14:textId="77777777" w:rsidR="00C575D2" w:rsidRPr="008E106E" w:rsidRDefault="00C575D2" w:rsidP="00C575D2">
      <w:pPr>
        <w:jc w:val="center"/>
        <w:rPr>
          <w:rFonts w:ascii="Arial" w:hAnsi="Arial" w:cs="Arial"/>
          <w:sz w:val="22"/>
          <w:szCs w:val="22"/>
        </w:rPr>
      </w:pPr>
    </w:p>
    <w:p w14:paraId="4E8F7BA4" w14:textId="77777777" w:rsidR="00C575D2" w:rsidRPr="008E106E" w:rsidRDefault="00C575D2" w:rsidP="00C575D2">
      <w:pPr>
        <w:jc w:val="center"/>
        <w:rPr>
          <w:rFonts w:ascii="Arial" w:hAnsi="Arial" w:cs="Arial"/>
          <w:sz w:val="22"/>
          <w:szCs w:val="22"/>
        </w:rPr>
      </w:pPr>
    </w:p>
    <w:p w14:paraId="71872734" w14:textId="77777777" w:rsidR="00C575D2" w:rsidRPr="008E106E" w:rsidRDefault="00C575D2" w:rsidP="00C575D2">
      <w:pPr>
        <w:jc w:val="center"/>
        <w:rPr>
          <w:rFonts w:ascii="Arial" w:hAnsi="Arial" w:cs="Arial"/>
          <w:b/>
          <w:smallCaps/>
          <w:sz w:val="22"/>
          <w:szCs w:val="22"/>
        </w:rPr>
      </w:pPr>
      <w:bookmarkStart w:id="0" w:name="_Hlk494119670"/>
      <w:bookmarkStart w:id="1" w:name="_Hlk494193087"/>
      <w:r w:rsidRPr="008E106E">
        <w:rPr>
          <w:rFonts w:ascii="Arial" w:hAnsi="Arial" w:cs="Arial"/>
          <w:b/>
          <w:smallCaps/>
          <w:sz w:val="22"/>
          <w:szCs w:val="22"/>
        </w:rPr>
        <w:t>Regional</w:t>
      </w:r>
    </w:p>
    <w:p w14:paraId="68F7F3EB" w14:textId="77777777" w:rsidR="00C575D2" w:rsidRPr="008E106E" w:rsidRDefault="00C575D2" w:rsidP="00C575D2">
      <w:pPr>
        <w:jc w:val="center"/>
        <w:rPr>
          <w:rFonts w:ascii="Arial" w:hAnsi="Arial" w:cs="Arial"/>
          <w:b/>
          <w:smallCaps/>
          <w:sz w:val="22"/>
          <w:szCs w:val="22"/>
        </w:rPr>
      </w:pPr>
    </w:p>
    <w:p w14:paraId="0B556C4B" w14:textId="77777777" w:rsidR="00C575D2" w:rsidRPr="008E106E" w:rsidRDefault="00C575D2" w:rsidP="00C575D2">
      <w:pPr>
        <w:jc w:val="center"/>
        <w:rPr>
          <w:rFonts w:ascii="Arial" w:hAnsi="Arial" w:cs="Arial"/>
          <w:b/>
          <w:smallCaps/>
          <w:sz w:val="22"/>
          <w:szCs w:val="22"/>
        </w:rPr>
      </w:pPr>
    </w:p>
    <w:p w14:paraId="0DF787F9" w14:textId="57B28D0A" w:rsidR="00C575D2" w:rsidRPr="008E106E" w:rsidRDefault="00C575D2" w:rsidP="00C575D2">
      <w:pPr>
        <w:jc w:val="center"/>
        <w:rPr>
          <w:rFonts w:ascii="Arial" w:hAnsi="Arial" w:cs="Arial"/>
          <w:b/>
          <w:smallCaps/>
          <w:sz w:val="22"/>
          <w:szCs w:val="22"/>
        </w:rPr>
      </w:pPr>
    </w:p>
    <w:p w14:paraId="77D9AFD7" w14:textId="77777777" w:rsidR="00C575D2" w:rsidRPr="008E106E" w:rsidRDefault="00C575D2" w:rsidP="00C575D2">
      <w:pPr>
        <w:jc w:val="center"/>
        <w:rPr>
          <w:rFonts w:ascii="Arial" w:hAnsi="Arial" w:cs="Arial"/>
          <w:b/>
          <w:smallCaps/>
          <w:sz w:val="22"/>
          <w:szCs w:val="22"/>
        </w:rPr>
      </w:pPr>
    </w:p>
    <w:p w14:paraId="6C281AFE" w14:textId="77777777" w:rsidR="00C575D2" w:rsidRPr="008E106E" w:rsidRDefault="00C575D2" w:rsidP="00C575D2">
      <w:pPr>
        <w:jc w:val="center"/>
        <w:rPr>
          <w:rFonts w:ascii="Arial" w:hAnsi="Arial" w:cs="Arial"/>
          <w:b/>
          <w:smallCaps/>
          <w:sz w:val="22"/>
          <w:szCs w:val="22"/>
        </w:rPr>
      </w:pPr>
    </w:p>
    <w:p w14:paraId="59A083AC" w14:textId="77777777" w:rsidR="00C575D2" w:rsidRPr="008E106E" w:rsidRDefault="00C575D2" w:rsidP="00C575D2">
      <w:pPr>
        <w:jc w:val="center"/>
        <w:rPr>
          <w:rFonts w:ascii="Arial" w:hAnsi="Arial" w:cs="Arial"/>
          <w:b/>
          <w:smallCaps/>
          <w:sz w:val="22"/>
          <w:szCs w:val="22"/>
        </w:rPr>
      </w:pPr>
      <w:bookmarkStart w:id="2" w:name="_Hlk494117973"/>
      <w:r w:rsidRPr="008E106E">
        <w:rPr>
          <w:rFonts w:ascii="Arial" w:hAnsi="Arial" w:cs="Arial"/>
          <w:b/>
          <w:smallCaps/>
          <w:sz w:val="22"/>
          <w:szCs w:val="22"/>
        </w:rPr>
        <w:t>Sustainable Energy Facility (SEF) for the Eastern Caribbean Expanded (SEF Expanded)</w:t>
      </w:r>
    </w:p>
    <w:p w14:paraId="7DE851FF" w14:textId="77777777" w:rsidR="00C575D2" w:rsidRPr="008E106E" w:rsidRDefault="00C575D2" w:rsidP="00C575D2">
      <w:pPr>
        <w:jc w:val="center"/>
        <w:rPr>
          <w:rFonts w:ascii="Arial" w:hAnsi="Arial" w:cs="Arial"/>
          <w:b/>
          <w:smallCaps/>
          <w:sz w:val="22"/>
          <w:szCs w:val="22"/>
        </w:rPr>
      </w:pPr>
    </w:p>
    <w:p w14:paraId="549E8EC9" w14:textId="77777777" w:rsidR="00C575D2" w:rsidRPr="008E106E" w:rsidRDefault="00C575D2" w:rsidP="00C575D2">
      <w:pPr>
        <w:jc w:val="center"/>
        <w:rPr>
          <w:rFonts w:ascii="Arial" w:hAnsi="Arial" w:cs="Arial"/>
          <w:b/>
          <w:smallCaps/>
          <w:sz w:val="22"/>
          <w:szCs w:val="22"/>
        </w:rPr>
      </w:pPr>
      <w:bookmarkStart w:id="3" w:name="Text7"/>
      <w:bookmarkStart w:id="4" w:name="_Hlk494193339"/>
      <w:r w:rsidRPr="008E106E">
        <w:rPr>
          <w:rFonts w:ascii="Arial" w:hAnsi="Arial" w:cs="Arial"/>
          <w:b/>
          <w:smallCaps/>
          <w:sz w:val="22"/>
          <w:szCs w:val="22"/>
        </w:rPr>
        <w:t>(</w:t>
      </w:r>
      <w:bookmarkEnd w:id="3"/>
      <w:r w:rsidRPr="008E106E">
        <w:rPr>
          <w:rFonts w:ascii="Arial" w:hAnsi="Arial" w:cs="Arial"/>
          <w:b/>
          <w:smallCaps/>
          <w:sz w:val="22"/>
          <w:szCs w:val="22"/>
        </w:rPr>
        <w:t>RG-L1112)</w:t>
      </w:r>
    </w:p>
    <w:bookmarkEnd w:id="4"/>
    <w:p w14:paraId="61D88544" w14:textId="77777777" w:rsidR="00C575D2" w:rsidRPr="008E106E" w:rsidRDefault="00C575D2" w:rsidP="00C575D2">
      <w:pPr>
        <w:jc w:val="center"/>
        <w:rPr>
          <w:rFonts w:ascii="Arial" w:hAnsi="Arial" w:cs="Arial"/>
          <w:b/>
          <w:smallCaps/>
          <w:sz w:val="22"/>
          <w:szCs w:val="22"/>
        </w:rPr>
      </w:pPr>
    </w:p>
    <w:p w14:paraId="4A7D7026" w14:textId="77777777" w:rsidR="00C575D2" w:rsidRPr="008E106E" w:rsidRDefault="00C575D2" w:rsidP="00C575D2">
      <w:pPr>
        <w:jc w:val="center"/>
        <w:rPr>
          <w:rFonts w:ascii="Arial" w:hAnsi="Arial" w:cs="Arial"/>
          <w:b/>
          <w:smallCaps/>
          <w:sz w:val="22"/>
          <w:szCs w:val="22"/>
        </w:rPr>
      </w:pPr>
      <w:r w:rsidRPr="008E106E">
        <w:rPr>
          <w:rFonts w:ascii="Arial" w:hAnsi="Arial" w:cs="Arial"/>
          <w:b/>
          <w:smallCaps/>
          <w:sz w:val="22"/>
          <w:szCs w:val="22"/>
        </w:rPr>
        <w:t>And</w:t>
      </w:r>
    </w:p>
    <w:p w14:paraId="4944319A" w14:textId="77777777" w:rsidR="00C575D2" w:rsidRPr="008E106E" w:rsidRDefault="00C575D2" w:rsidP="00C575D2">
      <w:pPr>
        <w:jc w:val="center"/>
        <w:rPr>
          <w:rFonts w:ascii="Arial" w:hAnsi="Arial" w:cs="Arial"/>
          <w:b/>
          <w:smallCaps/>
          <w:sz w:val="22"/>
          <w:szCs w:val="22"/>
        </w:rPr>
      </w:pPr>
    </w:p>
    <w:p w14:paraId="582FCBF1" w14:textId="77777777" w:rsidR="00C575D2" w:rsidRPr="008E106E" w:rsidRDefault="00C575D2" w:rsidP="00C575D2">
      <w:pPr>
        <w:jc w:val="center"/>
        <w:rPr>
          <w:rFonts w:ascii="Arial" w:hAnsi="Arial" w:cs="Arial"/>
          <w:b/>
          <w:smallCaps/>
          <w:sz w:val="22"/>
          <w:szCs w:val="22"/>
        </w:rPr>
      </w:pPr>
      <w:r w:rsidRPr="008E106E">
        <w:rPr>
          <w:rFonts w:ascii="Arial" w:hAnsi="Arial" w:cs="Arial"/>
          <w:b/>
          <w:smallCaps/>
          <w:sz w:val="22"/>
          <w:szCs w:val="22"/>
        </w:rPr>
        <w:t>Green Climate Fund (GCF) Grant for the Sustainable Energy Facility for the Eastern Caribbean Expanded (SEF Expanded)</w:t>
      </w:r>
    </w:p>
    <w:p w14:paraId="3CAFC514" w14:textId="77777777" w:rsidR="00C575D2" w:rsidRPr="008E106E" w:rsidRDefault="00C575D2" w:rsidP="00C575D2">
      <w:pPr>
        <w:jc w:val="center"/>
        <w:rPr>
          <w:rFonts w:ascii="Arial" w:hAnsi="Arial" w:cs="Arial"/>
          <w:b/>
          <w:smallCaps/>
          <w:sz w:val="22"/>
          <w:szCs w:val="22"/>
        </w:rPr>
      </w:pPr>
    </w:p>
    <w:p w14:paraId="3E2852A7" w14:textId="77777777" w:rsidR="00C575D2" w:rsidRPr="008E106E" w:rsidRDefault="00C575D2" w:rsidP="00C575D2">
      <w:pPr>
        <w:jc w:val="center"/>
        <w:rPr>
          <w:rFonts w:ascii="Arial" w:hAnsi="Arial" w:cs="Arial"/>
          <w:b/>
          <w:smallCaps/>
          <w:sz w:val="22"/>
          <w:szCs w:val="22"/>
        </w:rPr>
      </w:pPr>
      <w:r w:rsidRPr="008E106E">
        <w:rPr>
          <w:rFonts w:ascii="Arial" w:hAnsi="Arial" w:cs="Arial"/>
          <w:b/>
          <w:smallCaps/>
          <w:sz w:val="22"/>
          <w:szCs w:val="22"/>
        </w:rPr>
        <w:t>(RG-G1013)</w:t>
      </w:r>
    </w:p>
    <w:p w14:paraId="2BF7A7F6" w14:textId="77777777" w:rsidR="00C575D2" w:rsidRPr="008E106E" w:rsidRDefault="00C575D2" w:rsidP="00C575D2">
      <w:pPr>
        <w:jc w:val="center"/>
        <w:rPr>
          <w:rFonts w:ascii="Arial" w:hAnsi="Arial" w:cs="Arial"/>
          <w:b/>
          <w:smallCaps/>
          <w:sz w:val="22"/>
          <w:szCs w:val="22"/>
        </w:rPr>
      </w:pPr>
    </w:p>
    <w:p w14:paraId="56F3534B" w14:textId="77777777" w:rsidR="00C575D2" w:rsidRPr="008E106E" w:rsidRDefault="00C575D2" w:rsidP="00C575D2">
      <w:pPr>
        <w:jc w:val="center"/>
        <w:rPr>
          <w:rFonts w:ascii="Arial" w:hAnsi="Arial" w:cs="Arial"/>
          <w:b/>
          <w:smallCaps/>
          <w:sz w:val="22"/>
          <w:szCs w:val="22"/>
        </w:rPr>
      </w:pPr>
      <w:r w:rsidRPr="008E106E">
        <w:rPr>
          <w:rFonts w:ascii="Arial" w:hAnsi="Arial" w:cs="Arial"/>
          <w:b/>
          <w:smallCaps/>
          <w:sz w:val="22"/>
          <w:szCs w:val="22"/>
        </w:rPr>
        <w:t>And</w:t>
      </w:r>
    </w:p>
    <w:p w14:paraId="4FCF56A9" w14:textId="77777777" w:rsidR="00C575D2" w:rsidRPr="008E106E" w:rsidRDefault="00C575D2" w:rsidP="00C575D2">
      <w:pPr>
        <w:jc w:val="center"/>
        <w:rPr>
          <w:rFonts w:ascii="Arial" w:hAnsi="Arial" w:cs="Arial"/>
          <w:b/>
          <w:smallCaps/>
          <w:sz w:val="22"/>
          <w:szCs w:val="22"/>
        </w:rPr>
      </w:pPr>
    </w:p>
    <w:p w14:paraId="603C793E" w14:textId="77777777" w:rsidR="00C575D2" w:rsidRPr="008E106E" w:rsidRDefault="00C575D2" w:rsidP="00C575D2">
      <w:pPr>
        <w:jc w:val="center"/>
        <w:rPr>
          <w:rFonts w:ascii="Arial" w:hAnsi="Arial" w:cs="Arial"/>
          <w:b/>
          <w:smallCaps/>
          <w:sz w:val="22"/>
          <w:szCs w:val="22"/>
        </w:rPr>
      </w:pPr>
      <w:r w:rsidRPr="008E106E">
        <w:rPr>
          <w:rFonts w:ascii="Arial" w:hAnsi="Arial" w:cs="Arial"/>
          <w:b/>
          <w:smallCaps/>
          <w:sz w:val="22"/>
          <w:szCs w:val="22"/>
        </w:rPr>
        <w:t>Republic of Italy (REI) Grant for the Sustainable Energy facility for the Eastern Caribbean Expanded (SEF Expanded)</w:t>
      </w:r>
    </w:p>
    <w:p w14:paraId="0B04364A" w14:textId="77777777" w:rsidR="00C575D2" w:rsidRPr="008E106E" w:rsidRDefault="00C575D2" w:rsidP="00C575D2">
      <w:pPr>
        <w:jc w:val="center"/>
        <w:rPr>
          <w:rFonts w:ascii="Arial" w:hAnsi="Arial" w:cs="Arial"/>
          <w:b/>
          <w:smallCaps/>
          <w:sz w:val="22"/>
          <w:szCs w:val="22"/>
        </w:rPr>
      </w:pPr>
    </w:p>
    <w:p w14:paraId="4C571215" w14:textId="77777777" w:rsidR="00616B9B" w:rsidRPr="008E106E" w:rsidRDefault="00616B9B" w:rsidP="00616B9B">
      <w:pPr>
        <w:jc w:val="center"/>
        <w:rPr>
          <w:rFonts w:ascii="Arial" w:hAnsi="Arial" w:cs="Arial"/>
          <w:b/>
          <w:smallCaps/>
          <w:sz w:val="22"/>
          <w:szCs w:val="22"/>
        </w:rPr>
      </w:pPr>
      <w:r w:rsidRPr="008E106E">
        <w:rPr>
          <w:rFonts w:ascii="Arial" w:hAnsi="Arial" w:cs="Arial"/>
          <w:b/>
          <w:sz w:val="22"/>
          <w:szCs w:val="22"/>
        </w:rPr>
        <w:t>(RG-T3170)</w:t>
      </w:r>
    </w:p>
    <w:bookmarkEnd w:id="0"/>
    <w:bookmarkEnd w:id="2"/>
    <w:p w14:paraId="0654C9B1" w14:textId="77777777" w:rsidR="00C575D2" w:rsidRPr="008E106E" w:rsidRDefault="00C575D2" w:rsidP="00C575D2">
      <w:pPr>
        <w:jc w:val="center"/>
        <w:rPr>
          <w:rFonts w:ascii="Arial" w:hAnsi="Arial" w:cs="Arial"/>
          <w:b/>
          <w:smallCaps/>
          <w:sz w:val="22"/>
          <w:szCs w:val="22"/>
        </w:rPr>
      </w:pPr>
    </w:p>
    <w:p w14:paraId="7DCA50AE" w14:textId="77777777" w:rsidR="00C575D2" w:rsidRPr="008E106E" w:rsidRDefault="00C575D2" w:rsidP="00C575D2">
      <w:pPr>
        <w:jc w:val="center"/>
        <w:rPr>
          <w:rFonts w:ascii="Arial" w:hAnsi="Arial" w:cs="Arial"/>
          <w:sz w:val="22"/>
          <w:szCs w:val="22"/>
        </w:rPr>
      </w:pPr>
    </w:p>
    <w:bookmarkEnd w:id="1"/>
    <w:p w14:paraId="55862B0E" w14:textId="77777777" w:rsidR="00C575D2" w:rsidRPr="008E106E" w:rsidRDefault="00C575D2" w:rsidP="00C575D2">
      <w:pPr>
        <w:jc w:val="center"/>
        <w:rPr>
          <w:rFonts w:ascii="Arial" w:hAnsi="Arial" w:cs="Arial"/>
          <w:sz w:val="22"/>
          <w:szCs w:val="22"/>
        </w:rPr>
      </w:pPr>
    </w:p>
    <w:p w14:paraId="172E9E11" w14:textId="77777777" w:rsidR="00C575D2" w:rsidRPr="008E106E" w:rsidRDefault="00C575D2" w:rsidP="00C575D2">
      <w:pPr>
        <w:jc w:val="center"/>
        <w:rPr>
          <w:rFonts w:ascii="Arial" w:hAnsi="Arial" w:cs="Arial"/>
          <w:sz w:val="22"/>
          <w:szCs w:val="22"/>
        </w:rPr>
      </w:pPr>
    </w:p>
    <w:p w14:paraId="7272ADD1" w14:textId="77777777" w:rsidR="00C575D2" w:rsidRPr="008E106E" w:rsidRDefault="00C575D2" w:rsidP="00C575D2">
      <w:pPr>
        <w:jc w:val="center"/>
        <w:rPr>
          <w:rFonts w:ascii="Arial" w:hAnsi="Arial" w:cs="Arial"/>
          <w:sz w:val="22"/>
          <w:szCs w:val="22"/>
        </w:rPr>
      </w:pPr>
    </w:p>
    <w:p w14:paraId="34831B3F" w14:textId="31946BEF" w:rsidR="00C575D2" w:rsidRPr="008E106E" w:rsidRDefault="00C575D2" w:rsidP="00C575D2">
      <w:pPr>
        <w:jc w:val="center"/>
        <w:rPr>
          <w:rFonts w:ascii="Arial" w:hAnsi="Arial" w:cs="Arial"/>
          <w:b/>
          <w:smallCaps/>
          <w:sz w:val="22"/>
          <w:szCs w:val="22"/>
        </w:rPr>
      </w:pPr>
      <w:r w:rsidRPr="008E106E">
        <w:rPr>
          <w:rFonts w:ascii="Arial" w:hAnsi="Arial" w:cs="Arial"/>
          <w:b/>
          <w:smallCaps/>
          <w:sz w:val="22"/>
          <w:szCs w:val="22"/>
        </w:rPr>
        <w:t>Monitoring and Evaluation Plan (M&amp;E Plan)</w:t>
      </w:r>
    </w:p>
    <w:p w14:paraId="24B8FE27" w14:textId="77777777" w:rsidR="00C575D2" w:rsidRPr="008E106E" w:rsidRDefault="00C575D2" w:rsidP="00C575D2">
      <w:pPr>
        <w:jc w:val="center"/>
        <w:rPr>
          <w:rFonts w:ascii="Arial" w:hAnsi="Arial" w:cs="Arial"/>
          <w:sz w:val="22"/>
          <w:szCs w:val="22"/>
        </w:rPr>
      </w:pPr>
    </w:p>
    <w:p w14:paraId="67FAF5D5" w14:textId="77777777" w:rsidR="00C575D2" w:rsidRPr="008E106E" w:rsidRDefault="00C575D2" w:rsidP="00C575D2">
      <w:pPr>
        <w:jc w:val="center"/>
        <w:rPr>
          <w:rFonts w:ascii="Arial" w:hAnsi="Arial" w:cs="Arial"/>
          <w:sz w:val="22"/>
          <w:szCs w:val="22"/>
        </w:rPr>
      </w:pPr>
    </w:p>
    <w:p w14:paraId="21B5DA27" w14:textId="77777777" w:rsidR="00C575D2" w:rsidRPr="008E106E" w:rsidRDefault="00C575D2" w:rsidP="00C575D2">
      <w:pPr>
        <w:jc w:val="center"/>
        <w:rPr>
          <w:rFonts w:ascii="Arial" w:hAnsi="Arial" w:cs="Arial"/>
          <w:sz w:val="22"/>
          <w:szCs w:val="22"/>
        </w:rPr>
      </w:pPr>
    </w:p>
    <w:p w14:paraId="587EC19D" w14:textId="77777777" w:rsidR="00C575D2" w:rsidRPr="008E106E" w:rsidRDefault="00C575D2" w:rsidP="00C575D2">
      <w:pPr>
        <w:jc w:val="center"/>
        <w:rPr>
          <w:rFonts w:ascii="Arial" w:hAnsi="Arial" w:cs="Arial"/>
          <w:sz w:val="22"/>
          <w:szCs w:val="22"/>
        </w:rPr>
      </w:pPr>
    </w:p>
    <w:p w14:paraId="11D68DC3" w14:textId="77777777" w:rsidR="00C575D2" w:rsidRPr="008E106E" w:rsidRDefault="00C575D2" w:rsidP="00C575D2">
      <w:pPr>
        <w:jc w:val="center"/>
        <w:rPr>
          <w:rFonts w:ascii="Arial" w:hAnsi="Arial" w:cs="Arial"/>
          <w:sz w:val="22"/>
          <w:szCs w:val="22"/>
        </w:rPr>
      </w:pPr>
    </w:p>
    <w:p w14:paraId="6F0930A1" w14:textId="77777777" w:rsidR="00C575D2" w:rsidRPr="008E106E" w:rsidRDefault="00C575D2" w:rsidP="00C575D2">
      <w:pPr>
        <w:jc w:val="center"/>
        <w:rPr>
          <w:rFonts w:ascii="Arial" w:hAnsi="Arial" w:cs="Arial"/>
          <w:sz w:val="22"/>
          <w:szCs w:val="22"/>
        </w:rPr>
      </w:pPr>
    </w:p>
    <w:p w14:paraId="4E9B7292" w14:textId="77777777" w:rsidR="00C575D2" w:rsidRPr="008E106E" w:rsidRDefault="00C575D2" w:rsidP="00C575D2">
      <w:pPr>
        <w:jc w:val="center"/>
        <w:rPr>
          <w:rFonts w:ascii="Arial" w:hAnsi="Arial" w:cs="Arial"/>
          <w:sz w:val="22"/>
          <w:szCs w:val="22"/>
        </w:rPr>
      </w:pPr>
    </w:p>
    <w:p w14:paraId="5FDE7B9B" w14:textId="285DF69B" w:rsidR="00DB52D0" w:rsidRPr="008E106E" w:rsidRDefault="00C575D2" w:rsidP="00C575D2">
      <w:pPr>
        <w:pBdr>
          <w:top w:val="single" w:sz="4" w:space="1" w:color="auto"/>
          <w:left w:val="single" w:sz="4" w:space="4" w:color="auto"/>
          <w:bottom w:val="single" w:sz="4" w:space="1" w:color="auto"/>
          <w:right w:val="single" w:sz="4" w:space="4" w:color="auto"/>
        </w:pBdr>
        <w:rPr>
          <w:rFonts w:ascii="Arial" w:hAnsi="Arial" w:cs="Arial"/>
          <w:sz w:val="22"/>
          <w:szCs w:val="22"/>
        </w:rPr>
        <w:sectPr w:rsidR="00DB52D0" w:rsidRPr="008E106E" w:rsidSect="00D73591">
          <w:footerReference w:type="even" r:id="rId14"/>
          <w:pgSz w:w="12242" w:h="15842" w:code="1"/>
          <w:pgMar w:top="1440" w:right="1797" w:bottom="1440" w:left="1350" w:header="709" w:footer="709" w:gutter="0"/>
          <w:cols w:space="708"/>
          <w:titlePg/>
          <w:docGrid w:linePitch="360"/>
        </w:sectPr>
      </w:pPr>
      <w:r w:rsidRPr="008E106E">
        <w:rPr>
          <w:rFonts w:ascii="Arial" w:hAnsi="Arial" w:cs="Arial"/>
          <w:sz w:val="22"/>
          <w:szCs w:val="22"/>
        </w:rPr>
        <w:t xml:space="preserve">This document was prepared by the project team consisting of: Christiaan Gischler (INE/ENE), Project Team Leader; </w:t>
      </w:r>
      <w:proofErr w:type="spellStart"/>
      <w:r w:rsidRPr="008E106E">
        <w:rPr>
          <w:rFonts w:ascii="Arial" w:hAnsi="Arial" w:cs="Arial"/>
          <w:sz w:val="22"/>
          <w:szCs w:val="22"/>
        </w:rPr>
        <w:t>Jaiwattie</w:t>
      </w:r>
      <w:proofErr w:type="spellEnd"/>
      <w:r w:rsidRPr="008E106E">
        <w:rPr>
          <w:rFonts w:ascii="Arial" w:hAnsi="Arial" w:cs="Arial"/>
          <w:sz w:val="22"/>
          <w:szCs w:val="22"/>
        </w:rPr>
        <w:t xml:space="preserve"> </w:t>
      </w:r>
      <w:proofErr w:type="spellStart"/>
      <w:r w:rsidRPr="008E106E">
        <w:rPr>
          <w:rFonts w:ascii="Arial" w:hAnsi="Arial" w:cs="Arial"/>
          <w:sz w:val="22"/>
          <w:szCs w:val="22"/>
        </w:rPr>
        <w:t>Anganu</w:t>
      </w:r>
      <w:proofErr w:type="spellEnd"/>
      <w:r w:rsidRPr="008E106E">
        <w:rPr>
          <w:rFonts w:ascii="Arial" w:hAnsi="Arial" w:cs="Arial"/>
          <w:sz w:val="22"/>
          <w:szCs w:val="22"/>
        </w:rPr>
        <w:t xml:space="preserve"> (CMF/CJA), Alternate Team Leader; Jesus Tejeda, Camila Gonzalez, and Stephanie Suber (INE/ENE); Gloria Visconti and Filippo Berardi (CSD/CCS); Betina Hennig (LEG/SGO); Zachary Hurwitz (VPS/ESG); Paloma Marcos (SCL/GDI); Giacomo Palmisano (INE/INE); Daniel Hincapie (ORP/PTR); </w:t>
      </w:r>
      <w:r w:rsidR="00616B9B" w:rsidRPr="008E106E">
        <w:rPr>
          <w:rFonts w:ascii="Arial" w:hAnsi="Arial" w:cs="Arial"/>
          <w:sz w:val="22"/>
          <w:szCs w:val="22"/>
        </w:rPr>
        <w:t xml:space="preserve">Claudia Oglialoro (ORP/GCM), Fazia Pusterla (ORP/EUR); </w:t>
      </w:r>
      <w:r w:rsidRPr="008E106E">
        <w:rPr>
          <w:rFonts w:ascii="Arial" w:hAnsi="Arial" w:cs="Arial"/>
          <w:sz w:val="22"/>
          <w:szCs w:val="22"/>
        </w:rPr>
        <w:t>Rochelle Franklin (CCB/CBA); Vinicio Rodriguez, Russell Franklyn, and Maria Camila Padilla (FMP/CBA).</w:t>
      </w:r>
    </w:p>
    <w:p w14:paraId="7538E490" w14:textId="77777777" w:rsidR="00186192" w:rsidRPr="00DD19AC" w:rsidRDefault="00186192" w:rsidP="00186192">
      <w:pPr>
        <w:pStyle w:val="BoldHeading"/>
        <w:rPr>
          <w:rFonts w:ascii="Arial" w:hAnsi="Arial"/>
          <w:sz w:val="22"/>
          <w:szCs w:val="22"/>
        </w:rPr>
      </w:pPr>
      <w:r w:rsidRPr="00DD19AC">
        <w:rPr>
          <w:rFonts w:ascii="Arial" w:hAnsi="Arial"/>
          <w:sz w:val="22"/>
          <w:szCs w:val="22"/>
        </w:rPr>
        <w:lastRenderedPageBreak/>
        <w:t>Table of Contents</w:t>
      </w:r>
    </w:p>
    <w:p w14:paraId="22A560CD" w14:textId="77777777" w:rsidR="008F0B3C" w:rsidRPr="00DD19AC" w:rsidRDefault="008F0B3C" w:rsidP="008F0B3C">
      <w:pPr>
        <w:pStyle w:val="TableText"/>
        <w:spacing w:before="0" w:after="0"/>
        <w:jc w:val="both"/>
        <w:rPr>
          <w:rFonts w:ascii="Arial" w:hAnsi="Arial" w:cs="Arial"/>
          <w:szCs w:val="22"/>
        </w:rPr>
      </w:pPr>
    </w:p>
    <w:p w14:paraId="4007D65F" w14:textId="06181A62" w:rsidR="00D61AD6" w:rsidRPr="00DD19AC" w:rsidRDefault="00F04717">
      <w:pPr>
        <w:pStyle w:val="TOC1"/>
        <w:rPr>
          <w:rFonts w:asciiTheme="minorHAnsi" w:eastAsiaTheme="minorEastAsia" w:hAnsiTheme="minorHAnsi" w:cstheme="minorBidi"/>
          <w:b w:val="0"/>
          <w:noProof/>
          <w:sz w:val="22"/>
          <w:szCs w:val="22"/>
          <w:lang w:eastAsia="en-US"/>
        </w:rPr>
      </w:pPr>
      <w:r w:rsidRPr="00DD19AC">
        <w:rPr>
          <w:rFonts w:ascii="Arial" w:hAnsi="Arial" w:cs="Arial"/>
          <w:sz w:val="22"/>
          <w:szCs w:val="22"/>
        </w:rPr>
        <w:fldChar w:fldCharType="begin"/>
      </w:r>
      <w:r w:rsidR="003775DE" w:rsidRPr="00DD19AC">
        <w:rPr>
          <w:rFonts w:ascii="Arial" w:hAnsi="Arial" w:cs="Arial"/>
          <w:sz w:val="22"/>
          <w:szCs w:val="22"/>
        </w:rPr>
        <w:instrText xml:space="preserve"> TOC \f \h \z \t "Heading 1,1,Heading 2,2,Heading 3,3</w:instrText>
      </w:r>
      <w:r w:rsidR="00B9689E" w:rsidRPr="00DD19AC">
        <w:rPr>
          <w:rFonts w:ascii="Arial" w:hAnsi="Arial" w:cs="Arial"/>
          <w:sz w:val="22"/>
          <w:szCs w:val="22"/>
        </w:rPr>
        <w:instrText xml:space="preserve">,Part Heading,1" </w:instrText>
      </w:r>
      <w:r w:rsidRPr="00DD19AC">
        <w:rPr>
          <w:rFonts w:ascii="Arial" w:hAnsi="Arial" w:cs="Arial"/>
          <w:sz w:val="22"/>
          <w:szCs w:val="22"/>
        </w:rPr>
        <w:fldChar w:fldCharType="separate"/>
      </w:r>
      <w:hyperlink w:anchor="_Toc531018651" w:history="1">
        <w:r w:rsidR="00D61AD6" w:rsidRPr="00DD19AC">
          <w:rPr>
            <w:rStyle w:val="Hyperlink"/>
            <w:rFonts w:ascii="Arial" w:hAnsi="Arial"/>
            <w:noProof/>
            <w:sz w:val="22"/>
            <w:szCs w:val="22"/>
          </w:rPr>
          <w:t>Abbreviations</w:t>
        </w:r>
        <w:r w:rsidR="00D61AD6" w:rsidRPr="00DD19AC">
          <w:rPr>
            <w:noProof/>
            <w:webHidden/>
            <w:sz w:val="22"/>
            <w:szCs w:val="22"/>
          </w:rPr>
          <w:tab/>
        </w:r>
        <w:r w:rsidR="00D61AD6" w:rsidRPr="00DD19AC">
          <w:rPr>
            <w:noProof/>
            <w:webHidden/>
            <w:sz w:val="22"/>
            <w:szCs w:val="22"/>
          </w:rPr>
          <w:fldChar w:fldCharType="begin"/>
        </w:r>
        <w:r w:rsidR="00D61AD6" w:rsidRPr="00DD19AC">
          <w:rPr>
            <w:noProof/>
            <w:webHidden/>
            <w:sz w:val="22"/>
            <w:szCs w:val="22"/>
          </w:rPr>
          <w:instrText xml:space="preserve"> PAGEREF _Toc531018651 \h </w:instrText>
        </w:r>
        <w:r w:rsidR="00D61AD6" w:rsidRPr="00DD19AC">
          <w:rPr>
            <w:noProof/>
            <w:webHidden/>
            <w:sz w:val="22"/>
            <w:szCs w:val="22"/>
          </w:rPr>
        </w:r>
        <w:r w:rsidR="00D61AD6" w:rsidRPr="00DD19AC">
          <w:rPr>
            <w:noProof/>
            <w:webHidden/>
            <w:sz w:val="22"/>
            <w:szCs w:val="22"/>
          </w:rPr>
          <w:fldChar w:fldCharType="separate"/>
        </w:r>
        <w:r w:rsidR="00D61AD6" w:rsidRPr="00DD19AC">
          <w:rPr>
            <w:noProof/>
            <w:webHidden/>
            <w:sz w:val="22"/>
            <w:szCs w:val="22"/>
          </w:rPr>
          <w:t>3</w:t>
        </w:r>
        <w:r w:rsidR="00D61AD6" w:rsidRPr="00DD19AC">
          <w:rPr>
            <w:noProof/>
            <w:webHidden/>
            <w:sz w:val="22"/>
            <w:szCs w:val="22"/>
          </w:rPr>
          <w:fldChar w:fldCharType="end"/>
        </w:r>
      </w:hyperlink>
    </w:p>
    <w:p w14:paraId="07B7CA50" w14:textId="308AC1F9" w:rsidR="00D61AD6" w:rsidRPr="00DD19AC" w:rsidRDefault="00D61AD6">
      <w:pPr>
        <w:pStyle w:val="TOC1"/>
        <w:rPr>
          <w:rFonts w:asciiTheme="minorHAnsi" w:eastAsiaTheme="minorEastAsia" w:hAnsiTheme="minorHAnsi" w:cstheme="minorBidi"/>
          <w:b w:val="0"/>
          <w:noProof/>
          <w:sz w:val="22"/>
          <w:szCs w:val="22"/>
          <w:lang w:eastAsia="en-US"/>
        </w:rPr>
      </w:pPr>
      <w:hyperlink w:anchor="_Toc531018652" w:history="1">
        <w:r w:rsidRPr="00DD19AC">
          <w:rPr>
            <w:rStyle w:val="Hyperlink"/>
            <w:rFonts w:ascii="Arial" w:hAnsi="Arial"/>
            <w:noProof/>
            <w:sz w:val="22"/>
            <w:szCs w:val="22"/>
          </w:rPr>
          <w:t>1</w:t>
        </w:r>
        <w:r w:rsidRPr="00DD19AC">
          <w:rPr>
            <w:rFonts w:asciiTheme="minorHAnsi" w:eastAsiaTheme="minorEastAsia" w:hAnsiTheme="minorHAnsi" w:cstheme="minorBidi"/>
            <w:b w:val="0"/>
            <w:noProof/>
            <w:sz w:val="22"/>
            <w:szCs w:val="22"/>
            <w:lang w:eastAsia="en-US"/>
          </w:rPr>
          <w:tab/>
        </w:r>
        <w:r w:rsidRPr="00DD19AC">
          <w:rPr>
            <w:rStyle w:val="Hyperlink"/>
            <w:rFonts w:ascii="Arial" w:hAnsi="Arial"/>
            <w:noProof/>
            <w:sz w:val="22"/>
            <w:szCs w:val="22"/>
          </w:rPr>
          <w:t>Introduction</w:t>
        </w:r>
        <w:r w:rsidRPr="00DD19AC">
          <w:rPr>
            <w:noProof/>
            <w:webHidden/>
            <w:sz w:val="22"/>
            <w:szCs w:val="22"/>
          </w:rPr>
          <w:tab/>
        </w:r>
        <w:r w:rsidRPr="00DD19AC">
          <w:rPr>
            <w:noProof/>
            <w:webHidden/>
            <w:sz w:val="22"/>
            <w:szCs w:val="22"/>
          </w:rPr>
          <w:fldChar w:fldCharType="begin"/>
        </w:r>
        <w:r w:rsidRPr="00DD19AC">
          <w:rPr>
            <w:noProof/>
            <w:webHidden/>
            <w:sz w:val="22"/>
            <w:szCs w:val="22"/>
          </w:rPr>
          <w:instrText xml:space="preserve"> PAGEREF _Toc531018652 \h </w:instrText>
        </w:r>
        <w:r w:rsidRPr="00DD19AC">
          <w:rPr>
            <w:noProof/>
            <w:webHidden/>
            <w:sz w:val="22"/>
            <w:szCs w:val="22"/>
          </w:rPr>
        </w:r>
        <w:r w:rsidRPr="00DD19AC">
          <w:rPr>
            <w:noProof/>
            <w:webHidden/>
            <w:sz w:val="22"/>
            <w:szCs w:val="22"/>
          </w:rPr>
          <w:fldChar w:fldCharType="separate"/>
        </w:r>
        <w:r w:rsidRPr="00DD19AC">
          <w:rPr>
            <w:noProof/>
            <w:webHidden/>
            <w:sz w:val="22"/>
            <w:szCs w:val="22"/>
          </w:rPr>
          <w:t>4</w:t>
        </w:r>
        <w:r w:rsidRPr="00DD19AC">
          <w:rPr>
            <w:noProof/>
            <w:webHidden/>
            <w:sz w:val="22"/>
            <w:szCs w:val="22"/>
          </w:rPr>
          <w:fldChar w:fldCharType="end"/>
        </w:r>
      </w:hyperlink>
    </w:p>
    <w:p w14:paraId="30D923B3" w14:textId="6D78BDCB" w:rsidR="00D61AD6" w:rsidRPr="00DD19AC" w:rsidRDefault="00D61AD6">
      <w:pPr>
        <w:pStyle w:val="TOC1"/>
        <w:rPr>
          <w:rFonts w:asciiTheme="minorHAnsi" w:eastAsiaTheme="minorEastAsia" w:hAnsiTheme="minorHAnsi" w:cstheme="minorBidi"/>
          <w:b w:val="0"/>
          <w:noProof/>
          <w:sz w:val="22"/>
          <w:szCs w:val="22"/>
          <w:lang w:eastAsia="en-US"/>
        </w:rPr>
      </w:pPr>
      <w:hyperlink w:anchor="_Toc531018653" w:history="1">
        <w:r w:rsidRPr="00DD19AC">
          <w:rPr>
            <w:rStyle w:val="Hyperlink"/>
            <w:rFonts w:ascii="Arial" w:hAnsi="Arial"/>
            <w:noProof/>
            <w:sz w:val="22"/>
            <w:szCs w:val="22"/>
            <w:lang w:eastAsia="ja-JP"/>
          </w:rPr>
          <w:t>2</w:t>
        </w:r>
        <w:r w:rsidRPr="00DD19AC">
          <w:rPr>
            <w:rFonts w:asciiTheme="minorHAnsi" w:eastAsiaTheme="minorEastAsia" w:hAnsiTheme="minorHAnsi" w:cstheme="minorBidi"/>
            <w:b w:val="0"/>
            <w:noProof/>
            <w:sz w:val="22"/>
            <w:szCs w:val="22"/>
            <w:lang w:eastAsia="en-US"/>
          </w:rPr>
          <w:tab/>
        </w:r>
        <w:r w:rsidRPr="00DD19AC">
          <w:rPr>
            <w:rStyle w:val="Hyperlink"/>
            <w:rFonts w:ascii="Arial" w:hAnsi="Arial"/>
            <w:noProof/>
            <w:sz w:val="22"/>
            <w:szCs w:val="22"/>
            <w:lang w:eastAsia="ja-JP"/>
          </w:rPr>
          <w:t>Monitoring</w:t>
        </w:r>
        <w:r w:rsidRPr="00DD19AC">
          <w:rPr>
            <w:noProof/>
            <w:webHidden/>
            <w:sz w:val="22"/>
            <w:szCs w:val="22"/>
          </w:rPr>
          <w:tab/>
        </w:r>
        <w:r w:rsidRPr="00DD19AC">
          <w:rPr>
            <w:noProof/>
            <w:webHidden/>
            <w:sz w:val="22"/>
            <w:szCs w:val="22"/>
          </w:rPr>
          <w:fldChar w:fldCharType="begin"/>
        </w:r>
        <w:r w:rsidRPr="00DD19AC">
          <w:rPr>
            <w:noProof/>
            <w:webHidden/>
            <w:sz w:val="22"/>
            <w:szCs w:val="22"/>
          </w:rPr>
          <w:instrText xml:space="preserve"> PAGEREF _Toc531018653 \h </w:instrText>
        </w:r>
        <w:r w:rsidRPr="00DD19AC">
          <w:rPr>
            <w:noProof/>
            <w:webHidden/>
            <w:sz w:val="22"/>
            <w:szCs w:val="22"/>
          </w:rPr>
        </w:r>
        <w:r w:rsidRPr="00DD19AC">
          <w:rPr>
            <w:noProof/>
            <w:webHidden/>
            <w:sz w:val="22"/>
            <w:szCs w:val="22"/>
          </w:rPr>
          <w:fldChar w:fldCharType="separate"/>
        </w:r>
        <w:r w:rsidRPr="00DD19AC">
          <w:rPr>
            <w:noProof/>
            <w:webHidden/>
            <w:sz w:val="22"/>
            <w:szCs w:val="22"/>
          </w:rPr>
          <w:t>7</w:t>
        </w:r>
        <w:r w:rsidRPr="00DD19AC">
          <w:rPr>
            <w:noProof/>
            <w:webHidden/>
            <w:sz w:val="22"/>
            <w:szCs w:val="22"/>
          </w:rPr>
          <w:fldChar w:fldCharType="end"/>
        </w:r>
      </w:hyperlink>
    </w:p>
    <w:p w14:paraId="153B4C31" w14:textId="206501BD" w:rsidR="00D61AD6" w:rsidRPr="00DD19AC" w:rsidRDefault="00D61AD6">
      <w:pPr>
        <w:pStyle w:val="TOC2"/>
        <w:tabs>
          <w:tab w:val="left" w:pos="1440"/>
        </w:tabs>
        <w:rPr>
          <w:rFonts w:asciiTheme="minorHAnsi" w:eastAsiaTheme="minorEastAsia" w:hAnsiTheme="minorHAnsi" w:cstheme="minorBidi"/>
          <w:noProof/>
          <w:sz w:val="22"/>
          <w:szCs w:val="22"/>
          <w:lang w:eastAsia="en-US"/>
        </w:rPr>
      </w:pPr>
      <w:hyperlink w:anchor="_Toc531018654" w:history="1">
        <w:r w:rsidRPr="00DD19AC">
          <w:rPr>
            <w:rStyle w:val="Hyperlink"/>
            <w:rFonts w:ascii="Arial" w:hAnsi="Arial"/>
            <w:noProof/>
            <w:sz w:val="22"/>
            <w:szCs w:val="22"/>
            <w:lang w:eastAsia="ja-JP"/>
          </w:rPr>
          <w:t>2.1</w:t>
        </w:r>
        <w:r w:rsidRPr="00DD19AC">
          <w:rPr>
            <w:rFonts w:asciiTheme="minorHAnsi" w:eastAsiaTheme="minorEastAsia" w:hAnsiTheme="minorHAnsi" w:cstheme="minorBidi"/>
            <w:noProof/>
            <w:sz w:val="22"/>
            <w:szCs w:val="22"/>
            <w:lang w:eastAsia="en-US"/>
          </w:rPr>
          <w:tab/>
        </w:r>
        <w:r w:rsidRPr="00DD19AC">
          <w:rPr>
            <w:rStyle w:val="Hyperlink"/>
            <w:rFonts w:ascii="Arial" w:hAnsi="Arial"/>
            <w:noProof/>
            <w:sz w:val="22"/>
            <w:szCs w:val="22"/>
            <w:lang w:eastAsia="ja-JP"/>
          </w:rPr>
          <w:t>Output Indicators</w:t>
        </w:r>
        <w:r w:rsidRPr="00DD19AC">
          <w:rPr>
            <w:noProof/>
            <w:webHidden/>
            <w:sz w:val="22"/>
            <w:szCs w:val="22"/>
          </w:rPr>
          <w:tab/>
        </w:r>
        <w:r w:rsidRPr="00DD19AC">
          <w:rPr>
            <w:noProof/>
            <w:webHidden/>
            <w:sz w:val="22"/>
            <w:szCs w:val="22"/>
          </w:rPr>
          <w:fldChar w:fldCharType="begin"/>
        </w:r>
        <w:r w:rsidRPr="00DD19AC">
          <w:rPr>
            <w:noProof/>
            <w:webHidden/>
            <w:sz w:val="22"/>
            <w:szCs w:val="22"/>
          </w:rPr>
          <w:instrText xml:space="preserve"> PAGEREF _Toc531018654 \h </w:instrText>
        </w:r>
        <w:r w:rsidRPr="00DD19AC">
          <w:rPr>
            <w:noProof/>
            <w:webHidden/>
            <w:sz w:val="22"/>
            <w:szCs w:val="22"/>
          </w:rPr>
        </w:r>
        <w:r w:rsidRPr="00DD19AC">
          <w:rPr>
            <w:noProof/>
            <w:webHidden/>
            <w:sz w:val="22"/>
            <w:szCs w:val="22"/>
          </w:rPr>
          <w:fldChar w:fldCharType="separate"/>
        </w:r>
        <w:r w:rsidRPr="00DD19AC">
          <w:rPr>
            <w:noProof/>
            <w:webHidden/>
            <w:sz w:val="22"/>
            <w:szCs w:val="22"/>
          </w:rPr>
          <w:t>7</w:t>
        </w:r>
        <w:r w:rsidRPr="00DD19AC">
          <w:rPr>
            <w:noProof/>
            <w:webHidden/>
            <w:sz w:val="22"/>
            <w:szCs w:val="22"/>
          </w:rPr>
          <w:fldChar w:fldCharType="end"/>
        </w:r>
      </w:hyperlink>
    </w:p>
    <w:p w14:paraId="1EE6B631" w14:textId="387906BD" w:rsidR="00D61AD6" w:rsidRPr="00DD19AC" w:rsidRDefault="00D61AD6">
      <w:pPr>
        <w:pStyle w:val="TOC2"/>
        <w:tabs>
          <w:tab w:val="left" w:pos="1440"/>
        </w:tabs>
        <w:rPr>
          <w:rFonts w:asciiTheme="minorHAnsi" w:eastAsiaTheme="minorEastAsia" w:hAnsiTheme="minorHAnsi" w:cstheme="minorBidi"/>
          <w:noProof/>
          <w:sz w:val="22"/>
          <w:szCs w:val="22"/>
          <w:lang w:eastAsia="en-US"/>
        </w:rPr>
      </w:pPr>
      <w:hyperlink w:anchor="_Toc531018655" w:history="1">
        <w:r w:rsidRPr="00DD19AC">
          <w:rPr>
            <w:rStyle w:val="Hyperlink"/>
            <w:rFonts w:ascii="Arial" w:hAnsi="Arial"/>
            <w:noProof/>
            <w:sz w:val="22"/>
            <w:szCs w:val="22"/>
          </w:rPr>
          <w:t>2.2</w:t>
        </w:r>
        <w:r w:rsidRPr="00DD19AC">
          <w:rPr>
            <w:rFonts w:asciiTheme="minorHAnsi" w:eastAsiaTheme="minorEastAsia" w:hAnsiTheme="minorHAnsi" w:cstheme="minorBidi"/>
            <w:noProof/>
            <w:sz w:val="22"/>
            <w:szCs w:val="22"/>
            <w:lang w:eastAsia="en-US"/>
          </w:rPr>
          <w:tab/>
        </w:r>
        <w:r w:rsidRPr="00DD19AC">
          <w:rPr>
            <w:rStyle w:val="Hyperlink"/>
            <w:rFonts w:ascii="Arial" w:hAnsi="Arial"/>
            <w:noProof/>
            <w:sz w:val="22"/>
            <w:szCs w:val="22"/>
          </w:rPr>
          <w:t>Data Collection and Instruments</w:t>
        </w:r>
        <w:r w:rsidRPr="00DD19AC">
          <w:rPr>
            <w:noProof/>
            <w:webHidden/>
            <w:sz w:val="22"/>
            <w:szCs w:val="22"/>
          </w:rPr>
          <w:tab/>
        </w:r>
        <w:r w:rsidRPr="00DD19AC">
          <w:rPr>
            <w:noProof/>
            <w:webHidden/>
            <w:sz w:val="22"/>
            <w:szCs w:val="22"/>
          </w:rPr>
          <w:fldChar w:fldCharType="begin"/>
        </w:r>
        <w:r w:rsidRPr="00DD19AC">
          <w:rPr>
            <w:noProof/>
            <w:webHidden/>
            <w:sz w:val="22"/>
            <w:szCs w:val="22"/>
          </w:rPr>
          <w:instrText xml:space="preserve"> PAGEREF _Toc531018655 \h </w:instrText>
        </w:r>
        <w:r w:rsidRPr="00DD19AC">
          <w:rPr>
            <w:noProof/>
            <w:webHidden/>
            <w:sz w:val="22"/>
            <w:szCs w:val="22"/>
          </w:rPr>
        </w:r>
        <w:r w:rsidRPr="00DD19AC">
          <w:rPr>
            <w:noProof/>
            <w:webHidden/>
            <w:sz w:val="22"/>
            <w:szCs w:val="22"/>
          </w:rPr>
          <w:fldChar w:fldCharType="separate"/>
        </w:r>
        <w:r w:rsidRPr="00DD19AC">
          <w:rPr>
            <w:noProof/>
            <w:webHidden/>
            <w:sz w:val="22"/>
            <w:szCs w:val="22"/>
          </w:rPr>
          <w:t>11</w:t>
        </w:r>
        <w:r w:rsidRPr="00DD19AC">
          <w:rPr>
            <w:noProof/>
            <w:webHidden/>
            <w:sz w:val="22"/>
            <w:szCs w:val="22"/>
          </w:rPr>
          <w:fldChar w:fldCharType="end"/>
        </w:r>
      </w:hyperlink>
    </w:p>
    <w:p w14:paraId="13E826BB" w14:textId="4E99E689" w:rsidR="00D61AD6" w:rsidRPr="00DD19AC" w:rsidRDefault="00D61AD6">
      <w:pPr>
        <w:pStyle w:val="TOC2"/>
        <w:tabs>
          <w:tab w:val="left" w:pos="1440"/>
        </w:tabs>
        <w:rPr>
          <w:rFonts w:asciiTheme="minorHAnsi" w:eastAsiaTheme="minorEastAsia" w:hAnsiTheme="minorHAnsi" w:cstheme="minorBidi"/>
          <w:noProof/>
          <w:sz w:val="22"/>
          <w:szCs w:val="22"/>
          <w:lang w:eastAsia="en-US"/>
        </w:rPr>
      </w:pPr>
      <w:hyperlink w:anchor="_Toc531018656" w:history="1">
        <w:r w:rsidRPr="00DD19AC">
          <w:rPr>
            <w:rStyle w:val="Hyperlink"/>
            <w:rFonts w:ascii="Arial" w:hAnsi="Arial"/>
            <w:noProof/>
            <w:sz w:val="22"/>
            <w:szCs w:val="22"/>
            <w:lang w:eastAsia="ja-JP"/>
          </w:rPr>
          <w:t>2.3</w:t>
        </w:r>
        <w:r w:rsidRPr="00DD19AC">
          <w:rPr>
            <w:rFonts w:asciiTheme="minorHAnsi" w:eastAsiaTheme="minorEastAsia" w:hAnsiTheme="minorHAnsi" w:cstheme="minorBidi"/>
            <w:noProof/>
            <w:sz w:val="22"/>
            <w:szCs w:val="22"/>
            <w:lang w:eastAsia="en-US"/>
          </w:rPr>
          <w:tab/>
        </w:r>
        <w:r w:rsidRPr="00DD19AC">
          <w:rPr>
            <w:rStyle w:val="Hyperlink"/>
            <w:rFonts w:ascii="Arial" w:hAnsi="Arial"/>
            <w:noProof/>
            <w:sz w:val="22"/>
            <w:szCs w:val="22"/>
            <w:lang w:eastAsia="ja-JP"/>
          </w:rPr>
          <w:t>Reporting Monitoring Results</w:t>
        </w:r>
        <w:r w:rsidRPr="00DD19AC">
          <w:rPr>
            <w:noProof/>
            <w:webHidden/>
            <w:sz w:val="22"/>
            <w:szCs w:val="22"/>
          </w:rPr>
          <w:tab/>
        </w:r>
        <w:r w:rsidRPr="00DD19AC">
          <w:rPr>
            <w:noProof/>
            <w:webHidden/>
            <w:sz w:val="22"/>
            <w:szCs w:val="22"/>
          </w:rPr>
          <w:fldChar w:fldCharType="begin"/>
        </w:r>
        <w:r w:rsidRPr="00DD19AC">
          <w:rPr>
            <w:noProof/>
            <w:webHidden/>
            <w:sz w:val="22"/>
            <w:szCs w:val="22"/>
          </w:rPr>
          <w:instrText xml:space="preserve"> PAGEREF _Toc531018656 \h </w:instrText>
        </w:r>
        <w:r w:rsidRPr="00DD19AC">
          <w:rPr>
            <w:noProof/>
            <w:webHidden/>
            <w:sz w:val="22"/>
            <w:szCs w:val="22"/>
          </w:rPr>
        </w:r>
        <w:r w:rsidRPr="00DD19AC">
          <w:rPr>
            <w:noProof/>
            <w:webHidden/>
            <w:sz w:val="22"/>
            <w:szCs w:val="22"/>
          </w:rPr>
          <w:fldChar w:fldCharType="separate"/>
        </w:r>
        <w:r w:rsidRPr="00DD19AC">
          <w:rPr>
            <w:noProof/>
            <w:webHidden/>
            <w:sz w:val="22"/>
            <w:szCs w:val="22"/>
          </w:rPr>
          <w:t>12</w:t>
        </w:r>
        <w:r w:rsidRPr="00DD19AC">
          <w:rPr>
            <w:noProof/>
            <w:webHidden/>
            <w:sz w:val="22"/>
            <w:szCs w:val="22"/>
          </w:rPr>
          <w:fldChar w:fldCharType="end"/>
        </w:r>
      </w:hyperlink>
    </w:p>
    <w:p w14:paraId="4C229EDD" w14:textId="2FEDA268" w:rsidR="00D61AD6" w:rsidRPr="00DD19AC" w:rsidRDefault="00D61AD6">
      <w:pPr>
        <w:pStyle w:val="TOC3"/>
        <w:tabs>
          <w:tab w:val="left" w:pos="2194"/>
        </w:tabs>
        <w:rPr>
          <w:rFonts w:asciiTheme="minorHAnsi" w:eastAsiaTheme="minorEastAsia" w:hAnsiTheme="minorHAnsi" w:cstheme="minorBidi"/>
          <w:noProof/>
          <w:sz w:val="22"/>
          <w:szCs w:val="22"/>
          <w:lang w:eastAsia="en-US"/>
        </w:rPr>
      </w:pPr>
      <w:hyperlink w:anchor="_Toc531018657" w:history="1">
        <w:r w:rsidRPr="00DD19AC">
          <w:rPr>
            <w:rStyle w:val="Hyperlink"/>
            <w:rFonts w:ascii="Arial" w:hAnsi="Arial"/>
            <w:noProof/>
            <w:sz w:val="22"/>
            <w:szCs w:val="22"/>
            <w:lang w:eastAsia="ja-JP"/>
          </w:rPr>
          <w:t>2.3.1</w:t>
        </w:r>
        <w:r w:rsidRPr="00DD19AC">
          <w:rPr>
            <w:rFonts w:asciiTheme="minorHAnsi" w:eastAsiaTheme="minorEastAsia" w:hAnsiTheme="minorHAnsi" w:cstheme="minorBidi"/>
            <w:noProof/>
            <w:sz w:val="22"/>
            <w:szCs w:val="22"/>
            <w:lang w:eastAsia="en-US"/>
          </w:rPr>
          <w:tab/>
        </w:r>
        <w:r w:rsidRPr="00DD19AC">
          <w:rPr>
            <w:rStyle w:val="Hyperlink"/>
            <w:rFonts w:ascii="Arial" w:hAnsi="Arial"/>
            <w:noProof/>
            <w:sz w:val="22"/>
            <w:szCs w:val="22"/>
            <w:lang w:eastAsia="ja-JP"/>
          </w:rPr>
          <w:t>Semi-Annual Progress Reports (SAPR)</w:t>
        </w:r>
        <w:r w:rsidRPr="00DD19AC">
          <w:rPr>
            <w:noProof/>
            <w:webHidden/>
            <w:sz w:val="22"/>
            <w:szCs w:val="22"/>
          </w:rPr>
          <w:tab/>
        </w:r>
        <w:r w:rsidRPr="00DD19AC">
          <w:rPr>
            <w:noProof/>
            <w:webHidden/>
            <w:sz w:val="22"/>
            <w:szCs w:val="22"/>
          </w:rPr>
          <w:fldChar w:fldCharType="begin"/>
        </w:r>
        <w:r w:rsidRPr="00DD19AC">
          <w:rPr>
            <w:noProof/>
            <w:webHidden/>
            <w:sz w:val="22"/>
            <w:szCs w:val="22"/>
          </w:rPr>
          <w:instrText xml:space="preserve"> PAGEREF _Toc531018657 \h </w:instrText>
        </w:r>
        <w:r w:rsidRPr="00DD19AC">
          <w:rPr>
            <w:noProof/>
            <w:webHidden/>
            <w:sz w:val="22"/>
            <w:szCs w:val="22"/>
          </w:rPr>
        </w:r>
        <w:r w:rsidRPr="00DD19AC">
          <w:rPr>
            <w:noProof/>
            <w:webHidden/>
            <w:sz w:val="22"/>
            <w:szCs w:val="22"/>
          </w:rPr>
          <w:fldChar w:fldCharType="separate"/>
        </w:r>
        <w:r w:rsidRPr="00DD19AC">
          <w:rPr>
            <w:noProof/>
            <w:webHidden/>
            <w:sz w:val="22"/>
            <w:szCs w:val="22"/>
          </w:rPr>
          <w:t>12</w:t>
        </w:r>
        <w:r w:rsidRPr="00DD19AC">
          <w:rPr>
            <w:noProof/>
            <w:webHidden/>
            <w:sz w:val="22"/>
            <w:szCs w:val="22"/>
          </w:rPr>
          <w:fldChar w:fldCharType="end"/>
        </w:r>
      </w:hyperlink>
    </w:p>
    <w:p w14:paraId="67355056" w14:textId="7F8ECFEF" w:rsidR="00D61AD6" w:rsidRPr="00DD19AC" w:rsidRDefault="00D61AD6">
      <w:pPr>
        <w:pStyle w:val="TOC3"/>
        <w:tabs>
          <w:tab w:val="left" w:pos="2194"/>
        </w:tabs>
        <w:rPr>
          <w:rFonts w:asciiTheme="minorHAnsi" w:eastAsiaTheme="minorEastAsia" w:hAnsiTheme="minorHAnsi" w:cstheme="minorBidi"/>
          <w:noProof/>
          <w:sz w:val="22"/>
          <w:szCs w:val="22"/>
          <w:lang w:eastAsia="en-US"/>
        </w:rPr>
      </w:pPr>
      <w:hyperlink w:anchor="_Toc531018658" w:history="1">
        <w:r w:rsidRPr="00DD19AC">
          <w:rPr>
            <w:rStyle w:val="Hyperlink"/>
            <w:rFonts w:ascii="Arial" w:hAnsi="Arial"/>
            <w:noProof/>
            <w:sz w:val="22"/>
            <w:szCs w:val="22"/>
            <w:lang w:eastAsia="ja-JP"/>
          </w:rPr>
          <w:t>2.3.2</w:t>
        </w:r>
        <w:r w:rsidRPr="00DD19AC">
          <w:rPr>
            <w:rFonts w:asciiTheme="minorHAnsi" w:eastAsiaTheme="minorEastAsia" w:hAnsiTheme="minorHAnsi" w:cstheme="minorBidi"/>
            <w:noProof/>
            <w:sz w:val="22"/>
            <w:szCs w:val="22"/>
            <w:lang w:eastAsia="en-US"/>
          </w:rPr>
          <w:tab/>
        </w:r>
        <w:r w:rsidRPr="00DD19AC">
          <w:rPr>
            <w:rStyle w:val="Hyperlink"/>
            <w:rFonts w:ascii="Arial" w:hAnsi="Arial"/>
            <w:noProof/>
            <w:sz w:val="22"/>
            <w:szCs w:val="22"/>
            <w:lang w:eastAsia="ja-JP"/>
          </w:rPr>
          <w:t>Annual Progress Reports (APR)</w:t>
        </w:r>
        <w:r w:rsidRPr="00DD19AC">
          <w:rPr>
            <w:noProof/>
            <w:webHidden/>
            <w:sz w:val="22"/>
            <w:szCs w:val="22"/>
          </w:rPr>
          <w:tab/>
        </w:r>
        <w:r w:rsidRPr="00DD19AC">
          <w:rPr>
            <w:noProof/>
            <w:webHidden/>
            <w:sz w:val="22"/>
            <w:szCs w:val="22"/>
          </w:rPr>
          <w:fldChar w:fldCharType="begin"/>
        </w:r>
        <w:r w:rsidRPr="00DD19AC">
          <w:rPr>
            <w:noProof/>
            <w:webHidden/>
            <w:sz w:val="22"/>
            <w:szCs w:val="22"/>
          </w:rPr>
          <w:instrText xml:space="preserve"> PAGEREF _Toc531018658 \h </w:instrText>
        </w:r>
        <w:r w:rsidRPr="00DD19AC">
          <w:rPr>
            <w:noProof/>
            <w:webHidden/>
            <w:sz w:val="22"/>
            <w:szCs w:val="22"/>
          </w:rPr>
        </w:r>
        <w:r w:rsidRPr="00DD19AC">
          <w:rPr>
            <w:noProof/>
            <w:webHidden/>
            <w:sz w:val="22"/>
            <w:szCs w:val="22"/>
          </w:rPr>
          <w:fldChar w:fldCharType="separate"/>
        </w:r>
        <w:r w:rsidRPr="00DD19AC">
          <w:rPr>
            <w:noProof/>
            <w:webHidden/>
            <w:sz w:val="22"/>
            <w:szCs w:val="22"/>
          </w:rPr>
          <w:t>13</w:t>
        </w:r>
        <w:r w:rsidRPr="00DD19AC">
          <w:rPr>
            <w:noProof/>
            <w:webHidden/>
            <w:sz w:val="22"/>
            <w:szCs w:val="22"/>
          </w:rPr>
          <w:fldChar w:fldCharType="end"/>
        </w:r>
      </w:hyperlink>
    </w:p>
    <w:p w14:paraId="0357DB19" w14:textId="1160CD91" w:rsidR="00D61AD6" w:rsidRPr="00DD19AC" w:rsidRDefault="00D61AD6">
      <w:pPr>
        <w:pStyle w:val="TOC3"/>
        <w:tabs>
          <w:tab w:val="left" w:pos="2194"/>
        </w:tabs>
        <w:rPr>
          <w:rFonts w:asciiTheme="minorHAnsi" w:eastAsiaTheme="minorEastAsia" w:hAnsiTheme="minorHAnsi" w:cstheme="minorBidi"/>
          <w:noProof/>
          <w:sz w:val="22"/>
          <w:szCs w:val="22"/>
          <w:lang w:eastAsia="en-US"/>
        </w:rPr>
      </w:pPr>
      <w:hyperlink w:anchor="_Toc531018659" w:history="1">
        <w:r w:rsidRPr="00DD19AC">
          <w:rPr>
            <w:rStyle w:val="Hyperlink"/>
            <w:rFonts w:ascii="Arial" w:hAnsi="Arial"/>
            <w:noProof/>
            <w:sz w:val="22"/>
            <w:szCs w:val="22"/>
            <w:lang w:eastAsia="ja-JP"/>
          </w:rPr>
          <w:t>2.3.3</w:t>
        </w:r>
        <w:r w:rsidRPr="00DD19AC">
          <w:rPr>
            <w:rFonts w:asciiTheme="minorHAnsi" w:eastAsiaTheme="minorEastAsia" w:hAnsiTheme="minorHAnsi" w:cstheme="minorBidi"/>
            <w:noProof/>
            <w:sz w:val="22"/>
            <w:szCs w:val="22"/>
            <w:lang w:eastAsia="en-US"/>
          </w:rPr>
          <w:tab/>
        </w:r>
        <w:r w:rsidRPr="00DD19AC">
          <w:rPr>
            <w:rStyle w:val="Hyperlink"/>
            <w:rFonts w:ascii="Arial" w:hAnsi="Arial"/>
            <w:noProof/>
            <w:sz w:val="22"/>
            <w:szCs w:val="22"/>
            <w:lang w:eastAsia="ja-JP"/>
          </w:rPr>
          <w:t>Due Diligence and Annual Supervision Missions</w:t>
        </w:r>
        <w:r w:rsidRPr="00DD19AC">
          <w:rPr>
            <w:noProof/>
            <w:webHidden/>
            <w:sz w:val="22"/>
            <w:szCs w:val="22"/>
          </w:rPr>
          <w:tab/>
        </w:r>
        <w:r w:rsidRPr="00DD19AC">
          <w:rPr>
            <w:noProof/>
            <w:webHidden/>
            <w:sz w:val="22"/>
            <w:szCs w:val="22"/>
          </w:rPr>
          <w:fldChar w:fldCharType="begin"/>
        </w:r>
        <w:r w:rsidRPr="00DD19AC">
          <w:rPr>
            <w:noProof/>
            <w:webHidden/>
            <w:sz w:val="22"/>
            <w:szCs w:val="22"/>
          </w:rPr>
          <w:instrText xml:space="preserve"> PAGEREF _Toc531018659 \h </w:instrText>
        </w:r>
        <w:r w:rsidRPr="00DD19AC">
          <w:rPr>
            <w:noProof/>
            <w:webHidden/>
            <w:sz w:val="22"/>
            <w:szCs w:val="22"/>
          </w:rPr>
        </w:r>
        <w:r w:rsidRPr="00DD19AC">
          <w:rPr>
            <w:noProof/>
            <w:webHidden/>
            <w:sz w:val="22"/>
            <w:szCs w:val="22"/>
          </w:rPr>
          <w:fldChar w:fldCharType="separate"/>
        </w:r>
        <w:r w:rsidRPr="00DD19AC">
          <w:rPr>
            <w:noProof/>
            <w:webHidden/>
            <w:sz w:val="22"/>
            <w:szCs w:val="22"/>
          </w:rPr>
          <w:t>14</w:t>
        </w:r>
        <w:r w:rsidRPr="00DD19AC">
          <w:rPr>
            <w:noProof/>
            <w:webHidden/>
            <w:sz w:val="22"/>
            <w:szCs w:val="22"/>
          </w:rPr>
          <w:fldChar w:fldCharType="end"/>
        </w:r>
      </w:hyperlink>
    </w:p>
    <w:p w14:paraId="5C7CF81E" w14:textId="24D400AB" w:rsidR="00D61AD6" w:rsidRPr="00DD19AC" w:rsidRDefault="00D61AD6">
      <w:pPr>
        <w:pStyle w:val="TOC3"/>
        <w:tabs>
          <w:tab w:val="left" w:pos="2194"/>
        </w:tabs>
        <w:rPr>
          <w:rFonts w:asciiTheme="minorHAnsi" w:eastAsiaTheme="minorEastAsia" w:hAnsiTheme="minorHAnsi" w:cstheme="minorBidi"/>
          <w:noProof/>
          <w:sz w:val="22"/>
          <w:szCs w:val="22"/>
          <w:lang w:eastAsia="en-US"/>
        </w:rPr>
      </w:pPr>
      <w:hyperlink w:anchor="_Toc531018660" w:history="1">
        <w:r w:rsidRPr="00DD19AC">
          <w:rPr>
            <w:rStyle w:val="Hyperlink"/>
            <w:rFonts w:ascii="Arial" w:hAnsi="Arial"/>
            <w:noProof/>
            <w:sz w:val="22"/>
            <w:szCs w:val="22"/>
            <w:lang w:eastAsia="ja-JP"/>
          </w:rPr>
          <w:t>2.3.4</w:t>
        </w:r>
        <w:r w:rsidRPr="00DD19AC">
          <w:rPr>
            <w:rFonts w:asciiTheme="minorHAnsi" w:eastAsiaTheme="minorEastAsia" w:hAnsiTheme="minorHAnsi" w:cstheme="minorBidi"/>
            <w:noProof/>
            <w:sz w:val="22"/>
            <w:szCs w:val="22"/>
            <w:lang w:eastAsia="en-US"/>
          </w:rPr>
          <w:tab/>
        </w:r>
        <w:r w:rsidRPr="00DD19AC">
          <w:rPr>
            <w:rStyle w:val="Hyperlink"/>
            <w:rFonts w:ascii="Arial" w:hAnsi="Arial"/>
            <w:noProof/>
            <w:sz w:val="22"/>
            <w:szCs w:val="22"/>
            <w:lang w:eastAsia="ja-JP"/>
          </w:rPr>
          <w:t>Field Inspections</w:t>
        </w:r>
        <w:r w:rsidRPr="00DD19AC">
          <w:rPr>
            <w:noProof/>
            <w:webHidden/>
            <w:sz w:val="22"/>
            <w:szCs w:val="22"/>
          </w:rPr>
          <w:tab/>
        </w:r>
        <w:r w:rsidRPr="00DD19AC">
          <w:rPr>
            <w:noProof/>
            <w:webHidden/>
            <w:sz w:val="22"/>
            <w:szCs w:val="22"/>
          </w:rPr>
          <w:fldChar w:fldCharType="begin"/>
        </w:r>
        <w:r w:rsidRPr="00DD19AC">
          <w:rPr>
            <w:noProof/>
            <w:webHidden/>
            <w:sz w:val="22"/>
            <w:szCs w:val="22"/>
          </w:rPr>
          <w:instrText xml:space="preserve"> PAGEREF _Toc531018660 \h </w:instrText>
        </w:r>
        <w:r w:rsidRPr="00DD19AC">
          <w:rPr>
            <w:noProof/>
            <w:webHidden/>
            <w:sz w:val="22"/>
            <w:szCs w:val="22"/>
          </w:rPr>
        </w:r>
        <w:r w:rsidRPr="00DD19AC">
          <w:rPr>
            <w:noProof/>
            <w:webHidden/>
            <w:sz w:val="22"/>
            <w:szCs w:val="22"/>
          </w:rPr>
          <w:fldChar w:fldCharType="separate"/>
        </w:r>
        <w:r w:rsidRPr="00DD19AC">
          <w:rPr>
            <w:noProof/>
            <w:webHidden/>
            <w:sz w:val="22"/>
            <w:szCs w:val="22"/>
          </w:rPr>
          <w:t>14</w:t>
        </w:r>
        <w:r w:rsidRPr="00DD19AC">
          <w:rPr>
            <w:noProof/>
            <w:webHidden/>
            <w:sz w:val="22"/>
            <w:szCs w:val="22"/>
          </w:rPr>
          <w:fldChar w:fldCharType="end"/>
        </w:r>
      </w:hyperlink>
    </w:p>
    <w:p w14:paraId="41476CEB" w14:textId="2916178F" w:rsidR="00D61AD6" w:rsidRPr="00DD19AC" w:rsidRDefault="00D61AD6">
      <w:pPr>
        <w:pStyle w:val="TOC3"/>
        <w:tabs>
          <w:tab w:val="left" w:pos="2194"/>
        </w:tabs>
        <w:rPr>
          <w:rFonts w:asciiTheme="minorHAnsi" w:eastAsiaTheme="minorEastAsia" w:hAnsiTheme="minorHAnsi" w:cstheme="minorBidi"/>
          <w:noProof/>
          <w:sz w:val="22"/>
          <w:szCs w:val="22"/>
          <w:lang w:eastAsia="en-US"/>
        </w:rPr>
      </w:pPr>
      <w:hyperlink w:anchor="_Toc531018661" w:history="1">
        <w:r w:rsidRPr="00DD19AC">
          <w:rPr>
            <w:rStyle w:val="Hyperlink"/>
            <w:rFonts w:ascii="Arial" w:hAnsi="Arial"/>
            <w:noProof/>
            <w:sz w:val="22"/>
            <w:szCs w:val="22"/>
            <w:lang w:eastAsia="ja-JP"/>
          </w:rPr>
          <w:t>2.3.5</w:t>
        </w:r>
        <w:r w:rsidRPr="00DD19AC">
          <w:rPr>
            <w:rFonts w:asciiTheme="minorHAnsi" w:eastAsiaTheme="minorEastAsia" w:hAnsiTheme="minorHAnsi" w:cstheme="minorBidi"/>
            <w:noProof/>
            <w:sz w:val="22"/>
            <w:szCs w:val="22"/>
            <w:lang w:eastAsia="en-US"/>
          </w:rPr>
          <w:tab/>
        </w:r>
        <w:r w:rsidRPr="00DD19AC">
          <w:rPr>
            <w:rStyle w:val="Hyperlink"/>
            <w:rFonts w:ascii="Arial" w:hAnsi="Arial"/>
            <w:noProof/>
            <w:sz w:val="22"/>
            <w:szCs w:val="22"/>
            <w:lang w:eastAsia="ja-JP"/>
          </w:rPr>
          <w:t>Audited and Unaudited Financial Statements</w:t>
        </w:r>
        <w:r w:rsidRPr="00DD19AC">
          <w:rPr>
            <w:noProof/>
            <w:webHidden/>
            <w:sz w:val="22"/>
            <w:szCs w:val="22"/>
          </w:rPr>
          <w:tab/>
        </w:r>
        <w:r w:rsidRPr="00DD19AC">
          <w:rPr>
            <w:noProof/>
            <w:webHidden/>
            <w:sz w:val="22"/>
            <w:szCs w:val="22"/>
          </w:rPr>
          <w:fldChar w:fldCharType="begin"/>
        </w:r>
        <w:r w:rsidRPr="00DD19AC">
          <w:rPr>
            <w:noProof/>
            <w:webHidden/>
            <w:sz w:val="22"/>
            <w:szCs w:val="22"/>
          </w:rPr>
          <w:instrText xml:space="preserve"> PAGEREF _Toc531018661 \h </w:instrText>
        </w:r>
        <w:r w:rsidRPr="00DD19AC">
          <w:rPr>
            <w:noProof/>
            <w:webHidden/>
            <w:sz w:val="22"/>
            <w:szCs w:val="22"/>
          </w:rPr>
        </w:r>
        <w:r w:rsidRPr="00DD19AC">
          <w:rPr>
            <w:noProof/>
            <w:webHidden/>
            <w:sz w:val="22"/>
            <w:szCs w:val="22"/>
          </w:rPr>
          <w:fldChar w:fldCharType="separate"/>
        </w:r>
        <w:r w:rsidRPr="00DD19AC">
          <w:rPr>
            <w:noProof/>
            <w:webHidden/>
            <w:sz w:val="22"/>
            <w:szCs w:val="22"/>
          </w:rPr>
          <w:t>15</w:t>
        </w:r>
        <w:r w:rsidRPr="00DD19AC">
          <w:rPr>
            <w:noProof/>
            <w:webHidden/>
            <w:sz w:val="22"/>
            <w:szCs w:val="22"/>
          </w:rPr>
          <w:fldChar w:fldCharType="end"/>
        </w:r>
      </w:hyperlink>
    </w:p>
    <w:p w14:paraId="6C2A3AED" w14:textId="607C4646" w:rsidR="00D61AD6" w:rsidRPr="00DD19AC" w:rsidRDefault="00D61AD6">
      <w:pPr>
        <w:pStyle w:val="TOC2"/>
        <w:tabs>
          <w:tab w:val="left" w:pos="1440"/>
        </w:tabs>
        <w:rPr>
          <w:rFonts w:asciiTheme="minorHAnsi" w:eastAsiaTheme="minorEastAsia" w:hAnsiTheme="minorHAnsi" w:cstheme="minorBidi"/>
          <w:noProof/>
          <w:sz w:val="22"/>
          <w:szCs w:val="22"/>
          <w:lang w:eastAsia="en-US"/>
        </w:rPr>
      </w:pPr>
      <w:hyperlink w:anchor="_Toc531018662" w:history="1">
        <w:r w:rsidRPr="00DD19AC">
          <w:rPr>
            <w:rStyle w:val="Hyperlink"/>
            <w:rFonts w:ascii="Arial" w:hAnsi="Arial"/>
            <w:noProof/>
            <w:sz w:val="22"/>
            <w:szCs w:val="22"/>
            <w:lang w:eastAsia="ja-JP"/>
          </w:rPr>
          <w:t>2.4</w:t>
        </w:r>
        <w:r w:rsidRPr="00DD19AC">
          <w:rPr>
            <w:rFonts w:asciiTheme="minorHAnsi" w:eastAsiaTheme="minorEastAsia" w:hAnsiTheme="minorHAnsi" w:cstheme="minorBidi"/>
            <w:noProof/>
            <w:sz w:val="22"/>
            <w:szCs w:val="22"/>
            <w:lang w:eastAsia="en-US"/>
          </w:rPr>
          <w:tab/>
        </w:r>
        <w:r w:rsidRPr="00DD19AC">
          <w:rPr>
            <w:rStyle w:val="Hyperlink"/>
            <w:rFonts w:ascii="Arial" w:hAnsi="Arial"/>
            <w:noProof/>
            <w:sz w:val="22"/>
            <w:szCs w:val="22"/>
            <w:lang w:eastAsia="ja-JP"/>
          </w:rPr>
          <w:t>Monitoring Coordination, Work Plan, and Budget</w:t>
        </w:r>
        <w:r w:rsidRPr="00DD19AC">
          <w:rPr>
            <w:noProof/>
            <w:webHidden/>
            <w:sz w:val="22"/>
            <w:szCs w:val="22"/>
          </w:rPr>
          <w:tab/>
        </w:r>
        <w:r w:rsidRPr="00DD19AC">
          <w:rPr>
            <w:noProof/>
            <w:webHidden/>
            <w:sz w:val="22"/>
            <w:szCs w:val="22"/>
          </w:rPr>
          <w:fldChar w:fldCharType="begin"/>
        </w:r>
        <w:r w:rsidRPr="00DD19AC">
          <w:rPr>
            <w:noProof/>
            <w:webHidden/>
            <w:sz w:val="22"/>
            <w:szCs w:val="22"/>
          </w:rPr>
          <w:instrText xml:space="preserve"> PAGEREF _Toc531018662 \h </w:instrText>
        </w:r>
        <w:r w:rsidRPr="00DD19AC">
          <w:rPr>
            <w:noProof/>
            <w:webHidden/>
            <w:sz w:val="22"/>
            <w:szCs w:val="22"/>
          </w:rPr>
        </w:r>
        <w:r w:rsidRPr="00DD19AC">
          <w:rPr>
            <w:noProof/>
            <w:webHidden/>
            <w:sz w:val="22"/>
            <w:szCs w:val="22"/>
          </w:rPr>
          <w:fldChar w:fldCharType="separate"/>
        </w:r>
        <w:r w:rsidRPr="00DD19AC">
          <w:rPr>
            <w:noProof/>
            <w:webHidden/>
            <w:sz w:val="22"/>
            <w:szCs w:val="22"/>
          </w:rPr>
          <w:t>15</w:t>
        </w:r>
        <w:r w:rsidRPr="00DD19AC">
          <w:rPr>
            <w:noProof/>
            <w:webHidden/>
            <w:sz w:val="22"/>
            <w:szCs w:val="22"/>
          </w:rPr>
          <w:fldChar w:fldCharType="end"/>
        </w:r>
      </w:hyperlink>
    </w:p>
    <w:p w14:paraId="2B2381D9" w14:textId="50141F07" w:rsidR="00D61AD6" w:rsidRPr="00DD19AC" w:rsidRDefault="00D61AD6">
      <w:pPr>
        <w:pStyle w:val="TOC1"/>
        <w:rPr>
          <w:rFonts w:asciiTheme="minorHAnsi" w:eastAsiaTheme="minorEastAsia" w:hAnsiTheme="minorHAnsi" w:cstheme="minorBidi"/>
          <w:b w:val="0"/>
          <w:noProof/>
          <w:sz w:val="22"/>
          <w:szCs w:val="22"/>
          <w:lang w:eastAsia="en-US"/>
        </w:rPr>
      </w:pPr>
      <w:hyperlink w:anchor="_Toc531018663" w:history="1">
        <w:r w:rsidRPr="00DD19AC">
          <w:rPr>
            <w:rStyle w:val="Hyperlink"/>
            <w:rFonts w:ascii="Arial" w:hAnsi="Arial"/>
            <w:noProof/>
            <w:sz w:val="22"/>
            <w:szCs w:val="22"/>
            <w:lang w:eastAsia="ja-JP"/>
          </w:rPr>
          <w:t>3</w:t>
        </w:r>
        <w:r w:rsidRPr="00DD19AC">
          <w:rPr>
            <w:rFonts w:asciiTheme="minorHAnsi" w:eastAsiaTheme="minorEastAsia" w:hAnsiTheme="minorHAnsi" w:cstheme="minorBidi"/>
            <w:b w:val="0"/>
            <w:noProof/>
            <w:sz w:val="22"/>
            <w:szCs w:val="22"/>
            <w:lang w:eastAsia="en-US"/>
          </w:rPr>
          <w:tab/>
        </w:r>
        <w:r w:rsidRPr="00DD19AC">
          <w:rPr>
            <w:rStyle w:val="Hyperlink"/>
            <w:rFonts w:ascii="Arial" w:hAnsi="Arial"/>
            <w:noProof/>
            <w:sz w:val="22"/>
            <w:szCs w:val="22"/>
            <w:lang w:eastAsia="ja-JP"/>
          </w:rPr>
          <w:t>Evaluation</w:t>
        </w:r>
        <w:r w:rsidRPr="00DD19AC">
          <w:rPr>
            <w:noProof/>
            <w:webHidden/>
            <w:sz w:val="22"/>
            <w:szCs w:val="22"/>
          </w:rPr>
          <w:tab/>
        </w:r>
        <w:r w:rsidRPr="00DD19AC">
          <w:rPr>
            <w:noProof/>
            <w:webHidden/>
            <w:sz w:val="22"/>
            <w:szCs w:val="22"/>
          </w:rPr>
          <w:fldChar w:fldCharType="begin"/>
        </w:r>
        <w:r w:rsidRPr="00DD19AC">
          <w:rPr>
            <w:noProof/>
            <w:webHidden/>
            <w:sz w:val="22"/>
            <w:szCs w:val="22"/>
          </w:rPr>
          <w:instrText xml:space="preserve"> PAGEREF _Toc531018663 \h </w:instrText>
        </w:r>
        <w:r w:rsidRPr="00DD19AC">
          <w:rPr>
            <w:noProof/>
            <w:webHidden/>
            <w:sz w:val="22"/>
            <w:szCs w:val="22"/>
          </w:rPr>
        </w:r>
        <w:r w:rsidRPr="00DD19AC">
          <w:rPr>
            <w:noProof/>
            <w:webHidden/>
            <w:sz w:val="22"/>
            <w:szCs w:val="22"/>
          </w:rPr>
          <w:fldChar w:fldCharType="separate"/>
        </w:r>
        <w:r w:rsidRPr="00DD19AC">
          <w:rPr>
            <w:noProof/>
            <w:webHidden/>
            <w:sz w:val="22"/>
            <w:szCs w:val="22"/>
          </w:rPr>
          <w:t>17</w:t>
        </w:r>
        <w:r w:rsidRPr="00DD19AC">
          <w:rPr>
            <w:noProof/>
            <w:webHidden/>
            <w:sz w:val="22"/>
            <w:szCs w:val="22"/>
          </w:rPr>
          <w:fldChar w:fldCharType="end"/>
        </w:r>
      </w:hyperlink>
    </w:p>
    <w:p w14:paraId="0C391D1B" w14:textId="6E769F5D" w:rsidR="00D61AD6" w:rsidRPr="00DD19AC" w:rsidRDefault="00D61AD6">
      <w:pPr>
        <w:pStyle w:val="TOC2"/>
        <w:tabs>
          <w:tab w:val="left" w:pos="1440"/>
        </w:tabs>
        <w:rPr>
          <w:rFonts w:asciiTheme="minorHAnsi" w:eastAsiaTheme="minorEastAsia" w:hAnsiTheme="minorHAnsi" w:cstheme="minorBidi"/>
          <w:noProof/>
          <w:sz w:val="22"/>
          <w:szCs w:val="22"/>
          <w:lang w:eastAsia="en-US"/>
        </w:rPr>
      </w:pPr>
      <w:hyperlink w:anchor="_Toc531018664" w:history="1">
        <w:r w:rsidRPr="00DD19AC">
          <w:rPr>
            <w:rStyle w:val="Hyperlink"/>
            <w:rFonts w:ascii="Arial" w:hAnsi="Arial"/>
            <w:noProof/>
            <w:sz w:val="22"/>
            <w:szCs w:val="22"/>
          </w:rPr>
          <w:t>3.1</w:t>
        </w:r>
        <w:r w:rsidRPr="00DD19AC">
          <w:rPr>
            <w:rFonts w:asciiTheme="minorHAnsi" w:eastAsiaTheme="minorEastAsia" w:hAnsiTheme="minorHAnsi" w:cstheme="minorBidi"/>
            <w:noProof/>
            <w:sz w:val="22"/>
            <w:szCs w:val="22"/>
            <w:lang w:eastAsia="en-US"/>
          </w:rPr>
          <w:tab/>
        </w:r>
        <w:r w:rsidRPr="00DD19AC">
          <w:rPr>
            <w:rStyle w:val="Hyperlink"/>
            <w:rFonts w:ascii="Arial" w:hAnsi="Arial"/>
            <w:noProof/>
            <w:sz w:val="22"/>
            <w:szCs w:val="22"/>
          </w:rPr>
          <w:t>Main Evaluation Questions</w:t>
        </w:r>
        <w:r w:rsidRPr="00DD19AC">
          <w:rPr>
            <w:noProof/>
            <w:webHidden/>
            <w:sz w:val="22"/>
            <w:szCs w:val="22"/>
          </w:rPr>
          <w:tab/>
        </w:r>
        <w:r w:rsidRPr="00DD19AC">
          <w:rPr>
            <w:noProof/>
            <w:webHidden/>
            <w:sz w:val="22"/>
            <w:szCs w:val="22"/>
          </w:rPr>
          <w:fldChar w:fldCharType="begin"/>
        </w:r>
        <w:r w:rsidRPr="00DD19AC">
          <w:rPr>
            <w:noProof/>
            <w:webHidden/>
            <w:sz w:val="22"/>
            <w:szCs w:val="22"/>
          </w:rPr>
          <w:instrText xml:space="preserve"> PAGEREF _Toc531018664 \h </w:instrText>
        </w:r>
        <w:r w:rsidRPr="00DD19AC">
          <w:rPr>
            <w:noProof/>
            <w:webHidden/>
            <w:sz w:val="22"/>
            <w:szCs w:val="22"/>
          </w:rPr>
        </w:r>
        <w:r w:rsidRPr="00DD19AC">
          <w:rPr>
            <w:noProof/>
            <w:webHidden/>
            <w:sz w:val="22"/>
            <w:szCs w:val="22"/>
          </w:rPr>
          <w:fldChar w:fldCharType="separate"/>
        </w:r>
        <w:r w:rsidRPr="00DD19AC">
          <w:rPr>
            <w:noProof/>
            <w:webHidden/>
            <w:sz w:val="22"/>
            <w:szCs w:val="22"/>
          </w:rPr>
          <w:t>17</w:t>
        </w:r>
        <w:r w:rsidRPr="00DD19AC">
          <w:rPr>
            <w:noProof/>
            <w:webHidden/>
            <w:sz w:val="22"/>
            <w:szCs w:val="22"/>
          </w:rPr>
          <w:fldChar w:fldCharType="end"/>
        </w:r>
      </w:hyperlink>
    </w:p>
    <w:p w14:paraId="061E3BED" w14:textId="51243930" w:rsidR="00D61AD6" w:rsidRPr="00DD19AC" w:rsidRDefault="00D61AD6">
      <w:pPr>
        <w:pStyle w:val="TOC2"/>
        <w:tabs>
          <w:tab w:val="left" w:pos="1440"/>
        </w:tabs>
        <w:rPr>
          <w:rFonts w:asciiTheme="minorHAnsi" w:eastAsiaTheme="minorEastAsia" w:hAnsiTheme="minorHAnsi" w:cstheme="minorBidi"/>
          <w:noProof/>
          <w:sz w:val="22"/>
          <w:szCs w:val="22"/>
          <w:lang w:eastAsia="en-US"/>
        </w:rPr>
      </w:pPr>
      <w:hyperlink w:anchor="_Toc531018665" w:history="1">
        <w:r w:rsidRPr="00DD19AC">
          <w:rPr>
            <w:rStyle w:val="Hyperlink"/>
            <w:rFonts w:ascii="Arial" w:hAnsi="Arial"/>
            <w:noProof/>
            <w:sz w:val="22"/>
            <w:szCs w:val="22"/>
            <w:lang w:eastAsia="ja-JP"/>
          </w:rPr>
          <w:t>3.2</w:t>
        </w:r>
        <w:r w:rsidRPr="00DD19AC">
          <w:rPr>
            <w:rFonts w:asciiTheme="minorHAnsi" w:eastAsiaTheme="minorEastAsia" w:hAnsiTheme="minorHAnsi" w:cstheme="minorBidi"/>
            <w:noProof/>
            <w:sz w:val="22"/>
            <w:szCs w:val="22"/>
            <w:lang w:eastAsia="en-US"/>
          </w:rPr>
          <w:tab/>
        </w:r>
        <w:r w:rsidRPr="00DD19AC">
          <w:rPr>
            <w:rStyle w:val="Hyperlink"/>
            <w:rFonts w:ascii="Arial" w:hAnsi="Arial"/>
            <w:noProof/>
            <w:sz w:val="22"/>
            <w:szCs w:val="22"/>
            <w:lang w:eastAsia="ja-JP"/>
          </w:rPr>
          <w:t>Existing Knowledge</w:t>
        </w:r>
        <w:r w:rsidRPr="00DD19AC">
          <w:rPr>
            <w:noProof/>
            <w:webHidden/>
            <w:sz w:val="22"/>
            <w:szCs w:val="22"/>
          </w:rPr>
          <w:tab/>
        </w:r>
        <w:r w:rsidRPr="00DD19AC">
          <w:rPr>
            <w:noProof/>
            <w:webHidden/>
            <w:sz w:val="22"/>
            <w:szCs w:val="22"/>
          </w:rPr>
          <w:fldChar w:fldCharType="begin"/>
        </w:r>
        <w:r w:rsidRPr="00DD19AC">
          <w:rPr>
            <w:noProof/>
            <w:webHidden/>
            <w:sz w:val="22"/>
            <w:szCs w:val="22"/>
          </w:rPr>
          <w:instrText xml:space="preserve"> PAGEREF _Toc531018665 \h </w:instrText>
        </w:r>
        <w:r w:rsidRPr="00DD19AC">
          <w:rPr>
            <w:noProof/>
            <w:webHidden/>
            <w:sz w:val="22"/>
            <w:szCs w:val="22"/>
          </w:rPr>
        </w:r>
        <w:r w:rsidRPr="00DD19AC">
          <w:rPr>
            <w:noProof/>
            <w:webHidden/>
            <w:sz w:val="22"/>
            <w:szCs w:val="22"/>
          </w:rPr>
          <w:fldChar w:fldCharType="separate"/>
        </w:r>
        <w:r w:rsidRPr="00DD19AC">
          <w:rPr>
            <w:noProof/>
            <w:webHidden/>
            <w:sz w:val="22"/>
            <w:szCs w:val="22"/>
          </w:rPr>
          <w:t>17</w:t>
        </w:r>
        <w:r w:rsidRPr="00DD19AC">
          <w:rPr>
            <w:noProof/>
            <w:webHidden/>
            <w:sz w:val="22"/>
            <w:szCs w:val="22"/>
          </w:rPr>
          <w:fldChar w:fldCharType="end"/>
        </w:r>
      </w:hyperlink>
    </w:p>
    <w:p w14:paraId="50ED9F88" w14:textId="3B0B70F6" w:rsidR="00D61AD6" w:rsidRPr="00DD19AC" w:rsidRDefault="00D61AD6">
      <w:pPr>
        <w:pStyle w:val="TOC2"/>
        <w:tabs>
          <w:tab w:val="left" w:pos="1440"/>
        </w:tabs>
        <w:rPr>
          <w:rFonts w:asciiTheme="minorHAnsi" w:eastAsiaTheme="minorEastAsia" w:hAnsiTheme="minorHAnsi" w:cstheme="minorBidi"/>
          <w:noProof/>
          <w:sz w:val="22"/>
          <w:szCs w:val="22"/>
          <w:lang w:eastAsia="en-US"/>
        </w:rPr>
      </w:pPr>
      <w:hyperlink w:anchor="_Toc531018666" w:history="1">
        <w:r w:rsidRPr="00DD19AC">
          <w:rPr>
            <w:rStyle w:val="Hyperlink"/>
            <w:rFonts w:ascii="Arial" w:hAnsi="Arial"/>
            <w:noProof/>
            <w:sz w:val="22"/>
            <w:szCs w:val="22"/>
            <w:lang w:eastAsia="ja-JP"/>
          </w:rPr>
          <w:t>3.3</w:t>
        </w:r>
        <w:r w:rsidRPr="00DD19AC">
          <w:rPr>
            <w:rFonts w:asciiTheme="minorHAnsi" w:eastAsiaTheme="minorEastAsia" w:hAnsiTheme="minorHAnsi" w:cstheme="minorBidi"/>
            <w:noProof/>
            <w:sz w:val="22"/>
            <w:szCs w:val="22"/>
            <w:lang w:eastAsia="en-US"/>
          </w:rPr>
          <w:tab/>
        </w:r>
        <w:r w:rsidRPr="00DD19AC">
          <w:rPr>
            <w:rStyle w:val="Hyperlink"/>
            <w:rFonts w:ascii="Arial" w:hAnsi="Arial"/>
            <w:noProof/>
            <w:sz w:val="22"/>
            <w:szCs w:val="22"/>
            <w:lang w:eastAsia="ja-JP"/>
          </w:rPr>
          <w:t>Outcome Indicators</w:t>
        </w:r>
        <w:r w:rsidRPr="00DD19AC">
          <w:rPr>
            <w:noProof/>
            <w:webHidden/>
            <w:sz w:val="22"/>
            <w:szCs w:val="22"/>
          </w:rPr>
          <w:tab/>
        </w:r>
        <w:r w:rsidRPr="00DD19AC">
          <w:rPr>
            <w:noProof/>
            <w:webHidden/>
            <w:sz w:val="22"/>
            <w:szCs w:val="22"/>
          </w:rPr>
          <w:fldChar w:fldCharType="begin"/>
        </w:r>
        <w:r w:rsidRPr="00DD19AC">
          <w:rPr>
            <w:noProof/>
            <w:webHidden/>
            <w:sz w:val="22"/>
            <w:szCs w:val="22"/>
          </w:rPr>
          <w:instrText xml:space="preserve"> PAGEREF _Toc531018666 \h </w:instrText>
        </w:r>
        <w:r w:rsidRPr="00DD19AC">
          <w:rPr>
            <w:noProof/>
            <w:webHidden/>
            <w:sz w:val="22"/>
            <w:szCs w:val="22"/>
          </w:rPr>
        </w:r>
        <w:r w:rsidRPr="00DD19AC">
          <w:rPr>
            <w:noProof/>
            <w:webHidden/>
            <w:sz w:val="22"/>
            <w:szCs w:val="22"/>
          </w:rPr>
          <w:fldChar w:fldCharType="separate"/>
        </w:r>
        <w:r w:rsidRPr="00DD19AC">
          <w:rPr>
            <w:noProof/>
            <w:webHidden/>
            <w:sz w:val="22"/>
            <w:szCs w:val="22"/>
          </w:rPr>
          <w:t>20</w:t>
        </w:r>
        <w:r w:rsidRPr="00DD19AC">
          <w:rPr>
            <w:noProof/>
            <w:webHidden/>
            <w:sz w:val="22"/>
            <w:szCs w:val="22"/>
          </w:rPr>
          <w:fldChar w:fldCharType="end"/>
        </w:r>
      </w:hyperlink>
    </w:p>
    <w:p w14:paraId="470DF33B" w14:textId="75A4AA64" w:rsidR="00D61AD6" w:rsidRPr="00DD19AC" w:rsidRDefault="00D61AD6">
      <w:pPr>
        <w:pStyle w:val="TOC2"/>
        <w:tabs>
          <w:tab w:val="left" w:pos="1440"/>
        </w:tabs>
        <w:rPr>
          <w:rFonts w:asciiTheme="minorHAnsi" w:eastAsiaTheme="minorEastAsia" w:hAnsiTheme="minorHAnsi" w:cstheme="minorBidi"/>
          <w:noProof/>
          <w:sz w:val="22"/>
          <w:szCs w:val="22"/>
          <w:lang w:eastAsia="en-US"/>
        </w:rPr>
      </w:pPr>
      <w:hyperlink w:anchor="_Toc531018667" w:history="1">
        <w:r w:rsidRPr="00DD19AC">
          <w:rPr>
            <w:rStyle w:val="Hyperlink"/>
            <w:rFonts w:ascii="Arial" w:hAnsi="Arial"/>
            <w:noProof/>
            <w:sz w:val="22"/>
            <w:szCs w:val="22"/>
          </w:rPr>
          <w:t>3.4</w:t>
        </w:r>
        <w:r w:rsidRPr="00DD19AC">
          <w:rPr>
            <w:rFonts w:asciiTheme="minorHAnsi" w:eastAsiaTheme="minorEastAsia" w:hAnsiTheme="minorHAnsi" w:cstheme="minorBidi"/>
            <w:noProof/>
            <w:sz w:val="22"/>
            <w:szCs w:val="22"/>
            <w:lang w:eastAsia="en-US"/>
          </w:rPr>
          <w:tab/>
        </w:r>
        <w:r w:rsidRPr="00DD19AC">
          <w:rPr>
            <w:rStyle w:val="Hyperlink"/>
            <w:rFonts w:ascii="Arial" w:hAnsi="Arial"/>
            <w:noProof/>
            <w:sz w:val="22"/>
            <w:szCs w:val="22"/>
          </w:rPr>
          <w:t>Evaluation Methodology</w:t>
        </w:r>
        <w:r w:rsidRPr="00DD19AC">
          <w:rPr>
            <w:noProof/>
            <w:webHidden/>
            <w:sz w:val="22"/>
            <w:szCs w:val="22"/>
          </w:rPr>
          <w:tab/>
        </w:r>
        <w:r w:rsidRPr="00DD19AC">
          <w:rPr>
            <w:noProof/>
            <w:webHidden/>
            <w:sz w:val="22"/>
            <w:szCs w:val="22"/>
          </w:rPr>
          <w:fldChar w:fldCharType="begin"/>
        </w:r>
        <w:r w:rsidRPr="00DD19AC">
          <w:rPr>
            <w:noProof/>
            <w:webHidden/>
            <w:sz w:val="22"/>
            <w:szCs w:val="22"/>
          </w:rPr>
          <w:instrText xml:space="preserve"> PAGEREF _Toc531018667 \h </w:instrText>
        </w:r>
        <w:r w:rsidRPr="00DD19AC">
          <w:rPr>
            <w:noProof/>
            <w:webHidden/>
            <w:sz w:val="22"/>
            <w:szCs w:val="22"/>
          </w:rPr>
        </w:r>
        <w:r w:rsidRPr="00DD19AC">
          <w:rPr>
            <w:noProof/>
            <w:webHidden/>
            <w:sz w:val="22"/>
            <w:szCs w:val="22"/>
          </w:rPr>
          <w:fldChar w:fldCharType="separate"/>
        </w:r>
        <w:r w:rsidRPr="00DD19AC">
          <w:rPr>
            <w:noProof/>
            <w:webHidden/>
            <w:sz w:val="22"/>
            <w:szCs w:val="22"/>
          </w:rPr>
          <w:t>22</w:t>
        </w:r>
        <w:r w:rsidRPr="00DD19AC">
          <w:rPr>
            <w:noProof/>
            <w:webHidden/>
            <w:sz w:val="22"/>
            <w:szCs w:val="22"/>
          </w:rPr>
          <w:fldChar w:fldCharType="end"/>
        </w:r>
      </w:hyperlink>
    </w:p>
    <w:p w14:paraId="7D38FB91" w14:textId="213FBAA3" w:rsidR="00D61AD6" w:rsidRPr="00DD19AC" w:rsidRDefault="00D61AD6">
      <w:pPr>
        <w:pStyle w:val="TOC2"/>
        <w:tabs>
          <w:tab w:val="left" w:pos="1440"/>
        </w:tabs>
        <w:rPr>
          <w:rFonts w:asciiTheme="minorHAnsi" w:eastAsiaTheme="minorEastAsia" w:hAnsiTheme="minorHAnsi" w:cstheme="minorBidi"/>
          <w:noProof/>
          <w:sz w:val="22"/>
          <w:szCs w:val="22"/>
          <w:lang w:eastAsia="en-US"/>
        </w:rPr>
      </w:pPr>
      <w:hyperlink w:anchor="_Toc531018668" w:history="1">
        <w:r w:rsidRPr="00DD19AC">
          <w:rPr>
            <w:rStyle w:val="Hyperlink"/>
            <w:rFonts w:ascii="Arial" w:hAnsi="Arial"/>
            <w:noProof/>
            <w:sz w:val="22"/>
            <w:szCs w:val="22"/>
          </w:rPr>
          <w:t>3.5</w:t>
        </w:r>
        <w:r w:rsidRPr="00DD19AC">
          <w:rPr>
            <w:rFonts w:asciiTheme="minorHAnsi" w:eastAsiaTheme="minorEastAsia" w:hAnsiTheme="minorHAnsi" w:cstheme="minorBidi"/>
            <w:noProof/>
            <w:sz w:val="22"/>
            <w:szCs w:val="22"/>
            <w:lang w:eastAsia="en-US"/>
          </w:rPr>
          <w:tab/>
        </w:r>
        <w:r w:rsidRPr="00DD19AC">
          <w:rPr>
            <w:rStyle w:val="Hyperlink"/>
            <w:rFonts w:ascii="Arial" w:hAnsi="Arial"/>
            <w:noProof/>
            <w:sz w:val="22"/>
            <w:szCs w:val="22"/>
          </w:rPr>
          <w:t>Reporting Results</w:t>
        </w:r>
        <w:r w:rsidRPr="00DD19AC">
          <w:rPr>
            <w:noProof/>
            <w:webHidden/>
            <w:sz w:val="22"/>
            <w:szCs w:val="22"/>
          </w:rPr>
          <w:tab/>
        </w:r>
        <w:r w:rsidRPr="00DD19AC">
          <w:rPr>
            <w:noProof/>
            <w:webHidden/>
            <w:sz w:val="22"/>
            <w:szCs w:val="22"/>
          </w:rPr>
          <w:fldChar w:fldCharType="begin"/>
        </w:r>
        <w:r w:rsidRPr="00DD19AC">
          <w:rPr>
            <w:noProof/>
            <w:webHidden/>
            <w:sz w:val="22"/>
            <w:szCs w:val="22"/>
          </w:rPr>
          <w:instrText xml:space="preserve"> PAGEREF _Toc531018668 \h </w:instrText>
        </w:r>
        <w:r w:rsidRPr="00DD19AC">
          <w:rPr>
            <w:noProof/>
            <w:webHidden/>
            <w:sz w:val="22"/>
            <w:szCs w:val="22"/>
          </w:rPr>
        </w:r>
        <w:r w:rsidRPr="00DD19AC">
          <w:rPr>
            <w:noProof/>
            <w:webHidden/>
            <w:sz w:val="22"/>
            <w:szCs w:val="22"/>
          </w:rPr>
          <w:fldChar w:fldCharType="separate"/>
        </w:r>
        <w:r w:rsidRPr="00DD19AC">
          <w:rPr>
            <w:noProof/>
            <w:webHidden/>
            <w:sz w:val="22"/>
            <w:szCs w:val="22"/>
          </w:rPr>
          <w:t>23</w:t>
        </w:r>
        <w:r w:rsidRPr="00DD19AC">
          <w:rPr>
            <w:noProof/>
            <w:webHidden/>
            <w:sz w:val="22"/>
            <w:szCs w:val="22"/>
          </w:rPr>
          <w:fldChar w:fldCharType="end"/>
        </w:r>
      </w:hyperlink>
    </w:p>
    <w:p w14:paraId="0E17E16A" w14:textId="19D7DC27" w:rsidR="00D61AD6" w:rsidRPr="00DD19AC" w:rsidRDefault="00D61AD6">
      <w:pPr>
        <w:pStyle w:val="TOC2"/>
        <w:tabs>
          <w:tab w:val="left" w:pos="1440"/>
        </w:tabs>
        <w:rPr>
          <w:rFonts w:asciiTheme="minorHAnsi" w:eastAsiaTheme="minorEastAsia" w:hAnsiTheme="minorHAnsi" w:cstheme="minorBidi"/>
          <w:noProof/>
          <w:sz w:val="22"/>
          <w:szCs w:val="22"/>
          <w:lang w:eastAsia="en-US"/>
        </w:rPr>
      </w:pPr>
      <w:hyperlink w:anchor="_Toc531018669" w:history="1">
        <w:r w:rsidRPr="00DD19AC">
          <w:rPr>
            <w:rStyle w:val="Hyperlink"/>
            <w:rFonts w:ascii="Arial" w:hAnsi="Arial"/>
            <w:noProof/>
            <w:sz w:val="22"/>
            <w:szCs w:val="22"/>
          </w:rPr>
          <w:t>3.6</w:t>
        </w:r>
        <w:r w:rsidRPr="00DD19AC">
          <w:rPr>
            <w:rFonts w:asciiTheme="minorHAnsi" w:eastAsiaTheme="minorEastAsia" w:hAnsiTheme="minorHAnsi" w:cstheme="minorBidi"/>
            <w:noProof/>
            <w:sz w:val="22"/>
            <w:szCs w:val="22"/>
            <w:lang w:eastAsia="en-US"/>
          </w:rPr>
          <w:tab/>
        </w:r>
        <w:r w:rsidRPr="00DD19AC">
          <w:rPr>
            <w:rStyle w:val="Hyperlink"/>
            <w:rFonts w:ascii="Arial" w:hAnsi="Arial"/>
            <w:noProof/>
            <w:sz w:val="22"/>
            <w:szCs w:val="22"/>
          </w:rPr>
          <w:t>Methodology and Assumptions to replicate the CBA</w:t>
        </w:r>
        <w:r w:rsidRPr="00DD19AC">
          <w:rPr>
            <w:noProof/>
            <w:webHidden/>
            <w:sz w:val="22"/>
            <w:szCs w:val="22"/>
          </w:rPr>
          <w:tab/>
        </w:r>
        <w:r w:rsidRPr="00DD19AC">
          <w:rPr>
            <w:noProof/>
            <w:webHidden/>
            <w:sz w:val="22"/>
            <w:szCs w:val="22"/>
          </w:rPr>
          <w:fldChar w:fldCharType="begin"/>
        </w:r>
        <w:r w:rsidRPr="00DD19AC">
          <w:rPr>
            <w:noProof/>
            <w:webHidden/>
            <w:sz w:val="22"/>
            <w:szCs w:val="22"/>
          </w:rPr>
          <w:instrText xml:space="preserve"> PAGEREF _Toc531018669 \h </w:instrText>
        </w:r>
        <w:r w:rsidRPr="00DD19AC">
          <w:rPr>
            <w:noProof/>
            <w:webHidden/>
            <w:sz w:val="22"/>
            <w:szCs w:val="22"/>
          </w:rPr>
        </w:r>
        <w:r w:rsidRPr="00DD19AC">
          <w:rPr>
            <w:noProof/>
            <w:webHidden/>
            <w:sz w:val="22"/>
            <w:szCs w:val="22"/>
          </w:rPr>
          <w:fldChar w:fldCharType="separate"/>
        </w:r>
        <w:r w:rsidRPr="00DD19AC">
          <w:rPr>
            <w:noProof/>
            <w:webHidden/>
            <w:sz w:val="22"/>
            <w:szCs w:val="22"/>
          </w:rPr>
          <w:t>25</w:t>
        </w:r>
        <w:r w:rsidRPr="00DD19AC">
          <w:rPr>
            <w:noProof/>
            <w:webHidden/>
            <w:sz w:val="22"/>
            <w:szCs w:val="22"/>
          </w:rPr>
          <w:fldChar w:fldCharType="end"/>
        </w:r>
      </w:hyperlink>
    </w:p>
    <w:p w14:paraId="452F5D2C" w14:textId="67D19092" w:rsidR="00D61AD6" w:rsidRPr="00DD19AC" w:rsidRDefault="00D61AD6">
      <w:pPr>
        <w:pStyle w:val="TOC3"/>
        <w:tabs>
          <w:tab w:val="left" w:pos="2194"/>
        </w:tabs>
        <w:rPr>
          <w:rFonts w:asciiTheme="minorHAnsi" w:eastAsiaTheme="minorEastAsia" w:hAnsiTheme="minorHAnsi" w:cstheme="minorBidi"/>
          <w:noProof/>
          <w:sz w:val="22"/>
          <w:szCs w:val="22"/>
          <w:lang w:eastAsia="en-US"/>
        </w:rPr>
      </w:pPr>
      <w:hyperlink w:anchor="_Toc531018670" w:history="1">
        <w:r w:rsidRPr="00DD19AC">
          <w:rPr>
            <w:rStyle w:val="Hyperlink"/>
            <w:rFonts w:ascii="Arial" w:hAnsi="Arial"/>
            <w:noProof/>
            <w:sz w:val="22"/>
            <w:szCs w:val="22"/>
          </w:rPr>
          <w:t>3.6.1</w:t>
        </w:r>
        <w:r w:rsidRPr="00DD19AC">
          <w:rPr>
            <w:rFonts w:asciiTheme="minorHAnsi" w:eastAsiaTheme="minorEastAsia" w:hAnsiTheme="minorHAnsi" w:cstheme="minorBidi"/>
            <w:noProof/>
            <w:sz w:val="22"/>
            <w:szCs w:val="22"/>
            <w:lang w:eastAsia="en-US"/>
          </w:rPr>
          <w:tab/>
        </w:r>
        <w:r w:rsidRPr="00DD19AC">
          <w:rPr>
            <w:rStyle w:val="Hyperlink"/>
            <w:rFonts w:ascii="Arial" w:hAnsi="Arial"/>
            <w:noProof/>
            <w:sz w:val="22"/>
            <w:szCs w:val="22"/>
          </w:rPr>
          <w:t>Economic Costs of Geothermal Projects</w:t>
        </w:r>
        <w:r w:rsidRPr="00DD19AC">
          <w:rPr>
            <w:noProof/>
            <w:webHidden/>
            <w:sz w:val="22"/>
            <w:szCs w:val="22"/>
          </w:rPr>
          <w:tab/>
        </w:r>
        <w:r w:rsidRPr="00DD19AC">
          <w:rPr>
            <w:noProof/>
            <w:webHidden/>
            <w:sz w:val="22"/>
            <w:szCs w:val="22"/>
          </w:rPr>
          <w:fldChar w:fldCharType="begin"/>
        </w:r>
        <w:r w:rsidRPr="00DD19AC">
          <w:rPr>
            <w:noProof/>
            <w:webHidden/>
            <w:sz w:val="22"/>
            <w:szCs w:val="22"/>
          </w:rPr>
          <w:instrText xml:space="preserve"> PAGEREF _Toc531018670 \h </w:instrText>
        </w:r>
        <w:r w:rsidRPr="00DD19AC">
          <w:rPr>
            <w:noProof/>
            <w:webHidden/>
            <w:sz w:val="22"/>
            <w:szCs w:val="22"/>
          </w:rPr>
        </w:r>
        <w:r w:rsidRPr="00DD19AC">
          <w:rPr>
            <w:noProof/>
            <w:webHidden/>
            <w:sz w:val="22"/>
            <w:szCs w:val="22"/>
          </w:rPr>
          <w:fldChar w:fldCharType="separate"/>
        </w:r>
        <w:r w:rsidRPr="00DD19AC">
          <w:rPr>
            <w:noProof/>
            <w:webHidden/>
            <w:sz w:val="22"/>
            <w:szCs w:val="22"/>
          </w:rPr>
          <w:t>25</w:t>
        </w:r>
        <w:r w:rsidRPr="00DD19AC">
          <w:rPr>
            <w:noProof/>
            <w:webHidden/>
            <w:sz w:val="22"/>
            <w:szCs w:val="22"/>
          </w:rPr>
          <w:fldChar w:fldCharType="end"/>
        </w:r>
      </w:hyperlink>
    </w:p>
    <w:p w14:paraId="45164DA1" w14:textId="4EE70A16" w:rsidR="00D61AD6" w:rsidRPr="00DD19AC" w:rsidRDefault="00D61AD6">
      <w:pPr>
        <w:pStyle w:val="TOC3"/>
        <w:tabs>
          <w:tab w:val="left" w:pos="2194"/>
        </w:tabs>
        <w:rPr>
          <w:rFonts w:asciiTheme="minorHAnsi" w:eastAsiaTheme="minorEastAsia" w:hAnsiTheme="minorHAnsi" w:cstheme="minorBidi"/>
          <w:noProof/>
          <w:sz w:val="22"/>
          <w:szCs w:val="22"/>
          <w:lang w:eastAsia="en-US"/>
        </w:rPr>
      </w:pPr>
      <w:hyperlink w:anchor="_Toc531018671" w:history="1">
        <w:r w:rsidRPr="00DD19AC">
          <w:rPr>
            <w:rStyle w:val="Hyperlink"/>
            <w:rFonts w:ascii="Arial" w:hAnsi="Arial"/>
            <w:noProof/>
            <w:sz w:val="22"/>
            <w:szCs w:val="22"/>
          </w:rPr>
          <w:t>3.6.2</w:t>
        </w:r>
        <w:r w:rsidRPr="00DD19AC">
          <w:rPr>
            <w:rFonts w:asciiTheme="minorHAnsi" w:eastAsiaTheme="minorEastAsia" w:hAnsiTheme="minorHAnsi" w:cstheme="minorBidi"/>
            <w:noProof/>
            <w:sz w:val="22"/>
            <w:szCs w:val="22"/>
            <w:lang w:eastAsia="en-US"/>
          </w:rPr>
          <w:tab/>
        </w:r>
        <w:r w:rsidRPr="00DD19AC">
          <w:rPr>
            <w:rStyle w:val="Hyperlink"/>
            <w:rFonts w:ascii="Arial" w:hAnsi="Arial"/>
            <w:noProof/>
            <w:sz w:val="22"/>
            <w:szCs w:val="22"/>
          </w:rPr>
          <w:t>Economic Benefits of Geothermal Projects</w:t>
        </w:r>
        <w:r w:rsidRPr="00DD19AC">
          <w:rPr>
            <w:noProof/>
            <w:webHidden/>
            <w:sz w:val="22"/>
            <w:szCs w:val="22"/>
          </w:rPr>
          <w:tab/>
        </w:r>
        <w:r w:rsidRPr="00DD19AC">
          <w:rPr>
            <w:noProof/>
            <w:webHidden/>
            <w:sz w:val="22"/>
            <w:szCs w:val="22"/>
          </w:rPr>
          <w:fldChar w:fldCharType="begin"/>
        </w:r>
        <w:r w:rsidRPr="00DD19AC">
          <w:rPr>
            <w:noProof/>
            <w:webHidden/>
            <w:sz w:val="22"/>
            <w:szCs w:val="22"/>
          </w:rPr>
          <w:instrText xml:space="preserve"> PAGEREF _Toc531018671 \h </w:instrText>
        </w:r>
        <w:r w:rsidRPr="00DD19AC">
          <w:rPr>
            <w:noProof/>
            <w:webHidden/>
            <w:sz w:val="22"/>
            <w:szCs w:val="22"/>
          </w:rPr>
        </w:r>
        <w:r w:rsidRPr="00DD19AC">
          <w:rPr>
            <w:noProof/>
            <w:webHidden/>
            <w:sz w:val="22"/>
            <w:szCs w:val="22"/>
          </w:rPr>
          <w:fldChar w:fldCharType="separate"/>
        </w:r>
        <w:r w:rsidRPr="00DD19AC">
          <w:rPr>
            <w:noProof/>
            <w:webHidden/>
            <w:sz w:val="22"/>
            <w:szCs w:val="22"/>
          </w:rPr>
          <w:t>26</w:t>
        </w:r>
        <w:r w:rsidRPr="00DD19AC">
          <w:rPr>
            <w:noProof/>
            <w:webHidden/>
            <w:sz w:val="22"/>
            <w:szCs w:val="22"/>
          </w:rPr>
          <w:fldChar w:fldCharType="end"/>
        </w:r>
      </w:hyperlink>
    </w:p>
    <w:p w14:paraId="03AD01DE" w14:textId="134EED84" w:rsidR="00D61AD6" w:rsidRPr="00DD19AC" w:rsidRDefault="00D61AD6">
      <w:pPr>
        <w:pStyle w:val="TOC3"/>
        <w:tabs>
          <w:tab w:val="left" w:pos="2194"/>
        </w:tabs>
        <w:rPr>
          <w:rFonts w:asciiTheme="minorHAnsi" w:eastAsiaTheme="minorEastAsia" w:hAnsiTheme="minorHAnsi" w:cstheme="minorBidi"/>
          <w:noProof/>
          <w:sz w:val="22"/>
          <w:szCs w:val="22"/>
          <w:lang w:eastAsia="en-US"/>
        </w:rPr>
      </w:pPr>
      <w:hyperlink w:anchor="_Toc531018672" w:history="1">
        <w:r w:rsidRPr="00DD19AC">
          <w:rPr>
            <w:rStyle w:val="Hyperlink"/>
            <w:rFonts w:ascii="Arial" w:hAnsi="Arial"/>
            <w:noProof/>
            <w:sz w:val="22"/>
            <w:szCs w:val="22"/>
          </w:rPr>
          <w:t>3.6.3</w:t>
        </w:r>
        <w:r w:rsidRPr="00DD19AC">
          <w:rPr>
            <w:rFonts w:asciiTheme="minorHAnsi" w:eastAsiaTheme="minorEastAsia" w:hAnsiTheme="minorHAnsi" w:cstheme="minorBidi"/>
            <w:noProof/>
            <w:sz w:val="22"/>
            <w:szCs w:val="22"/>
            <w:lang w:eastAsia="en-US"/>
          </w:rPr>
          <w:tab/>
        </w:r>
        <w:r w:rsidRPr="00DD19AC">
          <w:rPr>
            <w:rStyle w:val="Hyperlink"/>
            <w:rFonts w:ascii="Arial" w:hAnsi="Arial"/>
            <w:noProof/>
            <w:sz w:val="22"/>
            <w:szCs w:val="22"/>
          </w:rPr>
          <w:t>Net Economic Benefits of Geothermal Projects</w:t>
        </w:r>
        <w:r w:rsidRPr="00DD19AC">
          <w:rPr>
            <w:noProof/>
            <w:webHidden/>
            <w:sz w:val="22"/>
            <w:szCs w:val="22"/>
          </w:rPr>
          <w:tab/>
        </w:r>
        <w:r w:rsidRPr="00DD19AC">
          <w:rPr>
            <w:noProof/>
            <w:webHidden/>
            <w:sz w:val="22"/>
            <w:szCs w:val="22"/>
          </w:rPr>
          <w:fldChar w:fldCharType="begin"/>
        </w:r>
        <w:r w:rsidRPr="00DD19AC">
          <w:rPr>
            <w:noProof/>
            <w:webHidden/>
            <w:sz w:val="22"/>
            <w:szCs w:val="22"/>
          </w:rPr>
          <w:instrText xml:space="preserve"> PAGEREF _Toc531018672 \h </w:instrText>
        </w:r>
        <w:r w:rsidRPr="00DD19AC">
          <w:rPr>
            <w:noProof/>
            <w:webHidden/>
            <w:sz w:val="22"/>
            <w:szCs w:val="22"/>
          </w:rPr>
        </w:r>
        <w:r w:rsidRPr="00DD19AC">
          <w:rPr>
            <w:noProof/>
            <w:webHidden/>
            <w:sz w:val="22"/>
            <w:szCs w:val="22"/>
          </w:rPr>
          <w:fldChar w:fldCharType="separate"/>
        </w:r>
        <w:r w:rsidRPr="00DD19AC">
          <w:rPr>
            <w:noProof/>
            <w:webHidden/>
            <w:sz w:val="22"/>
            <w:szCs w:val="22"/>
          </w:rPr>
          <w:t>28</w:t>
        </w:r>
        <w:r w:rsidRPr="00DD19AC">
          <w:rPr>
            <w:noProof/>
            <w:webHidden/>
            <w:sz w:val="22"/>
            <w:szCs w:val="22"/>
          </w:rPr>
          <w:fldChar w:fldCharType="end"/>
        </w:r>
      </w:hyperlink>
    </w:p>
    <w:p w14:paraId="1F2D561A" w14:textId="268D3C63" w:rsidR="00D61AD6" w:rsidRPr="00DD19AC" w:rsidRDefault="00D61AD6">
      <w:pPr>
        <w:pStyle w:val="TOC3"/>
        <w:tabs>
          <w:tab w:val="left" w:pos="2194"/>
        </w:tabs>
        <w:rPr>
          <w:rFonts w:asciiTheme="minorHAnsi" w:eastAsiaTheme="minorEastAsia" w:hAnsiTheme="minorHAnsi" w:cstheme="minorBidi"/>
          <w:noProof/>
          <w:sz w:val="22"/>
          <w:szCs w:val="22"/>
          <w:lang w:eastAsia="en-US"/>
        </w:rPr>
      </w:pPr>
      <w:hyperlink w:anchor="_Toc531018673" w:history="1">
        <w:r w:rsidRPr="00DD19AC">
          <w:rPr>
            <w:rStyle w:val="Hyperlink"/>
            <w:rFonts w:ascii="Arial" w:hAnsi="Arial"/>
            <w:noProof/>
            <w:sz w:val="22"/>
            <w:szCs w:val="22"/>
          </w:rPr>
          <w:t>3.6.4</w:t>
        </w:r>
        <w:r w:rsidRPr="00DD19AC">
          <w:rPr>
            <w:rFonts w:asciiTheme="minorHAnsi" w:eastAsiaTheme="minorEastAsia" w:hAnsiTheme="minorHAnsi" w:cstheme="minorBidi"/>
            <w:noProof/>
            <w:sz w:val="22"/>
            <w:szCs w:val="22"/>
            <w:lang w:eastAsia="en-US"/>
          </w:rPr>
          <w:tab/>
        </w:r>
        <w:r w:rsidRPr="00DD19AC">
          <w:rPr>
            <w:rStyle w:val="Hyperlink"/>
            <w:rFonts w:ascii="Arial" w:hAnsi="Arial"/>
            <w:noProof/>
            <w:sz w:val="22"/>
            <w:szCs w:val="22"/>
          </w:rPr>
          <w:t>Data collection</w:t>
        </w:r>
        <w:r w:rsidRPr="00DD19AC">
          <w:rPr>
            <w:noProof/>
            <w:webHidden/>
            <w:sz w:val="22"/>
            <w:szCs w:val="22"/>
          </w:rPr>
          <w:tab/>
        </w:r>
        <w:r w:rsidRPr="00DD19AC">
          <w:rPr>
            <w:noProof/>
            <w:webHidden/>
            <w:sz w:val="22"/>
            <w:szCs w:val="22"/>
          </w:rPr>
          <w:fldChar w:fldCharType="begin"/>
        </w:r>
        <w:r w:rsidRPr="00DD19AC">
          <w:rPr>
            <w:noProof/>
            <w:webHidden/>
            <w:sz w:val="22"/>
            <w:szCs w:val="22"/>
          </w:rPr>
          <w:instrText xml:space="preserve"> PAGEREF _Toc531018673 \h </w:instrText>
        </w:r>
        <w:r w:rsidRPr="00DD19AC">
          <w:rPr>
            <w:noProof/>
            <w:webHidden/>
            <w:sz w:val="22"/>
            <w:szCs w:val="22"/>
          </w:rPr>
        </w:r>
        <w:r w:rsidRPr="00DD19AC">
          <w:rPr>
            <w:noProof/>
            <w:webHidden/>
            <w:sz w:val="22"/>
            <w:szCs w:val="22"/>
          </w:rPr>
          <w:fldChar w:fldCharType="separate"/>
        </w:r>
        <w:r w:rsidRPr="00DD19AC">
          <w:rPr>
            <w:noProof/>
            <w:webHidden/>
            <w:sz w:val="22"/>
            <w:szCs w:val="22"/>
          </w:rPr>
          <w:t>28</w:t>
        </w:r>
        <w:r w:rsidRPr="00DD19AC">
          <w:rPr>
            <w:noProof/>
            <w:webHidden/>
            <w:sz w:val="22"/>
            <w:szCs w:val="22"/>
          </w:rPr>
          <w:fldChar w:fldCharType="end"/>
        </w:r>
      </w:hyperlink>
    </w:p>
    <w:p w14:paraId="294CDC9E" w14:textId="1491634D" w:rsidR="00D61AD6" w:rsidRPr="00DD19AC" w:rsidRDefault="00D61AD6">
      <w:pPr>
        <w:pStyle w:val="TOC2"/>
        <w:tabs>
          <w:tab w:val="left" w:pos="1440"/>
        </w:tabs>
        <w:rPr>
          <w:rFonts w:asciiTheme="minorHAnsi" w:eastAsiaTheme="minorEastAsia" w:hAnsiTheme="minorHAnsi" w:cstheme="minorBidi"/>
          <w:noProof/>
          <w:sz w:val="22"/>
          <w:szCs w:val="22"/>
          <w:lang w:eastAsia="en-US"/>
        </w:rPr>
      </w:pPr>
      <w:hyperlink w:anchor="_Toc531018674" w:history="1">
        <w:r w:rsidRPr="00DD19AC">
          <w:rPr>
            <w:rStyle w:val="Hyperlink"/>
            <w:rFonts w:ascii="Arial" w:hAnsi="Arial"/>
            <w:noProof/>
            <w:sz w:val="22"/>
            <w:szCs w:val="22"/>
          </w:rPr>
          <w:t>3.7</w:t>
        </w:r>
        <w:r w:rsidRPr="00DD19AC">
          <w:rPr>
            <w:rFonts w:asciiTheme="minorHAnsi" w:eastAsiaTheme="minorEastAsia" w:hAnsiTheme="minorHAnsi" w:cstheme="minorBidi"/>
            <w:noProof/>
            <w:sz w:val="22"/>
            <w:szCs w:val="22"/>
            <w:lang w:eastAsia="en-US"/>
          </w:rPr>
          <w:tab/>
        </w:r>
        <w:r w:rsidRPr="00DD19AC">
          <w:rPr>
            <w:rStyle w:val="Hyperlink"/>
            <w:rFonts w:ascii="Arial" w:hAnsi="Arial"/>
            <w:noProof/>
            <w:sz w:val="22"/>
            <w:szCs w:val="22"/>
          </w:rPr>
          <w:t>Evaluation Coordination, Work Plan, and Budget</w:t>
        </w:r>
        <w:r w:rsidRPr="00DD19AC">
          <w:rPr>
            <w:noProof/>
            <w:webHidden/>
            <w:sz w:val="22"/>
            <w:szCs w:val="22"/>
          </w:rPr>
          <w:tab/>
        </w:r>
        <w:r w:rsidRPr="00DD19AC">
          <w:rPr>
            <w:noProof/>
            <w:webHidden/>
            <w:sz w:val="22"/>
            <w:szCs w:val="22"/>
          </w:rPr>
          <w:fldChar w:fldCharType="begin"/>
        </w:r>
        <w:r w:rsidRPr="00DD19AC">
          <w:rPr>
            <w:noProof/>
            <w:webHidden/>
            <w:sz w:val="22"/>
            <w:szCs w:val="22"/>
          </w:rPr>
          <w:instrText xml:space="preserve"> PAGEREF _Toc531018674 \h </w:instrText>
        </w:r>
        <w:r w:rsidRPr="00DD19AC">
          <w:rPr>
            <w:noProof/>
            <w:webHidden/>
            <w:sz w:val="22"/>
            <w:szCs w:val="22"/>
          </w:rPr>
        </w:r>
        <w:r w:rsidRPr="00DD19AC">
          <w:rPr>
            <w:noProof/>
            <w:webHidden/>
            <w:sz w:val="22"/>
            <w:szCs w:val="22"/>
          </w:rPr>
          <w:fldChar w:fldCharType="separate"/>
        </w:r>
        <w:r w:rsidRPr="00DD19AC">
          <w:rPr>
            <w:noProof/>
            <w:webHidden/>
            <w:sz w:val="22"/>
            <w:szCs w:val="22"/>
          </w:rPr>
          <w:t>28</w:t>
        </w:r>
        <w:r w:rsidRPr="00DD19AC">
          <w:rPr>
            <w:noProof/>
            <w:webHidden/>
            <w:sz w:val="22"/>
            <w:szCs w:val="22"/>
          </w:rPr>
          <w:fldChar w:fldCharType="end"/>
        </w:r>
      </w:hyperlink>
    </w:p>
    <w:p w14:paraId="3E7AE2A2" w14:textId="2CA48ED2" w:rsidR="004E4BE2" w:rsidRPr="00DD19AC" w:rsidRDefault="00F04717" w:rsidP="00BC22A3">
      <w:pPr>
        <w:pStyle w:val="TableText"/>
        <w:spacing w:before="0" w:after="0"/>
        <w:jc w:val="both"/>
        <w:rPr>
          <w:rFonts w:ascii="Arial" w:hAnsi="Arial" w:cs="Arial"/>
          <w:szCs w:val="22"/>
        </w:rPr>
      </w:pPr>
      <w:r w:rsidRPr="00DD19AC">
        <w:rPr>
          <w:rFonts w:ascii="Arial" w:hAnsi="Arial" w:cs="Arial"/>
          <w:noProof/>
          <w:szCs w:val="22"/>
        </w:rPr>
        <w:fldChar w:fldCharType="end"/>
      </w:r>
    </w:p>
    <w:p w14:paraId="3BFF5745" w14:textId="77777777" w:rsidR="004E4BE2" w:rsidRPr="00DD19AC" w:rsidRDefault="004E4BE2" w:rsidP="004E4BE2">
      <w:pPr>
        <w:pStyle w:val="BoldHeading"/>
        <w:rPr>
          <w:rFonts w:ascii="Arial" w:hAnsi="Arial"/>
          <w:sz w:val="22"/>
          <w:szCs w:val="22"/>
        </w:rPr>
      </w:pPr>
      <w:r w:rsidRPr="00DD19AC">
        <w:rPr>
          <w:rFonts w:ascii="Arial" w:hAnsi="Arial"/>
          <w:sz w:val="22"/>
          <w:szCs w:val="22"/>
        </w:rPr>
        <w:t>Tables</w:t>
      </w:r>
    </w:p>
    <w:p w14:paraId="4DC3CA2E" w14:textId="60976512" w:rsidR="003475B9" w:rsidRPr="00DD19AC" w:rsidRDefault="00F04717">
      <w:pPr>
        <w:pStyle w:val="TableofFigures"/>
        <w:rPr>
          <w:rFonts w:ascii="Arial" w:eastAsiaTheme="minorEastAsia" w:hAnsi="Arial" w:cs="Arial"/>
          <w:b w:val="0"/>
          <w:noProof/>
          <w:sz w:val="22"/>
          <w:szCs w:val="22"/>
          <w:lang w:eastAsia="en-US"/>
        </w:rPr>
      </w:pPr>
      <w:r w:rsidRPr="00DD19AC">
        <w:rPr>
          <w:rFonts w:ascii="Arial" w:hAnsi="Arial" w:cs="Arial"/>
          <w:sz w:val="22"/>
          <w:szCs w:val="22"/>
        </w:rPr>
        <w:fldChar w:fldCharType="begin"/>
      </w:r>
      <w:r w:rsidR="00E205AE" w:rsidRPr="00DD19AC">
        <w:rPr>
          <w:rFonts w:ascii="Arial" w:hAnsi="Arial" w:cs="Arial"/>
          <w:sz w:val="22"/>
          <w:szCs w:val="22"/>
        </w:rPr>
        <w:instrText xml:space="preserve"> TOC \h \z \c "Table" </w:instrText>
      </w:r>
      <w:r w:rsidRPr="00DD19AC">
        <w:rPr>
          <w:rFonts w:ascii="Arial" w:hAnsi="Arial" w:cs="Arial"/>
          <w:sz w:val="22"/>
          <w:szCs w:val="22"/>
        </w:rPr>
        <w:fldChar w:fldCharType="separate"/>
      </w:r>
      <w:hyperlink w:anchor="_Toc423458251" w:history="1">
        <w:r w:rsidR="003475B9" w:rsidRPr="00DD19AC">
          <w:rPr>
            <w:rStyle w:val="Hyperlink"/>
            <w:rFonts w:ascii="Arial" w:hAnsi="Arial" w:cs="Arial"/>
            <w:noProof/>
            <w:sz w:val="22"/>
            <w:szCs w:val="22"/>
          </w:rPr>
          <w:t>Table 2.1: Output Indicators</w:t>
        </w:r>
        <w:r w:rsidR="003475B9" w:rsidRPr="00DD19AC">
          <w:rPr>
            <w:rFonts w:ascii="Arial" w:hAnsi="Arial" w:cs="Arial"/>
            <w:noProof/>
            <w:webHidden/>
            <w:sz w:val="22"/>
            <w:szCs w:val="22"/>
          </w:rPr>
          <w:tab/>
        </w:r>
        <w:r w:rsidR="003475B9" w:rsidRPr="00DD19AC">
          <w:rPr>
            <w:rFonts w:ascii="Arial" w:hAnsi="Arial" w:cs="Arial"/>
            <w:noProof/>
            <w:webHidden/>
            <w:sz w:val="22"/>
            <w:szCs w:val="22"/>
          </w:rPr>
          <w:fldChar w:fldCharType="begin"/>
        </w:r>
        <w:r w:rsidR="003475B9" w:rsidRPr="00DD19AC">
          <w:rPr>
            <w:rFonts w:ascii="Arial" w:hAnsi="Arial" w:cs="Arial"/>
            <w:noProof/>
            <w:webHidden/>
            <w:sz w:val="22"/>
            <w:szCs w:val="22"/>
          </w:rPr>
          <w:instrText xml:space="preserve"> PAGEREF _Toc423458251 \h </w:instrText>
        </w:r>
        <w:r w:rsidR="003475B9" w:rsidRPr="00DD19AC">
          <w:rPr>
            <w:rFonts w:ascii="Arial" w:hAnsi="Arial" w:cs="Arial"/>
            <w:noProof/>
            <w:webHidden/>
            <w:sz w:val="22"/>
            <w:szCs w:val="22"/>
          </w:rPr>
        </w:r>
        <w:r w:rsidR="003475B9" w:rsidRPr="00DD19AC">
          <w:rPr>
            <w:rFonts w:ascii="Arial" w:hAnsi="Arial" w:cs="Arial"/>
            <w:noProof/>
            <w:webHidden/>
            <w:sz w:val="22"/>
            <w:szCs w:val="22"/>
          </w:rPr>
          <w:fldChar w:fldCharType="separate"/>
        </w:r>
        <w:r w:rsidR="00D61AD6" w:rsidRPr="00DD19AC">
          <w:rPr>
            <w:rFonts w:ascii="Arial" w:hAnsi="Arial" w:cs="Arial"/>
            <w:noProof/>
            <w:webHidden/>
            <w:sz w:val="22"/>
            <w:szCs w:val="22"/>
          </w:rPr>
          <w:t>7</w:t>
        </w:r>
        <w:r w:rsidR="003475B9" w:rsidRPr="00DD19AC">
          <w:rPr>
            <w:rFonts w:ascii="Arial" w:hAnsi="Arial" w:cs="Arial"/>
            <w:noProof/>
            <w:webHidden/>
            <w:sz w:val="22"/>
            <w:szCs w:val="22"/>
          </w:rPr>
          <w:fldChar w:fldCharType="end"/>
        </w:r>
      </w:hyperlink>
    </w:p>
    <w:p w14:paraId="6B3037ED" w14:textId="2B075F9C" w:rsidR="003475B9" w:rsidRPr="00DD19AC" w:rsidRDefault="00DD19AC">
      <w:pPr>
        <w:pStyle w:val="TableofFigures"/>
        <w:rPr>
          <w:rFonts w:ascii="Arial" w:eastAsiaTheme="minorEastAsia" w:hAnsi="Arial" w:cs="Arial"/>
          <w:b w:val="0"/>
          <w:noProof/>
          <w:sz w:val="22"/>
          <w:szCs w:val="22"/>
          <w:lang w:eastAsia="en-US"/>
        </w:rPr>
      </w:pPr>
      <w:hyperlink w:anchor="_Toc423458252" w:history="1">
        <w:r w:rsidR="003475B9" w:rsidRPr="00DD19AC">
          <w:rPr>
            <w:rStyle w:val="Hyperlink"/>
            <w:rFonts w:ascii="Arial" w:hAnsi="Arial" w:cs="Arial"/>
            <w:noProof/>
            <w:sz w:val="22"/>
            <w:szCs w:val="22"/>
          </w:rPr>
          <w:t>Table 2.2: Annual Costs by Output (US$ millions)</w:t>
        </w:r>
        <w:r w:rsidR="003475B9" w:rsidRPr="00DD19AC">
          <w:rPr>
            <w:rFonts w:ascii="Arial" w:hAnsi="Arial" w:cs="Arial"/>
            <w:noProof/>
            <w:webHidden/>
            <w:sz w:val="22"/>
            <w:szCs w:val="22"/>
          </w:rPr>
          <w:tab/>
        </w:r>
        <w:r w:rsidR="003475B9" w:rsidRPr="00DD19AC">
          <w:rPr>
            <w:rFonts w:ascii="Arial" w:hAnsi="Arial" w:cs="Arial"/>
            <w:noProof/>
            <w:webHidden/>
            <w:sz w:val="22"/>
            <w:szCs w:val="22"/>
          </w:rPr>
          <w:fldChar w:fldCharType="begin"/>
        </w:r>
        <w:r w:rsidR="003475B9" w:rsidRPr="00DD19AC">
          <w:rPr>
            <w:rFonts w:ascii="Arial" w:hAnsi="Arial" w:cs="Arial"/>
            <w:noProof/>
            <w:webHidden/>
            <w:sz w:val="22"/>
            <w:szCs w:val="22"/>
          </w:rPr>
          <w:instrText xml:space="preserve"> PAGEREF _Toc423458252 \h </w:instrText>
        </w:r>
        <w:r w:rsidR="003475B9" w:rsidRPr="00DD19AC">
          <w:rPr>
            <w:rFonts w:ascii="Arial" w:hAnsi="Arial" w:cs="Arial"/>
            <w:noProof/>
            <w:webHidden/>
            <w:sz w:val="22"/>
            <w:szCs w:val="22"/>
          </w:rPr>
        </w:r>
        <w:r w:rsidR="003475B9" w:rsidRPr="00DD19AC">
          <w:rPr>
            <w:rFonts w:ascii="Arial" w:hAnsi="Arial" w:cs="Arial"/>
            <w:noProof/>
            <w:webHidden/>
            <w:sz w:val="22"/>
            <w:szCs w:val="22"/>
          </w:rPr>
          <w:fldChar w:fldCharType="separate"/>
        </w:r>
        <w:r w:rsidR="00D61AD6" w:rsidRPr="00DD19AC">
          <w:rPr>
            <w:rFonts w:ascii="Arial" w:hAnsi="Arial" w:cs="Arial"/>
            <w:noProof/>
            <w:webHidden/>
            <w:sz w:val="22"/>
            <w:szCs w:val="22"/>
          </w:rPr>
          <w:t>9</w:t>
        </w:r>
        <w:r w:rsidR="003475B9" w:rsidRPr="00DD19AC">
          <w:rPr>
            <w:rFonts w:ascii="Arial" w:hAnsi="Arial" w:cs="Arial"/>
            <w:noProof/>
            <w:webHidden/>
            <w:sz w:val="22"/>
            <w:szCs w:val="22"/>
          </w:rPr>
          <w:fldChar w:fldCharType="end"/>
        </w:r>
      </w:hyperlink>
    </w:p>
    <w:p w14:paraId="33DE6A8C" w14:textId="6C0BB17D" w:rsidR="003475B9" w:rsidRPr="00DD19AC" w:rsidRDefault="00DD19AC">
      <w:pPr>
        <w:pStyle w:val="TableofFigures"/>
        <w:rPr>
          <w:rFonts w:ascii="Arial" w:eastAsiaTheme="minorEastAsia" w:hAnsi="Arial" w:cs="Arial"/>
          <w:b w:val="0"/>
          <w:noProof/>
          <w:sz w:val="22"/>
          <w:szCs w:val="22"/>
          <w:lang w:eastAsia="en-US"/>
        </w:rPr>
      </w:pPr>
      <w:hyperlink w:anchor="_Toc423458253" w:history="1">
        <w:r w:rsidR="003475B9" w:rsidRPr="00DD19AC">
          <w:rPr>
            <w:rStyle w:val="Hyperlink"/>
            <w:rFonts w:ascii="Arial" w:hAnsi="Arial" w:cs="Arial"/>
            <w:noProof/>
            <w:sz w:val="22"/>
            <w:szCs w:val="22"/>
          </w:rPr>
          <w:t>Table 2.3: Monitoring Work Plan</w:t>
        </w:r>
        <w:r w:rsidR="003475B9" w:rsidRPr="00DD19AC">
          <w:rPr>
            <w:rFonts w:ascii="Arial" w:hAnsi="Arial" w:cs="Arial"/>
            <w:noProof/>
            <w:webHidden/>
            <w:sz w:val="22"/>
            <w:szCs w:val="22"/>
          </w:rPr>
          <w:tab/>
        </w:r>
        <w:r w:rsidR="003475B9" w:rsidRPr="00DD19AC">
          <w:rPr>
            <w:rFonts w:ascii="Arial" w:hAnsi="Arial" w:cs="Arial"/>
            <w:noProof/>
            <w:webHidden/>
            <w:sz w:val="22"/>
            <w:szCs w:val="22"/>
          </w:rPr>
          <w:fldChar w:fldCharType="begin"/>
        </w:r>
        <w:r w:rsidR="003475B9" w:rsidRPr="00DD19AC">
          <w:rPr>
            <w:rFonts w:ascii="Arial" w:hAnsi="Arial" w:cs="Arial"/>
            <w:noProof/>
            <w:webHidden/>
            <w:sz w:val="22"/>
            <w:szCs w:val="22"/>
          </w:rPr>
          <w:instrText xml:space="preserve"> PAGEREF _Toc423458253 \h </w:instrText>
        </w:r>
        <w:r w:rsidR="003475B9" w:rsidRPr="00DD19AC">
          <w:rPr>
            <w:rFonts w:ascii="Arial" w:hAnsi="Arial" w:cs="Arial"/>
            <w:noProof/>
            <w:webHidden/>
            <w:sz w:val="22"/>
            <w:szCs w:val="22"/>
          </w:rPr>
        </w:r>
        <w:r w:rsidR="003475B9" w:rsidRPr="00DD19AC">
          <w:rPr>
            <w:rFonts w:ascii="Arial" w:hAnsi="Arial" w:cs="Arial"/>
            <w:noProof/>
            <w:webHidden/>
            <w:sz w:val="22"/>
            <w:szCs w:val="22"/>
          </w:rPr>
          <w:fldChar w:fldCharType="separate"/>
        </w:r>
        <w:r w:rsidR="00D61AD6" w:rsidRPr="00DD19AC">
          <w:rPr>
            <w:rFonts w:ascii="Arial" w:hAnsi="Arial" w:cs="Arial"/>
            <w:noProof/>
            <w:webHidden/>
            <w:sz w:val="22"/>
            <w:szCs w:val="22"/>
          </w:rPr>
          <w:t>16</w:t>
        </w:r>
        <w:r w:rsidR="003475B9" w:rsidRPr="00DD19AC">
          <w:rPr>
            <w:rFonts w:ascii="Arial" w:hAnsi="Arial" w:cs="Arial"/>
            <w:noProof/>
            <w:webHidden/>
            <w:sz w:val="22"/>
            <w:szCs w:val="22"/>
          </w:rPr>
          <w:fldChar w:fldCharType="end"/>
        </w:r>
      </w:hyperlink>
    </w:p>
    <w:p w14:paraId="76AA429D" w14:textId="7503C093" w:rsidR="003475B9" w:rsidRPr="00DD19AC" w:rsidRDefault="00DD19AC">
      <w:pPr>
        <w:pStyle w:val="TableofFigures"/>
        <w:rPr>
          <w:rFonts w:ascii="Arial" w:eastAsiaTheme="minorEastAsia" w:hAnsi="Arial" w:cs="Arial"/>
          <w:b w:val="0"/>
          <w:noProof/>
          <w:sz w:val="22"/>
          <w:szCs w:val="22"/>
          <w:lang w:eastAsia="en-US"/>
        </w:rPr>
      </w:pPr>
      <w:hyperlink w:anchor="_Toc423458254" w:history="1">
        <w:r w:rsidR="003475B9" w:rsidRPr="00DD19AC">
          <w:rPr>
            <w:rStyle w:val="Hyperlink"/>
            <w:rFonts w:ascii="Arial" w:hAnsi="Arial" w:cs="Arial"/>
            <w:noProof/>
            <w:sz w:val="22"/>
            <w:szCs w:val="22"/>
          </w:rPr>
          <w:t>Table 3.1: Key Results Indictors</w:t>
        </w:r>
        <w:r w:rsidR="003475B9" w:rsidRPr="00DD19AC">
          <w:rPr>
            <w:rFonts w:ascii="Arial" w:hAnsi="Arial" w:cs="Arial"/>
            <w:noProof/>
            <w:webHidden/>
            <w:sz w:val="22"/>
            <w:szCs w:val="22"/>
          </w:rPr>
          <w:tab/>
        </w:r>
        <w:r w:rsidR="003475B9" w:rsidRPr="00DD19AC">
          <w:rPr>
            <w:rFonts w:ascii="Arial" w:hAnsi="Arial" w:cs="Arial"/>
            <w:noProof/>
            <w:webHidden/>
            <w:sz w:val="22"/>
            <w:szCs w:val="22"/>
          </w:rPr>
          <w:fldChar w:fldCharType="begin"/>
        </w:r>
        <w:r w:rsidR="003475B9" w:rsidRPr="00DD19AC">
          <w:rPr>
            <w:rFonts w:ascii="Arial" w:hAnsi="Arial" w:cs="Arial"/>
            <w:noProof/>
            <w:webHidden/>
            <w:sz w:val="22"/>
            <w:szCs w:val="22"/>
          </w:rPr>
          <w:instrText xml:space="preserve"> PAGEREF _Toc423458254 \h </w:instrText>
        </w:r>
        <w:r w:rsidR="003475B9" w:rsidRPr="00DD19AC">
          <w:rPr>
            <w:rFonts w:ascii="Arial" w:hAnsi="Arial" w:cs="Arial"/>
            <w:noProof/>
            <w:webHidden/>
            <w:sz w:val="22"/>
            <w:szCs w:val="22"/>
          </w:rPr>
        </w:r>
        <w:r w:rsidR="003475B9" w:rsidRPr="00DD19AC">
          <w:rPr>
            <w:rFonts w:ascii="Arial" w:hAnsi="Arial" w:cs="Arial"/>
            <w:noProof/>
            <w:webHidden/>
            <w:sz w:val="22"/>
            <w:szCs w:val="22"/>
          </w:rPr>
          <w:fldChar w:fldCharType="separate"/>
        </w:r>
        <w:r w:rsidR="00D61AD6" w:rsidRPr="00DD19AC">
          <w:rPr>
            <w:rFonts w:ascii="Arial" w:hAnsi="Arial" w:cs="Arial"/>
            <w:noProof/>
            <w:webHidden/>
            <w:sz w:val="22"/>
            <w:szCs w:val="22"/>
          </w:rPr>
          <w:t>20</w:t>
        </w:r>
        <w:r w:rsidR="003475B9" w:rsidRPr="00DD19AC">
          <w:rPr>
            <w:rFonts w:ascii="Arial" w:hAnsi="Arial" w:cs="Arial"/>
            <w:noProof/>
            <w:webHidden/>
            <w:sz w:val="22"/>
            <w:szCs w:val="22"/>
          </w:rPr>
          <w:fldChar w:fldCharType="end"/>
        </w:r>
      </w:hyperlink>
    </w:p>
    <w:p w14:paraId="7CCA855B" w14:textId="536AFD38" w:rsidR="003475B9" w:rsidRPr="00DD19AC" w:rsidRDefault="00DD19AC">
      <w:pPr>
        <w:pStyle w:val="TableofFigures"/>
        <w:rPr>
          <w:rFonts w:ascii="Arial" w:eastAsiaTheme="minorEastAsia" w:hAnsi="Arial" w:cs="Arial"/>
          <w:b w:val="0"/>
          <w:noProof/>
          <w:sz w:val="22"/>
          <w:szCs w:val="22"/>
          <w:lang w:eastAsia="en-US"/>
        </w:rPr>
      </w:pPr>
      <w:hyperlink w:anchor="_Toc423458255" w:history="1">
        <w:r w:rsidR="003475B9" w:rsidRPr="00DD19AC">
          <w:rPr>
            <w:rStyle w:val="Hyperlink"/>
            <w:rFonts w:ascii="Arial" w:hAnsi="Arial" w:cs="Arial"/>
            <w:noProof/>
            <w:sz w:val="22"/>
            <w:szCs w:val="22"/>
          </w:rPr>
          <w:t>Table 3.2: Evaluation Work Plan</w:t>
        </w:r>
        <w:r w:rsidR="003475B9" w:rsidRPr="00DD19AC">
          <w:rPr>
            <w:rFonts w:ascii="Arial" w:hAnsi="Arial" w:cs="Arial"/>
            <w:noProof/>
            <w:webHidden/>
            <w:sz w:val="22"/>
            <w:szCs w:val="22"/>
          </w:rPr>
          <w:tab/>
        </w:r>
        <w:r w:rsidR="003475B9" w:rsidRPr="00DD19AC">
          <w:rPr>
            <w:rFonts w:ascii="Arial" w:hAnsi="Arial" w:cs="Arial"/>
            <w:noProof/>
            <w:webHidden/>
            <w:sz w:val="22"/>
            <w:szCs w:val="22"/>
          </w:rPr>
          <w:fldChar w:fldCharType="begin"/>
        </w:r>
        <w:r w:rsidR="003475B9" w:rsidRPr="00DD19AC">
          <w:rPr>
            <w:rFonts w:ascii="Arial" w:hAnsi="Arial" w:cs="Arial"/>
            <w:noProof/>
            <w:webHidden/>
            <w:sz w:val="22"/>
            <w:szCs w:val="22"/>
          </w:rPr>
          <w:instrText xml:space="preserve"> PAGEREF _Toc423458255 \h </w:instrText>
        </w:r>
        <w:r w:rsidR="003475B9" w:rsidRPr="00DD19AC">
          <w:rPr>
            <w:rFonts w:ascii="Arial" w:hAnsi="Arial" w:cs="Arial"/>
            <w:noProof/>
            <w:webHidden/>
            <w:sz w:val="22"/>
            <w:szCs w:val="22"/>
          </w:rPr>
        </w:r>
        <w:r w:rsidR="003475B9" w:rsidRPr="00DD19AC">
          <w:rPr>
            <w:rFonts w:ascii="Arial" w:hAnsi="Arial" w:cs="Arial"/>
            <w:noProof/>
            <w:webHidden/>
            <w:sz w:val="22"/>
            <w:szCs w:val="22"/>
          </w:rPr>
          <w:fldChar w:fldCharType="separate"/>
        </w:r>
        <w:r w:rsidR="00D61AD6" w:rsidRPr="00DD19AC">
          <w:rPr>
            <w:rFonts w:ascii="Arial" w:hAnsi="Arial" w:cs="Arial"/>
            <w:noProof/>
            <w:webHidden/>
            <w:sz w:val="22"/>
            <w:szCs w:val="22"/>
          </w:rPr>
          <w:t>30</w:t>
        </w:r>
        <w:r w:rsidR="003475B9" w:rsidRPr="00DD19AC">
          <w:rPr>
            <w:rFonts w:ascii="Arial" w:hAnsi="Arial" w:cs="Arial"/>
            <w:noProof/>
            <w:webHidden/>
            <w:sz w:val="22"/>
            <w:szCs w:val="22"/>
          </w:rPr>
          <w:fldChar w:fldCharType="end"/>
        </w:r>
      </w:hyperlink>
    </w:p>
    <w:p w14:paraId="6E555898" w14:textId="20D1F05B" w:rsidR="005F713E" w:rsidRPr="00DD19AC" w:rsidRDefault="00F04717" w:rsidP="00DD19AC">
      <w:pPr>
        <w:pStyle w:val="TableofFigures"/>
        <w:rPr>
          <w:rFonts w:ascii="Arial" w:hAnsi="Arial" w:cs="Arial"/>
          <w:sz w:val="22"/>
          <w:szCs w:val="22"/>
        </w:rPr>
      </w:pPr>
      <w:r w:rsidRPr="00DD19AC">
        <w:rPr>
          <w:rFonts w:ascii="Arial" w:hAnsi="Arial" w:cs="Arial"/>
          <w:sz w:val="22"/>
          <w:szCs w:val="22"/>
        </w:rPr>
        <w:fldChar w:fldCharType="end"/>
      </w:r>
      <w:bookmarkStart w:id="5" w:name="_Toc135470855"/>
      <w:bookmarkStart w:id="6" w:name="_Toc110929703"/>
      <w:bookmarkStart w:id="7" w:name="_Toc531018651"/>
      <w:r w:rsidR="00E614A4" w:rsidRPr="00DD19AC">
        <w:rPr>
          <w:rFonts w:ascii="Arial" w:hAnsi="Arial" w:cs="Arial"/>
          <w:sz w:val="22"/>
          <w:szCs w:val="22"/>
        </w:rPr>
        <w:t>Abbreviations</w:t>
      </w:r>
      <w:bookmarkEnd w:id="7"/>
      <w:r w:rsidR="005F713E" w:rsidRPr="00DD19AC">
        <w:rPr>
          <w:rFonts w:ascii="Arial" w:hAnsi="Arial" w:cs="Arial"/>
          <w:sz w:val="22"/>
          <w:szCs w:val="22"/>
        </w:rPr>
        <w:t xml:space="preserve"> </w:t>
      </w:r>
    </w:p>
    <w:p w14:paraId="5B34B797" w14:textId="77777777" w:rsidR="005F713E" w:rsidRPr="00DD19AC" w:rsidRDefault="005F713E" w:rsidP="005F713E">
      <w:pPr>
        <w:pStyle w:val="BodyText"/>
        <w:rPr>
          <w:rFonts w:ascii="Arial" w:hAnsi="Arial" w:cs="Arial"/>
          <w:sz w:val="22"/>
          <w:szCs w:val="22"/>
        </w:rPr>
      </w:pPr>
    </w:p>
    <w:p w14:paraId="10740189" w14:textId="77777777" w:rsidR="005F713E" w:rsidRPr="00DD19AC" w:rsidRDefault="005F713E" w:rsidP="005F713E">
      <w:pPr>
        <w:pStyle w:val="Newpage"/>
        <w:spacing w:before="0" w:line="360" w:lineRule="auto"/>
        <w:jc w:val="both"/>
        <w:rPr>
          <w:rFonts w:ascii="Arial" w:hAnsi="Arial" w:cs="Arial"/>
          <w:b w:val="0"/>
          <w:sz w:val="22"/>
          <w:szCs w:val="22"/>
        </w:rPr>
      </w:pPr>
      <w:r w:rsidRPr="00DD19AC">
        <w:rPr>
          <w:rFonts w:ascii="Arial" w:hAnsi="Arial" w:cs="Arial"/>
          <w:b w:val="0"/>
          <w:sz w:val="22"/>
          <w:szCs w:val="22"/>
        </w:rPr>
        <w:t>CBA</w:t>
      </w:r>
      <w:r w:rsidRPr="00DD19AC">
        <w:rPr>
          <w:rFonts w:ascii="Arial" w:hAnsi="Arial" w:cs="Arial"/>
          <w:b w:val="0"/>
          <w:sz w:val="22"/>
          <w:szCs w:val="22"/>
        </w:rPr>
        <w:tab/>
      </w:r>
      <w:r w:rsidRPr="00DD19AC">
        <w:rPr>
          <w:rFonts w:ascii="Arial" w:hAnsi="Arial" w:cs="Arial"/>
          <w:b w:val="0"/>
          <w:sz w:val="22"/>
          <w:szCs w:val="22"/>
        </w:rPr>
        <w:tab/>
        <w:t>Cost Benefit Analysis</w:t>
      </w:r>
    </w:p>
    <w:p w14:paraId="4D6BAAE7" w14:textId="77777777" w:rsidR="007467E2" w:rsidRPr="00DD19AC" w:rsidRDefault="007467E2" w:rsidP="007467E2">
      <w:pPr>
        <w:pStyle w:val="Newpage"/>
        <w:spacing w:before="0" w:line="360" w:lineRule="auto"/>
        <w:jc w:val="both"/>
        <w:rPr>
          <w:rFonts w:ascii="Arial" w:hAnsi="Arial" w:cs="Arial"/>
          <w:b w:val="0"/>
          <w:sz w:val="22"/>
          <w:szCs w:val="22"/>
        </w:rPr>
      </w:pPr>
      <w:r w:rsidRPr="00DD19AC">
        <w:rPr>
          <w:rFonts w:ascii="Arial" w:hAnsi="Arial" w:cs="Arial"/>
          <w:b w:val="0"/>
          <w:sz w:val="22"/>
          <w:szCs w:val="22"/>
        </w:rPr>
        <w:t>CDB</w:t>
      </w:r>
      <w:r w:rsidRPr="00DD19AC">
        <w:rPr>
          <w:rFonts w:ascii="Arial" w:hAnsi="Arial" w:cs="Arial"/>
          <w:b w:val="0"/>
          <w:sz w:val="22"/>
          <w:szCs w:val="22"/>
        </w:rPr>
        <w:tab/>
      </w:r>
      <w:r w:rsidRPr="00DD19AC">
        <w:rPr>
          <w:rFonts w:ascii="Arial" w:hAnsi="Arial" w:cs="Arial"/>
          <w:b w:val="0"/>
          <w:sz w:val="22"/>
          <w:szCs w:val="22"/>
        </w:rPr>
        <w:tab/>
        <w:t>Caribbean Development bank</w:t>
      </w:r>
    </w:p>
    <w:p w14:paraId="36883A5B" w14:textId="77777777" w:rsidR="00CB15F1" w:rsidRPr="00DD19AC" w:rsidRDefault="00CB15F1" w:rsidP="00CB15F1">
      <w:pPr>
        <w:pStyle w:val="Newpage"/>
        <w:spacing w:before="0" w:line="360" w:lineRule="auto"/>
        <w:jc w:val="both"/>
        <w:rPr>
          <w:rFonts w:ascii="Arial" w:hAnsi="Arial" w:cs="Arial"/>
          <w:b w:val="0"/>
          <w:sz w:val="22"/>
          <w:szCs w:val="22"/>
        </w:rPr>
      </w:pPr>
      <w:r w:rsidRPr="00DD19AC">
        <w:rPr>
          <w:rFonts w:ascii="Arial" w:hAnsi="Arial" w:cs="Arial"/>
          <w:b w:val="0"/>
          <w:sz w:val="22"/>
          <w:szCs w:val="22"/>
        </w:rPr>
        <w:t>CTF</w:t>
      </w:r>
      <w:r w:rsidRPr="00DD19AC">
        <w:rPr>
          <w:rFonts w:ascii="Arial" w:hAnsi="Arial" w:cs="Arial"/>
          <w:b w:val="0"/>
          <w:sz w:val="22"/>
          <w:szCs w:val="22"/>
        </w:rPr>
        <w:tab/>
      </w:r>
      <w:r w:rsidRPr="00DD19AC">
        <w:rPr>
          <w:rFonts w:ascii="Arial" w:hAnsi="Arial" w:cs="Arial"/>
          <w:b w:val="0"/>
          <w:sz w:val="22"/>
          <w:szCs w:val="22"/>
        </w:rPr>
        <w:tab/>
        <w:t>Clean Technology Fund</w:t>
      </w:r>
    </w:p>
    <w:p w14:paraId="2333981E" w14:textId="77777777" w:rsidR="005F713E" w:rsidRPr="00DD19AC" w:rsidRDefault="005F713E" w:rsidP="005F713E">
      <w:pPr>
        <w:pStyle w:val="Newpage"/>
        <w:spacing w:before="0" w:line="360" w:lineRule="auto"/>
        <w:jc w:val="both"/>
        <w:rPr>
          <w:rFonts w:ascii="Arial" w:hAnsi="Arial" w:cs="Arial"/>
          <w:b w:val="0"/>
          <w:sz w:val="22"/>
          <w:szCs w:val="22"/>
        </w:rPr>
      </w:pPr>
      <w:r w:rsidRPr="00DD19AC">
        <w:rPr>
          <w:rFonts w:ascii="Arial" w:hAnsi="Arial" w:cs="Arial"/>
          <w:b w:val="0"/>
          <w:sz w:val="22"/>
          <w:szCs w:val="22"/>
        </w:rPr>
        <w:t>EA</w:t>
      </w:r>
      <w:r w:rsidRPr="00DD19AC">
        <w:rPr>
          <w:rFonts w:ascii="Arial" w:hAnsi="Arial" w:cs="Arial"/>
          <w:b w:val="0"/>
          <w:sz w:val="22"/>
          <w:szCs w:val="22"/>
        </w:rPr>
        <w:tab/>
      </w:r>
      <w:r w:rsidRPr="00DD19AC">
        <w:rPr>
          <w:rFonts w:ascii="Arial" w:hAnsi="Arial" w:cs="Arial"/>
          <w:b w:val="0"/>
          <w:sz w:val="22"/>
          <w:szCs w:val="22"/>
        </w:rPr>
        <w:tab/>
        <w:t>Executing Agency</w:t>
      </w:r>
    </w:p>
    <w:p w14:paraId="0D5F6F53" w14:textId="6C1132E8" w:rsidR="005F713E" w:rsidRPr="00DD19AC" w:rsidRDefault="005F713E" w:rsidP="005F713E">
      <w:pPr>
        <w:pStyle w:val="Newpage"/>
        <w:spacing w:before="0" w:line="360" w:lineRule="auto"/>
        <w:jc w:val="both"/>
        <w:rPr>
          <w:rFonts w:ascii="Arial" w:hAnsi="Arial" w:cs="Arial"/>
          <w:b w:val="0"/>
          <w:sz w:val="22"/>
          <w:szCs w:val="22"/>
        </w:rPr>
      </w:pPr>
      <w:r w:rsidRPr="00DD19AC">
        <w:rPr>
          <w:rFonts w:ascii="Arial" w:hAnsi="Arial" w:cs="Arial"/>
          <w:b w:val="0"/>
          <w:sz w:val="22"/>
          <w:szCs w:val="22"/>
        </w:rPr>
        <w:t>EC</w:t>
      </w:r>
      <w:r w:rsidRPr="00DD19AC">
        <w:rPr>
          <w:rFonts w:ascii="Arial" w:hAnsi="Arial" w:cs="Arial"/>
          <w:b w:val="0"/>
          <w:sz w:val="22"/>
          <w:szCs w:val="22"/>
        </w:rPr>
        <w:tab/>
      </w:r>
      <w:r w:rsidRPr="00DD19AC">
        <w:rPr>
          <w:rFonts w:ascii="Arial" w:hAnsi="Arial" w:cs="Arial"/>
          <w:b w:val="0"/>
          <w:sz w:val="22"/>
          <w:szCs w:val="22"/>
        </w:rPr>
        <w:tab/>
      </w:r>
      <w:r w:rsidR="00CA7295" w:rsidRPr="00DD19AC">
        <w:rPr>
          <w:rFonts w:ascii="Arial" w:hAnsi="Arial" w:cs="Arial"/>
          <w:b w:val="0"/>
          <w:sz w:val="22"/>
          <w:szCs w:val="22"/>
        </w:rPr>
        <w:t>E</w:t>
      </w:r>
      <w:r w:rsidRPr="00DD19AC">
        <w:rPr>
          <w:rFonts w:ascii="Arial" w:hAnsi="Arial" w:cs="Arial"/>
          <w:b w:val="0"/>
          <w:sz w:val="22"/>
          <w:szCs w:val="22"/>
        </w:rPr>
        <w:t xml:space="preserve">astern </w:t>
      </w:r>
      <w:r w:rsidR="00CA7295" w:rsidRPr="00DD19AC">
        <w:rPr>
          <w:rFonts w:ascii="Arial" w:hAnsi="Arial" w:cs="Arial"/>
          <w:b w:val="0"/>
          <w:sz w:val="22"/>
          <w:szCs w:val="22"/>
        </w:rPr>
        <w:t>C</w:t>
      </w:r>
      <w:r w:rsidRPr="00DD19AC">
        <w:rPr>
          <w:rFonts w:ascii="Arial" w:hAnsi="Arial" w:cs="Arial"/>
          <w:b w:val="0"/>
          <w:sz w:val="22"/>
          <w:szCs w:val="22"/>
        </w:rPr>
        <w:t>aribbean</w:t>
      </w:r>
    </w:p>
    <w:p w14:paraId="443A3021" w14:textId="488F7C3A" w:rsidR="004D0B16" w:rsidRPr="00DD19AC" w:rsidRDefault="004D0B16" w:rsidP="005F713E">
      <w:pPr>
        <w:pStyle w:val="Newpage"/>
        <w:spacing w:before="0" w:line="360" w:lineRule="auto"/>
        <w:jc w:val="both"/>
        <w:rPr>
          <w:rFonts w:ascii="Arial" w:hAnsi="Arial" w:cs="Arial"/>
          <w:b w:val="0"/>
          <w:sz w:val="22"/>
          <w:szCs w:val="22"/>
        </w:rPr>
      </w:pPr>
      <w:r w:rsidRPr="00DD19AC">
        <w:rPr>
          <w:rFonts w:ascii="Arial" w:hAnsi="Arial" w:cs="Arial"/>
          <w:b w:val="0"/>
          <w:sz w:val="22"/>
          <w:szCs w:val="22"/>
        </w:rPr>
        <w:t>ECC</w:t>
      </w:r>
      <w:r w:rsidRPr="00DD19AC">
        <w:rPr>
          <w:rFonts w:ascii="Arial" w:hAnsi="Arial" w:cs="Arial"/>
          <w:b w:val="0"/>
          <w:sz w:val="22"/>
          <w:szCs w:val="22"/>
        </w:rPr>
        <w:tab/>
      </w:r>
      <w:r w:rsidRPr="00DD19AC">
        <w:rPr>
          <w:rFonts w:ascii="Arial" w:hAnsi="Arial" w:cs="Arial"/>
          <w:b w:val="0"/>
          <w:sz w:val="22"/>
          <w:szCs w:val="22"/>
        </w:rPr>
        <w:tab/>
        <w:t>Eastern Caribbean Countries</w:t>
      </w:r>
    </w:p>
    <w:p w14:paraId="213E6E03" w14:textId="4E0F7937" w:rsidR="005F713E" w:rsidRPr="00DD19AC" w:rsidRDefault="005F713E" w:rsidP="005F713E">
      <w:pPr>
        <w:pStyle w:val="Newpage"/>
        <w:spacing w:before="0" w:line="360" w:lineRule="auto"/>
        <w:jc w:val="both"/>
        <w:rPr>
          <w:rFonts w:ascii="Arial" w:hAnsi="Arial" w:cs="Arial"/>
          <w:b w:val="0"/>
          <w:sz w:val="22"/>
          <w:szCs w:val="22"/>
        </w:rPr>
      </w:pPr>
      <w:r w:rsidRPr="00DD19AC">
        <w:rPr>
          <w:rFonts w:ascii="Arial" w:hAnsi="Arial" w:cs="Arial"/>
          <w:b w:val="0"/>
          <w:sz w:val="22"/>
          <w:szCs w:val="22"/>
        </w:rPr>
        <w:t>EE</w:t>
      </w:r>
      <w:r w:rsidRPr="00DD19AC">
        <w:rPr>
          <w:rFonts w:ascii="Arial" w:hAnsi="Arial" w:cs="Arial"/>
          <w:b w:val="0"/>
          <w:sz w:val="22"/>
          <w:szCs w:val="22"/>
        </w:rPr>
        <w:tab/>
      </w:r>
      <w:r w:rsidRPr="00DD19AC">
        <w:rPr>
          <w:rFonts w:ascii="Arial" w:hAnsi="Arial" w:cs="Arial"/>
          <w:b w:val="0"/>
          <w:sz w:val="22"/>
          <w:szCs w:val="22"/>
        </w:rPr>
        <w:tab/>
        <w:t>Energy Efficiency</w:t>
      </w:r>
    </w:p>
    <w:p w14:paraId="42AA1AC2" w14:textId="08C05F34" w:rsidR="004D0B16" w:rsidRPr="00DD19AC" w:rsidRDefault="004D0B16" w:rsidP="005F713E">
      <w:pPr>
        <w:pStyle w:val="Newpage"/>
        <w:spacing w:before="0" w:line="360" w:lineRule="auto"/>
        <w:jc w:val="both"/>
        <w:rPr>
          <w:rFonts w:ascii="Arial" w:hAnsi="Arial" w:cs="Arial"/>
          <w:b w:val="0"/>
          <w:sz w:val="22"/>
          <w:szCs w:val="22"/>
        </w:rPr>
      </w:pPr>
      <w:r w:rsidRPr="00DD19AC">
        <w:rPr>
          <w:rFonts w:ascii="Arial" w:hAnsi="Arial" w:cs="Arial"/>
          <w:b w:val="0"/>
          <w:sz w:val="22"/>
          <w:szCs w:val="22"/>
        </w:rPr>
        <w:t>GE</w:t>
      </w:r>
      <w:r w:rsidRPr="00DD19AC">
        <w:rPr>
          <w:rFonts w:ascii="Arial" w:hAnsi="Arial" w:cs="Arial"/>
          <w:b w:val="0"/>
          <w:sz w:val="22"/>
          <w:szCs w:val="22"/>
        </w:rPr>
        <w:tab/>
      </w:r>
      <w:r w:rsidRPr="00DD19AC">
        <w:rPr>
          <w:rFonts w:ascii="Arial" w:hAnsi="Arial" w:cs="Arial"/>
          <w:b w:val="0"/>
          <w:sz w:val="22"/>
          <w:szCs w:val="22"/>
        </w:rPr>
        <w:tab/>
        <w:t>Geothermal Energy</w:t>
      </w:r>
    </w:p>
    <w:p w14:paraId="730F3F08" w14:textId="77777777" w:rsidR="005F713E" w:rsidRPr="00DD19AC" w:rsidRDefault="005F713E" w:rsidP="005F713E">
      <w:pPr>
        <w:pStyle w:val="Newpage"/>
        <w:spacing w:before="0" w:line="360" w:lineRule="auto"/>
        <w:jc w:val="both"/>
        <w:rPr>
          <w:rFonts w:ascii="Arial" w:hAnsi="Arial" w:cs="Arial"/>
          <w:b w:val="0"/>
          <w:sz w:val="22"/>
          <w:szCs w:val="22"/>
        </w:rPr>
      </w:pPr>
      <w:r w:rsidRPr="00DD19AC">
        <w:rPr>
          <w:rFonts w:ascii="Arial" w:hAnsi="Arial" w:cs="Arial"/>
          <w:b w:val="0"/>
          <w:sz w:val="22"/>
          <w:szCs w:val="22"/>
        </w:rPr>
        <w:t>IDB</w:t>
      </w:r>
      <w:r w:rsidRPr="00DD19AC">
        <w:rPr>
          <w:rFonts w:ascii="Arial" w:hAnsi="Arial" w:cs="Arial"/>
          <w:b w:val="0"/>
          <w:sz w:val="22"/>
          <w:szCs w:val="22"/>
        </w:rPr>
        <w:tab/>
      </w:r>
      <w:r w:rsidRPr="00DD19AC">
        <w:rPr>
          <w:rFonts w:ascii="Arial" w:hAnsi="Arial" w:cs="Arial"/>
          <w:b w:val="0"/>
          <w:sz w:val="22"/>
          <w:szCs w:val="22"/>
        </w:rPr>
        <w:tab/>
        <w:t>Inter-American Development Bank</w:t>
      </w:r>
    </w:p>
    <w:p w14:paraId="2AF1FCDC" w14:textId="77777777" w:rsidR="007467E2" w:rsidRPr="00DD19AC" w:rsidRDefault="007467E2" w:rsidP="007467E2">
      <w:pPr>
        <w:pStyle w:val="Newpage"/>
        <w:spacing w:before="0" w:line="360" w:lineRule="auto"/>
        <w:jc w:val="both"/>
        <w:rPr>
          <w:rFonts w:ascii="Arial" w:hAnsi="Arial" w:cs="Arial"/>
          <w:b w:val="0"/>
          <w:sz w:val="22"/>
          <w:szCs w:val="22"/>
        </w:rPr>
      </w:pPr>
      <w:r w:rsidRPr="00DD19AC">
        <w:rPr>
          <w:rFonts w:ascii="Arial" w:hAnsi="Arial" w:cs="Arial"/>
          <w:b w:val="0"/>
          <w:sz w:val="22"/>
          <w:szCs w:val="22"/>
        </w:rPr>
        <w:t>JICA</w:t>
      </w:r>
      <w:r w:rsidRPr="00DD19AC">
        <w:rPr>
          <w:rFonts w:ascii="Arial" w:hAnsi="Arial" w:cs="Arial"/>
          <w:b w:val="0"/>
          <w:sz w:val="22"/>
          <w:szCs w:val="22"/>
        </w:rPr>
        <w:tab/>
      </w:r>
      <w:r w:rsidRPr="00DD19AC">
        <w:rPr>
          <w:rFonts w:ascii="Arial" w:hAnsi="Arial" w:cs="Arial"/>
          <w:b w:val="0"/>
          <w:sz w:val="22"/>
          <w:szCs w:val="22"/>
        </w:rPr>
        <w:tab/>
        <w:t>Japanese International Cooperation Agency</w:t>
      </w:r>
    </w:p>
    <w:p w14:paraId="207E4D94" w14:textId="77777777" w:rsidR="005F713E" w:rsidRPr="00DD19AC" w:rsidRDefault="005F713E" w:rsidP="005F713E">
      <w:pPr>
        <w:pStyle w:val="Newpage"/>
        <w:spacing w:before="0" w:line="360" w:lineRule="auto"/>
        <w:jc w:val="both"/>
        <w:rPr>
          <w:rFonts w:ascii="Arial" w:hAnsi="Arial" w:cs="Arial"/>
          <w:b w:val="0"/>
          <w:sz w:val="22"/>
          <w:szCs w:val="22"/>
        </w:rPr>
      </w:pPr>
      <w:r w:rsidRPr="00DD19AC">
        <w:rPr>
          <w:rFonts w:ascii="Arial" w:hAnsi="Arial" w:cs="Arial"/>
          <w:b w:val="0"/>
          <w:sz w:val="22"/>
          <w:szCs w:val="22"/>
        </w:rPr>
        <w:t>MW</w:t>
      </w:r>
      <w:r w:rsidRPr="00DD19AC">
        <w:rPr>
          <w:rFonts w:ascii="Arial" w:hAnsi="Arial" w:cs="Arial"/>
          <w:b w:val="0"/>
          <w:sz w:val="22"/>
          <w:szCs w:val="22"/>
        </w:rPr>
        <w:tab/>
      </w:r>
      <w:r w:rsidRPr="00DD19AC">
        <w:rPr>
          <w:rFonts w:ascii="Arial" w:hAnsi="Arial" w:cs="Arial"/>
          <w:b w:val="0"/>
          <w:sz w:val="22"/>
          <w:szCs w:val="22"/>
        </w:rPr>
        <w:tab/>
      </w:r>
      <w:proofErr w:type="spellStart"/>
      <w:r w:rsidRPr="00DD19AC">
        <w:rPr>
          <w:rFonts w:ascii="Arial" w:hAnsi="Arial" w:cs="Arial"/>
          <w:b w:val="0"/>
          <w:sz w:val="22"/>
          <w:szCs w:val="22"/>
        </w:rPr>
        <w:t>MegaWatt</w:t>
      </w:r>
      <w:proofErr w:type="spellEnd"/>
    </w:p>
    <w:p w14:paraId="2872EF73" w14:textId="77777777" w:rsidR="005F713E" w:rsidRPr="00DD19AC" w:rsidRDefault="005F713E" w:rsidP="005F713E">
      <w:pPr>
        <w:pStyle w:val="Newpage"/>
        <w:spacing w:before="0" w:line="360" w:lineRule="auto"/>
        <w:jc w:val="both"/>
        <w:rPr>
          <w:rFonts w:ascii="Arial" w:hAnsi="Arial" w:cs="Arial"/>
          <w:b w:val="0"/>
          <w:sz w:val="22"/>
          <w:szCs w:val="22"/>
        </w:rPr>
      </w:pPr>
      <w:r w:rsidRPr="00DD19AC">
        <w:rPr>
          <w:rFonts w:ascii="Arial" w:hAnsi="Arial" w:cs="Arial"/>
          <w:b w:val="0"/>
          <w:sz w:val="22"/>
          <w:szCs w:val="22"/>
        </w:rPr>
        <w:t>MWh</w:t>
      </w:r>
      <w:r w:rsidRPr="00DD19AC">
        <w:rPr>
          <w:rFonts w:ascii="Arial" w:hAnsi="Arial" w:cs="Arial"/>
          <w:b w:val="0"/>
          <w:sz w:val="22"/>
          <w:szCs w:val="22"/>
        </w:rPr>
        <w:tab/>
      </w:r>
      <w:r w:rsidRPr="00DD19AC">
        <w:rPr>
          <w:rFonts w:ascii="Arial" w:hAnsi="Arial" w:cs="Arial"/>
          <w:b w:val="0"/>
          <w:sz w:val="22"/>
          <w:szCs w:val="22"/>
        </w:rPr>
        <w:tab/>
      </w:r>
      <w:proofErr w:type="spellStart"/>
      <w:r w:rsidRPr="00DD19AC">
        <w:rPr>
          <w:rFonts w:ascii="Arial" w:hAnsi="Arial" w:cs="Arial"/>
          <w:b w:val="0"/>
          <w:sz w:val="22"/>
          <w:szCs w:val="22"/>
        </w:rPr>
        <w:t>MegaWatt</w:t>
      </w:r>
      <w:proofErr w:type="spellEnd"/>
      <w:r w:rsidRPr="00DD19AC">
        <w:rPr>
          <w:rFonts w:ascii="Arial" w:hAnsi="Arial" w:cs="Arial"/>
          <w:b w:val="0"/>
          <w:sz w:val="22"/>
          <w:szCs w:val="22"/>
        </w:rPr>
        <w:t xml:space="preserve"> hour</w:t>
      </w:r>
    </w:p>
    <w:p w14:paraId="5C58C998" w14:textId="77777777" w:rsidR="005F713E" w:rsidRPr="00DD19AC" w:rsidRDefault="005F713E" w:rsidP="005F713E">
      <w:pPr>
        <w:pStyle w:val="Newpage"/>
        <w:spacing w:before="0" w:line="360" w:lineRule="auto"/>
        <w:jc w:val="both"/>
        <w:rPr>
          <w:rFonts w:ascii="Arial" w:hAnsi="Arial" w:cs="Arial"/>
          <w:b w:val="0"/>
          <w:sz w:val="22"/>
          <w:szCs w:val="22"/>
        </w:rPr>
      </w:pPr>
      <w:r w:rsidRPr="00DD19AC">
        <w:rPr>
          <w:rFonts w:ascii="Arial" w:hAnsi="Arial" w:cs="Arial"/>
          <w:b w:val="0"/>
          <w:sz w:val="22"/>
          <w:szCs w:val="22"/>
        </w:rPr>
        <w:t>PCR</w:t>
      </w:r>
      <w:r w:rsidRPr="00DD19AC">
        <w:rPr>
          <w:rFonts w:ascii="Arial" w:hAnsi="Arial" w:cs="Arial"/>
          <w:b w:val="0"/>
          <w:sz w:val="22"/>
          <w:szCs w:val="22"/>
        </w:rPr>
        <w:tab/>
      </w:r>
      <w:r w:rsidRPr="00DD19AC">
        <w:rPr>
          <w:rFonts w:ascii="Arial" w:hAnsi="Arial" w:cs="Arial"/>
          <w:b w:val="0"/>
          <w:sz w:val="22"/>
          <w:szCs w:val="22"/>
        </w:rPr>
        <w:tab/>
        <w:t>Project Completion Report</w:t>
      </w:r>
    </w:p>
    <w:p w14:paraId="553ABC9C" w14:textId="77777777" w:rsidR="005F713E" w:rsidRPr="00DD19AC" w:rsidRDefault="005F713E" w:rsidP="005F713E">
      <w:pPr>
        <w:pStyle w:val="Newpage"/>
        <w:spacing w:before="0" w:line="360" w:lineRule="auto"/>
        <w:jc w:val="both"/>
        <w:rPr>
          <w:rFonts w:ascii="Arial" w:hAnsi="Arial" w:cs="Arial"/>
          <w:b w:val="0"/>
          <w:sz w:val="22"/>
          <w:szCs w:val="22"/>
        </w:rPr>
      </w:pPr>
      <w:r w:rsidRPr="00DD19AC">
        <w:rPr>
          <w:rFonts w:ascii="Arial" w:hAnsi="Arial" w:cs="Arial"/>
          <w:b w:val="0"/>
          <w:sz w:val="22"/>
          <w:szCs w:val="22"/>
        </w:rPr>
        <w:t>PBL</w:t>
      </w:r>
      <w:r w:rsidRPr="00DD19AC">
        <w:rPr>
          <w:rFonts w:ascii="Arial" w:hAnsi="Arial" w:cs="Arial"/>
          <w:b w:val="0"/>
          <w:sz w:val="22"/>
          <w:szCs w:val="22"/>
        </w:rPr>
        <w:tab/>
      </w:r>
      <w:r w:rsidRPr="00DD19AC">
        <w:rPr>
          <w:rFonts w:ascii="Arial" w:hAnsi="Arial" w:cs="Arial"/>
          <w:b w:val="0"/>
          <w:sz w:val="22"/>
          <w:szCs w:val="22"/>
        </w:rPr>
        <w:tab/>
        <w:t>Policy-Based Loan</w:t>
      </w:r>
    </w:p>
    <w:p w14:paraId="49629832" w14:textId="77777777" w:rsidR="006A2F8F" w:rsidRPr="00DD19AC" w:rsidRDefault="006A2F8F" w:rsidP="005F713E">
      <w:pPr>
        <w:pStyle w:val="Newpage"/>
        <w:spacing w:before="0" w:line="360" w:lineRule="auto"/>
        <w:jc w:val="both"/>
        <w:rPr>
          <w:rFonts w:ascii="Arial" w:hAnsi="Arial" w:cs="Arial"/>
          <w:b w:val="0"/>
          <w:sz w:val="22"/>
          <w:szCs w:val="22"/>
        </w:rPr>
      </w:pPr>
      <w:r w:rsidRPr="00DD19AC">
        <w:rPr>
          <w:rFonts w:ascii="Arial" w:hAnsi="Arial" w:cs="Arial"/>
          <w:b w:val="0"/>
          <w:sz w:val="22"/>
          <w:szCs w:val="22"/>
        </w:rPr>
        <w:t>POD</w:t>
      </w:r>
      <w:r w:rsidRPr="00DD19AC">
        <w:rPr>
          <w:rFonts w:ascii="Arial" w:hAnsi="Arial" w:cs="Arial"/>
          <w:b w:val="0"/>
          <w:sz w:val="22"/>
          <w:szCs w:val="22"/>
        </w:rPr>
        <w:tab/>
      </w:r>
      <w:r w:rsidRPr="00DD19AC">
        <w:rPr>
          <w:rFonts w:ascii="Arial" w:hAnsi="Arial" w:cs="Arial"/>
          <w:b w:val="0"/>
          <w:sz w:val="22"/>
          <w:szCs w:val="22"/>
        </w:rPr>
        <w:tab/>
        <w:t>Proposal for Operation Development</w:t>
      </w:r>
    </w:p>
    <w:p w14:paraId="667582BD" w14:textId="77777777" w:rsidR="005F713E" w:rsidRPr="00DD19AC" w:rsidRDefault="005F713E" w:rsidP="005F713E">
      <w:pPr>
        <w:pStyle w:val="Newpage"/>
        <w:spacing w:before="0" w:line="360" w:lineRule="auto"/>
        <w:jc w:val="both"/>
        <w:rPr>
          <w:rFonts w:ascii="Arial" w:hAnsi="Arial" w:cs="Arial"/>
          <w:b w:val="0"/>
          <w:sz w:val="22"/>
          <w:szCs w:val="22"/>
        </w:rPr>
      </w:pPr>
      <w:r w:rsidRPr="00DD19AC">
        <w:rPr>
          <w:rFonts w:ascii="Arial" w:hAnsi="Arial" w:cs="Arial"/>
          <w:b w:val="0"/>
          <w:sz w:val="22"/>
          <w:szCs w:val="22"/>
        </w:rPr>
        <w:t>RE</w:t>
      </w:r>
      <w:r w:rsidRPr="00DD19AC">
        <w:rPr>
          <w:rFonts w:ascii="Arial" w:hAnsi="Arial" w:cs="Arial"/>
          <w:b w:val="0"/>
          <w:sz w:val="22"/>
          <w:szCs w:val="22"/>
        </w:rPr>
        <w:tab/>
      </w:r>
      <w:r w:rsidRPr="00DD19AC">
        <w:rPr>
          <w:rFonts w:ascii="Arial" w:hAnsi="Arial" w:cs="Arial"/>
          <w:b w:val="0"/>
          <w:sz w:val="22"/>
          <w:szCs w:val="22"/>
        </w:rPr>
        <w:tab/>
        <w:t>Renewable Energy</w:t>
      </w:r>
    </w:p>
    <w:p w14:paraId="45257EED" w14:textId="77777777" w:rsidR="00AB6CAC" w:rsidRPr="00DD19AC" w:rsidRDefault="00AB6CAC" w:rsidP="00AB6CAC">
      <w:pPr>
        <w:pStyle w:val="Newpage"/>
        <w:spacing w:before="0" w:line="360" w:lineRule="auto"/>
        <w:jc w:val="both"/>
        <w:rPr>
          <w:rFonts w:ascii="Arial" w:hAnsi="Arial" w:cs="Arial"/>
          <w:b w:val="0"/>
          <w:sz w:val="22"/>
          <w:szCs w:val="22"/>
        </w:rPr>
      </w:pPr>
      <w:r w:rsidRPr="00DD19AC">
        <w:rPr>
          <w:rFonts w:ascii="Arial" w:hAnsi="Arial" w:cs="Arial"/>
          <w:b w:val="0"/>
          <w:sz w:val="22"/>
          <w:szCs w:val="22"/>
        </w:rPr>
        <w:t>SEF</w:t>
      </w:r>
      <w:r w:rsidRPr="00DD19AC">
        <w:rPr>
          <w:rFonts w:ascii="Arial" w:hAnsi="Arial" w:cs="Arial"/>
          <w:b w:val="0"/>
          <w:sz w:val="22"/>
          <w:szCs w:val="22"/>
        </w:rPr>
        <w:tab/>
      </w:r>
      <w:r w:rsidRPr="00DD19AC">
        <w:rPr>
          <w:rFonts w:ascii="Arial" w:hAnsi="Arial" w:cs="Arial"/>
          <w:b w:val="0"/>
          <w:sz w:val="22"/>
          <w:szCs w:val="22"/>
        </w:rPr>
        <w:tab/>
        <w:t xml:space="preserve">Sustainable Energy Facility </w:t>
      </w:r>
    </w:p>
    <w:p w14:paraId="4A832403" w14:textId="77777777" w:rsidR="007467E2" w:rsidRPr="00DD19AC" w:rsidRDefault="007467E2" w:rsidP="005F713E">
      <w:pPr>
        <w:pStyle w:val="Newpage"/>
        <w:spacing w:before="0" w:line="360" w:lineRule="auto"/>
        <w:jc w:val="both"/>
        <w:rPr>
          <w:rFonts w:ascii="Arial" w:hAnsi="Arial" w:cs="Arial"/>
          <w:b w:val="0"/>
          <w:sz w:val="22"/>
          <w:szCs w:val="22"/>
        </w:rPr>
      </w:pPr>
    </w:p>
    <w:p w14:paraId="24095FBB" w14:textId="77777777" w:rsidR="005F713E" w:rsidRPr="00DD19AC" w:rsidRDefault="005F713E" w:rsidP="005F713E">
      <w:pPr>
        <w:pStyle w:val="BodyText"/>
        <w:rPr>
          <w:rFonts w:ascii="Arial" w:hAnsi="Arial" w:cs="Arial"/>
          <w:sz w:val="22"/>
          <w:szCs w:val="22"/>
        </w:rPr>
      </w:pPr>
    </w:p>
    <w:p w14:paraId="16AA5E34" w14:textId="77777777" w:rsidR="005F713E" w:rsidRPr="008E106E" w:rsidRDefault="005F713E">
      <w:pPr>
        <w:jc w:val="left"/>
        <w:rPr>
          <w:rFonts w:ascii="Arial" w:hAnsi="Arial" w:cs="Arial"/>
          <w:b/>
          <w:bCs/>
          <w:kern w:val="28"/>
          <w:sz w:val="22"/>
          <w:szCs w:val="22"/>
        </w:rPr>
      </w:pPr>
      <w:r w:rsidRPr="008E106E">
        <w:rPr>
          <w:rFonts w:ascii="Arial" w:hAnsi="Arial" w:cs="Arial"/>
          <w:sz w:val="22"/>
          <w:szCs w:val="22"/>
        </w:rPr>
        <w:br w:type="page"/>
      </w:r>
    </w:p>
    <w:p w14:paraId="20ECBF7E" w14:textId="77777777" w:rsidR="00CA0032" w:rsidRPr="008E106E" w:rsidRDefault="005979DA" w:rsidP="00DE2526">
      <w:pPr>
        <w:pStyle w:val="Heading1"/>
        <w:rPr>
          <w:rFonts w:ascii="Arial" w:hAnsi="Arial"/>
          <w:sz w:val="22"/>
          <w:szCs w:val="22"/>
        </w:rPr>
      </w:pPr>
      <w:bookmarkStart w:id="8" w:name="_Toc531018652"/>
      <w:r w:rsidRPr="008E106E">
        <w:rPr>
          <w:rFonts w:ascii="Arial" w:hAnsi="Arial"/>
          <w:sz w:val="22"/>
          <w:szCs w:val="22"/>
        </w:rPr>
        <w:t>I</w:t>
      </w:r>
      <w:r w:rsidR="004455AA" w:rsidRPr="008E106E">
        <w:rPr>
          <w:rFonts w:ascii="Arial" w:hAnsi="Arial"/>
          <w:sz w:val="22"/>
          <w:szCs w:val="22"/>
        </w:rPr>
        <w:t>ntroduction</w:t>
      </w:r>
      <w:bookmarkEnd w:id="5"/>
      <w:bookmarkEnd w:id="8"/>
    </w:p>
    <w:p w14:paraId="4DC1C86F" w14:textId="691BFDE6" w:rsidR="00616B9B" w:rsidRPr="008E106E" w:rsidRDefault="00ED10BE" w:rsidP="00616B9B">
      <w:pPr>
        <w:pStyle w:val="BodyText"/>
        <w:rPr>
          <w:rFonts w:ascii="Arial" w:hAnsi="Arial" w:cs="Arial"/>
          <w:sz w:val="22"/>
          <w:szCs w:val="22"/>
        </w:rPr>
      </w:pPr>
      <w:r w:rsidRPr="008E106E">
        <w:rPr>
          <w:rFonts w:ascii="Arial" w:hAnsi="Arial" w:cs="Arial"/>
          <w:sz w:val="22"/>
          <w:szCs w:val="22"/>
        </w:rPr>
        <w:t>This document presents the M</w:t>
      </w:r>
      <w:r w:rsidR="001D48D0" w:rsidRPr="008E106E">
        <w:rPr>
          <w:rFonts w:ascii="Arial" w:hAnsi="Arial" w:cs="Arial"/>
          <w:sz w:val="22"/>
          <w:szCs w:val="22"/>
        </w:rPr>
        <w:t xml:space="preserve">onitoring and Evaluation </w:t>
      </w:r>
      <w:r w:rsidR="00616B9B" w:rsidRPr="008E106E">
        <w:rPr>
          <w:rFonts w:ascii="Arial" w:hAnsi="Arial" w:cs="Arial"/>
          <w:sz w:val="22"/>
          <w:szCs w:val="22"/>
        </w:rPr>
        <w:t xml:space="preserve">(M&amp;E) </w:t>
      </w:r>
      <w:r w:rsidR="001D48D0" w:rsidRPr="008E106E">
        <w:rPr>
          <w:rFonts w:ascii="Arial" w:hAnsi="Arial" w:cs="Arial"/>
          <w:sz w:val="22"/>
          <w:szCs w:val="22"/>
        </w:rPr>
        <w:t xml:space="preserve">Plan for the Sustainable Energy Facility </w:t>
      </w:r>
      <w:r w:rsidR="00616B9B" w:rsidRPr="008E106E">
        <w:rPr>
          <w:rFonts w:ascii="Arial" w:hAnsi="Arial" w:cs="Arial"/>
          <w:sz w:val="22"/>
          <w:szCs w:val="22"/>
        </w:rPr>
        <w:t xml:space="preserve">for the Eastern Caribbean Expanded </w:t>
      </w:r>
      <w:r w:rsidR="001D48D0" w:rsidRPr="008E106E">
        <w:rPr>
          <w:rFonts w:ascii="Arial" w:hAnsi="Arial" w:cs="Arial"/>
          <w:sz w:val="22"/>
          <w:szCs w:val="22"/>
        </w:rPr>
        <w:t xml:space="preserve">(‘the </w:t>
      </w:r>
      <w:r w:rsidR="00616B9B" w:rsidRPr="008E106E">
        <w:rPr>
          <w:rFonts w:ascii="Arial" w:hAnsi="Arial" w:cs="Arial"/>
          <w:sz w:val="22"/>
          <w:szCs w:val="22"/>
        </w:rPr>
        <w:t>SEF-Expanded</w:t>
      </w:r>
      <w:r w:rsidR="001D48D0" w:rsidRPr="008E106E">
        <w:rPr>
          <w:rFonts w:ascii="Arial" w:hAnsi="Arial" w:cs="Arial"/>
          <w:sz w:val="22"/>
          <w:szCs w:val="22"/>
        </w:rPr>
        <w:t xml:space="preserve">’). </w:t>
      </w:r>
      <w:bookmarkStart w:id="9" w:name="_Hlk494200971"/>
      <w:r w:rsidR="00616B9B" w:rsidRPr="008E106E">
        <w:rPr>
          <w:rFonts w:ascii="Arial" w:hAnsi="Arial" w:cs="Arial"/>
          <w:sz w:val="22"/>
          <w:szCs w:val="22"/>
        </w:rPr>
        <w:t>The SEF</w:t>
      </w:r>
      <w:r w:rsidR="00616B9B" w:rsidRPr="008E106E">
        <w:rPr>
          <w:rFonts w:ascii="Arial" w:hAnsi="Arial" w:cs="Arial"/>
          <w:sz w:val="22"/>
          <w:szCs w:val="22"/>
        </w:rPr>
        <w:noBreakHyphen/>
        <w:t>Expanded</w:t>
      </w:r>
      <w:bookmarkStart w:id="10" w:name="_Hlk494120850"/>
      <w:r w:rsidR="00616B9B" w:rsidRPr="008E106E">
        <w:rPr>
          <w:rFonts w:ascii="Arial" w:hAnsi="Arial" w:cs="Arial"/>
          <w:sz w:val="22"/>
          <w:szCs w:val="22"/>
        </w:rPr>
        <w:t xml:space="preserve"> </w:t>
      </w:r>
      <w:bookmarkEnd w:id="10"/>
      <w:r w:rsidR="00616B9B" w:rsidRPr="008E106E">
        <w:rPr>
          <w:rFonts w:ascii="Arial" w:hAnsi="Arial" w:cs="Arial"/>
          <w:sz w:val="22"/>
          <w:szCs w:val="22"/>
        </w:rPr>
        <w:t>is a complement to the Sustainable Energy Facility for the Eastern Caribbean (SEF-2015) approved by the Inter</w:t>
      </w:r>
      <w:r w:rsidR="00616B9B" w:rsidRPr="008E106E">
        <w:rPr>
          <w:rFonts w:ascii="Arial" w:hAnsi="Arial" w:cs="Arial"/>
          <w:sz w:val="22"/>
          <w:szCs w:val="22"/>
        </w:rPr>
        <w:noBreakHyphen/>
        <w:t xml:space="preserve">American Development Bank (IDB) in October 2015. </w:t>
      </w:r>
      <w:bookmarkStart w:id="11" w:name="_Hlk494120866"/>
      <w:r w:rsidR="00616B9B" w:rsidRPr="008E106E">
        <w:rPr>
          <w:rFonts w:ascii="Arial" w:hAnsi="Arial" w:cs="Arial"/>
          <w:sz w:val="22"/>
          <w:szCs w:val="22"/>
        </w:rPr>
        <w:t>Together the SEF</w:t>
      </w:r>
      <w:r w:rsidR="00616B9B" w:rsidRPr="008E106E">
        <w:rPr>
          <w:rFonts w:ascii="Arial" w:hAnsi="Arial" w:cs="Arial"/>
          <w:sz w:val="22"/>
          <w:szCs w:val="22"/>
        </w:rPr>
        <w:noBreakHyphen/>
        <w:t>Expanded and the SEF-2015 comprise the SEF Program.</w:t>
      </w:r>
      <w:bookmarkEnd w:id="9"/>
      <w:r w:rsidR="00616B9B" w:rsidRPr="008E106E">
        <w:rPr>
          <w:rFonts w:ascii="Arial" w:hAnsi="Arial" w:cs="Arial"/>
          <w:sz w:val="22"/>
          <w:szCs w:val="22"/>
        </w:rPr>
        <w:t xml:space="preserve"> </w:t>
      </w:r>
      <w:bookmarkStart w:id="12" w:name="_Hlk494120927"/>
      <w:bookmarkEnd w:id="11"/>
    </w:p>
    <w:p w14:paraId="53C389B0" w14:textId="77777777" w:rsidR="005870B7" w:rsidRPr="008E106E" w:rsidRDefault="00616B9B" w:rsidP="00616B9B">
      <w:pPr>
        <w:pStyle w:val="BodyText"/>
        <w:rPr>
          <w:rFonts w:ascii="Arial" w:hAnsi="Arial" w:cs="Arial"/>
          <w:sz w:val="22"/>
          <w:szCs w:val="22"/>
        </w:rPr>
      </w:pPr>
      <w:r w:rsidRPr="008E106E">
        <w:rPr>
          <w:rFonts w:ascii="Arial" w:hAnsi="Arial" w:cs="Arial"/>
          <w:sz w:val="22"/>
          <w:szCs w:val="22"/>
        </w:rPr>
        <w:t xml:space="preserve">The objective of the SEF Program is to </w:t>
      </w:r>
      <w:bookmarkStart w:id="13" w:name="_Hlk494201348"/>
      <w:r w:rsidRPr="008E106E">
        <w:rPr>
          <w:rFonts w:ascii="Arial" w:hAnsi="Arial" w:cs="Arial"/>
          <w:sz w:val="22"/>
          <w:szCs w:val="22"/>
        </w:rPr>
        <w:t>radically change the energy matrix of the six Eastern Caribbean Countries (ECC)</w:t>
      </w:r>
      <w:bookmarkEnd w:id="13"/>
      <w:r w:rsidRPr="008E106E">
        <w:rPr>
          <w:rFonts w:ascii="Arial" w:hAnsi="Arial" w:cs="Arial"/>
          <w:sz w:val="22"/>
          <w:szCs w:val="22"/>
        </w:rPr>
        <w:t xml:space="preserve">, </w:t>
      </w:r>
      <w:bookmarkStart w:id="14" w:name="_Hlk494212681"/>
      <w:r w:rsidRPr="008E106E">
        <w:rPr>
          <w:rFonts w:ascii="Arial" w:hAnsi="Arial" w:cs="Arial"/>
          <w:sz w:val="22"/>
          <w:szCs w:val="22"/>
        </w:rPr>
        <w:t>namely Antigua and Barbuda (A&amp;B), Dominica (DOM), Grenada (GRE), Saint Kitts and Nevis (SKN), Saint Lucia (SL), and Saint Vincent and the Grenadines (SVG)</w:t>
      </w:r>
      <w:bookmarkEnd w:id="14"/>
      <w:r w:rsidRPr="008E106E">
        <w:rPr>
          <w:rFonts w:ascii="Arial" w:hAnsi="Arial" w:cs="Arial"/>
          <w:sz w:val="22"/>
          <w:szCs w:val="22"/>
        </w:rPr>
        <w:t xml:space="preserve"> by reducing their dependency on fossil fuels for power generation and the cost of electricity. </w:t>
      </w:r>
      <w:bookmarkEnd w:id="12"/>
    </w:p>
    <w:p w14:paraId="7B55EEC2" w14:textId="14EF3C64" w:rsidR="00616B9B" w:rsidRPr="008E106E" w:rsidRDefault="005870B7" w:rsidP="00616B9B">
      <w:pPr>
        <w:pStyle w:val="BodyText"/>
        <w:rPr>
          <w:rFonts w:ascii="Arial" w:hAnsi="Arial" w:cs="Arial"/>
          <w:sz w:val="22"/>
          <w:szCs w:val="22"/>
        </w:rPr>
      </w:pPr>
      <w:r w:rsidRPr="008E106E">
        <w:rPr>
          <w:rFonts w:ascii="Arial" w:hAnsi="Arial" w:cs="Arial"/>
          <w:sz w:val="22"/>
          <w:szCs w:val="22"/>
        </w:rPr>
        <w:t>The SEF Program places emphasis on developing Geothermal Energy (GE), a RE source for which five ECC have potential (all except A&amp;B) and which has the largest potential for displacing fossil fuels in the region. The SEF-Expanded differs from the SEF-2015 in that its exclusive focus is on GE.</w:t>
      </w:r>
    </w:p>
    <w:p w14:paraId="6B88F70C" w14:textId="2D1D02A8" w:rsidR="00616B9B" w:rsidRPr="008E106E" w:rsidRDefault="00616B9B" w:rsidP="00690D98">
      <w:pPr>
        <w:pStyle w:val="BodyText"/>
        <w:rPr>
          <w:rFonts w:ascii="Arial" w:hAnsi="Arial" w:cs="Arial"/>
          <w:sz w:val="22"/>
        </w:rPr>
      </w:pPr>
      <w:r w:rsidRPr="008E106E">
        <w:rPr>
          <w:rFonts w:ascii="Arial" w:hAnsi="Arial" w:cs="Arial"/>
          <w:sz w:val="22"/>
          <w:szCs w:val="22"/>
        </w:rPr>
        <w:t>The objective of the SEF-Expanded is to reduce the financial, technical and institutional barriers which GE development encounters in the five (ECC) with GE potential (</w:t>
      </w:r>
      <w:r w:rsidR="006049CD" w:rsidRPr="008E106E">
        <w:rPr>
          <w:rFonts w:ascii="Arial" w:hAnsi="Arial" w:cs="Arial"/>
          <w:sz w:val="22"/>
          <w:szCs w:val="22"/>
        </w:rPr>
        <w:t>all ECC except for A&amp;B</w:t>
      </w:r>
      <w:r w:rsidRPr="008E106E">
        <w:rPr>
          <w:rFonts w:ascii="Arial" w:hAnsi="Arial" w:cs="Arial"/>
          <w:sz w:val="22"/>
          <w:szCs w:val="22"/>
        </w:rPr>
        <w:t>), and to provide institutional strengthening and capacity building to the governments of these ECC and to the CDB for GE development.</w:t>
      </w:r>
    </w:p>
    <w:p w14:paraId="28A293F0" w14:textId="77777777" w:rsidR="00616B9B" w:rsidRPr="008E106E" w:rsidRDefault="001D48D0" w:rsidP="007B2319">
      <w:pPr>
        <w:pStyle w:val="BodyText"/>
        <w:rPr>
          <w:rFonts w:ascii="Arial" w:hAnsi="Arial" w:cs="Arial"/>
          <w:sz w:val="22"/>
          <w:szCs w:val="22"/>
        </w:rPr>
      </w:pPr>
      <w:r w:rsidRPr="008E106E">
        <w:rPr>
          <w:rFonts w:ascii="Arial" w:hAnsi="Arial" w:cs="Arial"/>
          <w:sz w:val="22"/>
          <w:szCs w:val="22"/>
        </w:rPr>
        <w:t xml:space="preserve">The purpose of this document is to establish the </w:t>
      </w:r>
      <w:r w:rsidR="00ED10BE" w:rsidRPr="008E106E">
        <w:rPr>
          <w:rFonts w:ascii="Arial" w:hAnsi="Arial" w:cs="Arial"/>
          <w:sz w:val="22"/>
          <w:szCs w:val="22"/>
        </w:rPr>
        <w:t xml:space="preserve">framework, processes, and institutional arrangements that will be used to monitor and evaluate the </w:t>
      </w:r>
      <w:r w:rsidR="00616B9B" w:rsidRPr="008E106E">
        <w:rPr>
          <w:rFonts w:ascii="Arial" w:hAnsi="Arial" w:cs="Arial"/>
          <w:sz w:val="22"/>
          <w:szCs w:val="22"/>
        </w:rPr>
        <w:t xml:space="preserve">SEF-Expanded. However, the SEF-Expanded will be monitored together with the SEF-2015 as they comprise one program, the SEF </w:t>
      </w:r>
      <w:r w:rsidR="00ED10BE" w:rsidRPr="008E106E">
        <w:rPr>
          <w:rFonts w:ascii="Arial" w:hAnsi="Arial" w:cs="Arial"/>
          <w:sz w:val="22"/>
          <w:szCs w:val="22"/>
        </w:rPr>
        <w:t xml:space="preserve">Program. </w:t>
      </w:r>
      <w:r w:rsidRPr="008E106E">
        <w:rPr>
          <w:rFonts w:ascii="Arial" w:hAnsi="Arial" w:cs="Arial"/>
          <w:sz w:val="22"/>
          <w:szCs w:val="22"/>
        </w:rPr>
        <w:t xml:space="preserve"> </w:t>
      </w:r>
    </w:p>
    <w:p w14:paraId="7E58E5D1" w14:textId="6BB5C522" w:rsidR="00616B9B" w:rsidRPr="008E106E" w:rsidRDefault="00616B9B" w:rsidP="00616B9B">
      <w:pPr>
        <w:pStyle w:val="Paragraph"/>
        <w:tabs>
          <w:tab w:val="clear" w:pos="720"/>
        </w:tabs>
        <w:ind w:hanging="360"/>
        <w:rPr>
          <w:rFonts w:ascii="Arial" w:hAnsi="Arial" w:cs="Arial"/>
          <w:sz w:val="22"/>
          <w:lang w:val="en-US"/>
        </w:rPr>
      </w:pPr>
      <w:r w:rsidRPr="008E106E">
        <w:rPr>
          <w:rFonts w:ascii="Arial" w:hAnsi="Arial" w:cs="Arial"/>
          <w:sz w:val="22"/>
          <w:lang w:val="en-US"/>
        </w:rPr>
        <w:t xml:space="preserve">The SEF-Expanded includes the following components: </w:t>
      </w:r>
    </w:p>
    <w:p w14:paraId="3375787D" w14:textId="71E8542B" w:rsidR="00616B9B" w:rsidRPr="008E106E" w:rsidRDefault="00616B9B" w:rsidP="00690D98">
      <w:pPr>
        <w:pStyle w:val="Paragraph"/>
        <w:tabs>
          <w:tab w:val="clear" w:pos="720"/>
        </w:tabs>
        <w:ind w:left="0" w:firstLine="0"/>
        <w:rPr>
          <w:rFonts w:ascii="Arial" w:hAnsi="Arial" w:cs="Arial"/>
          <w:sz w:val="22"/>
          <w:lang w:val="en-US"/>
        </w:rPr>
      </w:pPr>
      <w:bookmarkStart w:id="15" w:name="_Hlk512436734"/>
      <w:bookmarkStart w:id="16" w:name="_Hlk494210905"/>
      <w:r w:rsidRPr="008E106E">
        <w:rPr>
          <w:rFonts w:ascii="Arial" w:hAnsi="Arial" w:cs="Arial"/>
          <w:b/>
          <w:sz w:val="22"/>
          <w:lang w:val="en-US"/>
        </w:rPr>
        <w:t>Component 1 – GE project development (US$8</w:t>
      </w:r>
      <w:r w:rsidR="006B6B26" w:rsidRPr="008E106E">
        <w:rPr>
          <w:rFonts w:ascii="Arial" w:hAnsi="Arial" w:cs="Arial"/>
          <w:b/>
          <w:sz w:val="22"/>
          <w:lang w:val="en-US"/>
        </w:rPr>
        <w:t>0.45</w:t>
      </w:r>
      <w:r w:rsidRPr="008E106E">
        <w:rPr>
          <w:rFonts w:ascii="Arial" w:hAnsi="Arial" w:cs="Arial"/>
          <w:b/>
          <w:sz w:val="22"/>
          <w:lang w:val="en-US"/>
        </w:rPr>
        <w:t xml:space="preserve"> million):</w:t>
      </w:r>
      <w:r w:rsidRPr="008E106E">
        <w:rPr>
          <w:rFonts w:ascii="Arial" w:hAnsi="Arial" w:cs="Arial"/>
          <w:sz w:val="22"/>
          <w:lang w:val="en-US"/>
        </w:rPr>
        <w:t xml:space="preserve"> will support GE projects as they advance through successive stages of development all the way to plant construction by offering funding under:</w:t>
      </w:r>
    </w:p>
    <w:p w14:paraId="3C9C2D1A" w14:textId="714041B6" w:rsidR="00616B9B" w:rsidRPr="008E106E" w:rsidRDefault="00616B9B" w:rsidP="00690D98">
      <w:pPr>
        <w:pStyle w:val="Paragraph"/>
        <w:tabs>
          <w:tab w:val="clear" w:pos="720"/>
        </w:tabs>
        <w:ind w:left="720" w:firstLine="0"/>
        <w:rPr>
          <w:rFonts w:ascii="Arial" w:hAnsi="Arial" w:cs="Arial"/>
          <w:sz w:val="22"/>
          <w:lang w:val="en-US"/>
        </w:rPr>
      </w:pPr>
      <w:r w:rsidRPr="008E106E">
        <w:rPr>
          <w:rFonts w:ascii="Arial" w:hAnsi="Arial" w:cs="Arial"/>
          <w:b/>
          <w:sz w:val="22"/>
          <w:lang w:val="en-US"/>
        </w:rPr>
        <w:t xml:space="preserve">Sub-component 1.1 – Prefeasibility (US$4.45 million). </w:t>
      </w:r>
      <w:r w:rsidRPr="008E106E">
        <w:rPr>
          <w:rFonts w:ascii="Arial" w:hAnsi="Arial" w:cs="Arial"/>
          <w:sz w:val="22"/>
          <w:lang w:val="en-US"/>
        </w:rPr>
        <w:t>Financed</w:t>
      </w:r>
      <w:r w:rsidRPr="008E106E">
        <w:rPr>
          <w:rFonts w:ascii="Arial" w:hAnsi="Arial" w:cs="Arial"/>
          <w:b/>
          <w:sz w:val="22"/>
          <w:lang w:val="en-US"/>
        </w:rPr>
        <w:t xml:space="preserve"> </w:t>
      </w:r>
      <w:r w:rsidRPr="008E106E">
        <w:rPr>
          <w:rFonts w:ascii="Arial" w:hAnsi="Arial" w:cs="Arial"/>
          <w:sz w:val="22"/>
          <w:lang w:val="en-US"/>
        </w:rPr>
        <w:t xml:space="preserve">by </w:t>
      </w:r>
      <w:r w:rsidRPr="00690D98">
        <w:rPr>
          <w:rFonts w:ascii="Arial" w:eastAsia="Arial Unicode MS" w:hAnsi="Arial" w:cs="Arial"/>
          <w:bCs/>
          <w:sz w:val="22"/>
          <w:lang w:val="en-US"/>
        </w:rPr>
        <w:t>US$</w:t>
      </w:r>
      <w:r w:rsidRPr="00690D98">
        <w:rPr>
          <w:rFonts w:ascii="Arial" w:hAnsi="Arial" w:cs="Arial"/>
          <w:sz w:val="22"/>
          <w:lang w:val="en-US"/>
        </w:rPr>
        <w:t>4</w:t>
      </w:r>
      <w:r w:rsidRPr="008E106E">
        <w:rPr>
          <w:rFonts w:ascii="Arial" w:hAnsi="Arial" w:cs="Arial"/>
          <w:sz w:val="22"/>
          <w:lang w:val="en-US"/>
        </w:rPr>
        <w:t xml:space="preserve">.45 million from the non-reimbursable technical cooperation provided by REI (RG-T3170) for </w:t>
      </w:r>
      <w:r w:rsidR="006E365E" w:rsidRPr="008E106E">
        <w:rPr>
          <w:rFonts w:ascii="Arial" w:hAnsi="Arial" w:cs="Arial"/>
          <w:sz w:val="22"/>
          <w:lang w:val="en-US"/>
        </w:rPr>
        <w:t>the purposes of carrying out</w:t>
      </w:r>
      <w:r w:rsidRPr="008E106E">
        <w:rPr>
          <w:rFonts w:ascii="Arial" w:hAnsi="Arial" w:cs="Arial"/>
          <w:sz w:val="22"/>
          <w:lang w:val="en-US"/>
        </w:rPr>
        <w:t xml:space="preserve"> pre-feasibility studies required to identify promising exploratory drilling sites. </w:t>
      </w:r>
    </w:p>
    <w:p w14:paraId="4E7B022E" w14:textId="77777777" w:rsidR="00616B9B" w:rsidRPr="008E106E" w:rsidRDefault="00616B9B" w:rsidP="00690D98">
      <w:pPr>
        <w:pStyle w:val="Paragraph"/>
        <w:tabs>
          <w:tab w:val="clear" w:pos="720"/>
        </w:tabs>
        <w:ind w:left="720" w:firstLine="0"/>
        <w:rPr>
          <w:rFonts w:ascii="Arial" w:hAnsi="Arial" w:cs="Arial"/>
          <w:sz w:val="22"/>
          <w:lang w:val="en-US"/>
        </w:rPr>
      </w:pPr>
      <w:r w:rsidRPr="008E106E">
        <w:rPr>
          <w:rFonts w:ascii="Arial" w:hAnsi="Arial" w:cs="Arial"/>
          <w:b/>
          <w:sz w:val="22"/>
          <w:lang w:val="en-US"/>
        </w:rPr>
        <w:t>Sub-component 1.2 –Exploration Drilling</w:t>
      </w:r>
      <w:r w:rsidRPr="008E106E">
        <w:rPr>
          <w:rFonts w:ascii="Arial" w:hAnsi="Arial" w:cs="Arial"/>
          <w:sz w:val="22"/>
          <w:lang w:val="en-US"/>
        </w:rPr>
        <w:t xml:space="preserve"> </w:t>
      </w:r>
      <w:r w:rsidRPr="008E106E">
        <w:rPr>
          <w:rFonts w:ascii="Arial" w:hAnsi="Arial" w:cs="Arial"/>
          <w:b/>
          <w:sz w:val="22"/>
          <w:lang w:val="en-US"/>
        </w:rPr>
        <w:t xml:space="preserve">(US$16 million). </w:t>
      </w:r>
      <w:r w:rsidRPr="008E106E">
        <w:rPr>
          <w:rFonts w:ascii="Arial" w:hAnsi="Arial" w:cs="Arial"/>
          <w:sz w:val="22"/>
          <w:lang w:val="en-US"/>
        </w:rPr>
        <w:t>Financed</w:t>
      </w:r>
      <w:r w:rsidRPr="008E106E">
        <w:rPr>
          <w:rFonts w:ascii="Arial" w:hAnsi="Arial" w:cs="Arial"/>
          <w:b/>
          <w:sz w:val="22"/>
          <w:lang w:val="en-US"/>
        </w:rPr>
        <w:t xml:space="preserve"> </w:t>
      </w:r>
      <w:r w:rsidRPr="008E106E">
        <w:rPr>
          <w:rFonts w:ascii="Arial" w:hAnsi="Arial" w:cs="Arial"/>
          <w:sz w:val="22"/>
          <w:lang w:val="en-US"/>
        </w:rPr>
        <w:t xml:space="preserve">by US$16 million grant resources provided by GCF (RG-G1013) to be used as risk mitigation for exploratory drilling. </w:t>
      </w:r>
    </w:p>
    <w:p w14:paraId="600F8057" w14:textId="77777777" w:rsidR="00616B9B" w:rsidRPr="008E106E" w:rsidRDefault="00616B9B" w:rsidP="00690D98">
      <w:pPr>
        <w:pStyle w:val="Paragraph"/>
        <w:tabs>
          <w:tab w:val="clear" w:pos="720"/>
        </w:tabs>
        <w:ind w:left="720" w:firstLine="0"/>
        <w:rPr>
          <w:rFonts w:ascii="Arial" w:hAnsi="Arial" w:cs="Arial"/>
          <w:sz w:val="22"/>
          <w:lang w:val="en-US"/>
        </w:rPr>
      </w:pPr>
      <w:r w:rsidRPr="008E106E">
        <w:rPr>
          <w:rFonts w:ascii="Arial" w:hAnsi="Arial" w:cs="Arial"/>
          <w:b/>
          <w:sz w:val="22"/>
          <w:lang w:val="en-US"/>
        </w:rPr>
        <w:t>Sub-component 1.3 – Field and plant development (US$60 million).</w:t>
      </w:r>
      <w:r w:rsidRPr="008E106E">
        <w:rPr>
          <w:rFonts w:ascii="Arial" w:hAnsi="Arial" w:cs="Arial"/>
          <w:sz w:val="22"/>
          <w:lang w:val="en-US"/>
        </w:rPr>
        <w:t xml:space="preserve"> Financed by loan resources from GCF (RG-L1112) to provide concessional loans for the drilling of production and reinjection wells, engineering and construction of steam gathering systems and power plants, as well as for the construction of power substations and transmission lines. </w:t>
      </w:r>
    </w:p>
    <w:p w14:paraId="4DBB7D72" w14:textId="0C16E0DA" w:rsidR="00616B9B" w:rsidRPr="008E106E" w:rsidRDefault="00616B9B" w:rsidP="00690D98">
      <w:pPr>
        <w:pStyle w:val="Paragraph"/>
        <w:tabs>
          <w:tab w:val="clear" w:pos="720"/>
        </w:tabs>
        <w:ind w:left="0" w:firstLine="0"/>
        <w:rPr>
          <w:rFonts w:ascii="Arial" w:hAnsi="Arial" w:cs="Arial"/>
          <w:sz w:val="22"/>
          <w:lang w:val="en-US"/>
        </w:rPr>
      </w:pPr>
      <w:bookmarkStart w:id="17" w:name="_Ref494055143"/>
      <w:r w:rsidRPr="008E106E">
        <w:rPr>
          <w:rFonts w:ascii="Arial" w:hAnsi="Arial" w:cs="Arial"/>
          <w:b/>
          <w:sz w:val="22"/>
          <w:lang w:val="en-US"/>
        </w:rPr>
        <w:t>Component 2: Technical Assistance: Regulatory framework, institutional strengthening</w:t>
      </w:r>
      <w:r w:rsidR="006E365E" w:rsidRPr="008E106E">
        <w:rPr>
          <w:rFonts w:ascii="Arial" w:hAnsi="Arial" w:cs="Arial"/>
          <w:b/>
          <w:sz w:val="22"/>
          <w:lang w:val="en-US"/>
        </w:rPr>
        <w:t xml:space="preserve"> and </w:t>
      </w:r>
      <w:r w:rsidRPr="008E106E">
        <w:rPr>
          <w:rFonts w:ascii="Arial" w:hAnsi="Arial" w:cs="Arial"/>
          <w:b/>
          <w:sz w:val="22"/>
          <w:lang w:val="en-US"/>
        </w:rPr>
        <w:t>capacity building (US$5.1</w:t>
      </w:r>
      <w:r w:rsidR="00847DE6" w:rsidRPr="008E106E">
        <w:rPr>
          <w:rFonts w:ascii="Arial" w:hAnsi="Arial" w:cs="Arial"/>
          <w:b/>
          <w:sz w:val="22"/>
          <w:lang w:val="en-US"/>
        </w:rPr>
        <w:t>6</w:t>
      </w:r>
      <w:r w:rsidRPr="008E106E">
        <w:rPr>
          <w:rFonts w:ascii="Arial" w:hAnsi="Arial" w:cs="Arial"/>
          <w:b/>
          <w:sz w:val="22"/>
          <w:lang w:val="en-US"/>
        </w:rPr>
        <w:t xml:space="preserve"> million). </w:t>
      </w:r>
      <w:bookmarkEnd w:id="15"/>
      <w:r w:rsidRPr="008E106E">
        <w:rPr>
          <w:rFonts w:ascii="Arial" w:hAnsi="Arial" w:cs="Arial"/>
          <w:sz w:val="22"/>
          <w:lang w:val="en-US"/>
        </w:rPr>
        <w:t xml:space="preserve">Financed by a US$4 million grant from GCF (RG-G1013) </w:t>
      </w:r>
      <w:r w:rsidR="002259F0" w:rsidRPr="008E106E">
        <w:rPr>
          <w:rFonts w:ascii="Arial" w:hAnsi="Arial" w:cs="Arial"/>
          <w:sz w:val="22"/>
          <w:lang w:val="en-US"/>
        </w:rPr>
        <w:t>to provide non-reimbursable technical assistance to the CDB and to the five ECC. Additional funds from REI (RG-T3170) in the amount of US</w:t>
      </w:r>
      <w:r w:rsidR="002259F0" w:rsidRPr="008E106E">
        <w:rPr>
          <w:rFonts w:ascii="Arial" w:eastAsia="Arial Unicode MS" w:hAnsi="Arial" w:cs="Arial"/>
          <w:bCs/>
          <w:sz w:val="22"/>
          <w:lang w:val="en-US"/>
        </w:rPr>
        <w:t>$</w:t>
      </w:r>
      <w:r w:rsidR="002259F0" w:rsidRPr="008E106E">
        <w:rPr>
          <w:rFonts w:ascii="Arial" w:hAnsi="Arial" w:cs="Arial"/>
          <w:sz w:val="22"/>
          <w:lang w:val="en-US"/>
        </w:rPr>
        <w:t>1.1</w:t>
      </w:r>
      <w:r w:rsidR="00847DE6" w:rsidRPr="008E106E">
        <w:rPr>
          <w:rFonts w:ascii="Arial" w:hAnsi="Arial" w:cs="Arial"/>
          <w:sz w:val="22"/>
          <w:lang w:val="en-US"/>
        </w:rPr>
        <w:t>6</w:t>
      </w:r>
      <w:r w:rsidR="002259F0" w:rsidRPr="008E106E">
        <w:rPr>
          <w:rFonts w:ascii="Arial" w:hAnsi="Arial" w:cs="Arial"/>
          <w:sz w:val="22"/>
          <w:lang w:val="en-US"/>
        </w:rPr>
        <w:t xml:space="preserve"> million will be used to provide technical assistance to the five ECC. Technical assistance to the CDB includes the following activities: (a) developing staff capacity to evaluate and execute sub-loans; (b) </w:t>
      </w:r>
      <w:r w:rsidR="002259F0" w:rsidRPr="008E106E">
        <w:rPr>
          <w:rFonts w:ascii="Arial" w:hAnsi="Arial" w:cs="Arial"/>
          <w:color w:val="000000"/>
          <w:sz w:val="22"/>
          <w:lang w:val="en-US" w:eastAsia="ja-JP"/>
        </w:rPr>
        <w:t xml:space="preserve">consulting services to provide specific skills and advisory services as and when required for sub-project preparation; (c) drafting of legal documents (i.e. loan contracts for GE sub-loans). Technical assistance to the ECC governments will support ECC </w:t>
      </w:r>
      <w:r w:rsidRPr="008E106E">
        <w:rPr>
          <w:rFonts w:ascii="Arial" w:hAnsi="Arial" w:cs="Arial"/>
          <w:sz w:val="22"/>
          <w:lang w:val="en-US"/>
        </w:rPr>
        <w:t xml:space="preserve">ministries responsible for energy and electric utilities to develop an effective legal, policy and regulatory framework for the implementation of GE projects, as well as to make progress in negotiations with private sector actors to develop GE. </w:t>
      </w:r>
      <w:bookmarkStart w:id="18" w:name="_Ref492997798"/>
      <w:r w:rsidRPr="008E106E">
        <w:rPr>
          <w:rFonts w:ascii="Arial" w:hAnsi="Arial" w:cs="Arial"/>
          <w:sz w:val="22"/>
          <w:lang w:val="en-US"/>
        </w:rPr>
        <w:t xml:space="preserve">To this end, </w:t>
      </w:r>
      <w:bookmarkEnd w:id="18"/>
      <w:r w:rsidRPr="008E106E">
        <w:rPr>
          <w:rFonts w:ascii="Arial" w:hAnsi="Arial" w:cs="Arial"/>
          <w:sz w:val="22"/>
          <w:lang w:val="en-US"/>
        </w:rPr>
        <w:t>resources</w:t>
      </w:r>
      <w:r w:rsidRPr="008E106E">
        <w:rPr>
          <w:rFonts w:ascii="Arial" w:hAnsi="Arial" w:cs="Arial"/>
          <w:b/>
          <w:sz w:val="22"/>
          <w:lang w:val="en-US"/>
        </w:rPr>
        <w:t xml:space="preserve"> </w:t>
      </w:r>
      <w:r w:rsidR="006E365E" w:rsidRPr="008E106E">
        <w:rPr>
          <w:rFonts w:ascii="Arial" w:hAnsi="Arial" w:cs="Arial"/>
          <w:sz w:val="22"/>
          <w:lang w:val="en-US"/>
        </w:rPr>
        <w:t>from</w:t>
      </w:r>
      <w:r w:rsidR="006E365E" w:rsidRPr="008E106E">
        <w:rPr>
          <w:rFonts w:ascii="Arial" w:hAnsi="Arial" w:cs="Arial"/>
          <w:b/>
          <w:sz w:val="22"/>
          <w:lang w:val="en-US"/>
        </w:rPr>
        <w:t xml:space="preserve"> </w:t>
      </w:r>
      <w:r w:rsidR="006E365E" w:rsidRPr="008E106E">
        <w:rPr>
          <w:rFonts w:ascii="Arial" w:hAnsi="Arial" w:cs="Arial"/>
          <w:sz w:val="22"/>
          <w:lang w:val="en-US"/>
        </w:rPr>
        <w:t xml:space="preserve">GCF or REI will support the following activities: (i) </w:t>
      </w:r>
      <w:r w:rsidR="006E365E" w:rsidRPr="008E106E">
        <w:rPr>
          <w:rFonts w:ascii="Arial" w:hAnsi="Arial" w:cs="Arial"/>
          <w:color w:val="000000"/>
          <w:sz w:val="22"/>
          <w:lang w:val="en-US" w:eastAsia="ja-JP"/>
        </w:rPr>
        <w:t>transaction advisory support to structure projects and negotiate with private partners; (ii) training to acquire the necessary skills to enable GE development and project execution; and (iii) capacity building to strengthen governments technical, institutional, environmental and regulatory capacity</w:t>
      </w:r>
      <w:r w:rsidRPr="008E106E">
        <w:rPr>
          <w:rFonts w:ascii="Arial" w:hAnsi="Arial" w:cs="Arial"/>
          <w:sz w:val="22"/>
          <w:lang w:val="en-US"/>
        </w:rPr>
        <w:t>.</w:t>
      </w:r>
      <w:bookmarkEnd w:id="17"/>
      <w:r w:rsidRPr="008E106E">
        <w:rPr>
          <w:rFonts w:ascii="Arial" w:hAnsi="Arial" w:cs="Arial"/>
          <w:sz w:val="22"/>
          <w:lang w:val="en-US"/>
        </w:rPr>
        <w:t xml:space="preserve"> </w:t>
      </w:r>
    </w:p>
    <w:bookmarkEnd w:id="16"/>
    <w:p w14:paraId="357B0D01" w14:textId="03CB4855" w:rsidR="005034D9" w:rsidRPr="008E106E" w:rsidRDefault="001D48D0" w:rsidP="007B2319">
      <w:pPr>
        <w:pStyle w:val="BodyText"/>
        <w:rPr>
          <w:rFonts w:ascii="Arial" w:hAnsi="Arial" w:cs="Arial"/>
          <w:sz w:val="22"/>
          <w:szCs w:val="22"/>
        </w:rPr>
      </w:pPr>
      <w:r w:rsidRPr="008E106E">
        <w:rPr>
          <w:rFonts w:ascii="Arial" w:hAnsi="Arial" w:cs="Arial"/>
          <w:sz w:val="22"/>
          <w:szCs w:val="22"/>
        </w:rPr>
        <w:t xml:space="preserve"> </w:t>
      </w:r>
    </w:p>
    <w:p w14:paraId="21D8DD05" w14:textId="6C21BF31" w:rsidR="001408B7" w:rsidRPr="008E106E" w:rsidRDefault="006049CD">
      <w:pPr>
        <w:pStyle w:val="BodyText"/>
        <w:rPr>
          <w:rFonts w:ascii="Arial" w:hAnsi="Arial" w:cs="Arial"/>
          <w:sz w:val="22"/>
          <w:szCs w:val="22"/>
        </w:rPr>
      </w:pPr>
      <w:r w:rsidRPr="008E106E">
        <w:rPr>
          <w:rFonts w:ascii="Arial" w:hAnsi="Arial" w:cs="Arial"/>
          <w:sz w:val="22"/>
          <w:szCs w:val="22"/>
        </w:rPr>
        <w:t xml:space="preserve">As reference, the SEF-2015 </w:t>
      </w:r>
      <w:r w:rsidR="001408B7" w:rsidRPr="008E106E">
        <w:rPr>
          <w:rFonts w:ascii="Arial" w:hAnsi="Arial" w:cs="Arial"/>
          <w:sz w:val="22"/>
          <w:szCs w:val="22"/>
        </w:rPr>
        <w:t xml:space="preserve">consists of the following components: </w:t>
      </w:r>
    </w:p>
    <w:p w14:paraId="160C854C" w14:textId="4AC5FA88" w:rsidR="00907270" w:rsidRPr="008E106E" w:rsidRDefault="00907270" w:rsidP="00907270">
      <w:pPr>
        <w:pStyle w:val="Paragraph"/>
        <w:numPr>
          <w:ilvl w:val="1"/>
          <w:numId w:val="26"/>
        </w:numPr>
        <w:tabs>
          <w:tab w:val="clear" w:pos="2736"/>
          <w:tab w:val="num" w:pos="720"/>
        </w:tabs>
        <w:ind w:left="720" w:hanging="720"/>
        <w:rPr>
          <w:rFonts w:ascii="Arial" w:hAnsi="Arial" w:cs="Arial"/>
          <w:sz w:val="22"/>
          <w:lang w:val="en-US"/>
        </w:rPr>
      </w:pPr>
      <w:r w:rsidRPr="008E106E">
        <w:rPr>
          <w:rFonts w:ascii="Arial" w:hAnsi="Arial" w:cs="Arial"/>
          <w:b/>
          <w:sz w:val="22"/>
          <w:lang w:val="en-US"/>
        </w:rPr>
        <w:t>Component 1: Energy Efficiency (EE)</w:t>
      </w:r>
      <w:r w:rsidRPr="008E106E" w:rsidDel="003A45C8">
        <w:rPr>
          <w:rFonts w:ascii="Arial" w:hAnsi="Arial" w:cs="Arial"/>
          <w:sz w:val="22"/>
          <w:lang w:val="en-US"/>
        </w:rPr>
        <w:t xml:space="preserve"> </w:t>
      </w:r>
      <w:r w:rsidRPr="008E106E">
        <w:rPr>
          <w:rFonts w:ascii="Arial" w:hAnsi="Arial" w:cs="Arial"/>
          <w:sz w:val="22"/>
          <w:lang w:val="en-US"/>
        </w:rPr>
        <w:t xml:space="preserve">– Resources from this component will be used for the financing of sub-loans and grants to ECC governments to promote EE measures such as: (i) retrofitting government buildings; (ii) installing new or replacing existing streetlights with more efficient ones; and (iii) increasing power generation efficiency, including transmission and distribution loss reduction programs. </w:t>
      </w:r>
    </w:p>
    <w:p w14:paraId="796269A8" w14:textId="3C5FCECF" w:rsidR="00907270" w:rsidRPr="008E106E" w:rsidRDefault="00907270" w:rsidP="00907270">
      <w:pPr>
        <w:pStyle w:val="Paragraph"/>
        <w:numPr>
          <w:ilvl w:val="1"/>
          <w:numId w:val="26"/>
        </w:numPr>
        <w:tabs>
          <w:tab w:val="clear" w:pos="2736"/>
          <w:tab w:val="num" w:pos="720"/>
        </w:tabs>
        <w:ind w:left="720" w:hanging="720"/>
        <w:rPr>
          <w:rFonts w:ascii="Arial" w:hAnsi="Arial" w:cs="Arial"/>
          <w:sz w:val="22"/>
          <w:lang w:val="en-US"/>
        </w:rPr>
      </w:pPr>
      <w:r w:rsidRPr="008E106E">
        <w:rPr>
          <w:rFonts w:ascii="Arial" w:hAnsi="Arial" w:cs="Arial"/>
          <w:b/>
          <w:sz w:val="22"/>
          <w:lang w:val="en-US"/>
        </w:rPr>
        <w:t>Component 2: Regulatory framework, institutional strengthening and capacity building –</w:t>
      </w:r>
      <w:r w:rsidRPr="008E106E">
        <w:rPr>
          <w:rFonts w:ascii="Arial" w:hAnsi="Arial" w:cs="Arial"/>
          <w:sz w:val="22"/>
          <w:lang w:val="en-US"/>
        </w:rPr>
        <w:t xml:space="preserve"> Resources from this component will be used for the financing of non-reimbursable technical assistance to the CDB, and to the ECC governments</w:t>
      </w:r>
      <w:r w:rsidRPr="008E106E">
        <w:rPr>
          <w:rStyle w:val="FootnoteReference"/>
          <w:rFonts w:ascii="Arial" w:hAnsi="Arial" w:cs="Arial"/>
          <w:sz w:val="22"/>
        </w:rPr>
        <w:footnoteReference w:id="2"/>
      </w:r>
      <w:r w:rsidRPr="008E106E">
        <w:rPr>
          <w:rFonts w:ascii="Arial" w:hAnsi="Arial" w:cs="Arial"/>
          <w:sz w:val="22"/>
          <w:lang w:val="en-US"/>
        </w:rPr>
        <w:t>, including their ministries responsible for energy and electric utilities. Support to the CDB will focus on strengthening its capacity as required to implement the program including: (i) consulting services to provide specific skills and advisory services when required for sub-project preparation; (ii) drafting of legal documents (i.e. loan contracts for GE sub-loans); and (iii) further developing staff capacity to evaluate and execute sub-loans. Support to the ECC governments will include: (i) supporting an effective legal, policy and regulatory framework</w:t>
      </w:r>
      <w:r w:rsidRPr="008E106E">
        <w:rPr>
          <w:rStyle w:val="FootnoteReference"/>
          <w:rFonts w:ascii="Arial" w:hAnsi="Arial" w:cs="Arial"/>
          <w:sz w:val="22"/>
        </w:rPr>
        <w:footnoteReference w:id="3"/>
      </w:r>
      <w:r w:rsidRPr="008E106E">
        <w:rPr>
          <w:rFonts w:ascii="Arial" w:hAnsi="Arial" w:cs="Arial"/>
          <w:sz w:val="22"/>
          <w:lang w:val="en-US"/>
        </w:rPr>
        <w:t xml:space="preserve"> for the implementation of SE projects; (ii) strengthening their technical, institutional, environmental and regulatory capacity; (iii) transaction advisory support to structure projects and negotiate with private partners; and (iv) providing opportunities for training to acquire the necessary skills to enable EE and RE development and project execution. </w:t>
      </w:r>
    </w:p>
    <w:p w14:paraId="4F7C42F3" w14:textId="053634C3" w:rsidR="00907270" w:rsidRPr="008E106E" w:rsidRDefault="00907270" w:rsidP="00907270">
      <w:pPr>
        <w:pStyle w:val="Paragraph"/>
        <w:numPr>
          <w:ilvl w:val="1"/>
          <w:numId w:val="26"/>
        </w:numPr>
        <w:tabs>
          <w:tab w:val="clear" w:pos="2736"/>
          <w:tab w:val="num" w:pos="720"/>
        </w:tabs>
        <w:ind w:left="720" w:hanging="720"/>
        <w:rPr>
          <w:rFonts w:ascii="Arial" w:hAnsi="Arial" w:cs="Arial"/>
          <w:sz w:val="22"/>
          <w:lang w:val="en-US"/>
        </w:rPr>
      </w:pPr>
      <w:bookmarkStart w:id="19" w:name="_Ref426705764"/>
      <w:r w:rsidRPr="008E106E">
        <w:rPr>
          <w:rFonts w:ascii="Arial" w:hAnsi="Arial" w:cs="Arial"/>
          <w:b/>
          <w:sz w:val="22"/>
          <w:lang w:val="en-US"/>
        </w:rPr>
        <w:t>Component 3: Renewable Energy (RE)</w:t>
      </w:r>
      <w:r w:rsidRPr="008E106E">
        <w:rPr>
          <w:rFonts w:ascii="Arial" w:hAnsi="Arial" w:cs="Arial"/>
          <w:sz w:val="22"/>
          <w:lang w:val="en-US"/>
        </w:rPr>
        <w:t xml:space="preserve"> – Resources from this component will be provided to both ECC governments and PPP under the following sub</w:t>
      </w:r>
      <w:r w:rsidRPr="008E106E">
        <w:rPr>
          <w:rFonts w:ascii="Arial" w:hAnsi="Arial" w:cs="Arial"/>
          <w:sz w:val="22"/>
          <w:lang w:val="en-US"/>
        </w:rPr>
        <w:noBreakHyphen/>
        <w:t xml:space="preserve">components: Subcomponent 1: Intermittent RE: includes the financing of projects such as wind power and solar PV; and Subcomponent 2: includes the financing of projects such as GE, hydro and waste to energy projects. Since the risk levels involved in GE projects are inherent to each of the development stages, the program will offer financial instruments tailored for each stage to enable projects to advance to subsequent stages through to plant construction. Funds for GE projects will be made available through a facility proposed by the CDB, called the </w:t>
      </w:r>
      <w:proofErr w:type="spellStart"/>
      <w:r w:rsidRPr="008E106E">
        <w:rPr>
          <w:rFonts w:ascii="Arial" w:hAnsi="Arial" w:cs="Arial"/>
          <w:sz w:val="22"/>
          <w:lang w:val="en-US"/>
        </w:rPr>
        <w:t>GeoSmart</w:t>
      </w:r>
      <w:proofErr w:type="spellEnd"/>
      <w:r w:rsidRPr="008E106E">
        <w:rPr>
          <w:rFonts w:ascii="Arial" w:hAnsi="Arial" w:cs="Arial"/>
          <w:sz w:val="22"/>
          <w:lang w:val="en-US"/>
        </w:rPr>
        <w:t xml:space="preserve"> Facility to address the specific challenges that GE development faces given its risk profile. Under this sub-component, the </w:t>
      </w:r>
      <w:proofErr w:type="spellStart"/>
      <w:r w:rsidRPr="008E106E">
        <w:rPr>
          <w:rFonts w:ascii="Arial" w:hAnsi="Arial" w:cs="Arial"/>
          <w:sz w:val="22"/>
          <w:lang w:val="en-US"/>
        </w:rPr>
        <w:t>GeoSmart</w:t>
      </w:r>
      <w:proofErr w:type="spellEnd"/>
      <w:r w:rsidRPr="008E106E">
        <w:rPr>
          <w:rFonts w:ascii="Arial" w:hAnsi="Arial" w:cs="Arial"/>
          <w:sz w:val="22"/>
          <w:lang w:val="en-US"/>
        </w:rPr>
        <w:t xml:space="preserve"> Facility will provide a range of financial support to public sector actors and/or PPP, customized for each stage of geothermal development to support development of GE projects in each of the ECC with geothermal potential. The activities to be financed are: (i) pre</w:t>
      </w:r>
      <w:r w:rsidRPr="008E106E">
        <w:rPr>
          <w:rFonts w:ascii="Arial" w:hAnsi="Arial" w:cs="Arial"/>
          <w:sz w:val="22"/>
          <w:lang w:val="en-US"/>
        </w:rPr>
        <w:noBreakHyphen/>
        <w:t xml:space="preserve">investment activities, for which a mix of grants and/or loans are best suited to unlock investments, including: (a) surface studies (geology, geophysics and geochemistry- 3Gs) and ESIA, and studies on the feasibility of power interconnections between neighboring islands; and (b) drilling of early exploration wells (slim holes); (ii) exploration activities, for which risk mitigation instruments such as contingent recovery grants are essential, including: (a) exploration drilling program (full size wells); and (b) feasibility studies for targeted reservoirs, and the ESIA for this phase; and (iii) field and power plant development activities for which loans will be provided for: (a) production drilling (production and reinjection wells); (b) engineering and construction of power plants; and (c) access roads, substations and transmission lines. As shown in </w:t>
      </w:r>
      <w:r w:rsidRPr="008E106E">
        <w:rPr>
          <w:rFonts w:ascii="Arial" w:hAnsi="Arial" w:cs="Arial"/>
          <w:sz w:val="22"/>
          <w:lang w:val="en-US"/>
        </w:rPr>
        <w:fldChar w:fldCharType="begin"/>
      </w:r>
      <w:r w:rsidRPr="008E106E">
        <w:rPr>
          <w:rFonts w:ascii="Arial" w:hAnsi="Arial" w:cs="Arial"/>
          <w:sz w:val="22"/>
          <w:lang w:val="en-US"/>
        </w:rPr>
        <w:instrText xml:space="preserve"> REF _Ref425171821 \h  \* MERGEFORMAT </w:instrText>
      </w:r>
      <w:r w:rsidRPr="008E106E">
        <w:rPr>
          <w:rFonts w:ascii="Arial" w:hAnsi="Arial" w:cs="Arial"/>
          <w:sz w:val="22"/>
          <w:lang w:val="en-US"/>
        </w:rPr>
      </w:r>
      <w:r w:rsidRPr="008E106E">
        <w:rPr>
          <w:rFonts w:ascii="Arial" w:hAnsi="Arial" w:cs="Arial"/>
          <w:sz w:val="22"/>
          <w:lang w:val="en-US"/>
        </w:rPr>
        <w:fldChar w:fldCharType="separate"/>
      </w:r>
      <w:r w:rsidRPr="008E106E">
        <w:rPr>
          <w:rFonts w:ascii="Arial" w:hAnsi="Arial" w:cs="Arial"/>
          <w:sz w:val="22"/>
          <w:lang w:val="en-US"/>
        </w:rPr>
        <w:t>Table 3</w:t>
      </w:r>
      <w:r w:rsidRPr="008E106E">
        <w:rPr>
          <w:rFonts w:ascii="Arial" w:hAnsi="Arial" w:cs="Arial"/>
          <w:sz w:val="22"/>
          <w:lang w:val="en-US"/>
        </w:rPr>
        <w:fldChar w:fldCharType="end"/>
      </w:r>
      <w:r w:rsidRPr="008E106E">
        <w:rPr>
          <w:rFonts w:ascii="Arial" w:hAnsi="Arial" w:cs="Arial"/>
          <w:sz w:val="22"/>
          <w:lang w:val="en-US"/>
        </w:rPr>
        <w:t>, RE opportunities identified during program preparation would require investments of approximately US$703 million of which US$526 million are required for GE.</w:t>
      </w:r>
      <w:bookmarkEnd w:id="19"/>
      <w:r w:rsidRPr="008E106E">
        <w:rPr>
          <w:rFonts w:ascii="Arial" w:hAnsi="Arial" w:cs="Arial"/>
          <w:sz w:val="22"/>
          <w:lang w:val="en-US"/>
        </w:rPr>
        <w:t xml:space="preserve"> </w:t>
      </w:r>
    </w:p>
    <w:p w14:paraId="5517929F" w14:textId="15574DD3" w:rsidR="006049CD" w:rsidRPr="008E106E" w:rsidRDefault="006049CD" w:rsidP="001408B7">
      <w:pPr>
        <w:pStyle w:val="BodyText"/>
        <w:rPr>
          <w:rFonts w:ascii="Arial" w:hAnsi="Arial" w:cs="Arial"/>
          <w:sz w:val="22"/>
          <w:szCs w:val="22"/>
          <w:lang w:eastAsia="ja-JP"/>
        </w:rPr>
      </w:pPr>
    </w:p>
    <w:p w14:paraId="51515145" w14:textId="64BCB634" w:rsidR="004F5B18" w:rsidRPr="008E106E" w:rsidRDefault="004F5B18" w:rsidP="001408B7">
      <w:pPr>
        <w:pStyle w:val="BodyText"/>
        <w:rPr>
          <w:rFonts w:ascii="Arial" w:hAnsi="Arial" w:cs="Arial"/>
          <w:sz w:val="22"/>
          <w:szCs w:val="22"/>
          <w:lang w:eastAsia="ja-JP"/>
        </w:rPr>
      </w:pPr>
      <w:proofErr w:type="gramStart"/>
      <w:r w:rsidRPr="008E106E">
        <w:rPr>
          <w:rFonts w:ascii="Arial" w:hAnsi="Arial" w:cs="Arial"/>
          <w:sz w:val="22"/>
          <w:szCs w:val="22"/>
          <w:lang w:eastAsia="ja-JP"/>
        </w:rPr>
        <w:t>For the purpose of</w:t>
      </w:r>
      <w:proofErr w:type="gramEnd"/>
      <w:r w:rsidRPr="008E106E">
        <w:rPr>
          <w:rFonts w:ascii="Arial" w:hAnsi="Arial" w:cs="Arial"/>
          <w:sz w:val="22"/>
          <w:szCs w:val="22"/>
          <w:lang w:eastAsia="ja-JP"/>
        </w:rPr>
        <w:t xml:space="preserve"> consolidating results in SEF </w:t>
      </w:r>
      <w:r w:rsidR="00C550F8">
        <w:rPr>
          <w:rFonts w:ascii="Arial" w:hAnsi="Arial" w:cs="Arial"/>
          <w:sz w:val="22"/>
          <w:szCs w:val="22"/>
          <w:lang w:eastAsia="ja-JP"/>
        </w:rPr>
        <w:t>P</w:t>
      </w:r>
      <w:r w:rsidR="00C550F8" w:rsidRPr="008E106E">
        <w:rPr>
          <w:rFonts w:ascii="Arial" w:hAnsi="Arial" w:cs="Arial"/>
          <w:sz w:val="22"/>
          <w:szCs w:val="22"/>
          <w:lang w:eastAsia="ja-JP"/>
        </w:rPr>
        <w:t xml:space="preserve">rogram </w:t>
      </w:r>
      <w:r w:rsidRPr="008E106E">
        <w:rPr>
          <w:rFonts w:ascii="Arial" w:hAnsi="Arial" w:cs="Arial"/>
          <w:sz w:val="22"/>
          <w:szCs w:val="22"/>
          <w:lang w:eastAsia="ja-JP"/>
        </w:rPr>
        <w:t xml:space="preserve">execution, the following table shows how </w:t>
      </w:r>
      <w:r w:rsidR="00D70B74" w:rsidRPr="008E106E">
        <w:rPr>
          <w:rFonts w:ascii="Arial" w:hAnsi="Arial" w:cs="Arial"/>
          <w:sz w:val="22"/>
          <w:szCs w:val="22"/>
          <w:lang w:eastAsia="ja-JP"/>
        </w:rPr>
        <w:t>each program’s components and sub-components are related to the other.</w:t>
      </w:r>
    </w:p>
    <w:tbl>
      <w:tblPr>
        <w:tblStyle w:val="TableGridLight"/>
        <w:tblW w:w="0" w:type="auto"/>
        <w:tblLook w:val="04A0" w:firstRow="1" w:lastRow="0" w:firstColumn="1" w:lastColumn="0" w:noHBand="0" w:noVBand="1"/>
      </w:tblPr>
      <w:tblGrid>
        <w:gridCol w:w="1705"/>
        <w:gridCol w:w="3600"/>
        <w:gridCol w:w="3333"/>
      </w:tblGrid>
      <w:tr w:rsidR="006049CD" w:rsidRPr="008E106E" w14:paraId="7DD2374D" w14:textId="77777777" w:rsidTr="00690D98">
        <w:tc>
          <w:tcPr>
            <w:tcW w:w="5305" w:type="dxa"/>
            <w:gridSpan w:val="2"/>
            <w:noWrap/>
          </w:tcPr>
          <w:p w14:paraId="5C03A95E" w14:textId="5D559DED" w:rsidR="006049CD" w:rsidRPr="00690D98" w:rsidRDefault="006049CD" w:rsidP="008E0838">
            <w:pPr>
              <w:pStyle w:val="Paragraph"/>
              <w:tabs>
                <w:tab w:val="clear" w:pos="720"/>
              </w:tabs>
              <w:ind w:left="0" w:firstLine="0"/>
              <w:rPr>
                <w:rFonts w:ascii="Arial" w:hAnsi="Arial" w:cs="Arial"/>
                <w:b/>
                <w:sz w:val="20"/>
                <w:lang w:val="en-US"/>
              </w:rPr>
            </w:pPr>
            <w:r w:rsidRPr="00690D98">
              <w:rPr>
                <w:rFonts w:ascii="Arial" w:hAnsi="Arial" w:cs="Arial"/>
                <w:b/>
                <w:sz w:val="20"/>
                <w:lang w:val="en-US"/>
              </w:rPr>
              <w:t>SEF-Expanded Components and sub-components</w:t>
            </w:r>
          </w:p>
        </w:tc>
        <w:tc>
          <w:tcPr>
            <w:tcW w:w="3333" w:type="dxa"/>
            <w:noWrap/>
          </w:tcPr>
          <w:p w14:paraId="138559C9" w14:textId="594BE626" w:rsidR="006049CD" w:rsidRPr="00690D98" w:rsidRDefault="006049CD" w:rsidP="008E0838">
            <w:pPr>
              <w:pStyle w:val="Paragraph"/>
              <w:tabs>
                <w:tab w:val="clear" w:pos="720"/>
              </w:tabs>
              <w:ind w:left="0" w:firstLine="0"/>
              <w:rPr>
                <w:rFonts w:ascii="Arial" w:hAnsi="Arial" w:cs="Arial"/>
                <w:b/>
                <w:color w:val="1F497D" w:themeColor="text2"/>
                <w:sz w:val="20"/>
                <w:lang w:val="en-US"/>
              </w:rPr>
            </w:pPr>
            <w:r w:rsidRPr="00690D98">
              <w:rPr>
                <w:rFonts w:ascii="Arial" w:hAnsi="Arial" w:cs="Arial"/>
                <w:b/>
                <w:color w:val="1F497D" w:themeColor="text2"/>
                <w:sz w:val="20"/>
                <w:lang w:val="en-US"/>
              </w:rPr>
              <w:t>SEF-2015 Components/Sub-components</w:t>
            </w:r>
          </w:p>
        </w:tc>
      </w:tr>
      <w:tr w:rsidR="00907270" w:rsidRPr="008E106E" w14:paraId="63029321" w14:textId="77777777" w:rsidTr="008E0838">
        <w:tc>
          <w:tcPr>
            <w:tcW w:w="1705" w:type="dxa"/>
            <w:vMerge w:val="restart"/>
            <w:noWrap/>
          </w:tcPr>
          <w:p w14:paraId="04A08986" w14:textId="3E039782" w:rsidR="00907270" w:rsidRPr="00690D98" w:rsidRDefault="00907270" w:rsidP="008E0838">
            <w:pPr>
              <w:pStyle w:val="Paragraph"/>
              <w:tabs>
                <w:tab w:val="clear" w:pos="720"/>
              </w:tabs>
              <w:ind w:left="0" w:firstLine="0"/>
              <w:rPr>
                <w:rFonts w:ascii="Arial" w:hAnsi="Arial" w:cs="Arial"/>
                <w:sz w:val="20"/>
                <w:lang w:val="en-US"/>
              </w:rPr>
            </w:pPr>
            <w:r w:rsidRPr="00690D98">
              <w:rPr>
                <w:rFonts w:ascii="Arial" w:hAnsi="Arial" w:cs="Arial"/>
                <w:sz w:val="20"/>
                <w:lang w:val="en-US"/>
              </w:rPr>
              <w:t>Component 1 – GE project development (US$8</w:t>
            </w:r>
            <w:r w:rsidR="006B6B26" w:rsidRPr="008E106E">
              <w:rPr>
                <w:rFonts w:ascii="Arial" w:hAnsi="Arial" w:cs="Arial"/>
                <w:sz w:val="20"/>
                <w:lang w:val="en-US"/>
              </w:rPr>
              <w:t>0.45</w:t>
            </w:r>
            <w:r w:rsidRPr="00690D98">
              <w:rPr>
                <w:rFonts w:ascii="Arial" w:hAnsi="Arial" w:cs="Arial"/>
                <w:sz w:val="20"/>
                <w:lang w:val="en-US"/>
              </w:rPr>
              <w:t xml:space="preserve"> million)</w:t>
            </w:r>
          </w:p>
        </w:tc>
        <w:tc>
          <w:tcPr>
            <w:tcW w:w="3600" w:type="dxa"/>
            <w:noWrap/>
          </w:tcPr>
          <w:p w14:paraId="1DC89999" w14:textId="77777777" w:rsidR="00907270" w:rsidRPr="00690D98" w:rsidRDefault="00907270" w:rsidP="008E0838">
            <w:pPr>
              <w:pStyle w:val="Paragraph"/>
              <w:tabs>
                <w:tab w:val="clear" w:pos="720"/>
              </w:tabs>
              <w:ind w:left="0" w:firstLine="0"/>
              <w:rPr>
                <w:rFonts w:ascii="Arial" w:hAnsi="Arial" w:cs="Arial"/>
                <w:sz w:val="20"/>
                <w:lang w:val="en-US"/>
              </w:rPr>
            </w:pPr>
            <w:r w:rsidRPr="00690D98">
              <w:rPr>
                <w:rFonts w:ascii="Arial" w:hAnsi="Arial" w:cs="Arial"/>
                <w:sz w:val="20"/>
                <w:lang w:val="en-US"/>
              </w:rPr>
              <w:t>Sub-component 1.1 – Prefeasibility (US$4.45 million).</w:t>
            </w:r>
          </w:p>
        </w:tc>
        <w:tc>
          <w:tcPr>
            <w:tcW w:w="3333" w:type="dxa"/>
            <w:vMerge w:val="restart"/>
            <w:noWrap/>
          </w:tcPr>
          <w:p w14:paraId="33B933BC" w14:textId="12006556" w:rsidR="00907270" w:rsidRPr="00690D98" w:rsidRDefault="00907270" w:rsidP="008E0838">
            <w:pPr>
              <w:pStyle w:val="Paragraph"/>
              <w:tabs>
                <w:tab w:val="clear" w:pos="720"/>
              </w:tabs>
              <w:ind w:left="0" w:firstLine="0"/>
              <w:rPr>
                <w:rFonts w:ascii="Arial" w:hAnsi="Arial" w:cs="Arial"/>
                <w:color w:val="1F497D" w:themeColor="text2"/>
                <w:sz w:val="20"/>
                <w:lang w:val="en-US"/>
              </w:rPr>
            </w:pPr>
            <w:r w:rsidRPr="00690D98">
              <w:rPr>
                <w:rFonts w:ascii="Arial" w:hAnsi="Arial" w:cs="Arial"/>
                <w:color w:val="1F497D" w:themeColor="text2"/>
                <w:sz w:val="20"/>
                <w:lang w:eastAsia="ja-JP"/>
              </w:rPr>
              <w:t xml:space="preserve">Component </w:t>
            </w:r>
            <w:r w:rsidRPr="00690D98">
              <w:rPr>
                <w:rFonts w:ascii="Arial" w:hAnsi="Arial" w:cs="Arial"/>
                <w:color w:val="1F497D" w:themeColor="text2"/>
                <w:sz w:val="20"/>
                <w:lang w:val="en-US" w:eastAsia="ja-JP"/>
              </w:rPr>
              <w:t>3</w:t>
            </w:r>
            <w:r w:rsidRPr="00690D98">
              <w:rPr>
                <w:rFonts w:ascii="Arial" w:hAnsi="Arial" w:cs="Arial"/>
                <w:color w:val="1F497D" w:themeColor="text2"/>
                <w:sz w:val="20"/>
                <w:lang w:eastAsia="ja-JP"/>
              </w:rPr>
              <w:t>. Renewable Energy</w:t>
            </w:r>
          </w:p>
        </w:tc>
      </w:tr>
      <w:tr w:rsidR="00907270" w:rsidRPr="008E106E" w14:paraId="0C58CAAA" w14:textId="77777777" w:rsidTr="008E0838">
        <w:tc>
          <w:tcPr>
            <w:tcW w:w="1705" w:type="dxa"/>
            <w:vMerge/>
            <w:noWrap/>
          </w:tcPr>
          <w:p w14:paraId="74D33F0A" w14:textId="77777777" w:rsidR="00907270" w:rsidRPr="00690D98" w:rsidRDefault="00907270" w:rsidP="008E0838">
            <w:pPr>
              <w:pStyle w:val="Paragraph"/>
              <w:tabs>
                <w:tab w:val="clear" w:pos="720"/>
              </w:tabs>
              <w:ind w:left="0" w:firstLine="0"/>
              <w:rPr>
                <w:rFonts w:ascii="Arial" w:hAnsi="Arial" w:cs="Arial"/>
                <w:sz w:val="20"/>
                <w:lang w:val="en-US"/>
              </w:rPr>
            </w:pPr>
          </w:p>
        </w:tc>
        <w:tc>
          <w:tcPr>
            <w:tcW w:w="3600" w:type="dxa"/>
            <w:noWrap/>
          </w:tcPr>
          <w:p w14:paraId="67264B9B" w14:textId="77777777" w:rsidR="00907270" w:rsidRPr="00690D98" w:rsidRDefault="00907270" w:rsidP="008E0838">
            <w:pPr>
              <w:pStyle w:val="Paragraph"/>
              <w:tabs>
                <w:tab w:val="clear" w:pos="720"/>
              </w:tabs>
              <w:ind w:left="0" w:firstLine="0"/>
              <w:rPr>
                <w:rFonts w:ascii="Arial" w:hAnsi="Arial" w:cs="Arial"/>
                <w:sz w:val="20"/>
                <w:lang w:val="en-US"/>
              </w:rPr>
            </w:pPr>
            <w:r w:rsidRPr="00690D98">
              <w:rPr>
                <w:rFonts w:ascii="Arial" w:hAnsi="Arial" w:cs="Arial"/>
                <w:sz w:val="20"/>
                <w:lang w:val="en-US"/>
              </w:rPr>
              <w:t>Sub-component 1.2 –Exploration Drilling (US$16 million).</w:t>
            </w:r>
          </w:p>
        </w:tc>
        <w:tc>
          <w:tcPr>
            <w:tcW w:w="3333" w:type="dxa"/>
            <w:vMerge/>
            <w:noWrap/>
          </w:tcPr>
          <w:p w14:paraId="432F6595" w14:textId="77777777" w:rsidR="00907270" w:rsidRPr="00690D98" w:rsidRDefault="00907270" w:rsidP="008E0838">
            <w:pPr>
              <w:pStyle w:val="Paragraph"/>
              <w:tabs>
                <w:tab w:val="clear" w:pos="720"/>
              </w:tabs>
              <w:ind w:left="0" w:firstLine="0"/>
              <w:rPr>
                <w:rFonts w:ascii="Arial" w:hAnsi="Arial" w:cs="Arial"/>
                <w:color w:val="1F497D" w:themeColor="text2"/>
                <w:sz w:val="20"/>
                <w:lang w:val="en-US"/>
              </w:rPr>
            </w:pPr>
          </w:p>
        </w:tc>
      </w:tr>
      <w:tr w:rsidR="00907270" w:rsidRPr="008E106E" w14:paraId="0D54222C" w14:textId="77777777" w:rsidTr="008E0838">
        <w:tc>
          <w:tcPr>
            <w:tcW w:w="1705" w:type="dxa"/>
            <w:vMerge/>
            <w:noWrap/>
          </w:tcPr>
          <w:p w14:paraId="4563A4D0" w14:textId="77777777" w:rsidR="00907270" w:rsidRPr="00690D98" w:rsidRDefault="00907270" w:rsidP="008E0838">
            <w:pPr>
              <w:pStyle w:val="Paragraph"/>
              <w:tabs>
                <w:tab w:val="clear" w:pos="720"/>
              </w:tabs>
              <w:ind w:left="0" w:firstLine="0"/>
              <w:rPr>
                <w:rFonts w:ascii="Arial" w:hAnsi="Arial" w:cs="Arial"/>
                <w:sz w:val="20"/>
                <w:lang w:val="en-US"/>
              </w:rPr>
            </w:pPr>
          </w:p>
        </w:tc>
        <w:tc>
          <w:tcPr>
            <w:tcW w:w="3600" w:type="dxa"/>
            <w:noWrap/>
          </w:tcPr>
          <w:p w14:paraId="1AB69D3A" w14:textId="77777777" w:rsidR="00907270" w:rsidRPr="00690D98" w:rsidRDefault="00907270" w:rsidP="008E0838">
            <w:pPr>
              <w:pStyle w:val="Paragraph"/>
              <w:tabs>
                <w:tab w:val="clear" w:pos="720"/>
              </w:tabs>
              <w:ind w:left="0" w:firstLine="0"/>
              <w:rPr>
                <w:rFonts w:ascii="Arial" w:hAnsi="Arial" w:cs="Arial"/>
                <w:sz w:val="20"/>
                <w:lang w:val="en-US"/>
              </w:rPr>
            </w:pPr>
            <w:r w:rsidRPr="00690D98">
              <w:rPr>
                <w:rFonts w:ascii="Arial" w:hAnsi="Arial" w:cs="Arial"/>
                <w:sz w:val="20"/>
                <w:lang w:val="en-US"/>
              </w:rPr>
              <w:t>Sub-component 1.3 – Field and plant development (US$60 million).</w:t>
            </w:r>
          </w:p>
        </w:tc>
        <w:tc>
          <w:tcPr>
            <w:tcW w:w="3333" w:type="dxa"/>
            <w:vMerge/>
            <w:noWrap/>
          </w:tcPr>
          <w:p w14:paraId="6ABA6F7E" w14:textId="77777777" w:rsidR="00907270" w:rsidRPr="00690D98" w:rsidRDefault="00907270" w:rsidP="008E0838">
            <w:pPr>
              <w:pStyle w:val="Paragraph"/>
              <w:tabs>
                <w:tab w:val="clear" w:pos="720"/>
              </w:tabs>
              <w:ind w:left="0" w:firstLine="0"/>
              <w:rPr>
                <w:rFonts w:ascii="Arial" w:hAnsi="Arial" w:cs="Arial"/>
                <w:color w:val="1F497D" w:themeColor="text2"/>
                <w:sz w:val="20"/>
                <w:lang w:val="en-US"/>
              </w:rPr>
            </w:pPr>
          </w:p>
        </w:tc>
      </w:tr>
      <w:tr w:rsidR="006049CD" w:rsidRPr="008E106E" w14:paraId="3820C615" w14:textId="77777777" w:rsidTr="00690D98">
        <w:tc>
          <w:tcPr>
            <w:tcW w:w="5305" w:type="dxa"/>
            <w:gridSpan w:val="2"/>
            <w:noWrap/>
          </w:tcPr>
          <w:p w14:paraId="3D3D407E" w14:textId="5D559DED" w:rsidR="006049CD" w:rsidRPr="00690D98" w:rsidRDefault="006049CD" w:rsidP="008E0838">
            <w:pPr>
              <w:pStyle w:val="Paragraph"/>
              <w:tabs>
                <w:tab w:val="clear" w:pos="720"/>
              </w:tabs>
              <w:ind w:left="0" w:firstLine="0"/>
              <w:rPr>
                <w:rFonts w:ascii="Arial" w:hAnsi="Arial" w:cs="Arial"/>
                <w:sz w:val="20"/>
                <w:lang w:val="en-US"/>
              </w:rPr>
            </w:pPr>
            <w:r w:rsidRPr="00690D98">
              <w:rPr>
                <w:rFonts w:ascii="Arial" w:hAnsi="Arial" w:cs="Arial"/>
                <w:sz w:val="20"/>
                <w:lang w:val="en-US"/>
              </w:rPr>
              <w:t>Component 2: Technical Assistance: Regulatory framework, institutional strengthening, capacity building, and studies (US$5.1075 million)</w:t>
            </w:r>
          </w:p>
        </w:tc>
        <w:tc>
          <w:tcPr>
            <w:tcW w:w="3333" w:type="dxa"/>
            <w:noWrap/>
          </w:tcPr>
          <w:p w14:paraId="71DFF757" w14:textId="51A0B9E4" w:rsidR="006049CD" w:rsidRPr="00690D98" w:rsidRDefault="00907270" w:rsidP="008E0838">
            <w:pPr>
              <w:pStyle w:val="Paragraph"/>
              <w:tabs>
                <w:tab w:val="clear" w:pos="720"/>
              </w:tabs>
              <w:ind w:left="0" w:firstLine="0"/>
              <w:rPr>
                <w:rFonts w:ascii="Arial" w:hAnsi="Arial" w:cs="Arial"/>
                <w:color w:val="1F497D" w:themeColor="text2"/>
                <w:sz w:val="20"/>
                <w:lang w:val="en-US"/>
              </w:rPr>
            </w:pPr>
            <w:r w:rsidRPr="00690D98">
              <w:rPr>
                <w:rFonts w:ascii="Arial" w:hAnsi="Arial" w:cs="Arial"/>
                <w:color w:val="1F497D" w:themeColor="text2"/>
                <w:sz w:val="20"/>
                <w:lang w:val="en-US"/>
              </w:rPr>
              <w:t>Component 2: Regulatory framework, institutional strengthening and capacity building</w:t>
            </w:r>
          </w:p>
        </w:tc>
      </w:tr>
    </w:tbl>
    <w:p w14:paraId="52C78E90" w14:textId="77777777" w:rsidR="006049CD" w:rsidRPr="008E106E" w:rsidRDefault="006049CD" w:rsidP="001408B7">
      <w:pPr>
        <w:pStyle w:val="BodyText"/>
        <w:rPr>
          <w:rFonts w:ascii="Arial" w:hAnsi="Arial" w:cs="Arial"/>
          <w:sz w:val="22"/>
          <w:szCs w:val="22"/>
          <w:lang w:eastAsia="ja-JP"/>
        </w:rPr>
      </w:pPr>
    </w:p>
    <w:p w14:paraId="5AE948D7" w14:textId="210B8A5B" w:rsidR="00373867" w:rsidRPr="008E106E" w:rsidRDefault="001408B7" w:rsidP="001408B7">
      <w:pPr>
        <w:pStyle w:val="BodyText"/>
        <w:rPr>
          <w:rFonts w:ascii="Arial" w:hAnsi="Arial" w:cs="Arial"/>
          <w:sz w:val="22"/>
          <w:szCs w:val="22"/>
          <w:lang w:eastAsia="ja-JP"/>
        </w:rPr>
      </w:pPr>
      <w:r w:rsidRPr="008E106E">
        <w:rPr>
          <w:rFonts w:ascii="Arial" w:hAnsi="Arial" w:cs="Arial"/>
          <w:sz w:val="22"/>
          <w:szCs w:val="22"/>
          <w:lang w:eastAsia="ja-JP"/>
        </w:rPr>
        <w:t xml:space="preserve">This </w:t>
      </w:r>
      <w:r w:rsidR="00C045EF" w:rsidRPr="008E106E">
        <w:rPr>
          <w:rFonts w:ascii="Arial" w:hAnsi="Arial" w:cs="Arial"/>
          <w:sz w:val="22"/>
          <w:szCs w:val="22"/>
          <w:lang w:eastAsia="ja-JP"/>
        </w:rPr>
        <w:t>M</w:t>
      </w:r>
      <w:r w:rsidRPr="008E106E">
        <w:rPr>
          <w:rFonts w:ascii="Arial" w:hAnsi="Arial" w:cs="Arial"/>
          <w:sz w:val="22"/>
          <w:szCs w:val="22"/>
          <w:lang w:eastAsia="ja-JP"/>
        </w:rPr>
        <w:t xml:space="preserve">onitoring and </w:t>
      </w:r>
      <w:r w:rsidR="00C045EF" w:rsidRPr="008E106E">
        <w:rPr>
          <w:rFonts w:ascii="Arial" w:hAnsi="Arial" w:cs="Arial"/>
          <w:sz w:val="22"/>
          <w:szCs w:val="22"/>
          <w:lang w:eastAsia="ja-JP"/>
        </w:rPr>
        <w:t>E</w:t>
      </w:r>
      <w:r w:rsidRPr="008E106E">
        <w:rPr>
          <w:rFonts w:ascii="Arial" w:hAnsi="Arial" w:cs="Arial"/>
          <w:sz w:val="22"/>
          <w:szCs w:val="22"/>
          <w:lang w:eastAsia="ja-JP"/>
        </w:rPr>
        <w:t xml:space="preserve">valuation </w:t>
      </w:r>
      <w:r w:rsidR="00373867" w:rsidRPr="008E106E">
        <w:rPr>
          <w:rFonts w:ascii="Arial" w:hAnsi="Arial" w:cs="Arial"/>
          <w:sz w:val="22"/>
          <w:szCs w:val="22"/>
          <w:lang w:eastAsia="ja-JP"/>
        </w:rPr>
        <w:t xml:space="preserve">(M&amp;E) </w:t>
      </w:r>
      <w:r w:rsidR="00C045EF" w:rsidRPr="008E106E">
        <w:rPr>
          <w:rFonts w:ascii="Arial" w:hAnsi="Arial" w:cs="Arial"/>
          <w:sz w:val="22"/>
          <w:szCs w:val="22"/>
          <w:lang w:eastAsia="ja-JP"/>
        </w:rPr>
        <w:t>P</w:t>
      </w:r>
      <w:r w:rsidR="00373867" w:rsidRPr="008E106E">
        <w:rPr>
          <w:rFonts w:ascii="Arial" w:hAnsi="Arial" w:cs="Arial"/>
          <w:sz w:val="22"/>
          <w:szCs w:val="22"/>
          <w:lang w:eastAsia="ja-JP"/>
        </w:rPr>
        <w:t>lan is organized in two main sections:</w:t>
      </w:r>
    </w:p>
    <w:p w14:paraId="429C40EA" w14:textId="30D67173" w:rsidR="00373867" w:rsidRPr="008E106E" w:rsidRDefault="00373867" w:rsidP="00373867">
      <w:pPr>
        <w:pStyle w:val="ListBullet"/>
        <w:rPr>
          <w:rFonts w:ascii="Arial" w:hAnsi="Arial" w:cs="Arial"/>
          <w:sz w:val="22"/>
          <w:szCs w:val="22"/>
          <w:lang w:eastAsia="ja-JP"/>
        </w:rPr>
      </w:pPr>
      <w:r w:rsidRPr="008E106E">
        <w:rPr>
          <w:rFonts w:ascii="Arial" w:hAnsi="Arial" w:cs="Arial"/>
          <w:sz w:val="22"/>
          <w:szCs w:val="22"/>
          <w:lang w:eastAsia="ja-JP"/>
        </w:rPr>
        <w:t xml:space="preserve">the </w:t>
      </w:r>
      <w:r w:rsidRPr="008E106E">
        <w:rPr>
          <w:rFonts w:ascii="Arial" w:hAnsi="Arial" w:cs="Arial"/>
          <w:b/>
          <w:sz w:val="22"/>
          <w:szCs w:val="22"/>
          <w:lang w:eastAsia="ja-JP"/>
        </w:rPr>
        <w:t>Monitoring Plan</w:t>
      </w:r>
      <w:r w:rsidRPr="008E106E">
        <w:rPr>
          <w:rFonts w:ascii="Arial" w:hAnsi="Arial" w:cs="Arial"/>
          <w:sz w:val="22"/>
          <w:szCs w:val="22"/>
          <w:lang w:eastAsia="ja-JP"/>
        </w:rPr>
        <w:t xml:space="preserve"> (Section </w:t>
      </w:r>
      <w:r w:rsidRPr="008E106E">
        <w:rPr>
          <w:rFonts w:ascii="Arial" w:hAnsi="Arial" w:cs="Arial"/>
          <w:sz w:val="22"/>
          <w:szCs w:val="22"/>
          <w:lang w:eastAsia="ja-JP"/>
        </w:rPr>
        <w:fldChar w:fldCharType="begin"/>
      </w:r>
      <w:r w:rsidRPr="008E106E">
        <w:rPr>
          <w:rFonts w:ascii="Arial" w:hAnsi="Arial" w:cs="Arial"/>
          <w:sz w:val="22"/>
          <w:szCs w:val="22"/>
          <w:lang w:eastAsia="ja-JP"/>
        </w:rPr>
        <w:instrText xml:space="preserve"> REF _Ref422460354 \r \h </w:instrText>
      </w:r>
      <w:r w:rsidR="00616B9B" w:rsidRPr="008E106E">
        <w:rPr>
          <w:rFonts w:ascii="Arial" w:hAnsi="Arial" w:cs="Arial"/>
          <w:sz w:val="22"/>
          <w:szCs w:val="22"/>
          <w:lang w:eastAsia="ja-JP"/>
        </w:rPr>
        <w:instrText xml:space="preserve"> \* MERGEFORMAT </w:instrText>
      </w:r>
      <w:r w:rsidRPr="008E106E">
        <w:rPr>
          <w:rFonts w:ascii="Arial" w:hAnsi="Arial" w:cs="Arial"/>
          <w:sz w:val="22"/>
          <w:szCs w:val="22"/>
          <w:lang w:eastAsia="ja-JP"/>
        </w:rPr>
      </w:r>
      <w:r w:rsidRPr="008E106E">
        <w:rPr>
          <w:rFonts w:ascii="Arial" w:hAnsi="Arial" w:cs="Arial"/>
          <w:sz w:val="22"/>
          <w:szCs w:val="22"/>
          <w:lang w:eastAsia="ja-JP"/>
        </w:rPr>
        <w:fldChar w:fldCharType="separate"/>
      </w:r>
      <w:r w:rsidR="00B75A47" w:rsidRPr="008E106E">
        <w:rPr>
          <w:rFonts w:ascii="Arial" w:hAnsi="Arial" w:cs="Arial"/>
          <w:sz w:val="22"/>
          <w:szCs w:val="22"/>
          <w:lang w:eastAsia="ja-JP"/>
        </w:rPr>
        <w:t>2</w:t>
      </w:r>
      <w:r w:rsidRPr="008E106E">
        <w:rPr>
          <w:rFonts w:ascii="Arial" w:hAnsi="Arial" w:cs="Arial"/>
          <w:sz w:val="22"/>
          <w:szCs w:val="22"/>
          <w:lang w:eastAsia="ja-JP"/>
        </w:rPr>
        <w:fldChar w:fldCharType="end"/>
      </w:r>
      <w:r w:rsidRPr="008E106E">
        <w:rPr>
          <w:rFonts w:ascii="Arial" w:hAnsi="Arial" w:cs="Arial"/>
          <w:sz w:val="22"/>
          <w:szCs w:val="22"/>
          <w:lang w:eastAsia="ja-JP"/>
        </w:rPr>
        <w:t xml:space="preserve">)—presents </w:t>
      </w:r>
      <w:r w:rsidR="008A1381" w:rsidRPr="008E106E">
        <w:rPr>
          <w:rFonts w:ascii="Arial" w:hAnsi="Arial" w:cs="Arial"/>
          <w:sz w:val="22"/>
          <w:szCs w:val="22"/>
          <w:lang w:eastAsia="ja-JP"/>
        </w:rPr>
        <w:t>the indicators used to monitor the Program</w:t>
      </w:r>
      <w:r w:rsidR="003F0208" w:rsidRPr="008E106E">
        <w:rPr>
          <w:rFonts w:ascii="Arial" w:hAnsi="Arial" w:cs="Arial"/>
          <w:sz w:val="22"/>
          <w:szCs w:val="22"/>
          <w:lang w:eastAsia="ja-JP"/>
        </w:rPr>
        <w:t>’s outputs</w:t>
      </w:r>
      <w:r w:rsidR="008A1381" w:rsidRPr="008E106E">
        <w:rPr>
          <w:rFonts w:ascii="Arial" w:hAnsi="Arial" w:cs="Arial"/>
          <w:sz w:val="22"/>
          <w:szCs w:val="22"/>
          <w:lang w:eastAsia="ja-JP"/>
        </w:rPr>
        <w:t xml:space="preserve">, </w:t>
      </w:r>
      <w:r w:rsidR="003F0208" w:rsidRPr="008E106E">
        <w:rPr>
          <w:rFonts w:ascii="Arial" w:hAnsi="Arial" w:cs="Arial"/>
          <w:sz w:val="22"/>
          <w:szCs w:val="22"/>
          <w:lang w:eastAsia="ja-JP"/>
        </w:rPr>
        <w:t>assigns the responsibility for collecting data, defines the instruments used to monitor the Program, and establishes the work plan and budget for monitoring the Program</w:t>
      </w:r>
    </w:p>
    <w:p w14:paraId="7E682DB6" w14:textId="25AE037F" w:rsidR="001408B7" w:rsidRPr="008E106E" w:rsidRDefault="00373867" w:rsidP="00690D98">
      <w:pPr>
        <w:pStyle w:val="ListBullet"/>
        <w:rPr>
          <w:rFonts w:ascii="Arial" w:hAnsi="Arial" w:cs="Arial"/>
          <w:sz w:val="22"/>
          <w:szCs w:val="22"/>
          <w:lang w:eastAsia="ja-JP"/>
        </w:rPr>
      </w:pPr>
      <w:r w:rsidRPr="008E106E">
        <w:rPr>
          <w:rFonts w:ascii="Arial" w:hAnsi="Arial" w:cs="Arial"/>
          <w:sz w:val="22"/>
          <w:szCs w:val="22"/>
          <w:lang w:eastAsia="ja-JP"/>
        </w:rPr>
        <w:t xml:space="preserve">the </w:t>
      </w:r>
      <w:r w:rsidRPr="008E106E">
        <w:rPr>
          <w:rFonts w:ascii="Arial" w:hAnsi="Arial" w:cs="Arial"/>
          <w:b/>
          <w:sz w:val="22"/>
          <w:szCs w:val="22"/>
          <w:lang w:eastAsia="ja-JP"/>
        </w:rPr>
        <w:t xml:space="preserve">Evaluation Plan </w:t>
      </w:r>
      <w:r w:rsidRPr="008E106E">
        <w:rPr>
          <w:rFonts w:ascii="Arial" w:hAnsi="Arial" w:cs="Arial"/>
          <w:sz w:val="22"/>
          <w:szCs w:val="22"/>
          <w:lang w:eastAsia="ja-JP"/>
        </w:rPr>
        <w:t xml:space="preserve">(Section </w:t>
      </w:r>
      <w:r w:rsidRPr="008E106E">
        <w:rPr>
          <w:rFonts w:ascii="Arial" w:hAnsi="Arial" w:cs="Arial"/>
          <w:sz w:val="22"/>
          <w:szCs w:val="22"/>
          <w:lang w:eastAsia="ja-JP"/>
        </w:rPr>
        <w:fldChar w:fldCharType="begin"/>
      </w:r>
      <w:r w:rsidRPr="008E106E">
        <w:rPr>
          <w:rFonts w:ascii="Arial" w:hAnsi="Arial" w:cs="Arial"/>
          <w:sz w:val="22"/>
          <w:szCs w:val="22"/>
          <w:lang w:eastAsia="ja-JP"/>
        </w:rPr>
        <w:instrText xml:space="preserve"> REF _Ref422460381 \r \h </w:instrText>
      </w:r>
      <w:r w:rsidR="00616B9B" w:rsidRPr="008E106E">
        <w:rPr>
          <w:rFonts w:ascii="Arial" w:hAnsi="Arial" w:cs="Arial"/>
          <w:sz w:val="22"/>
          <w:szCs w:val="22"/>
          <w:lang w:eastAsia="ja-JP"/>
        </w:rPr>
        <w:instrText xml:space="preserve"> \* MERGEFORMAT </w:instrText>
      </w:r>
      <w:r w:rsidRPr="008E106E">
        <w:rPr>
          <w:rFonts w:ascii="Arial" w:hAnsi="Arial" w:cs="Arial"/>
          <w:sz w:val="22"/>
          <w:szCs w:val="22"/>
          <w:lang w:eastAsia="ja-JP"/>
        </w:rPr>
      </w:r>
      <w:r w:rsidRPr="008E106E">
        <w:rPr>
          <w:rFonts w:ascii="Arial" w:hAnsi="Arial" w:cs="Arial"/>
          <w:sz w:val="22"/>
          <w:szCs w:val="22"/>
          <w:lang w:eastAsia="ja-JP"/>
        </w:rPr>
        <w:fldChar w:fldCharType="separate"/>
      </w:r>
      <w:r w:rsidR="00B75A47" w:rsidRPr="008E106E">
        <w:rPr>
          <w:rFonts w:ascii="Arial" w:hAnsi="Arial" w:cs="Arial"/>
          <w:sz w:val="22"/>
          <w:szCs w:val="22"/>
          <w:lang w:eastAsia="ja-JP"/>
        </w:rPr>
        <w:t>3</w:t>
      </w:r>
      <w:r w:rsidRPr="008E106E">
        <w:rPr>
          <w:rFonts w:ascii="Arial" w:hAnsi="Arial" w:cs="Arial"/>
          <w:sz w:val="22"/>
          <w:szCs w:val="22"/>
          <w:lang w:eastAsia="ja-JP"/>
        </w:rPr>
        <w:fldChar w:fldCharType="end"/>
      </w:r>
      <w:r w:rsidRPr="008E106E">
        <w:rPr>
          <w:rFonts w:ascii="Arial" w:hAnsi="Arial" w:cs="Arial"/>
          <w:sz w:val="22"/>
          <w:szCs w:val="22"/>
          <w:lang w:eastAsia="ja-JP"/>
        </w:rPr>
        <w:t>)</w:t>
      </w:r>
      <w:r w:rsidR="003F0208" w:rsidRPr="008E106E">
        <w:rPr>
          <w:rFonts w:ascii="Arial" w:hAnsi="Arial" w:cs="Arial"/>
          <w:sz w:val="22"/>
          <w:szCs w:val="22"/>
          <w:lang w:eastAsia="ja-JP"/>
        </w:rPr>
        <w:t xml:space="preserve">—presents the main questions </w:t>
      </w:r>
      <w:r w:rsidR="0002441B" w:rsidRPr="008E106E">
        <w:rPr>
          <w:rFonts w:ascii="Arial" w:hAnsi="Arial" w:cs="Arial"/>
          <w:sz w:val="22"/>
          <w:szCs w:val="22"/>
          <w:lang w:eastAsia="ja-JP"/>
        </w:rPr>
        <w:t xml:space="preserve">the Evaluation Plan addresses, mentions the studies that the Evaluation Plan builds upon, identifies the indicators used to evaluate the Program, and describes the methodology and instruments used to evaluate the results of the Program. </w:t>
      </w:r>
      <w:r w:rsidR="001408B7" w:rsidRPr="008E106E">
        <w:rPr>
          <w:rFonts w:ascii="Arial" w:hAnsi="Arial" w:cs="Arial"/>
          <w:sz w:val="22"/>
          <w:szCs w:val="22"/>
          <w:lang w:eastAsia="ja-JP"/>
        </w:rPr>
        <w:br w:type="page"/>
      </w:r>
    </w:p>
    <w:p w14:paraId="7DAE9055" w14:textId="77777777" w:rsidR="001408B7" w:rsidRPr="008E106E" w:rsidRDefault="001408B7" w:rsidP="00373867">
      <w:pPr>
        <w:pStyle w:val="Heading1"/>
        <w:rPr>
          <w:rFonts w:ascii="Arial" w:hAnsi="Arial"/>
          <w:sz w:val="22"/>
          <w:szCs w:val="22"/>
          <w:lang w:eastAsia="ja-JP"/>
        </w:rPr>
      </w:pPr>
      <w:bookmarkStart w:id="20" w:name="_Ref422460354"/>
      <w:bookmarkStart w:id="21" w:name="_Toc531018653"/>
      <w:bookmarkStart w:id="22" w:name="_GoBack"/>
      <w:bookmarkEnd w:id="22"/>
      <w:r w:rsidRPr="008E106E">
        <w:rPr>
          <w:rFonts w:ascii="Arial" w:hAnsi="Arial"/>
          <w:sz w:val="22"/>
          <w:szCs w:val="22"/>
          <w:lang w:eastAsia="ja-JP"/>
        </w:rPr>
        <w:t>Monitoring</w:t>
      </w:r>
      <w:bookmarkEnd w:id="20"/>
      <w:bookmarkEnd w:id="21"/>
    </w:p>
    <w:p w14:paraId="2CE3F867" w14:textId="77777777" w:rsidR="002F71E8" w:rsidRPr="008E106E" w:rsidRDefault="002F71E8" w:rsidP="003017C4">
      <w:pPr>
        <w:pStyle w:val="BodyText"/>
        <w:rPr>
          <w:rStyle w:val="SubtleEmphasis"/>
          <w:rFonts w:ascii="Arial" w:hAnsi="Arial" w:cs="Arial"/>
          <w:i w:val="0"/>
          <w:iCs w:val="0"/>
          <w:color w:val="auto"/>
          <w:sz w:val="22"/>
          <w:szCs w:val="22"/>
        </w:rPr>
      </w:pPr>
      <w:r w:rsidRPr="008E106E">
        <w:rPr>
          <w:rStyle w:val="SubtleEmphasis"/>
          <w:rFonts w:ascii="Arial" w:hAnsi="Arial" w:cs="Arial"/>
          <w:i w:val="0"/>
          <w:iCs w:val="0"/>
          <w:color w:val="auto"/>
          <w:sz w:val="22"/>
          <w:szCs w:val="22"/>
        </w:rPr>
        <w:t xml:space="preserve">The Program will be monitored by tracking a set of indicators that measure performance. The monitoring plan defines these indicators and establishes </w:t>
      </w:r>
      <w:r w:rsidR="002925E3" w:rsidRPr="008E106E">
        <w:rPr>
          <w:rStyle w:val="SubtleEmphasis"/>
          <w:rFonts w:ascii="Arial" w:hAnsi="Arial" w:cs="Arial"/>
          <w:i w:val="0"/>
          <w:iCs w:val="0"/>
          <w:color w:val="auto"/>
          <w:sz w:val="22"/>
          <w:szCs w:val="22"/>
        </w:rPr>
        <w:t>the process and institutional arrangemen</w:t>
      </w:r>
      <w:r w:rsidR="003017C4" w:rsidRPr="008E106E">
        <w:rPr>
          <w:rStyle w:val="SubtleEmphasis"/>
          <w:rFonts w:ascii="Arial" w:hAnsi="Arial" w:cs="Arial"/>
          <w:i w:val="0"/>
          <w:iCs w:val="0"/>
          <w:color w:val="auto"/>
          <w:sz w:val="22"/>
          <w:szCs w:val="22"/>
        </w:rPr>
        <w:t xml:space="preserve">ts to monitor these indicators. </w:t>
      </w:r>
      <w:r w:rsidR="002925E3" w:rsidRPr="008E106E">
        <w:rPr>
          <w:rStyle w:val="SubtleEmphasis"/>
          <w:rFonts w:ascii="Arial" w:hAnsi="Arial" w:cs="Arial"/>
          <w:i w:val="0"/>
          <w:iCs w:val="0"/>
          <w:color w:val="auto"/>
          <w:sz w:val="22"/>
          <w:szCs w:val="22"/>
        </w:rPr>
        <w:t xml:space="preserve">Specifically, the monitoring plan describes the instruments </w:t>
      </w:r>
      <w:r w:rsidR="003017C4" w:rsidRPr="008E106E">
        <w:rPr>
          <w:rStyle w:val="SubtleEmphasis"/>
          <w:rFonts w:ascii="Arial" w:hAnsi="Arial" w:cs="Arial"/>
          <w:i w:val="0"/>
          <w:iCs w:val="0"/>
          <w:color w:val="auto"/>
          <w:sz w:val="22"/>
          <w:szCs w:val="22"/>
        </w:rPr>
        <w:t>used to track these indicators, d</w:t>
      </w:r>
      <w:r w:rsidR="002925E3" w:rsidRPr="008E106E">
        <w:rPr>
          <w:rStyle w:val="SubtleEmphasis"/>
          <w:rFonts w:ascii="Arial" w:hAnsi="Arial" w:cs="Arial"/>
          <w:i w:val="0"/>
          <w:iCs w:val="0"/>
          <w:color w:val="auto"/>
          <w:sz w:val="22"/>
          <w:szCs w:val="22"/>
        </w:rPr>
        <w:t>efines the tasks</w:t>
      </w:r>
      <w:r w:rsidR="003017C4" w:rsidRPr="008E106E">
        <w:rPr>
          <w:rStyle w:val="SubtleEmphasis"/>
          <w:rFonts w:ascii="Arial" w:hAnsi="Arial" w:cs="Arial"/>
          <w:i w:val="0"/>
          <w:iCs w:val="0"/>
          <w:color w:val="auto"/>
          <w:sz w:val="22"/>
          <w:szCs w:val="22"/>
        </w:rPr>
        <w:t>, assigns responsibilities,</w:t>
      </w:r>
      <w:r w:rsidR="002925E3" w:rsidRPr="008E106E">
        <w:rPr>
          <w:rStyle w:val="SubtleEmphasis"/>
          <w:rFonts w:ascii="Arial" w:hAnsi="Arial" w:cs="Arial"/>
          <w:i w:val="0"/>
          <w:iCs w:val="0"/>
          <w:color w:val="auto"/>
          <w:sz w:val="22"/>
          <w:szCs w:val="22"/>
        </w:rPr>
        <w:t xml:space="preserve"> and </w:t>
      </w:r>
      <w:r w:rsidR="003017C4" w:rsidRPr="008E106E">
        <w:rPr>
          <w:rStyle w:val="SubtleEmphasis"/>
          <w:rFonts w:ascii="Arial" w:hAnsi="Arial" w:cs="Arial"/>
          <w:i w:val="0"/>
          <w:iCs w:val="0"/>
          <w:color w:val="auto"/>
          <w:sz w:val="22"/>
          <w:szCs w:val="22"/>
        </w:rPr>
        <w:t xml:space="preserve">defines </w:t>
      </w:r>
      <w:r w:rsidR="002925E3" w:rsidRPr="008E106E">
        <w:rPr>
          <w:rStyle w:val="SubtleEmphasis"/>
          <w:rFonts w:ascii="Arial" w:hAnsi="Arial" w:cs="Arial"/>
          <w:i w:val="0"/>
          <w:iCs w:val="0"/>
          <w:color w:val="auto"/>
          <w:sz w:val="22"/>
          <w:szCs w:val="22"/>
        </w:rPr>
        <w:t>budget necessary for preparing these instruments</w:t>
      </w:r>
      <w:r w:rsidR="006531CC" w:rsidRPr="008E106E">
        <w:rPr>
          <w:rStyle w:val="SubtleEmphasis"/>
          <w:rFonts w:ascii="Arial" w:hAnsi="Arial" w:cs="Arial"/>
          <w:i w:val="0"/>
          <w:iCs w:val="0"/>
          <w:color w:val="auto"/>
          <w:sz w:val="22"/>
          <w:szCs w:val="22"/>
        </w:rPr>
        <w:t>.</w:t>
      </w:r>
    </w:p>
    <w:p w14:paraId="40BD5412" w14:textId="77777777" w:rsidR="001408B7" w:rsidRPr="008E106E" w:rsidRDefault="003D63CA" w:rsidP="001408B7">
      <w:pPr>
        <w:pStyle w:val="Heading2"/>
        <w:rPr>
          <w:rFonts w:ascii="Arial" w:hAnsi="Arial"/>
          <w:sz w:val="22"/>
          <w:szCs w:val="22"/>
          <w:lang w:eastAsia="ja-JP"/>
        </w:rPr>
      </w:pPr>
      <w:bookmarkStart w:id="23" w:name="_Ref422239841"/>
      <w:bookmarkStart w:id="24" w:name="_Toc531018654"/>
      <w:r w:rsidRPr="008E106E">
        <w:rPr>
          <w:rFonts w:ascii="Arial" w:hAnsi="Arial"/>
          <w:sz w:val="22"/>
          <w:szCs w:val="22"/>
          <w:lang w:eastAsia="ja-JP"/>
        </w:rPr>
        <w:t xml:space="preserve">Output </w:t>
      </w:r>
      <w:r w:rsidR="001408B7" w:rsidRPr="008E106E">
        <w:rPr>
          <w:rFonts w:ascii="Arial" w:hAnsi="Arial"/>
          <w:sz w:val="22"/>
          <w:szCs w:val="22"/>
          <w:lang w:eastAsia="ja-JP"/>
        </w:rPr>
        <w:t>Indicators</w:t>
      </w:r>
      <w:bookmarkEnd w:id="23"/>
      <w:bookmarkEnd w:id="24"/>
    </w:p>
    <w:p w14:paraId="0BD0E328" w14:textId="1FC8E6EC" w:rsidR="00991906" w:rsidRPr="008E106E" w:rsidRDefault="003D63CA" w:rsidP="003017C4">
      <w:pPr>
        <w:pStyle w:val="BodyText"/>
        <w:rPr>
          <w:rFonts w:ascii="Arial" w:hAnsi="Arial" w:cs="Arial"/>
          <w:sz w:val="22"/>
          <w:szCs w:val="22"/>
        </w:rPr>
      </w:pPr>
      <w:r w:rsidRPr="008E106E">
        <w:rPr>
          <w:rFonts w:ascii="Arial" w:hAnsi="Arial" w:cs="Arial"/>
          <w:sz w:val="22"/>
          <w:szCs w:val="22"/>
        </w:rPr>
        <w:fldChar w:fldCharType="begin"/>
      </w:r>
      <w:r w:rsidRPr="008E106E">
        <w:rPr>
          <w:rFonts w:ascii="Arial" w:hAnsi="Arial" w:cs="Arial"/>
          <w:sz w:val="22"/>
          <w:szCs w:val="22"/>
        </w:rPr>
        <w:instrText xml:space="preserve"> REF _Ref422467765 \h </w:instrText>
      </w:r>
      <w:r w:rsidR="00616B9B" w:rsidRPr="008E106E">
        <w:rPr>
          <w:rFonts w:ascii="Arial" w:hAnsi="Arial" w:cs="Arial"/>
          <w:sz w:val="22"/>
          <w:szCs w:val="22"/>
        </w:rPr>
        <w:instrText xml:space="preserve"> \* MERGEFORMAT </w:instrText>
      </w:r>
      <w:r w:rsidRPr="008E106E">
        <w:rPr>
          <w:rFonts w:ascii="Arial" w:hAnsi="Arial" w:cs="Arial"/>
          <w:sz w:val="22"/>
          <w:szCs w:val="22"/>
        </w:rPr>
      </w:r>
      <w:r w:rsidRPr="008E106E">
        <w:rPr>
          <w:rFonts w:ascii="Arial" w:hAnsi="Arial" w:cs="Arial"/>
          <w:sz w:val="22"/>
          <w:szCs w:val="22"/>
        </w:rPr>
        <w:fldChar w:fldCharType="separate"/>
      </w:r>
      <w:r w:rsidR="00B75A47" w:rsidRPr="008E106E">
        <w:rPr>
          <w:rFonts w:ascii="Arial" w:hAnsi="Arial" w:cs="Arial"/>
          <w:sz w:val="22"/>
          <w:szCs w:val="22"/>
        </w:rPr>
        <w:t xml:space="preserve">Table </w:t>
      </w:r>
      <w:r w:rsidR="00B75A47" w:rsidRPr="008E106E">
        <w:rPr>
          <w:rFonts w:ascii="Arial" w:hAnsi="Arial" w:cs="Arial"/>
          <w:noProof/>
          <w:sz w:val="22"/>
          <w:szCs w:val="22"/>
        </w:rPr>
        <w:t>2</w:t>
      </w:r>
      <w:r w:rsidR="00B75A47" w:rsidRPr="008E106E">
        <w:rPr>
          <w:rFonts w:ascii="Arial" w:hAnsi="Arial" w:cs="Arial"/>
          <w:sz w:val="22"/>
          <w:szCs w:val="22"/>
        </w:rPr>
        <w:t>.</w:t>
      </w:r>
      <w:r w:rsidR="00B75A47" w:rsidRPr="008E106E">
        <w:rPr>
          <w:rFonts w:ascii="Arial" w:hAnsi="Arial" w:cs="Arial"/>
          <w:noProof/>
          <w:sz w:val="22"/>
          <w:szCs w:val="22"/>
        </w:rPr>
        <w:t>1</w:t>
      </w:r>
      <w:r w:rsidRPr="008E106E">
        <w:rPr>
          <w:rFonts w:ascii="Arial" w:hAnsi="Arial" w:cs="Arial"/>
          <w:sz w:val="22"/>
          <w:szCs w:val="22"/>
        </w:rPr>
        <w:fldChar w:fldCharType="end"/>
      </w:r>
      <w:r w:rsidRPr="008E106E">
        <w:rPr>
          <w:rFonts w:ascii="Arial" w:hAnsi="Arial" w:cs="Arial"/>
          <w:sz w:val="22"/>
          <w:szCs w:val="22"/>
        </w:rPr>
        <w:t xml:space="preserve"> </w:t>
      </w:r>
      <w:r w:rsidR="002F71E8" w:rsidRPr="008E106E">
        <w:rPr>
          <w:rFonts w:ascii="Arial" w:hAnsi="Arial" w:cs="Arial"/>
          <w:sz w:val="22"/>
          <w:szCs w:val="22"/>
        </w:rPr>
        <w:t>present</w:t>
      </w:r>
      <w:r w:rsidRPr="008E106E">
        <w:rPr>
          <w:rFonts w:ascii="Arial" w:hAnsi="Arial" w:cs="Arial"/>
          <w:sz w:val="22"/>
          <w:szCs w:val="22"/>
        </w:rPr>
        <w:t>s</w:t>
      </w:r>
      <w:r w:rsidR="00CD454D" w:rsidRPr="008E106E">
        <w:rPr>
          <w:rFonts w:ascii="Arial" w:hAnsi="Arial" w:cs="Arial"/>
          <w:sz w:val="22"/>
          <w:szCs w:val="22"/>
        </w:rPr>
        <w:t xml:space="preserve"> the indicators that will be used to measure whether the </w:t>
      </w:r>
      <w:r w:rsidR="00872691" w:rsidRPr="008E106E">
        <w:rPr>
          <w:rFonts w:ascii="Arial" w:hAnsi="Arial" w:cs="Arial"/>
          <w:sz w:val="22"/>
          <w:szCs w:val="22"/>
        </w:rPr>
        <w:t xml:space="preserve">SEF-Expanded Program’s </w:t>
      </w:r>
      <w:r w:rsidR="00CD454D" w:rsidRPr="008E106E">
        <w:rPr>
          <w:rFonts w:ascii="Arial" w:hAnsi="Arial" w:cs="Arial"/>
          <w:sz w:val="22"/>
          <w:szCs w:val="22"/>
        </w:rPr>
        <w:t xml:space="preserve">outputs are fulfilled. The Program’s outputs are not fixed </w:t>
      </w:r>
      <w:r w:rsidR="003017C4" w:rsidRPr="008E106E">
        <w:rPr>
          <w:rFonts w:ascii="Arial" w:hAnsi="Arial" w:cs="Arial"/>
          <w:sz w:val="22"/>
          <w:szCs w:val="22"/>
        </w:rPr>
        <w:t xml:space="preserve">in advance </w:t>
      </w:r>
      <w:r w:rsidR="00991906" w:rsidRPr="008E106E">
        <w:rPr>
          <w:rFonts w:ascii="Arial" w:hAnsi="Arial" w:cs="Arial"/>
          <w:sz w:val="22"/>
          <w:szCs w:val="22"/>
        </w:rPr>
        <w:t>due to the on-demand nature of the SEF program and the fact that this is a Global Credit Loan (a financial intermediary) operation.</w:t>
      </w:r>
    </w:p>
    <w:p w14:paraId="3A4F0969" w14:textId="6860CACB" w:rsidR="00F459B9" w:rsidRPr="008E106E" w:rsidRDefault="00CD454D" w:rsidP="003017C4">
      <w:pPr>
        <w:pStyle w:val="BodyText"/>
        <w:rPr>
          <w:rFonts w:ascii="Arial" w:hAnsi="Arial" w:cs="Arial"/>
          <w:sz w:val="22"/>
          <w:szCs w:val="22"/>
          <w:lang w:eastAsia="ja-JP"/>
        </w:rPr>
      </w:pPr>
      <w:r w:rsidRPr="008E106E">
        <w:rPr>
          <w:rFonts w:ascii="Arial" w:hAnsi="Arial" w:cs="Arial"/>
          <w:sz w:val="22"/>
          <w:szCs w:val="22"/>
        </w:rPr>
        <w:t xml:space="preserve">As such, the indicators </w:t>
      </w:r>
      <w:r w:rsidR="00083283" w:rsidRPr="008E106E">
        <w:rPr>
          <w:rFonts w:ascii="Arial" w:hAnsi="Arial" w:cs="Arial"/>
          <w:sz w:val="22"/>
          <w:szCs w:val="22"/>
        </w:rPr>
        <w:t xml:space="preserve">are </w:t>
      </w:r>
      <w:r w:rsidRPr="008E106E">
        <w:rPr>
          <w:rFonts w:ascii="Arial" w:hAnsi="Arial" w:cs="Arial"/>
          <w:sz w:val="22"/>
          <w:szCs w:val="22"/>
        </w:rPr>
        <w:t xml:space="preserve">designed to be </w:t>
      </w:r>
      <w:r w:rsidR="00C73539" w:rsidRPr="008E106E">
        <w:rPr>
          <w:rFonts w:ascii="Arial" w:hAnsi="Arial" w:cs="Arial"/>
          <w:sz w:val="22"/>
          <w:szCs w:val="22"/>
        </w:rPr>
        <w:t xml:space="preserve">flexible </w:t>
      </w:r>
      <w:r w:rsidR="008B154C" w:rsidRPr="008E106E">
        <w:rPr>
          <w:rFonts w:ascii="Arial" w:hAnsi="Arial" w:cs="Arial"/>
          <w:sz w:val="22"/>
          <w:szCs w:val="22"/>
        </w:rPr>
        <w:t>enough</w:t>
      </w:r>
      <w:r w:rsidR="00C73539" w:rsidRPr="008E106E">
        <w:rPr>
          <w:rFonts w:ascii="Arial" w:hAnsi="Arial" w:cs="Arial"/>
          <w:sz w:val="22"/>
          <w:szCs w:val="22"/>
        </w:rPr>
        <w:t xml:space="preserve"> to allow for this variability in quantity of outputs</w:t>
      </w:r>
      <w:r w:rsidR="00991906" w:rsidRPr="008E106E">
        <w:rPr>
          <w:rFonts w:ascii="Arial" w:hAnsi="Arial" w:cs="Arial"/>
          <w:sz w:val="22"/>
          <w:szCs w:val="22"/>
        </w:rPr>
        <w:t xml:space="preserve"> and focus more on the activities financed with program resources and executed by the CDB (</w:t>
      </w:r>
      <w:r w:rsidR="00991906" w:rsidRPr="008E106E">
        <w:rPr>
          <w:rStyle w:val="SubtleEmphasis"/>
          <w:rFonts w:ascii="Arial" w:hAnsi="Arial" w:cs="Arial"/>
          <w:i w:val="0"/>
          <w:iCs w:val="0"/>
          <w:color w:val="auto"/>
          <w:sz w:val="22"/>
          <w:szCs w:val="22"/>
        </w:rPr>
        <w:t xml:space="preserve">the </w:t>
      </w:r>
      <w:r w:rsidR="00F459B9" w:rsidRPr="008E106E">
        <w:rPr>
          <w:rStyle w:val="SubtleEmphasis"/>
          <w:rFonts w:ascii="Arial" w:hAnsi="Arial" w:cs="Arial"/>
          <w:i w:val="0"/>
          <w:iCs w:val="0"/>
          <w:color w:val="auto"/>
          <w:sz w:val="22"/>
          <w:szCs w:val="22"/>
        </w:rPr>
        <w:t xml:space="preserve">CDB will be the Executing Agency (‘EA) of the Program </w:t>
      </w:r>
      <w:r w:rsidR="006F4482" w:rsidRPr="008E106E">
        <w:rPr>
          <w:rStyle w:val="SubtleEmphasis"/>
          <w:rFonts w:ascii="Arial" w:hAnsi="Arial" w:cs="Arial"/>
          <w:i w:val="0"/>
          <w:iCs w:val="0"/>
          <w:color w:val="auto"/>
          <w:sz w:val="22"/>
          <w:szCs w:val="22"/>
        </w:rPr>
        <w:t>and therefore the main party responsible for</w:t>
      </w:r>
      <w:r w:rsidR="00F459B9" w:rsidRPr="008E106E">
        <w:rPr>
          <w:rStyle w:val="SubtleEmphasis"/>
          <w:rFonts w:ascii="Arial" w:hAnsi="Arial" w:cs="Arial"/>
          <w:i w:val="0"/>
          <w:iCs w:val="0"/>
          <w:color w:val="auto"/>
          <w:sz w:val="22"/>
          <w:szCs w:val="22"/>
        </w:rPr>
        <w:t xml:space="preserve"> providing inputs to monitor the Program</w:t>
      </w:r>
      <w:r w:rsidR="00991906" w:rsidRPr="008E106E">
        <w:rPr>
          <w:rStyle w:val="SubtleEmphasis"/>
          <w:rFonts w:ascii="Arial" w:hAnsi="Arial" w:cs="Arial"/>
          <w:i w:val="0"/>
          <w:iCs w:val="0"/>
          <w:color w:val="auto"/>
          <w:sz w:val="22"/>
          <w:szCs w:val="22"/>
        </w:rPr>
        <w:t>)</w:t>
      </w:r>
      <w:r w:rsidR="00F459B9" w:rsidRPr="008E106E">
        <w:rPr>
          <w:rStyle w:val="SubtleEmphasis"/>
          <w:rFonts w:ascii="Arial" w:hAnsi="Arial" w:cs="Arial"/>
          <w:i w:val="0"/>
          <w:iCs w:val="0"/>
          <w:color w:val="auto"/>
          <w:sz w:val="22"/>
          <w:szCs w:val="22"/>
        </w:rPr>
        <w:t xml:space="preserve">. </w:t>
      </w:r>
    </w:p>
    <w:p w14:paraId="0528D6F1" w14:textId="41B791B7" w:rsidR="001408B7" w:rsidRPr="008E106E" w:rsidRDefault="001408B7" w:rsidP="00C73539">
      <w:pPr>
        <w:pStyle w:val="Caption"/>
        <w:spacing w:before="240"/>
        <w:rPr>
          <w:rFonts w:ascii="Arial" w:hAnsi="Arial" w:cs="Arial"/>
          <w:sz w:val="22"/>
          <w:szCs w:val="22"/>
        </w:rPr>
      </w:pPr>
      <w:bookmarkStart w:id="25" w:name="_Ref422467765"/>
      <w:bookmarkStart w:id="26" w:name="_Toc423458251"/>
      <w:r w:rsidRPr="008E106E">
        <w:rPr>
          <w:rFonts w:ascii="Arial" w:hAnsi="Arial" w:cs="Arial"/>
          <w:sz w:val="22"/>
          <w:szCs w:val="22"/>
        </w:rPr>
        <w:t xml:space="preserve">Table </w:t>
      </w:r>
      <w:r w:rsidR="00B75A47" w:rsidRPr="008E106E">
        <w:rPr>
          <w:rFonts w:ascii="Arial" w:hAnsi="Arial" w:cs="Arial"/>
          <w:sz w:val="22"/>
          <w:szCs w:val="22"/>
        </w:rPr>
        <w:fldChar w:fldCharType="begin"/>
      </w:r>
      <w:r w:rsidR="00B75A47" w:rsidRPr="008E106E">
        <w:rPr>
          <w:rFonts w:ascii="Arial" w:hAnsi="Arial" w:cs="Arial"/>
          <w:sz w:val="22"/>
          <w:szCs w:val="22"/>
        </w:rPr>
        <w:instrText xml:space="preserve"> STYLEREF 1 \s </w:instrText>
      </w:r>
      <w:r w:rsidR="00B75A47" w:rsidRPr="008E106E">
        <w:rPr>
          <w:rFonts w:ascii="Arial" w:hAnsi="Arial" w:cs="Arial"/>
          <w:sz w:val="22"/>
          <w:szCs w:val="22"/>
        </w:rPr>
        <w:fldChar w:fldCharType="separate"/>
      </w:r>
      <w:r w:rsidR="00B75A47" w:rsidRPr="008E106E">
        <w:rPr>
          <w:rFonts w:ascii="Arial" w:hAnsi="Arial" w:cs="Arial"/>
          <w:noProof/>
          <w:sz w:val="22"/>
          <w:szCs w:val="22"/>
        </w:rPr>
        <w:t>2</w:t>
      </w:r>
      <w:r w:rsidR="00B75A47" w:rsidRPr="008E106E">
        <w:rPr>
          <w:rFonts w:ascii="Arial" w:hAnsi="Arial" w:cs="Arial"/>
          <w:noProof/>
          <w:sz w:val="22"/>
          <w:szCs w:val="22"/>
        </w:rPr>
        <w:fldChar w:fldCharType="end"/>
      </w:r>
      <w:r w:rsidRPr="008E106E">
        <w:rPr>
          <w:rFonts w:ascii="Arial" w:hAnsi="Arial" w:cs="Arial"/>
          <w:sz w:val="22"/>
          <w:szCs w:val="22"/>
        </w:rPr>
        <w:t>.</w:t>
      </w:r>
      <w:r w:rsidR="005870B7" w:rsidRPr="008E106E">
        <w:rPr>
          <w:rFonts w:ascii="Arial" w:hAnsi="Arial" w:cs="Arial"/>
          <w:sz w:val="22"/>
          <w:szCs w:val="22"/>
        </w:rPr>
        <w:fldChar w:fldCharType="begin"/>
      </w:r>
      <w:r w:rsidR="005870B7" w:rsidRPr="008E106E">
        <w:rPr>
          <w:rFonts w:ascii="Arial" w:hAnsi="Arial" w:cs="Arial"/>
          <w:sz w:val="22"/>
          <w:szCs w:val="22"/>
        </w:rPr>
        <w:instrText xml:space="preserve"> SEQ Table \* ARABIC \s 1 </w:instrText>
      </w:r>
      <w:r w:rsidR="005870B7" w:rsidRPr="008E106E">
        <w:rPr>
          <w:rFonts w:ascii="Arial" w:hAnsi="Arial" w:cs="Arial"/>
          <w:sz w:val="22"/>
          <w:szCs w:val="22"/>
        </w:rPr>
        <w:fldChar w:fldCharType="separate"/>
      </w:r>
      <w:r w:rsidR="00B75A47" w:rsidRPr="008E106E">
        <w:rPr>
          <w:rFonts w:ascii="Arial" w:hAnsi="Arial" w:cs="Arial"/>
          <w:noProof/>
          <w:sz w:val="22"/>
          <w:szCs w:val="22"/>
        </w:rPr>
        <w:t>1</w:t>
      </w:r>
      <w:r w:rsidR="005870B7" w:rsidRPr="008E106E">
        <w:rPr>
          <w:rFonts w:ascii="Arial" w:hAnsi="Arial" w:cs="Arial"/>
          <w:noProof/>
          <w:sz w:val="22"/>
          <w:szCs w:val="22"/>
        </w:rPr>
        <w:fldChar w:fldCharType="end"/>
      </w:r>
      <w:bookmarkEnd w:id="25"/>
      <w:r w:rsidRPr="008E106E">
        <w:rPr>
          <w:rFonts w:ascii="Arial" w:hAnsi="Arial" w:cs="Arial"/>
          <w:sz w:val="22"/>
          <w:szCs w:val="22"/>
        </w:rPr>
        <w:t>: Output</w:t>
      </w:r>
      <w:r w:rsidR="003B063D" w:rsidRPr="008E106E">
        <w:rPr>
          <w:rFonts w:ascii="Arial" w:hAnsi="Arial" w:cs="Arial"/>
          <w:sz w:val="22"/>
          <w:szCs w:val="22"/>
        </w:rPr>
        <w:t xml:space="preserve"> Indicators</w:t>
      </w:r>
      <w:bookmarkEnd w:id="26"/>
    </w:p>
    <w:tbl>
      <w:tblPr>
        <w:tblStyle w:val="TableGridLight"/>
        <w:tblW w:w="8815" w:type="dxa"/>
        <w:tblLook w:val="04A0" w:firstRow="1" w:lastRow="0" w:firstColumn="1" w:lastColumn="0" w:noHBand="0" w:noVBand="1"/>
      </w:tblPr>
      <w:tblGrid>
        <w:gridCol w:w="1965"/>
        <w:gridCol w:w="2351"/>
        <w:gridCol w:w="1313"/>
        <w:gridCol w:w="1769"/>
        <w:gridCol w:w="1417"/>
      </w:tblGrid>
      <w:tr w:rsidR="008B106A" w:rsidRPr="008E106E" w14:paraId="538F6678" w14:textId="77777777" w:rsidTr="00EE2625">
        <w:trPr>
          <w:trHeight w:val="305"/>
        </w:trPr>
        <w:tc>
          <w:tcPr>
            <w:tcW w:w="1965" w:type="dxa"/>
            <w:noWrap/>
            <w:vAlign w:val="center"/>
            <w:hideMark/>
          </w:tcPr>
          <w:p w14:paraId="1C99861E" w14:textId="77777777" w:rsidR="008B106A" w:rsidRPr="00690D98" w:rsidRDefault="008B106A" w:rsidP="008E0838">
            <w:pPr>
              <w:pStyle w:val="TableText"/>
              <w:spacing w:before="240"/>
              <w:rPr>
                <w:rFonts w:ascii="Arial" w:hAnsi="Arial" w:cs="Arial"/>
                <w:b/>
                <w:sz w:val="20"/>
                <w:szCs w:val="20"/>
              </w:rPr>
            </w:pPr>
            <w:r w:rsidRPr="00690D98">
              <w:rPr>
                <w:rFonts w:ascii="Arial" w:hAnsi="Arial" w:cs="Arial"/>
                <w:b/>
                <w:sz w:val="20"/>
                <w:szCs w:val="20"/>
              </w:rPr>
              <w:t>Indicator</w:t>
            </w:r>
          </w:p>
        </w:tc>
        <w:tc>
          <w:tcPr>
            <w:tcW w:w="2351" w:type="dxa"/>
            <w:noWrap/>
            <w:vAlign w:val="center"/>
            <w:hideMark/>
          </w:tcPr>
          <w:p w14:paraId="48BAFB59" w14:textId="77777777" w:rsidR="008B106A" w:rsidRPr="00690D98" w:rsidRDefault="008B106A" w:rsidP="008E0838">
            <w:pPr>
              <w:pStyle w:val="TableText"/>
              <w:spacing w:before="240"/>
              <w:rPr>
                <w:rFonts w:ascii="Arial" w:hAnsi="Arial" w:cs="Arial"/>
                <w:b/>
                <w:sz w:val="20"/>
                <w:szCs w:val="20"/>
              </w:rPr>
            </w:pPr>
            <w:r w:rsidRPr="00690D98">
              <w:rPr>
                <w:rFonts w:ascii="Arial" w:hAnsi="Arial" w:cs="Arial"/>
                <w:b/>
                <w:sz w:val="20"/>
                <w:szCs w:val="20"/>
              </w:rPr>
              <w:t>Description</w:t>
            </w:r>
          </w:p>
        </w:tc>
        <w:tc>
          <w:tcPr>
            <w:tcW w:w="1683" w:type="dxa"/>
          </w:tcPr>
          <w:p w14:paraId="78358C8E" w14:textId="41FB8FC1" w:rsidR="008B106A" w:rsidRPr="00BB17F5" w:rsidRDefault="00077DA7" w:rsidP="008E0838">
            <w:pPr>
              <w:pStyle w:val="TableText"/>
              <w:spacing w:before="240"/>
              <w:rPr>
                <w:rFonts w:ascii="Arial" w:hAnsi="Arial" w:cs="Arial"/>
                <w:b/>
                <w:sz w:val="20"/>
                <w:szCs w:val="20"/>
              </w:rPr>
            </w:pPr>
            <w:r w:rsidRPr="008E106E">
              <w:rPr>
                <w:rFonts w:ascii="Arial" w:hAnsi="Arial" w:cs="Arial"/>
                <w:b/>
                <w:sz w:val="20"/>
                <w:szCs w:val="20"/>
              </w:rPr>
              <w:t>Method of calculating indicator</w:t>
            </w:r>
          </w:p>
        </w:tc>
        <w:tc>
          <w:tcPr>
            <w:tcW w:w="1769" w:type="dxa"/>
            <w:noWrap/>
            <w:vAlign w:val="center"/>
            <w:hideMark/>
          </w:tcPr>
          <w:p w14:paraId="484965FD" w14:textId="1F381424" w:rsidR="008B106A" w:rsidRPr="00690D98" w:rsidRDefault="008B106A" w:rsidP="008E0838">
            <w:pPr>
              <w:pStyle w:val="TableText"/>
              <w:spacing w:before="240"/>
              <w:rPr>
                <w:rFonts w:ascii="Arial" w:hAnsi="Arial" w:cs="Arial"/>
                <w:b/>
                <w:sz w:val="20"/>
                <w:szCs w:val="20"/>
              </w:rPr>
            </w:pPr>
            <w:r w:rsidRPr="00690D98">
              <w:rPr>
                <w:rFonts w:ascii="Arial" w:hAnsi="Arial" w:cs="Arial"/>
                <w:b/>
                <w:sz w:val="20"/>
                <w:szCs w:val="20"/>
              </w:rPr>
              <w:t xml:space="preserve">Frequency of Measurement </w:t>
            </w:r>
          </w:p>
        </w:tc>
        <w:tc>
          <w:tcPr>
            <w:tcW w:w="1047" w:type="dxa"/>
            <w:noWrap/>
            <w:vAlign w:val="center"/>
            <w:hideMark/>
          </w:tcPr>
          <w:p w14:paraId="42DA80E3" w14:textId="77777777" w:rsidR="008B106A" w:rsidRPr="00690D98" w:rsidRDefault="008B106A" w:rsidP="008E0838">
            <w:pPr>
              <w:pStyle w:val="TableText"/>
              <w:spacing w:before="240"/>
              <w:rPr>
                <w:rFonts w:ascii="Arial" w:hAnsi="Arial" w:cs="Arial"/>
                <w:b/>
                <w:sz w:val="20"/>
                <w:szCs w:val="20"/>
              </w:rPr>
            </w:pPr>
            <w:r w:rsidRPr="00690D98">
              <w:rPr>
                <w:rFonts w:ascii="Arial" w:hAnsi="Arial" w:cs="Arial"/>
                <w:b/>
                <w:sz w:val="20"/>
                <w:szCs w:val="20"/>
              </w:rPr>
              <w:t>Source of Verification</w:t>
            </w:r>
          </w:p>
        </w:tc>
      </w:tr>
      <w:tr w:rsidR="00077DA7" w:rsidRPr="008E106E" w14:paraId="346C6042" w14:textId="77777777" w:rsidTr="00EE2625">
        <w:trPr>
          <w:trHeight w:val="269"/>
        </w:trPr>
        <w:tc>
          <w:tcPr>
            <w:tcW w:w="8815" w:type="dxa"/>
            <w:gridSpan w:val="5"/>
            <w:shd w:val="clear" w:color="auto" w:fill="D9D9D9" w:themeFill="background1" w:themeFillShade="D9"/>
          </w:tcPr>
          <w:p w14:paraId="5AA62F2B" w14:textId="1C454E9D" w:rsidR="00077DA7" w:rsidRPr="008E106E" w:rsidRDefault="00077DA7" w:rsidP="008E0838">
            <w:pPr>
              <w:pStyle w:val="TableText"/>
              <w:spacing w:before="240"/>
              <w:rPr>
                <w:rFonts w:ascii="Arial" w:hAnsi="Arial" w:cs="Arial"/>
                <w:b/>
                <w:sz w:val="20"/>
                <w:szCs w:val="20"/>
              </w:rPr>
            </w:pPr>
            <w:r w:rsidRPr="008E106E">
              <w:rPr>
                <w:rFonts w:ascii="Arial" w:hAnsi="Arial" w:cs="Arial"/>
                <w:b/>
                <w:color w:val="000000" w:themeColor="text1"/>
                <w:sz w:val="20"/>
                <w:szCs w:val="20"/>
              </w:rPr>
              <w:t>Component 1: GE project Development</w:t>
            </w:r>
          </w:p>
        </w:tc>
      </w:tr>
      <w:tr w:rsidR="0065329E" w:rsidRPr="008E106E" w14:paraId="43E8F43B" w14:textId="77777777" w:rsidTr="00EE2625">
        <w:tc>
          <w:tcPr>
            <w:tcW w:w="1965" w:type="dxa"/>
            <w:noWrap/>
            <w:vAlign w:val="center"/>
          </w:tcPr>
          <w:p w14:paraId="2A21E880" w14:textId="55E67D39" w:rsidR="0065329E" w:rsidRPr="00690D98" w:rsidRDefault="0065329E" w:rsidP="0065329E">
            <w:pPr>
              <w:pStyle w:val="TableText"/>
              <w:rPr>
                <w:rFonts w:ascii="Arial" w:hAnsi="Arial" w:cs="Arial"/>
                <w:sz w:val="20"/>
                <w:szCs w:val="20"/>
              </w:rPr>
            </w:pPr>
            <w:r w:rsidRPr="00617209">
              <w:rPr>
                <w:rFonts w:ascii="Arial" w:hAnsi="Arial" w:cs="Arial"/>
                <w:sz w:val="20"/>
                <w:szCs w:val="20"/>
              </w:rPr>
              <w:t xml:space="preserve">Grants provided to geothermal projects with resources from the </w:t>
            </w:r>
            <w:r>
              <w:rPr>
                <w:rFonts w:ascii="Arial" w:hAnsi="Arial" w:cs="Arial"/>
                <w:sz w:val="20"/>
                <w:szCs w:val="20"/>
              </w:rPr>
              <w:t>p</w:t>
            </w:r>
            <w:r w:rsidRPr="00617209">
              <w:rPr>
                <w:rFonts w:ascii="Arial" w:hAnsi="Arial" w:cs="Arial"/>
                <w:sz w:val="20"/>
                <w:szCs w:val="20"/>
              </w:rPr>
              <w:t>rogram for doing pre-feasibility studies.</w:t>
            </w:r>
          </w:p>
        </w:tc>
        <w:tc>
          <w:tcPr>
            <w:tcW w:w="2351" w:type="dxa"/>
            <w:noWrap/>
            <w:vAlign w:val="center"/>
          </w:tcPr>
          <w:p w14:paraId="71E13E34" w14:textId="23E76422" w:rsidR="0065329E" w:rsidRPr="00690D98" w:rsidRDefault="0065329E" w:rsidP="0065329E">
            <w:pPr>
              <w:pStyle w:val="TableText"/>
              <w:rPr>
                <w:rFonts w:ascii="Arial" w:hAnsi="Arial" w:cs="Arial"/>
                <w:sz w:val="20"/>
                <w:szCs w:val="20"/>
              </w:rPr>
            </w:pPr>
            <w:r w:rsidRPr="00690D98">
              <w:rPr>
                <w:rFonts w:ascii="Arial" w:hAnsi="Arial" w:cs="Arial"/>
                <w:sz w:val="20"/>
                <w:szCs w:val="20"/>
              </w:rPr>
              <w:t xml:space="preserve">Measures the number of </w:t>
            </w:r>
            <w:r w:rsidRPr="008E106E">
              <w:rPr>
                <w:rFonts w:ascii="Arial" w:hAnsi="Arial" w:cs="Arial"/>
                <w:sz w:val="20"/>
                <w:szCs w:val="20"/>
              </w:rPr>
              <w:t xml:space="preserve">grants </w:t>
            </w:r>
            <w:r w:rsidRPr="00690D98">
              <w:rPr>
                <w:rFonts w:ascii="Arial" w:hAnsi="Arial" w:cs="Arial"/>
                <w:sz w:val="20"/>
                <w:szCs w:val="20"/>
              </w:rPr>
              <w:t xml:space="preserve">that were </w:t>
            </w:r>
            <w:r w:rsidRPr="008E106E">
              <w:rPr>
                <w:rFonts w:ascii="Arial" w:hAnsi="Arial" w:cs="Arial"/>
                <w:sz w:val="20"/>
                <w:szCs w:val="20"/>
              </w:rPr>
              <w:t>provided</w:t>
            </w:r>
            <w:r w:rsidRPr="00690D98">
              <w:rPr>
                <w:rFonts w:ascii="Arial" w:hAnsi="Arial" w:cs="Arial"/>
                <w:sz w:val="20"/>
                <w:szCs w:val="20"/>
              </w:rPr>
              <w:t xml:space="preserve"> by CDB using grant</w:t>
            </w:r>
            <w:r w:rsidRPr="008E106E">
              <w:rPr>
                <w:rFonts w:ascii="Arial" w:hAnsi="Arial" w:cs="Arial"/>
                <w:sz w:val="20"/>
                <w:szCs w:val="20"/>
              </w:rPr>
              <w:t xml:space="preserve"> resources for doing pre-feasibility studies</w:t>
            </w:r>
            <w:r w:rsidRPr="00690D98">
              <w:rPr>
                <w:rFonts w:ascii="Arial" w:hAnsi="Arial" w:cs="Arial"/>
                <w:sz w:val="20"/>
                <w:szCs w:val="20"/>
              </w:rPr>
              <w:t xml:space="preserve"> </w:t>
            </w:r>
          </w:p>
        </w:tc>
        <w:tc>
          <w:tcPr>
            <w:tcW w:w="1683" w:type="dxa"/>
            <w:vAlign w:val="center"/>
          </w:tcPr>
          <w:p w14:paraId="71CBB566" w14:textId="75AFDFAB" w:rsidR="0065329E" w:rsidRPr="00BB17F5" w:rsidRDefault="0065329E" w:rsidP="0065329E">
            <w:pPr>
              <w:pStyle w:val="TableText"/>
              <w:rPr>
                <w:rFonts w:ascii="Arial" w:hAnsi="Arial" w:cs="Arial"/>
                <w:sz w:val="20"/>
                <w:szCs w:val="20"/>
              </w:rPr>
            </w:pPr>
            <w:r w:rsidRPr="008E106E">
              <w:rPr>
                <w:rFonts w:ascii="Arial" w:hAnsi="Arial" w:cs="Arial"/>
                <w:sz w:val="20"/>
                <w:szCs w:val="20"/>
              </w:rPr>
              <w:t>***</w:t>
            </w:r>
          </w:p>
        </w:tc>
        <w:tc>
          <w:tcPr>
            <w:tcW w:w="1769" w:type="dxa"/>
            <w:noWrap/>
            <w:vAlign w:val="center"/>
          </w:tcPr>
          <w:p w14:paraId="691C4A92" w14:textId="7B65D547" w:rsidR="0065329E" w:rsidRPr="00690D98" w:rsidRDefault="0065329E" w:rsidP="0065329E">
            <w:pPr>
              <w:pStyle w:val="TableText"/>
              <w:rPr>
                <w:rFonts w:ascii="Arial" w:hAnsi="Arial" w:cs="Arial"/>
                <w:sz w:val="20"/>
                <w:szCs w:val="20"/>
              </w:rPr>
            </w:pPr>
            <w:r w:rsidRPr="00690D98">
              <w:rPr>
                <w:rFonts w:ascii="Arial" w:hAnsi="Arial" w:cs="Arial"/>
                <w:sz w:val="20"/>
                <w:szCs w:val="20"/>
              </w:rPr>
              <w:t>Semi-annually and at completion of the execution period</w:t>
            </w:r>
          </w:p>
        </w:tc>
        <w:tc>
          <w:tcPr>
            <w:tcW w:w="1047" w:type="dxa"/>
            <w:noWrap/>
            <w:vAlign w:val="center"/>
          </w:tcPr>
          <w:p w14:paraId="7D65C2A3" w14:textId="7020E177" w:rsidR="0065329E" w:rsidRPr="00690D98" w:rsidRDefault="0065329E" w:rsidP="0065329E">
            <w:pPr>
              <w:pStyle w:val="TableText"/>
              <w:rPr>
                <w:rFonts w:ascii="Arial" w:hAnsi="Arial" w:cs="Arial"/>
                <w:sz w:val="20"/>
                <w:szCs w:val="20"/>
              </w:rPr>
            </w:pPr>
            <w:r w:rsidRPr="008E106E">
              <w:rPr>
                <w:rFonts w:ascii="Arial" w:hAnsi="Arial" w:cs="Arial"/>
                <w:sz w:val="20"/>
                <w:szCs w:val="20"/>
              </w:rPr>
              <w:t>SAPR and Concept Note for each individual grant approved by CDB</w:t>
            </w:r>
          </w:p>
        </w:tc>
      </w:tr>
      <w:tr w:rsidR="0065329E" w:rsidRPr="008E106E" w14:paraId="43A2D672" w14:textId="77777777" w:rsidTr="00690D98">
        <w:tc>
          <w:tcPr>
            <w:tcW w:w="1965" w:type="dxa"/>
            <w:noWrap/>
            <w:vAlign w:val="center"/>
          </w:tcPr>
          <w:p w14:paraId="6128357B" w14:textId="7D736BDD" w:rsidR="0065329E" w:rsidRPr="008E106E" w:rsidRDefault="0065329E" w:rsidP="0065329E">
            <w:pPr>
              <w:pStyle w:val="TableText"/>
              <w:rPr>
                <w:rFonts w:ascii="Arial" w:hAnsi="Arial" w:cs="Arial"/>
                <w:sz w:val="20"/>
                <w:szCs w:val="20"/>
              </w:rPr>
            </w:pPr>
            <w:r w:rsidRPr="008A49BC">
              <w:rPr>
                <w:rFonts w:ascii="Arial" w:hAnsi="Arial" w:cs="Arial"/>
                <w:sz w:val="20"/>
                <w:szCs w:val="20"/>
              </w:rPr>
              <w:t>CRG provided to geothermal projects to complete exploratory drilling activities.</w:t>
            </w:r>
          </w:p>
        </w:tc>
        <w:tc>
          <w:tcPr>
            <w:tcW w:w="2351" w:type="dxa"/>
            <w:noWrap/>
            <w:vAlign w:val="center"/>
          </w:tcPr>
          <w:p w14:paraId="5E98A552" w14:textId="221B0965" w:rsidR="0065329E" w:rsidRPr="008E106E" w:rsidRDefault="0065329E" w:rsidP="0065329E">
            <w:pPr>
              <w:pStyle w:val="TableText"/>
              <w:rPr>
                <w:rFonts w:ascii="Arial" w:hAnsi="Arial" w:cs="Arial"/>
                <w:sz w:val="20"/>
                <w:szCs w:val="20"/>
              </w:rPr>
            </w:pPr>
            <w:r w:rsidRPr="008E106E">
              <w:rPr>
                <w:rFonts w:ascii="Arial" w:hAnsi="Arial" w:cs="Arial"/>
                <w:sz w:val="20"/>
                <w:szCs w:val="20"/>
              </w:rPr>
              <w:t xml:space="preserve">Measures the number of exploratory drilling projects that were financed by CDB using contingent recovery grants </w:t>
            </w:r>
          </w:p>
        </w:tc>
        <w:tc>
          <w:tcPr>
            <w:tcW w:w="1683" w:type="dxa"/>
            <w:vAlign w:val="center"/>
          </w:tcPr>
          <w:p w14:paraId="38BE4023" w14:textId="7DE0DDBF" w:rsidR="0065329E" w:rsidRPr="008E106E" w:rsidRDefault="0065329E" w:rsidP="0065329E">
            <w:pPr>
              <w:pStyle w:val="TableText"/>
              <w:rPr>
                <w:rFonts w:ascii="Arial" w:hAnsi="Arial" w:cs="Arial"/>
                <w:sz w:val="20"/>
                <w:szCs w:val="20"/>
              </w:rPr>
            </w:pPr>
            <w:r w:rsidRPr="008E106E">
              <w:rPr>
                <w:rFonts w:ascii="Arial" w:hAnsi="Arial" w:cs="Arial"/>
                <w:sz w:val="20"/>
                <w:szCs w:val="20"/>
              </w:rPr>
              <w:t>***</w:t>
            </w:r>
          </w:p>
        </w:tc>
        <w:tc>
          <w:tcPr>
            <w:tcW w:w="1769" w:type="dxa"/>
            <w:noWrap/>
            <w:vAlign w:val="center"/>
          </w:tcPr>
          <w:p w14:paraId="210B1B60" w14:textId="5DE8BA02" w:rsidR="0065329E" w:rsidRPr="008E106E" w:rsidRDefault="0065329E" w:rsidP="0065329E">
            <w:pPr>
              <w:pStyle w:val="TableText"/>
              <w:rPr>
                <w:rFonts w:ascii="Arial" w:hAnsi="Arial" w:cs="Arial"/>
                <w:sz w:val="20"/>
                <w:szCs w:val="20"/>
              </w:rPr>
            </w:pPr>
            <w:r w:rsidRPr="008E106E">
              <w:rPr>
                <w:rFonts w:ascii="Arial" w:hAnsi="Arial" w:cs="Arial"/>
                <w:sz w:val="20"/>
                <w:szCs w:val="20"/>
              </w:rPr>
              <w:t>Semi-annually and at completion of the execution period</w:t>
            </w:r>
          </w:p>
        </w:tc>
        <w:tc>
          <w:tcPr>
            <w:tcW w:w="1047" w:type="dxa"/>
            <w:noWrap/>
            <w:vAlign w:val="center"/>
          </w:tcPr>
          <w:p w14:paraId="4225EA85" w14:textId="0B2EE2A6" w:rsidR="0065329E" w:rsidRPr="008E106E" w:rsidRDefault="0065329E" w:rsidP="0065329E">
            <w:pPr>
              <w:pStyle w:val="TableText"/>
              <w:rPr>
                <w:rFonts w:ascii="Arial" w:hAnsi="Arial" w:cs="Arial"/>
                <w:sz w:val="20"/>
                <w:szCs w:val="20"/>
              </w:rPr>
            </w:pPr>
            <w:r w:rsidRPr="008E106E">
              <w:rPr>
                <w:rFonts w:ascii="Arial" w:hAnsi="Arial" w:cs="Arial"/>
                <w:sz w:val="20"/>
                <w:szCs w:val="20"/>
              </w:rPr>
              <w:t xml:space="preserve">Reports from CDB </w:t>
            </w:r>
          </w:p>
        </w:tc>
      </w:tr>
      <w:tr w:rsidR="0065329E" w:rsidRPr="008E106E" w14:paraId="3D973058" w14:textId="77777777" w:rsidTr="00690D98">
        <w:tc>
          <w:tcPr>
            <w:tcW w:w="1965" w:type="dxa"/>
            <w:noWrap/>
            <w:vAlign w:val="center"/>
          </w:tcPr>
          <w:p w14:paraId="5AEE4F94" w14:textId="5F654566" w:rsidR="0065329E" w:rsidRPr="00690D98" w:rsidRDefault="0065329E" w:rsidP="0065329E">
            <w:pPr>
              <w:pStyle w:val="TableText"/>
              <w:rPr>
                <w:rFonts w:ascii="Arial" w:hAnsi="Arial" w:cs="Arial"/>
                <w:sz w:val="20"/>
                <w:szCs w:val="20"/>
              </w:rPr>
            </w:pPr>
            <w:r w:rsidRPr="008A49BC">
              <w:rPr>
                <w:rFonts w:ascii="Arial" w:hAnsi="Arial" w:cs="Arial"/>
                <w:sz w:val="20"/>
                <w:szCs w:val="20"/>
              </w:rPr>
              <w:t>Loans provided to geothermal projects at any stage of development with resources from the program.</w:t>
            </w:r>
          </w:p>
        </w:tc>
        <w:tc>
          <w:tcPr>
            <w:tcW w:w="2351" w:type="dxa"/>
            <w:noWrap/>
            <w:vAlign w:val="center"/>
            <w:hideMark/>
          </w:tcPr>
          <w:p w14:paraId="657DC68E" w14:textId="3B20A1D2" w:rsidR="0065329E" w:rsidRPr="00690D98" w:rsidRDefault="0065329E" w:rsidP="0065329E">
            <w:pPr>
              <w:pStyle w:val="TableText"/>
              <w:rPr>
                <w:rFonts w:ascii="Arial" w:hAnsi="Arial" w:cs="Arial"/>
                <w:sz w:val="20"/>
                <w:szCs w:val="20"/>
              </w:rPr>
            </w:pPr>
            <w:r w:rsidRPr="00690D98">
              <w:rPr>
                <w:rFonts w:ascii="Arial" w:hAnsi="Arial" w:cs="Arial"/>
                <w:sz w:val="20"/>
                <w:szCs w:val="20"/>
              </w:rPr>
              <w:t>Measures the number of concessional loans provided by CDB to GE projects for field development and plant construction</w:t>
            </w:r>
          </w:p>
        </w:tc>
        <w:tc>
          <w:tcPr>
            <w:tcW w:w="1683" w:type="dxa"/>
            <w:vAlign w:val="center"/>
          </w:tcPr>
          <w:p w14:paraId="38F609A8" w14:textId="4FEDE7D6" w:rsidR="0065329E" w:rsidRPr="00BB17F5" w:rsidRDefault="0065329E" w:rsidP="0065329E">
            <w:pPr>
              <w:pStyle w:val="TableText"/>
              <w:rPr>
                <w:rFonts w:ascii="Arial" w:hAnsi="Arial" w:cs="Arial"/>
                <w:sz w:val="20"/>
                <w:szCs w:val="20"/>
              </w:rPr>
            </w:pPr>
            <w:r w:rsidRPr="008E106E">
              <w:rPr>
                <w:rFonts w:ascii="Arial" w:hAnsi="Arial" w:cs="Arial"/>
                <w:sz w:val="20"/>
                <w:szCs w:val="20"/>
              </w:rPr>
              <w:t>***</w:t>
            </w:r>
          </w:p>
        </w:tc>
        <w:tc>
          <w:tcPr>
            <w:tcW w:w="1769" w:type="dxa"/>
            <w:noWrap/>
            <w:vAlign w:val="center"/>
            <w:hideMark/>
          </w:tcPr>
          <w:p w14:paraId="253726CE" w14:textId="382CE365" w:rsidR="0065329E" w:rsidRPr="00690D98" w:rsidRDefault="0065329E" w:rsidP="0065329E">
            <w:pPr>
              <w:pStyle w:val="TableText"/>
              <w:rPr>
                <w:rFonts w:ascii="Arial" w:hAnsi="Arial" w:cs="Arial"/>
                <w:sz w:val="20"/>
                <w:szCs w:val="20"/>
              </w:rPr>
            </w:pPr>
            <w:r w:rsidRPr="00690D98">
              <w:rPr>
                <w:rFonts w:ascii="Arial" w:hAnsi="Arial" w:cs="Arial"/>
                <w:sz w:val="20"/>
                <w:szCs w:val="20"/>
              </w:rPr>
              <w:t>Semi-annually and at completion of the execution period</w:t>
            </w:r>
          </w:p>
        </w:tc>
        <w:tc>
          <w:tcPr>
            <w:tcW w:w="1047" w:type="dxa"/>
            <w:noWrap/>
            <w:vAlign w:val="center"/>
            <w:hideMark/>
          </w:tcPr>
          <w:p w14:paraId="4FD871EB" w14:textId="77777777" w:rsidR="0065329E" w:rsidRPr="00690D98" w:rsidRDefault="0065329E" w:rsidP="0065329E">
            <w:pPr>
              <w:pStyle w:val="TableText"/>
              <w:rPr>
                <w:rFonts w:ascii="Arial" w:hAnsi="Arial" w:cs="Arial"/>
                <w:sz w:val="20"/>
                <w:szCs w:val="20"/>
              </w:rPr>
            </w:pPr>
            <w:r w:rsidRPr="00690D98">
              <w:rPr>
                <w:rFonts w:ascii="Arial" w:hAnsi="Arial" w:cs="Arial"/>
                <w:sz w:val="20"/>
                <w:szCs w:val="20"/>
              </w:rPr>
              <w:t>Reports from CDB</w:t>
            </w:r>
          </w:p>
        </w:tc>
      </w:tr>
      <w:tr w:rsidR="00B61051" w:rsidRPr="008E106E" w14:paraId="0F18D12E" w14:textId="77777777" w:rsidTr="00690D98">
        <w:tc>
          <w:tcPr>
            <w:tcW w:w="1965" w:type="dxa"/>
            <w:noWrap/>
            <w:vAlign w:val="center"/>
          </w:tcPr>
          <w:p w14:paraId="6C266FFD" w14:textId="2673DA9C" w:rsidR="00B61051" w:rsidRPr="00690D98" w:rsidRDefault="00B61051" w:rsidP="00B61051">
            <w:pPr>
              <w:pStyle w:val="TableText"/>
              <w:rPr>
                <w:rFonts w:ascii="Arial" w:hAnsi="Arial" w:cs="Arial"/>
                <w:sz w:val="20"/>
                <w:szCs w:val="20"/>
              </w:rPr>
            </w:pPr>
            <w:r w:rsidRPr="008A49BC">
              <w:rPr>
                <w:rFonts w:ascii="Arial" w:hAnsi="Arial" w:cs="Arial"/>
                <w:sz w:val="20"/>
                <w:szCs w:val="20"/>
              </w:rPr>
              <w:t xml:space="preserve">Loans provided to finance transmission </w:t>
            </w:r>
            <w:r>
              <w:rPr>
                <w:rFonts w:ascii="Arial" w:hAnsi="Arial" w:cs="Arial"/>
                <w:sz w:val="20"/>
                <w:szCs w:val="20"/>
              </w:rPr>
              <w:t xml:space="preserve">and distribution </w:t>
            </w:r>
            <w:r w:rsidRPr="008A49BC">
              <w:rPr>
                <w:rFonts w:ascii="Arial" w:hAnsi="Arial" w:cs="Arial"/>
                <w:sz w:val="20"/>
                <w:szCs w:val="20"/>
              </w:rPr>
              <w:t>lines required for bringing GE to market.</w:t>
            </w:r>
          </w:p>
        </w:tc>
        <w:tc>
          <w:tcPr>
            <w:tcW w:w="2351" w:type="dxa"/>
            <w:noWrap/>
            <w:vAlign w:val="center"/>
            <w:hideMark/>
          </w:tcPr>
          <w:p w14:paraId="2660D3CD" w14:textId="6DECBF3E" w:rsidR="00B61051" w:rsidRPr="00690D98" w:rsidRDefault="00B61051" w:rsidP="00B61051">
            <w:pPr>
              <w:pStyle w:val="TableText"/>
              <w:rPr>
                <w:rFonts w:ascii="Arial" w:hAnsi="Arial" w:cs="Arial"/>
                <w:sz w:val="20"/>
                <w:szCs w:val="20"/>
              </w:rPr>
            </w:pPr>
            <w:r w:rsidRPr="00690D98">
              <w:rPr>
                <w:rFonts w:ascii="Arial" w:hAnsi="Arial" w:cs="Arial"/>
                <w:sz w:val="20"/>
                <w:szCs w:val="20"/>
              </w:rPr>
              <w:t>Measures the number of concessional loans provided by CDB to ECC for transmission and distribution projects</w:t>
            </w:r>
          </w:p>
        </w:tc>
        <w:tc>
          <w:tcPr>
            <w:tcW w:w="1683" w:type="dxa"/>
            <w:vAlign w:val="center"/>
          </w:tcPr>
          <w:p w14:paraId="266C2425" w14:textId="754E1C86" w:rsidR="00B61051" w:rsidRPr="00BB17F5" w:rsidRDefault="00B61051" w:rsidP="00B61051">
            <w:pPr>
              <w:pStyle w:val="TableText"/>
              <w:rPr>
                <w:rFonts w:ascii="Arial" w:hAnsi="Arial" w:cs="Arial"/>
                <w:sz w:val="20"/>
                <w:szCs w:val="20"/>
              </w:rPr>
            </w:pPr>
            <w:r w:rsidRPr="008E106E">
              <w:rPr>
                <w:rFonts w:ascii="Arial" w:hAnsi="Arial" w:cs="Arial"/>
                <w:sz w:val="20"/>
                <w:szCs w:val="20"/>
              </w:rPr>
              <w:t>***</w:t>
            </w:r>
          </w:p>
        </w:tc>
        <w:tc>
          <w:tcPr>
            <w:tcW w:w="1769" w:type="dxa"/>
            <w:noWrap/>
            <w:vAlign w:val="center"/>
            <w:hideMark/>
          </w:tcPr>
          <w:p w14:paraId="6BAA29F3" w14:textId="25D53098" w:rsidR="00B61051" w:rsidRPr="00690D98" w:rsidRDefault="00B61051" w:rsidP="00B61051">
            <w:pPr>
              <w:pStyle w:val="TableText"/>
              <w:rPr>
                <w:rFonts w:ascii="Arial" w:hAnsi="Arial" w:cs="Arial"/>
                <w:sz w:val="20"/>
                <w:szCs w:val="20"/>
              </w:rPr>
            </w:pPr>
            <w:r w:rsidRPr="00690D98">
              <w:rPr>
                <w:rFonts w:ascii="Arial" w:hAnsi="Arial" w:cs="Arial"/>
                <w:sz w:val="20"/>
                <w:szCs w:val="20"/>
              </w:rPr>
              <w:t>Semi-annually and at completion of the execution period</w:t>
            </w:r>
          </w:p>
        </w:tc>
        <w:tc>
          <w:tcPr>
            <w:tcW w:w="1047" w:type="dxa"/>
            <w:noWrap/>
            <w:vAlign w:val="center"/>
            <w:hideMark/>
          </w:tcPr>
          <w:p w14:paraId="7A183E3E" w14:textId="77777777" w:rsidR="00B61051" w:rsidRPr="00690D98" w:rsidRDefault="00B61051" w:rsidP="00B61051">
            <w:pPr>
              <w:pStyle w:val="TableText"/>
              <w:rPr>
                <w:rFonts w:ascii="Arial" w:hAnsi="Arial" w:cs="Arial"/>
                <w:sz w:val="20"/>
                <w:szCs w:val="20"/>
              </w:rPr>
            </w:pPr>
            <w:r w:rsidRPr="00690D98">
              <w:rPr>
                <w:rFonts w:ascii="Arial" w:hAnsi="Arial" w:cs="Arial"/>
                <w:sz w:val="20"/>
                <w:szCs w:val="20"/>
              </w:rPr>
              <w:t xml:space="preserve">Reports from CDB </w:t>
            </w:r>
          </w:p>
        </w:tc>
      </w:tr>
      <w:tr w:rsidR="00B61051" w:rsidRPr="008E106E" w14:paraId="2A321886" w14:textId="77777777" w:rsidTr="00EE2625">
        <w:tc>
          <w:tcPr>
            <w:tcW w:w="8815" w:type="dxa"/>
            <w:gridSpan w:val="5"/>
            <w:shd w:val="clear" w:color="auto" w:fill="D9D9D9" w:themeFill="background1" w:themeFillShade="D9"/>
          </w:tcPr>
          <w:p w14:paraId="3CBC9878" w14:textId="0440E648" w:rsidR="00B61051" w:rsidRPr="008E106E" w:rsidRDefault="00B61051" w:rsidP="00B61051">
            <w:pPr>
              <w:pStyle w:val="TableText"/>
              <w:rPr>
                <w:rFonts w:ascii="Arial" w:hAnsi="Arial" w:cs="Arial"/>
                <w:sz w:val="20"/>
                <w:szCs w:val="20"/>
              </w:rPr>
            </w:pPr>
            <w:r w:rsidRPr="008E106E">
              <w:rPr>
                <w:rFonts w:ascii="Arial" w:hAnsi="Arial" w:cs="Arial"/>
                <w:b/>
                <w:sz w:val="20"/>
                <w:szCs w:val="20"/>
              </w:rPr>
              <w:t>Component 2: Technical Assistance: Regulatory framework, institutional strengthening, and capacity building</w:t>
            </w:r>
          </w:p>
        </w:tc>
      </w:tr>
      <w:tr w:rsidR="00B61051" w:rsidRPr="008E106E" w14:paraId="2727904D" w14:textId="77777777" w:rsidTr="00EE2625">
        <w:tc>
          <w:tcPr>
            <w:tcW w:w="1965" w:type="dxa"/>
            <w:noWrap/>
            <w:vAlign w:val="center"/>
          </w:tcPr>
          <w:p w14:paraId="4818EA57" w14:textId="4E64A920" w:rsidR="00B61051" w:rsidRPr="00690D98" w:rsidRDefault="00B61051" w:rsidP="00B61051">
            <w:pPr>
              <w:pStyle w:val="TableText"/>
              <w:rPr>
                <w:rFonts w:ascii="Arial" w:hAnsi="Arial" w:cs="Arial"/>
                <w:sz w:val="20"/>
                <w:szCs w:val="20"/>
              </w:rPr>
            </w:pPr>
          </w:p>
        </w:tc>
        <w:tc>
          <w:tcPr>
            <w:tcW w:w="2351" w:type="dxa"/>
            <w:noWrap/>
            <w:vAlign w:val="center"/>
          </w:tcPr>
          <w:p w14:paraId="7EE2E90A" w14:textId="746420DF" w:rsidR="00B61051" w:rsidRPr="00690D98" w:rsidRDefault="00B61051" w:rsidP="00B61051">
            <w:pPr>
              <w:pStyle w:val="TableText"/>
              <w:rPr>
                <w:rFonts w:ascii="Arial" w:hAnsi="Arial" w:cs="Arial"/>
                <w:sz w:val="20"/>
                <w:szCs w:val="20"/>
              </w:rPr>
            </w:pPr>
          </w:p>
        </w:tc>
        <w:tc>
          <w:tcPr>
            <w:tcW w:w="1683" w:type="dxa"/>
          </w:tcPr>
          <w:p w14:paraId="2890401D" w14:textId="77777777" w:rsidR="00B61051" w:rsidRPr="00BB17F5" w:rsidRDefault="00B61051" w:rsidP="00B61051">
            <w:pPr>
              <w:pStyle w:val="TableText"/>
              <w:rPr>
                <w:rFonts w:ascii="Arial" w:hAnsi="Arial" w:cs="Arial"/>
                <w:sz w:val="20"/>
                <w:szCs w:val="20"/>
              </w:rPr>
            </w:pPr>
          </w:p>
        </w:tc>
        <w:tc>
          <w:tcPr>
            <w:tcW w:w="1769" w:type="dxa"/>
            <w:noWrap/>
            <w:vAlign w:val="center"/>
          </w:tcPr>
          <w:p w14:paraId="621311E0" w14:textId="56A37CF8" w:rsidR="00B61051" w:rsidRPr="00690D98" w:rsidRDefault="00B61051" w:rsidP="00B61051">
            <w:pPr>
              <w:pStyle w:val="TableText"/>
              <w:rPr>
                <w:rFonts w:ascii="Arial" w:hAnsi="Arial" w:cs="Arial"/>
                <w:sz w:val="20"/>
                <w:szCs w:val="20"/>
              </w:rPr>
            </w:pPr>
          </w:p>
        </w:tc>
        <w:tc>
          <w:tcPr>
            <w:tcW w:w="1047" w:type="dxa"/>
            <w:noWrap/>
            <w:vAlign w:val="center"/>
          </w:tcPr>
          <w:p w14:paraId="10A1B849" w14:textId="0A1500F1" w:rsidR="00B61051" w:rsidRPr="00690D98" w:rsidRDefault="00B61051" w:rsidP="00B61051">
            <w:pPr>
              <w:pStyle w:val="TableText"/>
              <w:rPr>
                <w:rFonts w:ascii="Arial" w:hAnsi="Arial" w:cs="Arial"/>
                <w:sz w:val="20"/>
                <w:szCs w:val="20"/>
              </w:rPr>
            </w:pPr>
          </w:p>
        </w:tc>
      </w:tr>
      <w:tr w:rsidR="00EE2625" w:rsidRPr="008E106E" w14:paraId="468EB798" w14:textId="77777777" w:rsidTr="00690D98">
        <w:tc>
          <w:tcPr>
            <w:tcW w:w="1965" w:type="dxa"/>
            <w:noWrap/>
            <w:vAlign w:val="center"/>
          </w:tcPr>
          <w:p w14:paraId="33D7B443" w14:textId="11DAB7A7" w:rsidR="00EE2625" w:rsidRPr="00690D98" w:rsidRDefault="00EE2625" w:rsidP="00EE2625">
            <w:pPr>
              <w:pStyle w:val="TableText"/>
              <w:rPr>
                <w:rFonts w:ascii="Arial" w:hAnsi="Arial" w:cs="Arial"/>
                <w:sz w:val="20"/>
                <w:szCs w:val="20"/>
              </w:rPr>
            </w:pPr>
            <w:r w:rsidRPr="008A49BC">
              <w:rPr>
                <w:rFonts w:ascii="Arial" w:hAnsi="Arial" w:cs="Arial"/>
                <w:sz w:val="20"/>
                <w:szCs w:val="20"/>
              </w:rPr>
              <w:t xml:space="preserve">Technical assistance grants provided to governments in ECC with resources from the </w:t>
            </w:r>
            <w:r>
              <w:rPr>
                <w:rFonts w:ascii="Arial" w:hAnsi="Arial" w:cs="Arial"/>
                <w:sz w:val="20"/>
                <w:szCs w:val="20"/>
              </w:rPr>
              <w:t>p</w:t>
            </w:r>
            <w:r w:rsidRPr="008A49BC">
              <w:rPr>
                <w:rFonts w:ascii="Arial" w:hAnsi="Arial" w:cs="Arial"/>
                <w:sz w:val="20"/>
                <w:szCs w:val="20"/>
              </w:rPr>
              <w:t>rogram</w:t>
            </w:r>
          </w:p>
        </w:tc>
        <w:tc>
          <w:tcPr>
            <w:tcW w:w="2351" w:type="dxa"/>
            <w:noWrap/>
            <w:vAlign w:val="center"/>
          </w:tcPr>
          <w:p w14:paraId="752B4375" w14:textId="22583BA4" w:rsidR="00EE2625" w:rsidRPr="00690D98" w:rsidRDefault="00EE2625" w:rsidP="00EE2625">
            <w:pPr>
              <w:pStyle w:val="TableText"/>
              <w:rPr>
                <w:rFonts w:ascii="Arial" w:hAnsi="Arial" w:cs="Arial"/>
                <w:sz w:val="20"/>
                <w:szCs w:val="20"/>
              </w:rPr>
            </w:pPr>
            <w:r w:rsidRPr="008E106E">
              <w:rPr>
                <w:rFonts w:ascii="Arial" w:hAnsi="Arial" w:cs="Arial"/>
                <w:sz w:val="20"/>
                <w:szCs w:val="20"/>
              </w:rPr>
              <w:t>Measures the n</w:t>
            </w:r>
            <w:r w:rsidRPr="00690D98">
              <w:rPr>
                <w:rFonts w:ascii="Arial" w:hAnsi="Arial" w:cs="Arial"/>
                <w:sz w:val="20"/>
                <w:szCs w:val="20"/>
              </w:rPr>
              <w:t xml:space="preserve">umber of </w:t>
            </w:r>
            <w:r w:rsidRPr="008E106E">
              <w:rPr>
                <w:rFonts w:ascii="Arial" w:hAnsi="Arial" w:cs="Arial"/>
                <w:sz w:val="20"/>
                <w:szCs w:val="20"/>
              </w:rPr>
              <w:t xml:space="preserve">technical assistance grants provided to governments in ECC with resources from the program </w:t>
            </w:r>
          </w:p>
        </w:tc>
        <w:tc>
          <w:tcPr>
            <w:tcW w:w="1683" w:type="dxa"/>
            <w:vAlign w:val="center"/>
          </w:tcPr>
          <w:p w14:paraId="68746A80" w14:textId="46044778" w:rsidR="00EE2625" w:rsidRPr="00BB17F5" w:rsidRDefault="00EE2625" w:rsidP="00EE2625">
            <w:pPr>
              <w:pStyle w:val="TableText"/>
              <w:rPr>
                <w:rFonts w:ascii="Arial" w:hAnsi="Arial" w:cs="Arial"/>
                <w:sz w:val="20"/>
                <w:szCs w:val="20"/>
              </w:rPr>
            </w:pPr>
            <w:r w:rsidRPr="008E106E">
              <w:rPr>
                <w:rFonts w:ascii="Arial" w:hAnsi="Arial" w:cs="Arial"/>
                <w:sz w:val="20"/>
                <w:szCs w:val="20"/>
              </w:rPr>
              <w:t>***</w:t>
            </w:r>
          </w:p>
        </w:tc>
        <w:tc>
          <w:tcPr>
            <w:tcW w:w="1769" w:type="dxa"/>
            <w:noWrap/>
            <w:vAlign w:val="center"/>
          </w:tcPr>
          <w:p w14:paraId="17C7C688" w14:textId="69BA1891" w:rsidR="00EE2625" w:rsidRPr="00690D98" w:rsidRDefault="00EE2625" w:rsidP="00EE2625">
            <w:pPr>
              <w:pStyle w:val="TableText"/>
              <w:rPr>
                <w:rFonts w:ascii="Arial" w:hAnsi="Arial" w:cs="Arial"/>
                <w:sz w:val="20"/>
                <w:szCs w:val="20"/>
              </w:rPr>
            </w:pPr>
            <w:r w:rsidRPr="00690D98">
              <w:rPr>
                <w:rFonts w:ascii="Arial" w:hAnsi="Arial" w:cs="Arial"/>
                <w:sz w:val="20"/>
                <w:szCs w:val="20"/>
              </w:rPr>
              <w:t xml:space="preserve">Semi-annually and at completion of the execution period </w:t>
            </w:r>
          </w:p>
        </w:tc>
        <w:tc>
          <w:tcPr>
            <w:tcW w:w="1047" w:type="dxa"/>
            <w:noWrap/>
            <w:vAlign w:val="center"/>
          </w:tcPr>
          <w:p w14:paraId="66181FF4" w14:textId="64FE4C1C" w:rsidR="00EE2625" w:rsidRPr="00690D98" w:rsidRDefault="00EE2625" w:rsidP="00EE2625">
            <w:pPr>
              <w:pStyle w:val="TableText"/>
              <w:rPr>
                <w:rFonts w:ascii="Arial" w:hAnsi="Arial" w:cs="Arial"/>
                <w:sz w:val="20"/>
                <w:szCs w:val="20"/>
              </w:rPr>
            </w:pPr>
            <w:r w:rsidRPr="00690D98">
              <w:rPr>
                <w:rFonts w:ascii="Arial" w:hAnsi="Arial" w:cs="Arial"/>
                <w:sz w:val="20"/>
                <w:szCs w:val="20"/>
              </w:rPr>
              <w:t xml:space="preserve">Program report from </w:t>
            </w:r>
            <w:r w:rsidRPr="008E106E">
              <w:rPr>
                <w:rFonts w:ascii="Arial" w:hAnsi="Arial" w:cs="Arial"/>
                <w:sz w:val="20"/>
                <w:szCs w:val="20"/>
              </w:rPr>
              <w:t>CDB</w:t>
            </w:r>
            <w:r w:rsidRPr="00690D98">
              <w:rPr>
                <w:rFonts w:ascii="Arial" w:hAnsi="Arial" w:cs="Arial"/>
                <w:sz w:val="20"/>
                <w:szCs w:val="20"/>
              </w:rPr>
              <w:t xml:space="preserve"> with information from the projects, the utilities, and the Governments in the EC countries</w:t>
            </w:r>
          </w:p>
        </w:tc>
      </w:tr>
      <w:tr w:rsidR="00EE2625" w:rsidRPr="008E106E" w14:paraId="0C9084CA" w14:textId="77777777" w:rsidTr="00EE2625">
        <w:tc>
          <w:tcPr>
            <w:tcW w:w="1965" w:type="dxa"/>
            <w:noWrap/>
            <w:vAlign w:val="center"/>
          </w:tcPr>
          <w:p w14:paraId="55FA752D" w14:textId="77777777" w:rsidR="00CB3F2F" w:rsidRPr="00CB3F2F" w:rsidRDefault="00CB3F2F" w:rsidP="00CB3F2F">
            <w:pPr>
              <w:pStyle w:val="TableText"/>
              <w:ind w:right="42"/>
              <w:rPr>
                <w:rFonts w:ascii="Arial" w:hAnsi="Arial" w:cs="Arial"/>
                <w:sz w:val="20"/>
                <w:szCs w:val="20"/>
              </w:rPr>
            </w:pPr>
            <w:r w:rsidRPr="00CB3F2F">
              <w:rPr>
                <w:rFonts w:ascii="Arial" w:hAnsi="Arial" w:cs="Arial"/>
                <w:sz w:val="20"/>
                <w:szCs w:val="20"/>
              </w:rPr>
              <w:t>Specialized advisory services</w:t>
            </w:r>
          </w:p>
          <w:p w14:paraId="110DBDFD" w14:textId="05383CFB" w:rsidR="00CB3F2F" w:rsidRPr="00CB3F2F" w:rsidRDefault="00CB3F2F" w:rsidP="00CB3F2F">
            <w:pPr>
              <w:pStyle w:val="TableText"/>
              <w:ind w:right="42"/>
              <w:rPr>
                <w:rFonts w:ascii="Arial" w:hAnsi="Arial" w:cs="Arial"/>
                <w:sz w:val="20"/>
                <w:szCs w:val="20"/>
              </w:rPr>
            </w:pPr>
            <w:r w:rsidRPr="00CB3F2F">
              <w:rPr>
                <w:rFonts w:ascii="Arial" w:hAnsi="Arial" w:cs="Arial"/>
                <w:sz w:val="20"/>
                <w:szCs w:val="20"/>
              </w:rPr>
              <w:t>contracts awarded to</w:t>
            </w:r>
            <w:r w:rsidR="00801CF2">
              <w:rPr>
                <w:rFonts w:ascii="Arial" w:hAnsi="Arial" w:cs="Arial"/>
                <w:sz w:val="20"/>
                <w:szCs w:val="20"/>
              </w:rPr>
              <w:t xml:space="preserve"> </w:t>
            </w:r>
            <w:r w:rsidRPr="00CB3F2F">
              <w:rPr>
                <w:rFonts w:ascii="Arial" w:hAnsi="Arial" w:cs="Arial"/>
                <w:sz w:val="20"/>
                <w:szCs w:val="20"/>
              </w:rPr>
              <w:t>strengthen CDB’s capacity to</w:t>
            </w:r>
          </w:p>
          <w:p w14:paraId="06B8FF01" w14:textId="05E7EE0D" w:rsidR="00EE2625" w:rsidRPr="00690D98" w:rsidRDefault="00CB3F2F" w:rsidP="00CB3F2F">
            <w:pPr>
              <w:pStyle w:val="TableText"/>
              <w:ind w:right="42"/>
              <w:rPr>
                <w:rFonts w:ascii="Arial" w:hAnsi="Arial" w:cs="Arial"/>
                <w:sz w:val="20"/>
                <w:szCs w:val="20"/>
              </w:rPr>
            </w:pPr>
            <w:r w:rsidRPr="00CB3F2F">
              <w:rPr>
                <w:rFonts w:ascii="Arial" w:hAnsi="Arial" w:cs="Arial"/>
                <w:sz w:val="20"/>
                <w:szCs w:val="20"/>
              </w:rPr>
              <w:t>implement the program</w:t>
            </w:r>
          </w:p>
        </w:tc>
        <w:tc>
          <w:tcPr>
            <w:tcW w:w="2351" w:type="dxa"/>
            <w:noWrap/>
            <w:vAlign w:val="center"/>
          </w:tcPr>
          <w:p w14:paraId="021B7CB1" w14:textId="4FBAE1BE" w:rsidR="00EE2625" w:rsidRPr="00690D98" w:rsidRDefault="00EE2625" w:rsidP="00EE2625">
            <w:pPr>
              <w:pStyle w:val="TableText"/>
              <w:rPr>
                <w:rFonts w:ascii="Arial" w:hAnsi="Arial" w:cs="Arial"/>
                <w:sz w:val="20"/>
                <w:szCs w:val="20"/>
              </w:rPr>
            </w:pPr>
            <w:r w:rsidRPr="00690D98">
              <w:rPr>
                <w:rFonts w:ascii="Arial" w:hAnsi="Arial" w:cs="Arial"/>
                <w:sz w:val="20"/>
                <w:szCs w:val="20"/>
              </w:rPr>
              <w:t xml:space="preserve">Measures the number of </w:t>
            </w:r>
            <w:r w:rsidRPr="008E106E">
              <w:rPr>
                <w:rFonts w:ascii="Arial" w:hAnsi="Arial" w:cs="Arial"/>
                <w:sz w:val="20"/>
                <w:szCs w:val="20"/>
              </w:rPr>
              <w:t xml:space="preserve">specialized advisory services contracts awarded to strengthen CDB’s capacity to implement the program </w:t>
            </w:r>
          </w:p>
          <w:p w14:paraId="738B5608" w14:textId="77777777" w:rsidR="00EE2625" w:rsidRPr="00690D98" w:rsidRDefault="00EE2625" w:rsidP="00EE2625">
            <w:pPr>
              <w:pStyle w:val="TableText"/>
              <w:rPr>
                <w:rFonts w:ascii="Arial" w:hAnsi="Arial" w:cs="Arial"/>
                <w:sz w:val="20"/>
                <w:szCs w:val="20"/>
              </w:rPr>
            </w:pPr>
          </w:p>
        </w:tc>
        <w:tc>
          <w:tcPr>
            <w:tcW w:w="1683" w:type="dxa"/>
            <w:vAlign w:val="center"/>
          </w:tcPr>
          <w:p w14:paraId="0072FFC1" w14:textId="5D5BA29A" w:rsidR="00EE2625" w:rsidRPr="00BB17F5" w:rsidRDefault="00EE2625" w:rsidP="00EE2625">
            <w:pPr>
              <w:pStyle w:val="TableText"/>
              <w:rPr>
                <w:rFonts w:ascii="Arial" w:hAnsi="Arial" w:cs="Arial"/>
                <w:sz w:val="20"/>
                <w:szCs w:val="20"/>
              </w:rPr>
            </w:pPr>
            <w:r w:rsidRPr="008E106E">
              <w:rPr>
                <w:rFonts w:ascii="Arial" w:hAnsi="Arial" w:cs="Arial"/>
                <w:sz w:val="20"/>
                <w:szCs w:val="20"/>
              </w:rPr>
              <w:t>Add the number of individual contracts awarded by the CDB with specialized advisory services companies</w:t>
            </w:r>
          </w:p>
        </w:tc>
        <w:tc>
          <w:tcPr>
            <w:tcW w:w="1769" w:type="dxa"/>
            <w:noWrap/>
            <w:vAlign w:val="center"/>
            <w:hideMark/>
          </w:tcPr>
          <w:p w14:paraId="437078E7" w14:textId="2C98DF82" w:rsidR="00EE2625" w:rsidRPr="00690D98" w:rsidRDefault="00EE2625" w:rsidP="00EE2625">
            <w:pPr>
              <w:pStyle w:val="TableText"/>
              <w:rPr>
                <w:rFonts w:ascii="Arial" w:hAnsi="Arial" w:cs="Arial"/>
                <w:sz w:val="20"/>
                <w:szCs w:val="20"/>
              </w:rPr>
            </w:pPr>
            <w:r w:rsidRPr="00690D98">
              <w:rPr>
                <w:rFonts w:ascii="Arial" w:hAnsi="Arial" w:cs="Arial"/>
                <w:sz w:val="20"/>
                <w:szCs w:val="20"/>
              </w:rPr>
              <w:t xml:space="preserve">Semi-annually and at completion of the execution period </w:t>
            </w:r>
          </w:p>
        </w:tc>
        <w:tc>
          <w:tcPr>
            <w:tcW w:w="1047" w:type="dxa"/>
            <w:noWrap/>
            <w:vAlign w:val="center"/>
            <w:hideMark/>
          </w:tcPr>
          <w:p w14:paraId="4CDB1A65" w14:textId="2E35615D" w:rsidR="00EE2625" w:rsidRPr="00690D98" w:rsidRDefault="00EE2625" w:rsidP="00EE2625">
            <w:pPr>
              <w:pStyle w:val="TableText"/>
              <w:rPr>
                <w:rFonts w:ascii="Arial" w:hAnsi="Arial" w:cs="Arial"/>
                <w:sz w:val="20"/>
                <w:szCs w:val="20"/>
              </w:rPr>
            </w:pPr>
            <w:r w:rsidRPr="00690D98">
              <w:rPr>
                <w:rFonts w:ascii="Arial" w:hAnsi="Arial" w:cs="Arial"/>
                <w:sz w:val="20"/>
                <w:szCs w:val="20"/>
              </w:rPr>
              <w:t>Reports from CDB</w:t>
            </w:r>
            <w:r w:rsidRPr="008E106E">
              <w:rPr>
                <w:rFonts w:ascii="Arial" w:hAnsi="Arial" w:cs="Arial"/>
                <w:sz w:val="20"/>
                <w:szCs w:val="20"/>
              </w:rPr>
              <w:t xml:space="preserve"> and copy of the terms of reference of the contracts awarded</w:t>
            </w:r>
          </w:p>
        </w:tc>
      </w:tr>
    </w:tbl>
    <w:p w14:paraId="59D15225" w14:textId="77777777" w:rsidR="008E106E" w:rsidRDefault="008E106E" w:rsidP="008E106E">
      <w:pPr>
        <w:pStyle w:val="BodyText"/>
        <w:rPr>
          <w:rFonts w:ascii="Arial" w:hAnsi="Arial" w:cs="Arial"/>
          <w:sz w:val="20"/>
          <w:szCs w:val="20"/>
        </w:rPr>
      </w:pPr>
    </w:p>
    <w:p w14:paraId="042EC25D" w14:textId="47C7DF60" w:rsidR="008E106E" w:rsidRPr="008E106E" w:rsidRDefault="008E106E" w:rsidP="008E106E">
      <w:pPr>
        <w:pStyle w:val="BodyText"/>
        <w:rPr>
          <w:rFonts w:ascii="Arial" w:hAnsi="Arial" w:cs="Arial"/>
          <w:sz w:val="20"/>
          <w:szCs w:val="20"/>
        </w:rPr>
      </w:pPr>
      <w:r w:rsidRPr="008E106E">
        <w:rPr>
          <w:rFonts w:ascii="Arial" w:hAnsi="Arial" w:cs="Arial"/>
          <w:sz w:val="20"/>
          <w:szCs w:val="20"/>
        </w:rPr>
        <w:t>*** The output indicators for Component 1 measure the number of individual operations (sub-grants and sub-loans) that the CDB approved and that use resources from the Program. Each indicator refers to the different options the program offers in terms of financial instruments available to fund GE development and their possible use: (i) grants for doing pre-feasibility studies; (ii) contingent recovery grants for exploratory drilling projects; (iii) concessional loans for field development and plant construction; and (iv) concessional loans provided by CDB to ECC for transmission and distribution projects. Each indicator refers to the different options the program offers in terms of financial instruments available to fund GE development and their possible use: (i) grants for doing pre-feasibility studies; (ii) contingent recovery grants for exploratory drilling projects; (iii) concessional loans for field development and plant construction; and (iv) concessional loans provided by CDB to ECC for transmission and distribution projects.</w:t>
      </w:r>
    </w:p>
    <w:p w14:paraId="10E32B80" w14:textId="77777777" w:rsidR="008E106E" w:rsidRPr="008E106E" w:rsidRDefault="008E106E" w:rsidP="008E106E">
      <w:pPr>
        <w:pStyle w:val="BodyText"/>
        <w:rPr>
          <w:rFonts w:ascii="Arial" w:hAnsi="Arial" w:cs="Arial"/>
          <w:sz w:val="20"/>
          <w:szCs w:val="20"/>
        </w:rPr>
      </w:pPr>
      <w:r w:rsidRPr="008E106E">
        <w:rPr>
          <w:rFonts w:ascii="Arial" w:hAnsi="Arial" w:cs="Arial"/>
          <w:sz w:val="20"/>
          <w:szCs w:val="20"/>
        </w:rPr>
        <w:t xml:space="preserve">One of the output indicators for Component 2 (Number of technical assistance grants provided to ECC governments) follows the same logic; it measures the number of grants to provide technical assistance to governments in ECC that the CDB approved using resources from the Program. </w:t>
      </w:r>
    </w:p>
    <w:p w14:paraId="76088C70" w14:textId="77777777" w:rsidR="008E106E" w:rsidRPr="008E106E" w:rsidRDefault="008E106E" w:rsidP="008E106E">
      <w:pPr>
        <w:pStyle w:val="BodyText"/>
        <w:rPr>
          <w:rFonts w:ascii="Arial" w:hAnsi="Arial" w:cs="Arial"/>
          <w:sz w:val="20"/>
          <w:szCs w:val="20"/>
        </w:rPr>
      </w:pPr>
      <w:r w:rsidRPr="008E106E">
        <w:rPr>
          <w:rFonts w:ascii="Arial" w:hAnsi="Arial" w:cs="Arial"/>
          <w:sz w:val="20"/>
          <w:szCs w:val="20"/>
        </w:rPr>
        <w:t>The method for calculating these output indicators is to add the number of individual operations approved by CDB using Program Resources and for which the CDB will provide the Bank with (in accordance with the Program OM):</w:t>
      </w:r>
    </w:p>
    <w:p w14:paraId="410094B5" w14:textId="77777777" w:rsidR="008E106E" w:rsidRPr="00690D98" w:rsidRDefault="008E106E" w:rsidP="008E106E">
      <w:pPr>
        <w:pStyle w:val="BodyText"/>
        <w:numPr>
          <w:ilvl w:val="0"/>
          <w:numId w:val="29"/>
        </w:numPr>
        <w:rPr>
          <w:rFonts w:ascii="Arial" w:hAnsi="Arial" w:cs="Arial"/>
        </w:rPr>
      </w:pPr>
      <w:r w:rsidRPr="008E106E">
        <w:rPr>
          <w:rFonts w:ascii="Arial" w:hAnsi="Arial" w:cs="Arial"/>
          <w:sz w:val="20"/>
          <w:szCs w:val="20"/>
        </w:rPr>
        <w:t>A Non-objection request prior to consideration by its Board of Directors</w:t>
      </w:r>
    </w:p>
    <w:p w14:paraId="4E55AC82" w14:textId="77777777" w:rsidR="008E106E" w:rsidRPr="00690D98" w:rsidRDefault="008E106E" w:rsidP="008E106E">
      <w:pPr>
        <w:pStyle w:val="BodyText"/>
        <w:numPr>
          <w:ilvl w:val="0"/>
          <w:numId w:val="29"/>
        </w:numPr>
        <w:rPr>
          <w:rFonts w:ascii="Arial" w:hAnsi="Arial" w:cs="Arial"/>
        </w:rPr>
      </w:pPr>
      <w:r w:rsidRPr="008E106E">
        <w:rPr>
          <w:rFonts w:ascii="Arial" w:hAnsi="Arial" w:cs="Arial"/>
          <w:sz w:val="20"/>
          <w:szCs w:val="20"/>
        </w:rPr>
        <w:t>Copy of the signed sub-grant or sub-loan agreement after approval by CDB’s Board of Directors</w:t>
      </w:r>
    </w:p>
    <w:p w14:paraId="64CA17AC" w14:textId="77777777" w:rsidR="001408B7" w:rsidRPr="008E106E" w:rsidRDefault="001408B7">
      <w:pPr>
        <w:pStyle w:val="TableText"/>
        <w:rPr>
          <w:rFonts w:ascii="Arial" w:hAnsi="Arial" w:cs="Arial"/>
          <w:szCs w:val="22"/>
        </w:rPr>
      </w:pPr>
    </w:p>
    <w:p w14:paraId="37FB0D02" w14:textId="18BB48E1" w:rsidR="001408B7" w:rsidRPr="008E106E" w:rsidRDefault="001408B7">
      <w:pPr>
        <w:pStyle w:val="TableorFigureEnd"/>
        <w:rPr>
          <w:rFonts w:ascii="Arial" w:hAnsi="Arial" w:cs="Arial"/>
          <w:sz w:val="22"/>
          <w:szCs w:val="22"/>
        </w:rPr>
      </w:pPr>
    </w:p>
    <w:p w14:paraId="26351CB2" w14:textId="0AFB76C7" w:rsidR="0080041A" w:rsidRPr="008E106E" w:rsidRDefault="006D4AA4" w:rsidP="007B2319">
      <w:pPr>
        <w:pStyle w:val="BodyText"/>
        <w:rPr>
          <w:rFonts w:ascii="Arial" w:hAnsi="Arial" w:cs="Arial"/>
          <w:sz w:val="22"/>
          <w:szCs w:val="22"/>
        </w:rPr>
      </w:pPr>
      <w:r w:rsidRPr="008E106E">
        <w:rPr>
          <w:rFonts w:ascii="Arial" w:hAnsi="Arial" w:cs="Arial"/>
          <w:sz w:val="22"/>
          <w:szCs w:val="22"/>
        </w:rPr>
        <w:fldChar w:fldCharType="begin"/>
      </w:r>
      <w:r w:rsidRPr="008E106E">
        <w:rPr>
          <w:rFonts w:ascii="Arial" w:hAnsi="Arial" w:cs="Arial"/>
          <w:sz w:val="22"/>
          <w:szCs w:val="22"/>
        </w:rPr>
        <w:instrText xml:space="preserve"> REF _Ref422893208 \h  \* MERGEFORMAT </w:instrText>
      </w:r>
      <w:r w:rsidRPr="008E106E">
        <w:rPr>
          <w:rFonts w:ascii="Arial" w:hAnsi="Arial" w:cs="Arial"/>
          <w:sz w:val="22"/>
          <w:szCs w:val="22"/>
        </w:rPr>
      </w:r>
      <w:r w:rsidRPr="008E106E">
        <w:rPr>
          <w:rFonts w:ascii="Arial" w:hAnsi="Arial" w:cs="Arial"/>
          <w:sz w:val="22"/>
          <w:szCs w:val="22"/>
        </w:rPr>
        <w:fldChar w:fldCharType="separate"/>
      </w:r>
      <w:r w:rsidR="00B75A47" w:rsidRPr="008E106E">
        <w:rPr>
          <w:rFonts w:ascii="Arial" w:hAnsi="Arial" w:cs="Arial"/>
          <w:sz w:val="22"/>
          <w:szCs w:val="22"/>
        </w:rPr>
        <w:t xml:space="preserve">Table </w:t>
      </w:r>
      <w:r w:rsidR="00B75A47" w:rsidRPr="008E106E">
        <w:rPr>
          <w:rFonts w:ascii="Arial" w:hAnsi="Arial" w:cs="Arial"/>
          <w:noProof/>
          <w:sz w:val="22"/>
          <w:szCs w:val="22"/>
        </w:rPr>
        <w:t>2.2</w:t>
      </w:r>
      <w:r w:rsidRPr="008E106E">
        <w:rPr>
          <w:rFonts w:ascii="Arial" w:hAnsi="Arial" w:cs="Arial"/>
          <w:sz w:val="22"/>
          <w:szCs w:val="22"/>
        </w:rPr>
        <w:fldChar w:fldCharType="end"/>
      </w:r>
      <w:r w:rsidRPr="008E106E">
        <w:rPr>
          <w:rFonts w:ascii="Arial" w:hAnsi="Arial" w:cs="Arial"/>
          <w:sz w:val="22"/>
          <w:szCs w:val="22"/>
        </w:rPr>
        <w:t xml:space="preserve"> presents the planned annual disbursements from the </w:t>
      </w:r>
      <w:r w:rsidR="00A7184B" w:rsidRPr="008E106E">
        <w:rPr>
          <w:rFonts w:ascii="Arial" w:hAnsi="Arial" w:cs="Arial"/>
          <w:sz w:val="22"/>
          <w:szCs w:val="22"/>
        </w:rPr>
        <w:t xml:space="preserve">SEF Expanded </w:t>
      </w:r>
      <w:r w:rsidR="007B2319" w:rsidRPr="008E106E">
        <w:rPr>
          <w:rFonts w:ascii="Arial" w:hAnsi="Arial" w:cs="Arial"/>
          <w:sz w:val="22"/>
          <w:szCs w:val="22"/>
        </w:rPr>
        <w:t>for each of the outputs.</w:t>
      </w:r>
      <w:r w:rsidR="007C35C5" w:rsidRPr="008E106E">
        <w:rPr>
          <w:rFonts w:ascii="Arial" w:hAnsi="Arial" w:cs="Arial"/>
          <w:sz w:val="22"/>
          <w:szCs w:val="22"/>
        </w:rPr>
        <w:t xml:space="preserve"> </w:t>
      </w:r>
      <w:r w:rsidR="007B2319" w:rsidRPr="008E106E">
        <w:rPr>
          <w:rFonts w:ascii="Arial" w:hAnsi="Arial" w:cs="Arial"/>
          <w:sz w:val="22"/>
          <w:szCs w:val="22"/>
        </w:rPr>
        <w:t xml:space="preserve">The disbursements are based on the indicative pipeline of projects to be financed by the </w:t>
      </w:r>
      <w:r w:rsidR="00A7184B" w:rsidRPr="008E106E">
        <w:rPr>
          <w:rFonts w:ascii="Arial" w:hAnsi="Arial" w:cs="Arial"/>
          <w:sz w:val="22"/>
          <w:szCs w:val="22"/>
        </w:rPr>
        <w:t xml:space="preserve">operation </w:t>
      </w:r>
      <w:r w:rsidR="004F10AE" w:rsidRPr="008E106E">
        <w:rPr>
          <w:rFonts w:ascii="Arial" w:hAnsi="Arial" w:cs="Arial"/>
          <w:sz w:val="22"/>
          <w:szCs w:val="22"/>
        </w:rPr>
        <w:t xml:space="preserve">and the indicative allocations of </w:t>
      </w:r>
      <w:r w:rsidR="00A7184B" w:rsidRPr="008E106E">
        <w:rPr>
          <w:rFonts w:ascii="Arial" w:hAnsi="Arial" w:cs="Arial"/>
          <w:sz w:val="22"/>
          <w:szCs w:val="22"/>
        </w:rPr>
        <w:t xml:space="preserve">operation </w:t>
      </w:r>
      <w:r w:rsidR="004F10AE" w:rsidRPr="008E106E">
        <w:rPr>
          <w:rFonts w:ascii="Arial" w:hAnsi="Arial" w:cs="Arial"/>
          <w:sz w:val="22"/>
          <w:szCs w:val="22"/>
        </w:rPr>
        <w:t xml:space="preserve">resources </w:t>
      </w:r>
      <w:r w:rsidR="007516F1" w:rsidRPr="008E106E">
        <w:rPr>
          <w:rFonts w:ascii="Arial" w:hAnsi="Arial" w:cs="Arial"/>
          <w:sz w:val="22"/>
          <w:szCs w:val="22"/>
        </w:rPr>
        <w:t>between</w:t>
      </w:r>
      <w:r w:rsidR="004F10AE" w:rsidRPr="008E106E">
        <w:rPr>
          <w:rFonts w:ascii="Arial" w:hAnsi="Arial" w:cs="Arial"/>
          <w:sz w:val="22"/>
          <w:szCs w:val="22"/>
        </w:rPr>
        <w:t xml:space="preserve"> projects</w:t>
      </w:r>
      <w:r w:rsidR="007516F1" w:rsidRPr="008E106E">
        <w:rPr>
          <w:rFonts w:ascii="Arial" w:hAnsi="Arial" w:cs="Arial"/>
          <w:sz w:val="22"/>
          <w:szCs w:val="22"/>
        </w:rPr>
        <w:t>.</w:t>
      </w:r>
      <w:r w:rsidR="007B2319" w:rsidRPr="008E106E">
        <w:rPr>
          <w:rStyle w:val="FootnoteReference"/>
          <w:rFonts w:ascii="Arial" w:hAnsi="Arial" w:cs="Arial"/>
          <w:sz w:val="22"/>
          <w:szCs w:val="22"/>
        </w:rPr>
        <w:footnoteReference w:id="4"/>
      </w:r>
      <w:r w:rsidR="007B2319" w:rsidRPr="008E106E">
        <w:rPr>
          <w:rFonts w:ascii="Arial" w:hAnsi="Arial" w:cs="Arial"/>
          <w:sz w:val="22"/>
          <w:szCs w:val="22"/>
        </w:rPr>
        <w:t xml:space="preserve"> </w:t>
      </w:r>
    </w:p>
    <w:p w14:paraId="352ED24E" w14:textId="173C0183" w:rsidR="006D4AA4" w:rsidRPr="008E106E" w:rsidRDefault="007C35C5" w:rsidP="007B2319">
      <w:pPr>
        <w:pStyle w:val="BodyText"/>
        <w:rPr>
          <w:rFonts w:ascii="Arial" w:hAnsi="Arial" w:cs="Arial"/>
          <w:sz w:val="22"/>
          <w:szCs w:val="22"/>
        </w:rPr>
      </w:pPr>
      <w:r w:rsidRPr="008E106E">
        <w:rPr>
          <w:rFonts w:ascii="Arial" w:hAnsi="Arial" w:cs="Arial"/>
          <w:sz w:val="22"/>
          <w:szCs w:val="22"/>
        </w:rPr>
        <w:t xml:space="preserve">The IDB and </w:t>
      </w:r>
      <w:r w:rsidR="007B2319" w:rsidRPr="008E106E">
        <w:rPr>
          <w:rFonts w:ascii="Arial" w:hAnsi="Arial" w:cs="Arial"/>
          <w:sz w:val="22"/>
          <w:szCs w:val="22"/>
        </w:rPr>
        <w:t>the</w:t>
      </w:r>
      <w:r w:rsidR="00CF2968" w:rsidRPr="008E106E">
        <w:rPr>
          <w:rFonts w:ascii="Arial" w:hAnsi="Arial" w:cs="Arial"/>
          <w:sz w:val="22"/>
          <w:szCs w:val="22"/>
        </w:rPr>
        <w:t xml:space="preserve"> CDB</w:t>
      </w:r>
      <w:r w:rsidRPr="008E106E">
        <w:rPr>
          <w:rFonts w:ascii="Arial" w:hAnsi="Arial" w:cs="Arial"/>
          <w:sz w:val="22"/>
          <w:szCs w:val="22"/>
        </w:rPr>
        <w:t xml:space="preserve"> will refine these planned financial disbursements at the start of the Program</w:t>
      </w:r>
      <w:r w:rsidR="007B2319" w:rsidRPr="008E106E">
        <w:rPr>
          <w:rFonts w:ascii="Arial" w:hAnsi="Arial" w:cs="Arial"/>
          <w:sz w:val="22"/>
          <w:szCs w:val="22"/>
        </w:rPr>
        <w:t xml:space="preserve"> when the project pipeline has been advanced</w:t>
      </w:r>
      <w:r w:rsidRPr="008E106E">
        <w:rPr>
          <w:rFonts w:ascii="Arial" w:hAnsi="Arial" w:cs="Arial"/>
          <w:sz w:val="22"/>
          <w:szCs w:val="22"/>
        </w:rPr>
        <w:t xml:space="preserve">. The IDB will include these planned disbursements as targets in the Project Monitoring Report </w:t>
      </w:r>
      <w:r w:rsidR="002A4FDD" w:rsidRPr="008E106E">
        <w:rPr>
          <w:rFonts w:ascii="Arial" w:hAnsi="Arial" w:cs="Arial"/>
          <w:sz w:val="22"/>
          <w:szCs w:val="22"/>
        </w:rPr>
        <w:t xml:space="preserve">(PMR) </w:t>
      </w:r>
      <w:r w:rsidRPr="008E106E">
        <w:rPr>
          <w:rFonts w:ascii="Arial" w:hAnsi="Arial" w:cs="Arial"/>
          <w:sz w:val="22"/>
          <w:szCs w:val="22"/>
        </w:rPr>
        <w:t xml:space="preserve">and will </w:t>
      </w:r>
      <w:r w:rsidR="002A4FDD" w:rsidRPr="008E106E">
        <w:rPr>
          <w:rFonts w:ascii="Arial" w:hAnsi="Arial" w:cs="Arial"/>
          <w:sz w:val="22"/>
          <w:szCs w:val="22"/>
        </w:rPr>
        <w:t xml:space="preserve">track </w:t>
      </w:r>
      <w:r w:rsidRPr="008E106E">
        <w:rPr>
          <w:rFonts w:ascii="Arial" w:hAnsi="Arial" w:cs="Arial"/>
          <w:sz w:val="22"/>
          <w:szCs w:val="22"/>
        </w:rPr>
        <w:t xml:space="preserve">actual disbursements </w:t>
      </w:r>
      <w:r w:rsidR="002A4FDD" w:rsidRPr="008E106E">
        <w:rPr>
          <w:rFonts w:ascii="Arial" w:hAnsi="Arial" w:cs="Arial"/>
          <w:sz w:val="22"/>
          <w:szCs w:val="22"/>
        </w:rPr>
        <w:t xml:space="preserve">against these targets to monitor the progress of financial disbursements during implementation. </w:t>
      </w:r>
    </w:p>
    <w:p w14:paraId="47806D8B" w14:textId="44E18C77" w:rsidR="00630CA6" w:rsidRPr="008E106E" w:rsidRDefault="00630CA6">
      <w:pPr>
        <w:pStyle w:val="Caption"/>
        <w:rPr>
          <w:rFonts w:ascii="Arial" w:hAnsi="Arial" w:cs="Arial"/>
          <w:sz w:val="22"/>
          <w:szCs w:val="22"/>
        </w:rPr>
      </w:pPr>
      <w:bookmarkStart w:id="27" w:name="_Ref422893208"/>
      <w:bookmarkStart w:id="28" w:name="_Toc423458252"/>
      <w:r w:rsidRPr="008E106E">
        <w:rPr>
          <w:rFonts w:ascii="Arial" w:hAnsi="Arial" w:cs="Arial"/>
          <w:sz w:val="22"/>
          <w:szCs w:val="22"/>
        </w:rPr>
        <w:t xml:space="preserve">Table </w:t>
      </w:r>
      <w:r w:rsidR="00B75A47" w:rsidRPr="008E106E">
        <w:rPr>
          <w:rFonts w:ascii="Arial" w:hAnsi="Arial" w:cs="Arial"/>
          <w:sz w:val="22"/>
          <w:szCs w:val="22"/>
        </w:rPr>
        <w:fldChar w:fldCharType="begin"/>
      </w:r>
      <w:r w:rsidR="00B75A47" w:rsidRPr="008E106E">
        <w:rPr>
          <w:rFonts w:ascii="Arial" w:hAnsi="Arial" w:cs="Arial"/>
          <w:sz w:val="22"/>
          <w:szCs w:val="22"/>
        </w:rPr>
        <w:instrText xml:space="preserve"> STYLEREF 1 \s </w:instrText>
      </w:r>
      <w:r w:rsidR="00B75A47" w:rsidRPr="008E106E">
        <w:rPr>
          <w:rFonts w:ascii="Arial" w:hAnsi="Arial" w:cs="Arial"/>
          <w:sz w:val="22"/>
          <w:szCs w:val="22"/>
        </w:rPr>
        <w:fldChar w:fldCharType="separate"/>
      </w:r>
      <w:r w:rsidR="00B75A47" w:rsidRPr="008E106E">
        <w:rPr>
          <w:rFonts w:ascii="Arial" w:hAnsi="Arial" w:cs="Arial"/>
          <w:noProof/>
          <w:sz w:val="22"/>
          <w:szCs w:val="22"/>
        </w:rPr>
        <w:t>2</w:t>
      </w:r>
      <w:r w:rsidR="00B75A47" w:rsidRPr="008E106E">
        <w:rPr>
          <w:rFonts w:ascii="Arial" w:hAnsi="Arial" w:cs="Arial"/>
          <w:noProof/>
          <w:sz w:val="22"/>
          <w:szCs w:val="22"/>
        </w:rPr>
        <w:fldChar w:fldCharType="end"/>
      </w:r>
      <w:r w:rsidRPr="008E106E">
        <w:rPr>
          <w:rFonts w:ascii="Arial" w:hAnsi="Arial" w:cs="Arial"/>
          <w:sz w:val="22"/>
          <w:szCs w:val="22"/>
        </w:rPr>
        <w:t>.</w:t>
      </w:r>
      <w:r w:rsidR="005870B7" w:rsidRPr="008E106E">
        <w:rPr>
          <w:rFonts w:ascii="Arial" w:hAnsi="Arial" w:cs="Arial"/>
          <w:sz w:val="22"/>
          <w:szCs w:val="22"/>
        </w:rPr>
        <w:fldChar w:fldCharType="begin"/>
      </w:r>
      <w:r w:rsidR="005870B7" w:rsidRPr="008E106E">
        <w:rPr>
          <w:rFonts w:ascii="Arial" w:hAnsi="Arial" w:cs="Arial"/>
          <w:sz w:val="22"/>
          <w:szCs w:val="22"/>
        </w:rPr>
        <w:instrText xml:space="preserve"> SEQ Table \* ARABIC \s 1 </w:instrText>
      </w:r>
      <w:r w:rsidR="005870B7" w:rsidRPr="008E106E">
        <w:rPr>
          <w:rFonts w:ascii="Arial" w:hAnsi="Arial" w:cs="Arial"/>
          <w:sz w:val="22"/>
          <w:szCs w:val="22"/>
        </w:rPr>
        <w:fldChar w:fldCharType="separate"/>
      </w:r>
      <w:r w:rsidR="00B75A47" w:rsidRPr="008E106E">
        <w:rPr>
          <w:rFonts w:ascii="Arial" w:hAnsi="Arial" w:cs="Arial"/>
          <w:noProof/>
          <w:sz w:val="22"/>
          <w:szCs w:val="22"/>
        </w:rPr>
        <w:t>2</w:t>
      </w:r>
      <w:r w:rsidR="005870B7" w:rsidRPr="008E106E">
        <w:rPr>
          <w:rFonts w:ascii="Arial" w:hAnsi="Arial" w:cs="Arial"/>
          <w:noProof/>
          <w:sz w:val="22"/>
          <w:szCs w:val="22"/>
        </w:rPr>
        <w:fldChar w:fldCharType="end"/>
      </w:r>
      <w:bookmarkEnd w:id="27"/>
      <w:r w:rsidRPr="008E106E">
        <w:rPr>
          <w:rFonts w:ascii="Arial" w:hAnsi="Arial" w:cs="Arial"/>
          <w:sz w:val="22"/>
          <w:szCs w:val="22"/>
        </w:rPr>
        <w:t>: Annual Costs by Output</w:t>
      </w:r>
      <w:r w:rsidR="00231DB9" w:rsidRPr="008E106E">
        <w:rPr>
          <w:rFonts w:ascii="Arial" w:hAnsi="Arial" w:cs="Arial"/>
          <w:sz w:val="22"/>
          <w:szCs w:val="22"/>
        </w:rPr>
        <w:t xml:space="preserve"> (US$</w:t>
      </w:r>
      <w:r w:rsidR="004F10AE" w:rsidRPr="008E106E">
        <w:rPr>
          <w:rFonts w:ascii="Arial" w:hAnsi="Arial" w:cs="Arial"/>
          <w:sz w:val="22"/>
          <w:szCs w:val="22"/>
        </w:rPr>
        <w:t xml:space="preserve"> millions</w:t>
      </w:r>
      <w:r w:rsidR="00231DB9" w:rsidRPr="008E106E">
        <w:rPr>
          <w:rFonts w:ascii="Arial" w:hAnsi="Arial" w:cs="Arial"/>
          <w:sz w:val="22"/>
          <w:szCs w:val="22"/>
        </w:rPr>
        <w:t>)</w:t>
      </w:r>
      <w:bookmarkEnd w:id="28"/>
    </w:p>
    <w:tbl>
      <w:tblPr>
        <w:tblW w:w="9805" w:type="dxa"/>
        <w:tblLayout w:type="fixed"/>
        <w:tblLook w:val="04A0" w:firstRow="1" w:lastRow="0" w:firstColumn="1" w:lastColumn="0" w:noHBand="0" w:noVBand="1"/>
      </w:tblPr>
      <w:tblGrid>
        <w:gridCol w:w="2522"/>
        <w:gridCol w:w="898"/>
        <w:gridCol w:w="913"/>
        <w:gridCol w:w="930"/>
        <w:gridCol w:w="767"/>
        <w:gridCol w:w="694"/>
        <w:gridCol w:w="694"/>
        <w:gridCol w:w="729"/>
        <w:gridCol w:w="729"/>
        <w:gridCol w:w="929"/>
      </w:tblGrid>
      <w:tr w:rsidR="00A7184B" w:rsidRPr="00337DB9" w14:paraId="46225A05" w14:textId="77777777" w:rsidTr="00690D98">
        <w:trPr>
          <w:trHeight w:val="600"/>
        </w:trPr>
        <w:tc>
          <w:tcPr>
            <w:tcW w:w="252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620060D" w14:textId="77777777" w:rsidR="00A7184B" w:rsidRPr="00337DB9" w:rsidRDefault="00A7184B" w:rsidP="00A7184B">
            <w:pPr>
              <w:jc w:val="left"/>
              <w:rPr>
                <w:rFonts w:ascii="Arial" w:hAnsi="Arial" w:cs="Arial"/>
                <w:b/>
                <w:bCs/>
                <w:color w:val="000000"/>
                <w:sz w:val="20"/>
                <w:szCs w:val="20"/>
                <w:lang w:eastAsia="en-US"/>
              </w:rPr>
            </w:pPr>
            <w:bookmarkStart w:id="29" w:name="_Hlk512581721"/>
            <w:r w:rsidRPr="00337DB9">
              <w:rPr>
                <w:rFonts w:ascii="Arial" w:hAnsi="Arial" w:cs="Arial"/>
                <w:b/>
                <w:bCs/>
                <w:color w:val="000000"/>
                <w:sz w:val="20"/>
                <w:szCs w:val="20"/>
                <w:lang w:eastAsia="en-US"/>
              </w:rPr>
              <w:t>Outputs</w:t>
            </w:r>
          </w:p>
        </w:tc>
        <w:tc>
          <w:tcPr>
            <w:tcW w:w="898" w:type="dxa"/>
            <w:tcBorders>
              <w:top w:val="single" w:sz="4" w:space="0" w:color="auto"/>
              <w:left w:val="nil"/>
              <w:bottom w:val="single" w:sz="4" w:space="0" w:color="auto"/>
              <w:right w:val="single" w:sz="4" w:space="0" w:color="auto"/>
            </w:tcBorders>
            <w:shd w:val="clear" w:color="000000" w:fill="D9D9D9"/>
            <w:vAlign w:val="center"/>
            <w:hideMark/>
          </w:tcPr>
          <w:p w14:paraId="0594FBFD" w14:textId="77777777" w:rsidR="00A7184B" w:rsidRPr="00337DB9" w:rsidRDefault="00A7184B" w:rsidP="00A7184B">
            <w:pPr>
              <w:jc w:val="left"/>
              <w:rPr>
                <w:rFonts w:ascii="Arial" w:hAnsi="Arial" w:cs="Arial"/>
                <w:b/>
                <w:bCs/>
                <w:color w:val="000000"/>
                <w:sz w:val="20"/>
                <w:szCs w:val="20"/>
                <w:lang w:eastAsia="en-US"/>
              </w:rPr>
            </w:pPr>
            <w:r w:rsidRPr="00337DB9">
              <w:rPr>
                <w:rFonts w:ascii="Arial" w:hAnsi="Arial" w:cs="Arial"/>
                <w:b/>
                <w:bCs/>
                <w:color w:val="000000"/>
                <w:sz w:val="20"/>
                <w:szCs w:val="20"/>
                <w:lang w:eastAsia="en-US"/>
              </w:rPr>
              <w:t>Year 1</w:t>
            </w:r>
          </w:p>
        </w:tc>
        <w:tc>
          <w:tcPr>
            <w:tcW w:w="913" w:type="dxa"/>
            <w:tcBorders>
              <w:top w:val="single" w:sz="4" w:space="0" w:color="auto"/>
              <w:left w:val="nil"/>
              <w:bottom w:val="single" w:sz="4" w:space="0" w:color="auto"/>
              <w:right w:val="single" w:sz="4" w:space="0" w:color="auto"/>
            </w:tcBorders>
            <w:shd w:val="clear" w:color="000000" w:fill="D9D9D9"/>
            <w:vAlign w:val="center"/>
            <w:hideMark/>
          </w:tcPr>
          <w:p w14:paraId="3F93D587" w14:textId="77777777" w:rsidR="00A7184B" w:rsidRPr="00337DB9" w:rsidRDefault="00A7184B" w:rsidP="00A7184B">
            <w:pPr>
              <w:jc w:val="center"/>
              <w:rPr>
                <w:rFonts w:ascii="Arial" w:hAnsi="Arial" w:cs="Arial"/>
                <w:b/>
                <w:bCs/>
                <w:color w:val="000000"/>
                <w:sz w:val="20"/>
                <w:szCs w:val="20"/>
                <w:lang w:eastAsia="en-US"/>
              </w:rPr>
            </w:pPr>
            <w:r w:rsidRPr="00337DB9">
              <w:rPr>
                <w:rFonts w:ascii="Arial" w:hAnsi="Arial" w:cs="Arial"/>
                <w:b/>
                <w:bCs/>
                <w:color w:val="000000"/>
                <w:sz w:val="20"/>
                <w:szCs w:val="20"/>
                <w:lang w:eastAsia="en-US"/>
              </w:rPr>
              <w:t>Year 2</w:t>
            </w:r>
          </w:p>
        </w:tc>
        <w:tc>
          <w:tcPr>
            <w:tcW w:w="930" w:type="dxa"/>
            <w:tcBorders>
              <w:top w:val="single" w:sz="4" w:space="0" w:color="auto"/>
              <w:left w:val="nil"/>
              <w:bottom w:val="single" w:sz="4" w:space="0" w:color="auto"/>
              <w:right w:val="single" w:sz="4" w:space="0" w:color="auto"/>
            </w:tcBorders>
            <w:shd w:val="clear" w:color="000000" w:fill="D9D9D9"/>
            <w:vAlign w:val="center"/>
            <w:hideMark/>
          </w:tcPr>
          <w:p w14:paraId="257373DC" w14:textId="77777777" w:rsidR="00A7184B" w:rsidRPr="00337DB9" w:rsidRDefault="00A7184B" w:rsidP="00A7184B">
            <w:pPr>
              <w:jc w:val="center"/>
              <w:rPr>
                <w:rFonts w:ascii="Arial" w:hAnsi="Arial" w:cs="Arial"/>
                <w:b/>
                <w:bCs/>
                <w:color w:val="000000"/>
                <w:sz w:val="20"/>
                <w:szCs w:val="20"/>
                <w:lang w:eastAsia="en-US"/>
              </w:rPr>
            </w:pPr>
            <w:r w:rsidRPr="00337DB9">
              <w:rPr>
                <w:rFonts w:ascii="Arial" w:hAnsi="Arial" w:cs="Arial"/>
                <w:b/>
                <w:bCs/>
                <w:color w:val="000000"/>
                <w:sz w:val="20"/>
                <w:szCs w:val="20"/>
                <w:lang w:eastAsia="en-US"/>
              </w:rPr>
              <w:t>Year 3</w:t>
            </w:r>
          </w:p>
        </w:tc>
        <w:tc>
          <w:tcPr>
            <w:tcW w:w="767" w:type="dxa"/>
            <w:tcBorders>
              <w:top w:val="single" w:sz="4" w:space="0" w:color="auto"/>
              <w:left w:val="nil"/>
              <w:bottom w:val="single" w:sz="4" w:space="0" w:color="auto"/>
              <w:right w:val="single" w:sz="4" w:space="0" w:color="auto"/>
            </w:tcBorders>
            <w:shd w:val="clear" w:color="000000" w:fill="D9D9D9"/>
            <w:vAlign w:val="center"/>
            <w:hideMark/>
          </w:tcPr>
          <w:p w14:paraId="59309444" w14:textId="77777777" w:rsidR="00A7184B" w:rsidRPr="00337DB9" w:rsidRDefault="00A7184B" w:rsidP="00A7184B">
            <w:pPr>
              <w:jc w:val="center"/>
              <w:rPr>
                <w:rFonts w:ascii="Arial" w:hAnsi="Arial" w:cs="Arial"/>
                <w:b/>
                <w:bCs/>
                <w:color w:val="000000"/>
                <w:sz w:val="20"/>
                <w:szCs w:val="20"/>
                <w:lang w:eastAsia="en-US"/>
              </w:rPr>
            </w:pPr>
            <w:r w:rsidRPr="00337DB9">
              <w:rPr>
                <w:rFonts w:ascii="Arial" w:hAnsi="Arial" w:cs="Arial"/>
                <w:b/>
                <w:bCs/>
                <w:color w:val="000000"/>
                <w:sz w:val="20"/>
                <w:szCs w:val="20"/>
                <w:lang w:eastAsia="en-US"/>
              </w:rPr>
              <w:t>Year 4</w:t>
            </w:r>
          </w:p>
        </w:tc>
        <w:tc>
          <w:tcPr>
            <w:tcW w:w="694" w:type="dxa"/>
            <w:tcBorders>
              <w:top w:val="single" w:sz="4" w:space="0" w:color="auto"/>
              <w:left w:val="nil"/>
              <w:bottom w:val="single" w:sz="4" w:space="0" w:color="auto"/>
              <w:right w:val="single" w:sz="4" w:space="0" w:color="auto"/>
            </w:tcBorders>
            <w:shd w:val="clear" w:color="000000" w:fill="D9D9D9"/>
            <w:vAlign w:val="center"/>
            <w:hideMark/>
          </w:tcPr>
          <w:p w14:paraId="37B4CA46" w14:textId="77777777" w:rsidR="00A7184B" w:rsidRPr="00337DB9" w:rsidRDefault="00A7184B" w:rsidP="00A7184B">
            <w:pPr>
              <w:jc w:val="center"/>
              <w:rPr>
                <w:rFonts w:ascii="Arial" w:hAnsi="Arial" w:cs="Arial"/>
                <w:b/>
                <w:bCs/>
                <w:color w:val="000000"/>
                <w:sz w:val="20"/>
                <w:szCs w:val="20"/>
                <w:lang w:eastAsia="en-US"/>
              </w:rPr>
            </w:pPr>
            <w:r w:rsidRPr="00337DB9">
              <w:rPr>
                <w:rFonts w:ascii="Arial" w:hAnsi="Arial" w:cs="Arial"/>
                <w:b/>
                <w:bCs/>
                <w:color w:val="000000"/>
                <w:sz w:val="20"/>
                <w:szCs w:val="20"/>
                <w:lang w:eastAsia="en-US"/>
              </w:rPr>
              <w:t>Year 5</w:t>
            </w:r>
          </w:p>
        </w:tc>
        <w:tc>
          <w:tcPr>
            <w:tcW w:w="694" w:type="dxa"/>
            <w:tcBorders>
              <w:top w:val="single" w:sz="4" w:space="0" w:color="auto"/>
              <w:left w:val="nil"/>
              <w:bottom w:val="single" w:sz="4" w:space="0" w:color="auto"/>
              <w:right w:val="single" w:sz="4" w:space="0" w:color="auto"/>
            </w:tcBorders>
            <w:shd w:val="clear" w:color="000000" w:fill="D9D9D9"/>
            <w:vAlign w:val="center"/>
            <w:hideMark/>
          </w:tcPr>
          <w:p w14:paraId="2DC0A38A" w14:textId="77777777" w:rsidR="00A7184B" w:rsidRPr="00337DB9" w:rsidRDefault="00A7184B" w:rsidP="00A7184B">
            <w:pPr>
              <w:jc w:val="center"/>
              <w:rPr>
                <w:rFonts w:ascii="Arial" w:hAnsi="Arial" w:cs="Arial"/>
                <w:b/>
                <w:bCs/>
                <w:color w:val="000000"/>
                <w:sz w:val="20"/>
                <w:szCs w:val="20"/>
                <w:lang w:eastAsia="en-US"/>
              </w:rPr>
            </w:pPr>
            <w:r w:rsidRPr="00337DB9">
              <w:rPr>
                <w:rFonts w:ascii="Arial" w:hAnsi="Arial" w:cs="Arial"/>
                <w:b/>
                <w:bCs/>
                <w:color w:val="000000"/>
                <w:sz w:val="20"/>
                <w:szCs w:val="20"/>
                <w:lang w:eastAsia="en-US"/>
              </w:rPr>
              <w:t>Year 6</w:t>
            </w:r>
          </w:p>
        </w:tc>
        <w:tc>
          <w:tcPr>
            <w:tcW w:w="729" w:type="dxa"/>
            <w:tcBorders>
              <w:top w:val="single" w:sz="4" w:space="0" w:color="auto"/>
              <w:left w:val="nil"/>
              <w:bottom w:val="single" w:sz="4" w:space="0" w:color="auto"/>
              <w:right w:val="single" w:sz="4" w:space="0" w:color="auto"/>
            </w:tcBorders>
            <w:shd w:val="clear" w:color="000000" w:fill="D9D9D9"/>
            <w:vAlign w:val="center"/>
            <w:hideMark/>
          </w:tcPr>
          <w:p w14:paraId="524EC33E" w14:textId="77777777" w:rsidR="00A7184B" w:rsidRPr="00337DB9" w:rsidRDefault="00A7184B" w:rsidP="00A7184B">
            <w:pPr>
              <w:jc w:val="center"/>
              <w:rPr>
                <w:rFonts w:ascii="Arial" w:hAnsi="Arial" w:cs="Arial"/>
                <w:b/>
                <w:bCs/>
                <w:color w:val="000000"/>
                <w:sz w:val="20"/>
                <w:szCs w:val="20"/>
                <w:lang w:eastAsia="en-US"/>
              </w:rPr>
            </w:pPr>
            <w:r w:rsidRPr="00337DB9">
              <w:rPr>
                <w:rFonts w:ascii="Arial" w:hAnsi="Arial" w:cs="Arial"/>
                <w:b/>
                <w:bCs/>
                <w:color w:val="000000"/>
                <w:sz w:val="20"/>
                <w:szCs w:val="20"/>
                <w:lang w:eastAsia="en-US"/>
              </w:rPr>
              <w:t>Year 7</w:t>
            </w:r>
          </w:p>
        </w:tc>
        <w:tc>
          <w:tcPr>
            <w:tcW w:w="729" w:type="dxa"/>
            <w:tcBorders>
              <w:top w:val="single" w:sz="4" w:space="0" w:color="auto"/>
              <w:left w:val="nil"/>
              <w:bottom w:val="single" w:sz="4" w:space="0" w:color="auto"/>
              <w:right w:val="single" w:sz="4" w:space="0" w:color="auto"/>
            </w:tcBorders>
            <w:shd w:val="clear" w:color="000000" w:fill="D9D9D9"/>
            <w:vAlign w:val="center"/>
            <w:hideMark/>
          </w:tcPr>
          <w:p w14:paraId="32A500C2" w14:textId="77777777" w:rsidR="00A7184B" w:rsidRPr="00337DB9" w:rsidRDefault="00A7184B" w:rsidP="00A7184B">
            <w:pPr>
              <w:jc w:val="center"/>
              <w:rPr>
                <w:rFonts w:ascii="Arial" w:hAnsi="Arial" w:cs="Arial"/>
                <w:b/>
                <w:bCs/>
                <w:color w:val="000000"/>
                <w:sz w:val="20"/>
                <w:szCs w:val="20"/>
                <w:lang w:eastAsia="en-US"/>
              </w:rPr>
            </w:pPr>
            <w:r w:rsidRPr="00337DB9">
              <w:rPr>
                <w:rFonts w:ascii="Arial" w:hAnsi="Arial" w:cs="Arial"/>
                <w:b/>
                <w:bCs/>
                <w:color w:val="000000"/>
                <w:sz w:val="20"/>
                <w:szCs w:val="20"/>
                <w:lang w:eastAsia="en-US"/>
              </w:rPr>
              <w:t>Year 8</w:t>
            </w:r>
          </w:p>
        </w:tc>
        <w:tc>
          <w:tcPr>
            <w:tcW w:w="929" w:type="dxa"/>
            <w:tcBorders>
              <w:top w:val="single" w:sz="4" w:space="0" w:color="auto"/>
              <w:left w:val="nil"/>
              <w:bottom w:val="single" w:sz="4" w:space="0" w:color="auto"/>
              <w:right w:val="single" w:sz="4" w:space="0" w:color="auto"/>
            </w:tcBorders>
            <w:shd w:val="clear" w:color="000000" w:fill="D9D9D9"/>
            <w:vAlign w:val="center"/>
            <w:hideMark/>
          </w:tcPr>
          <w:p w14:paraId="7F1AE724" w14:textId="77777777" w:rsidR="00A7184B" w:rsidRPr="00337DB9" w:rsidRDefault="00A7184B" w:rsidP="00A7184B">
            <w:pPr>
              <w:jc w:val="left"/>
              <w:rPr>
                <w:rFonts w:ascii="Arial" w:hAnsi="Arial" w:cs="Arial"/>
                <w:b/>
                <w:bCs/>
                <w:color w:val="000000"/>
                <w:sz w:val="20"/>
                <w:szCs w:val="20"/>
                <w:lang w:eastAsia="en-US"/>
              </w:rPr>
            </w:pPr>
            <w:r w:rsidRPr="00337DB9">
              <w:rPr>
                <w:rFonts w:ascii="Arial" w:hAnsi="Arial" w:cs="Arial"/>
                <w:b/>
                <w:bCs/>
                <w:color w:val="000000"/>
                <w:sz w:val="20"/>
                <w:szCs w:val="20"/>
                <w:lang w:eastAsia="en-US"/>
              </w:rPr>
              <w:t>Target</w:t>
            </w:r>
          </w:p>
        </w:tc>
      </w:tr>
      <w:tr w:rsidR="00A7184B" w:rsidRPr="00337DB9" w14:paraId="09876311" w14:textId="77777777" w:rsidTr="00690D98">
        <w:trPr>
          <w:trHeight w:val="300"/>
        </w:trPr>
        <w:tc>
          <w:tcPr>
            <w:tcW w:w="9805" w:type="dxa"/>
            <w:gridSpan w:val="10"/>
            <w:tcBorders>
              <w:top w:val="single" w:sz="4" w:space="0" w:color="auto"/>
              <w:left w:val="single" w:sz="4" w:space="0" w:color="auto"/>
              <w:bottom w:val="single" w:sz="4" w:space="0" w:color="auto"/>
              <w:right w:val="single" w:sz="4" w:space="0" w:color="auto"/>
            </w:tcBorders>
            <w:shd w:val="clear" w:color="000000" w:fill="D9D9D9"/>
            <w:vAlign w:val="center"/>
            <w:hideMark/>
          </w:tcPr>
          <w:p w14:paraId="2EE45B18" w14:textId="77777777" w:rsidR="00A7184B" w:rsidRPr="00337DB9" w:rsidRDefault="00A7184B" w:rsidP="00A7184B">
            <w:pPr>
              <w:jc w:val="left"/>
              <w:rPr>
                <w:rFonts w:ascii="Arial" w:hAnsi="Arial" w:cs="Arial"/>
                <w:b/>
                <w:bCs/>
                <w:color w:val="000000"/>
                <w:sz w:val="20"/>
                <w:szCs w:val="20"/>
                <w:lang w:eastAsia="en-US"/>
              </w:rPr>
            </w:pPr>
            <w:r w:rsidRPr="00337DB9">
              <w:rPr>
                <w:rFonts w:ascii="Arial" w:hAnsi="Arial" w:cs="Arial"/>
                <w:b/>
                <w:bCs/>
                <w:color w:val="000000"/>
                <w:sz w:val="20"/>
                <w:szCs w:val="20"/>
                <w:lang w:eastAsia="en-US"/>
              </w:rPr>
              <w:t xml:space="preserve"> Component 1 – GE project development</w:t>
            </w:r>
          </w:p>
        </w:tc>
      </w:tr>
      <w:tr w:rsidR="001B777E" w:rsidRPr="00337DB9" w14:paraId="3371B62F" w14:textId="77777777" w:rsidTr="001B777E">
        <w:trPr>
          <w:trHeight w:val="1710"/>
        </w:trPr>
        <w:tc>
          <w:tcPr>
            <w:tcW w:w="2522" w:type="dxa"/>
            <w:tcBorders>
              <w:top w:val="nil"/>
              <w:left w:val="single" w:sz="4" w:space="0" w:color="auto"/>
              <w:bottom w:val="single" w:sz="4" w:space="0" w:color="auto"/>
              <w:right w:val="single" w:sz="4" w:space="0" w:color="auto"/>
            </w:tcBorders>
            <w:shd w:val="clear" w:color="auto" w:fill="auto"/>
            <w:vAlign w:val="center"/>
            <w:hideMark/>
          </w:tcPr>
          <w:p w14:paraId="29F03142" w14:textId="6DD7F69E" w:rsidR="00A7184B" w:rsidRPr="00337DB9" w:rsidRDefault="00A7184B" w:rsidP="00A7184B">
            <w:pPr>
              <w:jc w:val="left"/>
              <w:rPr>
                <w:rFonts w:ascii="Arial" w:hAnsi="Arial" w:cs="Arial"/>
                <w:color w:val="000000"/>
                <w:sz w:val="20"/>
                <w:szCs w:val="20"/>
                <w:lang w:eastAsia="en-US"/>
              </w:rPr>
            </w:pPr>
            <w:r w:rsidRPr="00337DB9">
              <w:rPr>
                <w:rFonts w:ascii="Arial" w:hAnsi="Arial" w:cs="Arial"/>
                <w:color w:val="000000"/>
                <w:sz w:val="20"/>
                <w:szCs w:val="20"/>
                <w:lang w:eastAsia="en-US"/>
              </w:rPr>
              <w:t>Grants provided to geothermal projects for doing pre-fea</w:t>
            </w:r>
            <w:r w:rsidR="00427F30" w:rsidRPr="00337DB9">
              <w:rPr>
                <w:rFonts w:ascii="Arial" w:hAnsi="Arial" w:cs="Arial"/>
                <w:color w:val="000000"/>
                <w:sz w:val="20"/>
                <w:szCs w:val="20"/>
                <w:lang w:eastAsia="en-US"/>
              </w:rPr>
              <w:t>si</w:t>
            </w:r>
            <w:r w:rsidRPr="00337DB9">
              <w:rPr>
                <w:rFonts w:ascii="Arial" w:hAnsi="Arial" w:cs="Arial"/>
                <w:color w:val="000000"/>
                <w:sz w:val="20"/>
                <w:szCs w:val="20"/>
                <w:lang w:eastAsia="en-US"/>
              </w:rPr>
              <w:t>bility studies required to identify promising exploratory drilling sites</w:t>
            </w:r>
          </w:p>
        </w:tc>
        <w:tc>
          <w:tcPr>
            <w:tcW w:w="898" w:type="dxa"/>
            <w:tcBorders>
              <w:top w:val="nil"/>
              <w:left w:val="nil"/>
              <w:bottom w:val="single" w:sz="4" w:space="0" w:color="auto"/>
              <w:right w:val="single" w:sz="4" w:space="0" w:color="auto"/>
            </w:tcBorders>
            <w:shd w:val="clear" w:color="auto" w:fill="auto"/>
            <w:vAlign w:val="center"/>
            <w:hideMark/>
          </w:tcPr>
          <w:p w14:paraId="73EEBCB8" w14:textId="77777777" w:rsidR="003015DA" w:rsidRPr="00337DB9" w:rsidRDefault="003015DA" w:rsidP="00A7184B">
            <w:pPr>
              <w:jc w:val="center"/>
              <w:rPr>
                <w:rFonts w:ascii="Arial" w:hAnsi="Arial" w:cs="Arial"/>
                <w:color w:val="000000"/>
                <w:sz w:val="20"/>
                <w:szCs w:val="20"/>
                <w:lang w:eastAsia="en-US"/>
              </w:rPr>
            </w:pPr>
          </w:p>
          <w:p w14:paraId="7E9E7FA6" w14:textId="7263A646" w:rsidR="00A7184B" w:rsidRPr="00337DB9" w:rsidRDefault="00DF6649" w:rsidP="00A7184B">
            <w:pPr>
              <w:jc w:val="center"/>
              <w:rPr>
                <w:rFonts w:ascii="Arial" w:hAnsi="Arial" w:cs="Arial"/>
                <w:color w:val="000000"/>
                <w:sz w:val="20"/>
                <w:szCs w:val="20"/>
                <w:lang w:eastAsia="en-US"/>
              </w:rPr>
            </w:pPr>
            <w:r w:rsidRPr="00337DB9">
              <w:rPr>
                <w:rFonts w:ascii="Arial" w:hAnsi="Arial" w:cs="Arial"/>
                <w:color w:val="000000"/>
                <w:sz w:val="20"/>
                <w:szCs w:val="20"/>
                <w:lang w:eastAsia="en-US"/>
              </w:rPr>
              <w:t>0.39</w:t>
            </w:r>
            <w:r w:rsidR="00A7184B" w:rsidRPr="00337DB9">
              <w:rPr>
                <w:rFonts w:ascii="Arial" w:hAnsi="Arial" w:cs="Arial"/>
                <w:color w:val="000000"/>
                <w:sz w:val="20"/>
                <w:szCs w:val="20"/>
                <w:lang w:eastAsia="en-US"/>
              </w:rPr>
              <w:t> </w:t>
            </w:r>
          </w:p>
        </w:tc>
        <w:tc>
          <w:tcPr>
            <w:tcW w:w="913" w:type="dxa"/>
            <w:tcBorders>
              <w:top w:val="nil"/>
              <w:left w:val="nil"/>
              <w:bottom w:val="single" w:sz="4" w:space="0" w:color="auto"/>
              <w:right w:val="single" w:sz="4" w:space="0" w:color="auto"/>
            </w:tcBorders>
            <w:shd w:val="clear" w:color="auto" w:fill="auto"/>
            <w:vAlign w:val="center"/>
            <w:hideMark/>
          </w:tcPr>
          <w:p w14:paraId="2193F8DF" w14:textId="7D2A059B" w:rsidR="00A7184B" w:rsidRPr="00337DB9" w:rsidRDefault="00A7184B" w:rsidP="00A7184B">
            <w:pPr>
              <w:jc w:val="center"/>
              <w:rPr>
                <w:rFonts w:ascii="Arial" w:hAnsi="Arial" w:cs="Arial"/>
                <w:color w:val="000000"/>
                <w:sz w:val="20"/>
                <w:szCs w:val="20"/>
                <w:lang w:eastAsia="en-US"/>
              </w:rPr>
            </w:pPr>
            <w:r w:rsidRPr="00337DB9">
              <w:rPr>
                <w:rFonts w:ascii="Arial" w:hAnsi="Arial" w:cs="Arial"/>
                <w:color w:val="000000"/>
                <w:sz w:val="20"/>
                <w:szCs w:val="20"/>
                <w:lang w:eastAsia="en-US"/>
              </w:rPr>
              <w:t xml:space="preserve">       </w:t>
            </w:r>
            <w:r w:rsidR="00DF6649" w:rsidRPr="00337DB9">
              <w:rPr>
                <w:rFonts w:ascii="Arial" w:hAnsi="Arial" w:cs="Arial"/>
                <w:color w:val="000000"/>
                <w:sz w:val="20"/>
                <w:szCs w:val="20"/>
                <w:lang w:eastAsia="en-US"/>
              </w:rPr>
              <w:t>2.67</w:t>
            </w:r>
            <w:r w:rsidRPr="00337DB9">
              <w:rPr>
                <w:rFonts w:ascii="Arial" w:hAnsi="Arial" w:cs="Arial"/>
                <w:color w:val="000000"/>
                <w:sz w:val="20"/>
                <w:szCs w:val="20"/>
                <w:lang w:eastAsia="en-US"/>
              </w:rPr>
              <w:t xml:space="preserve"> </w:t>
            </w:r>
          </w:p>
        </w:tc>
        <w:tc>
          <w:tcPr>
            <w:tcW w:w="930" w:type="dxa"/>
            <w:tcBorders>
              <w:top w:val="nil"/>
              <w:left w:val="nil"/>
              <w:bottom w:val="single" w:sz="4" w:space="0" w:color="auto"/>
              <w:right w:val="single" w:sz="4" w:space="0" w:color="auto"/>
            </w:tcBorders>
            <w:shd w:val="clear" w:color="auto" w:fill="auto"/>
            <w:vAlign w:val="center"/>
            <w:hideMark/>
          </w:tcPr>
          <w:p w14:paraId="44BF3656" w14:textId="502602E5" w:rsidR="00A7184B" w:rsidRPr="00337DB9" w:rsidRDefault="00A7184B" w:rsidP="00A7184B">
            <w:pPr>
              <w:jc w:val="center"/>
              <w:rPr>
                <w:rFonts w:ascii="Arial" w:hAnsi="Arial" w:cs="Arial"/>
                <w:color w:val="000000"/>
                <w:sz w:val="20"/>
                <w:szCs w:val="20"/>
                <w:lang w:eastAsia="en-US"/>
              </w:rPr>
            </w:pPr>
            <w:r w:rsidRPr="00337DB9">
              <w:rPr>
                <w:rFonts w:ascii="Arial" w:hAnsi="Arial" w:cs="Arial"/>
                <w:color w:val="000000"/>
                <w:sz w:val="20"/>
                <w:szCs w:val="20"/>
                <w:lang w:eastAsia="en-US"/>
              </w:rPr>
              <w:t xml:space="preserve">       </w:t>
            </w:r>
            <w:r w:rsidR="00DF6649" w:rsidRPr="00337DB9">
              <w:rPr>
                <w:rFonts w:ascii="Arial" w:hAnsi="Arial" w:cs="Arial"/>
                <w:color w:val="000000"/>
                <w:sz w:val="20"/>
                <w:szCs w:val="20"/>
                <w:lang w:eastAsia="en-US"/>
              </w:rPr>
              <w:t>1.39</w:t>
            </w:r>
            <w:r w:rsidRPr="00337DB9">
              <w:rPr>
                <w:rFonts w:ascii="Arial" w:hAnsi="Arial" w:cs="Arial"/>
                <w:color w:val="000000"/>
                <w:sz w:val="20"/>
                <w:szCs w:val="20"/>
                <w:lang w:eastAsia="en-US"/>
              </w:rPr>
              <w:t xml:space="preserve"> </w:t>
            </w:r>
          </w:p>
        </w:tc>
        <w:tc>
          <w:tcPr>
            <w:tcW w:w="767" w:type="dxa"/>
            <w:tcBorders>
              <w:top w:val="nil"/>
              <w:left w:val="nil"/>
              <w:bottom w:val="single" w:sz="4" w:space="0" w:color="auto"/>
              <w:right w:val="single" w:sz="4" w:space="0" w:color="auto"/>
            </w:tcBorders>
            <w:shd w:val="clear" w:color="auto" w:fill="auto"/>
            <w:vAlign w:val="center"/>
            <w:hideMark/>
          </w:tcPr>
          <w:p w14:paraId="76946B56" w14:textId="5D49E122" w:rsidR="00A7184B" w:rsidRPr="00337DB9" w:rsidRDefault="00A7184B" w:rsidP="00A7184B">
            <w:pPr>
              <w:jc w:val="center"/>
              <w:rPr>
                <w:rFonts w:ascii="Arial" w:hAnsi="Arial" w:cs="Arial"/>
                <w:color w:val="000000"/>
                <w:sz w:val="20"/>
                <w:szCs w:val="20"/>
                <w:lang w:eastAsia="en-US"/>
              </w:rPr>
            </w:pPr>
            <w:r w:rsidRPr="00337DB9">
              <w:rPr>
                <w:rFonts w:ascii="Arial" w:hAnsi="Arial" w:cs="Arial"/>
                <w:color w:val="000000"/>
                <w:sz w:val="20"/>
                <w:szCs w:val="20"/>
                <w:lang w:eastAsia="en-US"/>
              </w:rPr>
              <w:t xml:space="preserve">   </w:t>
            </w:r>
          </w:p>
        </w:tc>
        <w:tc>
          <w:tcPr>
            <w:tcW w:w="694" w:type="dxa"/>
            <w:tcBorders>
              <w:top w:val="nil"/>
              <w:left w:val="nil"/>
              <w:bottom w:val="single" w:sz="4" w:space="0" w:color="auto"/>
              <w:right w:val="single" w:sz="4" w:space="0" w:color="auto"/>
            </w:tcBorders>
            <w:shd w:val="clear" w:color="auto" w:fill="auto"/>
            <w:vAlign w:val="center"/>
            <w:hideMark/>
          </w:tcPr>
          <w:p w14:paraId="36E6CA3D" w14:textId="77777777" w:rsidR="00A7184B" w:rsidRPr="00337DB9" w:rsidRDefault="00A7184B" w:rsidP="00A7184B">
            <w:pPr>
              <w:jc w:val="center"/>
              <w:rPr>
                <w:rFonts w:ascii="Arial" w:hAnsi="Arial" w:cs="Arial"/>
                <w:color w:val="000000"/>
                <w:sz w:val="20"/>
                <w:szCs w:val="20"/>
                <w:lang w:eastAsia="en-US"/>
              </w:rPr>
            </w:pPr>
            <w:r w:rsidRPr="00337DB9">
              <w:rPr>
                <w:rFonts w:ascii="Arial" w:hAnsi="Arial" w:cs="Arial"/>
                <w:color w:val="000000"/>
                <w:sz w:val="20"/>
                <w:szCs w:val="20"/>
                <w:lang w:eastAsia="en-US"/>
              </w:rPr>
              <w:t> </w:t>
            </w:r>
          </w:p>
        </w:tc>
        <w:tc>
          <w:tcPr>
            <w:tcW w:w="694" w:type="dxa"/>
            <w:tcBorders>
              <w:top w:val="nil"/>
              <w:left w:val="nil"/>
              <w:bottom w:val="single" w:sz="4" w:space="0" w:color="auto"/>
              <w:right w:val="single" w:sz="4" w:space="0" w:color="auto"/>
            </w:tcBorders>
            <w:shd w:val="clear" w:color="auto" w:fill="auto"/>
            <w:vAlign w:val="center"/>
            <w:hideMark/>
          </w:tcPr>
          <w:p w14:paraId="4EE953B6" w14:textId="77777777" w:rsidR="00A7184B" w:rsidRPr="00337DB9" w:rsidRDefault="00A7184B" w:rsidP="00A7184B">
            <w:pPr>
              <w:jc w:val="center"/>
              <w:rPr>
                <w:rFonts w:ascii="Arial" w:hAnsi="Arial" w:cs="Arial"/>
                <w:color w:val="000000"/>
                <w:sz w:val="20"/>
                <w:szCs w:val="20"/>
                <w:lang w:eastAsia="en-US"/>
              </w:rPr>
            </w:pPr>
            <w:r w:rsidRPr="00337DB9">
              <w:rPr>
                <w:rFonts w:ascii="Arial" w:hAnsi="Arial" w:cs="Arial"/>
                <w:color w:val="000000"/>
                <w:sz w:val="20"/>
                <w:szCs w:val="20"/>
                <w:lang w:eastAsia="en-US"/>
              </w:rPr>
              <w:t> </w:t>
            </w:r>
          </w:p>
        </w:tc>
        <w:tc>
          <w:tcPr>
            <w:tcW w:w="729" w:type="dxa"/>
            <w:tcBorders>
              <w:top w:val="nil"/>
              <w:left w:val="nil"/>
              <w:bottom w:val="single" w:sz="4" w:space="0" w:color="auto"/>
              <w:right w:val="single" w:sz="4" w:space="0" w:color="auto"/>
            </w:tcBorders>
            <w:shd w:val="clear" w:color="auto" w:fill="auto"/>
            <w:vAlign w:val="center"/>
            <w:hideMark/>
          </w:tcPr>
          <w:p w14:paraId="683D46E1" w14:textId="77777777" w:rsidR="00A7184B" w:rsidRPr="00337DB9" w:rsidRDefault="00A7184B" w:rsidP="00A7184B">
            <w:pPr>
              <w:jc w:val="center"/>
              <w:rPr>
                <w:rFonts w:ascii="Arial" w:hAnsi="Arial" w:cs="Arial"/>
                <w:color w:val="000000"/>
                <w:sz w:val="20"/>
                <w:szCs w:val="20"/>
                <w:lang w:eastAsia="en-US"/>
              </w:rPr>
            </w:pPr>
            <w:r w:rsidRPr="00337DB9">
              <w:rPr>
                <w:rFonts w:ascii="Arial" w:hAnsi="Arial" w:cs="Arial"/>
                <w:color w:val="000000"/>
                <w:sz w:val="20"/>
                <w:szCs w:val="20"/>
                <w:lang w:eastAsia="en-US"/>
              </w:rPr>
              <w:t> </w:t>
            </w:r>
          </w:p>
        </w:tc>
        <w:tc>
          <w:tcPr>
            <w:tcW w:w="729" w:type="dxa"/>
            <w:tcBorders>
              <w:top w:val="nil"/>
              <w:left w:val="nil"/>
              <w:bottom w:val="single" w:sz="4" w:space="0" w:color="auto"/>
              <w:right w:val="single" w:sz="4" w:space="0" w:color="auto"/>
            </w:tcBorders>
            <w:shd w:val="clear" w:color="auto" w:fill="auto"/>
            <w:vAlign w:val="center"/>
            <w:hideMark/>
          </w:tcPr>
          <w:p w14:paraId="11D516CF" w14:textId="77777777" w:rsidR="00A7184B" w:rsidRPr="00337DB9" w:rsidRDefault="00A7184B" w:rsidP="00A7184B">
            <w:pPr>
              <w:jc w:val="center"/>
              <w:rPr>
                <w:rFonts w:ascii="Arial" w:hAnsi="Arial" w:cs="Arial"/>
                <w:color w:val="000000"/>
                <w:sz w:val="20"/>
                <w:szCs w:val="20"/>
                <w:lang w:eastAsia="en-US"/>
              </w:rPr>
            </w:pPr>
            <w:r w:rsidRPr="00337DB9">
              <w:rPr>
                <w:rFonts w:ascii="Arial" w:hAnsi="Arial" w:cs="Arial"/>
                <w:color w:val="000000"/>
                <w:sz w:val="20"/>
                <w:szCs w:val="20"/>
                <w:lang w:eastAsia="en-US"/>
              </w:rPr>
              <w:t> </w:t>
            </w:r>
          </w:p>
        </w:tc>
        <w:tc>
          <w:tcPr>
            <w:tcW w:w="929" w:type="dxa"/>
            <w:tcBorders>
              <w:top w:val="nil"/>
              <w:left w:val="nil"/>
              <w:bottom w:val="single" w:sz="4" w:space="0" w:color="auto"/>
              <w:right w:val="single" w:sz="4" w:space="0" w:color="auto"/>
            </w:tcBorders>
            <w:shd w:val="clear" w:color="auto" w:fill="auto"/>
            <w:vAlign w:val="center"/>
            <w:hideMark/>
          </w:tcPr>
          <w:p w14:paraId="36D8BA59" w14:textId="77777777" w:rsidR="00A7184B" w:rsidRPr="00337DB9" w:rsidRDefault="00A7184B" w:rsidP="00A7184B">
            <w:pPr>
              <w:jc w:val="center"/>
              <w:rPr>
                <w:rFonts w:ascii="Arial" w:hAnsi="Arial" w:cs="Arial"/>
                <w:color w:val="000000"/>
                <w:sz w:val="20"/>
                <w:szCs w:val="20"/>
                <w:lang w:eastAsia="en-US"/>
              </w:rPr>
            </w:pPr>
            <w:r w:rsidRPr="00337DB9">
              <w:rPr>
                <w:rFonts w:ascii="Arial" w:hAnsi="Arial" w:cs="Arial"/>
                <w:color w:val="000000"/>
                <w:sz w:val="20"/>
                <w:szCs w:val="20"/>
                <w:lang w:eastAsia="en-US"/>
              </w:rPr>
              <w:t xml:space="preserve">     4.45 </w:t>
            </w:r>
          </w:p>
        </w:tc>
      </w:tr>
      <w:tr w:rsidR="001B777E" w:rsidRPr="00337DB9" w14:paraId="4AF06C51" w14:textId="77777777" w:rsidTr="001B777E">
        <w:trPr>
          <w:trHeight w:val="1710"/>
        </w:trPr>
        <w:tc>
          <w:tcPr>
            <w:tcW w:w="2522" w:type="dxa"/>
            <w:tcBorders>
              <w:top w:val="nil"/>
              <w:left w:val="single" w:sz="4" w:space="0" w:color="auto"/>
              <w:bottom w:val="single" w:sz="4" w:space="0" w:color="auto"/>
              <w:right w:val="single" w:sz="4" w:space="0" w:color="auto"/>
            </w:tcBorders>
            <w:shd w:val="clear" w:color="auto" w:fill="auto"/>
            <w:vAlign w:val="center"/>
            <w:hideMark/>
          </w:tcPr>
          <w:p w14:paraId="2C66F85A" w14:textId="77777777" w:rsidR="00A7184B" w:rsidRPr="00337DB9" w:rsidRDefault="00A7184B" w:rsidP="00A7184B">
            <w:pPr>
              <w:jc w:val="left"/>
              <w:rPr>
                <w:rFonts w:ascii="Arial" w:hAnsi="Arial" w:cs="Arial"/>
                <w:color w:val="000000"/>
                <w:sz w:val="20"/>
                <w:szCs w:val="20"/>
                <w:lang w:eastAsia="en-US"/>
              </w:rPr>
            </w:pPr>
            <w:r w:rsidRPr="00337DB9">
              <w:rPr>
                <w:rFonts w:ascii="Arial" w:hAnsi="Arial" w:cs="Arial"/>
                <w:color w:val="000000"/>
                <w:sz w:val="20"/>
                <w:szCs w:val="20"/>
                <w:lang w:eastAsia="en-US"/>
              </w:rPr>
              <w:t xml:space="preserve"> Grants (in the form of loan guarantees or grants convertible to loans) provided to geothermal projects with resources from the Program </w:t>
            </w:r>
          </w:p>
        </w:tc>
        <w:tc>
          <w:tcPr>
            <w:tcW w:w="898" w:type="dxa"/>
            <w:tcBorders>
              <w:top w:val="nil"/>
              <w:left w:val="nil"/>
              <w:bottom w:val="single" w:sz="4" w:space="0" w:color="auto"/>
              <w:right w:val="single" w:sz="4" w:space="0" w:color="auto"/>
            </w:tcBorders>
            <w:shd w:val="clear" w:color="auto" w:fill="auto"/>
            <w:vAlign w:val="center"/>
            <w:hideMark/>
          </w:tcPr>
          <w:p w14:paraId="05524EEB" w14:textId="77777777" w:rsidR="00A7184B" w:rsidRPr="00337DB9" w:rsidRDefault="00A7184B" w:rsidP="00A7184B">
            <w:pPr>
              <w:jc w:val="center"/>
              <w:rPr>
                <w:rFonts w:ascii="Arial" w:hAnsi="Arial" w:cs="Arial"/>
                <w:color w:val="000000"/>
                <w:sz w:val="20"/>
                <w:szCs w:val="20"/>
                <w:lang w:eastAsia="en-US"/>
              </w:rPr>
            </w:pPr>
            <w:r w:rsidRPr="00337DB9">
              <w:rPr>
                <w:rFonts w:ascii="Arial" w:hAnsi="Arial" w:cs="Arial"/>
                <w:color w:val="000000"/>
                <w:sz w:val="20"/>
                <w:szCs w:val="20"/>
                <w:lang w:eastAsia="en-US"/>
              </w:rPr>
              <w:t xml:space="preserve">          -   </w:t>
            </w:r>
          </w:p>
        </w:tc>
        <w:tc>
          <w:tcPr>
            <w:tcW w:w="913" w:type="dxa"/>
            <w:tcBorders>
              <w:top w:val="nil"/>
              <w:left w:val="nil"/>
              <w:bottom w:val="single" w:sz="4" w:space="0" w:color="auto"/>
              <w:right w:val="single" w:sz="4" w:space="0" w:color="auto"/>
            </w:tcBorders>
            <w:shd w:val="clear" w:color="auto" w:fill="auto"/>
            <w:vAlign w:val="center"/>
            <w:hideMark/>
          </w:tcPr>
          <w:p w14:paraId="41AA4604" w14:textId="77777777" w:rsidR="00A7184B" w:rsidRPr="00337DB9" w:rsidRDefault="00A7184B" w:rsidP="00A7184B">
            <w:pPr>
              <w:jc w:val="center"/>
              <w:rPr>
                <w:rFonts w:ascii="Arial" w:hAnsi="Arial" w:cs="Arial"/>
                <w:color w:val="000000"/>
                <w:sz w:val="20"/>
                <w:szCs w:val="20"/>
                <w:lang w:eastAsia="en-US"/>
              </w:rPr>
            </w:pPr>
            <w:r w:rsidRPr="00337DB9">
              <w:rPr>
                <w:rFonts w:ascii="Arial" w:hAnsi="Arial" w:cs="Arial"/>
                <w:color w:val="000000"/>
                <w:sz w:val="20"/>
                <w:szCs w:val="20"/>
                <w:lang w:eastAsia="en-US"/>
              </w:rPr>
              <w:t xml:space="preserve">       6.00 </w:t>
            </w:r>
          </w:p>
        </w:tc>
        <w:tc>
          <w:tcPr>
            <w:tcW w:w="930" w:type="dxa"/>
            <w:tcBorders>
              <w:top w:val="nil"/>
              <w:left w:val="nil"/>
              <w:bottom w:val="single" w:sz="4" w:space="0" w:color="auto"/>
              <w:right w:val="single" w:sz="4" w:space="0" w:color="auto"/>
            </w:tcBorders>
            <w:shd w:val="clear" w:color="auto" w:fill="auto"/>
            <w:vAlign w:val="center"/>
            <w:hideMark/>
          </w:tcPr>
          <w:p w14:paraId="3C4CED95" w14:textId="764EBC4D" w:rsidR="00A7184B" w:rsidRPr="00337DB9" w:rsidRDefault="00A7184B" w:rsidP="00A7184B">
            <w:pPr>
              <w:jc w:val="center"/>
              <w:rPr>
                <w:rFonts w:ascii="Arial" w:hAnsi="Arial" w:cs="Arial"/>
                <w:color w:val="000000"/>
                <w:sz w:val="20"/>
                <w:szCs w:val="20"/>
                <w:lang w:eastAsia="en-US"/>
              </w:rPr>
            </w:pPr>
            <w:r w:rsidRPr="00337DB9">
              <w:rPr>
                <w:rFonts w:ascii="Arial" w:hAnsi="Arial" w:cs="Arial"/>
                <w:color w:val="000000"/>
                <w:sz w:val="20"/>
                <w:szCs w:val="20"/>
                <w:lang w:eastAsia="en-US"/>
              </w:rPr>
              <w:t xml:space="preserve">       </w:t>
            </w:r>
          </w:p>
        </w:tc>
        <w:tc>
          <w:tcPr>
            <w:tcW w:w="767" w:type="dxa"/>
            <w:tcBorders>
              <w:top w:val="nil"/>
              <w:left w:val="nil"/>
              <w:bottom w:val="single" w:sz="4" w:space="0" w:color="auto"/>
              <w:right w:val="single" w:sz="4" w:space="0" w:color="auto"/>
            </w:tcBorders>
            <w:shd w:val="clear" w:color="auto" w:fill="auto"/>
            <w:vAlign w:val="center"/>
            <w:hideMark/>
          </w:tcPr>
          <w:p w14:paraId="6E4336B5" w14:textId="459AC5D7" w:rsidR="00A7184B" w:rsidRPr="00337DB9" w:rsidRDefault="00A7184B" w:rsidP="00A7184B">
            <w:pPr>
              <w:jc w:val="center"/>
              <w:rPr>
                <w:rFonts w:ascii="Arial" w:hAnsi="Arial" w:cs="Arial"/>
                <w:color w:val="000000"/>
                <w:sz w:val="20"/>
                <w:szCs w:val="20"/>
                <w:lang w:eastAsia="en-US"/>
              </w:rPr>
            </w:pPr>
            <w:r w:rsidRPr="00337DB9">
              <w:rPr>
                <w:rFonts w:ascii="Arial" w:hAnsi="Arial" w:cs="Arial"/>
                <w:color w:val="000000"/>
                <w:sz w:val="20"/>
                <w:szCs w:val="20"/>
                <w:lang w:eastAsia="en-US"/>
              </w:rPr>
              <w:t xml:space="preserve">   </w:t>
            </w:r>
            <w:r w:rsidR="004F72BF" w:rsidRPr="00337DB9">
              <w:rPr>
                <w:rFonts w:ascii="Arial" w:hAnsi="Arial" w:cs="Arial"/>
                <w:color w:val="000000"/>
                <w:sz w:val="20"/>
                <w:szCs w:val="20"/>
                <w:lang w:eastAsia="en-US"/>
              </w:rPr>
              <w:t>10</w:t>
            </w:r>
            <w:r w:rsidRPr="00337DB9">
              <w:rPr>
                <w:rFonts w:ascii="Arial" w:hAnsi="Arial" w:cs="Arial"/>
                <w:color w:val="000000"/>
                <w:sz w:val="20"/>
                <w:szCs w:val="20"/>
                <w:lang w:eastAsia="en-US"/>
              </w:rPr>
              <w:t xml:space="preserve">.00 </w:t>
            </w:r>
          </w:p>
        </w:tc>
        <w:tc>
          <w:tcPr>
            <w:tcW w:w="694" w:type="dxa"/>
            <w:tcBorders>
              <w:top w:val="nil"/>
              <w:left w:val="nil"/>
              <w:bottom w:val="single" w:sz="4" w:space="0" w:color="auto"/>
              <w:right w:val="single" w:sz="4" w:space="0" w:color="auto"/>
            </w:tcBorders>
            <w:shd w:val="clear" w:color="auto" w:fill="auto"/>
            <w:vAlign w:val="center"/>
            <w:hideMark/>
          </w:tcPr>
          <w:p w14:paraId="2396A5D5" w14:textId="77777777" w:rsidR="00A7184B" w:rsidRPr="00337DB9" w:rsidRDefault="00A7184B" w:rsidP="00A7184B">
            <w:pPr>
              <w:jc w:val="center"/>
              <w:rPr>
                <w:rFonts w:ascii="Arial" w:hAnsi="Arial" w:cs="Arial"/>
                <w:color w:val="000000"/>
                <w:sz w:val="20"/>
                <w:szCs w:val="20"/>
                <w:lang w:eastAsia="en-US"/>
              </w:rPr>
            </w:pPr>
            <w:r w:rsidRPr="00337DB9">
              <w:rPr>
                <w:rFonts w:ascii="Arial" w:hAnsi="Arial" w:cs="Arial"/>
                <w:color w:val="000000"/>
                <w:sz w:val="20"/>
                <w:szCs w:val="20"/>
                <w:lang w:eastAsia="en-US"/>
              </w:rPr>
              <w:t xml:space="preserve">     -   </w:t>
            </w:r>
          </w:p>
        </w:tc>
        <w:tc>
          <w:tcPr>
            <w:tcW w:w="694" w:type="dxa"/>
            <w:tcBorders>
              <w:top w:val="nil"/>
              <w:left w:val="nil"/>
              <w:bottom w:val="single" w:sz="4" w:space="0" w:color="auto"/>
              <w:right w:val="single" w:sz="4" w:space="0" w:color="auto"/>
            </w:tcBorders>
            <w:shd w:val="clear" w:color="auto" w:fill="auto"/>
            <w:vAlign w:val="center"/>
            <w:hideMark/>
          </w:tcPr>
          <w:p w14:paraId="65649B64" w14:textId="77777777" w:rsidR="00A7184B" w:rsidRPr="00337DB9" w:rsidRDefault="00A7184B" w:rsidP="00A7184B">
            <w:pPr>
              <w:jc w:val="center"/>
              <w:rPr>
                <w:rFonts w:ascii="Arial" w:hAnsi="Arial" w:cs="Arial"/>
                <w:color w:val="000000"/>
                <w:sz w:val="20"/>
                <w:szCs w:val="20"/>
                <w:lang w:eastAsia="en-US"/>
              </w:rPr>
            </w:pPr>
            <w:r w:rsidRPr="00337DB9">
              <w:rPr>
                <w:rFonts w:ascii="Arial" w:hAnsi="Arial" w:cs="Arial"/>
                <w:color w:val="000000"/>
                <w:sz w:val="20"/>
                <w:szCs w:val="20"/>
                <w:lang w:eastAsia="en-US"/>
              </w:rPr>
              <w:t xml:space="preserve">     -   </w:t>
            </w:r>
          </w:p>
        </w:tc>
        <w:tc>
          <w:tcPr>
            <w:tcW w:w="729" w:type="dxa"/>
            <w:tcBorders>
              <w:top w:val="nil"/>
              <w:left w:val="nil"/>
              <w:bottom w:val="single" w:sz="4" w:space="0" w:color="auto"/>
              <w:right w:val="single" w:sz="4" w:space="0" w:color="auto"/>
            </w:tcBorders>
            <w:shd w:val="clear" w:color="auto" w:fill="auto"/>
            <w:vAlign w:val="center"/>
            <w:hideMark/>
          </w:tcPr>
          <w:p w14:paraId="5FAA4250" w14:textId="77777777" w:rsidR="00A7184B" w:rsidRPr="00337DB9" w:rsidRDefault="00A7184B" w:rsidP="00A7184B">
            <w:pPr>
              <w:jc w:val="center"/>
              <w:rPr>
                <w:rFonts w:ascii="Arial" w:hAnsi="Arial" w:cs="Arial"/>
                <w:color w:val="000000"/>
                <w:sz w:val="20"/>
                <w:szCs w:val="20"/>
                <w:lang w:eastAsia="en-US"/>
              </w:rPr>
            </w:pPr>
            <w:r w:rsidRPr="00337DB9">
              <w:rPr>
                <w:rFonts w:ascii="Arial" w:hAnsi="Arial" w:cs="Arial"/>
                <w:color w:val="000000"/>
                <w:sz w:val="20"/>
                <w:szCs w:val="20"/>
                <w:lang w:eastAsia="en-US"/>
              </w:rPr>
              <w:t xml:space="preserve">      -   </w:t>
            </w:r>
          </w:p>
        </w:tc>
        <w:tc>
          <w:tcPr>
            <w:tcW w:w="729" w:type="dxa"/>
            <w:tcBorders>
              <w:top w:val="nil"/>
              <w:left w:val="nil"/>
              <w:bottom w:val="single" w:sz="4" w:space="0" w:color="auto"/>
              <w:right w:val="single" w:sz="4" w:space="0" w:color="auto"/>
            </w:tcBorders>
            <w:shd w:val="clear" w:color="auto" w:fill="auto"/>
            <w:vAlign w:val="center"/>
            <w:hideMark/>
          </w:tcPr>
          <w:p w14:paraId="21BEE1FD" w14:textId="77777777" w:rsidR="00A7184B" w:rsidRPr="00337DB9" w:rsidRDefault="00A7184B" w:rsidP="00A7184B">
            <w:pPr>
              <w:jc w:val="center"/>
              <w:rPr>
                <w:rFonts w:ascii="Arial" w:hAnsi="Arial" w:cs="Arial"/>
                <w:color w:val="000000"/>
                <w:sz w:val="20"/>
                <w:szCs w:val="20"/>
                <w:lang w:eastAsia="en-US"/>
              </w:rPr>
            </w:pPr>
            <w:r w:rsidRPr="00337DB9">
              <w:rPr>
                <w:rFonts w:ascii="Arial" w:hAnsi="Arial" w:cs="Arial"/>
                <w:color w:val="000000"/>
                <w:sz w:val="20"/>
                <w:szCs w:val="20"/>
                <w:lang w:eastAsia="en-US"/>
              </w:rPr>
              <w:t xml:space="preserve">      -   </w:t>
            </w:r>
          </w:p>
        </w:tc>
        <w:tc>
          <w:tcPr>
            <w:tcW w:w="929" w:type="dxa"/>
            <w:tcBorders>
              <w:top w:val="nil"/>
              <w:left w:val="nil"/>
              <w:bottom w:val="single" w:sz="4" w:space="0" w:color="auto"/>
              <w:right w:val="single" w:sz="4" w:space="0" w:color="auto"/>
            </w:tcBorders>
            <w:shd w:val="clear" w:color="auto" w:fill="auto"/>
            <w:vAlign w:val="center"/>
            <w:hideMark/>
          </w:tcPr>
          <w:p w14:paraId="32F0621B" w14:textId="77777777" w:rsidR="00A7184B" w:rsidRPr="00337DB9" w:rsidRDefault="00A7184B" w:rsidP="00A7184B">
            <w:pPr>
              <w:jc w:val="center"/>
              <w:rPr>
                <w:rFonts w:ascii="Arial" w:hAnsi="Arial" w:cs="Arial"/>
                <w:color w:val="000000"/>
                <w:sz w:val="20"/>
                <w:szCs w:val="20"/>
                <w:lang w:eastAsia="en-US"/>
              </w:rPr>
            </w:pPr>
            <w:r w:rsidRPr="00337DB9">
              <w:rPr>
                <w:rFonts w:ascii="Arial" w:hAnsi="Arial" w:cs="Arial"/>
                <w:color w:val="000000"/>
                <w:sz w:val="20"/>
                <w:szCs w:val="20"/>
                <w:lang w:eastAsia="en-US"/>
              </w:rPr>
              <w:t xml:space="preserve">   16.00 </w:t>
            </w:r>
          </w:p>
        </w:tc>
      </w:tr>
      <w:tr w:rsidR="001B777E" w:rsidRPr="00337DB9" w14:paraId="68BACEC8" w14:textId="77777777" w:rsidTr="001B777E">
        <w:trPr>
          <w:trHeight w:val="1425"/>
        </w:trPr>
        <w:tc>
          <w:tcPr>
            <w:tcW w:w="2522" w:type="dxa"/>
            <w:tcBorders>
              <w:top w:val="nil"/>
              <w:left w:val="single" w:sz="4" w:space="0" w:color="auto"/>
              <w:bottom w:val="single" w:sz="4" w:space="0" w:color="auto"/>
              <w:right w:val="single" w:sz="4" w:space="0" w:color="auto"/>
            </w:tcBorders>
            <w:shd w:val="clear" w:color="auto" w:fill="auto"/>
            <w:vAlign w:val="center"/>
            <w:hideMark/>
          </w:tcPr>
          <w:p w14:paraId="04783659" w14:textId="4E33ED71" w:rsidR="00A7184B" w:rsidRPr="00337DB9" w:rsidRDefault="00A7184B" w:rsidP="00A7184B">
            <w:pPr>
              <w:jc w:val="left"/>
              <w:rPr>
                <w:rFonts w:ascii="Arial" w:hAnsi="Arial" w:cs="Arial"/>
                <w:color w:val="000000"/>
                <w:sz w:val="20"/>
                <w:szCs w:val="20"/>
                <w:lang w:eastAsia="en-US"/>
              </w:rPr>
            </w:pPr>
            <w:r w:rsidRPr="00337DB9">
              <w:rPr>
                <w:rFonts w:ascii="Arial" w:hAnsi="Arial" w:cs="Arial"/>
                <w:color w:val="000000"/>
                <w:sz w:val="20"/>
                <w:szCs w:val="20"/>
                <w:lang w:eastAsia="en-US"/>
              </w:rPr>
              <w:t xml:space="preserve"> Loans provided to geothermal projects at any stage of development with resources from the Program  </w:t>
            </w:r>
          </w:p>
        </w:tc>
        <w:tc>
          <w:tcPr>
            <w:tcW w:w="898" w:type="dxa"/>
            <w:tcBorders>
              <w:top w:val="nil"/>
              <w:left w:val="nil"/>
              <w:bottom w:val="single" w:sz="4" w:space="0" w:color="auto"/>
              <w:right w:val="single" w:sz="4" w:space="0" w:color="auto"/>
            </w:tcBorders>
            <w:shd w:val="clear" w:color="auto" w:fill="auto"/>
            <w:vAlign w:val="center"/>
            <w:hideMark/>
          </w:tcPr>
          <w:p w14:paraId="12C99C6C" w14:textId="77777777" w:rsidR="00A7184B" w:rsidRPr="00337DB9" w:rsidRDefault="00A7184B" w:rsidP="00A7184B">
            <w:pPr>
              <w:jc w:val="center"/>
              <w:rPr>
                <w:rFonts w:ascii="Arial" w:hAnsi="Arial" w:cs="Arial"/>
                <w:color w:val="000000"/>
                <w:sz w:val="20"/>
                <w:szCs w:val="20"/>
                <w:lang w:eastAsia="en-US"/>
              </w:rPr>
            </w:pPr>
            <w:r w:rsidRPr="00337DB9">
              <w:rPr>
                <w:rFonts w:ascii="Arial" w:hAnsi="Arial" w:cs="Arial"/>
                <w:color w:val="000000"/>
                <w:sz w:val="20"/>
                <w:szCs w:val="20"/>
                <w:lang w:eastAsia="en-US"/>
              </w:rPr>
              <w:t xml:space="preserve">          -   </w:t>
            </w:r>
          </w:p>
        </w:tc>
        <w:tc>
          <w:tcPr>
            <w:tcW w:w="913" w:type="dxa"/>
            <w:tcBorders>
              <w:top w:val="nil"/>
              <w:left w:val="nil"/>
              <w:bottom w:val="single" w:sz="4" w:space="0" w:color="auto"/>
              <w:right w:val="single" w:sz="4" w:space="0" w:color="auto"/>
            </w:tcBorders>
            <w:shd w:val="clear" w:color="auto" w:fill="auto"/>
            <w:vAlign w:val="center"/>
            <w:hideMark/>
          </w:tcPr>
          <w:p w14:paraId="5B829587" w14:textId="5DA4AA49" w:rsidR="00A7184B" w:rsidRPr="00337DB9" w:rsidRDefault="00A7184B" w:rsidP="00A7184B">
            <w:pPr>
              <w:jc w:val="center"/>
              <w:rPr>
                <w:rFonts w:ascii="Arial" w:hAnsi="Arial" w:cs="Arial"/>
                <w:color w:val="000000"/>
                <w:sz w:val="20"/>
                <w:szCs w:val="20"/>
                <w:lang w:eastAsia="en-US"/>
              </w:rPr>
            </w:pPr>
            <w:r w:rsidRPr="00337DB9">
              <w:rPr>
                <w:rFonts w:ascii="Arial" w:hAnsi="Arial" w:cs="Arial"/>
                <w:color w:val="000000"/>
                <w:sz w:val="20"/>
                <w:szCs w:val="20"/>
                <w:lang w:eastAsia="en-US"/>
              </w:rPr>
              <w:t xml:space="preserve">          </w:t>
            </w:r>
            <w:r w:rsidR="004F72BF" w:rsidRPr="00337DB9">
              <w:rPr>
                <w:rFonts w:ascii="Arial" w:hAnsi="Arial" w:cs="Arial"/>
                <w:color w:val="000000"/>
                <w:sz w:val="20"/>
                <w:szCs w:val="20"/>
                <w:lang w:eastAsia="en-US"/>
              </w:rPr>
              <w:t>6.45</w:t>
            </w:r>
            <w:r w:rsidRPr="00337DB9">
              <w:rPr>
                <w:rFonts w:ascii="Arial" w:hAnsi="Arial" w:cs="Arial"/>
                <w:color w:val="000000"/>
                <w:sz w:val="20"/>
                <w:szCs w:val="20"/>
                <w:lang w:eastAsia="en-US"/>
              </w:rPr>
              <w:t xml:space="preserve">   </w:t>
            </w:r>
          </w:p>
        </w:tc>
        <w:tc>
          <w:tcPr>
            <w:tcW w:w="930" w:type="dxa"/>
            <w:tcBorders>
              <w:top w:val="nil"/>
              <w:left w:val="nil"/>
              <w:bottom w:val="single" w:sz="4" w:space="0" w:color="auto"/>
              <w:right w:val="single" w:sz="4" w:space="0" w:color="auto"/>
            </w:tcBorders>
            <w:shd w:val="clear" w:color="auto" w:fill="auto"/>
            <w:vAlign w:val="center"/>
            <w:hideMark/>
          </w:tcPr>
          <w:p w14:paraId="0AC61116" w14:textId="1125A2EA" w:rsidR="004F72BF" w:rsidRPr="00337DB9" w:rsidRDefault="00A7184B" w:rsidP="00A7184B">
            <w:pPr>
              <w:jc w:val="center"/>
              <w:rPr>
                <w:rFonts w:ascii="Arial" w:hAnsi="Arial" w:cs="Arial"/>
                <w:color w:val="000000"/>
                <w:sz w:val="20"/>
                <w:szCs w:val="20"/>
                <w:lang w:eastAsia="en-US"/>
              </w:rPr>
            </w:pPr>
            <w:r w:rsidRPr="00337DB9">
              <w:rPr>
                <w:rFonts w:ascii="Arial" w:hAnsi="Arial" w:cs="Arial"/>
                <w:color w:val="000000"/>
                <w:sz w:val="20"/>
                <w:szCs w:val="20"/>
                <w:lang w:eastAsia="en-US"/>
              </w:rPr>
              <w:t xml:space="preserve"> </w:t>
            </w:r>
          </w:p>
          <w:p w14:paraId="3BAF4205" w14:textId="6BE7B02A" w:rsidR="00A7184B" w:rsidRPr="00337DB9" w:rsidRDefault="004F72BF" w:rsidP="00A7184B">
            <w:pPr>
              <w:jc w:val="center"/>
              <w:rPr>
                <w:rFonts w:ascii="Arial" w:hAnsi="Arial" w:cs="Arial"/>
                <w:color w:val="000000"/>
                <w:sz w:val="20"/>
                <w:szCs w:val="20"/>
                <w:lang w:eastAsia="en-US"/>
              </w:rPr>
            </w:pPr>
            <w:r w:rsidRPr="00337DB9">
              <w:rPr>
                <w:rFonts w:ascii="Arial" w:hAnsi="Arial" w:cs="Arial"/>
                <w:color w:val="000000"/>
                <w:sz w:val="20"/>
                <w:szCs w:val="20"/>
                <w:lang w:eastAsia="en-US"/>
              </w:rPr>
              <w:t>12.25</w:t>
            </w:r>
            <w:r w:rsidR="00A7184B" w:rsidRPr="00337DB9">
              <w:rPr>
                <w:rFonts w:ascii="Arial" w:hAnsi="Arial" w:cs="Arial"/>
                <w:color w:val="000000"/>
                <w:sz w:val="20"/>
                <w:szCs w:val="20"/>
                <w:lang w:eastAsia="en-US"/>
              </w:rPr>
              <w:t xml:space="preserve"> </w:t>
            </w:r>
          </w:p>
        </w:tc>
        <w:tc>
          <w:tcPr>
            <w:tcW w:w="767" w:type="dxa"/>
            <w:tcBorders>
              <w:top w:val="nil"/>
              <w:left w:val="nil"/>
              <w:bottom w:val="single" w:sz="4" w:space="0" w:color="auto"/>
              <w:right w:val="single" w:sz="4" w:space="0" w:color="auto"/>
            </w:tcBorders>
            <w:shd w:val="clear" w:color="auto" w:fill="auto"/>
            <w:vAlign w:val="center"/>
            <w:hideMark/>
          </w:tcPr>
          <w:p w14:paraId="4D849BD2" w14:textId="325E2E33" w:rsidR="00A7184B" w:rsidRPr="00337DB9" w:rsidRDefault="00A7184B">
            <w:pPr>
              <w:jc w:val="center"/>
              <w:rPr>
                <w:rFonts w:ascii="Arial" w:hAnsi="Arial" w:cs="Arial"/>
                <w:color w:val="000000"/>
                <w:sz w:val="20"/>
                <w:szCs w:val="20"/>
                <w:lang w:eastAsia="en-US"/>
              </w:rPr>
            </w:pPr>
            <w:r w:rsidRPr="00337DB9">
              <w:rPr>
                <w:rFonts w:ascii="Arial" w:hAnsi="Arial" w:cs="Arial"/>
                <w:color w:val="000000"/>
                <w:sz w:val="20"/>
                <w:szCs w:val="20"/>
                <w:lang w:eastAsia="en-US"/>
              </w:rPr>
              <w:t xml:space="preserve"> </w:t>
            </w:r>
            <w:r w:rsidR="004F72BF" w:rsidRPr="00337DB9">
              <w:rPr>
                <w:rFonts w:ascii="Arial" w:hAnsi="Arial" w:cs="Arial"/>
                <w:color w:val="000000"/>
                <w:sz w:val="20"/>
                <w:szCs w:val="20"/>
                <w:lang w:eastAsia="en-US"/>
              </w:rPr>
              <w:t>7.36</w:t>
            </w:r>
            <w:r w:rsidRPr="00337DB9">
              <w:rPr>
                <w:rFonts w:ascii="Arial" w:hAnsi="Arial" w:cs="Arial"/>
                <w:color w:val="000000"/>
                <w:sz w:val="20"/>
                <w:szCs w:val="20"/>
                <w:lang w:eastAsia="en-US"/>
              </w:rPr>
              <w:t xml:space="preserve"> </w:t>
            </w:r>
          </w:p>
        </w:tc>
        <w:tc>
          <w:tcPr>
            <w:tcW w:w="694" w:type="dxa"/>
            <w:tcBorders>
              <w:top w:val="nil"/>
              <w:left w:val="nil"/>
              <w:bottom w:val="single" w:sz="4" w:space="0" w:color="auto"/>
              <w:right w:val="single" w:sz="4" w:space="0" w:color="auto"/>
            </w:tcBorders>
            <w:shd w:val="clear" w:color="auto" w:fill="auto"/>
            <w:vAlign w:val="center"/>
            <w:hideMark/>
          </w:tcPr>
          <w:p w14:paraId="735AB79B" w14:textId="621F2694" w:rsidR="00A7184B" w:rsidRPr="00337DB9" w:rsidRDefault="00A7184B" w:rsidP="00A7184B">
            <w:pPr>
              <w:jc w:val="center"/>
              <w:rPr>
                <w:rFonts w:ascii="Arial" w:hAnsi="Arial" w:cs="Arial"/>
                <w:color w:val="000000"/>
                <w:sz w:val="20"/>
                <w:szCs w:val="20"/>
                <w:lang w:eastAsia="en-US"/>
              </w:rPr>
            </w:pPr>
            <w:r w:rsidRPr="00337DB9">
              <w:rPr>
                <w:rFonts w:ascii="Arial" w:hAnsi="Arial" w:cs="Arial"/>
                <w:color w:val="000000"/>
                <w:sz w:val="20"/>
                <w:szCs w:val="20"/>
                <w:lang w:eastAsia="en-US"/>
              </w:rPr>
              <w:t xml:space="preserve">  </w:t>
            </w:r>
            <w:r w:rsidR="004F72BF" w:rsidRPr="00337DB9">
              <w:rPr>
                <w:rFonts w:ascii="Arial" w:hAnsi="Arial" w:cs="Arial"/>
                <w:color w:val="000000"/>
                <w:sz w:val="20"/>
                <w:szCs w:val="20"/>
                <w:lang w:eastAsia="en-US"/>
              </w:rPr>
              <w:t>16.55</w:t>
            </w:r>
            <w:r w:rsidRPr="00337DB9">
              <w:rPr>
                <w:rFonts w:ascii="Arial" w:hAnsi="Arial" w:cs="Arial"/>
                <w:color w:val="000000"/>
                <w:sz w:val="20"/>
                <w:szCs w:val="20"/>
                <w:lang w:eastAsia="en-US"/>
              </w:rPr>
              <w:t xml:space="preserve"> </w:t>
            </w:r>
          </w:p>
        </w:tc>
        <w:tc>
          <w:tcPr>
            <w:tcW w:w="694" w:type="dxa"/>
            <w:tcBorders>
              <w:top w:val="nil"/>
              <w:left w:val="nil"/>
              <w:bottom w:val="single" w:sz="4" w:space="0" w:color="auto"/>
              <w:right w:val="single" w:sz="4" w:space="0" w:color="auto"/>
            </w:tcBorders>
            <w:shd w:val="clear" w:color="auto" w:fill="auto"/>
            <w:vAlign w:val="center"/>
            <w:hideMark/>
          </w:tcPr>
          <w:p w14:paraId="7A4299DC" w14:textId="6017E39D" w:rsidR="00A7184B" w:rsidRPr="00337DB9" w:rsidRDefault="00A7184B" w:rsidP="00A7184B">
            <w:pPr>
              <w:jc w:val="center"/>
              <w:rPr>
                <w:rFonts w:ascii="Arial" w:hAnsi="Arial" w:cs="Arial"/>
                <w:color w:val="000000"/>
                <w:sz w:val="20"/>
                <w:szCs w:val="20"/>
                <w:lang w:eastAsia="en-US"/>
              </w:rPr>
            </w:pPr>
            <w:r w:rsidRPr="00337DB9">
              <w:rPr>
                <w:rFonts w:ascii="Arial" w:hAnsi="Arial" w:cs="Arial"/>
                <w:color w:val="000000"/>
                <w:sz w:val="20"/>
                <w:szCs w:val="20"/>
                <w:lang w:eastAsia="en-US"/>
              </w:rPr>
              <w:t xml:space="preserve"> </w:t>
            </w:r>
            <w:r w:rsidR="004F72BF" w:rsidRPr="00337DB9">
              <w:rPr>
                <w:rFonts w:ascii="Arial" w:hAnsi="Arial" w:cs="Arial"/>
                <w:color w:val="000000"/>
                <w:sz w:val="20"/>
                <w:szCs w:val="20"/>
                <w:lang w:eastAsia="en-US"/>
              </w:rPr>
              <w:t>17.39</w:t>
            </w:r>
            <w:r w:rsidRPr="00337DB9">
              <w:rPr>
                <w:rFonts w:ascii="Arial" w:hAnsi="Arial" w:cs="Arial"/>
                <w:color w:val="000000"/>
                <w:sz w:val="20"/>
                <w:szCs w:val="20"/>
                <w:lang w:eastAsia="en-US"/>
              </w:rPr>
              <w:t xml:space="preserve"> </w:t>
            </w:r>
          </w:p>
        </w:tc>
        <w:tc>
          <w:tcPr>
            <w:tcW w:w="729" w:type="dxa"/>
            <w:tcBorders>
              <w:top w:val="nil"/>
              <w:left w:val="nil"/>
              <w:bottom w:val="single" w:sz="4" w:space="0" w:color="auto"/>
              <w:right w:val="single" w:sz="4" w:space="0" w:color="auto"/>
            </w:tcBorders>
            <w:shd w:val="clear" w:color="auto" w:fill="auto"/>
            <w:vAlign w:val="center"/>
            <w:hideMark/>
          </w:tcPr>
          <w:p w14:paraId="68158421" w14:textId="77777777" w:rsidR="00A7184B" w:rsidRPr="00337DB9" w:rsidRDefault="00A7184B" w:rsidP="00A7184B">
            <w:pPr>
              <w:jc w:val="center"/>
              <w:rPr>
                <w:rFonts w:ascii="Arial" w:hAnsi="Arial" w:cs="Arial"/>
                <w:color w:val="000000"/>
                <w:sz w:val="20"/>
                <w:szCs w:val="20"/>
                <w:lang w:eastAsia="en-US"/>
              </w:rPr>
            </w:pPr>
            <w:r w:rsidRPr="00337DB9">
              <w:rPr>
                <w:rFonts w:ascii="Arial" w:hAnsi="Arial" w:cs="Arial"/>
                <w:color w:val="000000"/>
                <w:sz w:val="20"/>
                <w:szCs w:val="20"/>
                <w:lang w:eastAsia="en-US"/>
              </w:rPr>
              <w:t xml:space="preserve">      -   </w:t>
            </w:r>
          </w:p>
        </w:tc>
        <w:tc>
          <w:tcPr>
            <w:tcW w:w="729" w:type="dxa"/>
            <w:tcBorders>
              <w:top w:val="nil"/>
              <w:left w:val="nil"/>
              <w:bottom w:val="single" w:sz="4" w:space="0" w:color="auto"/>
              <w:right w:val="single" w:sz="4" w:space="0" w:color="auto"/>
            </w:tcBorders>
            <w:shd w:val="clear" w:color="auto" w:fill="auto"/>
            <w:vAlign w:val="center"/>
            <w:hideMark/>
          </w:tcPr>
          <w:p w14:paraId="1C7AE5E5" w14:textId="77777777" w:rsidR="00A7184B" w:rsidRPr="00337DB9" w:rsidRDefault="00A7184B" w:rsidP="00A7184B">
            <w:pPr>
              <w:jc w:val="center"/>
              <w:rPr>
                <w:rFonts w:ascii="Arial" w:hAnsi="Arial" w:cs="Arial"/>
                <w:color w:val="000000"/>
                <w:sz w:val="20"/>
                <w:szCs w:val="20"/>
                <w:lang w:eastAsia="en-US"/>
              </w:rPr>
            </w:pPr>
            <w:r w:rsidRPr="00337DB9">
              <w:rPr>
                <w:rFonts w:ascii="Arial" w:hAnsi="Arial" w:cs="Arial"/>
                <w:color w:val="000000"/>
                <w:sz w:val="20"/>
                <w:szCs w:val="20"/>
                <w:lang w:eastAsia="en-US"/>
              </w:rPr>
              <w:t xml:space="preserve">      -   </w:t>
            </w:r>
          </w:p>
        </w:tc>
        <w:tc>
          <w:tcPr>
            <w:tcW w:w="929" w:type="dxa"/>
            <w:tcBorders>
              <w:top w:val="nil"/>
              <w:left w:val="nil"/>
              <w:bottom w:val="single" w:sz="4" w:space="0" w:color="auto"/>
              <w:right w:val="single" w:sz="4" w:space="0" w:color="auto"/>
            </w:tcBorders>
            <w:shd w:val="clear" w:color="auto" w:fill="auto"/>
            <w:vAlign w:val="center"/>
            <w:hideMark/>
          </w:tcPr>
          <w:p w14:paraId="31D237FE" w14:textId="77777777" w:rsidR="00A7184B" w:rsidRPr="00337DB9" w:rsidRDefault="00A7184B" w:rsidP="00A7184B">
            <w:pPr>
              <w:jc w:val="center"/>
              <w:rPr>
                <w:rFonts w:ascii="Arial" w:hAnsi="Arial" w:cs="Arial"/>
                <w:color w:val="000000"/>
                <w:sz w:val="20"/>
                <w:szCs w:val="20"/>
                <w:lang w:eastAsia="en-US"/>
              </w:rPr>
            </w:pPr>
            <w:r w:rsidRPr="00337DB9">
              <w:rPr>
                <w:rFonts w:ascii="Arial" w:hAnsi="Arial" w:cs="Arial"/>
                <w:color w:val="000000"/>
                <w:sz w:val="20"/>
                <w:szCs w:val="20"/>
                <w:lang w:eastAsia="en-US"/>
              </w:rPr>
              <w:t xml:space="preserve">   60.00 </w:t>
            </w:r>
          </w:p>
        </w:tc>
      </w:tr>
      <w:tr w:rsidR="00A7184B" w:rsidRPr="00337DB9" w14:paraId="03B288E4" w14:textId="77777777" w:rsidTr="00690D98">
        <w:trPr>
          <w:trHeight w:val="300"/>
        </w:trPr>
        <w:tc>
          <w:tcPr>
            <w:tcW w:w="2522" w:type="dxa"/>
            <w:tcBorders>
              <w:top w:val="nil"/>
              <w:left w:val="single" w:sz="4" w:space="0" w:color="auto"/>
              <w:bottom w:val="single" w:sz="4" w:space="0" w:color="auto"/>
              <w:right w:val="single" w:sz="4" w:space="0" w:color="auto"/>
            </w:tcBorders>
            <w:shd w:val="clear" w:color="000000" w:fill="F2F2F2"/>
            <w:vAlign w:val="center"/>
            <w:hideMark/>
          </w:tcPr>
          <w:p w14:paraId="619BC1BF" w14:textId="77777777" w:rsidR="00A7184B" w:rsidRPr="00337DB9" w:rsidRDefault="00A7184B" w:rsidP="00A7184B">
            <w:pPr>
              <w:jc w:val="left"/>
              <w:rPr>
                <w:rFonts w:ascii="Arial" w:hAnsi="Arial" w:cs="Arial"/>
                <w:b/>
                <w:bCs/>
                <w:color w:val="000000"/>
                <w:sz w:val="20"/>
                <w:szCs w:val="20"/>
                <w:lang w:eastAsia="en-US"/>
              </w:rPr>
            </w:pPr>
            <w:r w:rsidRPr="00337DB9">
              <w:rPr>
                <w:rFonts w:ascii="Arial" w:hAnsi="Arial" w:cs="Arial"/>
                <w:b/>
                <w:bCs/>
                <w:color w:val="000000"/>
                <w:sz w:val="20"/>
                <w:szCs w:val="20"/>
                <w:lang w:eastAsia="en-US"/>
              </w:rPr>
              <w:t xml:space="preserve"> Sub-total Component 1</w:t>
            </w:r>
          </w:p>
        </w:tc>
        <w:tc>
          <w:tcPr>
            <w:tcW w:w="898" w:type="dxa"/>
            <w:tcBorders>
              <w:top w:val="nil"/>
              <w:left w:val="nil"/>
              <w:bottom w:val="single" w:sz="4" w:space="0" w:color="auto"/>
              <w:right w:val="single" w:sz="4" w:space="0" w:color="auto"/>
            </w:tcBorders>
            <w:shd w:val="clear" w:color="000000" w:fill="F2F2F2"/>
            <w:vAlign w:val="center"/>
            <w:hideMark/>
          </w:tcPr>
          <w:p w14:paraId="2F64963A" w14:textId="0F83F4CD" w:rsidR="00A7184B" w:rsidRPr="00337DB9" w:rsidRDefault="00A7184B" w:rsidP="00A7184B">
            <w:pPr>
              <w:jc w:val="center"/>
              <w:rPr>
                <w:rFonts w:ascii="Arial" w:hAnsi="Arial" w:cs="Arial"/>
                <w:b/>
                <w:bCs/>
                <w:color w:val="000000"/>
                <w:sz w:val="20"/>
                <w:szCs w:val="20"/>
                <w:lang w:eastAsia="en-US"/>
              </w:rPr>
            </w:pPr>
            <w:r w:rsidRPr="00337DB9">
              <w:rPr>
                <w:rFonts w:ascii="Arial" w:hAnsi="Arial" w:cs="Arial"/>
                <w:b/>
                <w:bCs/>
                <w:color w:val="000000"/>
                <w:sz w:val="20"/>
                <w:szCs w:val="20"/>
                <w:lang w:eastAsia="en-US"/>
              </w:rPr>
              <w:t xml:space="preserve">          </w:t>
            </w:r>
            <w:r w:rsidR="004F72BF" w:rsidRPr="00337DB9">
              <w:rPr>
                <w:rFonts w:ascii="Arial" w:hAnsi="Arial" w:cs="Arial"/>
                <w:b/>
                <w:bCs/>
                <w:color w:val="000000"/>
                <w:sz w:val="20"/>
                <w:szCs w:val="20"/>
                <w:lang w:eastAsia="en-US"/>
              </w:rPr>
              <w:t>0.39</w:t>
            </w:r>
          </w:p>
        </w:tc>
        <w:tc>
          <w:tcPr>
            <w:tcW w:w="913" w:type="dxa"/>
            <w:tcBorders>
              <w:top w:val="nil"/>
              <w:left w:val="nil"/>
              <w:bottom w:val="single" w:sz="4" w:space="0" w:color="auto"/>
              <w:right w:val="single" w:sz="4" w:space="0" w:color="auto"/>
            </w:tcBorders>
            <w:shd w:val="clear" w:color="000000" w:fill="F2F2F2"/>
            <w:vAlign w:val="center"/>
            <w:hideMark/>
          </w:tcPr>
          <w:p w14:paraId="40E400BE" w14:textId="54530C20" w:rsidR="00A7184B" w:rsidRPr="00337DB9" w:rsidRDefault="00A7184B" w:rsidP="00A7184B">
            <w:pPr>
              <w:jc w:val="center"/>
              <w:rPr>
                <w:rFonts w:ascii="Arial" w:hAnsi="Arial" w:cs="Arial"/>
                <w:b/>
                <w:bCs/>
                <w:color w:val="000000"/>
                <w:sz w:val="20"/>
                <w:szCs w:val="20"/>
                <w:lang w:eastAsia="en-US"/>
              </w:rPr>
            </w:pPr>
            <w:r w:rsidRPr="00337DB9">
              <w:rPr>
                <w:rFonts w:ascii="Arial" w:hAnsi="Arial" w:cs="Arial"/>
                <w:b/>
                <w:bCs/>
                <w:color w:val="000000"/>
                <w:sz w:val="20"/>
                <w:szCs w:val="20"/>
                <w:lang w:eastAsia="en-US"/>
              </w:rPr>
              <w:t xml:space="preserve">       </w:t>
            </w:r>
            <w:r w:rsidR="004F72BF" w:rsidRPr="00337DB9">
              <w:rPr>
                <w:rFonts w:ascii="Arial" w:hAnsi="Arial" w:cs="Arial"/>
                <w:b/>
                <w:bCs/>
                <w:color w:val="000000"/>
                <w:sz w:val="20"/>
                <w:szCs w:val="20"/>
                <w:lang w:eastAsia="en-US"/>
              </w:rPr>
              <w:t>15.12</w:t>
            </w:r>
            <w:r w:rsidRPr="00337DB9">
              <w:rPr>
                <w:rFonts w:ascii="Arial" w:hAnsi="Arial" w:cs="Arial"/>
                <w:b/>
                <w:bCs/>
                <w:color w:val="000000"/>
                <w:sz w:val="20"/>
                <w:szCs w:val="20"/>
                <w:lang w:eastAsia="en-US"/>
              </w:rPr>
              <w:t xml:space="preserve"> </w:t>
            </w:r>
          </w:p>
        </w:tc>
        <w:tc>
          <w:tcPr>
            <w:tcW w:w="930" w:type="dxa"/>
            <w:tcBorders>
              <w:top w:val="nil"/>
              <w:left w:val="nil"/>
              <w:bottom w:val="single" w:sz="4" w:space="0" w:color="auto"/>
              <w:right w:val="single" w:sz="4" w:space="0" w:color="auto"/>
            </w:tcBorders>
            <w:shd w:val="clear" w:color="000000" w:fill="F2F2F2"/>
            <w:vAlign w:val="center"/>
            <w:hideMark/>
          </w:tcPr>
          <w:p w14:paraId="05FD526B" w14:textId="1105158C" w:rsidR="00A7184B" w:rsidRPr="00337DB9" w:rsidRDefault="00A7184B" w:rsidP="00A7184B">
            <w:pPr>
              <w:jc w:val="center"/>
              <w:rPr>
                <w:rFonts w:ascii="Arial" w:hAnsi="Arial" w:cs="Arial"/>
                <w:b/>
                <w:bCs/>
                <w:color w:val="000000"/>
                <w:sz w:val="20"/>
                <w:szCs w:val="20"/>
                <w:lang w:eastAsia="en-US"/>
              </w:rPr>
            </w:pPr>
            <w:r w:rsidRPr="00337DB9">
              <w:rPr>
                <w:rFonts w:ascii="Arial" w:hAnsi="Arial" w:cs="Arial"/>
                <w:b/>
                <w:bCs/>
                <w:color w:val="000000"/>
                <w:sz w:val="20"/>
                <w:szCs w:val="20"/>
                <w:lang w:eastAsia="en-US"/>
              </w:rPr>
              <w:t xml:space="preserve">     </w:t>
            </w:r>
            <w:r w:rsidR="004F72BF" w:rsidRPr="00337DB9">
              <w:rPr>
                <w:rFonts w:ascii="Arial" w:hAnsi="Arial" w:cs="Arial"/>
                <w:b/>
                <w:bCs/>
                <w:color w:val="000000"/>
                <w:sz w:val="20"/>
                <w:szCs w:val="20"/>
                <w:lang w:eastAsia="en-US"/>
              </w:rPr>
              <w:t>13.64</w:t>
            </w:r>
            <w:r w:rsidRPr="00337DB9">
              <w:rPr>
                <w:rFonts w:ascii="Arial" w:hAnsi="Arial" w:cs="Arial"/>
                <w:b/>
                <w:bCs/>
                <w:color w:val="000000"/>
                <w:sz w:val="20"/>
                <w:szCs w:val="20"/>
                <w:lang w:eastAsia="en-US"/>
              </w:rPr>
              <w:t xml:space="preserve"> </w:t>
            </w:r>
          </w:p>
        </w:tc>
        <w:tc>
          <w:tcPr>
            <w:tcW w:w="767" w:type="dxa"/>
            <w:tcBorders>
              <w:top w:val="nil"/>
              <w:left w:val="nil"/>
              <w:bottom w:val="single" w:sz="4" w:space="0" w:color="auto"/>
              <w:right w:val="single" w:sz="4" w:space="0" w:color="auto"/>
            </w:tcBorders>
            <w:shd w:val="clear" w:color="000000" w:fill="F2F2F2"/>
            <w:vAlign w:val="center"/>
            <w:hideMark/>
          </w:tcPr>
          <w:p w14:paraId="624F7ABB" w14:textId="0B18613F" w:rsidR="00A7184B" w:rsidRPr="00337DB9" w:rsidRDefault="00A7184B" w:rsidP="00A7184B">
            <w:pPr>
              <w:jc w:val="center"/>
              <w:rPr>
                <w:rFonts w:ascii="Arial" w:hAnsi="Arial" w:cs="Arial"/>
                <w:b/>
                <w:bCs/>
                <w:color w:val="000000"/>
                <w:sz w:val="20"/>
                <w:szCs w:val="20"/>
                <w:lang w:eastAsia="en-US"/>
              </w:rPr>
            </w:pPr>
            <w:r w:rsidRPr="00337DB9">
              <w:rPr>
                <w:rFonts w:ascii="Arial" w:hAnsi="Arial" w:cs="Arial"/>
                <w:b/>
                <w:bCs/>
                <w:color w:val="000000"/>
                <w:sz w:val="20"/>
                <w:szCs w:val="20"/>
                <w:lang w:eastAsia="en-US"/>
              </w:rPr>
              <w:t xml:space="preserve"> </w:t>
            </w:r>
            <w:r w:rsidR="004F72BF" w:rsidRPr="00337DB9">
              <w:rPr>
                <w:rFonts w:ascii="Arial" w:hAnsi="Arial" w:cs="Arial"/>
                <w:b/>
                <w:bCs/>
                <w:color w:val="000000"/>
                <w:sz w:val="20"/>
                <w:szCs w:val="20"/>
                <w:lang w:eastAsia="en-US"/>
              </w:rPr>
              <w:t>17.36</w:t>
            </w:r>
            <w:r w:rsidRPr="00337DB9">
              <w:rPr>
                <w:rFonts w:ascii="Arial" w:hAnsi="Arial" w:cs="Arial"/>
                <w:b/>
                <w:bCs/>
                <w:color w:val="000000"/>
                <w:sz w:val="20"/>
                <w:szCs w:val="20"/>
                <w:lang w:eastAsia="en-US"/>
              </w:rPr>
              <w:t xml:space="preserve"> </w:t>
            </w:r>
          </w:p>
        </w:tc>
        <w:tc>
          <w:tcPr>
            <w:tcW w:w="694" w:type="dxa"/>
            <w:tcBorders>
              <w:top w:val="nil"/>
              <w:left w:val="nil"/>
              <w:bottom w:val="single" w:sz="4" w:space="0" w:color="auto"/>
              <w:right w:val="single" w:sz="4" w:space="0" w:color="auto"/>
            </w:tcBorders>
            <w:shd w:val="clear" w:color="000000" w:fill="F2F2F2"/>
            <w:vAlign w:val="center"/>
            <w:hideMark/>
          </w:tcPr>
          <w:p w14:paraId="1E244A0D" w14:textId="41576901" w:rsidR="00A7184B" w:rsidRPr="00337DB9" w:rsidRDefault="00A7184B" w:rsidP="00A7184B">
            <w:pPr>
              <w:jc w:val="center"/>
              <w:rPr>
                <w:rFonts w:ascii="Arial" w:hAnsi="Arial" w:cs="Arial"/>
                <w:b/>
                <w:bCs/>
                <w:color w:val="000000"/>
                <w:sz w:val="20"/>
                <w:szCs w:val="20"/>
                <w:lang w:eastAsia="en-US"/>
              </w:rPr>
            </w:pPr>
            <w:r w:rsidRPr="00337DB9">
              <w:rPr>
                <w:rFonts w:ascii="Arial" w:hAnsi="Arial" w:cs="Arial"/>
                <w:b/>
                <w:bCs/>
                <w:color w:val="000000"/>
                <w:sz w:val="20"/>
                <w:szCs w:val="20"/>
                <w:lang w:eastAsia="en-US"/>
              </w:rPr>
              <w:t xml:space="preserve">  </w:t>
            </w:r>
            <w:r w:rsidR="004F72BF" w:rsidRPr="00337DB9">
              <w:rPr>
                <w:rFonts w:ascii="Arial" w:hAnsi="Arial" w:cs="Arial"/>
                <w:b/>
                <w:bCs/>
                <w:color w:val="000000"/>
                <w:sz w:val="20"/>
                <w:szCs w:val="20"/>
                <w:lang w:eastAsia="en-US"/>
              </w:rPr>
              <w:t>16.55</w:t>
            </w:r>
            <w:r w:rsidRPr="00337DB9">
              <w:rPr>
                <w:rFonts w:ascii="Arial" w:hAnsi="Arial" w:cs="Arial"/>
                <w:b/>
                <w:bCs/>
                <w:color w:val="000000"/>
                <w:sz w:val="20"/>
                <w:szCs w:val="20"/>
                <w:lang w:eastAsia="en-US"/>
              </w:rPr>
              <w:t xml:space="preserve"> </w:t>
            </w:r>
          </w:p>
        </w:tc>
        <w:tc>
          <w:tcPr>
            <w:tcW w:w="694" w:type="dxa"/>
            <w:tcBorders>
              <w:top w:val="nil"/>
              <w:left w:val="nil"/>
              <w:bottom w:val="single" w:sz="4" w:space="0" w:color="auto"/>
              <w:right w:val="single" w:sz="4" w:space="0" w:color="auto"/>
            </w:tcBorders>
            <w:shd w:val="clear" w:color="000000" w:fill="F2F2F2"/>
            <w:vAlign w:val="center"/>
            <w:hideMark/>
          </w:tcPr>
          <w:p w14:paraId="7139A0B3" w14:textId="51643144" w:rsidR="00A7184B" w:rsidRPr="00337DB9" w:rsidRDefault="00A7184B" w:rsidP="00A7184B">
            <w:pPr>
              <w:jc w:val="center"/>
              <w:rPr>
                <w:rFonts w:ascii="Arial" w:hAnsi="Arial" w:cs="Arial"/>
                <w:b/>
                <w:bCs/>
                <w:color w:val="000000"/>
                <w:sz w:val="20"/>
                <w:szCs w:val="20"/>
                <w:lang w:eastAsia="en-US"/>
              </w:rPr>
            </w:pPr>
            <w:r w:rsidRPr="00337DB9">
              <w:rPr>
                <w:rFonts w:ascii="Arial" w:hAnsi="Arial" w:cs="Arial"/>
                <w:b/>
                <w:bCs/>
                <w:color w:val="000000"/>
                <w:sz w:val="20"/>
                <w:szCs w:val="20"/>
                <w:lang w:eastAsia="en-US"/>
              </w:rPr>
              <w:t xml:space="preserve">  </w:t>
            </w:r>
            <w:r w:rsidR="004F72BF" w:rsidRPr="00337DB9">
              <w:rPr>
                <w:rFonts w:ascii="Arial" w:hAnsi="Arial" w:cs="Arial"/>
                <w:b/>
                <w:bCs/>
                <w:color w:val="000000"/>
                <w:sz w:val="20"/>
                <w:szCs w:val="20"/>
                <w:lang w:eastAsia="en-US"/>
              </w:rPr>
              <w:t>17.39</w:t>
            </w:r>
            <w:r w:rsidRPr="00337DB9">
              <w:rPr>
                <w:rFonts w:ascii="Arial" w:hAnsi="Arial" w:cs="Arial"/>
                <w:b/>
                <w:bCs/>
                <w:color w:val="000000"/>
                <w:sz w:val="20"/>
                <w:szCs w:val="20"/>
                <w:lang w:eastAsia="en-US"/>
              </w:rPr>
              <w:t xml:space="preserve"> </w:t>
            </w:r>
          </w:p>
        </w:tc>
        <w:tc>
          <w:tcPr>
            <w:tcW w:w="729" w:type="dxa"/>
            <w:tcBorders>
              <w:top w:val="nil"/>
              <w:left w:val="nil"/>
              <w:bottom w:val="single" w:sz="4" w:space="0" w:color="auto"/>
              <w:right w:val="single" w:sz="4" w:space="0" w:color="auto"/>
            </w:tcBorders>
            <w:shd w:val="clear" w:color="000000" w:fill="F2F2F2"/>
            <w:vAlign w:val="center"/>
            <w:hideMark/>
          </w:tcPr>
          <w:p w14:paraId="4AD6D3E9" w14:textId="77777777" w:rsidR="00A7184B" w:rsidRPr="00337DB9" w:rsidRDefault="00A7184B" w:rsidP="00A7184B">
            <w:pPr>
              <w:jc w:val="center"/>
              <w:rPr>
                <w:rFonts w:ascii="Arial" w:hAnsi="Arial" w:cs="Arial"/>
                <w:b/>
                <w:bCs/>
                <w:color w:val="000000"/>
                <w:sz w:val="20"/>
                <w:szCs w:val="20"/>
                <w:lang w:eastAsia="en-US"/>
              </w:rPr>
            </w:pPr>
            <w:r w:rsidRPr="00337DB9">
              <w:rPr>
                <w:rFonts w:ascii="Arial" w:hAnsi="Arial" w:cs="Arial"/>
                <w:b/>
                <w:bCs/>
                <w:color w:val="000000"/>
                <w:sz w:val="20"/>
                <w:szCs w:val="20"/>
                <w:lang w:eastAsia="en-US"/>
              </w:rPr>
              <w:t xml:space="preserve">      -   </w:t>
            </w:r>
          </w:p>
        </w:tc>
        <w:tc>
          <w:tcPr>
            <w:tcW w:w="729" w:type="dxa"/>
            <w:tcBorders>
              <w:top w:val="nil"/>
              <w:left w:val="nil"/>
              <w:bottom w:val="single" w:sz="4" w:space="0" w:color="auto"/>
              <w:right w:val="single" w:sz="4" w:space="0" w:color="auto"/>
            </w:tcBorders>
            <w:shd w:val="clear" w:color="000000" w:fill="F2F2F2"/>
            <w:vAlign w:val="center"/>
            <w:hideMark/>
          </w:tcPr>
          <w:p w14:paraId="2E8C663D" w14:textId="77777777" w:rsidR="00A7184B" w:rsidRPr="00337DB9" w:rsidRDefault="00A7184B" w:rsidP="00A7184B">
            <w:pPr>
              <w:jc w:val="center"/>
              <w:rPr>
                <w:rFonts w:ascii="Arial" w:hAnsi="Arial" w:cs="Arial"/>
                <w:b/>
                <w:bCs/>
                <w:color w:val="000000"/>
                <w:sz w:val="20"/>
                <w:szCs w:val="20"/>
                <w:lang w:eastAsia="en-US"/>
              </w:rPr>
            </w:pPr>
            <w:r w:rsidRPr="00337DB9">
              <w:rPr>
                <w:rFonts w:ascii="Arial" w:hAnsi="Arial" w:cs="Arial"/>
                <w:b/>
                <w:bCs/>
                <w:color w:val="000000"/>
                <w:sz w:val="20"/>
                <w:szCs w:val="20"/>
                <w:lang w:eastAsia="en-US"/>
              </w:rPr>
              <w:t xml:space="preserve">      -   </w:t>
            </w:r>
          </w:p>
        </w:tc>
        <w:tc>
          <w:tcPr>
            <w:tcW w:w="929" w:type="dxa"/>
            <w:tcBorders>
              <w:top w:val="nil"/>
              <w:left w:val="nil"/>
              <w:bottom w:val="single" w:sz="4" w:space="0" w:color="auto"/>
              <w:right w:val="single" w:sz="4" w:space="0" w:color="auto"/>
            </w:tcBorders>
            <w:shd w:val="clear" w:color="000000" w:fill="F2F2F2"/>
            <w:vAlign w:val="center"/>
            <w:hideMark/>
          </w:tcPr>
          <w:p w14:paraId="5B3B0EC5" w14:textId="77777777" w:rsidR="00A7184B" w:rsidRPr="00337DB9" w:rsidRDefault="00A7184B" w:rsidP="00A7184B">
            <w:pPr>
              <w:jc w:val="center"/>
              <w:rPr>
                <w:rFonts w:ascii="Arial" w:hAnsi="Arial" w:cs="Arial"/>
                <w:b/>
                <w:bCs/>
                <w:color w:val="000000"/>
                <w:sz w:val="20"/>
                <w:szCs w:val="20"/>
                <w:lang w:eastAsia="en-US"/>
              </w:rPr>
            </w:pPr>
            <w:r w:rsidRPr="00337DB9">
              <w:rPr>
                <w:rFonts w:ascii="Arial" w:hAnsi="Arial" w:cs="Arial"/>
                <w:b/>
                <w:bCs/>
                <w:color w:val="000000"/>
                <w:sz w:val="20"/>
                <w:szCs w:val="20"/>
                <w:lang w:eastAsia="en-US"/>
              </w:rPr>
              <w:t xml:space="preserve">   80.45 </w:t>
            </w:r>
          </w:p>
        </w:tc>
      </w:tr>
      <w:tr w:rsidR="00A7184B" w:rsidRPr="00337DB9" w14:paraId="1DBC0F1B" w14:textId="77777777" w:rsidTr="00690D98">
        <w:trPr>
          <w:trHeight w:val="600"/>
        </w:trPr>
        <w:tc>
          <w:tcPr>
            <w:tcW w:w="9805" w:type="dxa"/>
            <w:gridSpan w:val="10"/>
            <w:tcBorders>
              <w:top w:val="single" w:sz="4" w:space="0" w:color="auto"/>
              <w:left w:val="single" w:sz="4" w:space="0" w:color="auto"/>
              <w:bottom w:val="single" w:sz="4" w:space="0" w:color="auto"/>
              <w:right w:val="single" w:sz="4" w:space="0" w:color="auto"/>
            </w:tcBorders>
            <w:shd w:val="clear" w:color="000000" w:fill="D9D9D9"/>
            <w:vAlign w:val="center"/>
            <w:hideMark/>
          </w:tcPr>
          <w:p w14:paraId="733A46D3" w14:textId="18D7BC34" w:rsidR="00A7184B" w:rsidRPr="00337DB9" w:rsidRDefault="00A7184B" w:rsidP="00A7184B">
            <w:pPr>
              <w:jc w:val="left"/>
              <w:rPr>
                <w:rFonts w:ascii="Arial" w:hAnsi="Arial" w:cs="Arial"/>
                <w:b/>
                <w:bCs/>
                <w:color w:val="000000"/>
                <w:sz w:val="20"/>
                <w:szCs w:val="20"/>
                <w:lang w:eastAsia="en-US"/>
              </w:rPr>
            </w:pPr>
            <w:r w:rsidRPr="00337DB9">
              <w:rPr>
                <w:rFonts w:ascii="Arial" w:hAnsi="Arial" w:cs="Arial"/>
                <w:b/>
                <w:bCs/>
                <w:color w:val="000000"/>
                <w:sz w:val="20"/>
                <w:szCs w:val="20"/>
                <w:lang w:eastAsia="en-US"/>
              </w:rPr>
              <w:t xml:space="preserve">Component 2: Technical Assistance: Regulatory framework, institutional strengthening, </w:t>
            </w:r>
            <w:r w:rsidR="00337DB9" w:rsidRPr="00337DB9">
              <w:rPr>
                <w:rFonts w:ascii="Arial" w:hAnsi="Arial" w:cs="Arial"/>
                <w:b/>
                <w:bCs/>
                <w:color w:val="000000"/>
                <w:sz w:val="20"/>
                <w:szCs w:val="20"/>
                <w:lang w:eastAsia="en-US"/>
              </w:rPr>
              <w:t xml:space="preserve">and </w:t>
            </w:r>
            <w:r w:rsidRPr="00337DB9">
              <w:rPr>
                <w:rFonts w:ascii="Arial" w:hAnsi="Arial" w:cs="Arial"/>
                <w:b/>
                <w:bCs/>
                <w:color w:val="000000"/>
                <w:sz w:val="20"/>
                <w:szCs w:val="20"/>
                <w:lang w:eastAsia="en-US"/>
              </w:rPr>
              <w:t>capacity building</w:t>
            </w:r>
          </w:p>
        </w:tc>
      </w:tr>
      <w:tr w:rsidR="00503ECC" w:rsidRPr="00337DB9" w14:paraId="0DE1DCCF" w14:textId="77777777" w:rsidTr="001B777E">
        <w:trPr>
          <w:trHeight w:val="1710"/>
        </w:trPr>
        <w:tc>
          <w:tcPr>
            <w:tcW w:w="2522" w:type="dxa"/>
            <w:tcBorders>
              <w:top w:val="nil"/>
              <w:left w:val="single" w:sz="4" w:space="0" w:color="auto"/>
              <w:bottom w:val="single" w:sz="4" w:space="0" w:color="auto"/>
              <w:right w:val="single" w:sz="4" w:space="0" w:color="auto"/>
            </w:tcBorders>
            <w:shd w:val="clear" w:color="auto" w:fill="auto"/>
            <w:vAlign w:val="center"/>
            <w:hideMark/>
          </w:tcPr>
          <w:p w14:paraId="529C3B6D" w14:textId="0BC2D8BF" w:rsidR="00503ECC" w:rsidRPr="00337DB9" w:rsidRDefault="00503ECC" w:rsidP="00503ECC">
            <w:pPr>
              <w:jc w:val="left"/>
              <w:rPr>
                <w:rFonts w:ascii="Arial" w:hAnsi="Arial" w:cs="Arial"/>
                <w:color w:val="000000"/>
                <w:sz w:val="20"/>
                <w:szCs w:val="20"/>
                <w:lang w:eastAsia="en-US"/>
              </w:rPr>
            </w:pPr>
            <w:r w:rsidRPr="008A49BC">
              <w:rPr>
                <w:rFonts w:ascii="Arial" w:hAnsi="Arial" w:cs="Arial"/>
                <w:sz w:val="20"/>
                <w:szCs w:val="20"/>
              </w:rPr>
              <w:t xml:space="preserve">Technical assistance grants provided to governments in ECC with resources from the </w:t>
            </w:r>
            <w:r>
              <w:rPr>
                <w:rFonts w:ascii="Arial" w:hAnsi="Arial" w:cs="Arial"/>
                <w:sz w:val="20"/>
                <w:szCs w:val="20"/>
              </w:rPr>
              <w:t>p</w:t>
            </w:r>
            <w:r w:rsidRPr="008A49BC">
              <w:rPr>
                <w:rFonts w:ascii="Arial" w:hAnsi="Arial" w:cs="Arial"/>
                <w:sz w:val="20"/>
                <w:szCs w:val="20"/>
              </w:rPr>
              <w:t>rogram</w:t>
            </w:r>
          </w:p>
        </w:tc>
        <w:tc>
          <w:tcPr>
            <w:tcW w:w="898" w:type="dxa"/>
            <w:tcBorders>
              <w:top w:val="nil"/>
              <w:left w:val="nil"/>
              <w:bottom w:val="single" w:sz="4" w:space="0" w:color="auto"/>
              <w:right w:val="single" w:sz="4" w:space="0" w:color="auto"/>
            </w:tcBorders>
            <w:shd w:val="clear" w:color="auto" w:fill="auto"/>
            <w:vAlign w:val="center"/>
            <w:hideMark/>
          </w:tcPr>
          <w:p w14:paraId="4EA09C6A" w14:textId="570D0643" w:rsidR="00503ECC" w:rsidRPr="00337DB9" w:rsidRDefault="00503ECC" w:rsidP="00503ECC">
            <w:pPr>
              <w:jc w:val="center"/>
              <w:rPr>
                <w:rFonts w:ascii="Arial" w:hAnsi="Arial" w:cs="Arial"/>
                <w:color w:val="000000"/>
                <w:sz w:val="20"/>
                <w:szCs w:val="20"/>
                <w:lang w:eastAsia="en-US"/>
              </w:rPr>
            </w:pPr>
            <w:r w:rsidRPr="00337DB9">
              <w:rPr>
                <w:rFonts w:ascii="Arial" w:hAnsi="Arial" w:cs="Arial"/>
                <w:color w:val="000000"/>
                <w:sz w:val="20"/>
                <w:szCs w:val="20"/>
                <w:lang w:eastAsia="en-US"/>
              </w:rPr>
              <w:t xml:space="preserve">      </w:t>
            </w:r>
            <w:r w:rsidR="00376811">
              <w:rPr>
                <w:rFonts w:ascii="Arial" w:hAnsi="Arial" w:cs="Arial"/>
                <w:color w:val="000000"/>
                <w:sz w:val="20"/>
                <w:szCs w:val="20"/>
                <w:lang w:eastAsia="en-US"/>
              </w:rPr>
              <w:t>0.5</w:t>
            </w:r>
            <w:r w:rsidRPr="00337DB9">
              <w:rPr>
                <w:rFonts w:ascii="Arial" w:hAnsi="Arial" w:cs="Arial"/>
                <w:color w:val="000000"/>
                <w:sz w:val="20"/>
                <w:szCs w:val="20"/>
                <w:lang w:eastAsia="en-US"/>
              </w:rPr>
              <w:t xml:space="preserve"> </w:t>
            </w:r>
          </w:p>
        </w:tc>
        <w:tc>
          <w:tcPr>
            <w:tcW w:w="913" w:type="dxa"/>
            <w:tcBorders>
              <w:top w:val="nil"/>
              <w:left w:val="nil"/>
              <w:bottom w:val="single" w:sz="4" w:space="0" w:color="auto"/>
              <w:right w:val="single" w:sz="4" w:space="0" w:color="auto"/>
            </w:tcBorders>
            <w:shd w:val="clear" w:color="auto" w:fill="auto"/>
            <w:vAlign w:val="center"/>
            <w:hideMark/>
          </w:tcPr>
          <w:p w14:paraId="029D63DB" w14:textId="117E074B" w:rsidR="00503ECC" w:rsidRPr="00337DB9" w:rsidRDefault="00376811" w:rsidP="00503ECC">
            <w:pPr>
              <w:jc w:val="center"/>
              <w:rPr>
                <w:rFonts w:ascii="Arial" w:hAnsi="Arial" w:cs="Arial"/>
                <w:color w:val="000000"/>
                <w:sz w:val="20"/>
                <w:szCs w:val="20"/>
                <w:lang w:eastAsia="en-US"/>
              </w:rPr>
            </w:pPr>
            <w:r>
              <w:rPr>
                <w:rFonts w:ascii="Arial" w:hAnsi="Arial" w:cs="Arial"/>
                <w:color w:val="000000"/>
                <w:sz w:val="20"/>
                <w:szCs w:val="20"/>
                <w:lang w:eastAsia="en-US"/>
              </w:rPr>
              <w:t>0.5</w:t>
            </w:r>
          </w:p>
        </w:tc>
        <w:tc>
          <w:tcPr>
            <w:tcW w:w="930" w:type="dxa"/>
            <w:tcBorders>
              <w:top w:val="nil"/>
              <w:left w:val="nil"/>
              <w:bottom w:val="single" w:sz="4" w:space="0" w:color="auto"/>
              <w:right w:val="single" w:sz="4" w:space="0" w:color="auto"/>
            </w:tcBorders>
            <w:shd w:val="clear" w:color="auto" w:fill="auto"/>
            <w:vAlign w:val="center"/>
            <w:hideMark/>
          </w:tcPr>
          <w:p w14:paraId="6B0C77C3" w14:textId="3831E327" w:rsidR="00503ECC" w:rsidRPr="00337DB9" w:rsidRDefault="00376811" w:rsidP="00503ECC">
            <w:pPr>
              <w:jc w:val="center"/>
              <w:rPr>
                <w:rFonts w:ascii="Arial" w:hAnsi="Arial" w:cs="Arial"/>
                <w:color w:val="000000"/>
                <w:sz w:val="20"/>
                <w:szCs w:val="20"/>
                <w:lang w:eastAsia="en-US"/>
              </w:rPr>
            </w:pPr>
            <w:r>
              <w:rPr>
                <w:rFonts w:ascii="Arial" w:hAnsi="Arial" w:cs="Arial"/>
                <w:color w:val="000000"/>
                <w:sz w:val="20"/>
                <w:szCs w:val="20"/>
                <w:lang w:eastAsia="en-US"/>
              </w:rPr>
              <w:t>-</w:t>
            </w:r>
          </w:p>
        </w:tc>
        <w:tc>
          <w:tcPr>
            <w:tcW w:w="767" w:type="dxa"/>
            <w:tcBorders>
              <w:top w:val="nil"/>
              <w:left w:val="nil"/>
              <w:bottom w:val="single" w:sz="4" w:space="0" w:color="auto"/>
              <w:right w:val="single" w:sz="4" w:space="0" w:color="auto"/>
            </w:tcBorders>
            <w:shd w:val="clear" w:color="auto" w:fill="auto"/>
            <w:vAlign w:val="center"/>
            <w:hideMark/>
          </w:tcPr>
          <w:p w14:paraId="585B5E50" w14:textId="77777777" w:rsidR="00503ECC" w:rsidRPr="00337DB9" w:rsidRDefault="00503ECC" w:rsidP="00503ECC">
            <w:pPr>
              <w:jc w:val="center"/>
              <w:rPr>
                <w:rFonts w:ascii="Arial" w:hAnsi="Arial" w:cs="Arial"/>
                <w:color w:val="000000"/>
                <w:sz w:val="20"/>
                <w:szCs w:val="20"/>
                <w:lang w:eastAsia="en-US"/>
              </w:rPr>
            </w:pPr>
            <w:r w:rsidRPr="00337DB9">
              <w:rPr>
                <w:rFonts w:ascii="Arial" w:hAnsi="Arial" w:cs="Arial"/>
                <w:color w:val="000000"/>
                <w:sz w:val="20"/>
                <w:szCs w:val="20"/>
                <w:lang w:eastAsia="en-US"/>
              </w:rPr>
              <w:t xml:space="preserve">       -   </w:t>
            </w:r>
          </w:p>
        </w:tc>
        <w:tc>
          <w:tcPr>
            <w:tcW w:w="694" w:type="dxa"/>
            <w:tcBorders>
              <w:top w:val="nil"/>
              <w:left w:val="nil"/>
              <w:bottom w:val="single" w:sz="4" w:space="0" w:color="auto"/>
              <w:right w:val="single" w:sz="4" w:space="0" w:color="auto"/>
            </w:tcBorders>
            <w:shd w:val="clear" w:color="auto" w:fill="auto"/>
            <w:vAlign w:val="center"/>
            <w:hideMark/>
          </w:tcPr>
          <w:p w14:paraId="443E182D" w14:textId="77777777" w:rsidR="00503ECC" w:rsidRPr="00337DB9" w:rsidRDefault="00503ECC" w:rsidP="00503ECC">
            <w:pPr>
              <w:jc w:val="center"/>
              <w:rPr>
                <w:rFonts w:ascii="Arial" w:hAnsi="Arial" w:cs="Arial"/>
                <w:color w:val="000000"/>
                <w:sz w:val="20"/>
                <w:szCs w:val="20"/>
                <w:lang w:eastAsia="en-US"/>
              </w:rPr>
            </w:pPr>
            <w:r w:rsidRPr="00337DB9">
              <w:rPr>
                <w:rFonts w:ascii="Arial" w:hAnsi="Arial" w:cs="Arial"/>
                <w:color w:val="000000"/>
                <w:sz w:val="20"/>
                <w:szCs w:val="20"/>
                <w:lang w:eastAsia="en-US"/>
              </w:rPr>
              <w:t xml:space="preserve">     -   </w:t>
            </w:r>
          </w:p>
        </w:tc>
        <w:tc>
          <w:tcPr>
            <w:tcW w:w="694" w:type="dxa"/>
            <w:tcBorders>
              <w:top w:val="nil"/>
              <w:left w:val="nil"/>
              <w:bottom w:val="single" w:sz="4" w:space="0" w:color="auto"/>
              <w:right w:val="single" w:sz="4" w:space="0" w:color="auto"/>
            </w:tcBorders>
            <w:shd w:val="clear" w:color="auto" w:fill="auto"/>
            <w:vAlign w:val="center"/>
            <w:hideMark/>
          </w:tcPr>
          <w:p w14:paraId="1D324C85" w14:textId="77777777" w:rsidR="00503ECC" w:rsidRPr="00337DB9" w:rsidRDefault="00503ECC" w:rsidP="00503ECC">
            <w:pPr>
              <w:jc w:val="center"/>
              <w:rPr>
                <w:rFonts w:ascii="Arial" w:hAnsi="Arial" w:cs="Arial"/>
                <w:color w:val="000000"/>
                <w:sz w:val="20"/>
                <w:szCs w:val="20"/>
                <w:lang w:eastAsia="en-US"/>
              </w:rPr>
            </w:pPr>
            <w:r w:rsidRPr="00337DB9">
              <w:rPr>
                <w:rFonts w:ascii="Arial" w:hAnsi="Arial" w:cs="Arial"/>
                <w:color w:val="000000"/>
                <w:sz w:val="20"/>
                <w:szCs w:val="20"/>
                <w:lang w:eastAsia="en-US"/>
              </w:rPr>
              <w:t xml:space="preserve">     -   </w:t>
            </w:r>
          </w:p>
        </w:tc>
        <w:tc>
          <w:tcPr>
            <w:tcW w:w="729" w:type="dxa"/>
            <w:tcBorders>
              <w:top w:val="nil"/>
              <w:left w:val="nil"/>
              <w:bottom w:val="single" w:sz="4" w:space="0" w:color="auto"/>
              <w:right w:val="single" w:sz="4" w:space="0" w:color="auto"/>
            </w:tcBorders>
            <w:shd w:val="clear" w:color="auto" w:fill="auto"/>
            <w:vAlign w:val="center"/>
            <w:hideMark/>
          </w:tcPr>
          <w:p w14:paraId="2DAE3973" w14:textId="77777777" w:rsidR="00503ECC" w:rsidRPr="00337DB9" w:rsidRDefault="00503ECC" w:rsidP="00503ECC">
            <w:pPr>
              <w:jc w:val="center"/>
              <w:rPr>
                <w:rFonts w:ascii="Arial" w:hAnsi="Arial" w:cs="Arial"/>
                <w:color w:val="000000"/>
                <w:sz w:val="20"/>
                <w:szCs w:val="20"/>
                <w:lang w:eastAsia="en-US"/>
              </w:rPr>
            </w:pPr>
            <w:r w:rsidRPr="00337DB9">
              <w:rPr>
                <w:rFonts w:ascii="Arial" w:hAnsi="Arial" w:cs="Arial"/>
                <w:color w:val="000000"/>
                <w:sz w:val="20"/>
                <w:szCs w:val="20"/>
                <w:lang w:eastAsia="en-US"/>
              </w:rPr>
              <w:t xml:space="preserve">      -   </w:t>
            </w:r>
          </w:p>
        </w:tc>
        <w:tc>
          <w:tcPr>
            <w:tcW w:w="729" w:type="dxa"/>
            <w:tcBorders>
              <w:top w:val="nil"/>
              <w:left w:val="nil"/>
              <w:bottom w:val="single" w:sz="4" w:space="0" w:color="auto"/>
              <w:right w:val="single" w:sz="4" w:space="0" w:color="auto"/>
            </w:tcBorders>
            <w:shd w:val="clear" w:color="auto" w:fill="auto"/>
            <w:vAlign w:val="center"/>
            <w:hideMark/>
          </w:tcPr>
          <w:p w14:paraId="0FDEADEC" w14:textId="77777777" w:rsidR="00503ECC" w:rsidRPr="00337DB9" w:rsidRDefault="00503ECC" w:rsidP="00503ECC">
            <w:pPr>
              <w:jc w:val="center"/>
              <w:rPr>
                <w:rFonts w:ascii="Arial" w:hAnsi="Arial" w:cs="Arial"/>
                <w:color w:val="000000"/>
                <w:sz w:val="20"/>
                <w:szCs w:val="20"/>
                <w:lang w:eastAsia="en-US"/>
              </w:rPr>
            </w:pPr>
            <w:r w:rsidRPr="00337DB9">
              <w:rPr>
                <w:rFonts w:ascii="Arial" w:hAnsi="Arial" w:cs="Arial"/>
                <w:color w:val="000000"/>
                <w:sz w:val="20"/>
                <w:szCs w:val="20"/>
                <w:lang w:eastAsia="en-US"/>
              </w:rPr>
              <w:t xml:space="preserve">      -   </w:t>
            </w:r>
          </w:p>
        </w:tc>
        <w:tc>
          <w:tcPr>
            <w:tcW w:w="929" w:type="dxa"/>
            <w:tcBorders>
              <w:top w:val="nil"/>
              <w:left w:val="nil"/>
              <w:bottom w:val="single" w:sz="4" w:space="0" w:color="auto"/>
              <w:right w:val="single" w:sz="4" w:space="0" w:color="auto"/>
            </w:tcBorders>
            <w:shd w:val="clear" w:color="auto" w:fill="auto"/>
            <w:vAlign w:val="center"/>
            <w:hideMark/>
          </w:tcPr>
          <w:p w14:paraId="6CC2F29A" w14:textId="4DE59D7B" w:rsidR="00503ECC" w:rsidRPr="00337DB9" w:rsidRDefault="00503ECC" w:rsidP="00503ECC">
            <w:pPr>
              <w:jc w:val="center"/>
              <w:rPr>
                <w:rFonts w:ascii="Arial" w:hAnsi="Arial" w:cs="Arial"/>
                <w:color w:val="000000"/>
                <w:sz w:val="20"/>
                <w:szCs w:val="20"/>
                <w:lang w:eastAsia="en-US"/>
              </w:rPr>
            </w:pPr>
            <w:r w:rsidRPr="00337DB9">
              <w:rPr>
                <w:rFonts w:ascii="Arial" w:hAnsi="Arial" w:cs="Arial"/>
                <w:color w:val="000000"/>
                <w:sz w:val="20"/>
                <w:szCs w:val="20"/>
                <w:lang w:eastAsia="en-US"/>
              </w:rPr>
              <w:t xml:space="preserve">     </w:t>
            </w:r>
            <w:r w:rsidR="00376811">
              <w:rPr>
                <w:rFonts w:ascii="Arial" w:hAnsi="Arial" w:cs="Arial"/>
                <w:color w:val="000000"/>
                <w:sz w:val="20"/>
                <w:szCs w:val="20"/>
                <w:lang w:eastAsia="en-US"/>
              </w:rPr>
              <w:t>1.0</w:t>
            </w:r>
          </w:p>
        </w:tc>
      </w:tr>
      <w:tr w:rsidR="00503ECC" w:rsidRPr="00337DB9" w14:paraId="02A37D3E" w14:textId="77777777" w:rsidTr="001B777E">
        <w:trPr>
          <w:trHeight w:val="1710"/>
        </w:trPr>
        <w:tc>
          <w:tcPr>
            <w:tcW w:w="2522" w:type="dxa"/>
            <w:tcBorders>
              <w:top w:val="nil"/>
              <w:left w:val="single" w:sz="4" w:space="0" w:color="auto"/>
              <w:bottom w:val="single" w:sz="4" w:space="0" w:color="auto"/>
              <w:right w:val="single" w:sz="4" w:space="0" w:color="auto"/>
            </w:tcBorders>
            <w:shd w:val="clear" w:color="auto" w:fill="auto"/>
            <w:vAlign w:val="center"/>
          </w:tcPr>
          <w:p w14:paraId="307CD118" w14:textId="4BE0EDF8" w:rsidR="00503ECC" w:rsidRPr="00337DB9" w:rsidRDefault="00503ECC" w:rsidP="00503ECC">
            <w:pPr>
              <w:jc w:val="left"/>
              <w:rPr>
                <w:rFonts w:ascii="Arial" w:hAnsi="Arial" w:cs="Arial"/>
                <w:color w:val="000000"/>
                <w:sz w:val="20"/>
                <w:szCs w:val="20"/>
                <w:lang w:eastAsia="en-US"/>
              </w:rPr>
            </w:pPr>
            <w:r w:rsidRPr="008A49BC">
              <w:rPr>
                <w:rFonts w:ascii="Arial" w:hAnsi="Arial" w:cs="Arial"/>
                <w:sz w:val="20"/>
                <w:szCs w:val="20"/>
              </w:rPr>
              <w:t xml:space="preserve">Specialized advisory services contracts awarded to strengthen CDB’s capacity to implement the </w:t>
            </w:r>
            <w:r>
              <w:rPr>
                <w:rFonts w:ascii="Arial" w:hAnsi="Arial" w:cs="Arial"/>
                <w:sz w:val="20"/>
                <w:szCs w:val="20"/>
              </w:rPr>
              <w:t>p</w:t>
            </w:r>
            <w:r w:rsidRPr="008A49BC">
              <w:rPr>
                <w:rFonts w:ascii="Arial" w:hAnsi="Arial" w:cs="Arial"/>
                <w:sz w:val="20"/>
                <w:szCs w:val="20"/>
              </w:rPr>
              <w:t>rogram</w:t>
            </w:r>
          </w:p>
        </w:tc>
        <w:tc>
          <w:tcPr>
            <w:tcW w:w="898" w:type="dxa"/>
            <w:tcBorders>
              <w:top w:val="nil"/>
              <w:left w:val="nil"/>
              <w:bottom w:val="single" w:sz="4" w:space="0" w:color="auto"/>
              <w:right w:val="single" w:sz="4" w:space="0" w:color="auto"/>
            </w:tcBorders>
            <w:shd w:val="clear" w:color="auto" w:fill="auto"/>
            <w:vAlign w:val="center"/>
          </w:tcPr>
          <w:p w14:paraId="3F6E542B" w14:textId="37CA003B" w:rsidR="00503ECC" w:rsidRPr="00337DB9" w:rsidRDefault="00376811" w:rsidP="00503ECC">
            <w:pPr>
              <w:jc w:val="center"/>
              <w:rPr>
                <w:rFonts w:ascii="Arial" w:hAnsi="Arial" w:cs="Arial"/>
                <w:color w:val="000000"/>
                <w:sz w:val="20"/>
                <w:szCs w:val="20"/>
                <w:lang w:eastAsia="en-US"/>
              </w:rPr>
            </w:pPr>
            <w:r>
              <w:rPr>
                <w:rFonts w:ascii="Arial" w:hAnsi="Arial" w:cs="Arial"/>
                <w:color w:val="000000"/>
                <w:sz w:val="20"/>
                <w:szCs w:val="20"/>
                <w:lang w:eastAsia="en-US"/>
              </w:rPr>
              <w:t>2.15</w:t>
            </w:r>
          </w:p>
        </w:tc>
        <w:tc>
          <w:tcPr>
            <w:tcW w:w="913" w:type="dxa"/>
            <w:tcBorders>
              <w:top w:val="nil"/>
              <w:left w:val="nil"/>
              <w:bottom w:val="single" w:sz="4" w:space="0" w:color="auto"/>
              <w:right w:val="single" w:sz="4" w:space="0" w:color="auto"/>
            </w:tcBorders>
            <w:shd w:val="clear" w:color="auto" w:fill="auto"/>
            <w:vAlign w:val="center"/>
          </w:tcPr>
          <w:p w14:paraId="069FD648" w14:textId="4DE79E0F" w:rsidR="00503ECC" w:rsidRPr="00337DB9" w:rsidRDefault="00376811" w:rsidP="00503ECC">
            <w:pPr>
              <w:jc w:val="center"/>
              <w:rPr>
                <w:rFonts w:ascii="Arial" w:hAnsi="Arial" w:cs="Arial"/>
                <w:color w:val="000000"/>
                <w:sz w:val="20"/>
                <w:szCs w:val="20"/>
                <w:lang w:eastAsia="en-US"/>
              </w:rPr>
            </w:pPr>
            <w:r>
              <w:rPr>
                <w:rFonts w:ascii="Arial" w:hAnsi="Arial" w:cs="Arial"/>
                <w:color w:val="000000"/>
                <w:sz w:val="20"/>
                <w:szCs w:val="20"/>
                <w:lang w:eastAsia="en-US"/>
              </w:rPr>
              <w:t>1.3</w:t>
            </w:r>
            <w:r w:rsidR="005053CA">
              <w:rPr>
                <w:rFonts w:ascii="Arial" w:hAnsi="Arial" w:cs="Arial"/>
                <w:color w:val="000000"/>
                <w:sz w:val="20"/>
                <w:szCs w:val="20"/>
                <w:lang w:eastAsia="en-US"/>
              </w:rPr>
              <w:t>1</w:t>
            </w:r>
          </w:p>
        </w:tc>
        <w:tc>
          <w:tcPr>
            <w:tcW w:w="930" w:type="dxa"/>
            <w:tcBorders>
              <w:top w:val="nil"/>
              <w:left w:val="nil"/>
              <w:bottom w:val="single" w:sz="4" w:space="0" w:color="auto"/>
              <w:right w:val="single" w:sz="4" w:space="0" w:color="auto"/>
            </w:tcBorders>
            <w:shd w:val="clear" w:color="auto" w:fill="auto"/>
            <w:vAlign w:val="center"/>
          </w:tcPr>
          <w:p w14:paraId="3CEC47C5" w14:textId="054E3087" w:rsidR="00503ECC" w:rsidRPr="00337DB9" w:rsidRDefault="005053CA" w:rsidP="00503ECC">
            <w:pPr>
              <w:jc w:val="center"/>
              <w:rPr>
                <w:rFonts w:ascii="Arial" w:hAnsi="Arial" w:cs="Arial"/>
                <w:color w:val="000000"/>
                <w:sz w:val="20"/>
                <w:szCs w:val="20"/>
                <w:lang w:eastAsia="en-US"/>
              </w:rPr>
            </w:pPr>
            <w:r>
              <w:rPr>
                <w:rFonts w:ascii="Arial" w:hAnsi="Arial" w:cs="Arial"/>
                <w:color w:val="000000"/>
                <w:sz w:val="20"/>
                <w:szCs w:val="20"/>
                <w:lang w:eastAsia="en-US"/>
              </w:rPr>
              <w:t>0.70</w:t>
            </w:r>
          </w:p>
        </w:tc>
        <w:tc>
          <w:tcPr>
            <w:tcW w:w="767" w:type="dxa"/>
            <w:tcBorders>
              <w:top w:val="nil"/>
              <w:left w:val="nil"/>
              <w:bottom w:val="single" w:sz="4" w:space="0" w:color="auto"/>
              <w:right w:val="single" w:sz="4" w:space="0" w:color="auto"/>
            </w:tcBorders>
            <w:shd w:val="clear" w:color="auto" w:fill="auto"/>
            <w:vAlign w:val="center"/>
          </w:tcPr>
          <w:p w14:paraId="4F8A3292" w14:textId="23A8694F" w:rsidR="00503ECC" w:rsidRPr="00337DB9" w:rsidRDefault="005053CA" w:rsidP="00503ECC">
            <w:pPr>
              <w:jc w:val="center"/>
              <w:rPr>
                <w:rFonts w:ascii="Arial" w:hAnsi="Arial" w:cs="Arial"/>
                <w:color w:val="000000"/>
                <w:sz w:val="20"/>
                <w:szCs w:val="20"/>
                <w:lang w:eastAsia="en-US"/>
              </w:rPr>
            </w:pPr>
            <w:r>
              <w:rPr>
                <w:rFonts w:ascii="Arial" w:hAnsi="Arial" w:cs="Arial"/>
                <w:color w:val="000000"/>
                <w:sz w:val="20"/>
                <w:szCs w:val="20"/>
                <w:lang w:eastAsia="en-US"/>
              </w:rPr>
              <w:t>-</w:t>
            </w:r>
          </w:p>
        </w:tc>
        <w:tc>
          <w:tcPr>
            <w:tcW w:w="694" w:type="dxa"/>
            <w:tcBorders>
              <w:top w:val="nil"/>
              <w:left w:val="nil"/>
              <w:bottom w:val="single" w:sz="4" w:space="0" w:color="auto"/>
              <w:right w:val="single" w:sz="4" w:space="0" w:color="auto"/>
            </w:tcBorders>
            <w:shd w:val="clear" w:color="auto" w:fill="auto"/>
            <w:vAlign w:val="center"/>
          </w:tcPr>
          <w:p w14:paraId="03C2FB5C" w14:textId="0EDCD35E" w:rsidR="00503ECC" w:rsidRPr="00337DB9" w:rsidRDefault="005053CA" w:rsidP="00503ECC">
            <w:pPr>
              <w:jc w:val="center"/>
              <w:rPr>
                <w:rFonts w:ascii="Arial" w:hAnsi="Arial" w:cs="Arial"/>
                <w:color w:val="000000"/>
                <w:sz w:val="20"/>
                <w:szCs w:val="20"/>
                <w:lang w:eastAsia="en-US"/>
              </w:rPr>
            </w:pPr>
            <w:r>
              <w:rPr>
                <w:rFonts w:ascii="Arial" w:hAnsi="Arial" w:cs="Arial"/>
                <w:color w:val="000000"/>
                <w:sz w:val="20"/>
                <w:szCs w:val="20"/>
                <w:lang w:eastAsia="en-US"/>
              </w:rPr>
              <w:t>-</w:t>
            </w:r>
          </w:p>
        </w:tc>
        <w:tc>
          <w:tcPr>
            <w:tcW w:w="694" w:type="dxa"/>
            <w:tcBorders>
              <w:top w:val="nil"/>
              <w:left w:val="nil"/>
              <w:bottom w:val="single" w:sz="4" w:space="0" w:color="auto"/>
              <w:right w:val="single" w:sz="4" w:space="0" w:color="auto"/>
            </w:tcBorders>
            <w:shd w:val="clear" w:color="auto" w:fill="auto"/>
            <w:vAlign w:val="center"/>
          </w:tcPr>
          <w:p w14:paraId="6A31B69C" w14:textId="48A5848E" w:rsidR="00503ECC" w:rsidRPr="00337DB9" w:rsidRDefault="005053CA" w:rsidP="00503ECC">
            <w:pPr>
              <w:jc w:val="center"/>
              <w:rPr>
                <w:rFonts w:ascii="Arial" w:hAnsi="Arial" w:cs="Arial"/>
                <w:color w:val="000000"/>
                <w:sz w:val="20"/>
                <w:szCs w:val="20"/>
                <w:lang w:eastAsia="en-US"/>
              </w:rPr>
            </w:pPr>
            <w:r>
              <w:rPr>
                <w:rFonts w:ascii="Arial" w:hAnsi="Arial" w:cs="Arial"/>
                <w:color w:val="000000"/>
                <w:sz w:val="20"/>
                <w:szCs w:val="20"/>
                <w:lang w:eastAsia="en-US"/>
              </w:rPr>
              <w:t>-</w:t>
            </w:r>
          </w:p>
        </w:tc>
        <w:tc>
          <w:tcPr>
            <w:tcW w:w="729" w:type="dxa"/>
            <w:tcBorders>
              <w:top w:val="nil"/>
              <w:left w:val="nil"/>
              <w:bottom w:val="single" w:sz="4" w:space="0" w:color="auto"/>
              <w:right w:val="single" w:sz="4" w:space="0" w:color="auto"/>
            </w:tcBorders>
            <w:shd w:val="clear" w:color="auto" w:fill="auto"/>
            <w:vAlign w:val="center"/>
          </w:tcPr>
          <w:p w14:paraId="103775BC" w14:textId="10DB1966" w:rsidR="00503ECC" w:rsidRPr="00337DB9" w:rsidRDefault="005053CA" w:rsidP="00503ECC">
            <w:pPr>
              <w:jc w:val="center"/>
              <w:rPr>
                <w:rFonts w:ascii="Arial" w:hAnsi="Arial" w:cs="Arial"/>
                <w:color w:val="000000"/>
                <w:sz w:val="20"/>
                <w:szCs w:val="20"/>
                <w:lang w:eastAsia="en-US"/>
              </w:rPr>
            </w:pPr>
            <w:r>
              <w:rPr>
                <w:rFonts w:ascii="Arial" w:hAnsi="Arial" w:cs="Arial"/>
                <w:color w:val="000000"/>
                <w:sz w:val="20"/>
                <w:szCs w:val="20"/>
                <w:lang w:eastAsia="en-US"/>
              </w:rPr>
              <w:t>-</w:t>
            </w:r>
          </w:p>
        </w:tc>
        <w:tc>
          <w:tcPr>
            <w:tcW w:w="729" w:type="dxa"/>
            <w:tcBorders>
              <w:top w:val="nil"/>
              <w:left w:val="nil"/>
              <w:bottom w:val="single" w:sz="4" w:space="0" w:color="auto"/>
              <w:right w:val="single" w:sz="4" w:space="0" w:color="auto"/>
            </w:tcBorders>
            <w:shd w:val="clear" w:color="auto" w:fill="auto"/>
            <w:vAlign w:val="center"/>
          </w:tcPr>
          <w:p w14:paraId="3AAC78D3" w14:textId="406A216A" w:rsidR="00503ECC" w:rsidRPr="00337DB9" w:rsidRDefault="005053CA" w:rsidP="00503ECC">
            <w:pPr>
              <w:jc w:val="center"/>
              <w:rPr>
                <w:rFonts w:ascii="Arial" w:hAnsi="Arial" w:cs="Arial"/>
                <w:color w:val="000000"/>
                <w:sz w:val="20"/>
                <w:szCs w:val="20"/>
                <w:lang w:eastAsia="en-US"/>
              </w:rPr>
            </w:pPr>
            <w:r>
              <w:rPr>
                <w:rFonts w:ascii="Arial" w:hAnsi="Arial" w:cs="Arial"/>
                <w:color w:val="000000"/>
                <w:sz w:val="20"/>
                <w:szCs w:val="20"/>
                <w:lang w:eastAsia="en-US"/>
              </w:rPr>
              <w:t>-</w:t>
            </w:r>
          </w:p>
        </w:tc>
        <w:tc>
          <w:tcPr>
            <w:tcW w:w="929" w:type="dxa"/>
            <w:tcBorders>
              <w:top w:val="nil"/>
              <w:left w:val="nil"/>
              <w:bottom w:val="single" w:sz="4" w:space="0" w:color="auto"/>
              <w:right w:val="single" w:sz="4" w:space="0" w:color="auto"/>
            </w:tcBorders>
            <w:shd w:val="clear" w:color="auto" w:fill="auto"/>
            <w:vAlign w:val="center"/>
          </w:tcPr>
          <w:p w14:paraId="05A41418" w14:textId="2F6634F4" w:rsidR="00503ECC" w:rsidRPr="00337DB9" w:rsidRDefault="005053CA" w:rsidP="00503ECC">
            <w:pPr>
              <w:jc w:val="center"/>
              <w:rPr>
                <w:rFonts w:ascii="Arial" w:hAnsi="Arial" w:cs="Arial"/>
                <w:color w:val="000000"/>
                <w:sz w:val="20"/>
                <w:szCs w:val="20"/>
                <w:lang w:eastAsia="en-US"/>
              </w:rPr>
            </w:pPr>
            <w:r>
              <w:rPr>
                <w:rFonts w:ascii="Arial" w:hAnsi="Arial" w:cs="Arial"/>
                <w:color w:val="000000"/>
                <w:sz w:val="20"/>
                <w:szCs w:val="20"/>
                <w:lang w:eastAsia="en-US"/>
              </w:rPr>
              <w:t>4.16</w:t>
            </w:r>
          </w:p>
        </w:tc>
      </w:tr>
      <w:tr w:rsidR="004F72BF" w:rsidRPr="00337DB9" w14:paraId="62CC18D2" w14:textId="77777777" w:rsidTr="00690D98">
        <w:trPr>
          <w:trHeight w:val="300"/>
        </w:trPr>
        <w:tc>
          <w:tcPr>
            <w:tcW w:w="2522" w:type="dxa"/>
            <w:tcBorders>
              <w:top w:val="nil"/>
              <w:left w:val="single" w:sz="4" w:space="0" w:color="auto"/>
              <w:bottom w:val="single" w:sz="4" w:space="0" w:color="auto"/>
              <w:right w:val="single" w:sz="4" w:space="0" w:color="auto"/>
            </w:tcBorders>
            <w:shd w:val="clear" w:color="000000" w:fill="F2F2F2"/>
            <w:vAlign w:val="center"/>
            <w:hideMark/>
          </w:tcPr>
          <w:p w14:paraId="2CE0A32E" w14:textId="77777777" w:rsidR="004F72BF" w:rsidRPr="00337DB9" w:rsidRDefault="004F72BF" w:rsidP="004F72BF">
            <w:pPr>
              <w:jc w:val="left"/>
              <w:rPr>
                <w:rFonts w:ascii="Arial" w:hAnsi="Arial" w:cs="Arial"/>
                <w:b/>
                <w:bCs/>
                <w:color w:val="000000"/>
                <w:sz w:val="20"/>
                <w:szCs w:val="20"/>
                <w:lang w:eastAsia="en-US"/>
              </w:rPr>
            </w:pPr>
            <w:r w:rsidRPr="00337DB9">
              <w:rPr>
                <w:rFonts w:ascii="Arial" w:hAnsi="Arial" w:cs="Arial"/>
                <w:b/>
                <w:bCs/>
                <w:color w:val="000000"/>
                <w:sz w:val="20"/>
                <w:szCs w:val="20"/>
                <w:lang w:eastAsia="en-US"/>
              </w:rPr>
              <w:t xml:space="preserve"> Sub-total Component 2</w:t>
            </w:r>
          </w:p>
        </w:tc>
        <w:tc>
          <w:tcPr>
            <w:tcW w:w="898" w:type="dxa"/>
            <w:tcBorders>
              <w:top w:val="nil"/>
              <w:left w:val="nil"/>
              <w:bottom w:val="single" w:sz="4" w:space="0" w:color="auto"/>
              <w:right w:val="single" w:sz="4" w:space="0" w:color="auto"/>
            </w:tcBorders>
            <w:shd w:val="clear" w:color="000000" w:fill="F2F2F2"/>
            <w:hideMark/>
          </w:tcPr>
          <w:p w14:paraId="40E0D51B" w14:textId="7CD7563D" w:rsidR="004F72BF" w:rsidRPr="00337DB9" w:rsidRDefault="004F72BF" w:rsidP="004F72BF">
            <w:pPr>
              <w:jc w:val="center"/>
              <w:rPr>
                <w:rFonts w:ascii="Arial" w:hAnsi="Arial" w:cs="Arial"/>
                <w:b/>
                <w:bCs/>
                <w:color w:val="000000"/>
                <w:sz w:val="20"/>
                <w:szCs w:val="20"/>
                <w:lang w:eastAsia="en-US"/>
              </w:rPr>
            </w:pPr>
            <w:r w:rsidRPr="00690D98">
              <w:rPr>
                <w:rFonts w:ascii="Arial" w:hAnsi="Arial" w:cs="Arial"/>
                <w:b/>
                <w:bCs/>
                <w:color w:val="000000"/>
                <w:sz w:val="20"/>
                <w:szCs w:val="20"/>
                <w:lang w:eastAsia="en-US"/>
              </w:rPr>
              <w:t xml:space="preserve">      2.65 </w:t>
            </w:r>
          </w:p>
        </w:tc>
        <w:tc>
          <w:tcPr>
            <w:tcW w:w="913" w:type="dxa"/>
            <w:tcBorders>
              <w:top w:val="nil"/>
              <w:left w:val="nil"/>
              <w:bottom w:val="single" w:sz="4" w:space="0" w:color="auto"/>
              <w:right w:val="single" w:sz="4" w:space="0" w:color="auto"/>
            </w:tcBorders>
            <w:shd w:val="clear" w:color="000000" w:fill="F2F2F2"/>
            <w:hideMark/>
          </w:tcPr>
          <w:p w14:paraId="0C5C4BE5" w14:textId="6C146B34" w:rsidR="004F72BF" w:rsidRPr="00337DB9" w:rsidRDefault="004F72BF" w:rsidP="004F72BF">
            <w:pPr>
              <w:jc w:val="center"/>
              <w:rPr>
                <w:rFonts w:ascii="Arial" w:hAnsi="Arial" w:cs="Arial"/>
                <w:b/>
                <w:bCs/>
                <w:color w:val="000000"/>
                <w:sz w:val="20"/>
                <w:szCs w:val="20"/>
                <w:lang w:eastAsia="en-US"/>
              </w:rPr>
            </w:pPr>
            <w:r w:rsidRPr="00690D98">
              <w:rPr>
                <w:rFonts w:ascii="Arial" w:hAnsi="Arial" w:cs="Arial"/>
                <w:b/>
                <w:bCs/>
                <w:color w:val="000000"/>
                <w:sz w:val="20"/>
                <w:szCs w:val="20"/>
                <w:lang w:eastAsia="en-US"/>
              </w:rPr>
              <w:t xml:space="preserve">       1.</w:t>
            </w:r>
            <w:r w:rsidR="003015DA" w:rsidRPr="00337DB9">
              <w:rPr>
                <w:rFonts w:ascii="Arial" w:hAnsi="Arial" w:cs="Arial"/>
                <w:b/>
                <w:bCs/>
                <w:color w:val="000000"/>
                <w:sz w:val="20"/>
                <w:szCs w:val="20"/>
                <w:lang w:eastAsia="en-US"/>
              </w:rPr>
              <w:t>81</w:t>
            </w:r>
            <w:r w:rsidRPr="00690D98">
              <w:rPr>
                <w:rFonts w:ascii="Arial" w:hAnsi="Arial" w:cs="Arial"/>
                <w:b/>
                <w:bCs/>
                <w:color w:val="000000"/>
                <w:sz w:val="20"/>
                <w:szCs w:val="20"/>
                <w:lang w:eastAsia="en-US"/>
              </w:rPr>
              <w:t xml:space="preserve"> </w:t>
            </w:r>
          </w:p>
        </w:tc>
        <w:tc>
          <w:tcPr>
            <w:tcW w:w="930" w:type="dxa"/>
            <w:tcBorders>
              <w:top w:val="nil"/>
              <w:left w:val="nil"/>
              <w:bottom w:val="single" w:sz="4" w:space="0" w:color="auto"/>
              <w:right w:val="single" w:sz="4" w:space="0" w:color="auto"/>
            </w:tcBorders>
            <w:shd w:val="clear" w:color="000000" w:fill="F2F2F2"/>
            <w:hideMark/>
          </w:tcPr>
          <w:p w14:paraId="4BD856EC" w14:textId="66618C45" w:rsidR="004F72BF" w:rsidRPr="00337DB9" w:rsidRDefault="004F72BF" w:rsidP="004F72BF">
            <w:pPr>
              <w:jc w:val="center"/>
              <w:rPr>
                <w:rFonts w:ascii="Arial" w:hAnsi="Arial" w:cs="Arial"/>
                <w:b/>
                <w:bCs/>
                <w:color w:val="000000"/>
                <w:sz w:val="20"/>
                <w:szCs w:val="20"/>
                <w:lang w:eastAsia="en-US"/>
              </w:rPr>
            </w:pPr>
            <w:r w:rsidRPr="00690D98">
              <w:rPr>
                <w:rFonts w:ascii="Arial" w:hAnsi="Arial" w:cs="Arial"/>
                <w:b/>
                <w:bCs/>
                <w:color w:val="000000"/>
                <w:sz w:val="20"/>
                <w:szCs w:val="20"/>
                <w:lang w:eastAsia="en-US"/>
              </w:rPr>
              <w:t xml:space="preserve">       0.70 </w:t>
            </w:r>
          </w:p>
        </w:tc>
        <w:tc>
          <w:tcPr>
            <w:tcW w:w="767" w:type="dxa"/>
            <w:tcBorders>
              <w:top w:val="nil"/>
              <w:left w:val="nil"/>
              <w:bottom w:val="single" w:sz="4" w:space="0" w:color="auto"/>
              <w:right w:val="single" w:sz="4" w:space="0" w:color="auto"/>
            </w:tcBorders>
            <w:shd w:val="clear" w:color="000000" w:fill="F2F2F2"/>
            <w:vAlign w:val="center"/>
            <w:hideMark/>
          </w:tcPr>
          <w:p w14:paraId="458B878E" w14:textId="77777777" w:rsidR="004F72BF" w:rsidRPr="00337DB9" w:rsidRDefault="004F72BF" w:rsidP="004F72BF">
            <w:pPr>
              <w:jc w:val="center"/>
              <w:rPr>
                <w:rFonts w:ascii="Arial" w:hAnsi="Arial" w:cs="Arial"/>
                <w:b/>
                <w:bCs/>
                <w:color w:val="000000"/>
                <w:sz w:val="20"/>
                <w:szCs w:val="20"/>
                <w:lang w:eastAsia="en-US"/>
              </w:rPr>
            </w:pPr>
            <w:r w:rsidRPr="00337DB9">
              <w:rPr>
                <w:rFonts w:ascii="Arial" w:hAnsi="Arial" w:cs="Arial"/>
                <w:b/>
                <w:bCs/>
                <w:color w:val="000000"/>
                <w:sz w:val="20"/>
                <w:szCs w:val="20"/>
                <w:lang w:eastAsia="en-US"/>
              </w:rPr>
              <w:t xml:space="preserve">       -   </w:t>
            </w:r>
          </w:p>
        </w:tc>
        <w:tc>
          <w:tcPr>
            <w:tcW w:w="694" w:type="dxa"/>
            <w:tcBorders>
              <w:top w:val="nil"/>
              <w:left w:val="nil"/>
              <w:bottom w:val="single" w:sz="4" w:space="0" w:color="auto"/>
              <w:right w:val="single" w:sz="4" w:space="0" w:color="auto"/>
            </w:tcBorders>
            <w:shd w:val="clear" w:color="000000" w:fill="F2F2F2"/>
            <w:vAlign w:val="center"/>
            <w:hideMark/>
          </w:tcPr>
          <w:p w14:paraId="14DC3B0A" w14:textId="77777777" w:rsidR="004F72BF" w:rsidRPr="00337DB9" w:rsidRDefault="004F72BF" w:rsidP="004F72BF">
            <w:pPr>
              <w:jc w:val="center"/>
              <w:rPr>
                <w:rFonts w:ascii="Arial" w:hAnsi="Arial" w:cs="Arial"/>
                <w:b/>
                <w:bCs/>
                <w:color w:val="000000"/>
                <w:sz w:val="20"/>
                <w:szCs w:val="20"/>
                <w:lang w:eastAsia="en-US"/>
              </w:rPr>
            </w:pPr>
            <w:r w:rsidRPr="00337DB9">
              <w:rPr>
                <w:rFonts w:ascii="Arial" w:hAnsi="Arial" w:cs="Arial"/>
                <w:b/>
                <w:bCs/>
                <w:color w:val="000000"/>
                <w:sz w:val="20"/>
                <w:szCs w:val="20"/>
                <w:lang w:eastAsia="en-US"/>
              </w:rPr>
              <w:t xml:space="preserve">     -   </w:t>
            </w:r>
          </w:p>
        </w:tc>
        <w:tc>
          <w:tcPr>
            <w:tcW w:w="694" w:type="dxa"/>
            <w:tcBorders>
              <w:top w:val="nil"/>
              <w:left w:val="nil"/>
              <w:bottom w:val="single" w:sz="4" w:space="0" w:color="auto"/>
              <w:right w:val="single" w:sz="4" w:space="0" w:color="auto"/>
            </w:tcBorders>
            <w:shd w:val="clear" w:color="000000" w:fill="F2F2F2"/>
            <w:vAlign w:val="center"/>
            <w:hideMark/>
          </w:tcPr>
          <w:p w14:paraId="5FD1AA0D" w14:textId="77777777" w:rsidR="004F72BF" w:rsidRPr="00337DB9" w:rsidRDefault="004F72BF" w:rsidP="004F72BF">
            <w:pPr>
              <w:jc w:val="center"/>
              <w:rPr>
                <w:rFonts w:ascii="Arial" w:hAnsi="Arial" w:cs="Arial"/>
                <w:b/>
                <w:bCs/>
                <w:color w:val="000000"/>
                <w:sz w:val="20"/>
                <w:szCs w:val="20"/>
                <w:lang w:eastAsia="en-US"/>
              </w:rPr>
            </w:pPr>
            <w:r w:rsidRPr="00337DB9">
              <w:rPr>
                <w:rFonts w:ascii="Arial" w:hAnsi="Arial" w:cs="Arial"/>
                <w:b/>
                <w:bCs/>
                <w:color w:val="000000"/>
                <w:sz w:val="20"/>
                <w:szCs w:val="20"/>
                <w:lang w:eastAsia="en-US"/>
              </w:rPr>
              <w:t xml:space="preserve">     -   </w:t>
            </w:r>
          </w:p>
        </w:tc>
        <w:tc>
          <w:tcPr>
            <w:tcW w:w="729" w:type="dxa"/>
            <w:tcBorders>
              <w:top w:val="nil"/>
              <w:left w:val="nil"/>
              <w:bottom w:val="single" w:sz="4" w:space="0" w:color="auto"/>
              <w:right w:val="single" w:sz="4" w:space="0" w:color="auto"/>
            </w:tcBorders>
            <w:shd w:val="clear" w:color="000000" w:fill="F2F2F2"/>
            <w:vAlign w:val="center"/>
            <w:hideMark/>
          </w:tcPr>
          <w:p w14:paraId="09759024" w14:textId="77777777" w:rsidR="004F72BF" w:rsidRPr="00337DB9" w:rsidRDefault="004F72BF" w:rsidP="004F72BF">
            <w:pPr>
              <w:jc w:val="center"/>
              <w:rPr>
                <w:rFonts w:ascii="Arial" w:hAnsi="Arial" w:cs="Arial"/>
                <w:b/>
                <w:bCs/>
                <w:color w:val="000000"/>
                <w:sz w:val="20"/>
                <w:szCs w:val="20"/>
                <w:lang w:eastAsia="en-US"/>
              </w:rPr>
            </w:pPr>
            <w:r w:rsidRPr="00337DB9">
              <w:rPr>
                <w:rFonts w:ascii="Arial" w:hAnsi="Arial" w:cs="Arial"/>
                <w:b/>
                <w:bCs/>
                <w:color w:val="000000"/>
                <w:sz w:val="20"/>
                <w:szCs w:val="20"/>
                <w:lang w:eastAsia="en-US"/>
              </w:rPr>
              <w:t xml:space="preserve">      -   </w:t>
            </w:r>
          </w:p>
        </w:tc>
        <w:tc>
          <w:tcPr>
            <w:tcW w:w="729" w:type="dxa"/>
            <w:tcBorders>
              <w:top w:val="nil"/>
              <w:left w:val="nil"/>
              <w:bottom w:val="single" w:sz="4" w:space="0" w:color="auto"/>
              <w:right w:val="single" w:sz="4" w:space="0" w:color="auto"/>
            </w:tcBorders>
            <w:shd w:val="clear" w:color="000000" w:fill="F2F2F2"/>
            <w:vAlign w:val="center"/>
            <w:hideMark/>
          </w:tcPr>
          <w:p w14:paraId="7E275944" w14:textId="77777777" w:rsidR="004F72BF" w:rsidRPr="00337DB9" w:rsidRDefault="004F72BF" w:rsidP="004F72BF">
            <w:pPr>
              <w:jc w:val="center"/>
              <w:rPr>
                <w:rFonts w:ascii="Arial" w:hAnsi="Arial" w:cs="Arial"/>
                <w:b/>
                <w:bCs/>
                <w:color w:val="000000"/>
                <w:sz w:val="20"/>
                <w:szCs w:val="20"/>
                <w:lang w:eastAsia="en-US"/>
              </w:rPr>
            </w:pPr>
            <w:r w:rsidRPr="00337DB9">
              <w:rPr>
                <w:rFonts w:ascii="Arial" w:hAnsi="Arial" w:cs="Arial"/>
                <w:b/>
                <w:bCs/>
                <w:color w:val="000000"/>
                <w:sz w:val="20"/>
                <w:szCs w:val="20"/>
                <w:lang w:eastAsia="en-US"/>
              </w:rPr>
              <w:t xml:space="preserve">      -   </w:t>
            </w:r>
          </w:p>
        </w:tc>
        <w:tc>
          <w:tcPr>
            <w:tcW w:w="929" w:type="dxa"/>
            <w:tcBorders>
              <w:top w:val="nil"/>
              <w:left w:val="nil"/>
              <w:bottom w:val="single" w:sz="4" w:space="0" w:color="auto"/>
              <w:right w:val="single" w:sz="4" w:space="0" w:color="auto"/>
            </w:tcBorders>
            <w:shd w:val="clear" w:color="000000" w:fill="F2F2F2"/>
            <w:vAlign w:val="center"/>
            <w:hideMark/>
          </w:tcPr>
          <w:p w14:paraId="46987BA4" w14:textId="474F1FF0" w:rsidR="004F72BF" w:rsidRPr="00337DB9" w:rsidRDefault="004F72BF" w:rsidP="004F72BF">
            <w:pPr>
              <w:jc w:val="center"/>
              <w:rPr>
                <w:rFonts w:ascii="Arial" w:hAnsi="Arial" w:cs="Arial"/>
                <w:b/>
                <w:bCs/>
                <w:color w:val="000000"/>
                <w:sz w:val="20"/>
                <w:szCs w:val="20"/>
                <w:lang w:eastAsia="en-US"/>
              </w:rPr>
            </w:pPr>
            <w:r w:rsidRPr="00337DB9">
              <w:rPr>
                <w:rFonts w:ascii="Arial" w:hAnsi="Arial" w:cs="Arial"/>
                <w:b/>
                <w:bCs/>
                <w:color w:val="000000"/>
                <w:sz w:val="20"/>
                <w:szCs w:val="20"/>
                <w:lang w:eastAsia="en-US"/>
              </w:rPr>
              <w:t xml:space="preserve">     5.1</w:t>
            </w:r>
            <w:r w:rsidR="003015DA" w:rsidRPr="00337DB9">
              <w:rPr>
                <w:rFonts w:ascii="Arial" w:hAnsi="Arial" w:cs="Arial"/>
                <w:b/>
                <w:bCs/>
                <w:color w:val="000000"/>
                <w:sz w:val="20"/>
                <w:szCs w:val="20"/>
                <w:lang w:eastAsia="en-US"/>
              </w:rPr>
              <w:t>6</w:t>
            </w:r>
            <w:r w:rsidRPr="00337DB9">
              <w:rPr>
                <w:rFonts w:ascii="Arial" w:hAnsi="Arial" w:cs="Arial"/>
                <w:b/>
                <w:bCs/>
                <w:color w:val="000000"/>
                <w:sz w:val="20"/>
                <w:szCs w:val="20"/>
                <w:lang w:eastAsia="en-US"/>
              </w:rPr>
              <w:t xml:space="preserve"> </w:t>
            </w:r>
          </w:p>
        </w:tc>
      </w:tr>
      <w:tr w:rsidR="00A7184B" w:rsidRPr="00337DB9" w14:paraId="36F77667" w14:textId="77777777" w:rsidTr="00690D98">
        <w:trPr>
          <w:trHeight w:val="300"/>
        </w:trPr>
        <w:tc>
          <w:tcPr>
            <w:tcW w:w="2522" w:type="dxa"/>
            <w:tcBorders>
              <w:top w:val="nil"/>
              <w:left w:val="single" w:sz="4" w:space="0" w:color="auto"/>
              <w:bottom w:val="single" w:sz="4" w:space="0" w:color="auto"/>
              <w:right w:val="single" w:sz="4" w:space="0" w:color="auto"/>
            </w:tcBorders>
            <w:shd w:val="clear" w:color="000000" w:fill="D9D9D9"/>
            <w:vAlign w:val="center"/>
            <w:hideMark/>
          </w:tcPr>
          <w:p w14:paraId="4AE10CC0" w14:textId="77777777" w:rsidR="00A7184B" w:rsidRPr="00337DB9" w:rsidRDefault="00A7184B" w:rsidP="00A7184B">
            <w:pPr>
              <w:jc w:val="left"/>
              <w:rPr>
                <w:rFonts w:ascii="Arial" w:hAnsi="Arial" w:cs="Arial"/>
                <w:b/>
                <w:bCs/>
                <w:color w:val="000000"/>
                <w:sz w:val="20"/>
                <w:szCs w:val="20"/>
                <w:lang w:eastAsia="en-US"/>
              </w:rPr>
            </w:pPr>
            <w:r w:rsidRPr="00337DB9">
              <w:rPr>
                <w:rFonts w:ascii="Arial" w:hAnsi="Arial" w:cs="Arial"/>
                <w:b/>
                <w:bCs/>
                <w:color w:val="000000"/>
                <w:sz w:val="20"/>
                <w:szCs w:val="20"/>
                <w:lang w:eastAsia="en-US"/>
              </w:rPr>
              <w:t xml:space="preserve"> Total SEF Expanded</w:t>
            </w:r>
          </w:p>
        </w:tc>
        <w:tc>
          <w:tcPr>
            <w:tcW w:w="898" w:type="dxa"/>
            <w:tcBorders>
              <w:top w:val="nil"/>
              <w:left w:val="nil"/>
              <w:bottom w:val="single" w:sz="4" w:space="0" w:color="auto"/>
              <w:right w:val="single" w:sz="4" w:space="0" w:color="auto"/>
            </w:tcBorders>
            <w:shd w:val="clear" w:color="000000" w:fill="D9D9D9"/>
            <w:vAlign w:val="center"/>
            <w:hideMark/>
          </w:tcPr>
          <w:p w14:paraId="36B30122" w14:textId="4189111B" w:rsidR="00A7184B" w:rsidRPr="00337DB9" w:rsidRDefault="00A7184B" w:rsidP="00A7184B">
            <w:pPr>
              <w:jc w:val="center"/>
              <w:rPr>
                <w:rFonts w:ascii="Arial" w:hAnsi="Arial" w:cs="Arial"/>
                <w:b/>
                <w:bCs/>
                <w:color w:val="000000"/>
                <w:sz w:val="20"/>
                <w:szCs w:val="20"/>
                <w:lang w:eastAsia="en-US"/>
              </w:rPr>
            </w:pPr>
            <w:r w:rsidRPr="00337DB9">
              <w:rPr>
                <w:rFonts w:ascii="Arial" w:hAnsi="Arial" w:cs="Arial"/>
                <w:b/>
                <w:bCs/>
                <w:color w:val="000000"/>
                <w:sz w:val="20"/>
                <w:szCs w:val="20"/>
                <w:lang w:eastAsia="en-US"/>
              </w:rPr>
              <w:t xml:space="preserve">      </w:t>
            </w:r>
            <w:r w:rsidR="000C0D68" w:rsidRPr="00337DB9">
              <w:rPr>
                <w:rFonts w:ascii="Arial" w:hAnsi="Arial" w:cs="Arial"/>
                <w:b/>
                <w:bCs/>
                <w:color w:val="000000"/>
                <w:sz w:val="20"/>
                <w:szCs w:val="20"/>
                <w:lang w:eastAsia="en-US"/>
              </w:rPr>
              <w:t>3.04</w:t>
            </w:r>
            <w:r w:rsidRPr="00337DB9">
              <w:rPr>
                <w:rFonts w:ascii="Arial" w:hAnsi="Arial" w:cs="Arial"/>
                <w:b/>
                <w:bCs/>
                <w:color w:val="000000"/>
                <w:sz w:val="20"/>
                <w:szCs w:val="20"/>
                <w:lang w:eastAsia="en-US"/>
              </w:rPr>
              <w:t xml:space="preserve"> </w:t>
            </w:r>
          </w:p>
        </w:tc>
        <w:tc>
          <w:tcPr>
            <w:tcW w:w="913" w:type="dxa"/>
            <w:tcBorders>
              <w:top w:val="nil"/>
              <w:left w:val="nil"/>
              <w:bottom w:val="single" w:sz="4" w:space="0" w:color="auto"/>
              <w:right w:val="single" w:sz="4" w:space="0" w:color="auto"/>
            </w:tcBorders>
            <w:shd w:val="clear" w:color="000000" w:fill="D9D9D9"/>
            <w:vAlign w:val="center"/>
            <w:hideMark/>
          </w:tcPr>
          <w:p w14:paraId="0C3F57F6" w14:textId="42620742" w:rsidR="00A7184B" w:rsidRPr="00337DB9" w:rsidRDefault="00A7184B" w:rsidP="00A7184B">
            <w:pPr>
              <w:jc w:val="center"/>
              <w:rPr>
                <w:rFonts w:ascii="Arial" w:hAnsi="Arial" w:cs="Arial"/>
                <w:b/>
                <w:bCs/>
                <w:color w:val="000000"/>
                <w:sz w:val="20"/>
                <w:szCs w:val="20"/>
                <w:lang w:eastAsia="en-US"/>
              </w:rPr>
            </w:pPr>
            <w:r w:rsidRPr="00337DB9">
              <w:rPr>
                <w:rFonts w:ascii="Arial" w:hAnsi="Arial" w:cs="Arial"/>
                <w:b/>
                <w:bCs/>
                <w:color w:val="000000"/>
                <w:sz w:val="20"/>
                <w:szCs w:val="20"/>
                <w:lang w:eastAsia="en-US"/>
              </w:rPr>
              <w:t xml:space="preserve">       </w:t>
            </w:r>
            <w:r w:rsidR="000C0D68" w:rsidRPr="00337DB9">
              <w:rPr>
                <w:rFonts w:ascii="Arial" w:hAnsi="Arial" w:cs="Arial"/>
                <w:b/>
                <w:bCs/>
                <w:color w:val="000000"/>
                <w:sz w:val="20"/>
                <w:szCs w:val="20"/>
                <w:lang w:eastAsia="en-US"/>
              </w:rPr>
              <w:t>16.</w:t>
            </w:r>
            <w:r w:rsidR="003015DA" w:rsidRPr="00337DB9">
              <w:rPr>
                <w:rFonts w:ascii="Arial" w:hAnsi="Arial" w:cs="Arial"/>
                <w:b/>
                <w:bCs/>
                <w:color w:val="000000"/>
                <w:sz w:val="20"/>
                <w:szCs w:val="20"/>
                <w:lang w:eastAsia="en-US"/>
              </w:rPr>
              <w:t>93</w:t>
            </w:r>
            <w:r w:rsidRPr="00337DB9">
              <w:rPr>
                <w:rFonts w:ascii="Arial" w:hAnsi="Arial" w:cs="Arial"/>
                <w:b/>
                <w:bCs/>
                <w:color w:val="000000"/>
                <w:sz w:val="20"/>
                <w:szCs w:val="20"/>
                <w:lang w:eastAsia="en-US"/>
              </w:rPr>
              <w:t xml:space="preserve"> </w:t>
            </w:r>
          </w:p>
        </w:tc>
        <w:tc>
          <w:tcPr>
            <w:tcW w:w="930" w:type="dxa"/>
            <w:tcBorders>
              <w:top w:val="nil"/>
              <w:left w:val="nil"/>
              <w:bottom w:val="single" w:sz="4" w:space="0" w:color="auto"/>
              <w:right w:val="single" w:sz="4" w:space="0" w:color="auto"/>
            </w:tcBorders>
            <w:shd w:val="clear" w:color="000000" w:fill="D9D9D9"/>
            <w:vAlign w:val="center"/>
            <w:hideMark/>
          </w:tcPr>
          <w:p w14:paraId="751E2D57" w14:textId="45BD4FA2" w:rsidR="00A7184B" w:rsidRPr="00337DB9" w:rsidRDefault="00A7184B" w:rsidP="00A7184B">
            <w:pPr>
              <w:jc w:val="center"/>
              <w:rPr>
                <w:rFonts w:ascii="Arial" w:hAnsi="Arial" w:cs="Arial"/>
                <w:b/>
                <w:bCs/>
                <w:color w:val="000000"/>
                <w:sz w:val="20"/>
                <w:szCs w:val="20"/>
                <w:lang w:eastAsia="en-US"/>
              </w:rPr>
            </w:pPr>
            <w:r w:rsidRPr="00337DB9">
              <w:rPr>
                <w:rFonts w:ascii="Arial" w:hAnsi="Arial" w:cs="Arial"/>
                <w:b/>
                <w:bCs/>
                <w:color w:val="000000"/>
                <w:sz w:val="20"/>
                <w:szCs w:val="20"/>
                <w:lang w:eastAsia="en-US"/>
              </w:rPr>
              <w:t xml:space="preserve">     </w:t>
            </w:r>
            <w:r w:rsidR="000C0D68" w:rsidRPr="00337DB9">
              <w:rPr>
                <w:rFonts w:ascii="Arial" w:hAnsi="Arial" w:cs="Arial"/>
                <w:b/>
                <w:bCs/>
                <w:color w:val="000000"/>
                <w:sz w:val="20"/>
                <w:szCs w:val="20"/>
                <w:lang w:eastAsia="en-US"/>
              </w:rPr>
              <w:t>14.34</w:t>
            </w:r>
            <w:r w:rsidRPr="00337DB9">
              <w:rPr>
                <w:rFonts w:ascii="Arial" w:hAnsi="Arial" w:cs="Arial"/>
                <w:b/>
                <w:bCs/>
                <w:color w:val="000000"/>
                <w:sz w:val="20"/>
                <w:szCs w:val="20"/>
                <w:lang w:eastAsia="en-US"/>
              </w:rPr>
              <w:t xml:space="preserve"> </w:t>
            </w:r>
          </w:p>
        </w:tc>
        <w:tc>
          <w:tcPr>
            <w:tcW w:w="767" w:type="dxa"/>
            <w:tcBorders>
              <w:top w:val="nil"/>
              <w:left w:val="nil"/>
              <w:bottom w:val="single" w:sz="4" w:space="0" w:color="auto"/>
              <w:right w:val="single" w:sz="4" w:space="0" w:color="auto"/>
            </w:tcBorders>
            <w:shd w:val="clear" w:color="000000" w:fill="D9D9D9"/>
            <w:vAlign w:val="center"/>
            <w:hideMark/>
          </w:tcPr>
          <w:p w14:paraId="21BE4C8E" w14:textId="0AA4DFD5" w:rsidR="00A7184B" w:rsidRPr="00337DB9" w:rsidRDefault="00A7184B" w:rsidP="00A7184B">
            <w:pPr>
              <w:jc w:val="center"/>
              <w:rPr>
                <w:rFonts w:ascii="Arial" w:hAnsi="Arial" w:cs="Arial"/>
                <w:b/>
                <w:bCs/>
                <w:color w:val="000000"/>
                <w:sz w:val="20"/>
                <w:szCs w:val="20"/>
                <w:lang w:eastAsia="en-US"/>
              </w:rPr>
            </w:pPr>
            <w:r w:rsidRPr="00337DB9">
              <w:rPr>
                <w:rFonts w:ascii="Arial" w:hAnsi="Arial" w:cs="Arial"/>
                <w:b/>
                <w:bCs/>
                <w:color w:val="000000"/>
                <w:sz w:val="20"/>
                <w:szCs w:val="20"/>
                <w:lang w:eastAsia="en-US"/>
              </w:rPr>
              <w:t xml:space="preserve"> </w:t>
            </w:r>
            <w:r w:rsidR="000C0D68" w:rsidRPr="00337DB9">
              <w:rPr>
                <w:rFonts w:ascii="Arial" w:hAnsi="Arial" w:cs="Arial"/>
                <w:b/>
                <w:bCs/>
                <w:color w:val="000000"/>
                <w:sz w:val="20"/>
                <w:szCs w:val="20"/>
                <w:lang w:eastAsia="en-US"/>
              </w:rPr>
              <w:t>17.36</w:t>
            </w:r>
            <w:r w:rsidRPr="00337DB9">
              <w:rPr>
                <w:rFonts w:ascii="Arial" w:hAnsi="Arial" w:cs="Arial"/>
                <w:b/>
                <w:bCs/>
                <w:color w:val="000000"/>
                <w:sz w:val="20"/>
                <w:szCs w:val="20"/>
                <w:lang w:eastAsia="en-US"/>
              </w:rPr>
              <w:t xml:space="preserve"> </w:t>
            </w:r>
          </w:p>
        </w:tc>
        <w:tc>
          <w:tcPr>
            <w:tcW w:w="694" w:type="dxa"/>
            <w:tcBorders>
              <w:top w:val="nil"/>
              <w:left w:val="nil"/>
              <w:bottom w:val="single" w:sz="4" w:space="0" w:color="auto"/>
              <w:right w:val="single" w:sz="4" w:space="0" w:color="auto"/>
            </w:tcBorders>
            <w:shd w:val="clear" w:color="000000" w:fill="D9D9D9"/>
            <w:vAlign w:val="center"/>
            <w:hideMark/>
          </w:tcPr>
          <w:p w14:paraId="1C8BB76F" w14:textId="722BAA05" w:rsidR="00A7184B" w:rsidRPr="00337DB9" w:rsidRDefault="00A7184B" w:rsidP="00A7184B">
            <w:pPr>
              <w:jc w:val="center"/>
              <w:rPr>
                <w:rFonts w:ascii="Arial" w:hAnsi="Arial" w:cs="Arial"/>
                <w:b/>
                <w:bCs/>
                <w:color w:val="000000"/>
                <w:sz w:val="20"/>
                <w:szCs w:val="20"/>
                <w:lang w:eastAsia="en-US"/>
              </w:rPr>
            </w:pPr>
            <w:r w:rsidRPr="00337DB9">
              <w:rPr>
                <w:rFonts w:ascii="Arial" w:hAnsi="Arial" w:cs="Arial"/>
                <w:b/>
                <w:bCs/>
                <w:color w:val="000000"/>
                <w:sz w:val="20"/>
                <w:szCs w:val="20"/>
                <w:lang w:eastAsia="en-US"/>
              </w:rPr>
              <w:t xml:space="preserve">  </w:t>
            </w:r>
            <w:r w:rsidR="000C0D68" w:rsidRPr="00337DB9">
              <w:rPr>
                <w:rFonts w:ascii="Arial" w:hAnsi="Arial" w:cs="Arial"/>
                <w:b/>
                <w:bCs/>
                <w:color w:val="000000"/>
                <w:sz w:val="20"/>
                <w:szCs w:val="20"/>
                <w:lang w:eastAsia="en-US"/>
              </w:rPr>
              <w:t>16.55</w:t>
            </w:r>
            <w:r w:rsidRPr="00337DB9">
              <w:rPr>
                <w:rFonts w:ascii="Arial" w:hAnsi="Arial" w:cs="Arial"/>
                <w:b/>
                <w:bCs/>
                <w:color w:val="000000"/>
                <w:sz w:val="20"/>
                <w:szCs w:val="20"/>
                <w:lang w:eastAsia="en-US"/>
              </w:rPr>
              <w:t xml:space="preserve"> </w:t>
            </w:r>
          </w:p>
        </w:tc>
        <w:tc>
          <w:tcPr>
            <w:tcW w:w="694" w:type="dxa"/>
            <w:tcBorders>
              <w:top w:val="nil"/>
              <w:left w:val="nil"/>
              <w:bottom w:val="single" w:sz="4" w:space="0" w:color="auto"/>
              <w:right w:val="single" w:sz="4" w:space="0" w:color="auto"/>
            </w:tcBorders>
            <w:shd w:val="clear" w:color="000000" w:fill="D9D9D9"/>
            <w:vAlign w:val="center"/>
            <w:hideMark/>
          </w:tcPr>
          <w:p w14:paraId="3708DA9E" w14:textId="10267223" w:rsidR="00A7184B" w:rsidRPr="00337DB9" w:rsidRDefault="00A7184B" w:rsidP="00A7184B">
            <w:pPr>
              <w:jc w:val="center"/>
              <w:rPr>
                <w:rFonts w:ascii="Arial" w:hAnsi="Arial" w:cs="Arial"/>
                <w:b/>
                <w:bCs/>
                <w:color w:val="000000"/>
                <w:sz w:val="20"/>
                <w:szCs w:val="20"/>
                <w:lang w:eastAsia="en-US"/>
              </w:rPr>
            </w:pPr>
            <w:r w:rsidRPr="00337DB9">
              <w:rPr>
                <w:rFonts w:ascii="Arial" w:hAnsi="Arial" w:cs="Arial"/>
                <w:b/>
                <w:bCs/>
                <w:color w:val="000000"/>
                <w:sz w:val="20"/>
                <w:szCs w:val="20"/>
                <w:lang w:eastAsia="en-US"/>
              </w:rPr>
              <w:t xml:space="preserve">  </w:t>
            </w:r>
            <w:r w:rsidR="000C0D68" w:rsidRPr="00337DB9">
              <w:rPr>
                <w:rFonts w:ascii="Arial" w:hAnsi="Arial" w:cs="Arial"/>
                <w:b/>
                <w:bCs/>
                <w:color w:val="000000"/>
                <w:sz w:val="20"/>
                <w:szCs w:val="20"/>
                <w:lang w:eastAsia="en-US"/>
              </w:rPr>
              <w:t>17.39</w:t>
            </w:r>
            <w:r w:rsidRPr="00337DB9">
              <w:rPr>
                <w:rFonts w:ascii="Arial" w:hAnsi="Arial" w:cs="Arial"/>
                <w:b/>
                <w:bCs/>
                <w:color w:val="000000"/>
                <w:sz w:val="20"/>
                <w:szCs w:val="20"/>
                <w:lang w:eastAsia="en-US"/>
              </w:rPr>
              <w:t xml:space="preserve"> </w:t>
            </w:r>
          </w:p>
        </w:tc>
        <w:tc>
          <w:tcPr>
            <w:tcW w:w="729" w:type="dxa"/>
            <w:tcBorders>
              <w:top w:val="nil"/>
              <w:left w:val="nil"/>
              <w:bottom w:val="single" w:sz="4" w:space="0" w:color="auto"/>
              <w:right w:val="single" w:sz="4" w:space="0" w:color="auto"/>
            </w:tcBorders>
            <w:shd w:val="clear" w:color="000000" w:fill="D9D9D9"/>
            <w:vAlign w:val="center"/>
            <w:hideMark/>
          </w:tcPr>
          <w:p w14:paraId="69B7A933" w14:textId="77777777" w:rsidR="00A7184B" w:rsidRPr="00337DB9" w:rsidRDefault="00A7184B" w:rsidP="00A7184B">
            <w:pPr>
              <w:jc w:val="center"/>
              <w:rPr>
                <w:rFonts w:ascii="Arial" w:hAnsi="Arial" w:cs="Arial"/>
                <w:b/>
                <w:bCs/>
                <w:color w:val="000000"/>
                <w:sz w:val="20"/>
                <w:szCs w:val="20"/>
                <w:lang w:eastAsia="en-US"/>
              </w:rPr>
            </w:pPr>
            <w:r w:rsidRPr="00337DB9">
              <w:rPr>
                <w:rFonts w:ascii="Arial" w:hAnsi="Arial" w:cs="Arial"/>
                <w:b/>
                <w:bCs/>
                <w:color w:val="000000"/>
                <w:sz w:val="20"/>
                <w:szCs w:val="20"/>
                <w:lang w:eastAsia="en-US"/>
              </w:rPr>
              <w:t xml:space="preserve">      -   </w:t>
            </w:r>
          </w:p>
        </w:tc>
        <w:tc>
          <w:tcPr>
            <w:tcW w:w="729" w:type="dxa"/>
            <w:tcBorders>
              <w:top w:val="nil"/>
              <w:left w:val="nil"/>
              <w:bottom w:val="single" w:sz="4" w:space="0" w:color="auto"/>
              <w:right w:val="single" w:sz="4" w:space="0" w:color="auto"/>
            </w:tcBorders>
            <w:shd w:val="clear" w:color="000000" w:fill="D9D9D9"/>
            <w:vAlign w:val="center"/>
            <w:hideMark/>
          </w:tcPr>
          <w:p w14:paraId="45E30682" w14:textId="77777777" w:rsidR="00A7184B" w:rsidRPr="00337DB9" w:rsidRDefault="00A7184B" w:rsidP="00A7184B">
            <w:pPr>
              <w:jc w:val="center"/>
              <w:rPr>
                <w:rFonts w:ascii="Arial" w:hAnsi="Arial" w:cs="Arial"/>
                <w:b/>
                <w:bCs/>
                <w:color w:val="000000"/>
                <w:sz w:val="20"/>
                <w:szCs w:val="20"/>
                <w:lang w:eastAsia="en-US"/>
              </w:rPr>
            </w:pPr>
            <w:r w:rsidRPr="00337DB9">
              <w:rPr>
                <w:rFonts w:ascii="Arial" w:hAnsi="Arial" w:cs="Arial"/>
                <w:b/>
                <w:bCs/>
                <w:color w:val="000000"/>
                <w:sz w:val="20"/>
                <w:szCs w:val="20"/>
                <w:lang w:eastAsia="en-US"/>
              </w:rPr>
              <w:t xml:space="preserve">      -   </w:t>
            </w:r>
          </w:p>
        </w:tc>
        <w:tc>
          <w:tcPr>
            <w:tcW w:w="929" w:type="dxa"/>
            <w:tcBorders>
              <w:top w:val="nil"/>
              <w:left w:val="nil"/>
              <w:bottom w:val="single" w:sz="4" w:space="0" w:color="auto"/>
              <w:right w:val="single" w:sz="4" w:space="0" w:color="auto"/>
            </w:tcBorders>
            <w:shd w:val="clear" w:color="000000" w:fill="D9D9D9"/>
            <w:vAlign w:val="center"/>
            <w:hideMark/>
          </w:tcPr>
          <w:p w14:paraId="317D822B" w14:textId="2DF566FB" w:rsidR="00A7184B" w:rsidRPr="00337DB9" w:rsidRDefault="00A7184B" w:rsidP="00A7184B">
            <w:pPr>
              <w:jc w:val="center"/>
              <w:rPr>
                <w:rFonts w:ascii="Arial" w:hAnsi="Arial" w:cs="Arial"/>
                <w:b/>
                <w:bCs/>
                <w:color w:val="000000"/>
                <w:sz w:val="20"/>
                <w:szCs w:val="20"/>
                <w:lang w:eastAsia="en-US"/>
              </w:rPr>
            </w:pPr>
            <w:r w:rsidRPr="00337DB9">
              <w:rPr>
                <w:rFonts w:ascii="Arial" w:hAnsi="Arial" w:cs="Arial"/>
                <w:b/>
                <w:bCs/>
                <w:color w:val="000000"/>
                <w:sz w:val="20"/>
                <w:szCs w:val="20"/>
                <w:lang w:eastAsia="en-US"/>
              </w:rPr>
              <w:t xml:space="preserve">   85.</w:t>
            </w:r>
            <w:r w:rsidR="003015DA" w:rsidRPr="00337DB9">
              <w:rPr>
                <w:rFonts w:ascii="Arial" w:hAnsi="Arial" w:cs="Arial"/>
                <w:b/>
                <w:bCs/>
                <w:color w:val="000000"/>
                <w:sz w:val="20"/>
                <w:szCs w:val="20"/>
                <w:lang w:eastAsia="en-US"/>
              </w:rPr>
              <w:t>61</w:t>
            </w:r>
            <w:r w:rsidRPr="00337DB9">
              <w:rPr>
                <w:rFonts w:ascii="Arial" w:hAnsi="Arial" w:cs="Arial"/>
                <w:b/>
                <w:bCs/>
                <w:color w:val="000000"/>
                <w:sz w:val="20"/>
                <w:szCs w:val="20"/>
                <w:lang w:eastAsia="en-US"/>
              </w:rPr>
              <w:t xml:space="preserve"> </w:t>
            </w:r>
          </w:p>
        </w:tc>
      </w:tr>
      <w:bookmarkEnd w:id="29"/>
    </w:tbl>
    <w:p w14:paraId="6F7910E9" w14:textId="77777777" w:rsidR="00A7184B" w:rsidRPr="008E106E" w:rsidRDefault="00A7184B" w:rsidP="004F10AE">
      <w:pPr>
        <w:pStyle w:val="TableText"/>
        <w:rPr>
          <w:rFonts w:ascii="Arial" w:hAnsi="Arial" w:cs="Arial"/>
          <w:szCs w:val="22"/>
        </w:rPr>
      </w:pPr>
    </w:p>
    <w:p w14:paraId="6D55B611" w14:textId="5476DFEB" w:rsidR="004F10AE" w:rsidRPr="008E106E" w:rsidRDefault="004F10AE" w:rsidP="004F10AE">
      <w:pPr>
        <w:pStyle w:val="TableText"/>
        <w:rPr>
          <w:rFonts w:ascii="Arial" w:hAnsi="Arial" w:cs="Arial"/>
          <w:szCs w:val="22"/>
        </w:rPr>
      </w:pPr>
      <w:r w:rsidRPr="008E106E">
        <w:rPr>
          <w:rFonts w:ascii="Arial" w:hAnsi="Arial" w:cs="Arial"/>
          <w:szCs w:val="22"/>
        </w:rPr>
        <w:t>Additional grant resources from</w:t>
      </w:r>
      <w:r w:rsidR="00E44CF2" w:rsidRPr="008E106E">
        <w:rPr>
          <w:rFonts w:ascii="Arial" w:hAnsi="Arial" w:cs="Arial"/>
          <w:szCs w:val="22"/>
        </w:rPr>
        <w:t xml:space="preserve"> other donors might be added to the SEF and disbursed to projects.</w:t>
      </w:r>
    </w:p>
    <w:p w14:paraId="0C36A104" w14:textId="791B93FA" w:rsidR="00630CA6" w:rsidRDefault="00630CA6">
      <w:pPr>
        <w:pStyle w:val="TableorFigureEnd"/>
        <w:rPr>
          <w:rFonts w:ascii="Arial" w:hAnsi="Arial" w:cs="Arial"/>
          <w:sz w:val="22"/>
          <w:szCs w:val="22"/>
        </w:rPr>
      </w:pPr>
    </w:p>
    <w:p w14:paraId="49EBDA87" w14:textId="51372495" w:rsidR="00263F92" w:rsidRPr="008E106E" w:rsidRDefault="00263F92" w:rsidP="00263F92">
      <w:pPr>
        <w:pStyle w:val="Caption"/>
        <w:rPr>
          <w:rFonts w:ascii="Arial" w:hAnsi="Arial" w:cs="Arial"/>
          <w:sz w:val="22"/>
          <w:szCs w:val="22"/>
        </w:rPr>
      </w:pPr>
      <w:r w:rsidRPr="008E106E">
        <w:rPr>
          <w:rFonts w:ascii="Arial" w:hAnsi="Arial" w:cs="Arial"/>
          <w:sz w:val="22"/>
          <w:szCs w:val="22"/>
        </w:rPr>
        <w:t xml:space="preserve">Table </w:t>
      </w:r>
      <w:r w:rsidRPr="008E106E">
        <w:rPr>
          <w:rFonts w:ascii="Arial" w:hAnsi="Arial" w:cs="Arial"/>
          <w:sz w:val="22"/>
          <w:szCs w:val="22"/>
        </w:rPr>
        <w:fldChar w:fldCharType="begin"/>
      </w:r>
      <w:r w:rsidRPr="008E106E">
        <w:rPr>
          <w:rFonts w:ascii="Arial" w:hAnsi="Arial" w:cs="Arial"/>
          <w:sz w:val="22"/>
          <w:szCs w:val="22"/>
        </w:rPr>
        <w:instrText xml:space="preserve"> STYLEREF 1 \s </w:instrText>
      </w:r>
      <w:r w:rsidRPr="008E106E">
        <w:rPr>
          <w:rFonts w:ascii="Arial" w:hAnsi="Arial" w:cs="Arial"/>
          <w:sz w:val="22"/>
          <w:szCs w:val="22"/>
        </w:rPr>
        <w:fldChar w:fldCharType="separate"/>
      </w:r>
      <w:r w:rsidRPr="008E106E">
        <w:rPr>
          <w:rFonts w:ascii="Arial" w:hAnsi="Arial" w:cs="Arial"/>
          <w:noProof/>
          <w:sz w:val="22"/>
          <w:szCs w:val="22"/>
        </w:rPr>
        <w:t>2</w:t>
      </w:r>
      <w:r w:rsidRPr="008E106E">
        <w:rPr>
          <w:rFonts w:ascii="Arial" w:hAnsi="Arial" w:cs="Arial"/>
          <w:noProof/>
          <w:sz w:val="22"/>
          <w:szCs w:val="22"/>
        </w:rPr>
        <w:fldChar w:fldCharType="end"/>
      </w:r>
      <w:r w:rsidRPr="008E106E">
        <w:rPr>
          <w:rFonts w:ascii="Arial" w:hAnsi="Arial" w:cs="Arial"/>
          <w:sz w:val="22"/>
          <w:szCs w:val="22"/>
        </w:rPr>
        <w:t>.</w:t>
      </w:r>
      <w:r w:rsidR="00353B82">
        <w:rPr>
          <w:rFonts w:ascii="Arial" w:hAnsi="Arial" w:cs="Arial"/>
          <w:sz w:val="22"/>
          <w:szCs w:val="22"/>
        </w:rPr>
        <w:t>3</w:t>
      </w:r>
      <w:r w:rsidRPr="008E106E">
        <w:rPr>
          <w:rFonts w:ascii="Arial" w:hAnsi="Arial" w:cs="Arial"/>
          <w:sz w:val="22"/>
          <w:szCs w:val="22"/>
        </w:rPr>
        <w:t xml:space="preserve">: Annual </w:t>
      </w:r>
      <w:r>
        <w:rPr>
          <w:rFonts w:ascii="Arial" w:hAnsi="Arial" w:cs="Arial"/>
          <w:sz w:val="22"/>
          <w:szCs w:val="22"/>
        </w:rPr>
        <w:t>Targets</w:t>
      </w:r>
      <w:r w:rsidRPr="008E106E">
        <w:rPr>
          <w:rFonts w:ascii="Arial" w:hAnsi="Arial" w:cs="Arial"/>
          <w:sz w:val="22"/>
          <w:szCs w:val="22"/>
        </w:rPr>
        <w:t xml:space="preserve"> by Output </w:t>
      </w:r>
    </w:p>
    <w:tbl>
      <w:tblPr>
        <w:tblW w:w="9805" w:type="dxa"/>
        <w:tblLayout w:type="fixed"/>
        <w:tblLook w:val="04A0" w:firstRow="1" w:lastRow="0" w:firstColumn="1" w:lastColumn="0" w:noHBand="0" w:noVBand="1"/>
      </w:tblPr>
      <w:tblGrid>
        <w:gridCol w:w="2522"/>
        <w:gridCol w:w="898"/>
        <w:gridCol w:w="913"/>
        <w:gridCol w:w="930"/>
        <w:gridCol w:w="767"/>
        <w:gridCol w:w="694"/>
        <w:gridCol w:w="694"/>
        <w:gridCol w:w="729"/>
        <w:gridCol w:w="729"/>
        <w:gridCol w:w="929"/>
      </w:tblGrid>
      <w:tr w:rsidR="00263F92" w:rsidRPr="00337DB9" w14:paraId="17367D81" w14:textId="77777777" w:rsidTr="00372613">
        <w:trPr>
          <w:trHeight w:val="600"/>
        </w:trPr>
        <w:tc>
          <w:tcPr>
            <w:tcW w:w="252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82B4F59" w14:textId="77777777" w:rsidR="00263F92" w:rsidRPr="00337DB9" w:rsidRDefault="00263F92" w:rsidP="00372613">
            <w:pPr>
              <w:jc w:val="left"/>
              <w:rPr>
                <w:rFonts w:ascii="Arial" w:hAnsi="Arial" w:cs="Arial"/>
                <w:b/>
                <w:bCs/>
                <w:color w:val="000000"/>
                <w:sz w:val="20"/>
                <w:szCs w:val="20"/>
                <w:lang w:eastAsia="en-US"/>
              </w:rPr>
            </w:pPr>
            <w:r w:rsidRPr="00337DB9">
              <w:rPr>
                <w:rFonts w:ascii="Arial" w:hAnsi="Arial" w:cs="Arial"/>
                <w:b/>
                <w:bCs/>
                <w:color w:val="000000"/>
                <w:sz w:val="20"/>
                <w:szCs w:val="20"/>
                <w:lang w:eastAsia="en-US"/>
              </w:rPr>
              <w:t>Outputs</w:t>
            </w:r>
          </w:p>
        </w:tc>
        <w:tc>
          <w:tcPr>
            <w:tcW w:w="898" w:type="dxa"/>
            <w:tcBorders>
              <w:top w:val="single" w:sz="4" w:space="0" w:color="auto"/>
              <w:left w:val="nil"/>
              <w:bottom w:val="single" w:sz="4" w:space="0" w:color="auto"/>
              <w:right w:val="single" w:sz="4" w:space="0" w:color="auto"/>
            </w:tcBorders>
            <w:shd w:val="clear" w:color="000000" w:fill="D9D9D9"/>
            <w:vAlign w:val="center"/>
            <w:hideMark/>
          </w:tcPr>
          <w:p w14:paraId="308FEF29" w14:textId="77777777" w:rsidR="00263F92" w:rsidRPr="00337DB9" w:rsidRDefault="00263F92" w:rsidP="00372613">
            <w:pPr>
              <w:jc w:val="left"/>
              <w:rPr>
                <w:rFonts w:ascii="Arial" w:hAnsi="Arial" w:cs="Arial"/>
                <w:b/>
                <w:bCs/>
                <w:color w:val="000000"/>
                <w:sz w:val="20"/>
                <w:szCs w:val="20"/>
                <w:lang w:eastAsia="en-US"/>
              </w:rPr>
            </w:pPr>
            <w:r w:rsidRPr="00337DB9">
              <w:rPr>
                <w:rFonts w:ascii="Arial" w:hAnsi="Arial" w:cs="Arial"/>
                <w:b/>
                <w:bCs/>
                <w:color w:val="000000"/>
                <w:sz w:val="20"/>
                <w:szCs w:val="20"/>
                <w:lang w:eastAsia="en-US"/>
              </w:rPr>
              <w:t>Year 1</w:t>
            </w:r>
          </w:p>
        </w:tc>
        <w:tc>
          <w:tcPr>
            <w:tcW w:w="913" w:type="dxa"/>
            <w:tcBorders>
              <w:top w:val="single" w:sz="4" w:space="0" w:color="auto"/>
              <w:left w:val="nil"/>
              <w:bottom w:val="single" w:sz="4" w:space="0" w:color="auto"/>
              <w:right w:val="single" w:sz="4" w:space="0" w:color="auto"/>
            </w:tcBorders>
            <w:shd w:val="clear" w:color="000000" w:fill="D9D9D9"/>
            <w:vAlign w:val="center"/>
            <w:hideMark/>
          </w:tcPr>
          <w:p w14:paraId="1CD6CC0B" w14:textId="77777777" w:rsidR="00263F92" w:rsidRPr="00337DB9" w:rsidRDefault="00263F92" w:rsidP="00372613">
            <w:pPr>
              <w:jc w:val="center"/>
              <w:rPr>
                <w:rFonts w:ascii="Arial" w:hAnsi="Arial" w:cs="Arial"/>
                <w:b/>
                <w:bCs/>
                <w:color w:val="000000"/>
                <w:sz w:val="20"/>
                <w:szCs w:val="20"/>
                <w:lang w:eastAsia="en-US"/>
              </w:rPr>
            </w:pPr>
            <w:r w:rsidRPr="00337DB9">
              <w:rPr>
                <w:rFonts w:ascii="Arial" w:hAnsi="Arial" w:cs="Arial"/>
                <w:b/>
                <w:bCs/>
                <w:color w:val="000000"/>
                <w:sz w:val="20"/>
                <w:szCs w:val="20"/>
                <w:lang w:eastAsia="en-US"/>
              </w:rPr>
              <w:t>Year 2</w:t>
            </w:r>
          </w:p>
        </w:tc>
        <w:tc>
          <w:tcPr>
            <w:tcW w:w="930" w:type="dxa"/>
            <w:tcBorders>
              <w:top w:val="single" w:sz="4" w:space="0" w:color="auto"/>
              <w:left w:val="nil"/>
              <w:bottom w:val="single" w:sz="4" w:space="0" w:color="auto"/>
              <w:right w:val="single" w:sz="4" w:space="0" w:color="auto"/>
            </w:tcBorders>
            <w:shd w:val="clear" w:color="000000" w:fill="D9D9D9"/>
            <w:vAlign w:val="center"/>
            <w:hideMark/>
          </w:tcPr>
          <w:p w14:paraId="775E74CB" w14:textId="77777777" w:rsidR="00263F92" w:rsidRPr="00337DB9" w:rsidRDefault="00263F92" w:rsidP="00372613">
            <w:pPr>
              <w:jc w:val="center"/>
              <w:rPr>
                <w:rFonts w:ascii="Arial" w:hAnsi="Arial" w:cs="Arial"/>
                <w:b/>
                <w:bCs/>
                <w:color w:val="000000"/>
                <w:sz w:val="20"/>
                <w:szCs w:val="20"/>
                <w:lang w:eastAsia="en-US"/>
              </w:rPr>
            </w:pPr>
            <w:r w:rsidRPr="00337DB9">
              <w:rPr>
                <w:rFonts w:ascii="Arial" w:hAnsi="Arial" w:cs="Arial"/>
                <w:b/>
                <w:bCs/>
                <w:color w:val="000000"/>
                <w:sz w:val="20"/>
                <w:szCs w:val="20"/>
                <w:lang w:eastAsia="en-US"/>
              </w:rPr>
              <w:t>Year 3</w:t>
            </w:r>
          </w:p>
        </w:tc>
        <w:tc>
          <w:tcPr>
            <w:tcW w:w="767" w:type="dxa"/>
            <w:tcBorders>
              <w:top w:val="single" w:sz="4" w:space="0" w:color="auto"/>
              <w:left w:val="nil"/>
              <w:bottom w:val="single" w:sz="4" w:space="0" w:color="auto"/>
              <w:right w:val="single" w:sz="4" w:space="0" w:color="auto"/>
            </w:tcBorders>
            <w:shd w:val="clear" w:color="000000" w:fill="D9D9D9"/>
            <w:vAlign w:val="center"/>
            <w:hideMark/>
          </w:tcPr>
          <w:p w14:paraId="7DB395CA" w14:textId="77777777" w:rsidR="00263F92" w:rsidRPr="00337DB9" w:rsidRDefault="00263F92" w:rsidP="00372613">
            <w:pPr>
              <w:jc w:val="center"/>
              <w:rPr>
                <w:rFonts w:ascii="Arial" w:hAnsi="Arial" w:cs="Arial"/>
                <w:b/>
                <w:bCs/>
                <w:color w:val="000000"/>
                <w:sz w:val="20"/>
                <w:szCs w:val="20"/>
                <w:lang w:eastAsia="en-US"/>
              </w:rPr>
            </w:pPr>
            <w:r w:rsidRPr="00337DB9">
              <w:rPr>
                <w:rFonts w:ascii="Arial" w:hAnsi="Arial" w:cs="Arial"/>
                <w:b/>
                <w:bCs/>
                <w:color w:val="000000"/>
                <w:sz w:val="20"/>
                <w:szCs w:val="20"/>
                <w:lang w:eastAsia="en-US"/>
              </w:rPr>
              <w:t>Year 4</w:t>
            </w:r>
          </w:p>
        </w:tc>
        <w:tc>
          <w:tcPr>
            <w:tcW w:w="694" w:type="dxa"/>
            <w:tcBorders>
              <w:top w:val="single" w:sz="4" w:space="0" w:color="auto"/>
              <w:left w:val="nil"/>
              <w:bottom w:val="single" w:sz="4" w:space="0" w:color="auto"/>
              <w:right w:val="single" w:sz="4" w:space="0" w:color="auto"/>
            </w:tcBorders>
            <w:shd w:val="clear" w:color="000000" w:fill="D9D9D9"/>
            <w:vAlign w:val="center"/>
            <w:hideMark/>
          </w:tcPr>
          <w:p w14:paraId="6D8664EF" w14:textId="77777777" w:rsidR="00263F92" w:rsidRPr="00337DB9" w:rsidRDefault="00263F92" w:rsidP="00372613">
            <w:pPr>
              <w:jc w:val="center"/>
              <w:rPr>
                <w:rFonts w:ascii="Arial" w:hAnsi="Arial" w:cs="Arial"/>
                <w:b/>
                <w:bCs/>
                <w:color w:val="000000"/>
                <w:sz w:val="20"/>
                <w:szCs w:val="20"/>
                <w:lang w:eastAsia="en-US"/>
              </w:rPr>
            </w:pPr>
            <w:r w:rsidRPr="00337DB9">
              <w:rPr>
                <w:rFonts w:ascii="Arial" w:hAnsi="Arial" w:cs="Arial"/>
                <w:b/>
                <w:bCs/>
                <w:color w:val="000000"/>
                <w:sz w:val="20"/>
                <w:szCs w:val="20"/>
                <w:lang w:eastAsia="en-US"/>
              </w:rPr>
              <w:t>Year 5</w:t>
            </w:r>
          </w:p>
        </w:tc>
        <w:tc>
          <w:tcPr>
            <w:tcW w:w="694" w:type="dxa"/>
            <w:tcBorders>
              <w:top w:val="single" w:sz="4" w:space="0" w:color="auto"/>
              <w:left w:val="nil"/>
              <w:bottom w:val="single" w:sz="4" w:space="0" w:color="auto"/>
              <w:right w:val="single" w:sz="4" w:space="0" w:color="auto"/>
            </w:tcBorders>
            <w:shd w:val="clear" w:color="000000" w:fill="D9D9D9"/>
            <w:vAlign w:val="center"/>
            <w:hideMark/>
          </w:tcPr>
          <w:p w14:paraId="57DB1D15" w14:textId="77777777" w:rsidR="00263F92" w:rsidRPr="00337DB9" w:rsidRDefault="00263F92" w:rsidP="00372613">
            <w:pPr>
              <w:jc w:val="center"/>
              <w:rPr>
                <w:rFonts w:ascii="Arial" w:hAnsi="Arial" w:cs="Arial"/>
                <w:b/>
                <w:bCs/>
                <w:color w:val="000000"/>
                <w:sz w:val="20"/>
                <w:szCs w:val="20"/>
                <w:lang w:eastAsia="en-US"/>
              </w:rPr>
            </w:pPr>
            <w:r w:rsidRPr="00337DB9">
              <w:rPr>
                <w:rFonts w:ascii="Arial" w:hAnsi="Arial" w:cs="Arial"/>
                <w:b/>
                <w:bCs/>
                <w:color w:val="000000"/>
                <w:sz w:val="20"/>
                <w:szCs w:val="20"/>
                <w:lang w:eastAsia="en-US"/>
              </w:rPr>
              <w:t>Year 6</w:t>
            </w:r>
          </w:p>
        </w:tc>
        <w:tc>
          <w:tcPr>
            <w:tcW w:w="729" w:type="dxa"/>
            <w:tcBorders>
              <w:top w:val="single" w:sz="4" w:space="0" w:color="auto"/>
              <w:left w:val="nil"/>
              <w:bottom w:val="single" w:sz="4" w:space="0" w:color="auto"/>
              <w:right w:val="single" w:sz="4" w:space="0" w:color="auto"/>
            </w:tcBorders>
            <w:shd w:val="clear" w:color="000000" w:fill="D9D9D9"/>
            <w:vAlign w:val="center"/>
            <w:hideMark/>
          </w:tcPr>
          <w:p w14:paraId="0BF79D00" w14:textId="77777777" w:rsidR="00263F92" w:rsidRPr="00337DB9" w:rsidRDefault="00263F92" w:rsidP="00372613">
            <w:pPr>
              <w:jc w:val="center"/>
              <w:rPr>
                <w:rFonts w:ascii="Arial" w:hAnsi="Arial" w:cs="Arial"/>
                <w:b/>
                <w:bCs/>
                <w:color w:val="000000"/>
                <w:sz w:val="20"/>
                <w:szCs w:val="20"/>
                <w:lang w:eastAsia="en-US"/>
              </w:rPr>
            </w:pPr>
            <w:r w:rsidRPr="00337DB9">
              <w:rPr>
                <w:rFonts w:ascii="Arial" w:hAnsi="Arial" w:cs="Arial"/>
                <w:b/>
                <w:bCs/>
                <w:color w:val="000000"/>
                <w:sz w:val="20"/>
                <w:szCs w:val="20"/>
                <w:lang w:eastAsia="en-US"/>
              </w:rPr>
              <w:t>Year 7</w:t>
            </w:r>
          </w:p>
        </w:tc>
        <w:tc>
          <w:tcPr>
            <w:tcW w:w="729" w:type="dxa"/>
            <w:tcBorders>
              <w:top w:val="single" w:sz="4" w:space="0" w:color="auto"/>
              <w:left w:val="nil"/>
              <w:bottom w:val="single" w:sz="4" w:space="0" w:color="auto"/>
              <w:right w:val="single" w:sz="4" w:space="0" w:color="auto"/>
            </w:tcBorders>
            <w:shd w:val="clear" w:color="000000" w:fill="D9D9D9"/>
            <w:vAlign w:val="center"/>
            <w:hideMark/>
          </w:tcPr>
          <w:p w14:paraId="354ED1D5" w14:textId="77777777" w:rsidR="00263F92" w:rsidRPr="00337DB9" w:rsidRDefault="00263F92" w:rsidP="00372613">
            <w:pPr>
              <w:jc w:val="center"/>
              <w:rPr>
                <w:rFonts w:ascii="Arial" w:hAnsi="Arial" w:cs="Arial"/>
                <w:b/>
                <w:bCs/>
                <w:color w:val="000000"/>
                <w:sz w:val="20"/>
                <w:szCs w:val="20"/>
                <w:lang w:eastAsia="en-US"/>
              </w:rPr>
            </w:pPr>
            <w:r w:rsidRPr="00337DB9">
              <w:rPr>
                <w:rFonts w:ascii="Arial" w:hAnsi="Arial" w:cs="Arial"/>
                <w:b/>
                <w:bCs/>
                <w:color w:val="000000"/>
                <w:sz w:val="20"/>
                <w:szCs w:val="20"/>
                <w:lang w:eastAsia="en-US"/>
              </w:rPr>
              <w:t>Year 8</w:t>
            </w:r>
          </w:p>
        </w:tc>
        <w:tc>
          <w:tcPr>
            <w:tcW w:w="929" w:type="dxa"/>
            <w:tcBorders>
              <w:top w:val="single" w:sz="4" w:space="0" w:color="auto"/>
              <w:left w:val="nil"/>
              <w:bottom w:val="single" w:sz="4" w:space="0" w:color="auto"/>
              <w:right w:val="single" w:sz="4" w:space="0" w:color="auto"/>
            </w:tcBorders>
            <w:shd w:val="clear" w:color="000000" w:fill="D9D9D9"/>
            <w:vAlign w:val="center"/>
            <w:hideMark/>
          </w:tcPr>
          <w:p w14:paraId="2BD4A123" w14:textId="77777777" w:rsidR="00263F92" w:rsidRPr="00337DB9" w:rsidRDefault="00263F92" w:rsidP="00372613">
            <w:pPr>
              <w:jc w:val="left"/>
              <w:rPr>
                <w:rFonts w:ascii="Arial" w:hAnsi="Arial" w:cs="Arial"/>
                <w:b/>
                <w:bCs/>
                <w:color w:val="000000"/>
                <w:sz w:val="20"/>
                <w:szCs w:val="20"/>
                <w:lang w:eastAsia="en-US"/>
              </w:rPr>
            </w:pPr>
            <w:r w:rsidRPr="00337DB9">
              <w:rPr>
                <w:rFonts w:ascii="Arial" w:hAnsi="Arial" w:cs="Arial"/>
                <w:b/>
                <w:bCs/>
                <w:color w:val="000000"/>
                <w:sz w:val="20"/>
                <w:szCs w:val="20"/>
                <w:lang w:eastAsia="en-US"/>
              </w:rPr>
              <w:t>Target</w:t>
            </w:r>
          </w:p>
        </w:tc>
      </w:tr>
      <w:tr w:rsidR="00263F92" w:rsidRPr="00337DB9" w14:paraId="70C10876" w14:textId="77777777" w:rsidTr="00372613">
        <w:trPr>
          <w:trHeight w:val="300"/>
        </w:trPr>
        <w:tc>
          <w:tcPr>
            <w:tcW w:w="9805" w:type="dxa"/>
            <w:gridSpan w:val="10"/>
            <w:tcBorders>
              <w:top w:val="single" w:sz="4" w:space="0" w:color="auto"/>
              <w:left w:val="single" w:sz="4" w:space="0" w:color="auto"/>
              <w:bottom w:val="single" w:sz="4" w:space="0" w:color="auto"/>
              <w:right w:val="single" w:sz="4" w:space="0" w:color="auto"/>
            </w:tcBorders>
            <w:shd w:val="clear" w:color="000000" w:fill="D9D9D9"/>
            <w:vAlign w:val="center"/>
            <w:hideMark/>
          </w:tcPr>
          <w:p w14:paraId="207983C6" w14:textId="77777777" w:rsidR="00263F92" w:rsidRPr="00337DB9" w:rsidRDefault="00263F92" w:rsidP="00372613">
            <w:pPr>
              <w:jc w:val="left"/>
              <w:rPr>
                <w:rFonts w:ascii="Arial" w:hAnsi="Arial" w:cs="Arial"/>
                <w:b/>
                <w:bCs/>
                <w:color w:val="000000"/>
                <w:sz w:val="20"/>
                <w:szCs w:val="20"/>
                <w:lang w:eastAsia="en-US"/>
              </w:rPr>
            </w:pPr>
            <w:r w:rsidRPr="00337DB9">
              <w:rPr>
                <w:rFonts w:ascii="Arial" w:hAnsi="Arial" w:cs="Arial"/>
                <w:b/>
                <w:bCs/>
                <w:color w:val="000000"/>
                <w:sz w:val="20"/>
                <w:szCs w:val="20"/>
                <w:lang w:eastAsia="en-US"/>
              </w:rPr>
              <w:t xml:space="preserve"> Component 1 – GE project development</w:t>
            </w:r>
          </w:p>
        </w:tc>
      </w:tr>
      <w:tr w:rsidR="00263F92" w:rsidRPr="00337DB9" w14:paraId="05C2B692" w14:textId="77777777" w:rsidTr="00372613">
        <w:trPr>
          <w:trHeight w:val="1710"/>
        </w:trPr>
        <w:tc>
          <w:tcPr>
            <w:tcW w:w="2522" w:type="dxa"/>
            <w:tcBorders>
              <w:top w:val="nil"/>
              <w:left w:val="single" w:sz="4" w:space="0" w:color="auto"/>
              <w:bottom w:val="single" w:sz="4" w:space="0" w:color="auto"/>
              <w:right w:val="single" w:sz="4" w:space="0" w:color="auto"/>
            </w:tcBorders>
            <w:shd w:val="clear" w:color="auto" w:fill="auto"/>
            <w:vAlign w:val="center"/>
            <w:hideMark/>
          </w:tcPr>
          <w:p w14:paraId="386E8649" w14:textId="77777777" w:rsidR="00263F92" w:rsidRPr="00337DB9" w:rsidRDefault="00263F92" w:rsidP="00372613">
            <w:pPr>
              <w:jc w:val="left"/>
              <w:rPr>
                <w:rFonts w:ascii="Arial" w:hAnsi="Arial" w:cs="Arial"/>
                <w:color w:val="000000"/>
                <w:sz w:val="20"/>
                <w:szCs w:val="20"/>
                <w:lang w:eastAsia="en-US"/>
              </w:rPr>
            </w:pPr>
            <w:r w:rsidRPr="00337DB9">
              <w:rPr>
                <w:rFonts w:ascii="Arial" w:hAnsi="Arial" w:cs="Arial"/>
                <w:color w:val="000000"/>
                <w:sz w:val="20"/>
                <w:szCs w:val="20"/>
                <w:lang w:eastAsia="en-US"/>
              </w:rPr>
              <w:t>Grants provided to geothermal projects for doing pre-feasibility studies required to identify promising exploratory drilling sites</w:t>
            </w:r>
          </w:p>
        </w:tc>
        <w:tc>
          <w:tcPr>
            <w:tcW w:w="898" w:type="dxa"/>
            <w:tcBorders>
              <w:top w:val="nil"/>
              <w:left w:val="nil"/>
              <w:bottom w:val="single" w:sz="4" w:space="0" w:color="auto"/>
              <w:right w:val="single" w:sz="4" w:space="0" w:color="auto"/>
            </w:tcBorders>
            <w:shd w:val="clear" w:color="auto" w:fill="auto"/>
            <w:vAlign w:val="center"/>
            <w:hideMark/>
          </w:tcPr>
          <w:p w14:paraId="5D05AC5E" w14:textId="3ACEFAB8" w:rsidR="00263F92" w:rsidRPr="00337DB9" w:rsidRDefault="00C529BA" w:rsidP="00372613">
            <w:pPr>
              <w:jc w:val="center"/>
              <w:rPr>
                <w:rFonts w:ascii="Arial" w:hAnsi="Arial" w:cs="Arial"/>
                <w:color w:val="000000"/>
                <w:sz w:val="20"/>
                <w:szCs w:val="20"/>
                <w:lang w:eastAsia="en-US"/>
              </w:rPr>
            </w:pPr>
            <w:r>
              <w:rPr>
                <w:rFonts w:ascii="Arial" w:hAnsi="Arial" w:cs="Arial"/>
                <w:color w:val="000000"/>
                <w:sz w:val="20"/>
                <w:szCs w:val="20"/>
                <w:lang w:eastAsia="en-US"/>
              </w:rPr>
              <w:t>1</w:t>
            </w:r>
            <w:r w:rsidR="00263F92" w:rsidRPr="00337DB9">
              <w:rPr>
                <w:rFonts w:ascii="Arial" w:hAnsi="Arial" w:cs="Arial"/>
                <w:color w:val="000000"/>
                <w:sz w:val="20"/>
                <w:szCs w:val="20"/>
                <w:lang w:eastAsia="en-US"/>
              </w:rPr>
              <w:t> </w:t>
            </w:r>
          </w:p>
        </w:tc>
        <w:tc>
          <w:tcPr>
            <w:tcW w:w="913" w:type="dxa"/>
            <w:tcBorders>
              <w:top w:val="nil"/>
              <w:left w:val="nil"/>
              <w:bottom w:val="single" w:sz="4" w:space="0" w:color="auto"/>
              <w:right w:val="single" w:sz="4" w:space="0" w:color="auto"/>
            </w:tcBorders>
            <w:shd w:val="clear" w:color="auto" w:fill="auto"/>
            <w:vAlign w:val="center"/>
            <w:hideMark/>
          </w:tcPr>
          <w:p w14:paraId="3DB27B6D" w14:textId="084B2188" w:rsidR="00263F92" w:rsidRPr="00337DB9" w:rsidRDefault="00C529BA" w:rsidP="00372613">
            <w:pPr>
              <w:jc w:val="center"/>
              <w:rPr>
                <w:rFonts w:ascii="Arial" w:hAnsi="Arial" w:cs="Arial"/>
                <w:color w:val="000000"/>
                <w:sz w:val="20"/>
                <w:szCs w:val="20"/>
                <w:lang w:eastAsia="en-US"/>
              </w:rPr>
            </w:pPr>
            <w:r>
              <w:rPr>
                <w:rFonts w:ascii="Arial" w:hAnsi="Arial" w:cs="Arial"/>
                <w:color w:val="000000"/>
                <w:sz w:val="20"/>
                <w:szCs w:val="20"/>
                <w:lang w:eastAsia="en-US"/>
              </w:rPr>
              <w:t>1</w:t>
            </w:r>
          </w:p>
        </w:tc>
        <w:tc>
          <w:tcPr>
            <w:tcW w:w="930" w:type="dxa"/>
            <w:tcBorders>
              <w:top w:val="nil"/>
              <w:left w:val="nil"/>
              <w:bottom w:val="single" w:sz="4" w:space="0" w:color="auto"/>
              <w:right w:val="single" w:sz="4" w:space="0" w:color="auto"/>
            </w:tcBorders>
            <w:shd w:val="clear" w:color="auto" w:fill="auto"/>
            <w:vAlign w:val="center"/>
            <w:hideMark/>
          </w:tcPr>
          <w:p w14:paraId="0335D6F3" w14:textId="35C425D8" w:rsidR="00263F92" w:rsidRPr="00337DB9" w:rsidRDefault="00C529BA" w:rsidP="00372613">
            <w:pPr>
              <w:jc w:val="center"/>
              <w:rPr>
                <w:rFonts w:ascii="Arial" w:hAnsi="Arial" w:cs="Arial"/>
                <w:color w:val="000000"/>
                <w:sz w:val="20"/>
                <w:szCs w:val="20"/>
                <w:lang w:eastAsia="en-US"/>
              </w:rPr>
            </w:pPr>
            <w:r>
              <w:rPr>
                <w:rFonts w:ascii="Arial" w:hAnsi="Arial" w:cs="Arial"/>
                <w:color w:val="000000"/>
                <w:sz w:val="20"/>
                <w:szCs w:val="20"/>
                <w:lang w:eastAsia="en-US"/>
              </w:rPr>
              <w:t>1</w:t>
            </w:r>
          </w:p>
        </w:tc>
        <w:tc>
          <w:tcPr>
            <w:tcW w:w="767" w:type="dxa"/>
            <w:tcBorders>
              <w:top w:val="nil"/>
              <w:left w:val="nil"/>
              <w:bottom w:val="single" w:sz="4" w:space="0" w:color="auto"/>
              <w:right w:val="single" w:sz="4" w:space="0" w:color="auto"/>
            </w:tcBorders>
            <w:shd w:val="clear" w:color="auto" w:fill="auto"/>
            <w:vAlign w:val="center"/>
            <w:hideMark/>
          </w:tcPr>
          <w:p w14:paraId="4383CD4B" w14:textId="77777777" w:rsidR="00263F92" w:rsidRPr="00337DB9" w:rsidRDefault="00263F92" w:rsidP="00372613">
            <w:pPr>
              <w:jc w:val="center"/>
              <w:rPr>
                <w:rFonts w:ascii="Arial" w:hAnsi="Arial" w:cs="Arial"/>
                <w:color w:val="000000"/>
                <w:sz w:val="20"/>
                <w:szCs w:val="20"/>
                <w:lang w:eastAsia="en-US"/>
              </w:rPr>
            </w:pPr>
            <w:r w:rsidRPr="00337DB9">
              <w:rPr>
                <w:rFonts w:ascii="Arial" w:hAnsi="Arial" w:cs="Arial"/>
                <w:color w:val="000000"/>
                <w:sz w:val="20"/>
                <w:szCs w:val="20"/>
                <w:lang w:eastAsia="en-US"/>
              </w:rPr>
              <w:t xml:space="preserve">   </w:t>
            </w:r>
          </w:p>
        </w:tc>
        <w:tc>
          <w:tcPr>
            <w:tcW w:w="694" w:type="dxa"/>
            <w:tcBorders>
              <w:top w:val="nil"/>
              <w:left w:val="nil"/>
              <w:bottom w:val="single" w:sz="4" w:space="0" w:color="auto"/>
              <w:right w:val="single" w:sz="4" w:space="0" w:color="auto"/>
            </w:tcBorders>
            <w:shd w:val="clear" w:color="auto" w:fill="auto"/>
            <w:vAlign w:val="center"/>
            <w:hideMark/>
          </w:tcPr>
          <w:p w14:paraId="326785C0" w14:textId="77777777" w:rsidR="00263F92" w:rsidRPr="00337DB9" w:rsidRDefault="00263F92" w:rsidP="00372613">
            <w:pPr>
              <w:jc w:val="center"/>
              <w:rPr>
                <w:rFonts w:ascii="Arial" w:hAnsi="Arial" w:cs="Arial"/>
                <w:color w:val="000000"/>
                <w:sz w:val="20"/>
                <w:szCs w:val="20"/>
                <w:lang w:eastAsia="en-US"/>
              </w:rPr>
            </w:pPr>
            <w:r w:rsidRPr="00337DB9">
              <w:rPr>
                <w:rFonts w:ascii="Arial" w:hAnsi="Arial" w:cs="Arial"/>
                <w:color w:val="000000"/>
                <w:sz w:val="20"/>
                <w:szCs w:val="20"/>
                <w:lang w:eastAsia="en-US"/>
              </w:rPr>
              <w:t> </w:t>
            </w:r>
          </w:p>
        </w:tc>
        <w:tc>
          <w:tcPr>
            <w:tcW w:w="694" w:type="dxa"/>
            <w:tcBorders>
              <w:top w:val="nil"/>
              <w:left w:val="nil"/>
              <w:bottom w:val="single" w:sz="4" w:space="0" w:color="auto"/>
              <w:right w:val="single" w:sz="4" w:space="0" w:color="auto"/>
            </w:tcBorders>
            <w:shd w:val="clear" w:color="auto" w:fill="auto"/>
            <w:vAlign w:val="center"/>
            <w:hideMark/>
          </w:tcPr>
          <w:p w14:paraId="4882D684" w14:textId="77777777" w:rsidR="00263F92" w:rsidRPr="00337DB9" w:rsidRDefault="00263F92" w:rsidP="00372613">
            <w:pPr>
              <w:jc w:val="center"/>
              <w:rPr>
                <w:rFonts w:ascii="Arial" w:hAnsi="Arial" w:cs="Arial"/>
                <w:color w:val="000000"/>
                <w:sz w:val="20"/>
                <w:szCs w:val="20"/>
                <w:lang w:eastAsia="en-US"/>
              </w:rPr>
            </w:pPr>
            <w:r w:rsidRPr="00337DB9">
              <w:rPr>
                <w:rFonts w:ascii="Arial" w:hAnsi="Arial" w:cs="Arial"/>
                <w:color w:val="000000"/>
                <w:sz w:val="20"/>
                <w:szCs w:val="20"/>
                <w:lang w:eastAsia="en-US"/>
              </w:rPr>
              <w:t> </w:t>
            </w:r>
          </w:p>
        </w:tc>
        <w:tc>
          <w:tcPr>
            <w:tcW w:w="729" w:type="dxa"/>
            <w:tcBorders>
              <w:top w:val="nil"/>
              <w:left w:val="nil"/>
              <w:bottom w:val="single" w:sz="4" w:space="0" w:color="auto"/>
              <w:right w:val="single" w:sz="4" w:space="0" w:color="auto"/>
            </w:tcBorders>
            <w:shd w:val="clear" w:color="auto" w:fill="auto"/>
            <w:vAlign w:val="center"/>
            <w:hideMark/>
          </w:tcPr>
          <w:p w14:paraId="5E6C4F88" w14:textId="77777777" w:rsidR="00263F92" w:rsidRPr="00337DB9" w:rsidRDefault="00263F92" w:rsidP="00372613">
            <w:pPr>
              <w:jc w:val="center"/>
              <w:rPr>
                <w:rFonts w:ascii="Arial" w:hAnsi="Arial" w:cs="Arial"/>
                <w:color w:val="000000"/>
                <w:sz w:val="20"/>
                <w:szCs w:val="20"/>
                <w:lang w:eastAsia="en-US"/>
              </w:rPr>
            </w:pPr>
            <w:r w:rsidRPr="00337DB9">
              <w:rPr>
                <w:rFonts w:ascii="Arial" w:hAnsi="Arial" w:cs="Arial"/>
                <w:color w:val="000000"/>
                <w:sz w:val="20"/>
                <w:szCs w:val="20"/>
                <w:lang w:eastAsia="en-US"/>
              </w:rPr>
              <w:t> </w:t>
            </w:r>
          </w:p>
        </w:tc>
        <w:tc>
          <w:tcPr>
            <w:tcW w:w="729" w:type="dxa"/>
            <w:tcBorders>
              <w:top w:val="nil"/>
              <w:left w:val="nil"/>
              <w:bottom w:val="single" w:sz="4" w:space="0" w:color="auto"/>
              <w:right w:val="single" w:sz="4" w:space="0" w:color="auto"/>
            </w:tcBorders>
            <w:shd w:val="clear" w:color="auto" w:fill="auto"/>
            <w:vAlign w:val="center"/>
            <w:hideMark/>
          </w:tcPr>
          <w:p w14:paraId="7C33FC7A" w14:textId="77777777" w:rsidR="00263F92" w:rsidRPr="00337DB9" w:rsidRDefault="00263F92" w:rsidP="00372613">
            <w:pPr>
              <w:jc w:val="center"/>
              <w:rPr>
                <w:rFonts w:ascii="Arial" w:hAnsi="Arial" w:cs="Arial"/>
                <w:color w:val="000000"/>
                <w:sz w:val="20"/>
                <w:szCs w:val="20"/>
                <w:lang w:eastAsia="en-US"/>
              </w:rPr>
            </w:pPr>
            <w:r w:rsidRPr="00337DB9">
              <w:rPr>
                <w:rFonts w:ascii="Arial" w:hAnsi="Arial" w:cs="Arial"/>
                <w:color w:val="000000"/>
                <w:sz w:val="20"/>
                <w:szCs w:val="20"/>
                <w:lang w:eastAsia="en-US"/>
              </w:rPr>
              <w:t> </w:t>
            </w:r>
          </w:p>
        </w:tc>
        <w:tc>
          <w:tcPr>
            <w:tcW w:w="929" w:type="dxa"/>
            <w:tcBorders>
              <w:top w:val="nil"/>
              <w:left w:val="nil"/>
              <w:bottom w:val="single" w:sz="4" w:space="0" w:color="auto"/>
              <w:right w:val="single" w:sz="4" w:space="0" w:color="auto"/>
            </w:tcBorders>
            <w:shd w:val="clear" w:color="auto" w:fill="auto"/>
            <w:vAlign w:val="center"/>
            <w:hideMark/>
          </w:tcPr>
          <w:p w14:paraId="7169DFFC" w14:textId="523C2C77" w:rsidR="00263F92" w:rsidRPr="00337DB9" w:rsidRDefault="00C529BA" w:rsidP="00372613">
            <w:pPr>
              <w:jc w:val="center"/>
              <w:rPr>
                <w:rFonts w:ascii="Arial" w:hAnsi="Arial" w:cs="Arial"/>
                <w:color w:val="000000"/>
                <w:sz w:val="20"/>
                <w:szCs w:val="20"/>
                <w:lang w:eastAsia="en-US"/>
              </w:rPr>
            </w:pPr>
            <w:r>
              <w:rPr>
                <w:rFonts w:ascii="Arial" w:hAnsi="Arial" w:cs="Arial"/>
                <w:color w:val="000000"/>
                <w:sz w:val="20"/>
                <w:szCs w:val="20"/>
                <w:lang w:eastAsia="en-US"/>
              </w:rPr>
              <w:t>3</w:t>
            </w:r>
          </w:p>
        </w:tc>
      </w:tr>
      <w:tr w:rsidR="00263F92" w:rsidRPr="00337DB9" w14:paraId="1AB96973" w14:textId="77777777" w:rsidTr="00372613">
        <w:trPr>
          <w:trHeight w:val="1710"/>
        </w:trPr>
        <w:tc>
          <w:tcPr>
            <w:tcW w:w="2522" w:type="dxa"/>
            <w:tcBorders>
              <w:top w:val="nil"/>
              <w:left w:val="single" w:sz="4" w:space="0" w:color="auto"/>
              <w:bottom w:val="single" w:sz="4" w:space="0" w:color="auto"/>
              <w:right w:val="single" w:sz="4" w:space="0" w:color="auto"/>
            </w:tcBorders>
            <w:shd w:val="clear" w:color="auto" w:fill="auto"/>
            <w:vAlign w:val="center"/>
            <w:hideMark/>
          </w:tcPr>
          <w:p w14:paraId="19E2A16F" w14:textId="77777777" w:rsidR="00263F92" w:rsidRPr="00337DB9" w:rsidRDefault="00263F92" w:rsidP="00372613">
            <w:pPr>
              <w:jc w:val="left"/>
              <w:rPr>
                <w:rFonts w:ascii="Arial" w:hAnsi="Arial" w:cs="Arial"/>
                <w:color w:val="000000"/>
                <w:sz w:val="20"/>
                <w:szCs w:val="20"/>
                <w:lang w:eastAsia="en-US"/>
              </w:rPr>
            </w:pPr>
            <w:r w:rsidRPr="00337DB9">
              <w:rPr>
                <w:rFonts w:ascii="Arial" w:hAnsi="Arial" w:cs="Arial"/>
                <w:color w:val="000000"/>
                <w:sz w:val="20"/>
                <w:szCs w:val="20"/>
                <w:lang w:eastAsia="en-US"/>
              </w:rPr>
              <w:t xml:space="preserve"> Grants (in the form of loan guarantees or grants convertible to loans) provided to geothermal projects with resources from the Program </w:t>
            </w:r>
          </w:p>
        </w:tc>
        <w:tc>
          <w:tcPr>
            <w:tcW w:w="898" w:type="dxa"/>
            <w:tcBorders>
              <w:top w:val="nil"/>
              <w:left w:val="nil"/>
              <w:bottom w:val="single" w:sz="4" w:space="0" w:color="auto"/>
              <w:right w:val="single" w:sz="4" w:space="0" w:color="auto"/>
            </w:tcBorders>
            <w:shd w:val="clear" w:color="auto" w:fill="auto"/>
            <w:vAlign w:val="center"/>
            <w:hideMark/>
          </w:tcPr>
          <w:p w14:paraId="2657E11D" w14:textId="77777777" w:rsidR="00263F92" w:rsidRPr="00337DB9" w:rsidRDefault="00263F92" w:rsidP="00372613">
            <w:pPr>
              <w:jc w:val="center"/>
              <w:rPr>
                <w:rFonts w:ascii="Arial" w:hAnsi="Arial" w:cs="Arial"/>
                <w:color w:val="000000"/>
                <w:sz w:val="20"/>
                <w:szCs w:val="20"/>
                <w:lang w:eastAsia="en-US"/>
              </w:rPr>
            </w:pPr>
            <w:r w:rsidRPr="00337DB9">
              <w:rPr>
                <w:rFonts w:ascii="Arial" w:hAnsi="Arial" w:cs="Arial"/>
                <w:color w:val="000000"/>
                <w:sz w:val="20"/>
                <w:szCs w:val="20"/>
                <w:lang w:eastAsia="en-US"/>
              </w:rPr>
              <w:t xml:space="preserve">          -   </w:t>
            </w:r>
          </w:p>
        </w:tc>
        <w:tc>
          <w:tcPr>
            <w:tcW w:w="913" w:type="dxa"/>
            <w:tcBorders>
              <w:top w:val="nil"/>
              <w:left w:val="nil"/>
              <w:bottom w:val="single" w:sz="4" w:space="0" w:color="auto"/>
              <w:right w:val="single" w:sz="4" w:space="0" w:color="auto"/>
            </w:tcBorders>
            <w:shd w:val="clear" w:color="auto" w:fill="auto"/>
            <w:vAlign w:val="center"/>
            <w:hideMark/>
          </w:tcPr>
          <w:p w14:paraId="1463DB72" w14:textId="56457390" w:rsidR="00263F92" w:rsidRPr="00337DB9" w:rsidRDefault="00C529BA" w:rsidP="00372613">
            <w:pPr>
              <w:jc w:val="center"/>
              <w:rPr>
                <w:rFonts w:ascii="Arial" w:hAnsi="Arial" w:cs="Arial"/>
                <w:color w:val="000000"/>
                <w:sz w:val="20"/>
                <w:szCs w:val="20"/>
                <w:lang w:eastAsia="en-US"/>
              </w:rPr>
            </w:pPr>
            <w:r>
              <w:rPr>
                <w:rFonts w:ascii="Arial" w:hAnsi="Arial" w:cs="Arial"/>
                <w:color w:val="000000"/>
                <w:sz w:val="20"/>
                <w:szCs w:val="20"/>
                <w:lang w:eastAsia="en-US"/>
              </w:rPr>
              <w:t>2</w:t>
            </w:r>
          </w:p>
        </w:tc>
        <w:tc>
          <w:tcPr>
            <w:tcW w:w="930" w:type="dxa"/>
            <w:tcBorders>
              <w:top w:val="nil"/>
              <w:left w:val="nil"/>
              <w:bottom w:val="single" w:sz="4" w:space="0" w:color="auto"/>
              <w:right w:val="single" w:sz="4" w:space="0" w:color="auto"/>
            </w:tcBorders>
            <w:shd w:val="clear" w:color="auto" w:fill="auto"/>
            <w:vAlign w:val="center"/>
            <w:hideMark/>
          </w:tcPr>
          <w:p w14:paraId="55E669F2" w14:textId="62488B7C" w:rsidR="00263F92" w:rsidRPr="00337DB9" w:rsidRDefault="00C529BA" w:rsidP="00372613">
            <w:pPr>
              <w:jc w:val="center"/>
              <w:rPr>
                <w:rFonts w:ascii="Arial" w:hAnsi="Arial" w:cs="Arial"/>
                <w:color w:val="000000"/>
                <w:sz w:val="20"/>
                <w:szCs w:val="20"/>
                <w:lang w:eastAsia="en-US"/>
              </w:rPr>
            </w:pPr>
            <w:r>
              <w:rPr>
                <w:rFonts w:ascii="Arial" w:hAnsi="Arial" w:cs="Arial"/>
                <w:color w:val="000000"/>
                <w:sz w:val="20"/>
                <w:szCs w:val="20"/>
                <w:lang w:eastAsia="en-US"/>
              </w:rPr>
              <w:t>1</w:t>
            </w:r>
          </w:p>
        </w:tc>
        <w:tc>
          <w:tcPr>
            <w:tcW w:w="767" w:type="dxa"/>
            <w:tcBorders>
              <w:top w:val="nil"/>
              <w:left w:val="nil"/>
              <w:bottom w:val="single" w:sz="4" w:space="0" w:color="auto"/>
              <w:right w:val="single" w:sz="4" w:space="0" w:color="auto"/>
            </w:tcBorders>
            <w:shd w:val="clear" w:color="auto" w:fill="auto"/>
            <w:vAlign w:val="center"/>
            <w:hideMark/>
          </w:tcPr>
          <w:p w14:paraId="037B5856" w14:textId="39DB7F94" w:rsidR="00263F92" w:rsidRPr="00337DB9" w:rsidRDefault="00C529BA" w:rsidP="00372613">
            <w:pPr>
              <w:jc w:val="center"/>
              <w:rPr>
                <w:rFonts w:ascii="Arial" w:hAnsi="Arial" w:cs="Arial"/>
                <w:color w:val="000000"/>
                <w:sz w:val="20"/>
                <w:szCs w:val="20"/>
                <w:lang w:eastAsia="en-US"/>
              </w:rPr>
            </w:pPr>
            <w:r>
              <w:rPr>
                <w:rFonts w:ascii="Arial" w:hAnsi="Arial" w:cs="Arial"/>
                <w:color w:val="000000"/>
                <w:sz w:val="20"/>
                <w:szCs w:val="20"/>
                <w:lang w:eastAsia="en-US"/>
              </w:rPr>
              <w:t>-</w:t>
            </w:r>
          </w:p>
        </w:tc>
        <w:tc>
          <w:tcPr>
            <w:tcW w:w="694" w:type="dxa"/>
            <w:tcBorders>
              <w:top w:val="nil"/>
              <w:left w:val="nil"/>
              <w:bottom w:val="single" w:sz="4" w:space="0" w:color="auto"/>
              <w:right w:val="single" w:sz="4" w:space="0" w:color="auto"/>
            </w:tcBorders>
            <w:shd w:val="clear" w:color="auto" w:fill="auto"/>
            <w:vAlign w:val="center"/>
            <w:hideMark/>
          </w:tcPr>
          <w:p w14:paraId="2DF8928A" w14:textId="77777777" w:rsidR="00263F92" w:rsidRPr="00337DB9" w:rsidRDefault="00263F92" w:rsidP="00372613">
            <w:pPr>
              <w:jc w:val="center"/>
              <w:rPr>
                <w:rFonts w:ascii="Arial" w:hAnsi="Arial" w:cs="Arial"/>
                <w:color w:val="000000"/>
                <w:sz w:val="20"/>
                <w:szCs w:val="20"/>
                <w:lang w:eastAsia="en-US"/>
              </w:rPr>
            </w:pPr>
            <w:r w:rsidRPr="00337DB9">
              <w:rPr>
                <w:rFonts w:ascii="Arial" w:hAnsi="Arial" w:cs="Arial"/>
                <w:color w:val="000000"/>
                <w:sz w:val="20"/>
                <w:szCs w:val="20"/>
                <w:lang w:eastAsia="en-US"/>
              </w:rPr>
              <w:t xml:space="preserve">     -   </w:t>
            </w:r>
          </w:p>
        </w:tc>
        <w:tc>
          <w:tcPr>
            <w:tcW w:w="694" w:type="dxa"/>
            <w:tcBorders>
              <w:top w:val="nil"/>
              <w:left w:val="nil"/>
              <w:bottom w:val="single" w:sz="4" w:space="0" w:color="auto"/>
              <w:right w:val="single" w:sz="4" w:space="0" w:color="auto"/>
            </w:tcBorders>
            <w:shd w:val="clear" w:color="auto" w:fill="auto"/>
            <w:vAlign w:val="center"/>
            <w:hideMark/>
          </w:tcPr>
          <w:p w14:paraId="341A93EC" w14:textId="77777777" w:rsidR="00263F92" w:rsidRPr="00337DB9" w:rsidRDefault="00263F92" w:rsidP="00372613">
            <w:pPr>
              <w:jc w:val="center"/>
              <w:rPr>
                <w:rFonts w:ascii="Arial" w:hAnsi="Arial" w:cs="Arial"/>
                <w:color w:val="000000"/>
                <w:sz w:val="20"/>
                <w:szCs w:val="20"/>
                <w:lang w:eastAsia="en-US"/>
              </w:rPr>
            </w:pPr>
            <w:r w:rsidRPr="00337DB9">
              <w:rPr>
                <w:rFonts w:ascii="Arial" w:hAnsi="Arial" w:cs="Arial"/>
                <w:color w:val="000000"/>
                <w:sz w:val="20"/>
                <w:szCs w:val="20"/>
                <w:lang w:eastAsia="en-US"/>
              </w:rPr>
              <w:t xml:space="preserve">     -   </w:t>
            </w:r>
          </w:p>
        </w:tc>
        <w:tc>
          <w:tcPr>
            <w:tcW w:w="729" w:type="dxa"/>
            <w:tcBorders>
              <w:top w:val="nil"/>
              <w:left w:val="nil"/>
              <w:bottom w:val="single" w:sz="4" w:space="0" w:color="auto"/>
              <w:right w:val="single" w:sz="4" w:space="0" w:color="auto"/>
            </w:tcBorders>
            <w:shd w:val="clear" w:color="auto" w:fill="auto"/>
            <w:vAlign w:val="center"/>
            <w:hideMark/>
          </w:tcPr>
          <w:p w14:paraId="7AA98BC3" w14:textId="77777777" w:rsidR="00263F92" w:rsidRPr="00337DB9" w:rsidRDefault="00263F92" w:rsidP="00372613">
            <w:pPr>
              <w:jc w:val="center"/>
              <w:rPr>
                <w:rFonts w:ascii="Arial" w:hAnsi="Arial" w:cs="Arial"/>
                <w:color w:val="000000"/>
                <w:sz w:val="20"/>
                <w:szCs w:val="20"/>
                <w:lang w:eastAsia="en-US"/>
              </w:rPr>
            </w:pPr>
            <w:r w:rsidRPr="00337DB9">
              <w:rPr>
                <w:rFonts w:ascii="Arial" w:hAnsi="Arial" w:cs="Arial"/>
                <w:color w:val="000000"/>
                <w:sz w:val="20"/>
                <w:szCs w:val="20"/>
                <w:lang w:eastAsia="en-US"/>
              </w:rPr>
              <w:t xml:space="preserve">      -   </w:t>
            </w:r>
          </w:p>
        </w:tc>
        <w:tc>
          <w:tcPr>
            <w:tcW w:w="729" w:type="dxa"/>
            <w:tcBorders>
              <w:top w:val="nil"/>
              <w:left w:val="nil"/>
              <w:bottom w:val="single" w:sz="4" w:space="0" w:color="auto"/>
              <w:right w:val="single" w:sz="4" w:space="0" w:color="auto"/>
            </w:tcBorders>
            <w:shd w:val="clear" w:color="auto" w:fill="auto"/>
            <w:vAlign w:val="center"/>
            <w:hideMark/>
          </w:tcPr>
          <w:p w14:paraId="5563BF89" w14:textId="77777777" w:rsidR="00263F92" w:rsidRPr="00337DB9" w:rsidRDefault="00263F92" w:rsidP="00372613">
            <w:pPr>
              <w:jc w:val="center"/>
              <w:rPr>
                <w:rFonts w:ascii="Arial" w:hAnsi="Arial" w:cs="Arial"/>
                <w:color w:val="000000"/>
                <w:sz w:val="20"/>
                <w:szCs w:val="20"/>
                <w:lang w:eastAsia="en-US"/>
              </w:rPr>
            </w:pPr>
            <w:r w:rsidRPr="00337DB9">
              <w:rPr>
                <w:rFonts w:ascii="Arial" w:hAnsi="Arial" w:cs="Arial"/>
                <w:color w:val="000000"/>
                <w:sz w:val="20"/>
                <w:szCs w:val="20"/>
                <w:lang w:eastAsia="en-US"/>
              </w:rPr>
              <w:t xml:space="preserve">      -   </w:t>
            </w:r>
          </w:p>
        </w:tc>
        <w:tc>
          <w:tcPr>
            <w:tcW w:w="929" w:type="dxa"/>
            <w:tcBorders>
              <w:top w:val="nil"/>
              <w:left w:val="nil"/>
              <w:bottom w:val="single" w:sz="4" w:space="0" w:color="auto"/>
              <w:right w:val="single" w:sz="4" w:space="0" w:color="auto"/>
            </w:tcBorders>
            <w:shd w:val="clear" w:color="auto" w:fill="auto"/>
            <w:vAlign w:val="center"/>
            <w:hideMark/>
          </w:tcPr>
          <w:p w14:paraId="6EB7C2CF" w14:textId="5F51AE46" w:rsidR="00263F92" w:rsidRPr="00337DB9" w:rsidRDefault="00C92613" w:rsidP="00372613">
            <w:pPr>
              <w:jc w:val="center"/>
              <w:rPr>
                <w:rFonts w:ascii="Arial" w:hAnsi="Arial" w:cs="Arial"/>
                <w:color w:val="000000"/>
                <w:sz w:val="20"/>
                <w:szCs w:val="20"/>
                <w:lang w:eastAsia="en-US"/>
              </w:rPr>
            </w:pPr>
            <w:r>
              <w:rPr>
                <w:rFonts w:ascii="Arial" w:hAnsi="Arial" w:cs="Arial"/>
                <w:color w:val="000000"/>
                <w:sz w:val="20"/>
                <w:szCs w:val="20"/>
                <w:lang w:eastAsia="en-US"/>
              </w:rPr>
              <w:t>3</w:t>
            </w:r>
          </w:p>
        </w:tc>
      </w:tr>
      <w:tr w:rsidR="00263F92" w:rsidRPr="00337DB9" w14:paraId="0B74FBA1" w14:textId="77777777" w:rsidTr="00372613">
        <w:trPr>
          <w:trHeight w:val="1425"/>
        </w:trPr>
        <w:tc>
          <w:tcPr>
            <w:tcW w:w="2522" w:type="dxa"/>
            <w:tcBorders>
              <w:top w:val="nil"/>
              <w:left w:val="single" w:sz="4" w:space="0" w:color="auto"/>
              <w:bottom w:val="single" w:sz="4" w:space="0" w:color="auto"/>
              <w:right w:val="single" w:sz="4" w:space="0" w:color="auto"/>
            </w:tcBorders>
            <w:shd w:val="clear" w:color="auto" w:fill="auto"/>
            <w:vAlign w:val="center"/>
            <w:hideMark/>
          </w:tcPr>
          <w:p w14:paraId="560F2A22" w14:textId="77777777" w:rsidR="00263F92" w:rsidRPr="00337DB9" w:rsidRDefault="00263F92" w:rsidP="00372613">
            <w:pPr>
              <w:jc w:val="left"/>
              <w:rPr>
                <w:rFonts w:ascii="Arial" w:hAnsi="Arial" w:cs="Arial"/>
                <w:color w:val="000000"/>
                <w:sz w:val="20"/>
                <w:szCs w:val="20"/>
                <w:lang w:eastAsia="en-US"/>
              </w:rPr>
            </w:pPr>
            <w:r w:rsidRPr="00337DB9">
              <w:rPr>
                <w:rFonts w:ascii="Arial" w:hAnsi="Arial" w:cs="Arial"/>
                <w:color w:val="000000"/>
                <w:sz w:val="20"/>
                <w:szCs w:val="20"/>
                <w:lang w:eastAsia="en-US"/>
              </w:rPr>
              <w:t xml:space="preserve"> Loans provided to geothermal projects at any stage of development with resources from the Program  </w:t>
            </w:r>
          </w:p>
        </w:tc>
        <w:tc>
          <w:tcPr>
            <w:tcW w:w="898" w:type="dxa"/>
            <w:tcBorders>
              <w:top w:val="nil"/>
              <w:left w:val="nil"/>
              <w:bottom w:val="single" w:sz="4" w:space="0" w:color="auto"/>
              <w:right w:val="single" w:sz="4" w:space="0" w:color="auto"/>
            </w:tcBorders>
            <w:shd w:val="clear" w:color="auto" w:fill="auto"/>
            <w:vAlign w:val="center"/>
            <w:hideMark/>
          </w:tcPr>
          <w:p w14:paraId="1ED02D86" w14:textId="5922C7F2" w:rsidR="00263F92" w:rsidRPr="00337DB9" w:rsidRDefault="00263F92" w:rsidP="00372613">
            <w:pPr>
              <w:jc w:val="center"/>
              <w:rPr>
                <w:rFonts w:ascii="Arial" w:hAnsi="Arial" w:cs="Arial"/>
                <w:color w:val="000000"/>
                <w:sz w:val="20"/>
                <w:szCs w:val="20"/>
                <w:lang w:eastAsia="en-US"/>
              </w:rPr>
            </w:pPr>
            <w:r w:rsidRPr="00337DB9">
              <w:rPr>
                <w:rFonts w:ascii="Arial" w:hAnsi="Arial" w:cs="Arial"/>
                <w:color w:val="000000"/>
                <w:sz w:val="20"/>
                <w:szCs w:val="20"/>
                <w:lang w:eastAsia="en-US"/>
              </w:rPr>
              <w:t xml:space="preserve">     </w:t>
            </w:r>
            <w:r w:rsidR="002D6B7A">
              <w:rPr>
                <w:rFonts w:ascii="Arial" w:hAnsi="Arial" w:cs="Arial"/>
                <w:color w:val="000000"/>
                <w:sz w:val="20"/>
                <w:szCs w:val="20"/>
                <w:lang w:eastAsia="en-US"/>
              </w:rPr>
              <w:t xml:space="preserve"> </w:t>
            </w:r>
            <w:r w:rsidRPr="00337DB9">
              <w:rPr>
                <w:rFonts w:ascii="Arial" w:hAnsi="Arial" w:cs="Arial"/>
                <w:color w:val="000000"/>
                <w:sz w:val="20"/>
                <w:szCs w:val="20"/>
                <w:lang w:eastAsia="en-US"/>
              </w:rPr>
              <w:t xml:space="preserve">-   </w:t>
            </w:r>
          </w:p>
        </w:tc>
        <w:tc>
          <w:tcPr>
            <w:tcW w:w="913" w:type="dxa"/>
            <w:tcBorders>
              <w:top w:val="nil"/>
              <w:left w:val="nil"/>
              <w:bottom w:val="single" w:sz="4" w:space="0" w:color="auto"/>
              <w:right w:val="single" w:sz="4" w:space="0" w:color="auto"/>
            </w:tcBorders>
            <w:shd w:val="clear" w:color="auto" w:fill="auto"/>
            <w:vAlign w:val="center"/>
            <w:hideMark/>
          </w:tcPr>
          <w:p w14:paraId="336F38FC" w14:textId="6C384DD7" w:rsidR="00263F92" w:rsidRPr="00337DB9" w:rsidRDefault="00C92613" w:rsidP="00372613">
            <w:pPr>
              <w:jc w:val="center"/>
              <w:rPr>
                <w:rFonts w:ascii="Arial" w:hAnsi="Arial" w:cs="Arial"/>
                <w:color w:val="000000"/>
                <w:sz w:val="20"/>
                <w:szCs w:val="20"/>
                <w:lang w:eastAsia="en-US"/>
              </w:rPr>
            </w:pPr>
            <w:r>
              <w:rPr>
                <w:rFonts w:ascii="Arial" w:hAnsi="Arial" w:cs="Arial"/>
                <w:color w:val="000000"/>
                <w:sz w:val="20"/>
                <w:szCs w:val="20"/>
                <w:lang w:eastAsia="en-US"/>
              </w:rPr>
              <w:t>2</w:t>
            </w:r>
          </w:p>
        </w:tc>
        <w:tc>
          <w:tcPr>
            <w:tcW w:w="930" w:type="dxa"/>
            <w:tcBorders>
              <w:top w:val="nil"/>
              <w:left w:val="nil"/>
              <w:bottom w:val="single" w:sz="4" w:space="0" w:color="auto"/>
              <w:right w:val="single" w:sz="4" w:space="0" w:color="auto"/>
            </w:tcBorders>
            <w:shd w:val="clear" w:color="auto" w:fill="auto"/>
            <w:vAlign w:val="center"/>
            <w:hideMark/>
          </w:tcPr>
          <w:p w14:paraId="43DFA683" w14:textId="1CE76B96" w:rsidR="00263F92" w:rsidRPr="00337DB9" w:rsidRDefault="00C92613" w:rsidP="00372613">
            <w:pPr>
              <w:jc w:val="center"/>
              <w:rPr>
                <w:rFonts w:ascii="Arial" w:hAnsi="Arial" w:cs="Arial"/>
                <w:color w:val="000000"/>
                <w:sz w:val="20"/>
                <w:szCs w:val="20"/>
                <w:lang w:eastAsia="en-US"/>
              </w:rPr>
            </w:pPr>
            <w:r>
              <w:rPr>
                <w:rFonts w:ascii="Arial" w:hAnsi="Arial" w:cs="Arial"/>
                <w:color w:val="000000"/>
                <w:sz w:val="20"/>
                <w:szCs w:val="20"/>
                <w:lang w:eastAsia="en-US"/>
              </w:rPr>
              <w:t>1</w:t>
            </w:r>
          </w:p>
        </w:tc>
        <w:tc>
          <w:tcPr>
            <w:tcW w:w="767" w:type="dxa"/>
            <w:tcBorders>
              <w:top w:val="nil"/>
              <w:left w:val="nil"/>
              <w:bottom w:val="single" w:sz="4" w:space="0" w:color="auto"/>
              <w:right w:val="single" w:sz="4" w:space="0" w:color="auto"/>
            </w:tcBorders>
            <w:shd w:val="clear" w:color="auto" w:fill="auto"/>
            <w:vAlign w:val="center"/>
            <w:hideMark/>
          </w:tcPr>
          <w:p w14:paraId="7603C1DC" w14:textId="24BB0683" w:rsidR="00263F92" w:rsidRPr="00337DB9" w:rsidRDefault="00C92613" w:rsidP="00372613">
            <w:pPr>
              <w:jc w:val="center"/>
              <w:rPr>
                <w:rFonts w:ascii="Arial" w:hAnsi="Arial" w:cs="Arial"/>
                <w:color w:val="000000"/>
                <w:sz w:val="20"/>
                <w:szCs w:val="20"/>
                <w:lang w:eastAsia="en-US"/>
              </w:rPr>
            </w:pPr>
            <w:r>
              <w:rPr>
                <w:rFonts w:ascii="Arial" w:hAnsi="Arial" w:cs="Arial"/>
                <w:color w:val="000000"/>
                <w:sz w:val="20"/>
                <w:szCs w:val="20"/>
                <w:lang w:eastAsia="en-US"/>
              </w:rPr>
              <w:t>-</w:t>
            </w:r>
          </w:p>
        </w:tc>
        <w:tc>
          <w:tcPr>
            <w:tcW w:w="694" w:type="dxa"/>
            <w:tcBorders>
              <w:top w:val="nil"/>
              <w:left w:val="nil"/>
              <w:bottom w:val="single" w:sz="4" w:space="0" w:color="auto"/>
              <w:right w:val="single" w:sz="4" w:space="0" w:color="auto"/>
            </w:tcBorders>
            <w:shd w:val="clear" w:color="auto" w:fill="auto"/>
            <w:vAlign w:val="center"/>
            <w:hideMark/>
          </w:tcPr>
          <w:p w14:paraId="0930FFB3" w14:textId="34CDE596" w:rsidR="00263F92" w:rsidRPr="00337DB9" w:rsidRDefault="00C92613" w:rsidP="00372613">
            <w:pPr>
              <w:jc w:val="center"/>
              <w:rPr>
                <w:rFonts w:ascii="Arial" w:hAnsi="Arial" w:cs="Arial"/>
                <w:color w:val="000000"/>
                <w:sz w:val="20"/>
                <w:szCs w:val="20"/>
                <w:lang w:eastAsia="en-US"/>
              </w:rPr>
            </w:pPr>
            <w:r>
              <w:rPr>
                <w:rFonts w:ascii="Arial" w:hAnsi="Arial" w:cs="Arial"/>
                <w:color w:val="000000"/>
                <w:sz w:val="20"/>
                <w:szCs w:val="20"/>
                <w:lang w:eastAsia="en-US"/>
              </w:rPr>
              <w:t>-</w:t>
            </w:r>
          </w:p>
        </w:tc>
        <w:tc>
          <w:tcPr>
            <w:tcW w:w="694" w:type="dxa"/>
            <w:tcBorders>
              <w:top w:val="nil"/>
              <w:left w:val="nil"/>
              <w:bottom w:val="single" w:sz="4" w:space="0" w:color="auto"/>
              <w:right w:val="single" w:sz="4" w:space="0" w:color="auto"/>
            </w:tcBorders>
            <w:shd w:val="clear" w:color="auto" w:fill="auto"/>
            <w:vAlign w:val="center"/>
            <w:hideMark/>
          </w:tcPr>
          <w:p w14:paraId="37CE235C" w14:textId="45A851BA" w:rsidR="00263F92" w:rsidRPr="00337DB9" w:rsidRDefault="00C92613" w:rsidP="00372613">
            <w:pPr>
              <w:jc w:val="center"/>
              <w:rPr>
                <w:rFonts w:ascii="Arial" w:hAnsi="Arial" w:cs="Arial"/>
                <w:color w:val="000000"/>
                <w:sz w:val="20"/>
                <w:szCs w:val="20"/>
                <w:lang w:eastAsia="en-US"/>
              </w:rPr>
            </w:pPr>
            <w:r>
              <w:rPr>
                <w:rFonts w:ascii="Arial" w:hAnsi="Arial" w:cs="Arial"/>
                <w:color w:val="000000"/>
                <w:sz w:val="20"/>
                <w:szCs w:val="20"/>
                <w:lang w:eastAsia="en-US"/>
              </w:rPr>
              <w:t>-</w:t>
            </w:r>
          </w:p>
        </w:tc>
        <w:tc>
          <w:tcPr>
            <w:tcW w:w="729" w:type="dxa"/>
            <w:tcBorders>
              <w:top w:val="nil"/>
              <w:left w:val="nil"/>
              <w:bottom w:val="single" w:sz="4" w:space="0" w:color="auto"/>
              <w:right w:val="single" w:sz="4" w:space="0" w:color="auto"/>
            </w:tcBorders>
            <w:shd w:val="clear" w:color="auto" w:fill="auto"/>
            <w:vAlign w:val="center"/>
            <w:hideMark/>
          </w:tcPr>
          <w:p w14:paraId="7A2F5623" w14:textId="77777777" w:rsidR="00263F92" w:rsidRPr="00337DB9" w:rsidRDefault="00263F92" w:rsidP="00372613">
            <w:pPr>
              <w:jc w:val="center"/>
              <w:rPr>
                <w:rFonts w:ascii="Arial" w:hAnsi="Arial" w:cs="Arial"/>
                <w:color w:val="000000"/>
                <w:sz w:val="20"/>
                <w:szCs w:val="20"/>
                <w:lang w:eastAsia="en-US"/>
              </w:rPr>
            </w:pPr>
            <w:r w:rsidRPr="00337DB9">
              <w:rPr>
                <w:rFonts w:ascii="Arial" w:hAnsi="Arial" w:cs="Arial"/>
                <w:color w:val="000000"/>
                <w:sz w:val="20"/>
                <w:szCs w:val="20"/>
                <w:lang w:eastAsia="en-US"/>
              </w:rPr>
              <w:t xml:space="preserve">      -   </w:t>
            </w:r>
          </w:p>
        </w:tc>
        <w:tc>
          <w:tcPr>
            <w:tcW w:w="729" w:type="dxa"/>
            <w:tcBorders>
              <w:top w:val="nil"/>
              <w:left w:val="nil"/>
              <w:bottom w:val="single" w:sz="4" w:space="0" w:color="auto"/>
              <w:right w:val="single" w:sz="4" w:space="0" w:color="auto"/>
            </w:tcBorders>
            <w:shd w:val="clear" w:color="auto" w:fill="auto"/>
            <w:vAlign w:val="center"/>
            <w:hideMark/>
          </w:tcPr>
          <w:p w14:paraId="05087521" w14:textId="77777777" w:rsidR="00263F92" w:rsidRPr="00337DB9" w:rsidRDefault="00263F92" w:rsidP="00372613">
            <w:pPr>
              <w:jc w:val="center"/>
              <w:rPr>
                <w:rFonts w:ascii="Arial" w:hAnsi="Arial" w:cs="Arial"/>
                <w:color w:val="000000"/>
                <w:sz w:val="20"/>
                <w:szCs w:val="20"/>
                <w:lang w:eastAsia="en-US"/>
              </w:rPr>
            </w:pPr>
            <w:r w:rsidRPr="00337DB9">
              <w:rPr>
                <w:rFonts w:ascii="Arial" w:hAnsi="Arial" w:cs="Arial"/>
                <w:color w:val="000000"/>
                <w:sz w:val="20"/>
                <w:szCs w:val="20"/>
                <w:lang w:eastAsia="en-US"/>
              </w:rPr>
              <w:t xml:space="preserve">      -   </w:t>
            </w:r>
          </w:p>
        </w:tc>
        <w:tc>
          <w:tcPr>
            <w:tcW w:w="929" w:type="dxa"/>
            <w:tcBorders>
              <w:top w:val="nil"/>
              <w:left w:val="nil"/>
              <w:bottom w:val="single" w:sz="4" w:space="0" w:color="auto"/>
              <w:right w:val="single" w:sz="4" w:space="0" w:color="auto"/>
            </w:tcBorders>
            <w:shd w:val="clear" w:color="auto" w:fill="auto"/>
            <w:vAlign w:val="center"/>
            <w:hideMark/>
          </w:tcPr>
          <w:p w14:paraId="30822292" w14:textId="77A98E74" w:rsidR="00263F92" w:rsidRPr="00337DB9" w:rsidRDefault="00263F92" w:rsidP="00372613">
            <w:pPr>
              <w:jc w:val="center"/>
              <w:rPr>
                <w:rFonts w:ascii="Arial" w:hAnsi="Arial" w:cs="Arial"/>
                <w:color w:val="000000"/>
                <w:sz w:val="20"/>
                <w:szCs w:val="20"/>
                <w:lang w:eastAsia="en-US"/>
              </w:rPr>
            </w:pPr>
            <w:r w:rsidRPr="00337DB9">
              <w:rPr>
                <w:rFonts w:ascii="Arial" w:hAnsi="Arial" w:cs="Arial"/>
                <w:color w:val="000000"/>
                <w:sz w:val="20"/>
                <w:szCs w:val="20"/>
                <w:lang w:eastAsia="en-US"/>
              </w:rPr>
              <w:t xml:space="preserve">   </w:t>
            </w:r>
            <w:r w:rsidR="002D6B7A">
              <w:rPr>
                <w:rFonts w:ascii="Arial" w:hAnsi="Arial" w:cs="Arial"/>
                <w:color w:val="000000"/>
                <w:sz w:val="20"/>
                <w:szCs w:val="20"/>
                <w:lang w:eastAsia="en-US"/>
              </w:rPr>
              <w:t>3</w:t>
            </w:r>
            <w:r w:rsidRPr="00337DB9">
              <w:rPr>
                <w:rFonts w:ascii="Arial" w:hAnsi="Arial" w:cs="Arial"/>
                <w:color w:val="000000"/>
                <w:sz w:val="20"/>
                <w:szCs w:val="20"/>
                <w:lang w:eastAsia="en-US"/>
              </w:rPr>
              <w:t xml:space="preserve"> </w:t>
            </w:r>
          </w:p>
        </w:tc>
      </w:tr>
      <w:tr w:rsidR="0087503D" w:rsidRPr="00337DB9" w14:paraId="74473730" w14:textId="77777777" w:rsidTr="00372613">
        <w:trPr>
          <w:trHeight w:val="1425"/>
        </w:trPr>
        <w:tc>
          <w:tcPr>
            <w:tcW w:w="2522" w:type="dxa"/>
            <w:tcBorders>
              <w:top w:val="nil"/>
              <w:left w:val="single" w:sz="4" w:space="0" w:color="auto"/>
              <w:bottom w:val="single" w:sz="4" w:space="0" w:color="auto"/>
              <w:right w:val="single" w:sz="4" w:space="0" w:color="auto"/>
            </w:tcBorders>
            <w:shd w:val="clear" w:color="auto" w:fill="auto"/>
            <w:vAlign w:val="center"/>
          </w:tcPr>
          <w:p w14:paraId="402175BC" w14:textId="41E4C41D" w:rsidR="0087503D" w:rsidRPr="00337DB9" w:rsidRDefault="000E2B4F" w:rsidP="00372613">
            <w:pPr>
              <w:jc w:val="left"/>
              <w:rPr>
                <w:rFonts w:ascii="Arial" w:hAnsi="Arial" w:cs="Arial"/>
                <w:color w:val="000000"/>
                <w:sz w:val="20"/>
                <w:szCs w:val="20"/>
                <w:lang w:eastAsia="en-US"/>
              </w:rPr>
            </w:pPr>
            <w:r w:rsidRPr="008A49BC">
              <w:rPr>
                <w:rFonts w:ascii="Arial" w:hAnsi="Arial" w:cs="Arial"/>
                <w:sz w:val="20"/>
                <w:szCs w:val="20"/>
              </w:rPr>
              <w:t xml:space="preserve">Loans provided to finance transmission </w:t>
            </w:r>
            <w:r>
              <w:rPr>
                <w:rFonts w:ascii="Arial" w:hAnsi="Arial" w:cs="Arial"/>
                <w:sz w:val="20"/>
                <w:szCs w:val="20"/>
              </w:rPr>
              <w:t xml:space="preserve">and distribution </w:t>
            </w:r>
            <w:r w:rsidRPr="008A49BC">
              <w:rPr>
                <w:rFonts w:ascii="Arial" w:hAnsi="Arial" w:cs="Arial"/>
                <w:sz w:val="20"/>
                <w:szCs w:val="20"/>
              </w:rPr>
              <w:t>lines required for bringing GE to market.</w:t>
            </w:r>
          </w:p>
        </w:tc>
        <w:tc>
          <w:tcPr>
            <w:tcW w:w="898" w:type="dxa"/>
            <w:tcBorders>
              <w:top w:val="nil"/>
              <w:left w:val="nil"/>
              <w:bottom w:val="single" w:sz="4" w:space="0" w:color="auto"/>
              <w:right w:val="single" w:sz="4" w:space="0" w:color="auto"/>
            </w:tcBorders>
            <w:shd w:val="clear" w:color="auto" w:fill="auto"/>
            <w:vAlign w:val="center"/>
          </w:tcPr>
          <w:p w14:paraId="5EAE8BEE" w14:textId="00446508" w:rsidR="0087503D" w:rsidRPr="00337DB9" w:rsidRDefault="000E2B4F" w:rsidP="00372613">
            <w:pPr>
              <w:jc w:val="center"/>
              <w:rPr>
                <w:rFonts w:ascii="Arial" w:hAnsi="Arial" w:cs="Arial"/>
                <w:color w:val="000000"/>
                <w:sz w:val="20"/>
                <w:szCs w:val="20"/>
                <w:lang w:eastAsia="en-US"/>
              </w:rPr>
            </w:pPr>
            <w:r>
              <w:rPr>
                <w:rFonts w:ascii="Arial" w:hAnsi="Arial" w:cs="Arial"/>
                <w:color w:val="000000"/>
                <w:sz w:val="20"/>
                <w:szCs w:val="20"/>
                <w:lang w:eastAsia="en-US"/>
              </w:rPr>
              <w:t>-</w:t>
            </w:r>
          </w:p>
        </w:tc>
        <w:tc>
          <w:tcPr>
            <w:tcW w:w="913" w:type="dxa"/>
            <w:tcBorders>
              <w:top w:val="nil"/>
              <w:left w:val="nil"/>
              <w:bottom w:val="single" w:sz="4" w:space="0" w:color="auto"/>
              <w:right w:val="single" w:sz="4" w:space="0" w:color="auto"/>
            </w:tcBorders>
            <w:shd w:val="clear" w:color="auto" w:fill="auto"/>
            <w:vAlign w:val="center"/>
          </w:tcPr>
          <w:p w14:paraId="693B131C" w14:textId="5AE484E0" w:rsidR="0087503D" w:rsidRDefault="000E2B4F" w:rsidP="00372613">
            <w:pPr>
              <w:jc w:val="center"/>
              <w:rPr>
                <w:rFonts w:ascii="Arial" w:hAnsi="Arial" w:cs="Arial"/>
                <w:color w:val="000000"/>
                <w:sz w:val="20"/>
                <w:szCs w:val="20"/>
                <w:lang w:eastAsia="en-US"/>
              </w:rPr>
            </w:pPr>
            <w:r>
              <w:rPr>
                <w:rFonts w:ascii="Arial" w:hAnsi="Arial" w:cs="Arial"/>
                <w:color w:val="000000"/>
                <w:sz w:val="20"/>
                <w:szCs w:val="20"/>
                <w:lang w:eastAsia="en-US"/>
              </w:rPr>
              <w:t>-</w:t>
            </w:r>
          </w:p>
        </w:tc>
        <w:tc>
          <w:tcPr>
            <w:tcW w:w="930" w:type="dxa"/>
            <w:tcBorders>
              <w:top w:val="nil"/>
              <w:left w:val="nil"/>
              <w:bottom w:val="single" w:sz="4" w:space="0" w:color="auto"/>
              <w:right w:val="single" w:sz="4" w:space="0" w:color="auto"/>
            </w:tcBorders>
            <w:shd w:val="clear" w:color="auto" w:fill="auto"/>
            <w:vAlign w:val="center"/>
          </w:tcPr>
          <w:p w14:paraId="1A58F75C" w14:textId="0BCA5C39" w:rsidR="0087503D" w:rsidRDefault="000E2B4F" w:rsidP="00372613">
            <w:pPr>
              <w:jc w:val="center"/>
              <w:rPr>
                <w:rFonts w:ascii="Arial" w:hAnsi="Arial" w:cs="Arial"/>
                <w:color w:val="000000"/>
                <w:sz w:val="20"/>
                <w:szCs w:val="20"/>
                <w:lang w:eastAsia="en-US"/>
              </w:rPr>
            </w:pPr>
            <w:r>
              <w:rPr>
                <w:rFonts w:ascii="Arial" w:hAnsi="Arial" w:cs="Arial"/>
                <w:color w:val="000000"/>
                <w:sz w:val="20"/>
                <w:szCs w:val="20"/>
                <w:lang w:eastAsia="en-US"/>
              </w:rPr>
              <w:t>-</w:t>
            </w:r>
          </w:p>
        </w:tc>
        <w:tc>
          <w:tcPr>
            <w:tcW w:w="767" w:type="dxa"/>
            <w:tcBorders>
              <w:top w:val="nil"/>
              <w:left w:val="nil"/>
              <w:bottom w:val="single" w:sz="4" w:space="0" w:color="auto"/>
              <w:right w:val="single" w:sz="4" w:space="0" w:color="auto"/>
            </w:tcBorders>
            <w:shd w:val="clear" w:color="auto" w:fill="auto"/>
            <w:vAlign w:val="center"/>
          </w:tcPr>
          <w:p w14:paraId="62164442" w14:textId="6D40A636" w:rsidR="0087503D" w:rsidRDefault="000E2B4F" w:rsidP="00372613">
            <w:pPr>
              <w:jc w:val="center"/>
              <w:rPr>
                <w:rFonts w:ascii="Arial" w:hAnsi="Arial" w:cs="Arial"/>
                <w:color w:val="000000"/>
                <w:sz w:val="20"/>
                <w:szCs w:val="20"/>
                <w:lang w:eastAsia="en-US"/>
              </w:rPr>
            </w:pPr>
            <w:r>
              <w:rPr>
                <w:rFonts w:ascii="Arial" w:hAnsi="Arial" w:cs="Arial"/>
                <w:color w:val="000000"/>
                <w:sz w:val="20"/>
                <w:szCs w:val="20"/>
                <w:lang w:eastAsia="en-US"/>
              </w:rPr>
              <w:t>-</w:t>
            </w:r>
          </w:p>
        </w:tc>
        <w:tc>
          <w:tcPr>
            <w:tcW w:w="694" w:type="dxa"/>
            <w:tcBorders>
              <w:top w:val="nil"/>
              <w:left w:val="nil"/>
              <w:bottom w:val="single" w:sz="4" w:space="0" w:color="auto"/>
              <w:right w:val="single" w:sz="4" w:space="0" w:color="auto"/>
            </w:tcBorders>
            <w:shd w:val="clear" w:color="auto" w:fill="auto"/>
            <w:vAlign w:val="center"/>
          </w:tcPr>
          <w:p w14:paraId="0B458EE4" w14:textId="64354599" w:rsidR="0087503D" w:rsidRDefault="000E2B4F" w:rsidP="00372613">
            <w:pPr>
              <w:jc w:val="center"/>
              <w:rPr>
                <w:rFonts w:ascii="Arial" w:hAnsi="Arial" w:cs="Arial"/>
                <w:color w:val="000000"/>
                <w:sz w:val="20"/>
                <w:szCs w:val="20"/>
                <w:lang w:eastAsia="en-US"/>
              </w:rPr>
            </w:pPr>
            <w:r>
              <w:rPr>
                <w:rFonts w:ascii="Arial" w:hAnsi="Arial" w:cs="Arial"/>
                <w:color w:val="000000"/>
                <w:sz w:val="20"/>
                <w:szCs w:val="20"/>
                <w:lang w:eastAsia="en-US"/>
              </w:rPr>
              <w:t>-</w:t>
            </w:r>
          </w:p>
        </w:tc>
        <w:tc>
          <w:tcPr>
            <w:tcW w:w="694" w:type="dxa"/>
            <w:tcBorders>
              <w:top w:val="nil"/>
              <w:left w:val="nil"/>
              <w:bottom w:val="single" w:sz="4" w:space="0" w:color="auto"/>
              <w:right w:val="single" w:sz="4" w:space="0" w:color="auto"/>
            </w:tcBorders>
            <w:shd w:val="clear" w:color="auto" w:fill="auto"/>
            <w:vAlign w:val="center"/>
          </w:tcPr>
          <w:p w14:paraId="06877E6C" w14:textId="6ABBF2A5" w:rsidR="0087503D" w:rsidRDefault="000E2B4F" w:rsidP="00372613">
            <w:pPr>
              <w:jc w:val="center"/>
              <w:rPr>
                <w:rFonts w:ascii="Arial" w:hAnsi="Arial" w:cs="Arial"/>
                <w:color w:val="000000"/>
                <w:sz w:val="20"/>
                <w:szCs w:val="20"/>
                <w:lang w:eastAsia="en-US"/>
              </w:rPr>
            </w:pPr>
            <w:r>
              <w:rPr>
                <w:rFonts w:ascii="Arial" w:hAnsi="Arial" w:cs="Arial"/>
                <w:color w:val="000000"/>
                <w:sz w:val="20"/>
                <w:szCs w:val="20"/>
                <w:lang w:eastAsia="en-US"/>
              </w:rPr>
              <w:t>-</w:t>
            </w:r>
          </w:p>
        </w:tc>
        <w:tc>
          <w:tcPr>
            <w:tcW w:w="729" w:type="dxa"/>
            <w:tcBorders>
              <w:top w:val="nil"/>
              <w:left w:val="nil"/>
              <w:bottom w:val="single" w:sz="4" w:space="0" w:color="auto"/>
              <w:right w:val="single" w:sz="4" w:space="0" w:color="auto"/>
            </w:tcBorders>
            <w:shd w:val="clear" w:color="auto" w:fill="auto"/>
            <w:vAlign w:val="center"/>
          </w:tcPr>
          <w:p w14:paraId="1709B48D" w14:textId="47588BA4" w:rsidR="0087503D" w:rsidRPr="00337DB9" w:rsidRDefault="000E2B4F" w:rsidP="00372613">
            <w:pPr>
              <w:jc w:val="center"/>
              <w:rPr>
                <w:rFonts w:ascii="Arial" w:hAnsi="Arial" w:cs="Arial"/>
                <w:color w:val="000000"/>
                <w:sz w:val="20"/>
                <w:szCs w:val="20"/>
                <w:lang w:eastAsia="en-US"/>
              </w:rPr>
            </w:pPr>
            <w:r>
              <w:rPr>
                <w:rFonts w:ascii="Arial" w:hAnsi="Arial" w:cs="Arial"/>
                <w:color w:val="000000"/>
                <w:sz w:val="20"/>
                <w:szCs w:val="20"/>
                <w:lang w:eastAsia="en-US"/>
              </w:rPr>
              <w:t>-</w:t>
            </w:r>
          </w:p>
        </w:tc>
        <w:tc>
          <w:tcPr>
            <w:tcW w:w="729" w:type="dxa"/>
            <w:tcBorders>
              <w:top w:val="nil"/>
              <w:left w:val="nil"/>
              <w:bottom w:val="single" w:sz="4" w:space="0" w:color="auto"/>
              <w:right w:val="single" w:sz="4" w:space="0" w:color="auto"/>
            </w:tcBorders>
            <w:shd w:val="clear" w:color="auto" w:fill="auto"/>
            <w:vAlign w:val="center"/>
          </w:tcPr>
          <w:p w14:paraId="6A604B5A" w14:textId="2AF1FB68" w:rsidR="0087503D" w:rsidRPr="00337DB9" w:rsidRDefault="000E2B4F" w:rsidP="00372613">
            <w:pPr>
              <w:jc w:val="center"/>
              <w:rPr>
                <w:rFonts w:ascii="Arial" w:hAnsi="Arial" w:cs="Arial"/>
                <w:color w:val="000000"/>
                <w:sz w:val="20"/>
                <w:szCs w:val="20"/>
                <w:lang w:eastAsia="en-US"/>
              </w:rPr>
            </w:pPr>
            <w:r>
              <w:rPr>
                <w:rFonts w:ascii="Arial" w:hAnsi="Arial" w:cs="Arial"/>
                <w:color w:val="000000"/>
                <w:sz w:val="20"/>
                <w:szCs w:val="20"/>
                <w:lang w:eastAsia="en-US"/>
              </w:rPr>
              <w:t>-</w:t>
            </w:r>
          </w:p>
        </w:tc>
        <w:tc>
          <w:tcPr>
            <w:tcW w:w="929" w:type="dxa"/>
            <w:tcBorders>
              <w:top w:val="nil"/>
              <w:left w:val="nil"/>
              <w:bottom w:val="single" w:sz="4" w:space="0" w:color="auto"/>
              <w:right w:val="single" w:sz="4" w:space="0" w:color="auto"/>
            </w:tcBorders>
            <w:shd w:val="clear" w:color="auto" w:fill="auto"/>
            <w:vAlign w:val="center"/>
          </w:tcPr>
          <w:p w14:paraId="0B37BC80" w14:textId="016DFE3A" w:rsidR="0087503D" w:rsidRPr="00337DB9" w:rsidRDefault="000E2B4F" w:rsidP="00372613">
            <w:pPr>
              <w:jc w:val="center"/>
              <w:rPr>
                <w:rFonts w:ascii="Arial" w:hAnsi="Arial" w:cs="Arial"/>
                <w:color w:val="000000"/>
                <w:sz w:val="20"/>
                <w:szCs w:val="20"/>
                <w:lang w:eastAsia="en-US"/>
              </w:rPr>
            </w:pPr>
            <w:r>
              <w:rPr>
                <w:rFonts w:ascii="Arial" w:hAnsi="Arial" w:cs="Arial"/>
                <w:color w:val="000000"/>
                <w:sz w:val="20"/>
                <w:szCs w:val="20"/>
                <w:lang w:eastAsia="en-US"/>
              </w:rPr>
              <w:t>-</w:t>
            </w:r>
            <w:r w:rsidR="00353B82">
              <w:rPr>
                <w:rStyle w:val="FootnoteReference"/>
                <w:rFonts w:ascii="Arial" w:hAnsi="Arial" w:cs="Arial"/>
                <w:sz w:val="20"/>
                <w:szCs w:val="20"/>
              </w:rPr>
              <w:footnoteReference w:id="5"/>
            </w:r>
          </w:p>
        </w:tc>
      </w:tr>
      <w:tr w:rsidR="00263F92" w:rsidRPr="00337DB9" w14:paraId="16EABA71" w14:textId="77777777" w:rsidTr="00372613">
        <w:trPr>
          <w:trHeight w:val="600"/>
        </w:trPr>
        <w:tc>
          <w:tcPr>
            <w:tcW w:w="9805" w:type="dxa"/>
            <w:gridSpan w:val="10"/>
            <w:tcBorders>
              <w:top w:val="single" w:sz="4" w:space="0" w:color="auto"/>
              <w:left w:val="single" w:sz="4" w:space="0" w:color="auto"/>
              <w:bottom w:val="single" w:sz="4" w:space="0" w:color="auto"/>
              <w:right w:val="single" w:sz="4" w:space="0" w:color="auto"/>
            </w:tcBorders>
            <w:shd w:val="clear" w:color="000000" w:fill="D9D9D9"/>
            <w:vAlign w:val="center"/>
            <w:hideMark/>
          </w:tcPr>
          <w:p w14:paraId="6231432B" w14:textId="77777777" w:rsidR="00263F92" w:rsidRPr="00337DB9" w:rsidRDefault="00263F92" w:rsidP="00372613">
            <w:pPr>
              <w:jc w:val="left"/>
              <w:rPr>
                <w:rFonts w:ascii="Arial" w:hAnsi="Arial" w:cs="Arial"/>
                <w:b/>
                <w:bCs/>
                <w:color w:val="000000"/>
                <w:sz w:val="20"/>
                <w:szCs w:val="20"/>
                <w:lang w:eastAsia="en-US"/>
              </w:rPr>
            </w:pPr>
            <w:r w:rsidRPr="00337DB9">
              <w:rPr>
                <w:rFonts w:ascii="Arial" w:hAnsi="Arial" w:cs="Arial"/>
                <w:b/>
                <w:bCs/>
                <w:color w:val="000000"/>
                <w:sz w:val="20"/>
                <w:szCs w:val="20"/>
                <w:lang w:eastAsia="en-US"/>
              </w:rPr>
              <w:t>Component 2: Technical Assistance: Regulatory framework, institutional strengthening, and capacity building</w:t>
            </w:r>
          </w:p>
        </w:tc>
      </w:tr>
      <w:tr w:rsidR="00263F92" w:rsidRPr="00337DB9" w14:paraId="1E4D55EF" w14:textId="77777777" w:rsidTr="00372613">
        <w:trPr>
          <w:trHeight w:val="1710"/>
        </w:trPr>
        <w:tc>
          <w:tcPr>
            <w:tcW w:w="2522" w:type="dxa"/>
            <w:tcBorders>
              <w:top w:val="nil"/>
              <w:left w:val="single" w:sz="4" w:space="0" w:color="auto"/>
              <w:bottom w:val="single" w:sz="4" w:space="0" w:color="auto"/>
              <w:right w:val="single" w:sz="4" w:space="0" w:color="auto"/>
            </w:tcBorders>
            <w:shd w:val="clear" w:color="auto" w:fill="auto"/>
            <w:vAlign w:val="center"/>
            <w:hideMark/>
          </w:tcPr>
          <w:p w14:paraId="45FF3128" w14:textId="77777777" w:rsidR="00263F92" w:rsidRPr="00337DB9" w:rsidRDefault="00263F92" w:rsidP="00372613">
            <w:pPr>
              <w:jc w:val="left"/>
              <w:rPr>
                <w:rFonts w:ascii="Arial" w:hAnsi="Arial" w:cs="Arial"/>
                <w:color w:val="000000"/>
                <w:sz w:val="20"/>
                <w:szCs w:val="20"/>
                <w:lang w:eastAsia="en-US"/>
              </w:rPr>
            </w:pPr>
            <w:r w:rsidRPr="008A49BC">
              <w:rPr>
                <w:rFonts w:ascii="Arial" w:hAnsi="Arial" w:cs="Arial"/>
                <w:sz w:val="20"/>
                <w:szCs w:val="20"/>
              </w:rPr>
              <w:t xml:space="preserve">Technical assistance grants provided to governments in ECC with resources from the </w:t>
            </w:r>
            <w:r>
              <w:rPr>
                <w:rFonts w:ascii="Arial" w:hAnsi="Arial" w:cs="Arial"/>
                <w:sz w:val="20"/>
                <w:szCs w:val="20"/>
              </w:rPr>
              <w:t>p</w:t>
            </w:r>
            <w:r w:rsidRPr="008A49BC">
              <w:rPr>
                <w:rFonts w:ascii="Arial" w:hAnsi="Arial" w:cs="Arial"/>
                <w:sz w:val="20"/>
                <w:szCs w:val="20"/>
              </w:rPr>
              <w:t>rogram</w:t>
            </w:r>
          </w:p>
        </w:tc>
        <w:tc>
          <w:tcPr>
            <w:tcW w:w="898" w:type="dxa"/>
            <w:tcBorders>
              <w:top w:val="nil"/>
              <w:left w:val="nil"/>
              <w:bottom w:val="single" w:sz="4" w:space="0" w:color="auto"/>
              <w:right w:val="single" w:sz="4" w:space="0" w:color="auto"/>
            </w:tcBorders>
            <w:shd w:val="clear" w:color="auto" w:fill="auto"/>
            <w:vAlign w:val="center"/>
            <w:hideMark/>
          </w:tcPr>
          <w:p w14:paraId="6A0D9688" w14:textId="77777777" w:rsidR="00263F92" w:rsidRPr="00337DB9" w:rsidRDefault="00263F92" w:rsidP="00372613">
            <w:pPr>
              <w:jc w:val="center"/>
              <w:rPr>
                <w:rFonts w:ascii="Arial" w:hAnsi="Arial" w:cs="Arial"/>
                <w:color w:val="000000"/>
                <w:sz w:val="20"/>
                <w:szCs w:val="20"/>
                <w:lang w:eastAsia="en-US"/>
              </w:rPr>
            </w:pPr>
            <w:r w:rsidRPr="00337DB9">
              <w:rPr>
                <w:rFonts w:ascii="Arial" w:hAnsi="Arial" w:cs="Arial"/>
                <w:color w:val="000000"/>
                <w:sz w:val="20"/>
                <w:szCs w:val="20"/>
                <w:lang w:eastAsia="en-US"/>
              </w:rPr>
              <w:t xml:space="preserve">      </w:t>
            </w:r>
            <w:r>
              <w:rPr>
                <w:rFonts w:ascii="Arial" w:hAnsi="Arial" w:cs="Arial"/>
                <w:color w:val="000000"/>
                <w:sz w:val="20"/>
                <w:szCs w:val="20"/>
                <w:lang w:eastAsia="en-US"/>
              </w:rPr>
              <w:t>0.5</w:t>
            </w:r>
            <w:r w:rsidRPr="00337DB9">
              <w:rPr>
                <w:rFonts w:ascii="Arial" w:hAnsi="Arial" w:cs="Arial"/>
                <w:color w:val="000000"/>
                <w:sz w:val="20"/>
                <w:szCs w:val="20"/>
                <w:lang w:eastAsia="en-US"/>
              </w:rPr>
              <w:t xml:space="preserve"> </w:t>
            </w:r>
          </w:p>
        </w:tc>
        <w:tc>
          <w:tcPr>
            <w:tcW w:w="913" w:type="dxa"/>
            <w:tcBorders>
              <w:top w:val="nil"/>
              <w:left w:val="nil"/>
              <w:bottom w:val="single" w:sz="4" w:space="0" w:color="auto"/>
              <w:right w:val="single" w:sz="4" w:space="0" w:color="auto"/>
            </w:tcBorders>
            <w:shd w:val="clear" w:color="auto" w:fill="auto"/>
            <w:vAlign w:val="center"/>
            <w:hideMark/>
          </w:tcPr>
          <w:p w14:paraId="2654D8CB" w14:textId="77777777" w:rsidR="00263F92" w:rsidRPr="00337DB9" w:rsidRDefault="00263F92" w:rsidP="00372613">
            <w:pPr>
              <w:jc w:val="center"/>
              <w:rPr>
                <w:rFonts w:ascii="Arial" w:hAnsi="Arial" w:cs="Arial"/>
                <w:color w:val="000000"/>
                <w:sz w:val="20"/>
                <w:szCs w:val="20"/>
                <w:lang w:eastAsia="en-US"/>
              </w:rPr>
            </w:pPr>
            <w:r>
              <w:rPr>
                <w:rFonts w:ascii="Arial" w:hAnsi="Arial" w:cs="Arial"/>
                <w:color w:val="000000"/>
                <w:sz w:val="20"/>
                <w:szCs w:val="20"/>
                <w:lang w:eastAsia="en-US"/>
              </w:rPr>
              <w:t>0.5</w:t>
            </w:r>
          </w:p>
        </w:tc>
        <w:tc>
          <w:tcPr>
            <w:tcW w:w="930" w:type="dxa"/>
            <w:tcBorders>
              <w:top w:val="nil"/>
              <w:left w:val="nil"/>
              <w:bottom w:val="single" w:sz="4" w:space="0" w:color="auto"/>
              <w:right w:val="single" w:sz="4" w:space="0" w:color="auto"/>
            </w:tcBorders>
            <w:shd w:val="clear" w:color="auto" w:fill="auto"/>
            <w:vAlign w:val="center"/>
            <w:hideMark/>
          </w:tcPr>
          <w:p w14:paraId="200DA11D" w14:textId="77777777" w:rsidR="00263F92" w:rsidRPr="00337DB9" w:rsidRDefault="00263F92" w:rsidP="00372613">
            <w:pPr>
              <w:jc w:val="center"/>
              <w:rPr>
                <w:rFonts w:ascii="Arial" w:hAnsi="Arial" w:cs="Arial"/>
                <w:color w:val="000000"/>
                <w:sz w:val="20"/>
                <w:szCs w:val="20"/>
                <w:lang w:eastAsia="en-US"/>
              </w:rPr>
            </w:pPr>
            <w:r>
              <w:rPr>
                <w:rFonts w:ascii="Arial" w:hAnsi="Arial" w:cs="Arial"/>
                <w:color w:val="000000"/>
                <w:sz w:val="20"/>
                <w:szCs w:val="20"/>
                <w:lang w:eastAsia="en-US"/>
              </w:rPr>
              <w:t>-</w:t>
            </w:r>
          </w:p>
        </w:tc>
        <w:tc>
          <w:tcPr>
            <w:tcW w:w="767" w:type="dxa"/>
            <w:tcBorders>
              <w:top w:val="nil"/>
              <w:left w:val="nil"/>
              <w:bottom w:val="single" w:sz="4" w:space="0" w:color="auto"/>
              <w:right w:val="single" w:sz="4" w:space="0" w:color="auto"/>
            </w:tcBorders>
            <w:shd w:val="clear" w:color="auto" w:fill="auto"/>
            <w:vAlign w:val="center"/>
            <w:hideMark/>
          </w:tcPr>
          <w:p w14:paraId="45EAA64F" w14:textId="77777777" w:rsidR="00263F92" w:rsidRPr="00337DB9" w:rsidRDefault="00263F92" w:rsidP="00372613">
            <w:pPr>
              <w:jc w:val="center"/>
              <w:rPr>
                <w:rFonts w:ascii="Arial" w:hAnsi="Arial" w:cs="Arial"/>
                <w:color w:val="000000"/>
                <w:sz w:val="20"/>
                <w:szCs w:val="20"/>
                <w:lang w:eastAsia="en-US"/>
              </w:rPr>
            </w:pPr>
            <w:r w:rsidRPr="00337DB9">
              <w:rPr>
                <w:rFonts w:ascii="Arial" w:hAnsi="Arial" w:cs="Arial"/>
                <w:color w:val="000000"/>
                <w:sz w:val="20"/>
                <w:szCs w:val="20"/>
                <w:lang w:eastAsia="en-US"/>
              </w:rPr>
              <w:t xml:space="preserve">       -   </w:t>
            </w:r>
          </w:p>
        </w:tc>
        <w:tc>
          <w:tcPr>
            <w:tcW w:w="694" w:type="dxa"/>
            <w:tcBorders>
              <w:top w:val="nil"/>
              <w:left w:val="nil"/>
              <w:bottom w:val="single" w:sz="4" w:space="0" w:color="auto"/>
              <w:right w:val="single" w:sz="4" w:space="0" w:color="auto"/>
            </w:tcBorders>
            <w:shd w:val="clear" w:color="auto" w:fill="auto"/>
            <w:vAlign w:val="center"/>
            <w:hideMark/>
          </w:tcPr>
          <w:p w14:paraId="55FAF732" w14:textId="77777777" w:rsidR="00263F92" w:rsidRPr="00337DB9" w:rsidRDefault="00263F92" w:rsidP="00372613">
            <w:pPr>
              <w:jc w:val="center"/>
              <w:rPr>
                <w:rFonts w:ascii="Arial" w:hAnsi="Arial" w:cs="Arial"/>
                <w:color w:val="000000"/>
                <w:sz w:val="20"/>
                <w:szCs w:val="20"/>
                <w:lang w:eastAsia="en-US"/>
              </w:rPr>
            </w:pPr>
            <w:r w:rsidRPr="00337DB9">
              <w:rPr>
                <w:rFonts w:ascii="Arial" w:hAnsi="Arial" w:cs="Arial"/>
                <w:color w:val="000000"/>
                <w:sz w:val="20"/>
                <w:szCs w:val="20"/>
                <w:lang w:eastAsia="en-US"/>
              </w:rPr>
              <w:t xml:space="preserve">     -   </w:t>
            </w:r>
          </w:p>
        </w:tc>
        <w:tc>
          <w:tcPr>
            <w:tcW w:w="694" w:type="dxa"/>
            <w:tcBorders>
              <w:top w:val="nil"/>
              <w:left w:val="nil"/>
              <w:bottom w:val="single" w:sz="4" w:space="0" w:color="auto"/>
              <w:right w:val="single" w:sz="4" w:space="0" w:color="auto"/>
            </w:tcBorders>
            <w:shd w:val="clear" w:color="auto" w:fill="auto"/>
            <w:vAlign w:val="center"/>
            <w:hideMark/>
          </w:tcPr>
          <w:p w14:paraId="17EA127B" w14:textId="77777777" w:rsidR="00263F92" w:rsidRPr="00337DB9" w:rsidRDefault="00263F92" w:rsidP="00372613">
            <w:pPr>
              <w:jc w:val="center"/>
              <w:rPr>
                <w:rFonts w:ascii="Arial" w:hAnsi="Arial" w:cs="Arial"/>
                <w:color w:val="000000"/>
                <w:sz w:val="20"/>
                <w:szCs w:val="20"/>
                <w:lang w:eastAsia="en-US"/>
              </w:rPr>
            </w:pPr>
            <w:r w:rsidRPr="00337DB9">
              <w:rPr>
                <w:rFonts w:ascii="Arial" w:hAnsi="Arial" w:cs="Arial"/>
                <w:color w:val="000000"/>
                <w:sz w:val="20"/>
                <w:szCs w:val="20"/>
                <w:lang w:eastAsia="en-US"/>
              </w:rPr>
              <w:t xml:space="preserve">     -   </w:t>
            </w:r>
          </w:p>
        </w:tc>
        <w:tc>
          <w:tcPr>
            <w:tcW w:w="729" w:type="dxa"/>
            <w:tcBorders>
              <w:top w:val="nil"/>
              <w:left w:val="nil"/>
              <w:bottom w:val="single" w:sz="4" w:space="0" w:color="auto"/>
              <w:right w:val="single" w:sz="4" w:space="0" w:color="auto"/>
            </w:tcBorders>
            <w:shd w:val="clear" w:color="auto" w:fill="auto"/>
            <w:vAlign w:val="center"/>
            <w:hideMark/>
          </w:tcPr>
          <w:p w14:paraId="09D3BFF2" w14:textId="77777777" w:rsidR="00263F92" w:rsidRPr="00337DB9" w:rsidRDefault="00263F92" w:rsidP="00372613">
            <w:pPr>
              <w:jc w:val="center"/>
              <w:rPr>
                <w:rFonts w:ascii="Arial" w:hAnsi="Arial" w:cs="Arial"/>
                <w:color w:val="000000"/>
                <w:sz w:val="20"/>
                <w:szCs w:val="20"/>
                <w:lang w:eastAsia="en-US"/>
              </w:rPr>
            </w:pPr>
            <w:r w:rsidRPr="00337DB9">
              <w:rPr>
                <w:rFonts w:ascii="Arial" w:hAnsi="Arial" w:cs="Arial"/>
                <w:color w:val="000000"/>
                <w:sz w:val="20"/>
                <w:szCs w:val="20"/>
                <w:lang w:eastAsia="en-US"/>
              </w:rPr>
              <w:t xml:space="preserve">      -   </w:t>
            </w:r>
          </w:p>
        </w:tc>
        <w:tc>
          <w:tcPr>
            <w:tcW w:w="729" w:type="dxa"/>
            <w:tcBorders>
              <w:top w:val="nil"/>
              <w:left w:val="nil"/>
              <w:bottom w:val="single" w:sz="4" w:space="0" w:color="auto"/>
              <w:right w:val="single" w:sz="4" w:space="0" w:color="auto"/>
            </w:tcBorders>
            <w:shd w:val="clear" w:color="auto" w:fill="auto"/>
            <w:vAlign w:val="center"/>
            <w:hideMark/>
          </w:tcPr>
          <w:p w14:paraId="1B77506D" w14:textId="77777777" w:rsidR="00263F92" w:rsidRPr="00337DB9" w:rsidRDefault="00263F92" w:rsidP="00372613">
            <w:pPr>
              <w:jc w:val="center"/>
              <w:rPr>
                <w:rFonts w:ascii="Arial" w:hAnsi="Arial" w:cs="Arial"/>
                <w:color w:val="000000"/>
                <w:sz w:val="20"/>
                <w:szCs w:val="20"/>
                <w:lang w:eastAsia="en-US"/>
              </w:rPr>
            </w:pPr>
            <w:r w:rsidRPr="00337DB9">
              <w:rPr>
                <w:rFonts w:ascii="Arial" w:hAnsi="Arial" w:cs="Arial"/>
                <w:color w:val="000000"/>
                <w:sz w:val="20"/>
                <w:szCs w:val="20"/>
                <w:lang w:eastAsia="en-US"/>
              </w:rPr>
              <w:t xml:space="preserve">      -   </w:t>
            </w:r>
          </w:p>
        </w:tc>
        <w:tc>
          <w:tcPr>
            <w:tcW w:w="929" w:type="dxa"/>
            <w:tcBorders>
              <w:top w:val="nil"/>
              <w:left w:val="nil"/>
              <w:bottom w:val="single" w:sz="4" w:space="0" w:color="auto"/>
              <w:right w:val="single" w:sz="4" w:space="0" w:color="auto"/>
            </w:tcBorders>
            <w:shd w:val="clear" w:color="auto" w:fill="auto"/>
            <w:vAlign w:val="center"/>
            <w:hideMark/>
          </w:tcPr>
          <w:p w14:paraId="4B553133" w14:textId="77777777" w:rsidR="00263F92" w:rsidRPr="00337DB9" w:rsidRDefault="00263F92" w:rsidP="00372613">
            <w:pPr>
              <w:jc w:val="center"/>
              <w:rPr>
                <w:rFonts w:ascii="Arial" w:hAnsi="Arial" w:cs="Arial"/>
                <w:color w:val="000000"/>
                <w:sz w:val="20"/>
                <w:szCs w:val="20"/>
                <w:lang w:eastAsia="en-US"/>
              </w:rPr>
            </w:pPr>
            <w:r w:rsidRPr="00337DB9">
              <w:rPr>
                <w:rFonts w:ascii="Arial" w:hAnsi="Arial" w:cs="Arial"/>
                <w:color w:val="000000"/>
                <w:sz w:val="20"/>
                <w:szCs w:val="20"/>
                <w:lang w:eastAsia="en-US"/>
              </w:rPr>
              <w:t xml:space="preserve">     </w:t>
            </w:r>
            <w:r>
              <w:rPr>
                <w:rFonts w:ascii="Arial" w:hAnsi="Arial" w:cs="Arial"/>
                <w:color w:val="000000"/>
                <w:sz w:val="20"/>
                <w:szCs w:val="20"/>
                <w:lang w:eastAsia="en-US"/>
              </w:rPr>
              <w:t>1.0</w:t>
            </w:r>
          </w:p>
        </w:tc>
      </w:tr>
      <w:tr w:rsidR="00263F92" w:rsidRPr="00337DB9" w14:paraId="14FD8899" w14:textId="77777777" w:rsidTr="00372613">
        <w:trPr>
          <w:trHeight w:val="1710"/>
        </w:trPr>
        <w:tc>
          <w:tcPr>
            <w:tcW w:w="2522" w:type="dxa"/>
            <w:tcBorders>
              <w:top w:val="nil"/>
              <w:left w:val="single" w:sz="4" w:space="0" w:color="auto"/>
              <w:bottom w:val="single" w:sz="4" w:space="0" w:color="auto"/>
              <w:right w:val="single" w:sz="4" w:space="0" w:color="auto"/>
            </w:tcBorders>
            <w:shd w:val="clear" w:color="auto" w:fill="auto"/>
            <w:vAlign w:val="center"/>
          </w:tcPr>
          <w:p w14:paraId="17E67497" w14:textId="77777777" w:rsidR="00263F92" w:rsidRPr="00337DB9" w:rsidRDefault="00263F92" w:rsidP="00372613">
            <w:pPr>
              <w:jc w:val="left"/>
              <w:rPr>
                <w:rFonts w:ascii="Arial" w:hAnsi="Arial" w:cs="Arial"/>
                <w:color w:val="000000"/>
                <w:sz w:val="20"/>
                <w:szCs w:val="20"/>
                <w:lang w:eastAsia="en-US"/>
              </w:rPr>
            </w:pPr>
            <w:r w:rsidRPr="008A49BC">
              <w:rPr>
                <w:rFonts w:ascii="Arial" w:hAnsi="Arial" w:cs="Arial"/>
                <w:sz w:val="20"/>
                <w:szCs w:val="20"/>
              </w:rPr>
              <w:t xml:space="preserve">Specialized advisory services contracts awarded to strengthen CDB’s capacity to implement the </w:t>
            </w:r>
            <w:r>
              <w:rPr>
                <w:rFonts w:ascii="Arial" w:hAnsi="Arial" w:cs="Arial"/>
                <w:sz w:val="20"/>
                <w:szCs w:val="20"/>
              </w:rPr>
              <w:t>p</w:t>
            </w:r>
            <w:r w:rsidRPr="008A49BC">
              <w:rPr>
                <w:rFonts w:ascii="Arial" w:hAnsi="Arial" w:cs="Arial"/>
                <w:sz w:val="20"/>
                <w:szCs w:val="20"/>
              </w:rPr>
              <w:t>rogram</w:t>
            </w:r>
          </w:p>
        </w:tc>
        <w:tc>
          <w:tcPr>
            <w:tcW w:w="898" w:type="dxa"/>
            <w:tcBorders>
              <w:top w:val="nil"/>
              <w:left w:val="nil"/>
              <w:bottom w:val="single" w:sz="4" w:space="0" w:color="auto"/>
              <w:right w:val="single" w:sz="4" w:space="0" w:color="auto"/>
            </w:tcBorders>
            <w:shd w:val="clear" w:color="auto" w:fill="auto"/>
            <w:vAlign w:val="center"/>
          </w:tcPr>
          <w:p w14:paraId="7F137242" w14:textId="77777777" w:rsidR="00263F92" w:rsidRPr="00337DB9" w:rsidRDefault="00263F92" w:rsidP="00372613">
            <w:pPr>
              <w:jc w:val="center"/>
              <w:rPr>
                <w:rFonts w:ascii="Arial" w:hAnsi="Arial" w:cs="Arial"/>
                <w:color w:val="000000"/>
                <w:sz w:val="20"/>
                <w:szCs w:val="20"/>
                <w:lang w:eastAsia="en-US"/>
              </w:rPr>
            </w:pPr>
            <w:r>
              <w:rPr>
                <w:rFonts w:ascii="Arial" w:hAnsi="Arial" w:cs="Arial"/>
                <w:color w:val="000000"/>
                <w:sz w:val="20"/>
                <w:szCs w:val="20"/>
                <w:lang w:eastAsia="en-US"/>
              </w:rPr>
              <w:t>2.15</w:t>
            </w:r>
          </w:p>
        </w:tc>
        <w:tc>
          <w:tcPr>
            <w:tcW w:w="913" w:type="dxa"/>
            <w:tcBorders>
              <w:top w:val="nil"/>
              <w:left w:val="nil"/>
              <w:bottom w:val="single" w:sz="4" w:space="0" w:color="auto"/>
              <w:right w:val="single" w:sz="4" w:space="0" w:color="auto"/>
            </w:tcBorders>
            <w:shd w:val="clear" w:color="auto" w:fill="auto"/>
            <w:vAlign w:val="center"/>
          </w:tcPr>
          <w:p w14:paraId="28135107" w14:textId="77777777" w:rsidR="00263F92" w:rsidRPr="00337DB9" w:rsidRDefault="00263F92" w:rsidP="00372613">
            <w:pPr>
              <w:jc w:val="center"/>
              <w:rPr>
                <w:rFonts w:ascii="Arial" w:hAnsi="Arial" w:cs="Arial"/>
                <w:color w:val="000000"/>
                <w:sz w:val="20"/>
                <w:szCs w:val="20"/>
                <w:lang w:eastAsia="en-US"/>
              </w:rPr>
            </w:pPr>
            <w:r>
              <w:rPr>
                <w:rFonts w:ascii="Arial" w:hAnsi="Arial" w:cs="Arial"/>
                <w:color w:val="000000"/>
                <w:sz w:val="20"/>
                <w:szCs w:val="20"/>
                <w:lang w:eastAsia="en-US"/>
              </w:rPr>
              <w:t>1.31</w:t>
            </w:r>
          </w:p>
        </w:tc>
        <w:tc>
          <w:tcPr>
            <w:tcW w:w="930" w:type="dxa"/>
            <w:tcBorders>
              <w:top w:val="nil"/>
              <w:left w:val="nil"/>
              <w:bottom w:val="single" w:sz="4" w:space="0" w:color="auto"/>
              <w:right w:val="single" w:sz="4" w:space="0" w:color="auto"/>
            </w:tcBorders>
            <w:shd w:val="clear" w:color="auto" w:fill="auto"/>
            <w:vAlign w:val="center"/>
          </w:tcPr>
          <w:p w14:paraId="0818478C" w14:textId="77777777" w:rsidR="00263F92" w:rsidRPr="00337DB9" w:rsidRDefault="00263F92" w:rsidP="00372613">
            <w:pPr>
              <w:jc w:val="center"/>
              <w:rPr>
                <w:rFonts w:ascii="Arial" w:hAnsi="Arial" w:cs="Arial"/>
                <w:color w:val="000000"/>
                <w:sz w:val="20"/>
                <w:szCs w:val="20"/>
                <w:lang w:eastAsia="en-US"/>
              </w:rPr>
            </w:pPr>
            <w:r>
              <w:rPr>
                <w:rFonts w:ascii="Arial" w:hAnsi="Arial" w:cs="Arial"/>
                <w:color w:val="000000"/>
                <w:sz w:val="20"/>
                <w:szCs w:val="20"/>
                <w:lang w:eastAsia="en-US"/>
              </w:rPr>
              <w:t>0.70</w:t>
            </w:r>
          </w:p>
        </w:tc>
        <w:tc>
          <w:tcPr>
            <w:tcW w:w="767" w:type="dxa"/>
            <w:tcBorders>
              <w:top w:val="nil"/>
              <w:left w:val="nil"/>
              <w:bottom w:val="single" w:sz="4" w:space="0" w:color="auto"/>
              <w:right w:val="single" w:sz="4" w:space="0" w:color="auto"/>
            </w:tcBorders>
            <w:shd w:val="clear" w:color="auto" w:fill="auto"/>
            <w:vAlign w:val="center"/>
          </w:tcPr>
          <w:p w14:paraId="267D7CB5" w14:textId="77777777" w:rsidR="00263F92" w:rsidRPr="00337DB9" w:rsidRDefault="00263F92" w:rsidP="00372613">
            <w:pPr>
              <w:jc w:val="center"/>
              <w:rPr>
                <w:rFonts w:ascii="Arial" w:hAnsi="Arial" w:cs="Arial"/>
                <w:color w:val="000000"/>
                <w:sz w:val="20"/>
                <w:szCs w:val="20"/>
                <w:lang w:eastAsia="en-US"/>
              </w:rPr>
            </w:pPr>
            <w:r>
              <w:rPr>
                <w:rFonts w:ascii="Arial" w:hAnsi="Arial" w:cs="Arial"/>
                <w:color w:val="000000"/>
                <w:sz w:val="20"/>
                <w:szCs w:val="20"/>
                <w:lang w:eastAsia="en-US"/>
              </w:rPr>
              <w:t>-</w:t>
            </w:r>
          </w:p>
        </w:tc>
        <w:tc>
          <w:tcPr>
            <w:tcW w:w="694" w:type="dxa"/>
            <w:tcBorders>
              <w:top w:val="nil"/>
              <w:left w:val="nil"/>
              <w:bottom w:val="single" w:sz="4" w:space="0" w:color="auto"/>
              <w:right w:val="single" w:sz="4" w:space="0" w:color="auto"/>
            </w:tcBorders>
            <w:shd w:val="clear" w:color="auto" w:fill="auto"/>
            <w:vAlign w:val="center"/>
          </w:tcPr>
          <w:p w14:paraId="37260418" w14:textId="77777777" w:rsidR="00263F92" w:rsidRPr="00337DB9" w:rsidRDefault="00263F92" w:rsidP="00372613">
            <w:pPr>
              <w:jc w:val="center"/>
              <w:rPr>
                <w:rFonts w:ascii="Arial" w:hAnsi="Arial" w:cs="Arial"/>
                <w:color w:val="000000"/>
                <w:sz w:val="20"/>
                <w:szCs w:val="20"/>
                <w:lang w:eastAsia="en-US"/>
              </w:rPr>
            </w:pPr>
            <w:r>
              <w:rPr>
                <w:rFonts w:ascii="Arial" w:hAnsi="Arial" w:cs="Arial"/>
                <w:color w:val="000000"/>
                <w:sz w:val="20"/>
                <w:szCs w:val="20"/>
                <w:lang w:eastAsia="en-US"/>
              </w:rPr>
              <w:t>-</w:t>
            </w:r>
          </w:p>
        </w:tc>
        <w:tc>
          <w:tcPr>
            <w:tcW w:w="694" w:type="dxa"/>
            <w:tcBorders>
              <w:top w:val="nil"/>
              <w:left w:val="nil"/>
              <w:bottom w:val="single" w:sz="4" w:space="0" w:color="auto"/>
              <w:right w:val="single" w:sz="4" w:space="0" w:color="auto"/>
            </w:tcBorders>
            <w:shd w:val="clear" w:color="auto" w:fill="auto"/>
            <w:vAlign w:val="center"/>
          </w:tcPr>
          <w:p w14:paraId="4877EC7A" w14:textId="77777777" w:rsidR="00263F92" w:rsidRPr="00337DB9" w:rsidRDefault="00263F92" w:rsidP="00372613">
            <w:pPr>
              <w:jc w:val="center"/>
              <w:rPr>
                <w:rFonts w:ascii="Arial" w:hAnsi="Arial" w:cs="Arial"/>
                <w:color w:val="000000"/>
                <w:sz w:val="20"/>
                <w:szCs w:val="20"/>
                <w:lang w:eastAsia="en-US"/>
              </w:rPr>
            </w:pPr>
            <w:r>
              <w:rPr>
                <w:rFonts w:ascii="Arial" w:hAnsi="Arial" w:cs="Arial"/>
                <w:color w:val="000000"/>
                <w:sz w:val="20"/>
                <w:szCs w:val="20"/>
                <w:lang w:eastAsia="en-US"/>
              </w:rPr>
              <w:t>-</w:t>
            </w:r>
          </w:p>
        </w:tc>
        <w:tc>
          <w:tcPr>
            <w:tcW w:w="729" w:type="dxa"/>
            <w:tcBorders>
              <w:top w:val="nil"/>
              <w:left w:val="nil"/>
              <w:bottom w:val="single" w:sz="4" w:space="0" w:color="auto"/>
              <w:right w:val="single" w:sz="4" w:space="0" w:color="auto"/>
            </w:tcBorders>
            <w:shd w:val="clear" w:color="auto" w:fill="auto"/>
            <w:vAlign w:val="center"/>
          </w:tcPr>
          <w:p w14:paraId="3BB7E368" w14:textId="77777777" w:rsidR="00263F92" w:rsidRPr="00337DB9" w:rsidRDefault="00263F92" w:rsidP="00372613">
            <w:pPr>
              <w:jc w:val="center"/>
              <w:rPr>
                <w:rFonts w:ascii="Arial" w:hAnsi="Arial" w:cs="Arial"/>
                <w:color w:val="000000"/>
                <w:sz w:val="20"/>
                <w:szCs w:val="20"/>
                <w:lang w:eastAsia="en-US"/>
              </w:rPr>
            </w:pPr>
            <w:r>
              <w:rPr>
                <w:rFonts w:ascii="Arial" w:hAnsi="Arial" w:cs="Arial"/>
                <w:color w:val="000000"/>
                <w:sz w:val="20"/>
                <w:szCs w:val="20"/>
                <w:lang w:eastAsia="en-US"/>
              </w:rPr>
              <w:t>-</w:t>
            </w:r>
          </w:p>
        </w:tc>
        <w:tc>
          <w:tcPr>
            <w:tcW w:w="729" w:type="dxa"/>
            <w:tcBorders>
              <w:top w:val="nil"/>
              <w:left w:val="nil"/>
              <w:bottom w:val="single" w:sz="4" w:space="0" w:color="auto"/>
              <w:right w:val="single" w:sz="4" w:space="0" w:color="auto"/>
            </w:tcBorders>
            <w:shd w:val="clear" w:color="auto" w:fill="auto"/>
            <w:vAlign w:val="center"/>
          </w:tcPr>
          <w:p w14:paraId="189BD384" w14:textId="77777777" w:rsidR="00263F92" w:rsidRPr="00337DB9" w:rsidRDefault="00263F92" w:rsidP="00372613">
            <w:pPr>
              <w:jc w:val="center"/>
              <w:rPr>
                <w:rFonts w:ascii="Arial" w:hAnsi="Arial" w:cs="Arial"/>
                <w:color w:val="000000"/>
                <w:sz w:val="20"/>
                <w:szCs w:val="20"/>
                <w:lang w:eastAsia="en-US"/>
              </w:rPr>
            </w:pPr>
            <w:r>
              <w:rPr>
                <w:rFonts w:ascii="Arial" w:hAnsi="Arial" w:cs="Arial"/>
                <w:color w:val="000000"/>
                <w:sz w:val="20"/>
                <w:szCs w:val="20"/>
                <w:lang w:eastAsia="en-US"/>
              </w:rPr>
              <w:t>-</w:t>
            </w:r>
          </w:p>
        </w:tc>
        <w:tc>
          <w:tcPr>
            <w:tcW w:w="929" w:type="dxa"/>
            <w:tcBorders>
              <w:top w:val="nil"/>
              <w:left w:val="nil"/>
              <w:bottom w:val="single" w:sz="4" w:space="0" w:color="auto"/>
              <w:right w:val="single" w:sz="4" w:space="0" w:color="auto"/>
            </w:tcBorders>
            <w:shd w:val="clear" w:color="auto" w:fill="auto"/>
            <w:vAlign w:val="center"/>
          </w:tcPr>
          <w:p w14:paraId="2D0E346A" w14:textId="77777777" w:rsidR="00263F92" w:rsidRPr="00337DB9" w:rsidRDefault="00263F92" w:rsidP="00372613">
            <w:pPr>
              <w:jc w:val="center"/>
              <w:rPr>
                <w:rFonts w:ascii="Arial" w:hAnsi="Arial" w:cs="Arial"/>
                <w:color w:val="000000"/>
                <w:sz w:val="20"/>
                <w:szCs w:val="20"/>
                <w:lang w:eastAsia="en-US"/>
              </w:rPr>
            </w:pPr>
            <w:r>
              <w:rPr>
                <w:rFonts w:ascii="Arial" w:hAnsi="Arial" w:cs="Arial"/>
                <w:color w:val="000000"/>
                <w:sz w:val="20"/>
                <w:szCs w:val="20"/>
                <w:lang w:eastAsia="en-US"/>
              </w:rPr>
              <w:t>4.16</w:t>
            </w:r>
          </w:p>
        </w:tc>
      </w:tr>
      <w:tr w:rsidR="00263F92" w:rsidRPr="00337DB9" w14:paraId="768BF982" w14:textId="77777777" w:rsidTr="00372613">
        <w:trPr>
          <w:trHeight w:val="300"/>
        </w:trPr>
        <w:tc>
          <w:tcPr>
            <w:tcW w:w="2522" w:type="dxa"/>
            <w:tcBorders>
              <w:top w:val="nil"/>
              <w:left w:val="single" w:sz="4" w:space="0" w:color="auto"/>
              <w:bottom w:val="single" w:sz="4" w:space="0" w:color="auto"/>
              <w:right w:val="single" w:sz="4" w:space="0" w:color="auto"/>
            </w:tcBorders>
            <w:shd w:val="clear" w:color="000000" w:fill="F2F2F2"/>
            <w:vAlign w:val="center"/>
            <w:hideMark/>
          </w:tcPr>
          <w:p w14:paraId="5D6E1100" w14:textId="77777777" w:rsidR="00263F92" w:rsidRPr="00337DB9" w:rsidRDefault="00263F92" w:rsidP="00372613">
            <w:pPr>
              <w:jc w:val="left"/>
              <w:rPr>
                <w:rFonts w:ascii="Arial" w:hAnsi="Arial" w:cs="Arial"/>
                <w:b/>
                <w:bCs/>
                <w:color w:val="000000"/>
                <w:sz w:val="20"/>
                <w:szCs w:val="20"/>
                <w:lang w:eastAsia="en-US"/>
              </w:rPr>
            </w:pPr>
            <w:r w:rsidRPr="00337DB9">
              <w:rPr>
                <w:rFonts w:ascii="Arial" w:hAnsi="Arial" w:cs="Arial"/>
                <w:b/>
                <w:bCs/>
                <w:color w:val="000000"/>
                <w:sz w:val="20"/>
                <w:szCs w:val="20"/>
                <w:lang w:eastAsia="en-US"/>
              </w:rPr>
              <w:t xml:space="preserve"> Sub-total Component 2</w:t>
            </w:r>
          </w:p>
        </w:tc>
        <w:tc>
          <w:tcPr>
            <w:tcW w:w="898" w:type="dxa"/>
            <w:tcBorders>
              <w:top w:val="nil"/>
              <w:left w:val="nil"/>
              <w:bottom w:val="single" w:sz="4" w:space="0" w:color="auto"/>
              <w:right w:val="single" w:sz="4" w:space="0" w:color="auto"/>
            </w:tcBorders>
            <w:shd w:val="clear" w:color="000000" w:fill="F2F2F2"/>
            <w:hideMark/>
          </w:tcPr>
          <w:p w14:paraId="628F0869" w14:textId="77777777" w:rsidR="00263F92" w:rsidRPr="00337DB9" w:rsidRDefault="00263F92" w:rsidP="00372613">
            <w:pPr>
              <w:jc w:val="center"/>
              <w:rPr>
                <w:rFonts w:ascii="Arial" w:hAnsi="Arial" w:cs="Arial"/>
                <w:b/>
                <w:bCs/>
                <w:color w:val="000000"/>
                <w:sz w:val="20"/>
                <w:szCs w:val="20"/>
                <w:lang w:eastAsia="en-US"/>
              </w:rPr>
            </w:pPr>
            <w:r w:rsidRPr="000860D7">
              <w:rPr>
                <w:rFonts w:ascii="Arial" w:hAnsi="Arial" w:cs="Arial"/>
                <w:b/>
                <w:bCs/>
                <w:color w:val="000000"/>
                <w:sz w:val="20"/>
                <w:szCs w:val="20"/>
                <w:lang w:eastAsia="en-US"/>
              </w:rPr>
              <w:t xml:space="preserve">      2.65 </w:t>
            </w:r>
          </w:p>
        </w:tc>
        <w:tc>
          <w:tcPr>
            <w:tcW w:w="913" w:type="dxa"/>
            <w:tcBorders>
              <w:top w:val="nil"/>
              <w:left w:val="nil"/>
              <w:bottom w:val="single" w:sz="4" w:space="0" w:color="auto"/>
              <w:right w:val="single" w:sz="4" w:space="0" w:color="auto"/>
            </w:tcBorders>
            <w:shd w:val="clear" w:color="000000" w:fill="F2F2F2"/>
            <w:hideMark/>
          </w:tcPr>
          <w:p w14:paraId="24429510" w14:textId="77777777" w:rsidR="00263F92" w:rsidRPr="00337DB9" w:rsidRDefault="00263F92" w:rsidP="00372613">
            <w:pPr>
              <w:jc w:val="center"/>
              <w:rPr>
                <w:rFonts w:ascii="Arial" w:hAnsi="Arial" w:cs="Arial"/>
                <w:b/>
                <w:bCs/>
                <w:color w:val="000000"/>
                <w:sz w:val="20"/>
                <w:szCs w:val="20"/>
                <w:lang w:eastAsia="en-US"/>
              </w:rPr>
            </w:pPr>
            <w:r w:rsidRPr="000860D7">
              <w:rPr>
                <w:rFonts w:ascii="Arial" w:hAnsi="Arial" w:cs="Arial"/>
                <w:b/>
                <w:bCs/>
                <w:color w:val="000000"/>
                <w:sz w:val="20"/>
                <w:szCs w:val="20"/>
                <w:lang w:eastAsia="en-US"/>
              </w:rPr>
              <w:t xml:space="preserve">       1.</w:t>
            </w:r>
            <w:r w:rsidRPr="00337DB9">
              <w:rPr>
                <w:rFonts w:ascii="Arial" w:hAnsi="Arial" w:cs="Arial"/>
                <w:b/>
                <w:bCs/>
                <w:color w:val="000000"/>
                <w:sz w:val="20"/>
                <w:szCs w:val="20"/>
                <w:lang w:eastAsia="en-US"/>
              </w:rPr>
              <w:t>81</w:t>
            </w:r>
            <w:r w:rsidRPr="000860D7">
              <w:rPr>
                <w:rFonts w:ascii="Arial" w:hAnsi="Arial" w:cs="Arial"/>
                <w:b/>
                <w:bCs/>
                <w:color w:val="000000"/>
                <w:sz w:val="20"/>
                <w:szCs w:val="20"/>
                <w:lang w:eastAsia="en-US"/>
              </w:rPr>
              <w:t xml:space="preserve"> </w:t>
            </w:r>
          </w:p>
        </w:tc>
        <w:tc>
          <w:tcPr>
            <w:tcW w:w="930" w:type="dxa"/>
            <w:tcBorders>
              <w:top w:val="nil"/>
              <w:left w:val="nil"/>
              <w:bottom w:val="single" w:sz="4" w:space="0" w:color="auto"/>
              <w:right w:val="single" w:sz="4" w:space="0" w:color="auto"/>
            </w:tcBorders>
            <w:shd w:val="clear" w:color="000000" w:fill="F2F2F2"/>
            <w:hideMark/>
          </w:tcPr>
          <w:p w14:paraId="295D5663" w14:textId="77777777" w:rsidR="00263F92" w:rsidRPr="00337DB9" w:rsidRDefault="00263F92" w:rsidP="00372613">
            <w:pPr>
              <w:jc w:val="center"/>
              <w:rPr>
                <w:rFonts w:ascii="Arial" w:hAnsi="Arial" w:cs="Arial"/>
                <w:b/>
                <w:bCs/>
                <w:color w:val="000000"/>
                <w:sz w:val="20"/>
                <w:szCs w:val="20"/>
                <w:lang w:eastAsia="en-US"/>
              </w:rPr>
            </w:pPr>
            <w:r w:rsidRPr="000860D7">
              <w:rPr>
                <w:rFonts w:ascii="Arial" w:hAnsi="Arial" w:cs="Arial"/>
                <w:b/>
                <w:bCs/>
                <w:color w:val="000000"/>
                <w:sz w:val="20"/>
                <w:szCs w:val="20"/>
                <w:lang w:eastAsia="en-US"/>
              </w:rPr>
              <w:t xml:space="preserve">       0.70 </w:t>
            </w:r>
          </w:p>
        </w:tc>
        <w:tc>
          <w:tcPr>
            <w:tcW w:w="767" w:type="dxa"/>
            <w:tcBorders>
              <w:top w:val="nil"/>
              <w:left w:val="nil"/>
              <w:bottom w:val="single" w:sz="4" w:space="0" w:color="auto"/>
              <w:right w:val="single" w:sz="4" w:space="0" w:color="auto"/>
            </w:tcBorders>
            <w:shd w:val="clear" w:color="000000" w:fill="F2F2F2"/>
            <w:vAlign w:val="center"/>
            <w:hideMark/>
          </w:tcPr>
          <w:p w14:paraId="7CC7EA0E" w14:textId="77777777" w:rsidR="00263F92" w:rsidRPr="00337DB9" w:rsidRDefault="00263F92" w:rsidP="00372613">
            <w:pPr>
              <w:jc w:val="center"/>
              <w:rPr>
                <w:rFonts w:ascii="Arial" w:hAnsi="Arial" w:cs="Arial"/>
                <w:b/>
                <w:bCs/>
                <w:color w:val="000000"/>
                <w:sz w:val="20"/>
                <w:szCs w:val="20"/>
                <w:lang w:eastAsia="en-US"/>
              </w:rPr>
            </w:pPr>
            <w:r w:rsidRPr="00337DB9">
              <w:rPr>
                <w:rFonts w:ascii="Arial" w:hAnsi="Arial" w:cs="Arial"/>
                <w:b/>
                <w:bCs/>
                <w:color w:val="000000"/>
                <w:sz w:val="20"/>
                <w:szCs w:val="20"/>
                <w:lang w:eastAsia="en-US"/>
              </w:rPr>
              <w:t xml:space="preserve">       -   </w:t>
            </w:r>
          </w:p>
        </w:tc>
        <w:tc>
          <w:tcPr>
            <w:tcW w:w="694" w:type="dxa"/>
            <w:tcBorders>
              <w:top w:val="nil"/>
              <w:left w:val="nil"/>
              <w:bottom w:val="single" w:sz="4" w:space="0" w:color="auto"/>
              <w:right w:val="single" w:sz="4" w:space="0" w:color="auto"/>
            </w:tcBorders>
            <w:shd w:val="clear" w:color="000000" w:fill="F2F2F2"/>
            <w:vAlign w:val="center"/>
            <w:hideMark/>
          </w:tcPr>
          <w:p w14:paraId="1C6B0FFA" w14:textId="77777777" w:rsidR="00263F92" w:rsidRPr="00337DB9" w:rsidRDefault="00263F92" w:rsidP="00372613">
            <w:pPr>
              <w:jc w:val="center"/>
              <w:rPr>
                <w:rFonts w:ascii="Arial" w:hAnsi="Arial" w:cs="Arial"/>
                <w:b/>
                <w:bCs/>
                <w:color w:val="000000"/>
                <w:sz w:val="20"/>
                <w:szCs w:val="20"/>
                <w:lang w:eastAsia="en-US"/>
              </w:rPr>
            </w:pPr>
            <w:r w:rsidRPr="00337DB9">
              <w:rPr>
                <w:rFonts w:ascii="Arial" w:hAnsi="Arial" w:cs="Arial"/>
                <w:b/>
                <w:bCs/>
                <w:color w:val="000000"/>
                <w:sz w:val="20"/>
                <w:szCs w:val="20"/>
                <w:lang w:eastAsia="en-US"/>
              </w:rPr>
              <w:t xml:space="preserve">     -   </w:t>
            </w:r>
          </w:p>
        </w:tc>
        <w:tc>
          <w:tcPr>
            <w:tcW w:w="694" w:type="dxa"/>
            <w:tcBorders>
              <w:top w:val="nil"/>
              <w:left w:val="nil"/>
              <w:bottom w:val="single" w:sz="4" w:space="0" w:color="auto"/>
              <w:right w:val="single" w:sz="4" w:space="0" w:color="auto"/>
            </w:tcBorders>
            <w:shd w:val="clear" w:color="000000" w:fill="F2F2F2"/>
            <w:vAlign w:val="center"/>
            <w:hideMark/>
          </w:tcPr>
          <w:p w14:paraId="5250AB15" w14:textId="77777777" w:rsidR="00263F92" w:rsidRPr="00337DB9" w:rsidRDefault="00263F92" w:rsidP="00372613">
            <w:pPr>
              <w:jc w:val="center"/>
              <w:rPr>
                <w:rFonts w:ascii="Arial" w:hAnsi="Arial" w:cs="Arial"/>
                <w:b/>
                <w:bCs/>
                <w:color w:val="000000"/>
                <w:sz w:val="20"/>
                <w:szCs w:val="20"/>
                <w:lang w:eastAsia="en-US"/>
              </w:rPr>
            </w:pPr>
            <w:r w:rsidRPr="00337DB9">
              <w:rPr>
                <w:rFonts w:ascii="Arial" w:hAnsi="Arial" w:cs="Arial"/>
                <w:b/>
                <w:bCs/>
                <w:color w:val="000000"/>
                <w:sz w:val="20"/>
                <w:szCs w:val="20"/>
                <w:lang w:eastAsia="en-US"/>
              </w:rPr>
              <w:t xml:space="preserve">     -   </w:t>
            </w:r>
          </w:p>
        </w:tc>
        <w:tc>
          <w:tcPr>
            <w:tcW w:w="729" w:type="dxa"/>
            <w:tcBorders>
              <w:top w:val="nil"/>
              <w:left w:val="nil"/>
              <w:bottom w:val="single" w:sz="4" w:space="0" w:color="auto"/>
              <w:right w:val="single" w:sz="4" w:space="0" w:color="auto"/>
            </w:tcBorders>
            <w:shd w:val="clear" w:color="000000" w:fill="F2F2F2"/>
            <w:vAlign w:val="center"/>
            <w:hideMark/>
          </w:tcPr>
          <w:p w14:paraId="7BC0267B" w14:textId="77777777" w:rsidR="00263F92" w:rsidRPr="00337DB9" w:rsidRDefault="00263F92" w:rsidP="00372613">
            <w:pPr>
              <w:jc w:val="center"/>
              <w:rPr>
                <w:rFonts w:ascii="Arial" w:hAnsi="Arial" w:cs="Arial"/>
                <w:b/>
                <w:bCs/>
                <w:color w:val="000000"/>
                <w:sz w:val="20"/>
                <w:szCs w:val="20"/>
                <w:lang w:eastAsia="en-US"/>
              </w:rPr>
            </w:pPr>
            <w:r w:rsidRPr="00337DB9">
              <w:rPr>
                <w:rFonts w:ascii="Arial" w:hAnsi="Arial" w:cs="Arial"/>
                <w:b/>
                <w:bCs/>
                <w:color w:val="000000"/>
                <w:sz w:val="20"/>
                <w:szCs w:val="20"/>
                <w:lang w:eastAsia="en-US"/>
              </w:rPr>
              <w:t xml:space="preserve">      -   </w:t>
            </w:r>
          </w:p>
        </w:tc>
        <w:tc>
          <w:tcPr>
            <w:tcW w:w="729" w:type="dxa"/>
            <w:tcBorders>
              <w:top w:val="nil"/>
              <w:left w:val="nil"/>
              <w:bottom w:val="single" w:sz="4" w:space="0" w:color="auto"/>
              <w:right w:val="single" w:sz="4" w:space="0" w:color="auto"/>
            </w:tcBorders>
            <w:shd w:val="clear" w:color="000000" w:fill="F2F2F2"/>
            <w:vAlign w:val="center"/>
            <w:hideMark/>
          </w:tcPr>
          <w:p w14:paraId="1591456E" w14:textId="77777777" w:rsidR="00263F92" w:rsidRPr="00337DB9" w:rsidRDefault="00263F92" w:rsidP="00372613">
            <w:pPr>
              <w:jc w:val="center"/>
              <w:rPr>
                <w:rFonts w:ascii="Arial" w:hAnsi="Arial" w:cs="Arial"/>
                <w:b/>
                <w:bCs/>
                <w:color w:val="000000"/>
                <w:sz w:val="20"/>
                <w:szCs w:val="20"/>
                <w:lang w:eastAsia="en-US"/>
              </w:rPr>
            </w:pPr>
            <w:r w:rsidRPr="00337DB9">
              <w:rPr>
                <w:rFonts w:ascii="Arial" w:hAnsi="Arial" w:cs="Arial"/>
                <w:b/>
                <w:bCs/>
                <w:color w:val="000000"/>
                <w:sz w:val="20"/>
                <w:szCs w:val="20"/>
                <w:lang w:eastAsia="en-US"/>
              </w:rPr>
              <w:t xml:space="preserve">      -   </w:t>
            </w:r>
          </w:p>
        </w:tc>
        <w:tc>
          <w:tcPr>
            <w:tcW w:w="929" w:type="dxa"/>
            <w:tcBorders>
              <w:top w:val="nil"/>
              <w:left w:val="nil"/>
              <w:bottom w:val="single" w:sz="4" w:space="0" w:color="auto"/>
              <w:right w:val="single" w:sz="4" w:space="0" w:color="auto"/>
            </w:tcBorders>
            <w:shd w:val="clear" w:color="000000" w:fill="F2F2F2"/>
            <w:vAlign w:val="center"/>
            <w:hideMark/>
          </w:tcPr>
          <w:p w14:paraId="01215379" w14:textId="77777777" w:rsidR="00263F92" w:rsidRPr="00337DB9" w:rsidRDefault="00263F92" w:rsidP="00372613">
            <w:pPr>
              <w:jc w:val="center"/>
              <w:rPr>
                <w:rFonts w:ascii="Arial" w:hAnsi="Arial" w:cs="Arial"/>
                <w:b/>
                <w:bCs/>
                <w:color w:val="000000"/>
                <w:sz w:val="20"/>
                <w:szCs w:val="20"/>
                <w:lang w:eastAsia="en-US"/>
              </w:rPr>
            </w:pPr>
            <w:r w:rsidRPr="00337DB9">
              <w:rPr>
                <w:rFonts w:ascii="Arial" w:hAnsi="Arial" w:cs="Arial"/>
                <w:b/>
                <w:bCs/>
                <w:color w:val="000000"/>
                <w:sz w:val="20"/>
                <w:szCs w:val="20"/>
                <w:lang w:eastAsia="en-US"/>
              </w:rPr>
              <w:t xml:space="preserve">     5.16 </w:t>
            </w:r>
          </w:p>
        </w:tc>
      </w:tr>
      <w:tr w:rsidR="00263F92" w:rsidRPr="00337DB9" w14:paraId="7899D96D" w14:textId="77777777" w:rsidTr="00372613">
        <w:trPr>
          <w:trHeight w:val="300"/>
        </w:trPr>
        <w:tc>
          <w:tcPr>
            <w:tcW w:w="2522" w:type="dxa"/>
            <w:tcBorders>
              <w:top w:val="nil"/>
              <w:left w:val="single" w:sz="4" w:space="0" w:color="auto"/>
              <w:bottom w:val="single" w:sz="4" w:space="0" w:color="auto"/>
              <w:right w:val="single" w:sz="4" w:space="0" w:color="auto"/>
            </w:tcBorders>
            <w:shd w:val="clear" w:color="000000" w:fill="D9D9D9"/>
            <w:vAlign w:val="center"/>
            <w:hideMark/>
          </w:tcPr>
          <w:p w14:paraId="72EFE50A" w14:textId="77777777" w:rsidR="00263F92" w:rsidRPr="00337DB9" w:rsidRDefault="00263F92" w:rsidP="00372613">
            <w:pPr>
              <w:jc w:val="left"/>
              <w:rPr>
                <w:rFonts w:ascii="Arial" w:hAnsi="Arial" w:cs="Arial"/>
                <w:b/>
                <w:bCs/>
                <w:color w:val="000000"/>
                <w:sz w:val="20"/>
                <w:szCs w:val="20"/>
                <w:lang w:eastAsia="en-US"/>
              </w:rPr>
            </w:pPr>
            <w:r w:rsidRPr="00337DB9">
              <w:rPr>
                <w:rFonts w:ascii="Arial" w:hAnsi="Arial" w:cs="Arial"/>
                <w:b/>
                <w:bCs/>
                <w:color w:val="000000"/>
                <w:sz w:val="20"/>
                <w:szCs w:val="20"/>
                <w:lang w:eastAsia="en-US"/>
              </w:rPr>
              <w:t xml:space="preserve"> Total SEF Expanded</w:t>
            </w:r>
          </w:p>
        </w:tc>
        <w:tc>
          <w:tcPr>
            <w:tcW w:w="898" w:type="dxa"/>
            <w:tcBorders>
              <w:top w:val="nil"/>
              <w:left w:val="nil"/>
              <w:bottom w:val="single" w:sz="4" w:space="0" w:color="auto"/>
              <w:right w:val="single" w:sz="4" w:space="0" w:color="auto"/>
            </w:tcBorders>
            <w:shd w:val="clear" w:color="000000" w:fill="D9D9D9"/>
            <w:vAlign w:val="center"/>
            <w:hideMark/>
          </w:tcPr>
          <w:p w14:paraId="78329CE7" w14:textId="77777777" w:rsidR="00263F92" w:rsidRPr="00337DB9" w:rsidRDefault="00263F92" w:rsidP="00372613">
            <w:pPr>
              <w:jc w:val="center"/>
              <w:rPr>
                <w:rFonts w:ascii="Arial" w:hAnsi="Arial" w:cs="Arial"/>
                <w:b/>
                <w:bCs/>
                <w:color w:val="000000"/>
                <w:sz w:val="20"/>
                <w:szCs w:val="20"/>
                <w:lang w:eastAsia="en-US"/>
              </w:rPr>
            </w:pPr>
            <w:r w:rsidRPr="00337DB9">
              <w:rPr>
                <w:rFonts w:ascii="Arial" w:hAnsi="Arial" w:cs="Arial"/>
                <w:b/>
                <w:bCs/>
                <w:color w:val="000000"/>
                <w:sz w:val="20"/>
                <w:szCs w:val="20"/>
                <w:lang w:eastAsia="en-US"/>
              </w:rPr>
              <w:t xml:space="preserve">      3.04 </w:t>
            </w:r>
          </w:p>
        </w:tc>
        <w:tc>
          <w:tcPr>
            <w:tcW w:w="913" w:type="dxa"/>
            <w:tcBorders>
              <w:top w:val="nil"/>
              <w:left w:val="nil"/>
              <w:bottom w:val="single" w:sz="4" w:space="0" w:color="auto"/>
              <w:right w:val="single" w:sz="4" w:space="0" w:color="auto"/>
            </w:tcBorders>
            <w:shd w:val="clear" w:color="000000" w:fill="D9D9D9"/>
            <w:vAlign w:val="center"/>
            <w:hideMark/>
          </w:tcPr>
          <w:p w14:paraId="48BA35E4" w14:textId="77777777" w:rsidR="00263F92" w:rsidRPr="00337DB9" w:rsidRDefault="00263F92" w:rsidP="00372613">
            <w:pPr>
              <w:jc w:val="center"/>
              <w:rPr>
                <w:rFonts w:ascii="Arial" w:hAnsi="Arial" w:cs="Arial"/>
                <w:b/>
                <w:bCs/>
                <w:color w:val="000000"/>
                <w:sz w:val="20"/>
                <w:szCs w:val="20"/>
                <w:lang w:eastAsia="en-US"/>
              </w:rPr>
            </w:pPr>
            <w:r w:rsidRPr="00337DB9">
              <w:rPr>
                <w:rFonts w:ascii="Arial" w:hAnsi="Arial" w:cs="Arial"/>
                <w:b/>
                <w:bCs/>
                <w:color w:val="000000"/>
                <w:sz w:val="20"/>
                <w:szCs w:val="20"/>
                <w:lang w:eastAsia="en-US"/>
              </w:rPr>
              <w:t xml:space="preserve">       16.93 </w:t>
            </w:r>
          </w:p>
        </w:tc>
        <w:tc>
          <w:tcPr>
            <w:tcW w:w="930" w:type="dxa"/>
            <w:tcBorders>
              <w:top w:val="nil"/>
              <w:left w:val="nil"/>
              <w:bottom w:val="single" w:sz="4" w:space="0" w:color="auto"/>
              <w:right w:val="single" w:sz="4" w:space="0" w:color="auto"/>
            </w:tcBorders>
            <w:shd w:val="clear" w:color="000000" w:fill="D9D9D9"/>
            <w:vAlign w:val="center"/>
            <w:hideMark/>
          </w:tcPr>
          <w:p w14:paraId="2AB23BEE" w14:textId="77777777" w:rsidR="00263F92" w:rsidRPr="00337DB9" w:rsidRDefault="00263F92" w:rsidP="00372613">
            <w:pPr>
              <w:jc w:val="center"/>
              <w:rPr>
                <w:rFonts w:ascii="Arial" w:hAnsi="Arial" w:cs="Arial"/>
                <w:b/>
                <w:bCs/>
                <w:color w:val="000000"/>
                <w:sz w:val="20"/>
                <w:szCs w:val="20"/>
                <w:lang w:eastAsia="en-US"/>
              </w:rPr>
            </w:pPr>
            <w:r w:rsidRPr="00337DB9">
              <w:rPr>
                <w:rFonts w:ascii="Arial" w:hAnsi="Arial" w:cs="Arial"/>
                <w:b/>
                <w:bCs/>
                <w:color w:val="000000"/>
                <w:sz w:val="20"/>
                <w:szCs w:val="20"/>
                <w:lang w:eastAsia="en-US"/>
              </w:rPr>
              <w:t xml:space="preserve">     14.34 </w:t>
            </w:r>
          </w:p>
        </w:tc>
        <w:tc>
          <w:tcPr>
            <w:tcW w:w="767" w:type="dxa"/>
            <w:tcBorders>
              <w:top w:val="nil"/>
              <w:left w:val="nil"/>
              <w:bottom w:val="single" w:sz="4" w:space="0" w:color="auto"/>
              <w:right w:val="single" w:sz="4" w:space="0" w:color="auto"/>
            </w:tcBorders>
            <w:shd w:val="clear" w:color="000000" w:fill="D9D9D9"/>
            <w:vAlign w:val="center"/>
            <w:hideMark/>
          </w:tcPr>
          <w:p w14:paraId="12B1D39C" w14:textId="77777777" w:rsidR="00263F92" w:rsidRPr="00337DB9" w:rsidRDefault="00263F92" w:rsidP="00372613">
            <w:pPr>
              <w:jc w:val="center"/>
              <w:rPr>
                <w:rFonts w:ascii="Arial" w:hAnsi="Arial" w:cs="Arial"/>
                <w:b/>
                <w:bCs/>
                <w:color w:val="000000"/>
                <w:sz w:val="20"/>
                <w:szCs w:val="20"/>
                <w:lang w:eastAsia="en-US"/>
              </w:rPr>
            </w:pPr>
            <w:r w:rsidRPr="00337DB9">
              <w:rPr>
                <w:rFonts w:ascii="Arial" w:hAnsi="Arial" w:cs="Arial"/>
                <w:b/>
                <w:bCs/>
                <w:color w:val="000000"/>
                <w:sz w:val="20"/>
                <w:szCs w:val="20"/>
                <w:lang w:eastAsia="en-US"/>
              </w:rPr>
              <w:t xml:space="preserve"> 17.36 </w:t>
            </w:r>
          </w:p>
        </w:tc>
        <w:tc>
          <w:tcPr>
            <w:tcW w:w="694" w:type="dxa"/>
            <w:tcBorders>
              <w:top w:val="nil"/>
              <w:left w:val="nil"/>
              <w:bottom w:val="single" w:sz="4" w:space="0" w:color="auto"/>
              <w:right w:val="single" w:sz="4" w:space="0" w:color="auto"/>
            </w:tcBorders>
            <w:shd w:val="clear" w:color="000000" w:fill="D9D9D9"/>
            <w:vAlign w:val="center"/>
            <w:hideMark/>
          </w:tcPr>
          <w:p w14:paraId="4B0FB959" w14:textId="77777777" w:rsidR="00263F92" w:rsidRPr="00337DB9" w:rsidRDefault="00263F92" w:rsidP="00372613">
            <w:pPr>
              <w:jc w:val="center"/>
              <w:rPr>
                <w:rFonts w:ascii="Arial" w:hAnsi="Arial" w:cs="Arial"/>
                <w:b/>
                <w:bCs/>
                <w:color w:val="000000"/>
                <w:sz w:val="20"/>
                <w:szCs w:val="20"/>
                <w:lang w:eastAsia="en-US"/>
              </w:rPr>
            </w:pPr>
            <w:r w:rsidRPr="00337DB9">
              <w:rPr>
                <w:rFonts w:ascii="Arial" w:hAnsi="Arial" w:cs="Arial"/>
                <w:b/>
                <w:bCs/>
                <w:color w:val="000000"/>
                <w:sz w:val="20"/>
                <w:szCs w:val="20"/>
                <w:lang w:eastAsia="en-US"/>
              </w:rPr>
              <w:t xml:space="preserve">  16.55 </w:t>
            </w:r>
          </w:p>
        </w:tc>
        <w:tc>
          <w:tcPr>
            <w:tcW w:w="694" w:type="dxa"/>
            <w:tcBorders>
              <w:top w:val="nil"/>
              <w:left w:val="nil"/>
              <w:bottom w:val="single" w:sz="4" w:space="0" w:color="auto"/>
              <w:right w:val="single" w:sz="4" w:space="0" w:color="auto"/>
            </w:tcBorders>
            <w:shd w:val="clear" w:color="000000" w:fill="D9D9D9"/>
            <w:vAlign w:val="center"/>
            <w:hideMark/>
          </w:tcPr>
          <w:p w14:paraId="35467595" w14:textId="77777777" w:rsidR="00263F92" w:rsidRPr="00337DB9" w:rsidRDefault="00263F92" w:rsidP="00372613">
            <w:pPr>
              <w:jc w:val="center"/>
              <w:rPr>
                <w:rFonts w:ascii="Arial" w:hAnsi="Arial" w:cs="Arial"/>
                <w:b/>
                <w:bCs/>
                <w:color w:val="000000"/>
                <w:sz w:val="20"/>
                <w:szCs w:val="20"/>
                <w:lang w:eastAsia="en-US"/>
              </w:rPr>
            </w:pPr>
            <w:r w:rsidRPr="00337DB9">
              <w:rPr>
                <w:rFonts w:ascii="Arial" w:hAnsi="Arial" w:cs="Arial"/>
                <w:b/>
                <w:bCs/>
                <w:color w:val="000000"/>
                <w:sz w:val="20"/>
                <w:szCs w:val="20"/>
                <w:lang w:eastAsia="en-US"/>
              </w:rPr>
              <w:t xml:space="preserve">  17.39 </w:t>
            </w:r>
          </w:p>
        </w:tc>
        <w:tc>
          <w:tcPr>
            <w:tcW w:w="729" w:type="dxa"/>
            <w:tcBorders>
              <w:top w:val="nil"/>
              <w:left w:val="nil"/>
              <w:bottom w:val="single" w:sz="4" w:space="0" w:color="auto"/>
              <w:right w:val="single" w:sz="4" w:space="0" w:color="auto"/>
            </w:tcBorders>
            <w:shd w:val="clear" w:color="000000" w:fill="D9D9D9"/>
            <w:vAlign w:val="center"/>
            <w:hideMark/>
          </w:tcPr>
          <w:p w14:paraId="6B199E55" w14:textId="77777777" w:rsidR="00263F92" w:rsidRPr="00337DB9" w:rsidRDefault="00263F92" w:rsidP="00372613">
            <w:pPr>
              <w:jc w:val="center"/>
              <w:rPr>
                <w:rFonts w:ascii="Arial" w:hAnsi="Arial" w:cs="Arial"/>
                <w:b/>
                <w:bCs/>
                <w:color w:val="000000"/>
                <w:sz w:val="20"/>
                <w:szCs w:val="20"/>
                <w:lang w:eastAsia="en-US"/>
              </w:rPr>
            </w:pPr>
            <w:r w:rsidRPr="00337DB9">
              <w:rPr>
                <w:rFonts w:ascii="Arial" w:hAnsi="Arial" w:cs="Arial"/>
                <w:b/>
                <w:bCs/>
                <w:color w:val="000000"/>
                <w:sz w:val="20"/>
                <w:szCs w:val="20"/>
                <w:lang w:eastAsia="en-US"/>
              </w:rPr>
              <w:t xml:space="preserve">      -   </w:t>
            </w:r>
          </w:p>
        </w:tc>
        <w:tc>
          <w:tcPr>
            <w:tcW w:w="729" w:type="dxa"/>
            <w:tcBorders>
              <w:top w:val="nil"/>
              <w:left w:val="nil"/>
              <w:bottom w:val="single" w:sz="4" w:space="0" w:color="auto"/>
              <w:right w:val="single" w:sz="4" w:space="0" w:color="auto"/>
            </w:tcBorders>
            <w:shd w:val="clear" w:color="000000" w:fill="D9D9D9"/>
            <w:vAlign w:val="center"/>
            <w:hideMark/>
          </w:tcPr>
          <w:p w14:paraId="50DC0E7A" w14:textId="77777777" w:rsidR="00263F92" w:rsidRPr="00337DB9" w:rsidRDefault="00263F92" w:rsidP="00372613">
            <w:pPr>
              <w:jc w:val="center"/>
              <w:rPr>
                <w:rFonts w:ascii="Arial" w:hAnsi="Arial" w:cs="Arial"/>
                <w:b/>
                <w:bCs/>
                <w:color w:val="000000"/>
                <w:sz w:val="20"/>
                <w:szCs w:val="20"/>
                <w:lang w:eastAsia="en-US"/>
              </w:rPr>
            </w:pPr>
            <w:r w:rsidRPr="00337DB9">
              <w:rPr>
                <w:rFonts w:ascii="Arial" w:hAnsi="Arial" w:cs="Arial"/>
                <w:b/>
                <w:bCs/>
                <w:color w:val="000000"/>
                <w:sz w:val="20"/>
                <w:szCs w:val="20"/>
                <w:lang w:eastAsia="en-US"/>
              </w:rPr>
              <w:t xml:space="preserve">      -   </w:t>
            </w:r>
          </w:p>
        </w:tc>
        <w:tc>
          <w:tcPr>
            <w:tcW w:w="929" w:type="dxa"/>
            <w:tcBorders>
              <w:top w:val="nil"/>
              <w:left w:val="nil"/>
              <w:bottom w:val="single" w:sz="4" w:space="0" w:color="auto"/>
              <w:right w:val="single" w:sz="4" w:space="0" w:color="auto"/>
            </w:tcBorders>
            <w:shd w:val="clear" w:color="000000" w:fill="D9D9D9"/>
            <w:vAlign w:val="center"/>
            <w:hideMark/>
          </w:tcPr>
          <w:p w14:paraId="252431DE" w14:textId="77777777" w:rsidR="00263F92" w:rsidRPr="00337DB9" w:rsidRDefault="00263F92" w:rsidP="00372613">
            <w:pPr>
              <w:jc w:val="center"/>
              <w:rPr>
                <w:rFonts w:ascii="Arial" w:hAnsi="Arial" w:cs="Arial"/>
                <w:b/>
                <w:bCs/>
                <w:color w:val="000000"/>
                <w:sz w:val="20"/>
                <w:szCs w:val="20"/>
                <w:lang w:eastAsia="en-US"/>
              </w:rPr>
            </w:pPr>
            <w:r w:rsidRPr="00337DB9">
              <w:rPr>
                <w:rFonts w:ascii="Arial" w:hAnsi="Arial" w:cs="Arial"/>
                <w:b/>
                <w:bCs/>
                <w:color w:val="000000"/>
                <w:sz w:val="20"/>
                <w:szCs w:val="20"/>
                <w:lang w:eastAsia="en-US"/>
              </w:rPr>
              <w:t xml:space="preserve">   85.61 </w:t>
            </w:r>
          </w:p>
        </w:tc>
      </w:tr>
    </w:tbl>
    <w:p w14:paraId="7CEEE395" w14:textId="77777777" w:rsidR="00263F92" w:rsidRPr="00690D98" w:rsidRDefault="00263F92" w:rsidP="00690D98">
      <w:pPr>
        <w:pStyle w:val="BodyText"/>
      </w:pPr>
    </w:p>
    <w:p w14:paraId="26CBCD3A" w14:textId="77777777" w:rsidR="001408B7" w:rsidRPr="008E106E" w:rsidRDefault="001408B7" w:rsidP="001408B7">
      <w:pPr>
        <w:pStyle w:val="Heading2"/>
        <w:rPr>
          <w:rFonts w:ascii="Arial" w:hAnsi="Arial"/>
          <w:sz w:val="22"/>
          <w:szCs w:val="22"/>
        </w:rPr>
      </w:pPr>
      <w:bookmarkStart w:id="30" w:name="_Toc531018655"/>
      <w:r w:rsidRPr="008E106E">
        <w:rPr>
          <w:rFonts w:ascii="Arial" w:hAnsi="Arial"/>
          <w:sz w:val="22"/>
          <w:szCs w:val="22"/>
        </w:rPr>
        <w:t>Data Collection and Instruments</w:t>
      </w:r>
      <w:bookmarkEnd w:id="30"/>
    </w:p>
    <w:p w14:paraId="738CFB71" w14:textId="2290F999" w:rsidR="0072409D" w:rsidRPr="008E106E" w:rsidRDefault="0072409D" w:rsidP="0072409D">
      <w:pPr>
        <w:pStyle w:val="BodyText"/>
        <w:rPr>
          <w:rFonts w:ascii="Arial" w:hAnsi="Arial" w:cs="Arial"/>
          <w:sz w:val="22"/>
          <w:szCs w:val="22"/>
          <w:lang w:eastAsia="ja-JP"/>
        </w:rPr>
      </w:pPr>
      <w:r w:rsidRPr="008E106E">
        <w:rPr>
          <w:rFonts w:ascii="Arial" w:hAnsi="Arial" w:cs="Arial"/>
          <w:sz w:val="22"/>
          <w:szCs w:val="22"/>
          <w:lang w:eastAsia="ja-JP"/>
        </w:rPr>
        <w:t>The EA (the CDB) will be responsible for reporting on the results of the Program, based on information collected from the EC</w:t>
      </w:r>
      <w:r w:rsidR="0080041A" w:rsidRPr="008E106E">
        <w:rPr>
          <w:rFonts w:ascii="Arial" w:hAnsi="Arial" w:cs="Arial"/>
          <w:sz w:val="22"/>
          <w:szCs w:val="22"/>
          <w:lang w:eastAsia="ja-JP"/>
        </w:rPr>
        <w:t>C</w:t>
      </w:r>
      <w:r w:rsidRPr="008E106E">
        <w:rPr>
          <w:rFonts w:ascii="Arial" w:hAnsi="Arial" w:cs="Arial"/>
          <w:sz w:val="22"/>
          <w:szCs w:val="22"/>
          <w:lang w:eastAsia="ja-JP"/>
        </w:rPr>
        <w:t xml:space="preserve"> Governments and private sponsors and on information from its own systems. </w:t>
      </w:r>
      <w:r w:rsidRPr="008E106E">
        <w:rPr>
          <w:rFonts w:ascii="Arial" w:hAnsi="Arial" w:cs="Arial"/>
          <w:sz w:val="22"/>
          <w:szCs w:val="22"/>
        </w:rPr>
        <w:t xml:space="preserve">The EA will be responsible for reporting progress and results to the IDB. </w:t>
      </w:r>
      <w:r w:rsidRPr="008E106E">
        <w:rPr>
          <w:rFonts w:ascii="Arial" w:hAnsi="Arial" w:cs="Arial"/>
          <w:sz w:val="22"/>
          <w:szCs w:val="22"/>
          <w:lang w:eastAsia="ja-JP"/>
        </w:rPr>
        <w:t>The EA will collect, store, and retain all information to assist the IDB in monitoring performance of the Program.</w:t>
      </w:r>
    </w:p>
    <w:p w14:paraId="029701EF" w14:textId="55B7C7E1" w:rsidR="004E020D" w:rsidRDefault="00681A35" w:rsidP="00681A35">
      <w:pPr>
        <w:pStyle w:val="BodyText"/>
        <w:rPr>
          <w:rFonts w:ascii="Arial" w:hAnsi="Arial" w:cs="Arial"/>
          <w:sz w:val="22"/>
          <w:szCs w:val="22"/>
        </w:rPr>
      </w:pPr>
      <w:r w:rsidRPr="008E106E">
        <w:rPr>
          <w:rFonts w:ascii="Arial" w:hAnsi="Arial" w:cs="Arial"/>
          <w:sz w:val="22"/>
          <w:szCs w:val="22"/>
          <w:lang w:eastAsia="ja-JP"/>
        </w:rPr>
        <w:t>T</w:t>
      </w:r>
      <w:r w:rsidRPr="008E106E">
        <w:rPr>
          <w:rFonts w:ascii="Arial" w:hAnsi="Arial" w:cs="Arial"/>
          <w:sz w:val="22"/>
          <w:szCs w:val="22"/>
        </w:rPr>
        <w:t xml:space="preserve">he INE/ENE Division of the IDB will be responsible for overseeing the execution of the </w:t>
      </w:r>
      <w:r w:rsidR="0080041A" w:rsidRPr="008E106E">
        <w:rPr>
          <w:rFonts w:ascii="Arial" w:hAnsi="Arial" w:cs="Arial"/>
          <w:sz w:val="22"/>
          <w:szCs w:val="22"/>
        </w:rPr>
        <w:t>M&amp;E</w:t>
      </w:r>
      <w:r w:rsidRPr="008E106E">
        <w:rPr>
          <w:rFonts w:ascii="Arial" w:hAnsi="Arial" w:cs="Arial"/>
          <w:sz w:val="22"/>
          <w:szCs w:val="22"/>
        </w:rPr>
        <w:t xml:space="preserve"> Plan for the complete </w:t>
      </w:r>
      <w:r w:rsidR="0080041A" w:rsidRPr="008E106E">
        <w:rPr>
          <w:rFonts w:ascii="Arial" w:hAnsi="Arial" w:cs="Arial"/>
          <w:sz w:val="22"/>
          <w:szCs w:val="22"/>
        </w:rPr>
        <w:t xml:space="preserve">SEF </w:t>
      </w:r>
      <w:r w:rsidRPr="008E106E">
        <w:rPr>
          <w:rFonts w:ascii="Arial" w:hAnsi="Arial" w:cs="Arial"/>
          <w:sz w:val="22"/>
          <w:szCs w:val="22"/>
        </w:rPr>
        <w:t>Program, including the funds provided by other donors</w:t>
      </w:r>
      <w:r w:rsidR="0080041A" w:rsidRPr="008E106E">
        <w:rPr>
          <w:rFonts w:ascii="Arial" w:hAnsi="Arial" w:cs="Arial"/>
          <w:sz w:val="22"/>
          <w:szCs w:val="22"/>
        </w:rPr>
        <w:t xml:space="preserve"> under SEF-2015 and SEF-Expanded</w:t>
      </w:r>
      <w:r w:rsidRPr="008E106E">
        <w:rPr>
          <w:rFonts w:ascii="Arial" w:hAnsi="Arial" w:cs="Arial"/>
          <w:sz w:val="22"/>
          <w:szCs w:val="22"/>
        </w:rPr>
        <w:t xml:space="preserve">. As such, </w:t>
      </w:r>
      <w:r w:rsidR="00872691" w:rsidRPr="008E106E">
        <w:rPr>
          <w:rFonts w:ascii="Arial" w:hAnsi="Arial" w:cs="Arial"/>
          <w:sz w:val="22"/>
          <w:szCs w:val="22"/>
        </w:rPr>
        <w:t>INE/ENE m</w:t>
      </w:r>
      <w:r w:rsidRPr="008E106E">
        <w:rPr>
          <w:rFonts w:ascii="Arial" w:hAnsi="Arial" w:cs="Arial"/>
          <w:sz w:val="22"/>
          <w:szCs w:val="22"/>
        </w:rPr>
        <w:t xml:space="preserve">ust report annually to the Clean Technology Fund </w:t>
      </w:r>
      <w:r w:rsidR="0080041A" w:rsidRPr="008E106E">
        <w:rPr>
          <w:rFonts w:ascii="Arial" w:hAnsi="Arial" w:cs="Arial"/>
          <w:sz w:val="22"/>
          <w:szCs w:val="22"/>
        </w:rPr>
        <w:t xml:space="preserve">(CTF) </w:t>
      </w:r>
      <w:r w:rsidRPr="008E106E">
        <w:rPr>
          <w:rFonts w:ascii="Arial" w:hAnsi="Arial" w:cs="Arial"/>
          <w:sz w:val="22"/>
          <w:szCs w:val="22"/>
        </w:rPr>
        <w:t xml:space="preserve">and the </w:t>
      </w:r>
      <w:r w:rsidR="0080041A" w:rsidRPr="008E106E">
        <w:rPr>
          <w:rFonts w:ascii="Arial" w:hAnsi="Arial" w:cs="Arial"/>
          <w:sz w:val="22"/>
          <w:szCs w:val="22"/>
        </w:rPr>
        <w:t xml:space="preserve">Global Environmental facility (GEF) for SEF-2015 and to the Green Climate Fund (GCF) and the Republic of Italy (REI) for SEF-Expanded </w:t>
      </w:r>
      <w:r w:rsidRPr="008E106E">
        <w:rPr>
          <w:rFonts w:ascii="Arial" w:hAnsi="Arial" w:cs="Arial"/>
          <w:sz w:val="22"/>
          <w:szCs w:val="22"/>
        </w:rPr>
        <w:t xml:space="preserve">on progress towards achieving the results of the Program and estimations of results (in case of plants in state of construction and non-operational as of reporting date). </w:t>
      </w:r>
    </w:p>
    <w:p w14:paraId="592B1F33" w14:textId="1B57F796" w:rsidR="00661B04" w:rsidRPr="008E106E" w:rsidRDefault="004430E8" w:rsidP="00681A35">
      <w:pPr>
        <w:pStyle w:val="BodyText"/>
        <w:rPr>
          <w:rFonts w:ascii="Arial" w:hAnsi="Arial" w:cs="Arial"/>
          <w:sz w:val="22"/>
          <w:szCs w:val="22"/>
        </w:rPr>
      </w:pPr>
      <w:r>
        <w:rPr>
          <w:rFonts w:ascii="Arial" w:hAnsi="Arial" w:cs="Arial"/>
          <w:sz w:val="22"/>
          <w:szCs w:val="22"/>
        </w:rPr>
        <w:t>CDB</w:t>
      </w:r>
      <w:r w:rsidR="00661B04" w:rsidRPr="00661B04">
        <w:rPr>
          <w:rFonts w:ascii="Arial" w:hAnsi="Arial" w:cs="Arial"/>
          <w:sz w:val="22"/>
          <w:szCs w:val="22"/>
        </w:rPr>
        <w:t xml:space="preserve"> will ensure that, in accordance with </w:t>
      </w:r>
      <w:r w:rsidR="00F76226">
        <w:rPr>
          <w:rFonts w:ascii="Arial" w:hAnsi="Arial" w:cs="Arial"/>
          <w:sz w:val="22"/>
          <w:szCs w:val="22"/>
        </w:rPr>
        <w:t xml:space="preserve">IDB’s </w:t>
      </w:r>
      <w:r w:rsidR="00661B04" w:rsidRPr="00661B04">
        <w:rPr>
          <w:rFonts w:ascii="Arial" w:hAnsi="Arial" w:cs="Arial"/>
          <w:sz w:val="22"/>
          <w:szCs w:val="22"/>
        </w:rPr>
        <w:t xml:space="preserve">applicable policies and procedures, records relating to individual projects are to be furnished to the </w:t>
      </w:r>
      <w:proofErr w:type="gramStart"/>
      <w:r>
        <w:rPr>
          <w:rFonts w:ascii="Arial" w:hAnsi="Arial" w:cs="Arial"/>
          <w:sz w:val="22"/>
          <w:szCs w:val="22"/>
        </w:rPr>
        <w:t>aforementioned donors</w:t>
      </w:r>
      <w:proofErr w:type="gramEnd"/>
      <w:r>
        <w:rPr>
          <w:rFonts w:ascii="Arial" w:hAnsi="Arial" w:cs="Arial"/>
          <w:sz w:val="22"/>
          <w:szCs w:val="22"/>
        </w:rPr>
        <w:t xml:space="preserve"> </w:t>
      </w:r>
      <w:r w:rsidR="00661B04" w:rsidRPr="00661B04">
        <w:rPr>
          <w:rFonts w:ascii="Arial" w:hAnsi="Arial" w:cs="Arial"/>
          <w:sz w:val="22"/>
          <w:szCs w:val="22"/>
        </w:rPr>
        <w:t xml:space="preserve">upon </w:t>
      </w:r>
      <w:r>
        <w:rPr>
          <w:rFonts w:ascii="Arial" w:hAnsi="Arial" w:cs="Arial"/>
          <w:sz w:val="22"/>
          <w:szCs w:val="22"/>
        </w:rPr>
        <w:t xml:space="preserve">their </w:t>
      </w:r>
      <w:r w:rsidR="00661B04" w:rsidRPr="00661B04">
        <w:rPr>
          <w:rFonts w:ascii="Arial" w:hAnsi="Arial" w:cs="Arial"/>
          <w:sz w:val="22"/>
          <w:szCs w:val="22"/>
        </w:rPr>
        <w:t>written request in a timely manner, and records will be maintained adequately to record the progress of individual projects.</w:t>
      </w:r>
    </w:p>
    <w:p w14:paraId="7631E63E" w14:textId="0B703A01" w:rsidR="004E020D" w:rsidRPr="008E106E" w:rsidRDefault="004E020D" w:rsidP="004E020D">
      <w:pPr>
        <w:pStyle w:val="BodyText"/>
        <w:rPr>
          <w:rFonts w:ascii="Arial" w:hAnsi="Arial" w:cs="Arial"/>
          <w:sz w:val="22"/>
          <w:szCs w:val="22"/>
        </w:rPr>
      </w:pPr>
      <w:r w:rsidRPr="008E106E">
        <w:rPr>
          <w:rFonts w:ascii="Arial" w:hAnsi="Arial" w:cs="Arial"/>
          <w:sz w:val="22"/>
          <w:szCs w:val="22"/>
        </w:rPr>
        <w:t>The project team composed by specialists from INE/ENE</w:t>
      </w:r>
      <w:r w:rsidR="0093137E" w:rsidRPr="008E106E">
        <w:rPr>
          <w:rFonts w:ascii="Arial" w:hAnsi="Arial" w:cs="Arial"/>
          <w:sz w:val="22"/>
          <w:szCs w:val="22"/>
        </w:rPr>
        <w:t xml:space="preserve"> and IFD/CMF</w:t>
      </w:r>
      <w:r w:rsidRPr="008E106E">
        <w:rPr>
          <w:rFonts w:ascii="Arial" w:hAnsi="Arial" w:cs="Arial"/>
          <w:sz w:val="22"/>
          <w:szCs w:val="22"/>
        </w:rPr>
        <w:t>, with support from the country office in Barbados</w:t>
      </w:r>
      <w:r w:rsidR="0072409D" w:rsidRPr="008E106E">
        <w:rPr>
          <w:rFonts w:ascii="Arial" w:hAnsi="Arial" w:cs="Arial"/>
          <w:sz w:val="22"/>
          <w:szCs w:val="22"/>
        </w:rPr>
        <w:t>,</w:t>
      </w:r>
      <w:r w:rsidRPr="008E106E">
        <w:rPr>
          <w:rFonts w:ascii="Arial" w:hAnsi="Arial" w:cs="Arial"/>
          <w:sz w:val="22"/>
          <w:szCs w:val="22"/>
        </w:rPr>
        <w:t xml:space="preserve"> will </w:t>
      </w:r>
      <w:r w:rsidR="0080041A" w:rsidRPr="008E106E">
        <w:rPr>
          <w:rFonts w:ascii="Arial" w:hAnsi="Arial" w:cs="Arial"/>
          <w:sz w:val="22"/>
          <w:szCs w:val="22"/>
        </w:rPr>
        <w:t>oversee</w:t>
      </w:r>
      <w:r w:rsidRPr="008E106E">
        <w:rPr>
          <w:rFonts w:ascii="Arial" w:hAnsi="Arial" w:cs="Arial"/>
          <w:sz w:val="22"/>
          <w:szCs w:val="22"/>
        </w:rPr>
        <w:t xml:space="preserve"> the execution, monitoring and evaluation of the program. The EA and the IDB have committed to carry out field visits according to a regular schedule to be agreed upon between the two parts (see Table 2.2 Monitoring Work Plan for an indicative schedule). </w:t>
      </w:r>
    </w:p>
    <w:p w14:paraId="735AD01C" w14:textId="77777777" w:rsidR="001408B7" w:rsidRPr="008E106E" w:rsidRDefault="001408B7" w:rsidP="001408B7">
      <w:pPr>
        <w:pStyle w:val="BodyText"/>
        <w:rPr>
          <w:rFonts w:ascii="Arial" w:hAnsi="Arial" w:cs="Arial"/>
          <w:sz w:val="22"/>
          <w:szCs w:val="22"/>
          <w:lang w:eastAsia="ja-JP"/>
        </w:rPr>
      </w:pPr>
      <w:r w:rsidRPr="008E106E">
        <w:rPr>
          <w:rFonts w:ascii="Arial" w:hAnsi="Arial" w:cs="Arial"/>
          <w:sz w:val="22"/>
          <w:szCs w:val="22"/>
          <w:lang w:eastAsia="ja-JP"/>
        </w:rPr>
        <w:t xml:space="preserve">Sources of information for monitoring the </w:t>
      </w:r>
      <w:r w:rsidR="00D77A6A" w:rsidRPr="008E106E">
        <w:rPr>
          <w:rFonts w:ascii="Arial" w:hAnsi="Arial" w:cs="Arial"/>
          <w:sz w:val="22"/>
          <w:szCs w:val="22"/>
          <w:lang w:eastAsia="ja-JP"/>
        </w:rPr>
        <w:t>Program</w:t>
      </w:r>
      <w:r w:rsidRPr="008E106E">
        <w:rPr>
          <w:rFonts w:ascii="Arial" w:hAnsi="Arial" w:cs="Arial"/>
          <w:sz w:val="22"/>
          <w:szCs w:val="22"/>
          <w:lang w:eastAsia="ja-JP"/>
        </w:rPr>
        <w:t xml:space="preserve"> include </w:t>
      </w:r>
      <w:r w:rsidR="00A52815" w:rsidRPr="008E106E">
        <w:rPr>
          <w:rFonts w:ascii="Arial" w:hAnsi="Arial" w:cs="Arial"/>
          <w:sz w:val="22"/>
          <w:szCs w:val="22"/>
          <w:lang w:eastAsia="ja-JP"/>
        </w:rPr>
        <w:t>EA semi-annual reports,</w:t>
      </w:r>
      <w:r w:rsidRPr="008E106E">
        <w:rPr>
          <w:rFonts w:ascii="Arial" w:hAnsi="Arial" w:cs="Arial"/>
          <w:sz w:val="22"/>
          <w:szCs w:val="22"/>
          <w:lang w:eastAsia="ja-JP"/>
        </w:rPr>
        <w:t xml:space="preserve"> IDB’s field inspections</w:t>
      </w:r>
      <w:r w:rsidR="00A52815" w:rsidRPr="008E106E">
        <w:rPr>
          <w:rFonts w:ascii="Arial" w:hAnsi="Arial" w:cs="Arial"/>
          <w:sz w:val="22"/>
          <w:szCs w:val="22"/>
          <w:lang w:eastAsia="ja-JP"/>
        </w:rPr>
        <w:t>, and EA administrative records and financial statements</w:t>
      </w:r>
      <w:r w:rsidRPr="008E106E">
        <w:rPr>
          <w:rFonts w:ascii="Arial" w:hAnsi="Arial" w:cs="Arial"/>
          <w:sz w:val="22"/>
          <w:szCs w:val="22"/>
          <w:lang w:eastAsia="ja-JP"/>
        </w:rPr>
        <w:t>. The EA will be responsible for providing administrative records</w:t>
      </w:r>
      <w:r w:rsidR="00A52815" w:rsidRPr="008E106E">
        <w:rPr>
          <w:rFonts w:ascii="Arial" w:hAnsi="Arial" w:cs="Arial"/>
          <w:sz w:val="22"/>
          <w:szCs w:val="22"/>
          <w:lang w:eastAsia="ja-JP"/>
        </w:rPr>
        <w:t>, financial statements,</w:t>
      </w:r>
      <w:r w:rsidRPr="008E106E">
        <w:rPr>
          <w:rFonts w:ascii="Arial" w:hAnsi="Arial" w:cs="Arial"/>
          <w:sz w:val="22"/>
          <w:szCs w:val="22"/>
          <w:lang w:eastAsia="ja-JP"/>
        </w:rPr>
        <w:t xml:space="preserve"> and reports, and will participate in the IDB’s field inspections</w:t>
      </w:r>
      <w:r w:rsidR="00A74465" w:rsidRPr="008E106E">
        <w:rPr>
          <w:rFonts w:ascii="Arial" w:hAnsi="Arial" w:cs="Arial"/>
          <w:sz w:val="22"/>
          <w:szCs w:val="22"/>
          <w:lang w:eastAsia="ja-JP"/>
        </w:rPr>
        <w:t>.</w:t>
      </w:r>
    </w:p>
    <w:p w14:paraId="7DEEAF30" w14:textId="77777777" w:rsidR="001408B7" w:rsidRPr="008E106E" w:rsidRDefault="001408B7" w:rsidP="003F0208">
      <w:pPr>
        <w:pStyle w:val="Heading2"/>
        <w:rPr>
          <w:rFonts w:ascii="Arial" w:hAnsi="Arial"/>
          <w:sz w:val="22"/>
          <w:szCs w:val="22"/>
          <w:lang w:eastAsia="ja-JP"/>
        </w:rPr>
      </w:pPr>
      <w:bookmarkStart w:id="31" w:name="_Toc531018656"/>
      <w:r w:rsidRPr="008E106E">
        <w:rPr>
          <w:rFonts w:ascii="Arial" w:hAnsi="Arial"/>
          <w:sz w:val="22"/>
          <w:szCs w:val="22"/>
          <w:lang w:eastAsia="ja-JP"/>
        </w:rPr>
        <w:t>Reporting Monitoring Results</w:t>
      </w:r>
      <w:bookmarkEnd w:id="31"/>
    </w:p>
    <w:p w14:paraId="48C3CFBB" w14:textId="38E00E98" w:rsidR="001408B7" w:rsidRPr="008E106E" w:rsidRDefault="00FE293B" w:rsidP="001408B7">
      <w:pPr>
        <w:pStyle w:val="BodyText"/>
        <w:rPr>
          <w:rFonts w:ascii="Arial" w:hAnsi="Arial" w:cs="Arial"/>
          <w:sz w:val="22"/>
          <w:szCs w:val="22"/>
          <w:lang w:eastAsia="ja-JP"/>
        </w:rPr>
      </w:pPr>
      <w:r w:rsidRPr="008E106E">
        <w:rPr>
          <w:rFonts w:ascii="Arial" w:hAnsi="Arial" w:cs="Arial"/>
          <w:sz w:val="22"/>
          <w:szCs w:val="22"/>
          <w:lang w:eastAsia="ja-JP"/>
        </w:rPr>
        <w:t>T</w:t>
      </w:r>
      <w:r w:rsidR="001408B7" w:rsidRPr="008E106E">
        <w:rPr>
          <w:rFonts w:ascii="Arial" w:hAnsi="Arial" w:cs="Arial"/>
          <w:sz w:val="22"/>
          <w:szCs w:val="22"/>
          <w:lang w:eastAsia="ja-JP"/>
        </w:rPr>
        <w:t>he IDB will use</w:t>
      </w:r>
      <w:r w:rsidRPr="008E106E">
        <w:rPr>
          <w:rFonts w:ascii="Arial" w:hAnsi="Arial" w:cs="Arial"/>
          <w:sz w:val="22"/>
          <w:szCs w:val="22"/>
          <w:lang w:eastAsia="ja-JP"/>
        </w:rPr>
        <w:t xml:space="preserve"> </w:t>
      </w:r>
      <w:r w:rsidR="00797CC5" w:rsidRPr="008E106E">
        <w:rPr>
          <w:rFonts w:ascii="Arial" w:hAnsi="Arial" w:cs="Arial"/>
          <w:sz w:val="22"/>
          <w:szCs w:val="22"/>
          <w:lang w:eastAsia="ja-JP"/>
        </w:rPr>
        <w:t>four</w:t>
      </w:r>
      <w:r w:rsidRPr="008E106E">
        <w:rPr>
          <w:rFonts w:ascii="Arial" w:hAnsi="Arial" w:cs="Arial"/>
          <w:sz w:val="22"/>
          <w:szCs w:val="22"/>
          <w:lang w:eastAsia="ja-JP"/>
        </w:rPr>
        <w:t xml:space="preserve"> instruments</w:t>
      </w:r>
      <w:r w:rsidR="001408B7" w:rsidRPr="008E106E">
        <w:rPr>
          <w:rFonts w:ascii="Arial" w:hAnsi="Arial" w:cs="Arial"/>
          <w:sz w:val="22"/>
          <w:szCs w:val="22"/>
          <w:lang w:eastAsia="ja-JP"/>
        </w:rPr>
        <w:t xml:space="preserve"> to monitor the Program’s progress </w:t>
      </w:r>
      <w:r w:rsidR="000C6D8C" w:rsidRPr="008E106E">
        <w:rPr>
          <w:rFonts w:ascii="Arial" w:hAnsi="Arial" w:cs="Arial"/>
          <w:sz w:val="22"/>
          <w:szCs w:val="22"/>
          <w:lang w:eastAsia="ja-JP"/>
        </w:rPr>
        <w:t xml:space="preserve">in completing </w:t>
      </w:r>
      <w:r w:rsidR="00A74465" w:rsidRPr="008E106E">
        <w:rPr>
          <w:rFonts w:ascii="Arial" w:hAnsi="Arial" w:cs="Arial"/>
          <w:sz w:val="22"/>
          <w:szCs w:val="22"/>
          <w:lang w:eastAsia="ja-JP"/>
        </w:rPr>
        <w:t xml:space="preserve">the expected </w:t>
      </w:r>
      <w:r w:rsidR="000C6D8C" w:rsidRPr="008E106E">
        <w:rPr>
          <w:rFonts w:ascii="Arial" w:hAnsi="Arial" w:cs="Arial"/>
          <w:sz w:val="22"/>
          <w:szCs w:val="22"/>
          <w:lang w:eastAsia="ja-JP"/>
        </w:rPr>
        <w:t>outputs</w:t>
      </w:r>
      <w:r w:rsidR="001408B7" w:rsidRPr="008E106E">
        <w:rPr>
          <w:rFonts w:ascii="Arial" w:hAnsi="Arial" w:cs="Arial"/>
          <w:sz w:val="22"/>
          <w:szCs w:val="22"/>
          <w:lang w:eastAsia="ja-JP"/>
        </w:rPr>
        <w:t>:</w:t>
      </w:r>
    </w:p>
    <w:p w14:paraId="1B050630" w14:textId="1E67AC1B" w:rsidR="001408B7" w:rsidRDefault="001408B7" w:rsidP="001408B7">
      <w:pPr>
        <w:pStyle w:val="ListBullet"/>
        <w:rPr>
          <w:rFonts w:ascii="Arial" w:hAnsi="Arial" w:cs="Arial"/>
          <w:sz w:val="22"/>
          <w:szCs w:val="22"/>
          <w:lang w:eastAsia="ja-JP"/>
        </w:rPr>
      </w:pPr>
      <w:r w:rsidRPr="008E106E">
        <w:rPr>
          <w:rFonts w:ascii="Arial" w:hAnsi="Arial" w:cs="Arial"/>
          <w:sz w:val="22"/>
          <w:szCs w:val="22"/>
          <w:lang w:eastAsia="ja-JP"/>
        </w:rPr>
        <w:t xml:space="preserve">Semi-annual </w:t>
      </w:r>
      <w:r w:rsidR="0082179B" w:rsidRPr="008E106E">
        <w:rPr>
          <w:rFonts w:ascii="Arial" w:hAnsi="Arial" w:cs="Arial"/>
          <w:sz w:val="22"/>
          <w:szCs w:val="22"/>
          <w:lang w:eastAsia="ja-JP"/>
        </w:rPr>
        <w:t>progress r</w:t>
      </w:r>
      <w:r w:rsidRPr="008E106E">
        <w:rPr>
          <w:rFonts w:ascii="Arial" w:hAnsi="Arial" w:cs="Arial"/>
          <w:sz w:val="22"/>
          <w:szCs w:val="22"/>
          <w:lang w:eastAsia="ja-JP"/>
        </w:rPr>
        <w:t>eports</w:t>
      </w:r>
      <w:r w:rsidR="0082179B" w:rsidRPr="008E106E">
        <w:rPr>
          <w:rFonts w:ascii="Arial" w:hAnsi="Arial" w:cs="Arial"/>
          <w:sz w:val="22"/>
          <w:szCs w:val="22"/>
          <w:lang w:eastAsia="ja-JP"/>
        </w:rPr>
        <w:t xml:space="preserve"> (SAPR)</w:t>
      </w:r>
    </w:p>
    <w:p w14:paraId="0A423B96" w14:textId="386F6794" w:rsidR="000B28D5" w:rsidRPr="008E106E" w:rsidRDefault="000B28D5" w:rsidP="001408B7">
      <w:pPr>
        <w:pStyle w:val="ListBullet"/>
        <w:rPr>
          <w:rFonts w:ascii="Arial" w:hAnsi="Arial" w:cs="Arial"/>
          <w:sz w:val="22"/>
          <w:szCs w:val="22"/>
          <w:lang w:eastAsia="ja-JP"/>
        </w:rPr>
      </w:pPr>
      <w:r>
        <w:rPr>
          <w:rFonts w:ascii="Arial" w:hAnsi="Arial" w:cs="Arial"/>
          <w:sz w:val="22"/>
          <w:szCs w:val="22"/>
          <w:lang w:eastAsia="ja-JP"/>
        </w:rPr>
        <w:t xml:space="preserve">Annual </w:t>
      </w:r>
      <w:r w:rsidR="00745421">
        <w:rPr>
          <w:rFonts w:ascii="Arial" w:hAnsi="Arial" w:cs="Arial"/>
          <w:sz w:val="22"/>
          <w:szCs w:val="22"/>
          <w:lang w:eastAsia="ja-JP"/>
        </w:rPr>
        <w:t xml:space="preserve">progress </w:t>
      </w:r>
      <w:r>
        <w:rPr>
          <w:rFonts w:ascii="Arial" w:hAnsi="Arial" w:cs="Arial"/>
          <w:sz w:val="22"/>
          <w:szCs w:val="22"/>
          <w:lang w:eastAsia="ja-JP"/>
        </w:rPr>
        <w:t>reports</w:t>
      </w:r>
      <w:r w:rsidR="00745421">
        <w:rPr>
          <w:rFonts w:ascii="Arial" w:hAnsi="Arial" w:cs="Arial"/>
          <w:sz w:val="22"/>
          <w:szCs w:val="22"/>
          <w:lang w:eastAsia="ja-JP"/>
        </w:rPr>
        <w:t xml:space="preserve"> (APR)</w:t>
      </w:r>
    </w:p>
    <w:p w14:paraId="69BD57EB" w14:textId="35CCC0DD" w:rsidR="00EF18DC" w:rsidRPr="008E106E" w:rsidRDefault="00092854" w:rsidP="001408B7">
      <w:pPr>
        <w:pStyle w:val="ListBullet"/>
        <w:rPr>
          <w:rFonts w:ascii="Arial" w:hAnsi="Arial" w:cs="Arial"/>
          <w:sz w:val="22"/>
          <w:szCs w:val="22"/>
          <w:lang w:eastAsia="ja-JP"/>
        </w:rPr>
      </w:pPr>
      <w:r w:rsidRPr="008E106E">
        <w:rPr>
          <w:rFonts w:ascii="Arial" w:hAnsi="Arial" w:cs="Arial"/>
          <w:sz w:val="22"/>
          <w:szCs w:val="22"/>
          <w:lang w:eastAsia="ja-JP"/>
        </w:rPr>
        <w:t>Due D</w:t>
      </w:r>
      <w:r w:rsidR="00EF18DC" w:rsidRPr="008E106E">
        <w:rPr>
          <w:rFonts w:ascii="Arial" w:hAnsi="Arial" w:cs="Arial"/>
          <w:sz w:val="22"/>
          <w:szCs w:val="22"/>
          <w:lang w:eastAsia="ja-JP"/>
        </w:rPr>
        <w:t xml:space="preserve">iligence </w:t>
      </w:r>
      <w:r w:rsidR="007F396C" w:rsidRPr="008E106E">
        <w:rPr>
          <w:rFonts w:ascii="Arial" w:hAnsi="Arial" w:cs="Arial"/>
          <w:sz w:val="22"/>
          <w:szCs w:val="22"/>
          <w:lang w:eastAsia="ja-JP"/>
        </w:rPr>
        <w:t xml:space="preserve">and Annual Supervision </w:t>
      </w:r>
      <w:r w:rsidR="00DD6C16" w:rsidRPr="008E106E">
        <w:rPr>
          <w:rFonts w:ascii="Arial" w:hAnsi="Arial" w:cs="Arial"/>
          <w:sz w:val="22"/>
          <w:szCs w:val="22"/>
          <w:lang w:eastAsia="ja-JP"/>
        </w:rPr>
        <w:t>M</w:t>
      </w:r>
      <w:r w:rsidR="00EF18DC" w:rsidRPr="008E106E">
        <w:rPr>
          <w:rFonts w:ascii="Arial" w:hAnsi="Arial" w:cs="Arial"/>
          <w:sz w:val="22"/>
          <w:szCs w:val="22"/>
          <w:lang w:eastAsia="ja-JP"/>
        </w:rPr>
        <w:t xml:space="preserve">issions </w:t>
      </w:r>
    </w:p>
    <w:p w14:paraId="5631874A" w14:textId="77777777" w:rsidR="00092854" w:rsidRPr="008E106E" w:rsidRDefault="00092854" w:rsidP="00092854">
      <w:pPr>
        <w:pStyle w:val="ListBullet"/>
        <w:rPr>
          <w:rFonts w:ascii="Arial" w:hAnsi="Arial" w:cs="Arial"/>
          <w:sz w:val="22"/>
          <w:szCs w:val="22"/>
          <w:lang w:eastAsia="ja-JP"/>
        </w:rPr>
      </w:pPr>
      <w:r w:rsidRPr="008E106E">
        <w:rPr>
          <w:rFonts w:ascii="Arial" w:hAnsi="Arial" w:cs="Arial"/>
          <w:sz w:val="22"/>
          <w:szCs w:val="22"/>
          <w:lang w:eastAsia="ja-JP"/>
        </w:rPr>
        <w:t>Field Inspections</w:t>
      </w:r>
    </w:p>
    <w:p w14:paraId="4D30FAB4" w14:textId="7F06F7BD" w:rsidR="001408B7" w:rsidRPr="008E106E" w:rsidRDefault="00894A42" w:rsidP="001408B7">
      <w:pPr>
        <w:pStyle w:val="ListBullet"/>
        <w:rPr>
          <w:rFonts w:ascii="Arial" w:hAnsi="Arial" w:cs="Arial"/>
          <w:sz w:val="22"/>
          <w:szCs w:val="22"/>
          <w:lang w:eastAsia="ja-JP"/>
        </w:rPr>
      </w:pPr>
      <w:r w:rsidRPr="008E106E">
        <w:rPr>
          <w:rFonts w:ascii="Arial" w:hAnsi="Arial" w:cs="Arial"/>
          <w:sz w:val="22"/>
          <w:szCs w:val="22"/>
          <w:lang w:eastAsia="ja-JP"/>
        </w:rPr>
        <w:t xml:space="preserve">Audited </w:t>
      </w:r>
      <w:r w:rsidR="00730F7C">
        <w:rPr>
          <w:rFonts w:ascii="Arial" w:hAnsi="Arial" w:cs="Arial"/>
          <w:sz w:val="22"/>
          <w:szCs w:val="22"/>
          <w:lang w:eastAsia="ja-JP"/>
        </w:rPr>
        <w:t xml:space="preserve">and Unaudited </w:t>
      </w:r>
      <w:r w:rsidRPr="008E106E">
        <w:rPr>
          <w:rFonts w:ascii="Arial" w:hAnsi="Arial" w:cs="Arial"/>
          <w:sz w:val="22"/>
          <w:szCs w:val="22"/>
          <w:lang w:eastAsia="ja-JP"/>
        </w:rPr>
        <w:t>Financial Statements</w:t>
      </w:r>
      <w:r w:rsidR="003C48E9" w:rsidRPr="008E106E">
        <w:rPr>
          <w:rFonts w:ascii="Arial" w:hAnsi="Arial" w:cs="Arial"/>
          <w:sz w:val="22"/>
          <w:szCs w:val="22"/>
          <w:lang w:eastAsia="ja-JP"/>
        </w:rPr>
        <w:t>.</w:t>
      </w:r>
      <w:r w:rsidR="001408B7" w:rsidRPr="008E106E">
        <w:rPr>
          <w:rFonts w:ascii="Arial" w:hAnsi="Arial" w:cs="Arial"/>
          <w:sz w:val="22"/>
          <w:szCs w:val="22"/>
          <w:lang w:eastAsia="ja-JP"/>
        </w:rPr>
        <w:t xml:space="preserve"> </w:t>
      </w:r>
    </w:p>
    <w:p w14:paraId="6B0EA766" w14:textId="77777777" w:rsidR="001408B7" w:rsidRPr="008E106E" w:rsidRDefault="001408B7" w:rsidP="001408B7">
      <w:pPr>
        <w:pStyle w:val="BodyText"/>
        <w:rPr>
          <w:rFonts w:ascii="Arial" w:hAnsi="Arial" w:cs="Arial"/>
          <w:sz w:val="22"/>
          <w:szCs w:val="22"/>
        </w:rPr>
      </w:pPr>
      <w:r w:rsidRPr="008E106E">
        <w:rPr>
          <w:rFonts w:ascii="Arial" w:hAnsi="Arial" w:cs="Arial"/>
          <w:sz w:val="22"/>
          <w:szCs w:val="22"/>
          <w:lang w:eastAsia="ja-JP"/>
        </w:rPr>
        <w:t>For each instrument, the remainder of this section describes</w:t>
      </w:r>
      <w:r w:rsidR="00A22D32" w:rsidRPr="008E106E">
        <w:rPr>
          <w:rFonts w:ascii="Arial" w:hAnsi="Arial" w:cs="Arial"/>
          <w:sz w:val="22"/>
          <w:szCs w:val="22"/>
          <w:lang w:eastAsia="ja-JP"/>
        </w:rPr>
        <w:t xml:space="preserve"> the instrument, and explains who is responsible for preparing it, when it should be submitted or carried out, its </w:t>
      </w:r>
      <w:r w:rsidR="00216E71" w:rsidRPr="008E106E">
        <w:rPr>
          <w:rFonts w:ascii="Arial" w:hAnsi="Arial" w:cs="Arial"/>
          <w:sz w:val="22"/>
          <w:szCs w:val="22"/>
        </w:rPr>
        <w:t>purpose</w:t>
      </w:r>
      <w:r w:rsidR="00A22D32" w:rsidRPr="008E106E">
        <w:rPr>
          <w:rFonts w:ascii="Arial" w:hAnsi="Arial" w:cs="Arial"/>
          <w:sz w:val="22"/>
          <w:szCs w:val="22"/>
        </w:rPr>
        <w:t xml:space="preserve">, and its </w:t>
      </w:r>
      <w:r w:rsidRPr="008E106E">
        <w:rPr>
          <w:rFonts w:ascii="Arial" w:hAnsi="Arial" w:cs="Arial"/>
          <w:sz w:val="22"/>
          <w:szCs w:val="22"/>
        </w:rPr>
        <w:t>content</w:t>
      </w:r>
      <w:r w:rsidR="00216E71" w:rsidRPr="008E106E">
        <w:rPr>
          <w:rFonts w:ascii="Arial" w:hAnsi="Arial" w:cs="Arial"/>
          <w:sz w:val="22"/>
          <w:szCs w:val="22"/>
        </w:rPr>
        <w:t>.</w:t>
      </w:r>
    </w:p>
    <w:p w14:paraId="2C38F65B" w14:textId="059A1A71" w:rsidR="001408B7" w:rsidRPr="008E106E" w:rsidRDefault="001408B7" w:rsidP="00261A1C">
      <w:pPr>
        <w:pStyle w:val="Heading3"/>
        <w:rPr>
          <w:rFonts w:ascii="Arial" w:hAnsi="Arial"/>
          <w:sz w:val="22"/>
          <w:szCs w:val="22"/>
          <w:lang w:eastAsia="ja-JP"/>
        </w:rPr>
      </w:pPr>
      <w:bookmarkStart w:id="32" w:name="_Toc531018657"/>
      <w:r w:rsidRPr="008E106E">
        <w:rPr>
          <w:rFonts w:ascii="Arial" w:hAnsi="Arial"/>
          <w:sz w:val="22"/>
          <w:szCs w:val="22"/>
          <w:lang w:eastAsia="ja-JP"/>
        </w:rPr>
        <w:t xml:space="preserve">Semi-Annual </w:t>
      </w:r>
      <w:r w:rsidR="0082179B" w:rsidRPr="008E106E">
        <w:rPr>
          <w:rFonts w:ascii="Arial" w:hAnsi="Arial"/>
          <w:sz w:val="22"/>
          <w:szCs w:val="22"/>
          <w:lang w:eastAsia="ja-JP"/>
        </w:rPr>
        <w:t xml:space="preserve">Progress </w:t>
      </w:r>
      <w:r w:rsidRPr="008E106E">
        <w:rPr>
          <w:rFonts w:ascii="Arial" w:hAnsi="Arial"/>
          <w:sz w:val="22"/>
          <w:szCs w:val="22"/>
          <w:lang w:eastAsia="ja-JP"/>
        </w:rPr>
        <w:t>Reports</w:t>
      </w:r>
      <w:r w:rsidR="0082179B" w:rsidRPr="008E106E">
        <w:rPr>
          <w:rFonts w:ascii="Arial" w:hAnsi="Arial"/>
          <w:sz w:val="22"/>
          <w:szCs w:val="22"/>
          <w:lang w:eastAsia="ja-JP"/>
        </w:rPr>
        <w:t xml:space="preserve"> (SAPR)</w:t>
      </w:r>
      <w:bookmarkEnd w:id="32"/>
    </w:p>
    <w:p w14:paraId="204FD61B" w14:textId="2DA41C6D" w:rsidR="002446CD" w:rsidRPr="008E106E" w:rsidRDefault="00DE20B8" w:rsidP="00E35EC2">
      <w:pPr>
        <w:pStyle w:val="BodyText"/>
        <w:rPr>
          <w:rFonts w:ascii="Arial" w:hAnsi="Arial" w:cs="Arial"/>
          <w:sz w:val="22"/>
          <w:szCs w:val="22"/>
        </w:rPr>
      </w:pPr>
      <w:r w:rsidRPr="008E106E">
        <w:rPr>
          <w:rFonts w:ascii="Arial" w:hAnsi="Arial" w:cs="Arial"/>
          <w:sz w:val="22"/>
          <w:szCs w:val="22"/>
        </w:rPr>
        <w:t xml:space="preserve">Semi-Annual </w:t>
      </w:r>
      <w:r w:rsidR="0082179B" w:rsidRPr="008E106E">
        <w:rPr>
          <w:rFonts w:ascii="Arial" w:hAnsi="Arial" w:cs="Arial"/>
          <w:sz w:val="22"/>
          <w:szCs w:val="22"/>
        </w:rPr>
        <w:t xml:space="preserve">Progress </w:t>
      </w:r>
      <w:r w:rsidRPr="008E106E">
        <w:rPr>
          <w:rFonts w:ascii="Arial" w:hAnsi="Arial" w:cs="Arial"/>
          <w:sz w:val="22"/>
          <w:szCs w:val="22"/>
        </w:rPr>
        <w:t xml:space="preserve">Reports </w:t>
      </w:r>
      <w:r w:rsidR="0082179B" w:rsidRPr="008E106E">
        <w:rPr>
          <w:rFonts w:ascii="Arial" w:hAnsi="Arial" w:cs="Arial"/>
          <w:sz w:val="22"/>
          <w:szCs w:val="22"/>
        </w:rPr>
        <w:t xml:space="preserve">(SAPR) </w:t>
      </w:r>
      <w:r w:rsidRPr="008E106E">
        <w:rPr>
          <w:rFonts w:ascii="Arial" w:hAnsi="Arial" w:cs="Arial"/>
          <w:sz w:val="22"/>
          <w:szCs w:val="22"/>
        </w:rPr>
        <w:t xml:space="preserve">are designed to monitor </w:t>
      </w:r>
      <w:r w:rsidR="00E35EC2" w:rsidRPr="008E106E">
        <w:rPr>
          <w:rFonts w:ascii="Arial" w:hAnsi="Arial" w:cs="Arial"/>
          <w:sz w:val="22"/>
          <w:szCs w:val="22"/>
        </w:rPr>
        <w:t xml:space="preserve">the progress in implementing </w:t>
      </w:r>
      <w:r w:rsidRPr="008E106E">
        <w:rPr>
          <w:rFonts w:ascii="Arial" w:hAnsi="Arial" w:cs="Arial"/>
          <w:sz w:val="22"/>
          <w:szCs w:val="22"/>
        </w:rPr>
        <w:t xml:space="preserve">the </w:t>
      </w:r>
      <w:r w:rsidR="0059002C" w:rsidRPr="008E106E">
        <w:rPr>
          <w:rFonts w:ascii="Arial" w:hAnsi="Arial" w:cs="Arial"/>
          <w:sz w:val="22"/>
          <w:szCs w:val="22"/>
        </w:rPr>
        <w:t xml:space="preserve">EE </w:t>
      </w:r>
      <w:r w:rsidRPr="008E106E">
        <w:rPr>
          <w:rFonts w:ascii="Arial" w:hAnsi="Arial" w:cs="Arial"/>
          <w:sz w:val="22"/>
          <w:szCs w:val="22"/>
        </w:rPr>
        <w:t xml:space="preserve">and </w:t>
      </w:r>
      <w:r w:rsidR="0059002C" w:rsidRPr="008E106E">
        <w:rPr>
          <w:rFonts w:ascii="Arial" w:hAnsi="Arial" w:cs="Arial"/>
          <w:sz w:val="22"/>
          <w:szCs w:val="22"/>
        </w:rPr>
        <w:t>RE</w:t>
      </w:r>
      <w:r w:rsidRPr="008E106E">
        <w:rPr>
          <w:rFonts w:ascii="Arial" w:hAnsi="Arial" w:cs="Arial"/>
          <w:sz w:val="22"/>
          <w:szCs w:val="22"/>
        </w:rPr>
        <w:t xml:space="preserve"> </w:t>
      </w:r>
      <w:r w:rsidR="00E35EC2" w:rsidRPr="008E106E">
        <w:rPr>
          <w:rFonts w:ascii="Arial" w:hAnsi="Arial" w:cs="Arial"/>
          <w:sz w:val="22"/>
          <w:szCs w:val="22"/>
        </w:rPr>
        <w:t>projects</w:t>
      </w:r>
      <w:r w:rsidRPr="008E106E">
        <w:rPr>
          <w:rFonts w:ascii="Arial" w:hAnsi="Arial" w:cs="Arial"/>
          <w:sz w:val="22"/>
          <w:szCs w:val="22"/>
        </w:rPr>
        <w:t xml:space="preserve"> and </w:t>
      </w:r>
      <w:r w:rsidR="00E35EC2" w:rsidRPr="008E106E">
        <w:rPr>
          <w:rFonts w:ascii="Arial" w:hAnsi="Arial" w:cs="Arial"/>
          <w:sz w:val="22"/>
          <w:szCs w:val="22"/>
        </w:rPr>
        <w:t>the technical assistance funded</w:t>
      </w:r>
      <w:r w:rsidR="007D2EBF" w:rsidRPr="008E106E">
        <w:rPr>
          <w:rFonts w:ascii="Arial" w:hAnsi="Arial" w:cs="Arial"/>
          <w:sz w:val="22"/>
          <w:szCs w:val="22"/>
        </w:rPr>
        <w:t xml:space="preserve"> by SEF-2015</w:t>
      </w:r>
      <w:r w:rsidR="0082179B" w:rsidRPr="008E106E">
        <w:rPr>
          <w:rFonts w:ascii="Arial" w:hAnsi="Arial" w:cs="Arial"/>
          <w:sz w:val="22"/>
          <w:szCs w:val="22"/>
        </w:rPr>
        <w:t>,</w:t>
      </w:r>
      <w:r w:rsidR="007D2EBF" w:rsidRPr="008E106E">
        <w:rPr>
          <w:rFonts w:ascii="Arial" w:hAnsi="Arial" w:cs="Arial"/>
          <w:sz w:val="22"/>
          <w:szCs w:val="22"/>
        </w:rPr>
        <w:t xml:space="preserve"> and the GE projects and technical assistance funded by SEF-Expanded</w:t>
      </w:r>
      <w:r w:rsidR="00E35EC2" w:rsidRPr="008E106E">
        <w:rPr>
          <w:rFonts w:ascii="Arial" w:hAnsi="Arial" w:cs="Arial"/>
          <w:sz w:val="22"/>
          <w:szCs w:val="22"/>
        </w:rPr>
        <w:t xml:space="preserve"> and measure their impact through various indicators.</w:t>
      </w:r>
      <w:r w:rsidRPr="008E106E">
        <w:rPr>
          <w:rFonts w:ascii="Arial" w:hAnsi="Arial" w:cs="Arial"/>
          <w:sz w:val="22"/>
          <w:szCs w:val="22"/>
        </w:rPr>
        <w:t xml:space="preserve"> The </w:t>
      </w:r>
      <w:r w:rsidR="00E35EC2" w:rsidRPr="008E106E">
        <w:rPr>
          <w:rFonts w:ascii="Arial" w:hAnsi="Arial" w:cs="Arial"/>
          <w:sz w:val="22"/>
          <w:szCs w:val="22"/>
        </w:rPr>
        <w:t xml:space="preserve">EA </w:t>
      </w:r>
      <w:r w:rsidRPr="008E106E">
        <w:rPr>
          <w:rFonts w:ascii="Arial" w:hAnsi="Arial" w:cs="Arial"/>
          <w:sz w:val="22"/>
          <w:szCs w:val="22"/>
        </w:rPr>
        <w:t>is responsible f</w:t>
      </w:r>
      <w:r w:rsidR="00E35EC2" w:rsidRPr="008E106E">
        <w:rPr>
          <w:rFonts w:ascii="Arial" w:hAnsi="Arial" w:cs="Arial"/>
          <w:sz w:val="22"/>
          <w:szCs w:val="22"/>
        </w:rPr>
        <w:t>or preparing them, with input from the</w:t>
      </w:r>
      <w:r w:rsidRPr="008E106E">
        <w:rPr>
          <w:rFonts w:ascii="Arial" w:hAnsi="Arial" w:cs="Arial"/>
          <w:sz w:val="22"/>
          <w:szCs w:val="22"/>
        </w:rPr>
        <w:t xml:space="preserve"> </w:t>
      </w:r>
      <w:r w:rsidR="00A5323B" w:rsidRPr="008E106E">
        <w:rPr>
          <w:rFonts w:ascii="Arial" w:hAnsi="Arial" w:cs="Arial"/>
          <w:sz w:val="22"/>
          <w:szCs w:val="22"/>
        </w:rPr>
        <w:t xml:space="preserve">Governments, private sponsors, utilities, and projects in </w:t>
      </w:r>
      <w:r w:rsidR="0082179B" w:rsidRPr="008E106E">
        <w:rPr>
          <w:rFonts w:ascii="Arial" w:hAnsi="Arial" w:cs="Arial"/>
          <w:sz w:val="22"/>
          <w:szCs w:val="22"/>
        </w:rPr>
        <w:t xml:space="preserve">the </w:t>
      </w:r>
      <w:r w:rsidR="00A5323B" w:rsidRPr="008E106E">
        <w:rPr>
          <w:rFonts w:ascii="Arial" w:hAnsi="Arial" w:cs="Arial"/>
          <w:sz w:val="22"/>
          <w:szCs w:val="22"/>
        </w:rPr>
        <w:t>EC</w:t>
      </w:r>
      <w:r w:rsidR="0082179B" w:rsidRPr="008E106E">
        <w:rPr>
          <w:rFonts w:ascii="Arial" w:hAnsi="Arial" w:cs="Arial"/>
          <w:sz w:val="22"/>
          <w:szCs w:val="22"/>
        </w:rPr>
        <w:t>C</w:t>
      </w:r>
      <w:r w:rsidR="00E35EC2" w:rsidRPr="008E106E">
        <w:rPr>
          <w:rFonts w:ascii="Arial" w:hAnsi="Arial" w:cs="Arial"/>
          <w:sz w:val="22"/>
          <w:szCs w:val="22"/>
        </w:rPr>
        <w:t xml:space="preserve">. </w:t>
      </w:r>
      <w:r w:rsidRPr="008E106E">
        <w:rPr>
          <w:rFonts w:ascii="Arial" w:hAnsi="Arial" w:cs="Arial"/>
          <w:sz w:val="22"/>
          <w:szCs w:val="22"/>
        </w:rPr>
        <w:t xml:space="preserve">The IDB is responsible for reviewing the </w:t>
      </w:r>
      <w:r w:rsidR="0082179B" w:rsidRPr="008E106E">
        <w:rPr>
          <w:rFonts w:ascii="Arial" w:hAnsi="Arial" w:cs="Arial"/>
          <w:sz w:val="22"/>
          <w:szCs w:val="22"/>
        </w:rPr>
        <w:t>SAPR</w:t>
      </w:r>
      <w:r w:rsidRPr="008E106E">
        <w:rPr>
          <w:rFonts w:ascii="Arial" w:hAnsi="Arial" w:cs="Arial"/>
          <w:sz w:val="22"/>
          <w:szCs w:val="22"/>
        </w:rPr>
        <w:t xml:space="preserve"> and giving its non-objection. As their name suggests, these reports are due every six months.</w:t>
      </w:r>
      <w:r w:rsidR="002446CD" w:rsidRPr="008E106E">
        <w:rPr>
          <w:rFonts w:ascii="Arial" w:hAnsi="Arial" w:cs="Arial"/>
          <w:sz w:val="22"/>
          <w:szCs w:val="22"/>
        </w:rPr>
        <w:t xml:space="preserve"> The EA will deliver the reports within 60 calendar days after the end of each </w:t>
      </w:r>
      <w:r w:rsidR="0093137E" w:rsidRPr="008E106E">
        <w:rPr>
          <w:rFonts w:ascii="Arial" w:hAnsi="Arial" w:cs="Arial"/>
          <w:sz w:val="22"/>
          <w:szCs w:val="22"/>
        </w:rPr>
        <w:t>semester</w:t>
      </w:r>
      <w:r w:rsidR="002446CD" w:rsidRPr="008E106E">
        <w:rPr>
          <w:rFonts w:ascii="Arial" w:hAnsi="Arial" w:cs="Arial"/>
          <w:sz w:val="22"/>
          <w:szCs w:val="22"/>
        </w:rPr>
        <w:t xml:space="preserve">. </w:t>
      </w:r>
    </w:p>
    <w:p w14:paraId="31D58381" w14:textId="77777777" w:rsidR="00DE20B8" w:rsidRPr="008E106E" w:rsidRDefault="00DE20B8" w:rsidP="00DE20B8">
      <w:pPr>
        <w:pStyle w:val="Subheading"/>
        <w:rPr>
          <w:rFonts w:ascii="Arial" w:hAnsi="Arial" w:cs="Arial"/>
          <w:sz w:val="22"/>
          <w:szCs w:val="22"/>
        </w:rPr>
      </w:pPr>
      <w:r w:rsidRPr="008E106E">
        <w:rPr>
          <w:rFonts w:ascii="Arial" w:hAnsi="Arial" w:cs="Arial"/>
          <w:sz w:val="22"/>
          <w:szCs w:val="22"/>
        </w:rPr>
        <w:t>Purpose</w:t>
      </w:r>
    </w:p>
    <w:p w14:paraId="6722C075" w14:textId="0A7EF767" w:rsidR="00DE20B8" w:rsidRPr="008E106E" w:rsidRDefault="00DE20B8" w:rsidP="00DE20B8">
      <w:pPr>
        <w:pStyle w:val="BodyText"/>
        <w:rPr>
          <w:rFonts w:ascii="Arial" w:hAnsi="Arial" w:cs="Arial"/>
          <w:sz w:val="22"/>
          <w:szCs w:val="22"/>
        </w:rPr>
      </w:pPr>
      <w:r w:rsidRPr="008E106E">
        <w:rPr>
          <w:rFonts w:ascii="Arial" w:hAnsi="Arial" w:cs="Arial"/>
          <w:sz w:val="22"/>
          <w:szCs w:val="22"/>
        </w:rPr>
        <w:t xml:space="preserve">The purpose of the Semi-Annual Reports is to track the </w:t>
      </w:r>
      <w:r w:rsidR="00E35EC2" w:rsidRPr="008E106E">
        <w:rPr>
          <w:rFonts w:ascii="Arial" w:hAnsi="Arial" w:cs="Arial"/>
          <w:sz w:val="22"/>
          <w:szCs w:val="22"/>
        </w:rPr>
        <w:t>Program’s</w:t>
      </w:r>
      <w:r w:rsidRPr="008E106E">
        <w:rPr>
          <w:rFonts w:ascii="Arial" w:hAnsi="Arial" w:cs="Arial"/>
          <w:sz w:val="22"/>
          <w:szCs w:val="22"/>
        </w:rPr>
        <w:t xml:space="preserve"> progress towards</w:t>
      </w:r>
      <w:r w:rsidR="001002B5" w:rsidRPr="008E106E">
        <w:rPr>
          <w:rFonts w:ascii="Arial" w:hAnsi="Arial" w:cs="Arial"/>
          <w:sz w:val="22"/>
          <w:szCs w:val="22"/>
        </w:rPr>
        <w:t xml:space="preserve"> the</w:t>
      </w:r>
      <w:r w:rsidRPr="008E106E">
        <w:rPr>
          <w:rFonts w:ascii="Arial" w:hAnsi="Arial" w:cs="Arial"/>
          <w:sz w:val="22"/>
          <w:szCs w:val="22"/>
        </w:rPr>
        <w:t xml:space="preserve"> targets </w:t>
      </w:r>
      <w:r w:rsidR="001002B5" w:rsidRPr="008E106E">
        <w:rPr>
          <w:rFonts w:ascii="Arial" w:hAnsi="Arial" w:cs="Arial"/>
          <w:sz w:val="22"/>
          <w:szCs w:val="22"/>
        </w:rPr>
        <w:t xml:space="preserve">established for the </w:t>
      </w:r>
      <w:r w:rsidR="00EB69F1" w:rsidRPr="008E106E">
        <w:rPr>
          <w:rFonts w:ascii="Arial" w:hAnsi="Arial" w:cs="Arial"/>
          <w:sz w:val="22"/>
          <w:szCs w:val="22"/>
        </w:rPr>
        <w:t xml:space="preserve">output </w:t>
      </w:r>
      <w:r w:rsidR="007939BD" w:rsidRPr="008E106E">
        <w:rPr>
          <w:rFonts w:ascii="Arial" w:hAnsi="Arial" w:cs="Arial"/>
          <w:sz w:val="22"/>
          <w:szCs w:val="22"/>
        </w:rPr>
        <w:t xml:space="preserve">indicator described in Section </w:t>
      </w:r>
      <w:r w:rsidR="007939BD" w:rsidRPr="008E106E">
        <w:rPr>
          <w:rFonts w:ascii="Arial" w:hAnsi="Arial" w:cs="Arial"/>
          <w:sz w:val="22"/>
          <w:szCs w:val="22"/>
        </w:rPr>
        <w:fldChar w:fldCharType="begin"/>
      </w:r>
      <w:r w:rsidR="007939BD" w:rsidRPr="008E106E">
        <w:rPr>
          <w:rFonts w:ascii="Arial" w:hAnsi="Arial" w:cs="Arial"/>
          <w:sz w:val="22"/>
          <w:szCs w:val="22"/>
        </w:rPr>
        <w:instrText xml:space="preserve"> REF _Ref422239841 \r \h </w:instrText>
      </w:r>
      <w:r w:rsidR="00616B9B" w:rsidRPr="008E106E">
        <w:rPr>
          <w:rFonts w:ascii="Arial" w:hAnsi="Arial" w:cs="Arial"/>
          <w:sz w:val="22"/>
          <w:szCs w:val="22"/>
        </w:rPr>
        <w:instrText xml:space="preserve"> \* MERGEFORMAT </w:instrText>
      </w:r>
      <w:r w:rsidR="007939BD" w:rsidRPr="008E106E">
        <w:rPr>
          <w:rFonts w:ascii="Arial" w:hAnsi="Arial" w:cs="Arial"/>
          <w:sz w:val="22"/>
          <w:szCs w:val="22"/>
        </w:rPr>
      </w:r>
      <w:r w:rsidR="007939BD" w:rsidRPr="008E106E">
        <w:rPr>
          <w:rFonts w:ascii="Arial" w:hAnsi="Arial" w:cs="Arial"/>
          <w:sz w:val="22"/>
          <w:szCs w:val="22"/>
        </w:rPr>
        <w:fldChar w:fldCharType="separate"/>
      </w:r>
      <w:r w:rsidR="00B75A47" w:rsidRPr="008E106E">
        <w:rPr>
          <w:rFonts w:ascii="Arial" w:hAnsi="Arial" w:cs="Arial"/>
          <w:sz w:val="22"/>
          <w:szCs w:val="22"/>
        </w:rPr>
        <w:t>2.1</w:t>
      </w:r>
      <w:r w:rsidR="007939BD" w:rsidRPr="008E106E">
        <w:rPr>
          <w:rFonts w:ascii="Arial" w:hAnsi="Arial" w:cs="Arial"/>
          <w:sz w:val="22"/>
          <w:szCs w:val="22"/>
        </w:rPr>
        <w:fldChar w:fldCharType="end"/>
      </w:r>
      <w:r w:rsidR="007939BD" w:rsidRPr="008E106E">
        <w:rPr>
          <w:rFonts w:ascii="Arial" w:hAnsi="Arial" w:cs="Arial"/>
          <w:sz w:val="22"/>
          <w:szCs w:val="22"/>
        </w:rPr>
        <w:t xml:space="preserve"> and the </w:t>
      </w:r>
      <w:r w:rsidR="00EB69F1" w:rsidRPr="008E106E">
        <w:rPr>
          <w:rFonts w:ascii="Arial" w:hAnsi="Arial" w:cs="Arial"/>
          <w:sz w:val="22"/>
          <w:szCs w:val="22"/>
        </w:rPr>
        <w:t xml:space="preserve">results indicators included Section </w:t>
      </w:r>
      <w:r w:rsidR="00EB69F1" w:rsidRPr="008E106E">
        <w:rPr>
          <w:rFonts w:ascii="Arial" w:hAnsi="Arial" w:cs="Arial"/>
          <w:sz w:val="22"/>
          <w:szCs w:val="22"/>
        </w:rPr>
        <w:fldChar w:fldCharType="begin"/>
      </w:r>
      <w:r w:rsidR="00EB69F1" w:rsidRPr="008E106E">
        <w:rPr>
          <w:rFonts w:ascii="Arial" w:hAnsi="Arial" w:cs="Arial"/>
          <w:sz w:val="22"/>
          <w:szCs w:val="22"/>
        </w:rPr>
        <w:instrText xml:space="preserve"> REF _Ref422463875 \r \h </w:instrText>
      </w:r>
      <w:r w:rsidR="00616B9B" w:rsidRPr="008E106E">
        <w:rPr>
          <w:rFonts w:ascii="Arial" w:hAnsi="Arial" w:cs="Arial"/>
          <w:sz w:val="22"/>
          <w:szCs w:val="22"/>
        </w:rPr>
        <w:instrText xml:space="preserve"> \* MERGEFORMAT </w:instrText>
      </w:r>
      <w:r w:rsidR="00EB69F1" w:rsidRPr="008E106E">
        <w:rPr>
          <w:rFonts w:ascii="Arial" w:hAnsi="Arial" w:cs="Arial"/>
          <w:sz w:val="22"/>
          <w:szCs w:val="22"/>
        </w:rPr>
      </w:r>
      <w:r w:rsidR="00EB69F1" w:rsidRPr="008E106E">
        <w:rPr>
          <w:rFonts w:ascii="Arial" w:hAnsi="Arial" w:cs="Arial"/>
          <w:sz w:val="22"/>
          <w:szCs w:val="22"/>
        </w:rPr>
        <w:fldChar w:fldCharType="separate"/>
      </w:r>
      <w:r w:rsidR="00B75A47" w:rsidRPr="008E106E">
        <w:rPr>
          <w:rFonts w:ascii="Arial" w:hAnsi="Arial" w:cs="Arial"/>
          <w:sz w:val="22"/>
          <w:szCs w:val="22"/>
        </w:rPr>
        <w:t>3.3</w:t>
      </w:r>
      <w:r w:rsidR="00EB69F1" w:rsidRPr="008E106E">
        <w:rPr>
          <w:rFonts w:ascii="Arial" w:hAnsi="Arial" w:cs="Arial"/>
          <w:sz w:val="22"/>
          <w:szCs w:val="22"/>
        </w:rPr>
        <w:fldChar w:fldCharType="end"/>
      </w:r>
      <w:r w:rsidR="007939BD" w:rsidRPr="008E106E">
        <w:rPr>
          <w:rFonts w:ascii="Arial" w:hAnsi="Arial" w:cs="Arial"/>
          <w:sz w:val="22"/>
          <w:szCs w:val="22"/>
        </w:rPr>
        <w:t>.</w:t>
      </w:r>
      <w:r w:rsidR="00F9794C" w:rsidRPr="008E106E">
        <w:rPr>
          <w:rFonts w:ascii="Arial" w:hAnsi="Arial" w:cs="Arial"/>
          <w:sz w:val="22"/>
          <w:szCs w:val="22"/>
        </w:rPr>
        <w:t xml:space="preserve"> The </w:t>
      </w:r>
      <w:r w:rsidR="0082179B" w:rsidRPr="008E106E">
        <w:rPr>
          <w:rFonts w:ascii="Arial" w:hAnsi="Arial" w:cs="Arial"/>
          <w:sz w:val="22"/>
          <w:szCs w:val="22"/>
        </w:rPr>
        <w:t>SAPR</w:t>
      </w:r>
      <w:r w:rsidR="00F9794C" w:rsidRPr="008E106E">
        <w:rPr>
          <w:rFonts w:ascii="Arial" w:hAnsi="Arial" w:cs="Arial"/>
          <w:sz w:val="22"/>
          <w:szCs w:val="22"/>
        </w:rPr>
        <w:t xml:space="preserve"> will serve as inputs to completing the Project Monitoring Report (PMR), which is the IDB’s main tool for monitoring progress towards meeting the indicator targets.</w:t>
      </w:r>
    </w:p>
    <w:p w14:paraId="3B3E251E" w14:textId="77777777" w:rsidR="00DE20B8" w:rsidRPr="008E106E" w:rsidRDefault="00DE20B8" w:rsidP="00DE20B8">
      <w:pPr>
        <w:pStyle w:val="Subheading"/>
        <w:rPr>
          <w:rFonts w:ascii="Arial" w:hAnsi="Arial" w:cs="Arial"/>
          <w:sz w:val="22"/>
          <w:szCs w:val="22"/>
        </w:rPr>
      </w:pPr>
      <w:r w:rsidRPr="008E106E">
        <w:rPr>
          <w:rFonts w:ascii="Arial" w:hAnsi="Arial" w:cs="Arial"/>
          <w:sz w:val="22"/>
          <w:szCs w:val="22"/>
        </w:rPr>
        <w:t>Content</w:t>
      </w:r>
    </w:p>
    <w:p w14:paraId="5A22B6DB" w14:textId="43E5E8E9" w:rsidR="00DE20B8" w:rsidRPr="008E106E" w:rsidRDefault="0082179B" w:rsidP="00DE20B8">
      <w:pPr>
        <w:pStyle w:val="BodyText"/>
        <w:rPr>
          <w:rFonts w:ascii="Arial" w:hAnsi="Arial" w:cs="Arial"/>
          <w:sz w:val="22"/>
          <w:szCs w:val="22"/>
        </w:rPr>
      </w:pPr>
      <w:r w:rsidRPr="008E106E">
        <w:rPr>
          <w:rFonts w:ascii="Arial" w:hAnsi="Arial" w:cs="Arial"/>
          <w:sz w:val="22"/>
          <w:szCs w:val="22"/>
        </w:rPr>
        <w:t>SAPR</w:t>
      </w:r>
      <w:r w:rsidR="00DE20B8" w:rsidRPr="008E106E">
        <w:rPr>
          <w:rFonts w:ascii="Arial" w:hAnsi="Arial" w:cs="Arial"/>
          <w:sz w:val="22"/>
          <w:szCs w:val="22"/>
        </w:rPr>
        <w:t xml:space="preserve"> </w:t>
      </w:r>
      <w:r w:rsidR="00B519F2" w:rsidRPr="008E106E">
        <w:rPr>
          <w:rFonts w:ascii="Arial" w:hAnsi="Arial" w:cs="Arial"/>
          <w:sz w:val="22"/>
          <w:szCs w:val="22"/>
        </w:rPr>
        <w:t xml:space="preserve">contain </w:t>
      </w:r>
      <w:r w:rsidR="00CC6AD0" w:rsidRPr="008E106E">
        <w:rPr>
          <w:rFonts w:ascii="Arial" w:hAnsi="Arial" w:cs="Arial"/>
          <w:sz w:val="22"/>
          <w:szCs w:val="22"/>
        </w:rPr>
        <w:t>four</w:t>
      </w:r>
      <w:r w:rsidR="00B519F2" w:rsidRPr="008E106E">
        <w:rPr>
          <w:rFonts w:ascii="Arial" w:hAnsi="Arial" w:cs="Arial"/>
          <w:sz w:val="22"/>
          <w:szCs w:val="22"/>
        </w:rPr>
        <w:t xml:space="preserve"> components:</w:t>
      </w:r>
    </w:p>
    <w:p w14:paraId="00CDC9ED" w14:textId="77777777" w:rsidR="00B205FD" w:rsidRPr="008E106E" w:rsidRDefault="00CE6669" w:rsidP="003A2673">
      <w:pPr>
        <w:pStyle w:val="ListBullet"/>
        <w:rPr>
          <w:rFonts w:ascii="Arial" w:hAnsi="Arial" w:cs="Arial"/>
          <w:sz w:val="22"/>
          <w:szCs w:val="22"/>
        </w:rPr>
      </w:pPr>
      <w:r w:rsidRPr="008E106E">
        <w:rPr>
          <w:rFonts w:ascii="Arial" w:hAnsi="Arial" w:cs="Arial"/>
          <w:b/>
          <w:sz w:val="22"/>
          <w:szCs w:val="22"/>
        </w:rPr>
        <w:t>Execution Plans</w:t>
      </w:r>
      <w:r w:rsidRPr="008E106E">
        <w:rPr>
          <w:rFonts w:ascii="Arial" w:hAnsi="Arial" w:cs="Arial"/>
          <w:sz w:val="22"/>
          <w:szCs w:val="22"/>
        </w:rPr>
        <w:t>—</w:t>
      </w:r>
      <w:r w:rsidR="002D3482" w:rsidRPr="008E106E">
        <w:rPr>
          <w:rFonts w:ascii="Arial" w:hAnsi="Arial" w:cs="Arial"/>
          <w:sz w:val="22"/>
          <w:szCs w:val="22"/>
        </w:rPr>
        <w:t xml:space="preserve">present Gantt charts that show the </w:t>
      </w:r>
      <w:r w:rsidRPr="008E106E">
        <w:rPr>
          <w:rFonts w:ascii="Arial" w:hAnsi="Arial" w:cs="Arial"/>
          <w:snapToGrid w:val="0"/>
          <w:sz w:val="22"/>
          <w:szCs w:val="22"/>
        </w:rPr>
        <w:t>Pr</w:t>
      </w:r>
      <w:r w:rsidR="002D3482" w:rsidRPr="008E106E">
        <w:rPr>
          <w:rFonts w:ascii="Arial" w:hAnsi="Arial" w:cs="Arial"/>
          <w:snapToGrid w:val="0"/>
          <w:sz w:val="22"/>
          <w:szCs w:val="22"/>
        </w:rPr>
        <w:t xml:space="preserve">ogram’s </w:t>
      </w:r>
      <w:r w:rsidRPr="008E106E">
        <w:rPr>
          <w:rFonts w:ascii="Arial" w:hAnsi="Arial" w:cs="Arial"/>
          <w:snapToGrid w:val="0"/>
          <w:sz w:val="22"/>
          <w:szCs w:val="22"/>
        </w:rPr>
        <w:t>progress</w:t>
      </w:r>
      <w:r w:rsidR="002D3482" w:rsidRPr="008E106E">
        <w:rPr>
          <w:rFonts w:ascii="Arial" w:hAnsi="Arial" w:cs="Arial"/>
          <w:snapToGrid w:val="0"/>
          <w:sz w:val="22"/>
          <w:szCs w:val="22"/>
        </w:rPr>
        <w:t xml:space="preserve"> towards com</w:t>
      </w:r>
      <w:r w:rsidR="003A2673" w:rsidRPr="008E106E">
        <w:rPr>
          <w:rFonts w:ascii="Arial" w:hAnsi="Arial" w:cs="Arial"/>
          <w:snapToGrid w:val="0"/>
          <w:sz w:val="22"/>
          <w:szCs w:val="22"/>
        </w:rPr>
        <w:t xml:space="preserve">pleting the tasks </w:t>
      </w:r>
      <w:r w:rsidR="00EB69F1" w:rsidRPr="008E106E">
        <w:rPr>
          <w:rFonts w:ascii="Arial" w:hAnsi="Arial" w:cs="Arial"/>
          <w:snapToGrid w:val="0"/>
          <w:sz w:val="22"/>
          <w:szCs w:val="22"/>
        </w:rPr>
        <w:t>for fulfilling</w:t>
      </w:r>
      <w:r w:rsidR="002D3482" w:rsidRPr="008E106E">
        <w:rPr>
          <w:rFonts w:ascii="Arial" w:hAnsi="Arial" w:cs="Arial"/>
          <w:snapToGrid w:val="0"/>
          <w:sz w:val="22"/>
          <w:szCs w:val="22"/>
        </w:rPr>
        <w:t xml:space="preserve"> outputs</w:t>
      </w:r>
      <w:r w:rsidR="003A2673" w:rsidRPr="008E106E">
        <w:rPr>
          <w:rFonts w:ascii="Arial" w:hAnsi="Arial" w:cs="Arial"/>
          <w:snapToGrid w:val="0"/>
          <w:sz w:val="22"/>
          <w:szCs w:val="22"/>
        </w:rPr>
        <w:t xml:space="preserve">. The Gantt charts present updated timelines that show any planned changes in </w:t>
      </w:r>
      <w:r w:rsidR="00ED4CE7" w:rsidRPr="008E106E">
        <w:rPr>
          <w:rFonts w:ascii="Arial" w:hAnsi="Arial" w:cs="Arial"/>
          <w:snapToGrid w:val="0"/>
          <w:sz w:val="22"/>
          <w:szCs w:val="22"/>
        </w:rPr>
        <w:t>carrying out</w:t>
      </w:r>
      <w:r w:rsidR="003A2673" w:rsidRPr="008E106E">
        <w:rPr>
          <w:rFonts w:ascii="Arial" w:hAnsi="Arial" w:cs="Arial"/>
          <w:snapToGrid w:val="0"/>
          <w:sz w:val="22"/>
          <w:szCs w:val="22"/>
        </w:rPr>
        <w:t xml:space="preserve"> the tasks within each Component. </w:t>
      </w:r>
      <w:r w:rsidR="0055371A" w:rsidRPr="008E106E">
        <w:rPr>
          <w:rFonts w:ascii="Arial" w:hAnsi="Arial" w:cs="Arial"/>
          <w:snapToGrid w:val="0"/>
          <w:sz w:val="22"/>
          <w:szCs w:val="22"/>
        </w:rPr>
        <w:t xml:space="preserve">Two execution plans are presented: the Pluri-annual </w:t>
      </w:r>
      <w:r w:rsidR="003A2673" w:rsidRPr="008E106E">
        <w:rPr>
          <w:rFonts w:ascii="Arial" w:hAnsi="Arial" w:cs="Arial"/>
          <w:snapToGrid w:val="0"/>
          <w:sz w:val="22"/>
          <w:szCs w:val="22"/>
        </w:rPr>
        <w:t>Execution Plan (PEP) which</w:t>
      </w:r>
      <w:r w:rsidR="00B4034B" w:rsidRPr="008E106E">
        <w:rPr>
          <w:rFonts w:ascii="Arial" w:hAnsi="Arial" w:cs="Arial"/>
          <w:snapToGrid w:val="0"/>
          <w:sz w:val="22"/>
          <w:szCs w:val="22"/>
        </w:rPr>
        <w:t xml:space="preserve"> covers the complete execution period and the Annual Ope</w:t>
      </w:r>
      <w:r w:rsidR="003A2673" w:rsidRPr="008E106E">
        <w:rPr>
          <w:rFonts w:ascii="Arial" w:hAnsi="Arial" w:cs="Arial"/>
          <w:snapToGrid w:val="0"/>
          <w:sz w:val="22"/>
          <w:szCs w:val="22"/>
        </w:rPr>
        <w:t>ration Plan (POA) which covers the following twelve</w:t>
      </w:r>
      <w:r w:rsidR="00ED4CE7" w:rsidRPr="008E106E">
        <w:rPr>
          <w:rFonts w:ascii="Arial" w:hAnsi="Arial" w:cs="Arial"/>
          <w:snapToGrid w:val="0"/>
          <w:sz w:val="22"/>
          <w:szCs w:val="22"/>
        </w:rPr>
        <w:t>-</w:t>
      </w:r>
      <w:r w:rsidR="003A2673" w:rsidRPr="008E106E">
        <w:rPr>
          <w:rFonts w:ascii="Arial" w:hAnsi="Arial" w:cs="Arial"/>
          <w:snapToGrid w:val="0"/>
          <w:sz w:val="22"/>
          <w:szCs w:val="22"/>
        </w:rPr>
        <w:t>month period. The execution p</w:t>
      </w:r>
      <w:r w:rsidR="00B4034B" w:rsidRPr="008E106E">
        <w:rPr>
          <w:rFonts w:ascii="Arial" w:hAnsi="Arial" w:cs="Arial"/>
          <w:snapToGrid w:val="0"/>
          <w:sz w:val="22"/>
          <w:szCs w:val="22"/>
        </w:rPr>
        <w:t>lan</w:t>
      </w:r>
      <w:r w:rsidR="003A2673" w:rsidRPr="008E106E">
        <w:rPr>
          <w:rFonts w:ascii="Arial" w:hAnsi="Arial" w:cs="Arial"/>
          <w:snapToGrid w:val="0"/>
          <w:sz w:val="22"/>
          <w:szCs w:val="22"/>
        </w:rPr>
        <w:t>s</w:t>
      </w:r>
      <w:r w:rsidR="00ED4CE7" w:rsidRPr="008E106E">
        <w:rPr>
          <w:rFonts w:ascii="Arial" w:hAnsi="Arial" w:cs="Arial"/>
          <w:snapToGrid w:val="0"/>
          <w:sz w:val="22"/>
          <w:szCs w:val="22"/>
        </w:rPr>
        <w:t xml:space="preserve"> should</w:t>
      </w:r>
      <w:r w:rsidR="003A2673" w:rsidRPr="008E106E">
        <w:rPr>
          <w:rFonts w:ascii="Arial" w:hAnsi="Arial" w:cs="Arial"/>
          <w:snapToGrid w:val="0"/>
          <w:sz w:val="22"/>
          <w:szCs w:val="22"/>
        </w:rPr>
        <w:t xml:space="preserve"> assign costs to </w:t>
      </w:r>
      <w:r w:rsidR="007F70B8" w:rsidRPr="008E106E">
        <w:rPr>
          <w:rFonts w:ascii="Arial" w:hAnsi="Arial" w:cs="Arial"/>
          <w:snapToGrid w:val="0"/>
          <w:sz w:val="22"/>
          <w:szCs w:val="22"/>
        </w:rPr>
        <w:t xml:space="preserve">each </w:t>
      </w:r>
      <w:r w:rsidR="003A2673" w:rsidRPr="008E106E">
        <w:rPr>
          <w:rFonts w:ascii="Arial" w:hAnsi="Arial" w:cs="Arial"/>
          <w:snapToGrid w:val="0"/>
          <w:sz w:val="22"/>
          <w:szCs w:val="22"/>
        </w:rPr>
        <w:t>task to track t</w:t>
      </w:r>
      <w:r w:rsidR="007F70B8" w:rsidRPr="008E106E">
        <w:rPr>
          <w:rFonts w:ascii="Arial" w:hAnsi="Arial" w:cs="Arial"/>
          <w:snapToGrid w:val="0"/>
          <w:sz w:val="22"/>
          <w:szCs w:val="22"/>
        </w:rPr>
        <w:t>he financial progress of the Program.</w:t>
      </w:r>
      <w:r w:rsidR="0055371A" w:rsidRPr="008E106E">
        <w:rPr>
          <w:rFonts w:ascii="Arial" w:hAnsi="Arial" w:cs="Arial"/>
          <w:snapToGrid w:val="0"/>
          <w:sz w:val="22"/>
          <w:szCs w:val="22"/>
        </w:rPr>
        <w:t xml:space="preserve"> </w:t>
      </w:r>
      <w:r w:rsidR="00ED4CE7" w:rsidRPr="008E106E">
        <w:rPr>
          <w:rFonts w:ascii="Arial" w:hAnsi="Arial" w:cs="Arial"/>
          <w:snapToGrid w:val="0"/>
          <w:sz w:val="22"/>
          <w:szCs w:val="22"/>
        </w:rPr>
        <w:t>In addition, t</w:t>
      </w:r>
      <w:r w:rsidR="00AD2D17" w:rsidRPr="008E106E">
        <w:rPr>
          <w:rFonts w:ascii="Arial" w:hAnsi="Arial" w:cs="Arial"/>
          <w:snapToGrid w:val="0"/>
          <w:sz w:val="22"/>
          <w:szCs w:val="22"/>
        </w:rPr>
        <w:t>he EA should attach a bank statement</w:t>
      </w:r>
      <w:r w:rsidR="003A2673" w:rsidRPr="008E106E">
        <w:rPr>
          <w:rFonts w:ascii="Arial" w:hAnsi="Arial" w:cs="Arial"/>
          <w:snapToGrid w:val="0"/>
          <w:sz w:val="22"/>
          <w:szCs w:val="22"/>
        </w:rPr>
        <w:t xml:space="preserve"> with the execution plans</w:t>
      </w:r>
      <w:r w:rsidR="00EB69F1" w:rsidRPr="008E106E">
        <w:rPr>
          <w:rFonts w:ascii="Arial" w:hAnsi="Arial" w:cs="Arial"/>
          <w:snapToGrid w:val="0"/>
          <w:sz w:val="22"/>
          <w:szCs w:val="22"/>
        </w:rPr>
        <w:t>, which t</w:t>
      </w:r>
      <w:r w:rsidR="00AD2D17" w:rsidRPr="008E106E">
        <w:rPr>
          <w:rFonts w:ascii="Arial" w:hAnsi="Arial" w:cs="Arial"/>
          <w:snapToGrid w:val="0"/>
          <w:sz w:val="22"/>
          <w:szCs w:val="22"/>
        </w:rPr>
        <w:t>he IDB will use to validate the progress reported in</w:t>
      </w:r>
      <w:r w:rsidR="00EB69F1" w:rsidRPr="008E106E">
        <w:rPr>
          <w:rFonts w:ascii="Arial" w:hAnsi="Arial" w:cs="Arial"/>
          <w:snapToGrid w:val="0"/>
          <w:sz w:val="22"/>
          <w:szCs w:val="22"/>
        </w:rPr>
        <w:t xml:space="preserve"> the execution plans against actual disbursements</w:t>
      </w:r>
    </w:p>
    <w:p w14:paraId="71C83ED2" w14:textId="77777777" w:rsidR="00CE6669" w:rsidRPr="008E106E" w:rsidRDefault="00CE6669" w:rsidP="00B519F2">
      <w:pPr>
        <w:pStyle w:val="ListBullet"/>
        <w:rPr>
          <w:rFonts w:ascii="Arial" w:hAnsi="Arial" w:cs="Arial"/>
          <w:sz w:val="22"/>
          <w:szCs w:val="22"/>
        </w:rPr>
      </w:pPr>
      <w:r w:rsidRPr="008E106E">
        <w:rPr>
          <w:rFonts w:ascii="Arial" w:hAnsi="Arial" w:cs="Arial"/>
          <w:b/>
          <w:sz w:val="22"/>
          <w:szCs w:val="22"/>
        </w:rPr>
        <w:t>Financial and Procurement Plans</w:t>
      </w:r>
      <w:r w:rsidRPr="008E106E">
        <w:rPr>
          <w:rFonts w:ascii="Arial" w:hAnsi="Arial" w:cs="Arial"/>
          <w:sz w:val="22"/>
          <w:szCs w:val="22"/>
        </w:rPr>
        <w:t>—</w:t>
      </w:r>
      <w:r w:rsidR="007F70B8" w:rsidRPr="008E106E">
        <w:rPr>
          <w:rFonts w:ascii="Arial" w:hAnsi="Arial" w:cs="Arial"/>
          <w:sz w:val="22"/>
          <w:szCs w:val="22"/>
        </w:rPr>
        <w:t>show the planned disbursements and procurement acti</w:t>
      </w:r>
      <w:r w:rsidR="00ED4CE7" w:rsidRPr="008E106E">
        <w:rPr>
          <w:rFonts w:ascii="Arial" w:hAnsi="Arial" w:cs="Arial"/>
          <w:sz w:val="22"/>
          <w:szCs w:val="22"/>
        </w:rPr>
        <w:t>vities for the following twelve-</w:t>
      </w:r>
      <w:r w:rsidR="007F70B8" w:rsidRPr="008E106E">
        <w:rPr>
          <w:rFonts w:ascii="Arial" w:hAnsi="Arial" w:cs="Arial"/>
          <w:sz w:val="22"/>
          <w:szCs w:val="22"/>
        </w:rPr>
        <w:t>month period. The Financial Plan presents a financial projection o</w:t>
      </w:r>
      <w:r w:rsidR="00AD2D17" w:rsidRPr="008E106E">
        <w:rPr>
          <w:rFonts w:ascii="Arial" w:hAnsi="Arial" w:cs="Arial"/>
          <w:sz w:val="22"/>
          <w:szCs w:val="22"/>
        </w:rPr>
        <w:t xml:space="preserve">f the planned disbursements that should coincide with the planned </w:t>
      </w:r>
      <w:r w:rsidR="00ED4CE7" w:rsidRPr="008E106E">
        <w:rPr>
          <w:rFonts w:ascii="Arial" w:hAnsi="Arial" w:cs="Arial"/>
          <w:sz w:val="22"/>
          <w:szCs w:val="22"/>
        </w:rPr>
        <w:t>tasks</w:t>
      </w:r>
      <w:r w:rsidR="00AD2D17" w:rsidRPr="008E106E">
        <w:rPr>
          <w:rFonts w:ascii="Arial" w:hAnsi="Arial" w:cs="Arial"/>
          <w:sz w:val="22"/>
          <w:szCs w:val="22"/>
        </w:rPr>
        <w:t xml:space="preserve"> included in the execution plans. The Procurement Plan shows procurement activities</w:t>
      </w:r>
      <w:r w:rsidR="00B14691" w:rsidRPr="008E106E">
        <w:rPr>
          <w:rFonts w:ascii="Arial" w:hAnsi="Arial" w:cs="Arial"/>
          <w:sz w:val="22"/>
          <w:szCs w:val="22"/>
        </w:rPr>
        <w:t xml:space="preserve"> the EA</w:t>
      </w:r>
      <w:r w:rsidR="00B641B8" w:rsidRPr="008E106E">
        <w:rPr>
          <w:rFonts w:ascii="Arial" w:hAnsi="Arial" w:cs="Arial"/>
          <w:sz w:val="22"/>
          <w:szCs w:val="22"/>
        </w:rPr>
        <w:t xml:space="preserve"> </w:t>
      </w:r>
      <w:r w:rsidR="000755C0" w:rsidRPr="008E106E">
        <w:rPr>
          <w:rFonts w:ascii="Arial" w:hAnsi="Arial" w:cs="Arial"/>
          <w:sz w:val="22"/>
          <w:szCs w:val="22"/>
        </w:rPr>
        <w:t xml:space="preserve">will </w:t>
      </w:r>
      <w:r w:rsidR="00B641B8" w:rsidRPr="008E106E">
        <w:rPr>
          <w:rFonts w:ascii="Arial" w:hAnsi="Arial" w:cs="Arial"/>
          <w:sz w:val="22"/>
          <w:szCs w:val="22"/>
        </w:rPr>
        <w:t xml:space="preserve">carry out directly. </w:t>
      </w:r>
      <w:r w:rsidR="00B14691" w:rsidRPr="008E106E">
        <w:rPr>
          <w:rFonts w:ascii="Arial" w:hAnsi="Arial" w:cs="Arial"/>
          <w:sz w:val="22"/>
          <w:szCs w:val="22"/>
        </w:rPr>
        <w:t xml:space="preserve"> </w:t>
      </w:r>
      <w:r w:rsidR="00EB69F1" w:rsidRPr="008E106E">
        <w:rPr>
          <w:rFonts w:ascii="Arial" w:hAnsi="Arial" w:cs="Arial"/>
          <w:sz w:val="22"/>
          <w:szCs w:val="22"/>
        </w:rPr>
        <w:t xml:space="preserve">Generally, </w:t>
      </w:r>
      <w:r w:rsidR="00B641B8" w:rsidRPr="008E106E">
        <w:rPr>
          <w:rFonts w:ascii="Arial" w:hAnsi="Arial" w:cs="Arial"/>
          <w:sz w:val="22"/>
          <w:szCs w:val="22"/>
        </w:rPr>
        <w:t>the EA’s procurement</w:t>
      </w:r>
      <w:r w:rsidR="000755C0" w:rsidRPr="008E106E">
        <w:rPr>
          <w:rFonts w:ascii="Arial" w:hAnsi="Arial" w:cs="Arial"/>
          <w:sz w:val="22"/>
          <w:szCs w:val="22"/>
        </w:rPr>
        <w:t xml:space="preserve"> activities</w:t>
      </w:r>
      <w:r w:rsidR="00B641B8" w:rsidRPr="008E106E">
        <w:rPr>
          <w:rFonts w:ascii="Arial" w:hAnsi="Arial" w:cs="Arial"/>
          <w:sz w:val="22"/>
          <w:szCs w:val="22"/>
        </w:rPr>
        <w:t xml:space="preserve"> will take place </w:t>
      </w:r>
      <w:r w:rsidR="000755C0" w:rsidRPr="008E106E">
        <w:rPr>
          <w:rFonts w:ascii="Arial" w:hAnsi="Arial" w:cs="Arial"/>
          <w:sz w:val="22"/>
          <w:szCs w:val="22"/>
        </w:rPr>
        <w:t xml:space="preserve">at the beginning </w:t>
      </w:r>
      <w:r w:rsidR="00B641B8" w:rsidRPr="008E106E">
        <w:rPr>
          <w:rFonts w:ascii="Arial" w:hAnsi="Arial" w:cs="Arial"/>
          <w:sz w:val="22"/>
          <w:szCs w:val="22"/>
        </w:rPr>
        <w:t>and towards the end</w:t>
      </w:r>
      <w:r w:rsidR="000755C0" w:rsidRPr="008E106E">
        <w:rPr>
          <w:rFonts w:ascii="Arial" w:hAnsi="Arial" w:cs="Arial"/>
          <w:sz w:val="22"/>
          <w:szCs w:val="22"/>
        </w:rPr>
        <w:t xml:space="preserve"> of the Program’s execution period</w:t>
      </w:r>
      <w:r w:rsidR="00B14691" w:rsidRPr="008E106E">
        <w:rPr>
          <w:rFonts w:ascii="Arial" w:hAnsi="Arial" w:cs="Arial"/>
          <w:sz w:val="22"/>
          <w:szCs w:val="22"/>
        </w:rPr>
        <w:t xml:space="preserve">. </w:t>
      </w:r>
      <w:r w:rsidR="000755C0" w:rsidRPr="008E106E">
        <w:rPr>
          <w:rFonts w:ascii="Arial" w:hAnsi="Arial" w:cs="Arial"/>
          <w:sz w:val="22"/>
          <w:szCs w:val="22"/>
        </w:rPr>
        <w:t>T</w:t>
      </w:r>
      <w:r w:rsidR="00B14691" w:rsidRPr="008E106E">
        <w:rPr>
          <w:rFonts w:ascii="Arial" w:hAnsi="Arial" w:cs="Arial"/>
          <w:sz w:val="22"/>
          <w:szCs w:val="22"/>
        </w:rPr>
        <w:t xml:space="preserve">he EA would only </w:t>
      </w:r>
      <w:r w:rsidR="00B641B8" w:rsidRPr="008E106E">
        <w:rPr>
          <w:rFonts w:ascii="Arial" w:hAnsi="Arial" w:cs="Arial"/>
          <w:sz w:val="22"/>
          <w:szCs w:val="22"/>
        </w:rPr>
        <w:t xml:space="preserve">need to submit Procurement Plans when there are procurement activities planned for the following year </w:t>
      </w:r>
    </w:p>
    <w:p w14:paraId="2A1EE132" w14:textId="77777777" w:rsidR="0031373C" w:rsidRPr="008E106E" w:rsidRDefault="00CC6AD0" w:rsidP="0031373C">
      <w:pPr>
        <w:pStyle w:val="ListBullet"/>
        <w:rPr>
          <w:rFonts w:ascii="Arial" w:hAnsi="Arial" w:cs="Arial"/>
          <w:sz w:val="22"/>
          <w:szCs w:val="22"/>
          <w:lang w:eastAsia="ja-JP"/>
        </w:rPr>
      </w:pPr>
      <w:r w:rsidRPr="008E106E">
        <w:rPr>
          <w:rFonts w:ascii="Arial" w:hAnsi="Arial" w:cs="Arial"/>
          <w:b/>
          <w:sz w:val="22"/>
          <w:szCs w:val="22"/>
          <w:lang w:eastAsia="ja-JP"/>
        </w:rPr>
        <w:t xml:space="preserve">Updated </w:t>
      </w:r>
      <w:r w:rsidRPr="008E106E">
        <w:rPr>
          <w:rFonts w:ascii="Arial" w:hAnsi="Arial" w:cs="Arial"/>
          <w:b/>
          <w:sz w:val="22"/>
          <w:szCs w:val="22"/>
        </w:rPr>
        <w:t>Risk Matrix</w:t>
      </w:r>
      <w:r w:rsidR="00CE6669" w:rsidRPr="008E106E">
        <w:rPr>
          <w:rFonts w:ascii="Arial" w:hAnsi="Arial" w:cs="Arial"/>
          <w:sz w:val="22"/>
          <w:szCs w:val="22"/>
        </w:rPr>
        <w:t>—</w:t>
      </w:r>
      <w:r w:rsidR="0031373C" w:rsidRPr="008E106E">
        <w:rPr>
          <w:rFonts w:ascii="Arial" w:hAnsi="Arial" w:cs="Arial"/>
          <w:sz w:val="22"/>
          <w:szCs w:val="22"/>
        </w:rPr>
        <w:t xml:space="preserve">shows the </w:t>
      </w:r>
      <w:r w:rsidR="0031373C" w:rsidRPr="008E106E">
        <w:rPr>
          <w:rFonts w:ascii="Arial" w:hAnsi="Arial" w:cs="Arial"/>
          <w:snapToGrid w:val="0"/>
          <w:sz w:val="22"/>
          <w:szCs w:val="22"/>
        </w:rPr>
        <w:t xml:space="preserve">status of risks identified </w:t>
      </w:r>
      <w:r w:rsidR="00435A21" w:rsidRPr="008E106E">
        <w:rPr>
          <w:rFonts w:ascii="Arial" w:hAnsi="Arial" w:cs="Arial"/>
          <w:snapToGrid w:val="0"/>
          <w:sz w:val="22"/>
          <w:szCs w:val="22"/>
        </w:rPr>
        <w:t>in the Risk Matrix of the Program</w:t>
      </w:r>
      <w:r w:rsidR="0031373C" w:rsidRPr="008E106E">
        <w:rPr>
          <w:rFonts w:ascii="Arial" w:hAnsi="Arial" w:cs="Arial"/>
          <w:snapToGrid w:val="0"/>
          <w:sz w:val="22"/>
          <w:szCs w:val="22"/>
        </w:rPr>
        <w:t>, as well as proposed actions or mitigation measures</w:t>
      </w:r>
      <w:r w:rsidR="00781152" w:rsidRPr="008E106E">
        <w:rPr>
          <w:rFonts w:ascii="Arial" w:hAnsi="Arial" w:cs="Arial"/>
          <w:snapToGrid w:val="0"/>
          <w:sz w:val="22"/>
          <w:szCs w:val="22"/>
        </w:rPr>
        <w:t>. It also identifies any</w:t>
      </w:r>
      <w:r w:rsidR="0031373C" w:rsidRPr="008E106E">
        <w:rPr>
          <w:rFonts w:ascii="Arial" w:hAnsi="Arial" w:cs="Arial"/>
          <w:snapToGrid w:val="0"/>
          <w:sz w:val="22"/>
          <w:szCs w:val="22"/>
        </w:rPr>
        <w:t xml:space="preserve"> new issues</w:t>
      </w:r>
      <w:r w:rsidR="00781152" w:rsidRPr="008E106E">
        <w:rPr>
          <w:rFonts w:ascii="Arial" w:hAnsi="Arial" w:cs="Arial"/>
          <w:snapToGrid w:val="0"/>
          <w:sz w:val="22"/>
          <w:szCs w:val="22"/>
        </w:rPr>
        <w:t>,</w:t>
      </w:r>
      <w:r w:rsidR="0031373C" w:rsidRPr="008E106E">
        <w:rPr>
          <w:rFonts w:ascii="Arial" w:hAnsi="Arial" w:cs="Arial"/>
          <w:snapToGrid w:val="0"/>
          <w:sz w:val="22"/>
          <w:szCs w:val="22"/>
        </w:rPr>
        <w:t xml:space="preserve"> risks</w:t>
      </w:r>
      <w:r w:rsidR="00781152" w:rsidRPr="008E106E">
        <w:rPr>
          <w:rFonts w:ascii="Arial" w:hAnsi="Arial" w:cs="Arial"/>
          <w:snapToGrid w:val="0"/>
          <w:sz w:val="22"/>
          <w:szCs w:val="22"/>
        </w:rPr>
        <w:t>,</w:t>
      </w:r>
      <w:r w:rsidR="0031373C" w:rsidRPr="008E106E">
        <w:rPr>
          <w:rFonts w:ascii="Arial" w:hAnsi="Arial" w:cs="Arial"/>
          <w:snapToGrid w:val="0"/>
          <w:sz w:val="22"/>
          <w:szCs w:val="22"/>
        </w:rPr>
        <w:t xml:space="preserve"> </w:t>
      </w:r>
      <w:r w:rsidR="00781152" w:rsidRPr="008E106E">
        <w:rPr>
          <w:rFonts w:ascii="Arial" w:hAnsi="Arial" w:cs="Arial"/>
          <w:snapToGrid w:val="0"/>
          <w:sz w:val="22"/>
          <w:szCs w:val="22"/>
        </w:rPr>
        <w:t xml:space="preserve">and </w:t>
      </w:r>
      <w:r w:rsidR="0031373C" w:rsidRPr="008E106E">
        <w:rPr>
          <w:rFonts w:ascii="Arial" w:hAnsi="Arial" w:cs="Arial"/>
          <w:snapToGrid w:val="0"/>
          <w:sz w:val="22"/>
          <w:szCs w:val="22"/>
        </w:rPr>
        <w:t xml:space="preserve">events that </w:t>
      </w:r>
      <w:r w:rsidR="00781152" w:rsidRPr="008E106E">
        <w:rPr>
          <w:rFonts w:ascii="Arial" w:hAnsi="Arial" w:cs="Arial"/>
          <w:snapToGrid w:val="0"/>
          <w:sz w:val="22"/>
          <w:szCs w:val="22"/>
        </w:rPr>
        <w:t xml:space="preserve">affect or </w:t>
      </w:r>
      <w:r w:rsidR="0031373C" w:rsidRPr="008E106E">
        <w:rPr>
          <w:rFonts w:ascii="Arial" w:hAnsi="Arial" w:cs="Arial"/>
          <w:snapToGrid w:val="0"/>
          <w:sz w:val="22"/>
          <w:szCs w:val="22"/>
        </w:rPr>
        <w:t>may potentially affect the future</w:t>
      </w:r>
      <w:r w:rsidR="00EB69F1" w:rsidRPr="008E106E">
        <w:rPr>
          <w:rFonts w:ascii="Arial" w:hAnsi="Arial" w:cs="Arial"/>
          <w:snapToGrid w:val="0"/>
          <w:sz w:val="22"/>
          <w:szCs w:val="22"/>
        </w:rPr>
        <w:t xml:space="preserve"> implementation of the Project</w:t>
      </w:r>
    </w:p>
    <w:p w14:paraId="7DB2178C" w14:textId="4F76F2E7" w:rsidR="0031373C" w:rsidRPr="008E106E" w:rsidRDefault="002D3482" w:rsidP="0031373C">
      <w:pPr>
        <w:pStyle w:val="ListBullet"/>
        <w:rPr>
          <w:rFonts w:ascii="Arial" w:hAnsi="Arial" w:cs="Arial"/>
          <w:sz w:val="22"/>
          <w:szCs w:val="22"/>
          <w:lang w:eastAsia="ja-JP"/>
        </w:rPr>
      </w:pPr>
      <w:r w:rsidRPr="008E106E">
        <w:rPr>
          <w:rFonts w:ascii="Arial" w:hAnsi="Arial" w:cs="Arial"/>
          <w:b/>
          <w:sz w:val="22"/>
          <w:szCs w:val="22"/>
          <w:lang w:eastAsia="ja-JP"/>
        </w:rPr>
        <w:t xml:space="preserve">Updated </w:t>
      </w:r>
      <w:r w:rsidR="0031373C" w:rsidRPr="008E106E">
        <w:rPr>
          <w:rFonts w:ascii="Arial" w:hAnsi="Arial" w:cs="Arial"/>
          <w:b/>
          <w:sz w:val="22"/>
          <w:szCs w:val="22"/>
          <w:lang w:eastAsia="ja-JP"/>
        </w:rPr>
        <w:t>Results Matrix</w:t>
      </w:r>
      <w:r w:rsidR="0031373C" w:rsidRPr="008E106E">
        <w:rPr>
          <w:rFonts w:ascii="Arial" w:hAnsi="Arial" w:cs="Arial"/>
          <w:sz w:val="22"/>
          <w:szCs w:val="22"/>
          <w:lang w:eastAsia="ja-JP"/>
        </w:rPr>
        <w:t>—</w:t>
      </w:r>
      <w:r w:rsidR="00CC6AD0" w:rsidRPr="008E106E">
        <w:rPr>
          <w:rFonts w:ascii="Arial" w:hAnsi="Arial" w:cs="Arial"/>
          <w:sz w:val="22"/>
          <w:szCs w:val="22"/>
          <w:lang w:eastAsia="ja-JP"/>
        </w:rPr>
        <w:t>s</w:t>
      </w:r>
      <w:r w:rsidRPr="008E106E">
        <w:rPr>
          <w:rFonts w:ascii="Arial" w:hAnsi="Arial" w:cs="Arial"/>
          <w:sz w:val="22"/>
          <w:szCs w:val="22"/>
          <w:lang w:eastAsia="ja-JP"/>
        </w:rPr>
        <w:t xml:space="preserve">hows the </w:t>
      </w:r>
      <w:r w:rsidR="0082179B" w:rsidRPr="008E106E">
        <w:rPr>
          <w:rFonts w:ascii="Arial" w:hAnsi="Arial" w:cs="Arial"/>
          <w:sz w:val="22"/>
          <w:szCs w:val="22"/>
          <w:lang w:eastAsia="ja-JP"/>
        </w:rPr>
        <w:t xml:space="preserve">physical and financial </w:t>
      </w:r>
      <w:r w:rsidRPr="008E106E">
        <w:rPr>
          <w:rFonts w:ascii="Arial" w:hAnsi="Arial" w:cs="Arial"/>
          <w:sz w:val="22"/>
          <w:szCs w:val="22"/>
          <w:lang w:eastAsia="ja-JP"/>
        </w:rPr>
        <w:t>progress towards the targets listed for each indicator in t</w:t>
      </w:r>
      <w:r w:rsidR="00435A21" w:rsidRPr="008E106E">
        <w:rPr>
          <w:rFonts w:ascii="Arial" w:hAnsi="Arial" w:cs="Arial"/>
          <w:sz w:val="22"/>
          <w:szCs w:val="22"/>
          <w:lang w:eastAsia="ja-JP"/>
        </w:rPr>
        <w:t>he Results Matrix of the Program</w:t>
      </w:r>
      <w:r w:rsidRPr="008E106E">
        <w:rPr>
          <w:rFonts w:ascii="Arial" w:hAnsi="Arial" w:cs="Arial"/>
          <w:sz w:val="22"/>
          <w:szCs w:val="22"/>
          <w:lang w:eastAsia="ja-JP"/>
        </w:rPr>
        <w:t xml:space="preserve">. </w:t>
      </w:r>
    </w:p>
    <w:p w14:paraId="343E54A4" w14:textId="7A06BFF6" w:rsidR="0031373C" w:rsidRPr="008E106E" w:rsidRDefault="002D3482" w:rsidP="0031373C">
      <w:pPr>
        <w:pStyle w:val="ListBullet"/>
        <w:rPr>
          <w:rFonts w:ascii="Arial" w:hAnsi="Arial" w:cs="Arial"/>
          <w:sz w:val="22"/>
          <w:szCs w:val="22"/>
          <w:lang w:eastAsia="ja-JP"/>
        </w:rPr>
      </w:pPr>
      <w:r w:rsidRPr="008E106E">
        <w:rPr>
          <w:rFonts w:ascii="Arial" w:hAnsi="Arial" w:cs="Arial"/>
          <w:b/>
          <w:sz w:val="22"/>
          <w:szCs w:val="22"/>
        </w:rPr>
        <w:t>Lessons L</w:t>
      </w:r>
      <w:r w:rsidR="000755C0" w:rsidRPr="008E106E">
        <w:rPr>
          <w:rFonts w:ascii="Arial" w:hAnsi="Arial" w:cs="Arial"/>
          <w:b/>
          <w:sz w:val="22"/>
          <w:szCs w:val="22"/>
        </w:rPr>
        <w:t>earned</w:t>
      </w:r>
      <w:r w:rsidR="000755C0" w:rsidRPr="008E106E">
        <w:rPr>
          <w:rFonts w:ascii="Arial" w:hAnsi="Arial" w:cs="Arial"/>
          <w:sz w:val="22"/>
          <w:szCs w:val="22"/>
        </w:rPr>
        <w:t>—</w:t>
      </w:r>
      <w:r w:rsidR="000003EC" w:rsidRPr="008E106E">
        <w:rPr>
          <w:rFonts w:ascii="Arial" w:hAnsi="Arial" w:cs="Arial"/>
          <w:snapToGrid w:val="0"/>
          <w:sz w:val="22"/>
          <w:szCs w:val="22"/>
        </w:rPr>
        <w:t>present</w:t>
      </w:r>
      <w:r w:rsidRPr="008E106E">
        <w:rPr>
          <w:rFonts w:ascii="Arial" w:hAnsi="Arial" w:cs="Arial"/>
          <w:snapToGrid w:val="0"/>
          <w:sz w:val="22"/>
          <w:szCs w:val="22"/>
        </w:rPr>
        <w:t>s</w:t>
      </w:r>
      <w:r w:rsidR="000003EC" w:rsidRPr="008E106E">
        <w:rPr>
          <w:rFonts w:ascii="Arial" w:hAnsi="Arial" w:cs="Arial"/>
          <w:snapToGrid w:val="0"/>
          <w:sz w:val="22"/>
          <w:szCs w:val="22"/>
        </w:rPr>
        <w:t xml:space="preserve"> the </w:t>
      </w:r>
      <w:r w:rsidR="0031373C" w:rsidRPr="008E106E">
        <w:rPr>
          <w:rFonts w:ascii="Arial" w:hAnsi="Arial" w:cs="Arial"/>
          <w:snapToGrid w:val="0"/>
          <w:sz w:val="22"/>
          <w:szCs w:val="22"/>
        </w:rPr>
        <w:t>lessons learned and</w:t>
      </w:r>
      <w:r w:rsidR="000003EC" w:rsidRPr="008E106E">
        <w:rPr>
          <w:rFonts w:ascii="Arial" w:hAnsi="Arial" w:cs="Arial"/>
          <w:snapToGrid w:val="0"/>
          <w:sz w:val="22"/>
          <w:szCs w:val="22"/>
        </w:rPr>
        <w:t xml:space="preserve"> </w:t>
      </w:r>
      <w:r w:rsidR="0031373C" w:rsidRPr="008E106E">
        <w:rPr>
          <w:rFonts w:ascii="Arial" w:hAnsi="Arial" w:cs="Arial"/>
          <w:snapToGrid w:val="0"/>
          <w:sz w:val="22"/>
          <w:szCs w:val="22"/>
        </w:rPr>
        <w:t xml:space="preserve">any other information required to ensure the successful implementation of the Project. </w:t>
      </w:r>
      <w:r w:rsidR="0031373C" w:rsidRPr="008E106E">
        <w:rPr>
          <w:rFonts w:ascii="Arial" w:hAnsi="Arial" w:cs="Arial"/>
          <w:sz w:val="22"/>
          <w:szCs w:val="22"/>
          <w:lang w:eastAsia="ja-JP"/>
        </w:rPr>
        <w:t xml:space="preserve"> </w:t>
      </w:r>
    </w:p>
    <w:p w14:paraId="75A33677" w14:textId="0702C828" w:rsidR="0082179B" w:rsidRPr="008E106E" w:rsidRDefault="0082179B" w:rsidP="0082179B">
      <w:pPr>
        <w:pStyle w:val="ListBullet"/>
        <w:rPr>
          <w:rFonts w:ascii="Arial" w:hAnsi="Arial" w:cs="Arial"/>
          <w:sz w:val="22"/>
          <w:szCs w:val="22"/>
          <w:lang w:eastAsia="ja-JP"/>
        </w:rPr>
      </w:pPr>
      <w:r w:rsidRPr="008E106E">
        <w:rPr>
          <w:rFonts w:ascii="Arial" w:hAnsi="Arial" w:cs="Arial"/>
          <w:b/>
          <w:sz w:val="22"/>
          <w:szCs w:val="22"/>
        </w:rPr>
        <w:t>Operation and Maintenance of program</w:t>
      </w:r>
      <w:r w:rsidRPr="008E106E">
        <w:rPr>
          <w:rFonts w:ascii="Arial" w:hAnsi="Arial" w:cs="Arial"/>
          <w:sz w:val="22"/>
          <w:szCs w:val="22"/>
          <w:lang w:eastAsia="ja-JP"/>
        </w:rPr>
        <w:t xml:space="preserve"> </w:t>
      </w:r>
      <w:r w:rsidRPr="00690D98">
        <w:rPr>
          <w:rFonts w:ascii="Arial" w:hAnsi="Arial" w:cs="Arial"/>
          <w:b/>
          <w:sz w:val="22"/>
          <w:szCs w:val="22"/>
          <w:lang w:eastAsia="ja-JP"/>
        </w:rPr>
        <w:t>financed ass</w:t>
      </w:r>
      <w:r w:rsidRPr="008E106E">
        <w:rPr>
          <w:rFonts w:ascii="Arial" w:hAnsi="Arial" w:cs="Arial"/>
          <w:b/>
          <w:sz w:val="22"/>
          <w:szCs w:val="22"/>
          <w:lang w:eastAsia="ja-JP"/>
        </w:rPr>
        <w:t>e</w:t>
      </w:r>
      <w:r w:rsidRPr="00690D98">
        <w:rPr>
          <w:rFonts w:ascii="Arial" w:hAnsi="Arial" w:cs="Arial"/>
          <w:b/>
          <w:sz w:val="22"/>
          <w:szCs w:val="22"/>
          <w:lang w:eastAsia="ja-JP"/>
        </w:rPr>
        <w:t>ts</w:t>
      </w:r>
      <w:r w:rsidRPr="008E106E">
        <w:rPr>
          <w:rFonts w:ascii="Arial" w:hAnsi="Arial" w:cs="Arial"/>
          <w:sz w:val="22"/>
          <w:szCs w:val="22"/>
          <w:lang w:eastAsia="ja-JP"/>
        </w:rPr>
        <w:t xml:space="preserve"> – presents the report on the status of maintenance activities for the works and equipment financed with program resources, in accordance with generally accepted technical standards; the annual maintenance plan for that year as provided by the EA’s sub-borrowers; and the steps to fully correct any deficiencies in case inspections conducted by the Bank, or the reports it receives, show that maintenance is being performed below the agreed-upon levels.</w:t>
      </w:r>
    </w:p>
    <w:p w14:paraId="10C561A7" w14:textId="40A8D1FD" w:rsidR="00326EB1" w:rsidRDefault="00326EB1" w:rsidP="0082179B">
      <w:pPr>
        <w:pStyle w:val="ListBullet"/>
        <w:rPr>
          <w:rFonts w:ascii="Arial" w:hAnsi="Arial" w:cs="Arial"/>
          <w:sz w:val="22"/>
          <w:szCs w:val="22"/>
          <w:lang w:eastAsia="ja-JP"/>
        </w:rPr>
      </w:pPr>
      <w:r w:rsidRPr="008E106E">
        <w:rPr>
          <w:rFonts w:ascii="Arial" w:hAnsi="Arial" w:cs="Arial"/>
          <w:b/>
          <w:sz w:val="22"/>
          <w:szCs w:val="22"/>
        </w:rPr>
        <w:t xml:space="preserve">Revised indicative pipeline </w:t>
      </w:r>
      <w:r w:rsidRPr="008E106E">
        <w:rPr>
          <w:rFonts w:ascii="Arial" w:hAnsi="Arial" w:cs="Arial"/>
          <w:sz w:val="22"/>
          <w:szCs w:val="22"/>
          <w:lang w:eastAsia="ja-JP"/>
        </w:rPr>
        <w:t>– presents an update to the indicative pipeline which includes the different GE projects and technical assistance activities that the EA expects to finance during program execution</w:t>
      </w:r>
      <w:r w:rsidR="00466478" w:rsidRPr="008E106E">
        <w:rPr>
          <w:rFonts w:ascii="Arial" w:hAnsi="Arial" w:cs="Arial"/>
          <w:sz w:val="22"/>
          <w:szCs w:val="22"/>
          <w:lang w:eastAsia="ja-JP"/>
        </w:rPr>
        <w:t xml:space="preserve"> and the expected resource allocation from to these from the different sources of funding available under the SEF Program</w:t>
      </w:r>
      <w:r w:rsidRPr="008E106E">
        <w:rPr>
          <w:rFonts w:ascii="Arial" w:hAnsi="Arial" w:cs="Arial"/>
          <w:sz w:val="22"/>
          <w:szCs w:val="22"/>
          <w:lang w:eastAsia="ja-JP"/>
        </w:rPr>
        <w:t xml:space="preserve">. </w:t>
      </w:r>
      <w:r w:rsidRPr="008E106E">
        <w:rPr>
          <w:rFonts w:ascii="Arial" w:hAnsi="Arial" w:cs="Arial"/>
          <w:sz w:val="22"/>
          <w:szCs w:val="22"/>
        </w:rPr>
        <w:t>Due to the program’s on-demand nature, this pipeline is periodically reviewed by CDB and IDB to reflect the latest market developments in the ECC, the progress in program execution, and any additional resources mobilized either by CDB or IDB in support of program objectives.</w:t>
      </w:r>
    </w:p>
    <w:p w14:paraId="278CB313" w14:textId="77777777" w:rsidR="00372613" w:rsidRDefault="00372613" w:rsidP="00D61AD6">
      <w:pPr>
        <w:pStyle w:val="ListBullet"/>
        <w:numPr>
          <w:ilvl w:val="0"/>
          <w:numId w:val="0"/>
        </w:numPr>
        <w:ind w:left="720"/>
        <w:rPr>
          <w:rFonts w:ascii="Arial" w:hAnsi="Arial" w:cs="Arial"/>
          <w:sz w:val="22"/>
          <w:szCs w:val="22"/>
          <w:lang w:eastAsia="ja-JP"/>
        </w:rPr>
      </w:pPr>
    </w:p>
    <w:p w14:paraId="49D30D0F" w14:textId="4AC7EFE3" w:rsidR="00372613" w:rsidRPr="008E106E" w:rsidRDefault="00372613" w:rsidP="00372613">
      <w:pPr>
        <w:pStyle w:val="Heading3"/>
        <w:rPr>
          <w:rFonts w:ascii="Arial" w:hAnsi="Arial"/>
          <w:sz w:val="22"/>
          <w:szCs w:val="22"/>
          <w:lang w:eastAsia="ja-JP"/>
        </w:rPr>
      </w:pPr>
      <w:bookmarkStart w:id="33" w:name="_Toc531018658"/>
      <w:r w:rsidRPr="008E106E">
        <w:rPr>
          <w:rFonts w:ascii="Arial" w:hAnsi="Arial"/>
          <w:sz w:val="22"/>
          <w:szCs w:val="22"/>
          <w:lang w:eastAsia="ja-JP"/>
        </w:rPr>
        <w:t>Annual Progress Reports (APR)</w:t>
      </w:r>
      <w:bookmarkEnd w:id="33"/>
    </w:p>
    <w:p w14:paraId="1BA144D8" w14:textId="28609597" w:rsidR="00FD5211" w:rsidRDefault="00372613" w:rsidP="00FD5211">
      <w:pPr>
        <w:pStyle w:val="BodyText"/>
        <w:rPr>
          <w:rFonts w:ascii="Arial" w:hAnsi="Arial" w:cs="Arial"/>
          <w:sz w:val="22"/>
          <w:szCs w:val="22"/>
          <w:lang w:eastAsia="ja-JP"/>
        </w:rPr>
      </w:pPr>
      <w:r w:rsidRPr="008E106E">
        <w:rPr>
          <w:rFonts w:ascii="Arial" w:hAnsi="Arial" w:cs="Arial"/>
          <w:sz w:val="22"/>
          <w:szCs w:val="22"/>
        </w:rPr>
        <w:t>Annual Progress Reports (APR) are designed to monitor the progress in implementing the GE projects and technical assistance funded by SEF-</w:t>
      </w:r>
      <w:r w:rsidR="001C423C" w:rsidRPr="008E106E">
        <w:rPr>
          <w:rFonts w:ascii="Arial" w:hAnsi="Arial" w:cs="Arial"/>
          <w:sz w:val="22"/>
          <w:szCs w:val="22"/>
        </w:rPr>
        <w:t>Expanded and</w:t>
      </w:r>
      <w:r w:rsidRPr="008E106E">
        <w:rPr>
          <w:rFonts w:ascii="Arial" w:hAnsi="Arial" w:cs="Arial"/>
          <w:sz w:val="22"/>
          <w:szCs w:val="22"/>
        </w:rPr>
        <w:t xml:space="preserve"> measure their impact through various indicators. The EA is responsible for preparing them, with input from the Governments, private sponsors, utilities, and projects in the ECC. The IDB is responsible for reviewing the APR and giving its non-objection. As their name suggests, these reports are due </w:t>
      </w:r>
      <w:r w:rsidR="006459CB">
        <w:rPr>
          <w:rFonts w:ascii="Arial" w:hAnsi="Arial" w:cs="Arial"/>
          <w:sz w:val="22"/>
          <w:szCs w:val="22"/>
        </w:rPr>
        <w:t>annually</w:t>
      </w:r>
      <w:r w:rsidRPr="008E106E">
        <w:rPr>
          <w:rFonts w:ascii="Arial" w:hAnsi="Arial" w:cs="Arial"/>
          <w:sz w:val="22"/>
          <w:szCs w:val="22"/>
        </w:rPr>
        <w:t xml:space="preserve">. The EA will deliver the reports within </w:t>
      </w:r>
      <w:r>
        <w:rPr>
          <w:rFonts w:ascii="Arial" w:hAnsi="Arial" w:cs="Arial"/>
          <w:sz w:val="22"/>
          <w:szCs w:val="22"/>
        </w:rPr>
        <w:t>4</w:t>
      </w:r>
      <w:r w:rsidRPr="008E106E">
        <w:rPr>
          <w:rFonts w:ascii="Arial" w:hAnsi="Arial" w:cs="Arial"/>
          <w:sz w:val="22"/>
          <w:szCs w:val="22"/>
        </w:rPr>
        <w:t xml:space="preserve">0 calendar days after the end of each </w:t>
      </w:r>
      <w:r w:rsidR="006459CB">
        <w:rPr>
          <w:rFonts w:ascii="Arial" w:hAnsi="Arial" w:cs="Arial"/>
          <w:sz w:val="22"/>
          <w:szCs w:val="22"/>
        </w:rPr>
        <w:t xml:space="preserve">calendar year during the </w:t>
      </w:r>
      <w:r w:rsidR="00DD4ABF">
        <w:rPr>
          <w:rFonts w:ascii="Arial" w:hAnsi="Arial" w:cs="Arial"/>
          <w:sz w:val="22"/>
          <w:szCs w:val="22"/>
        </w:rPr>
        <w:t xml:space="preserve">8-year </w:t>
      </w:r>
      <w:r w:rsidR="006459CB">
        <w:rPr>
          <w:rFonts w:ascii="Arial" w:hAnsi="Arial" w:cs="Arial"/>
          <w:sz w:val="22"/>
          <w:szCs w:val="22"/>
        </w:rPr>
        <w:t>disbursement period</w:t>
      </w:r>
      <w:r w:rsidR="00DD4ABF">
        <w:rPr>
          <w:rFonts w:ascii="Arial" w:hAnsi="Arial" w:cs="Arial"/>
          <w:sz w:val="22"/>
          <w:szCs w:val="22"/>
        </w:rPr>
        <w:t xml:space="preserve"> of the SEF-Expanded</w:t>
      </w:r>
      <w:r w:rsidRPr="008E106E">
        <w:rPr>
          <w:rFonts w:ascii="Arial" w:hAnsi="Arial" w:cs="Arial"/>
          <w:sz w:val="22"/>
          <w:szCs w:val="22"/>
        </w:rPr>
        <w:t xml:space="preserve">. </w:t>
      </w:r>
      <w:r w:rsidR="008D1551">
        <w:rPr>
          <w:rFonts w:ascii="Arial" w:hAnsi="Arial" w:cs="Arial"/>
          <w:sz w:val="22"/>
          <w:szCs w:val="22"/>
          <w:lang w:eastAsia="en-US"/>
        </w:rPr>
        <w:t>T</w:t>
      </w:r>
      <w:r w:rsidR="00FD5211" w:rsidRPr="00623377">
        <w:rPr>
          <w:rFonts w:ascii="Arial" w:hAnsi="Arial" w:cs="Arial"/>
          <w:sz w:val="22"/>
          <w:szCs w:val="22"/>
          <w:lang w:eastAsia="en-US"/>
        </w:rPr>
        <w:t xml:space="preserve">he first APR </w:t>
      </w:r>
      <w:r w:rsidR="00C1154A">
        <w:rPr>
          <w:rFonts w:ascii="Arial" w:hAnsi="Arial" w:cs="Arial"/>
          <w:sz w:val="22"/>
          <w:szCs w:val="22"/>
          <w:lang w:eastAsia="en-US"/>
        </w:rPr>
        <w:t xml:space="preserve">shall </w:t>
      </w:r>
      <w:r w:rsidR="00FD5211" w:rsidRPr="00623377">
        <w:rPr>
          <w:rFonts w:ascii="Arial" w:hAnsi="Arial" w:cs="Arial"/>
          <w:sz w:val="22"/>
          <w:szCs w:val="22"/>
          <w:lang w:eastAsia="en-US"/>
        </w:rPr>
        <w:t xml:space="preserve">be submitted following the end of the calendar year after the </w:t>
      </w:r>
      <w:r w:rsidR="00C1154A">
        <w:rPr>
          <w:rFonts w:ascii="Arial" w:hAnsi="Arial" w:cs="Arial"/>
          <w:sz w:val="22"/>
          <w:szCs w:val="22"/>
          <w:lang w:eastAsia="en-US"/>
        </w:rPr>
        <w:t xml:space="preserve">GCF and IDB have </w:t>
      </w:r>
      <w:proofErr w:type="gramStart"/>
      <w:r w:rsidR="00FD5211" w:rsidRPr="00623377">
        <w:rPr>
          <w:rFonts w:ascii="Arial" w:hAnsi="Arial" w:cs="Arial"/>
          <w:sz w:val="22"/>
          <w:szCs w:val="22"/>
          <w:lang w:eastAsia="en-US"/>
        </w:rPr>
        <w:t>entered into</w:t>
      </w:r>
      <w:proofErr w:type="gramEnd"/>
      <w:r w:rsidR="00FD5211" w:rsidRPr="00623377">
        <w:rPr>
          <w:rFonts w:ascii="Arial" w:hAnsi="Arial" w:cs="Arial"/>
          <w:sz w:val="22"/>
          <w:szCs w:val="22"/>
          <w:lang w:eastAsia="en-US"/>
        </w:rPr>
        <w:t xml:space="preserve"> the relevant FAA</w:t>
      </w:r>
      <w:r w:rsidR="00A45CBA">
        <w:rPr>
          <w:rFonts w:ascii="Arial" w:hAnsi="Arial" w:cs="Arial"/>
          <w:sz w:val="22"/>
          <w:szCs w:val="22"/>
          <w:lang w:eastAsia="en-US"/>
        </w:rPr>
        <w:t xml:space="preserve"> and t</w:t>
      </w:r>
      <w:r w:rsidR="00FD5211" w:rsidRPr="00623377">
        <w:rPr>
          <w:rFonts w:ascii="Arial" w:hAnsi="Arial" w:cs="Arial"/>
          <w:sz w:val="22"/>
          <w:szCs w:val="22"/>
          <w:lang w:eastAsia="en-US"/>
        </w:rPr>
        <w:t xml:space="preserve">he last APR within 6 months of the end of the </w:t>
      </w:r>
      <w:r w:rsidR="00A437D1">
        <w:rPr>
          <w:rFonts w:ascii="Arial" w:hAnsi="Arial" w:cs="Arial"/>
          <w:sz w:val="22"/>
          <w:szCs w:val="22"/>
          <w:lang w:eastAsia="en-US"/>
        </w:rPr>
        <w:t xml:space="preserve">disbursement period. </w:t>
      </w:r>
      <w:r w:rsidR="00FD5211">
        <w:rPr>
          <w:rFonts w:ascii="Arial" w:hAnsi="Arial" w:cs="Arial"/>
          <w:sz w:val="22"/>
          <w:szCs w:val="22"/>
          <w:lang w:eastAsia="en-US"/>
        </w:rPr>
        <w:t xml:space="preserve">The APR shall set any necessary corrective measure. </w:t>
      </w:r>
    </w:p>
    <w:p w14:paraId="24C5195C" w14:textId="78CA848E" w:rsidR="00623377" w:rsidRPr="00D61AD6" w:rsidRDefault="00623377">
      <w:pPr>
        <w:pStyle w:val="BodyText"/>
        <w:rPr>
          <w:rFonts w:ascii="Arial" w:hAnsi="Arial" w:cs="Arial"/>
          <w:b/>
          <w:sz w:val="22"/>
          <w:szCs w:val="22"/>
          <w:lang w:eastAsia="en-US"/>
        </w:rPr>
      </w:pPr>
      <w:r w:rsidRPr="00D61AD6">
        <w:rPr>
          <w:rFonts w:ascii="Arial" w:hAnsi="Arial" w:cs="Arial"/>
          <w:b/>
          <w:sz w:val="22"/>
          <w:szCs w:val="22"/>
          <w:lang w:eastAsia="en-US"/>
        </w:rPr>
        <w:t>Purpose</w:t>
      </w:r>
    </w:p>
    <w:p w14:paraId="0C4C2DEE" w14:textId="18139FBC" w:rsidR="00623377" w:rsidRDefault="00623377">
      <w:pPr>
        <w:pStyle w:val="BodyText"/>
        <w:rPr>
          <w:rFonts w:ascii="Arial" w:hAnsi="Arial" w:cs="Arial"/>
          <w:sz w:val="22"/>
          <w:szCs w:val="22"/>
          <w:lang w:eastAsia="en-US"/>
        </w:rPr>
      </w:pPr>
      <w:r w:rsidRPr="008E106E">
        <w:rPr>
          <w:rFonts w:ascii="Arial" w:hAnsi="Arial" w:cs="Arial"/>
          <w:sz w:val="22"/>
          <w:szCs w:val="22"/>
        </w:rPr>
        <w:t xml:space="preserve">The purpose of the </w:t>
      </w:r>
      <w:r>
        <w:rPr>
          <w:rFonts w:ascii="Arial" w:hAnsi="Arial" w:cs="Arial"/>
          <w:sz w:val="22"/>
          <w:szCs w:val="22"/>
        </w:rPr>
        <w:t>APR</w:t>
      </w:r>
      <w:r w:rsidRPr="008E106E">
        <w:rPr>
          <w:rFonts w:ascii="Arial" w:hAnsi="Arial" w:cs="Arial"/>
          <w:sz w:val="22"/>
          <w:szCs w:val="22"/>
        </w:rPr>
        <w:t xml:space="preserve"> is to </w:t>
      </w:r>
      <w:r w:rsidR="000B6945">
        <w:rPr>
          <w:rFonts w:ascii="Arial" w:hAnsi="Arial" w:cs="Arial"/>
          <w:sz w:val="22"/>
          <w:szCs w:val="22"/>
        </w:rPr>
        <w:t xml:space="preserve">report back to the GCF </w:t>
      </w:r>
      <w:r w:rsidR="00136927">
        <w:rPr>
          <w:rFonts w:ascii="Arial" w:hAnsi="Arial" w:cs="Arial"/>
          <w:sz w:val="22"/>
          <w:szCs w:val="22"/>
        </w:rPr>
        <w:t xml:space="preserve">regarding </w:t>
      </w:r>
      <w:r w:rsidRPr="008E106E">
        <w:rPr>
          <w:rFonts w:ascii="Arial" w:hAnsi="Arial" w:cs="Arial"/>
          <w:sz w:val="22"/>
          <w:szCs w:val="22"/>
        </w:rPr>
        <w:t xml:space="preserve">the Program’s progress towards the </w:t>
      </w:r>
      <w:r w:rsidR="000B6945">
        <w:rPr>
          <w:rFonts w:ascii="Arial" w:hAnsi="Arial" w:cs="Arial"/>
          <w:sz w:val="22"/>
          <w:szCs w:val="22"/>
        </w:rPr>
        <w:t xml:space="preserve">SEF-Expanded </w:t>
      </w:r>
      <w:r w:rsidRPr="008E106E">
        <w:rPr>
          <w:rFonts w:ascii="Arial" w:hAnsi="Arial" w:cs="Arial"/>
          <w:sz w:val="22"/>
          <w:szCs w:val="22"/>
        </w:rPr>
        <w:t>targets established for the output indicator</w:t>
      </w:r>
      <w:r w:rsidR="007A28E8">
        <w:rPr>
          <w:rFonts w:ascii="Arial" w:hAnsi="Arial" w:cs="Arial"/>
          <w:sz w:val="22"/>
          <w:szCs w:val="22"/>
        </w:rPr>
        <w:t>s</w:t>
      </w:r>
      <w:r w:rsidRPr="008E106E">
        <w:rPr>
          <w:rFonts w:ascii="Arial" w:hAnsi="Arial" w:cs="Arial"/>
          <w:sz w:val="22"/>
          <w:szCs w:val="22"/>
        </w:rPr>
        <w:t xml:space="preserve"> described in Section </w:t>
      </w:r>
      <w:r w:rsidRPr="008E106E">
        <w:rPr>
          <w:rFonts w:ascii="Arial" w:hAnsi="Arial" w:cs="Arial"/>
          <w:sz w:val="22"/>
          <w:szCs w:val="22"/>
        </w:rPr>
        <w:fldChar w:fldCharType="begin"/>
      </w:r>
      <w:r w:rsidRPr="008E106E">
        <w:rPr>
          <w:rFonts w:ascii="Arial" w:hAnsi="Arial" w:cs="Arial"/>
          <w:sz w:val="22"/>
          <w:szCs w:val="22"/>
        </w:rPr>
        <w:instrText xml:space="preserve"> REF _Ref422239841 \r \h  \* MERGEFORMAT </w:instrText>
      </w:r>
      <w:r w:rsidRPr="008E106E">
        <w:rPr>
          <w:rFonts w:ascii="Arial" w:hAnsi="Arial" w:cs="Arial"/>
          <w:sz w:val="22"/>
          <w:szCs w:val="22"/>
        </w:rPr>
      </w:r>
      <w:r w:rsidRPr="008E106E">
        <w:rPr>
          <w:rFonts w:ascii="Arial" w:hAnsi="Arial" w:cs="Arial"/>
          <w:sz w:val="22"/>
          <w:szCs w:val="22"/>
        </w:rPr>
        <w:fldChar w:fldCharType="separate"/>
      </w:r>
      <w:r w:rsidRPr="008E106E">
        <w:rPr>
          <w:rFonts w:ascii="Arial" w:hAnsi="Arial" w:cs="Arial"/>
          <w:sz w:val="22"/>
          <w:szCs w:val="22"/>
        </w:rPr>
        <w:t>2.1</w:t>
      </w:r>
      <w:r w:rsidRPr="008E106E">
        <w:rPr>
          <w:rFonts w:ascii="Arial" w:hAnsi="Arial" w:cs="Arial"/>
          <w:sz w:val="22"/>
          <w:szCs w:val="22"/>
        </w:rPr>
        <w:fldChar w:fldCharType="end"/>
      </w:r>
      <w:r w:rsidRPr="008E106E">
        <w:rPr>
          <w:rFonts w:ascii="Arial" w:hAnsi="Arial" w:cs="Arial"/>
          <w:sz w:val="22"/>
          <w:szCs w:val="22"/>
        </w:rPr>
        <w:t xml:space="preserve"> and the results indicators included Section </w:t>
      </w:r>
      <w:r w:rsidRPr="008E106E">
        <w:rPr>
          <w:rFonts w:ascii="Arial" w:hAnsi="Arial" w:cs="Arial"/>
          <w:sz w:val="22"/>
          <w:szCs w:val="22"/>
        </w:rPr>
        <w:fldChar w:fldCharType="begin"/>
      </w:r>
      <w:r w:rsidRPr="008E106E">
        <w:rPr>
          <w:rFonts w:ascii="Arial" w:hAnsi="Arial" w:cs="Arial"/>
          <w:sz w:val="22"/>
          <w:szCs w:val="22"/>
        </w:rPr>
        <w:instrText xml:space="preserve"> REF _Ref422463875 \r \h  \* MERGEFORMAT </w:instrText>
      </w:r>
      <w:r w:rsidRPr="008E106E">
        <w:rPr>
          <w:rFonts w:ascii="Arial" w:hAnsi="Arial" w:cs="Arial"/>
          <w:sz w:val="22"/>
          <w:szCs w:val="22"/>
        </w:rPr>
      </w:r>
      <w:r w:rsidRPr="008E106E">
        <w:rPr>
          <w:rFonts w:ascii="Arial" w:hAnsi="Arial" w:cs="Arial"/>
          <w:sz w:val="22"/>
          <w:szCs w:val="22"/>
        </w:rPr>
        <w:fldChar w:fldCharType="separate"/>
      </w:r>
      <w:r w:rsidRPr="008E106E">
        <w:rPr>
          <w:rFonts w:ascii="Arial" w:hAnsi="Arial" w:cs="Arial"/>
          <w:sz w:val="22"/>
          <w:szCs w:val="22"/>
        </w:rPr>
        <w:t>3.3</w:t>
      </w:r>
      <w:r w:rsidRPr="008E106E">
        <w:rPr>
          <w:rFonts w:ascii="Arial" w:hAnsi="Arial" w:cs="Arial"/>
          <w:sz w:val="22"/>
          <w:szCs w:val="22"/>
        </w:rPr>
        <w:fldChar w:fldCharType="end"/>
      </w:r>
      <w:r w:rsidRPr="008E106E">
        <w:rPr>
          <w:rFonts w:ascii="Arial" w:hAnsi="Arial" w:cs="Arial"/>
          <w:sz w:val="22"/>
          <w:szCs w:val="22"/>
        </w:rPr>
        <w:t xml:space="preserve">. </w:t>
      </w:r>
    </w:p>
    <w:p w14:paraId="523C4EAF" w14:textId="77777777" w:rsidR="00136927" w:rsidRPr="00D61AD6" w:rsidRDefault="00136927">
      <w:pPr>
        <w:pStyle w:val="BodyText"/>
        <w:rPr>
          <w:rFonts w:ascii="Arial" w:hAnsi="Arial" w:cs="Arial"/>
          <w:b/>
          <w:sz w:val="22"/>
          <w:szCs w:val="22"/>
          <w:lang w:eastAsia="en-US"/>
        </w:rPr>
      </w:pPr>
      <w:r w:rsidRPr="00D61AD6">
        <w:rPr>
          <w:rFonts w:ascii="Arial" w:hAnsi="Arial" w:cs="Arial"/>
          <w:b/>
          <w:sz w:val="22"/>
          <w:szCs w:val="22"/>
          <w:lang w:eastAsia="en-US"/>
        </w:rPr>
        <w:t>Content</w:t>
      </w:r>
    </w:p>
    <w:p w14:paraId="50B3A5F4" w14:textId="0B02C702" w:rsidR="006459CB" w:rsidRDefault="00623377" w:rsidP="00D61AD6">
      <w:pPr>
        <w:pStyle w:val="BodyText"/>
        <w:rPr>
          <w:rFonts w:ascii="Arial" w:hAnsi="Arial" w:cs="Arial"/>
          <w:sz w:val="22"/>
          <w:szCs w:val="22"/>
          <w:lang w:eastAsia="ja-JP"/>
        </w:rPr>
      </w:pPr>
      <w:r w:rsidRPr="00623377">
        <w:rPr>
          <w:rFonts w:ascii="Arial" w:hAnsi="Arial" w:cs="Arial"/>
          <w:sz w:val="22"/>
          <w:szCs w:val="22"/>
          <w:lang w:eastAsia="en-US"/>
        </w:rPr>
        <w:t xml:space="preserve">APRs </w:t>
      </w:r>
      <w:r w:rsidR="00FC6141">
        <w:rPr>
          <w:rFonts w:ascii="Arial" w:hAnsi="Arial" w:cs="Arial"/>
          <w:sz w:val="22"/>
          <w:szCs w:val="22"/>
          <w:lang w:eastAsia="en-US"/>
        </w:rPr>
        <w:t xml:space="preserve">will include </w:t>
      </w:r>
      <w:r w:rsidRPr="00623377">
        <w:rPr>
          <w:rFonts w:ascii="Arial" w:hAnsi="Arial" w:cs="Arial"/>
          <w:sz w:val="22"/>
          <w:szCs w:val="22"/>
          <w:lang w:eastAsia="en-US"/>
        </w:rPr>
        <w:t xml:space="preserve">a narrative report on implementation progress based on the logical framework submitted </w:t>
      </w:r>
      <w:r w:rsidR="00FC6141">
        <w:rPr>
          <w:rFonts w:ascii="Arial" w:hAnsi="Arial" w:cs="Arial"/>
          <w:sz w:val="22"/>
          <w:szCs w:val="22"/>
          <w:lang w:eastAsia="en-US"/>
        </w:rPr>
        <w:t xml:space="preserve">to the GCF </w:t>
      </w:r>
      <w:r w:rsidRPr="00623377">
        <w:rPr>
          <w:rFonts w:ascii="Arial" w:hAnsi="Arial" w:cs="Arial"/>
          <w:sz w:val="22"/>
          <w:szCs w:val="22"/>
          <w:lang w:eastAsia="en-US"/>
        </w:rPr>
        <w:t xml:space="preserve">in the Funding Proposal and considerations on the ongoing performance of the Funded Activity against the </w:t>
      </w:r>
      <w:r w:rsidR="000E2FF7">
        <w:rPr>
          <w:rFonts w:ascii="Arial" w:hAnsi="Arial" w:cs="Arial"/>
          <w:sz w:val="22"/>
          <w:szCs w:val="22"/>
          <w:lang w:eastAsia="en-US"/>
        </w:rPr>
        <w:t>GCF</w:t>
      </w:r>
      <w:r w:rsidRPr="00623377">
        <w:rPr>
          <w:rFonts w:ascii="Arial" w:hAnsi="Arial" w:cs="Arial"/>
          <w:sz w:val="22"/>
          <w:szCs w:val="22"/>
          <w:lang w:eastAsia="en-US"/>
        </w:rPr>
        <w:t>’s investment framework criteria</w:t>
      </w:r>
      <w:r w:rsidR="00FB278E">
        <w:rPr>
          <w:rFonts w:ascii="Arial" w:hAnsi="Arial" w:cs="Arial"/>
          <w:sz w:val="22"/>
          <w:szCs w:val="22"/>
          <w:lang w:eastAsia="en-US"/>
        </w:rPr>
        <w:t xml:space="preserve">. </w:t>
      </w:r>
      <w:r w:rsidR="006459CB">
        <w:rPr>
          <w:rFonts w:ascii="Arial" w:hAnsi="Arial" w:cs="Arial"/>
          <w:sz w:val="22"/>
          <w:szCs w:val="22"/>
          <w:lang w:eastAsia="en-US"/>
        </w:rPr>
        <w:t>The report shall be prepared in accordance with GCF requirements, and will include, among others: (i) information on compliance with the financial</w:t>
      </w:r>
      <w:r w:rsidR="00067D49">
        <w:rPr>
          <w:rFonts w:ascii="Arial" w:hAnsi="Arial" w:cs="Arial"/>
          <w:sz w:val="22"/>
          <w:szCs w:val="22"/>
          <w:lang w:eastAsia="en-US"/>
        </w:rPr>
        <w:t>/economic</w:t>
      </w:r>
      <w:r w:rsidR="006459CB">
        <w:rPr>
          <w:rFonts w:ascii="Arial" w:hAnsi="Arial" w:cs="Arial"/>
          <w:sz w:val="22"/>
          <w:szCs w:val="22"/>
          <w:lang w:eastAsia="en-US"/>
        </w:rPr>
        <w:t>, fiduciary, GHG emissions reduction as applicable, environmental and social requirements of the program; (ii) information on compliance with the gender aspects of the program; and (iii) information that confirms that the activities of the program have been carried out in accordance with the applicable intellectual property laws.</w:t>
      </w:r>
      <w:r w:rsidR="00067D49" w:rsidRPr="00067D49">
        <w:t xml:space="preserve"> </w:t>
      </w:r>
    </w:p>
    <w:p w14:paraId="596D37CF" w14:textId="77777777" w:rsidR="00372613" w:rsidRPr="008E106E" w:rsidRDefault="00372613" w:rsidP="00372613">
      <w:pPr>
        <w:pStyle w:val="ListBullet"/>
        <w:numPr>
          <w:ilvl w:val="0"/>
          <w:numId w:val="0"/>
        </w:numPr>
        <w:ind w:left="1004" w:hanging="284"/>
        <w:rPr>
          <w:rFonts w:ascii="Arial" w:hAnsi="Arial" w:cs="Arial"/>
          <w:sz w:val="22"/>
          <w:szCs w:val="22"/>
          <w:lang w:eastAsia="ja-JP"/>
        </w:rPr>
      </w:pPr>
    </w:p>
    <w:p w14:paraId="5241FF49" w14:textId="5A5E5D38" w:rsidR="00092854" w:rsidRPr="008E106E" w:rsidRDefault="00092854" w:rsidP="00261A1C">
      <w:pPr>
        <w:pStyle w:val="Heading3"/>
        <w:rPr>
          <w:rFonts w:ascii="Arial" w:hAnsi="Arial"/>
          <w:sz w:val="22"/>
          <w:szCs w:val="22"/>
          <w:lang w:eastAsia="ja-JP"/>
        </w:rPr>
      </w:pPr>
      <w:bookmarkStart w:id="34" w:name="_Toc531018659"/>
      <w:r w:rsidRPr="008E106E">
        <w:rPr>
          <w:rFonts w:ascii="Arial" w:hAnsi="Arial"/>
          <w:sz w:val="22"/>
          <w:szCs w:val="22"/>
          <w:lang w:eastAsia="ja-JP"/>
        </w:rPr>
        <w:t xml:space="preserve">Due Diligence </w:t>
      </w:r>
      <w:r w:rsidR="006C72B4" w:rsidRPr="008E106E">
        <w:rPr>
          <w:rFonts w:ascii="Arial" w:hAnsi="Arial"/>
          <w:sz w:val="22"/>
          <w:szCs w:val="22"/>
          <w:lang w:eastAsia="ja-JP"/>
        </w:rPr>
        <w:t>and Annual Supervision</w:t>
      </w:r>
      <w:r w:rsidR="007F396C" w:rsidRPr="008E106E">
        <w:rPr>
          <w:rFonts w:ascii="Arial" w:hAnsi="Arial"/>
          <w:sz w:val="22"/>
          <w:szCs w:val="22"/>
          <w:lang w:eastAsia="ja-JP"/>
        </w:rPr>
        <w:t xml:space="preserve"> Missions</w:t>
      </w:r>
      <w:bookmarkEnd w:id="34"/>
    </w:p>
    <w:p w14:paraId="541B3A54" w14:textId="14C56364" w:rsidR="00723FB6" w:rsidRPr="008E106E" w:rsidRDefault="00092854" w:rsidP="00092854">
      <w:pPr>
        <w:pStyle w:val="BodyText"/>
        <w:rPr>
          <w:rFonts w:ascii="Arial" w:hAnsi="Arial" w:cs="Arial"/>
          <w:sz w:val="22"/>
          <w:szCs w:val="22"/>
          <w:lang w:eastAsia="ja-JP"/>
        </w:rPr>
      </w:pPr>
      <w:r w:rsidRPr="008E106E">
        <w:rPr>
          <w:rFonts w:ascii="Arial" w:hAnsi="Arial" w:cs="Arial"/>
          <w:sz w:val="22"/>
          <w:szCs w:val="22"/>
          <w:lang w:eastAsia="ja-JP"/>
        </w:rPr>
        <w:t xml:space="preserve">There will be due diligence for each </w:t>
      </w:r>
      <w:r w:rsidR="00346E4F" w:rsidRPr="008E106E">
        <w:rPr>
          <w:rFonts w:ascii="Arial" w:hAnsi="Arial" w:cs="Arial"/>
          <w:sz w:val="22"/>
          <w:szCs w:val="22"/>
          <w:lang w:eastAsia="ja-JP"/>
        </w:rPr>
        <w:t>Category A proposed</w:t>
      </w:r>
      <w:r w:rsidRPr="008E106E">
        <w:rPr>
          <w:rFonts w:ascii="Arial" w:hAnsi="Arial" w:cs="Arial"/>
          <w:sz w:val="22"/>
          <w:szCs w:val="22"/>
          <w:lang w:eastAsia="ja-JP"/>
        </w:rPr>
        <w:t xml:space="preserve"> </w:t>
      </w:r>
      <w:r w:rsidR="00466478" w:rsidRPr="008E106E">
        <w:rPr>
          <w:rFonts w:ascii="Arial" w:hAnsi="Arial" w:cs="Arial"/>
          <w:sz w:val="22"/>
          <w:szCs w:val="22"/>
          <w:lang w:eastAsia="ja-JP"/>
        </w:rPr>
        <w:t>GE</w:t>
      </w:r>
      <w:r w:rsidRPr="008E106E">
        <w:rPr>
          <w:rFonts w:ascii="Arial" w:hAnsi="Arial" w:cs="Arial"/>
          <w:sz w:val="22"/>
          <w:szCs w:val="22"/>
          <w:lang w:eastAsia="ja-JP"/>
        </w:rPr>
        <w:t xml:space="preserve"> </w:t>
      </w:r>
      <w:r w:rsidR="00346E4F" w:rsidRPr="008E106E">
        <w:rPr>
          <w:rFonts w:ascii="Arial" w:hAnsi="Arial" w:cs="Arial"/>
          <w:sz w:val="22"/>
          <w:szCs w:val="22"/>
          <w:lang w:eastAsia="ja-JP"/>
        </w:rPr>
        <w:t>project</w:t>
      </w:r>
      <w:r w:rsidR="00466478" w:rsidRPr="008E106E">
        <w:rPr>
          <w:rFonts w:ascii="Arial" w:hAnsi="Arial" w:cs="Arial"/>
          <w:sz w:val="22"/>
          <w:szCs w:val="22"/>
          <w:lang w:eastAsia="ja-JP"/>
        </w:rPr>
        <w:t xml:space="preserve"> financed by the program</w:t>
      </w:r>
      <w:r w:rsidRPr="008E106E">
        <w:rPr>
          <w:rFonts w:ascii="Arial" w:hAnsi="Arial" w:cs="Arial"/>
          <w:sz w:val="22"/>
          <w:szCs w:val="22"/>
          <w:lang w:eastAsia="ja-JP"/>
        </w:rPr>
        <w:t>.</w:t>
      </w:r>
      <w:r w:rsidR="00346E4F" w:rsidRPr="008E106E">
        <w:rPr>
          <w:rFonts w:ascii="Arial" w:hAnsi="Arial" w:cs="Arial"/>
          <w:sz w:val="22"/>
          <w:szCs w:val="22"/>
          <w:lang w:eastAsia="ja-JP"/>
        </w:rPr>
        <w:t xml:space="preserve"> There will be one due diligence mission at the beginning of the projects.</w:t>
      </w:r>
      <w:r w:rsidRPr="008E106E">
        <w:rPr>
          <w:rFonts w:ascii="Arial" w:hAnsi="Arial" w:cs="Arial"/>
          <w:sz w:val="22"/>
          <w:szCs w:val="22"/>
          <w:lang w:eastAsia="ja-JP"/>
        </w:rPr>
        <w:t xml:space="preserve"> </w:t>
      </w:r>
      <w:r w:rsidR="006C72B4" w:rsidRPr="008E106E">
        <w:rPr>
          <w:rFonts w:ascii="Arial" w:hAnsi="Arial" w:cs="Arial"/>
          <w:sz w:val="22"/>
          <w:szCs w:val="22"/>
          <w:lang w:eastAsia="ja-JP"/>
        </w:rPr>
        <w:t xml:space="preserve">Following that, there will be annual supervision missions </w:t>
      </w:r>
      <w:r w:rsidR="00723FB6" w:rsidRPr="008E106E">
        <w:rPr>
          <w:rFonts w:ascii="Arial" w:hAnsi="Arial" w:cs="Arial"/>
          <w:sz w:val="22"/>
          <w:szCs w:val="22"/>
          <w:lang w:eastAsia="ja-JP"/>
        </w:rPr>
        <w:t>for the following</w:t>
      </w:r>
      <w:r w:rsidR="006C72B4" w:rsidRPr="008E106E">
        <w:rPr>
          <w:rFonts w:ascii="Arial" w:hAnsi="Arial" w:cs="Arial"/>
          <w:sz w:val="22"/>
          <w:szCs w:val="22"/>
          <w:lang w:eastAsia="ja-JP"/>
        </w:rPr>
        <w:t xml:space="preserve"> years</w:t>
      </w:r>
      <w:r w:rsidR="00466478" w:rsidRPr="008E106E">
        <w:rPr>
          <w:rFonts w:ascii="Arial" w:hAnsi="Arial" w:cs="Arial"/>
          <w:sz w:val="22"/>
          <w:szCs w:val="22"/>
          <w:lang w:eastAsia="ja-JP"/>
        </w:rPr>
        <w:t xml:space="preserve"> of the commitment period</w:t>
      </w:r>
      <w:r w:rsidR="00164759" w:rsidRPr="008E106E">
        <w:rPr>
          <w:rFonts w:ascii="Arial" w:hAnsi="Arial" w:cs="Arial"/>
          <w:sz w:val="22"/>
          <w:szCs w:val="22"/>
          <w:lang w:eastAsia="ja-JP"/>
        </w:rPr>
        <w:t xml:space="preserve"> of the </w:t>
      </w:r>
      <w:r w:rsidR="00466478" w:rsidRPr="008E106E">
        <w:rPr>
          <w:rFonts w:ascii="Arial" w:hAnsi="Arial" w:cs="Arial"/>
          <w:sz w:val="22"/>
          <w:szCs w:val="22"/>
          <w:lang w:eastAsia="ja-JP"/>
        </w:rPr>
        <w:t>p</w:t>
      </w:r>
      <w:r w:rsidR="00164759" w:rsidRPr="008E106E">
        <w:rPr>
          <w:rFonts w:ascii="Arial" w:hAnsi="Arial" w:cs="Arial"/>
          <w:sz w:val="22"/>
          <w:szCs w:val="22"/>
          <w:lang w:eastAsia="ja-JP"/>
        </w:rPr>
        <w:t xml:space="preserve">rogram. </w:t>
      </w:r>
    </w:p>
    <w:p w14:paraId="521FF801" w14:textId="13A595AD" w:rsidR="00092854" w:rsidRPr="008E106E" w:rsidRDefault="0000737F" w:rsidP="00092854">
      <w:pPr>
        <w:pStyle w:val="BodyText"/>
        <w:rPr>
          <w:rFonts w:ascii="Arial" w:hAnsi="Arial" w:cs="Arial"/>
          <w:sz w:val="22"/>
          <w:szCs w:val="22"/>
          <w:lang w:eastAsia="ja-JP"/>
        </w:rPr>
      </w:pPr>
      <w:r w:rsidRPr="008E106E">
        <w:rPr>
          <w:rFonts w:ascii="Arial" w:hAnsi="Arial" w:cs="Arial"/>
          <w:sz w:val="22"/>
          <w:szCs w:val="22"/>
          <w:lang w:eastAsia="ja-JP"/>
        </w:rPr>
        <w:t xml:space="preserve">The IDB will be responsible for hiring </w:t>
      </w:r>
      <w:r w:rsidR="00723FB6" w:rsidRPr="008E106E">
        <w:rPr>
          <w:rFonts w:ascii="Arial" w:hAnsi="Arial" w:cs="Arial"/>
          <w:sz w:val="22"/>
          <w:szCs w:val="22"/>
          <w:lang w:eastAsia="ja-JP"/>
        </w:rPr>
        <w:t>external</w:t>
      </w:r>
      <w:r w:rsidRPr="008E106E">
        <w:rPr>
          <w:rFonts w:ascii="Arial" w:hAnsi="Arial" w:cs="Arial"/>
          <w:sz w:val="22"/>
          <w:szCs w:val="22"/>
          <w:lang w:eastAsia="ja-JP"/>
        </w:rPr>
        <w:t xml:space="preserve"> consultant</w:t>
      </w:r>
      <w:r w:rsidR="00723FB6" w:rsidRPr="008E106E">
        <w:rPr>
          <w:rFonts w:ascii="Arial" w:hAnsi="Arial" w:cs="Arial"/>
          <w:sz w:val="22"/>
          <w:szCs w:val="22"/>
          <w:lang w:eastAsia="ja-JP"/>
        </w:rPr>
        <w:t>s</w:t>
      </w:r>
      <w:r w:rsidRPr="008E106E">
        <w:rPr>
          <w:rFonts w:ascii="Arial" w:hAnsi="Arial" w:cs="Arial"/>
          <w:sz w:val="22"/>
          <w:szCs w:val="22"/>
          <w:lang w:eastAsia="ja-JP"/>
        </w:rPr>
        <w:t xml:space="preserve"> </w:t>
      </w:r>
      <w:r w:rsidR="00723FB6" w:rsidRPr="008E106E">
        <w:rPr>
          <w:rFonts w:ascii="Arial" w:hAnsi="Arial" w:cs="Arial"/>
          <w:sz w:val="22"/>
          <w:szCs w:val="22"/>
          <w:lang w:eastAsia="ja-JP"/>
        </w:rPr>
        <w:t>to</w:t>
      </w:r>
      <w:r w:rsidRPr="008E106E">
        <w:rPr>
          <w:rFonts w:ascii="Arial" w:hAnsi="Arial" w:cs="Arial"/>
          <w:sz w:val="22"/>
          <w:szCs w:val="22"/>
          <w:lang w:eastAsia="ja-JP"/>
        </w:rPr>
        <w:t xml:space="preserve"> carry out the due diligence </w:t>
      </w:r>
      <w:r w:rsidR="00164759" w:rsidRPr="008E106E">
        <w:rPr>
          <w:rFonts w:ascii="Arial" w:hAnsi="Arial" w:cs="Arial"/>
          <w:sz w:val="22"/>
          <w:szCs w:val="22"/>
          <w:lang w:eastAsia="ja-JP"/>
        </w:rPr>
        <w:t xml:space="preserve">and supervisions missions </w:t>
      </w:r>
      <w:r w:rsidRPr="008E106E">
        <w:rPr>
          <w:rFonts w:ascii="Arial" w:hAnsi="Arial" w:cs="Arial"/>
          <w:sz w:val="22"/>
          <w:szCs w:val="22"/>
          <w:lang w:eastAsia="ja-JP"/>
        </w:rPr>
        <w:t xml:space="preserve">for the </w:t>
      </w:r>
      <w:r w:rsidR="00466478" w:rsidRPr="008E106E">
        <w:rPr>
          <w:rFonts w:ascii="Arial" w:hAnsi="Arial" w:cs="Arial"/>
          <w:sz w:val="22"/>
          <w:szCs w:val="22"/>
          <w:lang w:eastAsia="ja-JP"/>
        </w:rPr>
        <w:t>RE</w:t>
      </w:r>
      <w:r w:rsidRPr="008E106E">
        <w:rPr>
          <w:rFonts w:ascii="Arial" w:hAnsi="Arial" w:cs="Arial"/>
          <w:sz w:val="22"/>
          <w:szCs w:val="22"/>
          <w:lang w:eastAsia="ja-JP"/>
        </w:rPr>
        <w:t xml:space="preserve"> projects financed through the Program</w:t>
      </w:r>
      <w:r w:rsidR="00466478" w:rsidRPr="008E106E">
        <w:rPr>
          <w:rFonts w:ascii="Arial" w:hAnsi="Arial" w:cs="Arial"/>
          <w:sz w:val="22"/>
          <w:szCs w:val="22"/>
          <w:lang w:eastAsia="ja-JP"/>
        </w:rPr>
        <w:t xml:space="preserve"> including the </w:t>
      </w:r>
      <w:r w:rsidR="004D0B16" w:rsidRPr="008E106E">
        <w:rPr>
          <w:rFonts w:ascii="Arial" w:hAnsi="Arial" w:cs="Arial"/>
          <w:sz w:val="22"/>
          <w:szCs w:val="22"/>
          <w:lang w:eastAsia="ja-JP"/>
        </w:rPr>
        <w:t>GE</w:t>
      </w:r>
      <w:r w:rsidR="00466478" w:rsidRPr="008E106E">
        <w:rPr>
          <w:rFonts w:ascii="Arial" w:hAnsi="Arial" w:cs="Arial"/>
          <w:sz w:val="22"/>
          <w:szCs w:val="22"/>
          <w:lang w:eastAsia="ja-JP"/>
        </w:rPr>
        <w:t xml:space="preserve"> projects financed with SEF-Expanded resources</w:t>
      </w:r>
      <w:r w:rsidRPr="008E106E">
        <w:rPr>
          <w:rFonts w:ascii="Arial" w:hAnsi="Arial" w:cs="Arial"/>
          <w:sz w:val="22"/>
          <w:szCs w:val="22"/>
          <w:lang w:eastAsia="ja-JP"/>
        </w:rPr>
        <w:t xml:space="preserve">. The due diligence missions should occur during year 1 of </w:t>
      </w:r>
      <w:r w:rsidR="00466478" w:rsidRPr="008E106E">
        <w:rPr>
          <w:rFonts w:ascii="Arial" w:hAnsi="Arial" w:cs="Arial"/>
          <w:sz w:val="22"/>
          <w:szCs w:val="22"/>
          <w:lang w:eastAsia="ja-JP"/>
        </w:rPr>
        <w:t>each sub-project</w:t>
      </w:r>
      <w:r w:rsidR="00723FB6" w:rsidRPr="008E106E">
        <w:rPr>
          <w:rFonts w:ascii="Arial" w:hAnsi="Arial" w:cs="Arial"/>
          <w:sz w:val="22"/>
          <w:szCs w:val="22"/>
          <w:lang w:eastAsia="ja-JP"/>
        </w:rPr>
        <w:t>,</w:t>
      </w:r>
      <w:r w:rsidRPr="008E106E">
        <w:rPr>
          <w:rFonts w:ascii="Arial" w:hAnsi="Arial" w:cs="Arial"/>
          <w:sz w:val="22"/>
          <w:szCs w:val="22"/>
          <w:lang w:eastAsia="ja-JP"/>
        </w:rPr>
        <w:t xml:space="preserve"> prior to </w:t>
      </w:r>
      <w:r w:rsidR="00723FB6" w:rsidRPr="008E106E">
        <w:rPr>
          <w:rFonts w:ascii="Arial" w:hAnsi="Arial" w:cs="Arial"/>
          <w:sz w:val="22"/>
          <w:szCs w:val="22"/>
          <w:lang w:eastAsia="ja-JP"/>
        </w:rPr>
        <w:t>the</w:t>
      </w:r>
      <w:r w:rsidRPr="008E106E">
        <w:rPr>
          <w:rFonts w:ascii="Arial" w:hAnsi="Arial" w:cs="Arial"/>
          <w:sz w:val="22"/>
          <w:szCs w:val="22"/>
          <w:lang w:eastAsia="ja-JP"/>
        </w:rPr>
        <w:t xml:space="preserve"> first disbursements made to the projects. </w:t>
      </w:r>
      <w:r w:rsidR="00164759" w:rsidRPr="008E106E">
        <w:rPr>
          <w:rFonts w:ascii="Arial" w:hAnsi="Arial" w:cs="Arial"/>
          <w:sz w:val="22"/>
          <w:szCs w:val="22"/>
          <w:lang w:eastAsia="ja-JP"/>
        </w:rPr>
        <w:t>The supervision missions will occur on an annual basis</w:t>
      </w:r>
      <w:r w:rsidR="00723FB6" w:rsidRPr="008E106E">
        <w:rPr>
          <w:rFonts w:ascii="Arial" w:hAnsi="Arial" w:cs="Arial"/>
          <w:sz w:val="22"/>
          <w:szCs w:val="22"/>
          <w:lang w:eastAsia="ja-JP"/>
        </w:rPr>
        <w:t>,</w:t>
      </w:r>
      <w:r w:rsidR="00164759" w:rsidRPr="008E106E">
        <w:rPr>
          <w:rFonts w:ascii="Arial" w:hAnsi="Arial" w:cs="Arial"/>
          <w:sz w:val="22"/>
          <w:szCs w:val="22"/>
          <w:lang w:eastAsia="ja-JP"/>
        </w:rPr>
        <w:t xml:space="preserve"> starting in year two and </w:t>
      </w:r>
      <w:r w:rsidR="005C08C9" w:rsidRPr="008E106E">
        <w:rPr>
          <w:rFonts w:ascii="Arial" w:hAnsi="Arial" w:cs="Arial"/>
          <w:sz w:val="22"/>
          <w:szCs w:val="22"/>
          <w:lang w:eastAsia="ja-JP"/>
        </w:rPr>
        <w:t>until program completion</w:t>
      </w:r>
      <w:r w:rsidR="00164759" w:rsidRPr="008E106E">
        <w:rPr>
          <w:rFonts w:ascii="Arial" w:hAnsi="Arial" w:cs="Arial"/>
          <w:sz w:val="22"/>
          <w:szCs w:val="22"/>
          <w:lang w:eastAsia="ja-JP"/>
        </w:rPr>
        <w:t xml:space="preserve">. </w:t>
      </w:r>
    </w:p>
    <w:p w14:paraId="786F2D5C" w14:textId="0B3FC64A" w:rsidR="0000737F" w:rsidRPr="008E106E" w:rsidRDefault="0000737F" w:rsidP="0000737F">
      <w:pPr>
        <w:pStyle w:val="Subheading"/>
        <w:rPr>
          <w:rFonts w:ascii="Arial" w:hAnsi="Arial" w:cs="Arial"/>
          <w:sz w:val="22"/>
          <w:szCs w:val="22"/>
        </w:rPr>
      </w:pPr>
      <w:r w:rsidRPr="008E106E">
        <w:rPr>
          <w:rFonts w:ascii="Arial" w:hAnsi="Arial" w:cs="Arial"/>
          <w:sz w:val="22"/>
          <w:szCs w:val="22"/>
        </w:rPr>
        <w:t>Purpose</w:t>
      </w:r>
    </w:p>
    <w:p w14:paraId="5C2C1510" w14:textId="18673F8A" w:rsidR="0000737F" w:rsidRPr="008E106E" w:rsidRDefault="00723FB6" w:rsidP="0000737F">
      <w:pPr>
        <w:pStyle w:val="BodyText"/>
        <w:rPr>
          <w:rFonts w:ascii="Arial" w:hAnsi="Arial" w:cs="Arial"/>
          <w:sz w:val="22"/>
          <w:szCs w:val="22"/>
        </w:rPr>
      </w:pPr>
      <w:r w:rsidRPr="008E106E">
        <w:rPr>
          <w:rFonts w:ascii="Arial" w:hAnsi="Arial" w:cs="Arial"/>
          <w:sz w:val="22"/>
          <w:szCs w:val="22"/>
          <w:lang w:eastAsia="ja-JP"/>
        </w:rPr>
        <w:t xml:space="preserve">The purpose of the due diligence missions is to provide an </w:t>
      </w:r>
      <w:r w:rsidR="00B476DA" w:rsidRPr="008E106E">
        <w:rPr>
          <w:rFonts w:ascii="Arial" w:hAnsi="Arial" w:cs="Arial"/>
          <w:sz w:val="22"/>
          <w:szCs w:val="22"/>
          <w:lang w:eastAsia="ja-JP"/>
        </w:rPr>
        <w:t>independent</w:t>
      </w:r>
      <w:r w:rsidRPr="008E106E">
        <w:rPr>
          <w:rFonts w:ascii="Arial" w:hAnsi="Arial" w:cs="Arial"/>
          <w:sz w:val="22"/>
          <w:szCs w:val="22"/>
          <w:lang w:eastAsia="ja-JP"/>
        </w:rPr>
        <w:t xml:space="preserve"> opinion about the viability of the projects</w:t>
      </w:r>
      <w:r w:rsidR="00B476DA" w:rsidRPr="008E106E">
        <w:rPr>
          <w:rFonts w:ascii="Arial" w:hAnsi="Arial" w:cs="Arial"/>
          <w:sz w:val="22"/>
          <w:szCs w:val="22"/>
          <w:lang w:eastAsia="ja-JP"/>
        </w:rPr>
        <w:t xml:space="preserve"> and their progress</w:t>
      </w:r>
      <w:r w:rsidRPr="008E106E">
        <w:rPr>
          <w:rFonts w:ascii="Arial" w:hAnsi="Arial" w:cs="Arial"/>
          <w:sz w:val="22"/>
          <w:szCs w:val="22"/>
          <w:lang w:eastAsia="ja-JP"/>
        </w:rPr>
        <w:t>. Specifically, the due diligence will verify the financial and technical information included in the loan applications and inform the IDB and other donors of the risks. The supervision missions will provide an unbiased technical opinio</w:t>
      </w:r>
      <w:r w:rsidR="00B476DA" w:rsidRPr="008E106E">
        <w:rPr>
          <w:rFonts w:ascii="Arial" w:hAnsi="Arial" w:cs="Arial"/>
          <w:sz w:val="22"/>
          <w:szCs w:val="22"/>
          <w:lang w:eastAsia="ja-JP"/>
        </w:rPr>
        <w:t>n about the projects’ progress</w:t>
      </w:r>
      <w:r w:rsidR="0000737F" w:rsidRPr="008E106E">
        <w:rPr>
          <w:rFonts w:ascii="Arial" w:hAnsi="Arial" w:cs="Arial"/>
          <w:sz w:val="22"/>
          <w:szCs w:val="22"/>
          <w:lang w:eastAsia="ja-JP"/>
        </w:rPr>
        <w:t xml:space="preserve">. </w:t>
      </w:r>
    </w:p>
    <w:p w14:paraId="2230DD35" w14:textId="77777777" w:rsidR="0000737F" w:rsidRPr="008E106E" w:rsidRDefault="0000737F" w:rsidP="0000737F">
      <w:pPr>
        <w:pStyle w:val="Subheading"/>
        <w:rPr>
          <w:rFonts w:ascii="Arial" w:hAnsi="Arial" w:cs="Arial"/>
          <w:sz w:val="22"/>
          <w:szCs w:val="22"/>
        </w:rPr>
      </w:pPr>
      <w:r w:rsidRPr="008E106E">
        <w:rPr>
          <w:rFonts w:ascii="Arial" w:hAnsi="Arial" w:cs="Arial"/>
          <w:sz w:val="22"/>
          <w:szCs w:val="22"/>
        </w:rPr>
        <w:t>Content</w:t>
      </w:r>
    </w:p>
    <w:p w14:paraId="47A2FE4A" w14:textId="495508CE" w:rsidR="0000737F" w:rsidRPr="008E106E" w:rsidRDefault="0000737F" w:rsidP="0000737F">
      <w:pPr>
        <w:pStyle w:val="BodyText"/>
        <w:rPr>
          <w:rFonts w:ascii="Arial" w:hAnsi="Arial" w:cs="Arial"/>
          <w:sz w:val="22"/>
          <w:szCs w:val="22"/>
          <w:lang w:eastAsia="ja-JP"/>
        </w:rPr>
      </w:pPr>
      <w:r w:rsidRPr="008E106E">
        <w:rPr>
          <w:rFonts w:ascii="Arial" w:hAnsi="Arial" w:cs="Arial"/>
          <w:sz w:val="22"/>
          <w:szCs w:val="22"/>
          <w:lang w:eastAsia="ja-JP"/>
        </w:rPr>
        <w:t xml:space="preserve">The IDB </w:t>
      </w:r>
      <w:r w:rsidR="00B476DA" w:rsidRPr="008E106E">
        <w:rPr>
          <w:rFonts w:ascii="Arial" w:hAnsi="Arial" w:cs="Arial"/>
          <w:sz w:val="22"/>
          <w:szCs w:val="22"/>
          <w:lang w:eastAsia="ja-JP"/>
        </w:rPr>
        <w:t xml:space="preserve">will </w:t>
      </w:r>
      <w:r w:rsidR="00466478" w:rsidRPr="008E106E">
        <w:rPr>
          <w:rFonts w:ascii="Arial" w:hAnsi="Arial" w:cs="Arial"/>
          <w:sz w:val="22"/>
          <w:szCs w:val="22"/>
          <w:lang w:eastAsia="ja-JP"/>
        </w:rPr>
        <w:t xml:space="preserve">review </w:t>
      </w:r>
      <w:r w:rsidR="00B476DA" w:rsidRPr="008E106E">
        <w:rPr>
          <w:rFonts w:ascii="Arial" w:hAnsi="Arial" w:cs="Arial"/>
          <w:sz w:val="22"/>
          <w:szCs w:val="22"/>
          <w:lang w:eastAsia="ja-JP"/>
        </w:rPr>
        <w:t xml:space="preserve">the TOR of the </w:t>
      </w:r>
      <w:r w:rsidRPr="008E106E">
        <w:rPr>
          <w:rFonts w:ascii="Arial" w:hAnsi="Arial" w:cs="Arial"/>
          <w:sz w:val="22"/>
          <w:szCs w:val="22"/>
          <w:lang w:eastAsia="ja-JP"/>
        </w:rPr>
        <w:t>due diligence</w:t>
      </w:r>
      <w:r w:rsidR="00164759" w:rsidRPr="008E106E">
        <w:rPr>
          <w:rFonts w:ascii="Arial" w:hAnsi="Arial" w:cs="Arial"/>
          <w:sz w:val="22"/>
          <w:szCs w:val="22"/>
          <w:lang w:eastAsia="ja-JP"/>
        </w:rPr>
        <w:t xml:space="preserve"> and supervision</w:t>
      </w:r>
      <w:r w:rsidRPr="008E106E">
        <w:rPr>
          <w:rFonts w:ascii="Arial" w:hAnsi="Arial" w:cs="Arial"/>
          <w:sz w:val="22"/>
          <w:szCs w:val="22"/>
          <w:lang w:eastAsia="ja-JP"/>
        </w:rPr>
        <w:t xml:space="preserve"> missions </w:t>
      </w:r>
      <w:r w:rsidR="00B476DA" w:rsidRPr="008E106E">
        <w:rPr>
          <w:rFonts w:ascii="Arial" w:hAnsi="Arial" w:cs="Arial"/>
          <w:sz w:val="22"/>
          <w:szCs w:val="22"/>
          <w:lang w:eastAsia="ja-JP"/>
        </w:rPr>
        <w:t xml:space="preserve">and </w:t>
      </w:r>
      <w:r w:rsidR="00466478" w:rsidRPr="008E106E">
        <w:rPr>
          <w:rFonts w:ascii="Arial" w:hAnsi="Arial" w:cs="Arial"/>
          <w:sz w:val="22"/>
          <w:szCs w:val="22"/>
          <w:lang w:eastAsia="ja-JP"/>
        </w:rPr>
        <w:t>o</w:t>
      </w:r>
      <w:r w:rsidRPr="008E106E">
        <w:rPr>
          <w:rFonts w:ascii="Arial" w:hAnsi="Arial" w:cs="Arial"/>
          <w:sz w:val="22"/>
          <w:szCs w:val="22"/>
          <w:lang w:eastAsia="ja-JP"/>
        </w:rPr>
        <w:t xml:space="preserve">nce completed, the IDB must review and approve the </w:t>
      </w:r>
      <w:r w:rsidR="00466478" w:rsidRPr="008E106E">
        <w:rPr>
          <w:rFonts w:ascii="Arial" w:hAnsi="Arial" w:cs="Arial"/>
          <w:sz w:val="22"/>
          <w:szCs w:val="22"/>
          <w:lang w:eastAsia="ja-JP"/>
        </w:rPr>
        <w:t xml:space="preserve">due diligence </w:t>
      </w:r>
      <w:r w:rsidRPr="008E106E">
        <w:rPr>
          <w:rFonts w:ascii="Arial" w:hAnsi="Arial" w:cs="Arial"/>
          <w:sz w:val="22"/>
          <w:szCs w:val="22"/>
          <w:lang w:eastAsia="ja-JP"/>
        </w:rPr>
        <w:t>reports</w:t>
      </w:r>
      <w:r w:rsidR="00C56E19" w:rsidRPr="008E106E">
        <w:rPr>
          <w:rFonts w:ascii="Arial" w:hAnsi="Arial" w:cs="Arial"/>
          <w:sz w:val="22"/>
          <w:szCs w:val="22"/>
          <w:lang w:eastAsia="ja-JP"/>
        </w:rPr>
        <w:t>.</w:t>
      </w:r>
    </w:p>
    <w:p w14:paraId="5641D7F1" w14:textId="77777777" w:rsidR="00A10964" w:rsidRPr="008E106E" w:rsidRDefault="00A10964" w:rsidP="00261A1C">
      <w:pPr>
        <w:pStyle w:val="Heading3"/>
        <w:rPr>
          <w:rFonts w:ascii="Arial" w:hAnsi="Arial"/>
          <w:sz w:val="22"/>
          <w:szCs w:val="22"/>
          <w:lang w:eastAsia="ja-JP"/>
        </w:rPr>
      </w:pPr>
      <w:bookmarkStart w:id="35" w:name="_Toc531018660"/>
      <w:r w:rsidRPr="008E106E">
        <w:rPr>
          <w:rFonts w:ascii="Arial" w:hAnsi="Arial"/>
          <w:sz w:val="22"/>
          <w:szCs w:val="22"/>
          <w:lang w:eastAsia="ja-JP"/>
        </w:rPr>
        <w:t>F</w:t>
      </w:r>
      <w:r w:rsidR="00882800" w:rsidRPr="008E106E">
        <w:rPr>
          <w:rFonts w:ascii="Arial" w:hAnsi="Arial"/>
          <w:sz w:val="22"/>
          <w:szCs w:val="22"/>
          <w:lang w:eastAsia="ja-JP"/>
        </w:rPr>
        <w:t>ield Inspections</w:t>
      </w:r>
      <w:bookmarkEnd w:id="35"/>
    </w:p>
    <w:p w14:paraId="633D027A" w14:textId="66495EFC" w:rsidR="00466478" w:rsidRPr="008E106E" w:rsidRDefault="00882800" w:rsidP="00466478">
      <w:pPr>
        <w:pStyle w:val="BodyText"/>
        <w:rPr>
          <w:rFonts w:ascii="Arial" w:hAnsi="Arial" w:cs="Arial"/>
          <w:sz w:val="22"/>
          <w:szCs w:val="22"/>
        </w:rPr>
      </w:pPr>
      <w:r w:rsidRPr="008E106E">
        <w:rPr>
          <w:rFonts w:ascii="Arial" w:hAnsi="Arial" w:cs="Arial"/>
          <w:sz w:val="22"/>
          <w:szCs w:val="22"/>
        </w:rPr>
        <w:t>Field Inspections</w:t>
      </w:r>
      <w:r w:rsidR="00EF18DC" w:rsidRPr="008E106E">
        <w:rPr>
          <w:rFonts w:ascii="Arial" w:hAnsi="Arial" w:cs="Arial"/>
          <w:sz w:val="22"/>
          <w:szCs w:val="22"/>
        </w:rPr>
        <w:t xml:space="preserve"> are </w:t>
      </w:r>
      <w:r w:rsidRPr="008E106E">
        <w:rPr>
          <w:rFonts w:ascii="Arial" w:hAnsi="Arial" w:cs="Arial"/>
          <w:sz w:val="22"/>
          <w:szCs w:val="22"/>
        </w:rPr>
        <w:t xml:space="preserve">designed to monitor the progress in implementing the </w:t>
      </w:r>
      <w:r w:rsidR="00CD68B6" w:rsidRPr="008E106E">
        <w:rPr>
          <w:rFonts w:ascii="Arial" w:hAnsi="Arial" w:cs="Arial"/>
          <w:sz w:val="22"/>
          <w:szCs w:val="22"/>
        </w:rPr>
        <w:t>G</w:t>
      </w:r>
      <w:r w:rsidRPr="008E106E">
        <w:rPr>
          <w:rFonts w:ascii="Arial" w:hAnsi="Arial" w:cs="Arial"/>
          <w:sz w:val="22"/>
          <w:szCs w:val="22"/>
        </w:rPr>
        <w:t>E projects and the technical assistances funded</w:t>
      </w:r>
      <w:r w:rsidR="00EA7256" w:rsidRPr="008E106E">
        <w:rPr>
          <w:rFonts w:ascii="Arial" w:hAnsi="Arial" w:cs="Arial"/>
          <w:sz w:val="22"/>
          <w:szCs w:val="22"/>
        </w:rPr>
        <w:t xml:space="preserve"> </w:t>
      </w:r>
      <w:r w:rsidR="00EA7256" w:rsidRPr="008E106E">
        <w:rPr>
          <w:rFonts w:ascii="Arial" w:hAnsi="Arial" w:cs="Arial"/>
          <w:sz w:val="22"/>
          <w:szCs w:val="22"/>
          <w:lang w:eastAsia="ja-JP"/>
        </w:rPr>
        <w:t>with SEF-Expanded resources</w:t>
      </w:r>
      <w:r w:rsidRPr="008E106E">
        <w:rPr>
          <w:rFonts w:ascii="Arial" w:hAnsi="Arial" w:cs="Arial"/>
          <w:sz w:val="22"/>
          <w:szCs w:val="22"/>
        </w:rPr>
        <w:t xml:space="preserve">. Field Inspections provide an opportunity for the IDB to validate in the field the progress reported in the </w:t>
      </w:r>
      <w:r w:rsidR="00466478" w:rsidRPr="008E106E">
        <w:rPr>
          <w:rFonts w:ascii="Arial" w:hAnsi="Arial" w:cs="Arial"/>
          <w:sz w:val="22"/>
          <w:szCs w:val="22"/>
        </w:rPr>
        <w:t>SAPR</w:t>
      </w:r>
      <w:r w:rsidRPr="008E106E">
        <w:rPr>
          <w:rFonts w:ascii="Arial" w:hAnsi="Arial" w:cs="Arial"/>
          <w:sz w:val="22"/>
          <w:szCs w:val="22"/>
        </w:rPr>
        <w:t xml:space="preserve">. The IDB is responsible for coordinating them with support from the </w:t>
      </w:r>
      <w:r w:rsidR="00201E46" w:rsidRPr="008E106E">
        <w:rPr>
          <w:rFonts w:ascii="Arial" w:hAnsi="Arial" w:cs="Arial"/>
          <w:sz w:val="22"/>
          <w:szCs w:val="22"/>
        </w:rPr>
        <w:t>EA,</w:t>
      </w:r>
      <w:r w:rsidR="00781152" w:rsidRPr="008E106E">
        <w:rPr>
          <w:rFonts w:ascii="Arial" w:hAnsi="Arial" w:cs="Arial"/>
          <w:sz w:val="22"/>
          <w:szCs w:val="22"/>
        </w:rPr>
        <w:t xml:space="preserve"> </w:t>
      </w:r>
      <w:r w:rsidR="00201E46" w:rsidRPr="008E106E">
        <w:rPr>
          <w:rFonts w:ascii="Arial" w:hAnsi="Arial" w:cs="Arial"/>
          <w:sz w:val="22"/>
          <w:szCs w:val="22"/>
        </w:rPr>
        <w:t>EC</w:t>
      </w:r>
      <w:r w:rsidR="00466478" w:rsidRPr="008E106E">
        <w:rPr>
          <w:rFonts w:ascii="Arial" w:hAnsi="Arial" w:cs="Arial"/>
          <w:sz w:val="22"/>
          <w:szCs w:val="22"/>
        </w:rPr>
        <w:t>C</w:t>
      </w:r>
      <w:r w:rsidR="00201E46" w:rsidRPr="008E106E">
        <w:rPr>
          <w:rFonts w:ascii="Arial" w:hAnsi="Arial" w:cs="Arial"/>
          <w:sz w:val="22"/>
          <w:szCs w:val="22"/>
        </w:rPr>
        <w:t xml:space="preserve"> Governments and private sponsors. </w:t>
      </w:r>
      <w:r w:rsidR="00DA307D" w:rsidRPr="008E106E">
        <w:rPr>
          <w:rFonts w:ascii="Arial" w:hAnsi="Arial" w:cs="Arial"/>
          <w:sz w:val="22"/>
          <w:szCs w:val="22"/>
        </w:rPr>
        <w:t xml:space="preserve">Other donors of the SEF that may want to participate in the field inspections will coordinate it with the IDB. </w:t>
      </w:r>
      <w:r w:rsidRPr="008E106E">
        <w:rPr>
          <w:rFonts w:ascii="Arial" w:hAnsi="Arial" w:cs="Arial"/>
          <w:sz w:val="22"/>
          <w:szCs w:val="22"/>
        </w:rPr>
        <w:t xml:space="preserve">Field inspections are </w:t>
      </w:r>
      <w:r w:rsidR="0072409D" w:rsidRPr="008E106E">
        <w:rPr>
          <w:rFonts w:ascii="Arial" w:hAnsi="Arial" w:cs="Arial"/>
          <w:sz w:val="22"/>
          <w:szCs w:val="22"/>
        </w:rPr>
        <w:t xml:space="preserve">to be </w:t>
      </w:r>
      <w:r w:rsidRPr="008E106E">
        <w:rPr>
          <w:rFonts w:ascii="Arial" w:hAnsi="Arial" w:cs="Arial"/>
          <w:sz w:val="22"/>
          <w:szCs w:val="22"/>
        </w:rPr>
        <w:t xml:space="preserve">carried out </w:t>
      </w:r>
      <w:r w:rsidR="006C72B4" w:rsidRPr="008E106E">
        <w:rPr>
          <w:rFonts w:ascii="Arial" w:hAnsi="Arial" w:cs="Arial"/>
          <w:sz w:val="22"/>
          <w:szCs w:val="22"/>
        </w:rPr>
        <w:t>semiannually,</w:t>
      </w:r>
      <w:r w:rsidR="00ED4CE7" w:rsidRPr="008E106E">
        <w:rPr>
          <w:rFonts w:ascii="Arial" w:hAnsi="Arial" w:cs="Arial"/>
          <w:sz w:val="22"/>
          <w:szCs w:val="22"/>
        </w:rPr>
        <w:t xml:space="preserve"> within a </w:t>
      </w:r>
      <w:r w:rsidR="00466478" w:rsidRPr="008E106E">
        <w:rPr>
          <w:rFonts w:ascii="Arial" w:hAnsi="Arial" w:cs="Arial"/>
          <w:sz w:val="22"/>
          <w:szCs w:val="22"/>
        </w:rPr>
        <w:t>60-day</w:t>
      </w:r>
      <w:r w:rsidR="00ED4CE7" w:rsidRPr="008E106E">
        <w:rPr>
          <w:rFonts w:ascii="Arial" w:hAnsi="Arial" w:cs="Arial"/>
          <w:sz w:val="22"/>
          <w:szCs w:val="22"/>
        </w:rPr>
        <w:t xml:space="preserve"> period after </w:t>
      </w:r>
      <w:r w:rsidRPr="008E106E">
        <w:rPr>
          <w:rFonts w:ascii="Arial" w:hAnsi="Arial" w:cs="Arial"/>
          <w:sz w:val="22"/>
          <w:szCs w:val="22"/>
        </w:rPr>
        <w:t xml:space="preserve">the </w:t>
      </w:r>
      <w:r w:rsidR="00466478" w:rsidRPr="008E106E">
        <w:rPr>
          <w:rFonts w:ascii="Arial" w:hAnsi="Arial" w:cs="Arial"/>
          <w:sz w:val="22"/>
          <w:szCs w:val="22"/>
        </w:rPr>
        <w:t>SAPR</w:t>
      </w:r>
      <w:r w:rsidRPr="008E106E">
        <w:rPr>
          <w:rFonts w:ascii="Arial" w:hAnsi="Arial" w:cs="Arial"/>
          <w:sz w:val="22"/>
          <w:szCs w:val="22"/>
        </w:rPr>
        <w:t xml:space="preserve"> are submitted. </w:t>
      </w:r>
      <w:r w:rsidR="00466478" w:rsidRPr="008E106E">
        <w:rPr>
          <w:rFonts w:ascii="Arial" w:hAnsi="Arial" w:cs="Arial"/>
          <w:sz w:val="22"/>
          <w:szCs w:val="22"/>
        </w:rPr>
        <w:t xml:space="preserve">Field inspections could be carried out within a 60-day period before the SAPR are submitted. </w:t>
      </w:r>
    </w:p>
    <w:p w14:paraId="37061384" w14:textId="6DFD30EE" w:rsidR="00882800" w:rsidRPr="008E106E" w:rsidRDefault="00882800" w:rsidP="00882800">
      <w:pPr>
        <w:pStyle w:val="BodyText"/>
        <w:rPr>
          <w:rFonts w:ascii="Arial" w:hAnsi="Arial" w:cs="Arial"/>
          <w:sz w:val="22"/>
          <w:szCs w:val="22"/>
        </w:rPr>
      </w:pPr>
    </w:p>
    <w:p w14:paraId="7F27760E" w14:textId="77777777" w:rsidR="00882800" w:rsidRPr="008E106E" w:rsidRDefault="00882800" w:rsidP="00882800">
      <w:pPr>
        <w:pStyle w:val="Subheading"/>
        <w:rPr>
          <w:rFonts w:ascii="Arial" w:hAnsi="Arial" w:cs="Arial"/>
          <w:sz w:val="22"/>
          <w:szCs w:val="22"/>
        </w:rPr>
      </w:pPr>
      <w:r w:rsidRPr="008E106E">
        <w:rPr>
          <w:rFonts w:ascii="Arial" w:hAnsi="Arial" w:cs="Arial"/>
          <w:sz w:val="22"/>
          <w:szCs w:val="22"/>
        </w:rPr>
        <w:t>Purpose</w:t>
      </w:r>
    </w:p>
    <w:p w14:paraId="27E905C0" w14:textId="77777777" w:rsidR="00882800" w:rsidRPr="008E106E" w:rsidRDefault="00882800" w:rsidP="00882800">
      <w:pPr>
        <w:pStyle w:val="BodyText"/>
        <w:rPr>
          <w:rFonts w:ascii="Arial" w:hAnsi="Arial" w:cs="Arial"/>
          <w:sz w:val="22"/>
          <w:szCs w:val="22"/>
        </w:rPr>
      </w:pPr>
      <w:r w:rsidRPr="008E106E">
        <w:rPr>
          <w:rFonts w:ascii="Arial" w:hAnsi="Arial" w:cs="Arial"/>
          <w:sz w:val="22"/>
          <w:szCs w:val="22"/>
        </w:rPr>
        <w:t xml:space="preserve">The purpose of the Field Inspections is to track and confirm the Program’s progress towards targets listed for each indicator </w:t>
      </w:r>
      <w:r w:rsidR="00781152" w:rsidRPr="008E106E">
        <w:rPr>
          <w:rFonts w:ascii="Arial" w:hAnsi="Arial" w:cs="Arial"/>
          <w:sz w:val="22"/>
          <w:szCs w:val="22"/>
        </w:rPr>
        <w:t>included in</w:t>
      </w:r>
      <w:r w:rsidRPr="008E106E">
        <w:rPr>
          <w:rFonts w:ascii="Arial" w:hAnsi="Arial" w:cs="Arial"/>
          <w:sz w:val="22"/>
          <w:szCs w:val="22"/>
        </w:rPr>
        <w:t xml:space="preserve"> the Results Matrix. </w:t>
      </w:r>
    </w:p>
    <w:p w14:paraId="318E6A99" w14:textId="77777777" w:rsidR="00882800" w:rsidRPr="008E106E" w:rsidRDefault="00882800" w:rsidP="00882800">
      <w:pPr>
        <w:pStyle w:val="Subheading"/>
        <w:rPr>
          <w:rFonts w:ascii="Arial" w:hAnsi="Arial" w:cs="Arial"/>
          <w:sz w:val="22"/>
          <w:szCs w:val="22"/>
        </w:rPr>
      </w:pPr>
      <w:r w:rsidRPr="008E106E">
        <w:rPr>
          <w:rFonts w:ascii="Arial" w:hAnsi="Arial" w:cs="Arial"/>
          <w:sz w:val="22"/>
          <w:szCs w:val="22"/>
        </w:rPr>
        <w:t>Content</w:t>
      </w:r>
    </w:p>
    <w:p w14:paraId="3F9C2CE0" w14:textId="1D03BA50" w:rsidR="00882800" w:rsidRPr="008E106E" w:rsidRDefault="00B42FB1" w:rsidP="00882800">
      <w:pPr>
        <w:pStyle w:val="BodyText"/>
        <w:rPr>
          <w:rFonts w:ascii="Arial" w:hAnsi="Arial" w:cs="Arial"/>
          <w:sz w:val="22"/>
          <w:szCs w:val="22"/>
          <w:lang w:eastAsia="ja-JP"/>
        </w:rPr>
      </w:pPr>
      <w:r w:rsidRPr="008E106E">
        <w:rPr>
          <w:rFonts w:ascii="Arial" w:hAnsi="Arial" w:cs="Arial"/>
          <w:sz w:val="22"/>
          <w:szCs w:val="22"/>
          <w:lang w:eastAsia="ja-JP"/>
        </w:rPr>
        <w:t>Field Inspections include</w:t>
      </w:r>
      <w:r w:rsidR="00781152" w:rsidRPr="008E106E">
        <w:rPr>
          <w:rFonts w:ascii="Arial" w:hAnsi="Arial" w:cs="Arial"/>
          <w:sz w:val="22"/>
          <w:szCs w:val="22"/>
          <w:lang w:eastAsia="ja-JP"/>
        </w:rPr>
        <w:t xml:space="preserve"> field visits and </w:t>
      </w:r>
      <w:r w:rsidRPr="008E106E">
        <w:rPr>
          <w:rFonts w:ascii="Arial" w:hAnsi="Arial" w:cs="Arial"/>
          <w:sz w:val="22"/>
          <w:szCs w:val="22"/>
          <w:lang w:eastAsia="ja-JP"/>
        </w:rPr>
        <w:t>meetings between the</w:t>
      </w:r>
      <w:r w:rsidR="00885E57" w:rsidRPr="008E106E">
        <w:rPr>
          <w:rFonts w:ascii="Arial" w:hAnsi="Arial" w:cs="Arial"/>
          <w:sz w:val="22"/>
          <w:szCs w:val="22"/>
          <w:lang w:eastAsia="ja-JP"/>
        </w:rPr>
        <w:t xml:space="preserve"> IDB, the</w:t>
      </w:r>
      <w:r w:rsidRPr="008E106E">
        <w:rPr>
          <w:rFonts w:ascii="Arial" w:hAnsi="Arial" w:cs="Arial"/>
          <w:sz w:val="22"/>
          <w:szCs w:val="22"/>
          <w:lang w:eastAsia="ja-JP"/>
        </w:rPr>
        <w:t xml:space="preserve"> EA</w:t>
      </w:r>
      <w:r w:rsidR="00885E57" w:rsidRPr="008E106E">
        <w:rPr>
          <w:rFonts w:ascii="Arial" w:hAnsi="Arial" w:cs="Arial"/>
          <w:sz w:val="22"/>
          <w:szCs w:val="22"/>
          <w:lang w:eastAsia="ja-JP"/>
        </w:rPr>
        <w:t>,</w:t>
      </w:r>
      <w:r w:rsidRPr="008E106E">
        <w:rPr>
          <w:rFonts w:ascii="Arial" w:hAnsi="Arial" w:cs="Arial"/>
          <w:sz w:val="22"/>
          <w:szCs w:val="22"/>
          <w:lang w:eastAsia="ja-JP"/>
        </w:rPr>
        <w:t xml:space="preserve"> and the EC</w:t>
      </w:r>
      <w:r w:rsidR="00466478" w:rsidRPr="008E106E">
        <w:rPr>
          <w:rFonts w:ascii="Arial" w:hAnsi="Arial" w:cs="Arial"/>
          <w:sz w:val="22"/>
          <w:szCs w:val="22"/>
          <w:lang w:eastAsia="ja-JP"/>
        </w:rPr>
        <w:t>C</w:t>
      </w:r>
      <w:r w:rsidRPr="008E106E">
        <w:rPr>
          <w:rFonts w:ascii="Arial" w:hAnsi="Arial" w:cs="Arial"/>
          <w:sz w:val="22"/>
          <w:szCs w:val="22"/>
          <w:lang w:eastAsia="ja-JP"/>
        </w:rPr>
        <w:t xml:space="preserve"> </w:t>
      </w:r>
      <w:r w:rsidR="00201E46" w:rsidRPr="008E106E">
        <w:rPr>
          <w:rFonts w:ascii="Arial" w:hAnsi="Arial" w:cs="Arial"/>
          <w:sz w:val="22"/>
          <w:szCs w:val="22"/>
          <w:lang w:eastAsia="ja-JP"/>
        </w:rPr>
        <w:t>Governments</w:t>
      </w:r>
      <w:r w:rsidRPr="008E106E">
        <w:rPr>
          <w:rFonts w:ascii="Arial" w:hAnsi="Arial" w:cs="Arial"/>
          <w:sz w:val="22"/>
          <w:szCs w:val="22"/>
          <w:lang w:eastAsia="ja-JP"/>
        </w:rPr>
        <w:t xml:space="preserve"> and/or private sponsors that signed </w:t>
      </w:r>
      <w:r w:rsidR="00466478" w:rsidRPr="008E106E">
        <w:rPr>
          <w:rFonts w:ascii="Arial" w:hAnsi="Arial" w:cs="Arial"/>
          <w:sz w:val="22"/>
          <w:szCs w:val="22"/>
          <w:lang w:eastAsia="ja-JP"/>
        </w:rPr>
        <w:t>sub-</w:t>
      </w:r>
      <w:r w:rsidRPr="008E106E">
        <w:rPr>
          <w:rFonts w:ascii="Arial" w:hAnsi="Arial" w:cs="Arial"/>
          <w:sz w:val="22"/>
          <w:szCs w:val="22"/>
          <w:lang w:eastAsia="ja-JP"/>
        </w:rPr>
        <w:t xml:space="preserve">project agreements with the EA.  </w:t>
      </w:r>
    </w:p>
    <w:p w14:paraId="462414C6" w14:textId="21F66D35" w:rsidR="00520757" w:rsidRPr="008E106E" w:rsidRDefault="00894A42" w:rsidP="00520757">
      <w:pPr>
        <w:pStyle w:val="Heading3"/>
        <w:rPr>
          <w:rFonts w:ascii="Arial" w:hAnsi="Arial"/>
          <w:sz w:val="22"/>
          <w:szCs w:val="22"/>
          <w:lang w:eastAsia="ja-JP"/>
        </w:rPr>
      </w:pPr>
      <w:bookmarkStart w:id="36" w:name="_Toc531018661"/>
      <w:r w:rsidRPr="008E106E">
        <w:rPr>
          <w:rFonts w:ascii="Arial" w:hAnsi="Arial"/>
          <w:sz w:val="22"/>
          <w:szCs w:val="22"/>
          <w:lang w:eastAsia="ja-JP"/>
        </w:rPr>
        <w:t>Audited</w:t>
      </w:r>
      <w:r w:rsidR="00541C17">
        <w:rPr>
          <w:rFonts w:ascii="Arial" w:hAnsi="Arial"/>
          <w:sz w:val="22"/>
          <w:szCs w:val="22"/>
          <w:lang w:eastAsia="ja-JP"/>
        </w:rPr>
        <w:t xml:space="preserve"> and Una</w:t>
      </w:r>
      <w:r w:rsidR="00730F7C">
        <w:rPr>
          <w:rFonts w:ascii="Arial" w:hAnsi="Arial"/>
          <w:sz w:val="22"/>
          <w:szCs w:val="22"/>
          <w:lang w:eastAsia="ja-JP"/>
        </w:rPr>
        <w:t>udited</w:t>
      </w:r>
      <w:r w:rsidRPr="008E106E">
        <w:rPr>
          <w:rFonts w:ascii="Arial" w:hAnsi="Arial"/>
          <w:sz w:val="22"/>
          <w:szCs w:val="22"/>
          <w:lang w:eastAsia="ja-JP"/>
        </w:rPr>
        <w:t xml:space="preserve"> Financial Statements</w:t>
      </w:r>
      <w:bookmarkEnd w:id="36"/>
      <w:r w:rsidR="00A10964" w:rsidRPr="008E106E">
        <w:rPr>
          <w:rFonts w:ascii="Arial" w:hAnsi="Arial"/>
          <w:sz w:val="22"/>
          <w:szCs w:val="22"/>
          <w:lang w:eastAsia="ja-JP"/>
        </w:rPr>
        <w:t xml:space="preserve"> </w:t>
      </w:r>
    </w:p>
    <w:p w14:paraId="38AFB5CF" w14:textId="77777777" w:rsidR="00520757" w:rsidRPr="008E106E" w:rsidRDefault="00520757" w:rsidP="00520757">
      <w:pPr>
        <w:pStyle w:val="BodyText"/>
        <w:rPr>
          <w:rFonts w:ascii="Arial" w:hAnsi="Arial" w:cs="Arial"/>
          <w:sz w:val="22"/>
          <w:szCs w:val="22"/>
          <w:lang w:eastAsia="ja-JP"/>
        </w:rPr>
      </w:pPr>
      <w:r w:rsidRPr="008E106E">
        <w:rPr>
          <w:rFonts w:ascii="Arial" w:hAnsi="Arial" w:cs="Arial"/>
          <w:sz w:val="22"/>
          <w:szCs w:val="22"/>
          <w:lang w:eastAsia="ja-JP"/>
        </w:rPr>
        <w:t xml:space="preserve">The EA will submit to the IDB: </w:t>
      </w:r>
    </w:p>
    <w:p w14:paraId="42FF04B0" w14:textId="77777777" w:rsidR="00520757" w:rsidRPr="008E106E" w:rsidRDefault="00520757" w:rsidP="00520757">
      <w:pPr>
        <w:pStyle w:val="BodyText"/>
        <w:rPr>
          <w:rFonts w:ascii="Arial" w:hAnsi="Arial" w:cs="Arial"/>
          <w:sz w:val="22"/>
          <w:szCs w:val="22"/>
        </w:rPr>
      </w:pPr>
      <w:r w:rsidRPr="008E106E">
        <w:rPr>
          <w:rFonts w:ascii="Arial" w:hAnsi="Arial" w:cs="Arial"/>
          <w:sz w:val="22"/>
          <w:szCs w:val="22"/>
        </w:rPr>
        <w:t>(a) Annual Audited Financial Statements (AFS) of the CDB.  These reports are to be presented to the Bank within 180 days following the end of CDB’s fiscal year end, December 31</w:t>
      </w:r>
      <w:r w:rsidRPr="008E106E">
        <w:rPr>
          <w:rFonts w:ascii="Arial" w:hAnsi="Arial" w:cs="Arial"/>
          <w:sz w:val="22"/>
          <w:szCs w:val="22"/>
          <w:vertAlign w:val="superscript"/>
        </w:rPr>
        <w:t>st</w:t>
      </w:r>
      <w:r w:rsidRPr="008E106E">
        <w:rPr>
          <w:rFonts w:ascii="Arial" w:hAnsi="Arial" w:cs="Arial"/>
          <w:sz w:val="22"/>
          <w:szCs w:val="22"/>
        </w:rPr>
        <w:t xml:space="preserve">; </w:t>
      </w:r>
    </w:p>
    <w:p w14:paraId="303AE581" w14:textId="038FF1AA" w:rsidR="00520757" w:rsidRPr="008E106E" w:rsidRDefault="00520757" w:rsidP="00A90470">
      <w:pPr>
        <w:pStyle w:val="BodyText"/>
        <w:rPr>
          <w:rFonts w:ascii="Arial" w:hAnsi="Arial" w:cs="Arial"/>
          <w:sz w:val="22"/>
          <w:szCs w:val="22"/>
        </w:rPr>
      </w:pPr>
      <w:r w:rsidRPr="008E106E">
        <w:rPr>
          <w:rFonts w:ascii="Arial" w:hAnsi="Arial" w:cs="Arial"/>
          <w:sz w:val="22"/>
          <w:szCs w:val="22"/>
        </w:rPr>
        <w:t xml:space="preserve">(b) </w:t>
      </w:r>
      <w:r w:rsidR="00A90470">
        <w:rPr>
          <w:rFonts w:ascii="Arial" w:hAnsi="Arial" w:cs="Arial"/>
          <w:sz w:val="22"/>
          <w:szCs w:val="22"/>
        </w:rPr>
        <w:t>A</w:t>
      </w:r>
      <w:r w:rsidR="00A90470" w:rsidRPr="00A90470">
        <w:rPr>
          <w:rFonts w:ascii="Arial" w:hAnsi="Arial" w:cs="Arial"/>
          <w:sz w:val="22"/>
          <w:szCs w:val="22"/>
        </w:rPr>
        <w:t xml:space="preserve">nnual </w:t>
      </w:r>
      <w:r w:rsidR="00A90470">
        <w:rPr>
          <w:rFonts w:ascii="Arial" w:hAnsi="Arial" w:cs="Arial"/>
          <w:sz w:val="22"/>
          <w:szCs w:val="22"/>
        </w:rPr>
        <w:t>A</w:t>
      </w:r>
      <w:r w:rsidR="00A90470" w:rsidRPr="00A90470">
        <w:rPr>
          <w:rFonts w:ascii="Arial" w:hAnsi="Arial" w:cs="Arial"/>
          <w:sz w:val="22"/>
          <w:szCs w:val="22"/>
        </w:rPr>
        <w:t xml:space="preserve">udited </w:t>
      </w:r>
      <w:r w:rsidR="00A90470">
        <w:rPr>
          <w:rFonts w:ascii="Arial" w:hAnsi="Arial" w:cs="Arial"/>
          <w:sz w:val="22"/>
          <w:szCs w:val="22"/>
        </w:rPr>
        <w:t>F</w:t>
      </w:r>
      <w:r w:rsidR="00A90470" w:rsidRPr="00A90470">
        <w:rPr>
          <w:rFonts w:ascii="Arial" w:hAnsi="Arial" w:cs="Arial"/>
          <w:sz w:val="22"/>
          <w:szCs w:val="22"/>
        </w:rPr>
        <w:t>inancial statements for the Program, including</w:t>
      </w:r>
      <w:r w:rsidR="00A90470">
        <w:rPr>
          <w:rFonts w:ascii="Arial" w:hAnsi="Arial" w:cs="Arial"/>
          <w:sz w:val="22"/>
          <w:szCs w:val="22"/>
        </w:rPr>
        <w:t xml:space="preserve"> </w:t>
      </w:r>
      <w:r w:rsidR="00A90470" w:rsidRPr="00A90470">
        <w:rPr>
          <w:rFonts w:ascii="Arial" w:hAnsi="Arial" w:cs="Arial"/>
          <w:sz w:val="22"/>
          <w:szCs w:val="22"/>
        </w:rPr>
        <w:t>financial information on sub</w:t>
      </w:r>
      <w:r w:rsidR="00A90470" w:rsidRPr="00A90470">
        <w:rPr>
          <w:rFonts w:ascii="Cambria Math" w:hAnsi="Cambria Math" w:cs="Cambria Math"/>
          <w:sz w:val="22"/>
          <w:szCs w:val="22"/>
        </w:rPr>
        <w:t>‐</w:t>
      </w:r>
      <w:r w:rsidR="00A90470" w:rsidRPr="00A90470">
        <w:rPr>
          <w:rFonts w:ascii="Arial" w:hAnsi="Arial" w:cs="Arial"/>
          <w:sz w:val="22"/>
          <w:szCs w:val="22"/>
        </w:rPr>
        <w:t>loans and sub-grants (considering all sub-projects</w:t>
      </w:r>
      <w:r w:rsidR="00A90470">
        <w:rPr>
          <w:rFonts w:ascii="Arial" w:hAnsi="Arial" w:cs="Arial"/>
          <w:sz w:val="22"/>
          <w:szCs w:val="22"/>
        </w:rPr>
        <w:t xml:space="preserve"> </w:t>
      </w:r>
      <w:r w:rsidR="00A90470" w:rsidRPr="00A90470">
        <w:rPr>
          <w:rFonts w:ascii="Arial" w:hAnsi="Arial" w:cs="Arial"/>
          <w:sz w:val="22"/>
          <w:szCs w:val="22"/>
        </w:rPr>
        <w:t>approved and for which there has been at least one disbursement), within</w:t>
      </w:r>
      <w:r w:rsidR="00A90470">
        <w:rPr>
          <w:rFonts w:ascii="Arial" w:hAnsi="Arial" w:cs="Arial"/>
          <w:sz w:val="22"/>
          <w:szCs w:val="22"/>
        </w:rPr>
        <w:t xml:space="preserve"> </w:t>
      </w:r>
      <w:r w:rsidR="00A90470" w:rsidRPr="00A90470">
        <w:rPr>
          <w:rFonts w:ascii="Arial" w:hAnsi="Arial" w:cs="Arial"/>
          <w:sz w:val="22"/>
          <w:szCs w:val="22"/>
        </w:rPr>
        <w:t>180 days following the end of CDB’s fiscal year. Audited financial statements will</w:t>
      </w:r>
      <w:r w:rsidR="00A90470">
        <w:rPr>
          <w:rFonts w:ascii="Arial" w:hAnsi="Arial" w:cs="Arial"/>
          <w:sz w:val="22"/>
          <w:szCs w:val="22"/>
        </w:rPr>
        <w:t xml:space="preserve"> </w:t>
      </w:r>
      <w:r w:rsidR="00A90470" w:rsidRPr="00A90470">
        <w:rPr>
          <w:rFonts w:ascii="Arial" w:hAnsi="Arial" w:cs="Arial"/>
          <w:sz w:val="22"/>
          <w:szCs w:val="22"/>
        </w:rPr>
        <w:t>be conducted by an independent audit firm that is eligible to the Bank. The CDB</w:t>
      </w:r>
      <w:r w:rsidR="00A90470">
        <w:rPr>
          <w:rFonts w:ascii="Arial" w:hAnsi="Arial" w:cs="Arial"/>
          <w:sz w:val="22"/>
          <w:szCs w:val="22"/>
        </w:rPr>
        <w:t xml:space="preserve"> </w:t>
      </w:r>
      <w:r w:rsidR="00A90470" w:rsidRPr="00A90470">
        <w:rPr>
          <w:rFonts w:ascii="Arial" w:hAnsi="Arial" w:cs="Arial"/>
          <w:sz w:val="22"/>
          <w:szCs w:val="22"/>
        </w:rPr>
        <w:t>may utilize the services of its auditors, once they are considered eligible to the</w:t>
      </w:r>
      <w:r w:rsidR="00A90470">
        <w:rPr>
          <w:rFonts w:ascii="Arial" w:hAnsi="Arial" w:cs="Arial"/>
          <w:sz w:val="22"/>
          <w:szCs w:val="22"/>
        </w:rPr>
        <w:t xml:space="preserve"> </w:t>
      </w:r>
      <w:r w:rsidR="00A90470" w:rsidRPr="00A90470">
        <w:rPr>
          <w:rFonts w:ascii="Arial" w:hAnsi="Arial" w:cs="Arial"/>
          <w:sz w:val="22"/>
          <w:szCs w:val="22"/>
        </w:rPr>
        <w:t>Bank</w:t>
      </w:r>
      <w:r w:rsidR="00A90470">
        <w:rPr>
          <w:rFonts w:ascii="Arial" w:hAnsi="Arial" w:cs="Arial"/>
          <w:sz w:val="22"/>
          <w:szCs w:val="22"/>
        </w:rPr>
        <w:t xml:space="preserve">. </w:t>
      </w:r>
    </w:p>
    <w:p w14:paraId="7FAF923F" w14:textId="164F2C89" w:rsidR="00520757" w:rsidRPr="008E106E" w:rsidRDefault="00520757" w:rsidP="00520757">
      <w:pPr>
        <w:pStyle w:val="Subheading"/>
        <w:rPr>
          <w:rFonts w:ascii="Arial" w:hAnsi="Arial" w:cs="Arial"/>
          <w:b w:val="0"/>
          <w:sz w:val="22"/>
          <w:szCs w:val="22"/>
        </w:rPr>
      </w:pPr>
      <w:r w:rsidRPr="008E106E">
        <w:rPr>
          <w:rFonts w:ascii="Arial" w:hAnsi="Arial" w:cs="Arial"/>
          <w:b w:val="0"/>
          <w:sz w:val="22"/>
          <w:szCs w:val="22"/>
        </w:rPr>
        <w:t>(c) Semi</w:t>
      </w:r>
      <w:r w:rsidRPr="008E106E">
        <w:rPr>
          <w:rFonts w:ascii="Cambria Math" w:hAnsi="Cambria Math" w:cs="Cambria Math"/>
          <w:b w:val="0"/>
          <w:sz w:val="22"/>
          <w:szCs w:val="22"/>
        </w:rPr>
        <w:t>‐</w:t>
      </w:r>
      <w:r w:rsidRPr="008E106E">
        <w:rPr>
          <w:rFonts w:ascii="Arial" w:hAnsi="Arial" w:cs="Arial"/>
          <w:b w:val="0"/>
          <w:sz w:val="22"/>
          <w:szCs w:val="22"/>
        </w:rPr>
        <w:t>annual Unaudited Financial Reports of the project, including financial status reports on sub</w:t>
      </w:r>
      <w:r w:rsidRPr="008E106E">
        <w:rPr>
          <w:rFonts w:ascii="Cambria Math" w:hAnsi="Cambria Math" w:cs="Cambria Math"/>
          <w:b w:val="0"/>
          <w:sz w:val="22"/>
          <w:szCs w:val="22"/>
        </w:rPr>
        <w:t>‐</w:t>
      </w:r>
      <w:r w:rsidRPr="008E106E">
        <w:rPr>
          <w:rFonts w:ascii="Arial" w:hAnsi="Arial" w:cs="Arial"/>
          <w:b w:val="0"/>
          <w:sz w:val="22"/>
          <w:szCs w:val="22"/>
        </w:rPr>
        <w:t>loans. These statements should be submitted within 60 days after the close of each semester.  These statements are intended to supplement the information in CDB’s AFS since the AFS does not include project specific information.</w:t>
      </w:r>
    </w:p>
    <w:p w14:paraId="533E62D6" w14:textId="77777777" w:rsidR="009741BC" w:rsidRPr="008E106E" w:rsidRDefault="009741BC" w:rsidP="009741BC">
      <w:pPr>
        <w:pStyle w:val="Subheading"/>
        <w:rPr>
          <w:rFonts w:ascii="Arial" w:hAnsi="Arial" w:cs="Arial"/>
          <w:sz w:val="22"/>
          <w:szCs w:val="22"/>
        </w:rPr>
      </w:pPr>
      <w:r w:rsidRPr="008E106E">
        <w:rPr>
          <w:rFonts w:ascii="Arial" w:hAnsi="Arial" w:cs="Arial"/>
          <w:sz w:val="22"/>
          <w:szCs w:val="22"/>
        </w:rPr>
        <w:t>Purpose</w:t>
      </w:r>
    </w:p>
    <w:p w14:paraId="1B627BC5" w14:textId="691DB1CC" w:rsidR="009741BC" w:rsidRPr="008E106E" w:rsidRDefault="009741BC" w:rsidP="009741BC">
      <w:pPr>
        <w:pStyle w:val="BodyText"/>
        <w:rPr>
          <w:rFonts w:ascii="Arial" w:hAnsi="Arial" w:cs="Arial"/>
          <w:sz w:val="22"/>
          <w:szCs w:val="22"/>
        </w:rPr>
      </w:pPr>
      <w:r w:rsidRPr="008E106E">
        <w:rPr>
          <w:rFonts w:ascii="Arial" w:hAnsi="Arial" w:cs="Arial"/>
          <w:sz w:val="22"/>
          <w:szCs w:val="22"/>
        </w:rPr>
        <w:t xml:space="preserve">The purpose of the </w:t>
      </w:r>
      <w:r w:rsidR="00894A42" w:rsidRPr="008E106E">
        <w:rPr>
          <w:rFonts w:ascii="Arial" w:hAnsi="Arial" w:cs="Arial"/>
          <w:sz w:val="22"/>
          <w:szCs w:val="22"/>
        </w:rPr>
        <w:t>Audited Financial Statements</w:t>
      </w:r>
      <w:r w:rsidR="006E5F57">
        <w:rPr>
          <w:rFonts w:ascii="Arial" w:hAnsi="Arial" w:cs="Arial"/>
          <w:sz w:val="22"/>
          <w:szCs w:val="22"/>
        </w:rPr>
        <w:t xml:space="preserve"> of the CDB</w:t>
      </w:r>
      <w:r w:rsidR="00520757" w:rsidRPr="008E106E">
        <w:rPr>
          <w:rFonts w:ascii="Arial" w:hAnsi="Arial" w:cs="Arial"/>
          <w:sz w:val="22"/>
          <w:szCs w:val="22"/>
        </w:rPr>
        <w:t xml:space="preserve">, </w:t>
      </w:r>
      <w:r w:rsidR="00A90470">
        <w:rPr>
          <w:rFonts w:ascii="Arial" w:hAnsi="Arial" w:cs="Arial"/>
          <w:sz w:val="22"/>
          <w:szCs w:val="22"/>
        </w:rPr>
        <w:t>Annual Audited Financial Statements of the Program</w:t>
      </w:r>
      <w:r w:rsidR="00520757" w:rsidRPr="008E106E">
        <w:rPr>
          <w:rFonts w:ascii="Arial" w:hAnsi="Arial" w:cs="Arial"/>
          <w:sz w:val="22"/>
          <w:szCs w:val="22"/>
        </w:rPr>
        <w:t xml:space="preserve"> and Semi</w:t>
      </w:r>
      <w:r w:rsidR="00520757" w:rsidRPr="008E106E">
        <w:rPr>
          <w:rFonts w:ascii="Cambria Math" w:hAnsi="Cambria Math" w:cs="Cambria Math"/>
          <w:sz w:val="22"/>
          <w:szCs w:val="22"/>
        </w:rPr>
        <w:t>‐</w:t>
      </w:r>
      <w:r w:rsidR="00520757" w:rsidRPr="008E106E">
        <w:rPr>
          <w:rFonts w:ascii="Arial" w:hAnsi="Arial" w:cs="Arial"/>
          <w:sz w:val="22"/>
          <w:szCs w:val="22"/>
        </w:rPr>
        <w:t xml:space="preserve">annual Unaudited Financial Reports of the project </w:t>
      </w:r>
      <w:r w:rsidR="00970AFF" w:rsidRPr="008E106E">
        <w:rPr>
          <w:rFonts w:ascii="Arial" w:hAnsi="Arial" w:cs="Arial"/>
          <w:sz w:val="22"/>
          <w:szCs w:val="22"/>
        </w:rPr>
        <w:t xml:space="preserve">is to assess the financial performance of the Program. </w:t>
      </w:r>
    </w:p>
    <w:p w14:paraId="3D3834F3" w14:textId="77777777" w:rsidR="00E106E9" w:rsidRPr="008E106E" w:rsidRDefault="00E106E9" w:rsidP="00E106E9">
      <w:pPr>
        <w:pStyle w:val="Heading2"/>
        <w:rPr>
          <w:rFonts w:ascii="Arial" w:hAnsi="Arial"/>
          <w:sz w:val="22"/>
          <w:szCs w:val="22"/>
          <w:lang w:eastAsia="ja-JP"/>
        </w:rPr>
      </w:pPr>
      <w:bookmarkStart w:id="37" w:name="_Toc531018662"/>
      <w:r w:rsidRPr="008E106E">
        <w:rPr>
          <w:rFonts w:ascii="Arial" w:hAnsi="Arial"/>
          <w:sz w:val="22"/>
          <w:szCs w:val="22"/>
          <w:lang w:eastAsia="ja-JP"/>
        </w:rPr>
        <w:t>Monitoring Coordination</w:t>
      </w:r>
      <w:r w:rsidR="00083283" w:rsidRPr="008E106E">
        <w:rPr>
          <w:rFonts w:ascii="Arial" w:hAnsi="Arial"/>
          <w:sz w:val="22"/>
          <w:szCs w:val="22"/>
          <w:lang w:eastAsia="ja-JP"/>
        </w:rPr>
        <w:t>,</w:t>
      </w:r>
      <w:r w:rsidRPr="008E106E">
        <w:rPr>
          <w:rFonts w:ascii="Arial" w:hAnsi="Arial"/>
          <w:sz w:val="22"/>
          <w:szCs w:val="22"/>
          <w:lang w:eastAsia="ja-JP"/>
        </w:rPr>
        <w:t xml:space="preserve"> Work Plan</w:t>
      </w:r>
      <w:r w:rsidR="00083283" w:rsidRPr="008E106E">
        <w:rPr>
          <w:rFonts w:ascii="Arial" w:hAnsi="Arial"/>
          <w:sz w:val="22"/>
          <w:szCs w:val="22"/>
          <w:lang w:eastAsia="ja-JP"/>
        </w:rPr>
        <w:t>,</w:t>
      </w:r>
      <w:r w:rsidRPr="008E106E">
        <w:rPr>
          <w:rFonts w:ascii="Arial" w:hAnsi="Arial"/>
          <w:sz w:val="22"/>
          <w:szCs w:val="22"/>
          <w:lang w:eastAsia="ja-JP"/>
        </w:rPr>
        <w:t xml:space="preserve"> and Budget</w:t>
      </w:r>
      <w:bookmarkEnd w:id="37"/>
    </w:p>
    <w:p w14:paraId="30541B01" w14:textId="10F9D604" w:rsidR="00EA4351" w:rsidRPr="008E106E" w:rsidRDefault="00BD0925" w:rsidP="00EA4351">
      <w:pPr>
        <w:pStyle w:val="BodyText"/>
        <w:rPr>
          <w:rFonts w:ascii="Arial" w:hAnsi="Arial" w:cs="Arial"/>
          <w:sz w:val="22"/>
          <w:szCs w:val="22"/>
        </w:rPr>
      </w:pPr>
      <w:r w:rsidRPr="008E106E">
        <w:rPr>
          <w:rFonts w:ascii="Arial" w:hAnsi="Arial" w:cs="Arial"/>
          <w:sz w:val="22"/>
          <w:szCs w:val="22"/>
          <w:lang w:eastAsia="ja-JP"/>
        </w:rPr>
        <w:t>The</w:t>
      </w:r>
      <w:r w:rsidR="00EA4351" w:rsidRPr="008E106E">
        <w:rPr>
          <w:rFonts w:ascii="Arial" w:hAnsi="Arial" w:cs="Arial"/>
          <w:sz w:val="22"/>
          <w:szCs w:val="22"/>
        </w:rPr>
        <w:t xml:space="preserve"> IDB will be responsible for overseeing the execution of the Monitoring and Evaluation Plan for the </w:t>
      </w:r>
      <w:r w:rsidR="00872691" w:rsidRPr="008E106E">
        <w:rPr>
          <w:rFonts w:ascii="Arial" w:hAnsi="Arial" w:cs="Arial"/>
          <w:sz w:val="22"/>
          <w:szCs w:val="22"/>
        </w:rPr>
        <w:t xml:space="preserve">SEF-Expanded but also for the </w:t>
      </w:r>
      <w:r w:rsidR="00EA4351" w:rsidRPr="008E106E">
        <w:rPr>
          <w:rFonts w:ascii="Arial" w:hAnsi="Arial" w:cs="Arial"/>
          <w:sz w:val="22"/>
          <w:szCs w:val="22"/>
        </w:rPr>
        <w:t xml:space="preserve">complete </w:t>
      </w:r>
      <w:r w:rsidR="00872691" w:rsidRPr="008E106E">
        <w:rPr>
          <w:rFonts w:ascii="Arial" w:hAnsi="Arial" w:cs="Arial"/>
          <w:sz w:val="22"/>
          <w:szCs w:val="22"/>
        </w:rPr>
        <w:t xml:space="preserve">SEF </w:t>
      </w:r>
      <w:r w:rsidR="00EA4351" w:rsidRPr="008E106E">
        <w:rPr>
          <w:rFonts w:ascii="Arial" w:hAnsi="Arial" w:cs="Arial"/>
          <w:sz w:val="22"/>
          <w:szCs w:val="22"/>
        </w:rPr>
        <w:t xml:space="preserve">Program, including the funds provided by other donors. </w:t>
      </w:r>
      <w:r w:rsidRPr="008E106E">
        <w:rPr>
          <w:rFonts w:ascii="Arial" w:hAnsi="Arial" w:cs="Arial"/>
          <w:sz w:val="22"/>
          <w:szCs w:val="22"/>
        </w:rPr>
        <w:t xml:space="preserve">The IDB will also be </w:t>
      </w:r>
      <w:r w:rsidR="00EA4351" w:rsidRPr="008E106E">
        <w:rPr>
          <w:rFonts w:ascii="Arial" w:hAnsi="Arial" w:cs="Arial"/>
          <w:sz w:val="22"/>
          <w:szCs w:val="22"/>
        </w:rPr>
        <w:t>responsible for reporting to the other Donors on the execution and results of the Program. The project team at the IDB</w:t>
      </w:r>
      <w:r w:rsidRPr="008E106E">
        <w:rPr>
          <w:rFonts w:ascii="Arial" w:hAnsi="Arial" w:cs="Arial"/>
          <w:sz w:val="22"/>
          <w:szCs w:val="22"/>
        </w:rPr>
        <w:t xml:space="preserve"> responsible for carrying out these tasks will </w:t>
      </w:r>
      <w:r w:rsidR="00EA4351" w:rsidRPr="008E106E">
        <w:rPr>
          <w:rFonts w:ascii="Arial" w:hAnsi="Arial" w:cs="Arial"/>
          <w:sz w:val="22"/>
          <w:szCs w:val="22"/>
        </w:rPr>
        <w:t xml:space="preserve">be composed by specialists from </w:t>
      </w:r>
      <w:r w:rsidRPr="008E106E">
        <w:rPr>
          <w:rFonts w:ascii="Arial" w:hAnsi="Arial" w:cs="Arial"/>
          <w:sz w:val="22"/>
          <w:szCs w:val="22"/>
        </w:rPr>
        <w:t xml:space="preserve">the </w:t>
      </w:r>
      <w:r w:rsidR="00EA4351" w:rsidRPr="008E106E">
        <w:rPr>
          <w:rFonts w:ascii="Arial" w:hAnsi="Arial" w:cs="Arial"/>
          <w:sz w:val="22"/>
          <w:szCs w:val="22"/>
        </w:rPr>
        <w:t>INE/ENE</w:t>
      </w:r>
      <w:r w:rsidRPr="008E106E">
        <w:rPr>
          <w:rFonts w:ascii="Arial" w:hAnsi="Arial" w:cs="Arial"/>
          <w:sz w:val="22"/>
          <w:szCs w:val="22"/>
        </w:rPr>
        <w:t xml:space="preserve"> </w:t>
      </w:r>
      <w:r w:rsidR="00894A42" w:rsidRPr="008E106E">
        <w:rPr>
          <w:rFonts w:ascii="Arial" w:hAnsi="Arial" w:cs="Arial"/>
          <w:sz w:val="22"/>
          <w:szCs w:val="22"/>
        </w:rPr>
        <w:t>and IFD/CMF divisions</w:t>
      </w:r>
      <w:r w:rsidR="00EA4351" w:rsidRPr="008E106E">
        <w:rPr>
          <w:rFonts w:ascii="Arial" w:hAnsi="Arial" w:cs="Arial"/>
          <w:sz w:val="22"/>
          <w:szCs w:val="22"/>
        </w:rPr>
        <w:t>, with support from the country office in Barbados.</w:t>
      </w:r>
    </w:p>
    <w:p w14:paraId="259CCF34" w14:textId="5C06524F" w:rsidR="00EA4351" w:rsidRPr="008E106E" w:rsidRDefault="00EA4351" w:rsidP="00BD0925">
      <w:pPr>
        <w:pStyle w:val="BodyText"/>
        <w:rPr>
          <w:rFonts w:ascii="Arial" w:hAnsi="Arial" w:cs="Arial"/>
          <w:sz w:val="22"/>
          <w:szCs w:val="22"/>
          <w:lang w:eastAsia="ja-JP"/>
        </w:rPr>
      </w:pPr>
      <w:r w:rsidRPr="008E106E">
        <w:rPr>
          <w:rFonts w:ascii="Arial" w:hAnsi="Arial" w:cs="Arial"/>
          <w:sz w:val="22"/>
          <w:szCs w:val="22"/>
          <w:lang w:eastAsia="ja-JP"/>
        </w:rPr>
        <w:t>The EA (the CDB) will be responsible for</w:t>
      </w:r>
      <w:r w:rsidR="00BD0925" w:rsidRPr="008E106E">
        <w:rPr>
          <w:rFonts w:ascii="Arial" w:hAnsi="Arial" w:cs="Arial"/>
          <w:sz w:val="22"/>
          <w:szCs w:val="22"/>
          <w:lang w:eastAsia="ja-JP"/>
        </w:rPr>
        <w:t xml:space="preserve"> executing the </w:t>
      </w:r>
      <w:r w:rsidR="00872691" w:rsidRPr="008E106E">
        <w:rPr>
          <w:rFonts w:ascii="Arial" w:hAnsi="Arial" w:cs="Arial"/>
          <w:sz w:val="22"/>
          <w:szCs w:val="22"/>
          <w:lang w:eastAsia="ja-JP"/>
        </w:rPr>
        <w:t xml:space="preserve">SEF-Expanded and all </w:t>
      </w:r>
      <w:r w:rsidR="00BD0925" w:rsidRPr="008E106E">
        <w:rPr>
          <w:rFonts w:ascii="Arial" w:hAnsi="Arial" w:cs="Arial"/>
          <w:sz w:val="22"/>
          <w:szCs w:val="22"/>
          <w:lang w:eastAsia="ja-JP"/>
        </w:rPr>
        <w:t>SEF</w:t>
      </w:r>
      <w:r w:rsidR="00471FEE" w:rsidRPr="008E106E">
        <w:rPr>
          <w:rFonts w:ascii="Arial" w:hAnsi="Arial" w:cs="Arial"/>
          <w:sz w:val="22"/>
          <w:szCs w:val="22"/>
          <w:lang w:eastAsia="ja-JP"/>
        </w:rPr>
        <w:t xml:space="preserve"> Program</w:t>
      </w:r>
      <w:r w:rsidR="00BD0925" w:rsidRPr="008E106E">
        <w:rPr>
          <w:rFonts w:ascii="Arial" w:hAnsi="Arial" w:cs="Arial"/>
          <w:sz w:val="22"/>
          <w:szCs w:val="22"/>
          <w:lang w:eastAsia="ja-JP"/>
        </w:rPr>
        <w:t xml:space="preserve"> and </w:t>
      </w:r>
      <w:r w:rsidRPr="008E106E">
        <w:rPr>
          <w:rFonts w:ascii="Arial" w:hAnsi="Arial" w:cs="Arial"/>
          <w:sz w:val="22"/>
          <w:szCs w:val="22"/>
          <w:lang w:eastAsia="ja-JP"/>
        </w:rPr>
        <w:t>reporting on the results. T</w:t>
      </w:r>
      <w:r w:rsidR="00BD0925" w:rsidRPr="008E106E">
        <w:rPr>
          <w:rFonts w:ascii="Arial" w:hAnsi="Arial" w:cs="Arial"/>
          <w:sz w:val="22"/>
          <w:szCs w:val="22"/>
          <w:lang w:eastAsia="ja-JP"/>
        </w:rPr>
        <w:t xml:space="preserve">he EA will </w:t>
      </w:r>
      <w:r w:rsidR="00471FEE" w:rsidRPr="008E106E">
        <w:rPr>
          <w:rFonts w:ascii="Arial" w:hAnsi="Arial" w:cs="Arial"/>
          <w:sz w:val="22"/>
          <w:szCs w:val="22"/>
          <w:lang w:eastAsia="ja-JP"/>
        </w:rPr>
        <w:t xml:space="preserve">designate </w:t>
      </w:r>
      <w:r w:rsidR="00BD0925" w:rsidRPr="008E106E">
        <w:rPr>
          <w:rFonts w:ascii="Arial" w:hAnsi="Arial" w:cs="Arial"/>
          <w:sz w:val="22"/>
          <w:szCs w:val="22"/>
          <w:lang w:eastAsia="ja-JP"/>
        </w:rPr>
        <w:t xml:space="preserve">a </w:t>
      </w:r>
      <w:r w:rsidRPr="008E106E">
        <w:rPr>
          <w:rFonts w:ascii="Arial" w:hAnsi="Arial" w:cs="Arial"/>
          <w:sz w:val="22"/>
          <w:szCs w:val="22"/>
          <w:lang w:eastAsia="ja-JP"/>
        </w:rPr>
        <w:t xml:space="preserve">Project Management Unit </w:t>
      </w:r>
      <w:r w:rsidR="00BD0925" w:rsidRPr="008E106E">
        <w:rPr>
          <w:rFonts w:ascii="Arial" w:hAnsi="Arial" w:cs="Arial"/>
          <w:sz w:val="22"/>
          <w:szCs w:val="22"/>
          <w:lang w:eastAsia="ja-JP"/>
        </w:rPr>
        <w:t xml:space="preserve">that will be </w:t>
      </w:r>
      <w:r w:rsidRPr="008E106E">
        <w:rPr>
          <w:rFonts w:ascii="Arial" w:hAnsi="Arial" w:cs="Arial"/>
          <w:sz w:val="22"/>
          <w:szCs w:val="22"/>
          <w:lang w:eastAsia="ja-JP"/>
        </w:rPr>
        <w:t xml:space="preserve">responsible </w:t>
      </w:r>
      <w:r w:rsidR="00BD0925" w:rsidRPr="008E106E">
        <w:rPr>
          <w:rFonts w:ascii="Arial" w:hAnsi="Arial" w:cs="Arial"/>
          <w:sz w:val="22"/>
          <w:szCs w:val="22"/>
          <w:lang w:eastAsia="ja-JP"/>
        </w:rPr>
        <w:t xml:space="preserve">for carrying out these tasks </w:t>
      </w:r>
      <w:r w:rsidRPr="008E106E">
        <w:rPr>
          <w:rFonts w:ascii="Arial" w:hAnsi="Arial" w:cs="Arial"/>
          <w:sz w:val="22"/>
          <w:szCs w:val="22"/>
          <w:lang w:eastAsia="ja-JP"/>
        </w:rPr>
        <w:t xml:space="preserve">(see </w:t>
      </w:r>
      <w:r w:rsidR="00894A42" w:rsidRPr="008E106E">
        <w:rPr>
          <w:rFonts w:ascii="Arial" w:hAnsi="Arial" w:cs="Arial"/>
          <w:sz w:val="22"/>
          <w:szCs w:val="22"/>
          <w:lang w:eastAsia="ja-JP"/>
        </w:rPr>
        <w:t>Operating Manual</w:t>
      </w:r>
      <w:r w:rsidRPr="008E106E">
        <w:rPr>
          <w:rFonts w:ascii="Arial" w:hAnsi="Arial" w:cs="Arial"/>
          <w:sz w:val="22"/>
          <w:szCs w:val="22"/>
          <w:lang w:eastAsia="ja-JP"/>
        </w:rPr>
        <w:t xml:space="preserve">). </w:t>
      </w:r>
      <w:r w:rsidR="00BD0925" w:rsidRPr="008E106E">
        <w:rPr>
          <w:rFonts w:ascii="Arial" w:hAnsi="Arial" w:cs="Arial"/>
          <w:sz w:val="22"/>
          <w:szCs w:val="22"/>
          <w:lang w:eastAsia="ja-JP"/>
        </w:rPr>
        <w:t xml:space="preserve">The Project Management Unit </w:t>
      </w:r>
      <w:r w:rsidRPr="008E106E">
        <w:rPr>
          <w:rFonts w:ascii="Arial" w:hAnsi="Arial" w:cs="Arial"/>
          <w:sz w:val="22"/>
          <w:szCs w:val="22"/>
        </w:rPr>
        <w:t xml:space="preserve">will be responsible for reporting </w:t>
      </w:r>
      <w:r w:rsidR="00BD0925" w:rsidRPr="008E106E">
        <w:rPr>
          <w:rFonts w:ascii="Arial" w:hAnsi="Arial" w:cs="Arial"/>
          <w:sz w:val="22"/>
          <w:szCs w:val="22"/>
        </w:rPr>
        <w:t xml:space="preserve">the Program’s </w:t>
      </w:r>
      <w:r w:rsidRPr="008E106E">
        <w:rPr>
          <w:rFonts w:ascii="Arial" w:hAnsi="Arial" w:cs="Arial"/>
          <w:sz w:val="22"/>
          <w:szCs w:val="22"/>
        </w:rPr>
        <w:t>progress and results to the IDB and the other donors (CTF</w:t>
      </w:r>
      <w:r w:rsidR="007B4AC4" w:rsidRPr="008E106E">
        <w:rPr>
          <w:rFonts w:ascii="Arial" w:hAnsi="Arial" w:cs="Arial"/>
          <w:sz w:val="22"/>
          <w:szCs w:val="22"/>
        </w:rPr>
        <w:t>, GCF, ROI</w:t>
      </w:r>
      <w:r w:rsidRPr="008E106E">
        <w:rPr>
          <w:rFonts w:ascii="Arial" w:hAnsi="Arial" w:cs="Arial"/>
          <w:sz w:val="22"/>
          <w:szCs w:val="22"/>
        </w:rPr>
        <w:t xml:space="preserve">). </w:t>
      </w:r>
      <w:r w:rsidR="00872691" w:rsidRPr="008E106E">
        <w:rPr>
          <w:rFonts w:ascii="Arial" w:hAnsi="Arial" w:cs="Arial"/>
          <w:sz w:val="22"/>
          <w:szCs w:val="22"/>
        </w:rPr>
        <w:t xml:space="preserve">The monitoring of SEF-Expanded will be done jointly with the SEF-2015. </w:t>
      </w:r>
      <w:r w:rsidR="00BC6F49" w:rsidRPr="008E106E">
        <w:rPr>
          <w:rFonts w:ascii="Arial" w:hAnsi="Arial" w:cs="Arial"/>
          <w:sz w:val="22"/>
          <w:szCs w:val="22"/>
        </w:rPr>
        <w:t xml:space="preserve">The funds for these activities </w:t>
      </w:r>
      <w:r w:rsidR="006C2FE9" w:rsidRPr="008E106E">
        <w:rPr>
          <w:rFonts w:ascii="Arial" w:hAnsi="Arial" w:cs="Arial"/>
          <w:sz w:val="22"/>
          <w:szCs w:val="22"/>
        </w:rPr>
        <w:t>will be covered by the budget considered</w:t>
      </w:r>
      <w:r w:rsidR="008D1057" w:rsidRPr="008E106E">
        <w:rPr>
          <w:rFonts w:ascii="Arial" w:hAnsi="Arial" w:cs="Arial"/>
          <w:sz w:val="22"/>
          <w:szCs w:val="22"/>
        </w:rPr>
        <w:t xml:space="preserve"> in </w:t>
      </w:r>
      <w:r w:rsidR="004F7B5C" w:rsidRPr="008E106E">
        <w:rPr>
          <w:rFonts w:ascii="Arial" w:hAnsi="Arial" w:cs="Arial"/>
          <w:sz w:val="22"/>
          <w:szCs w:val="22"/>
        </w:rPr>
        <w:t>SEF-2015.</w:t>
      </w:r>
    </w:p>
    <w:p w14:paraId="0BC5CF91" w14:textId="37D0A543" w:rsidR="009619F1" w:rsidRPr="008E106E" w:rsidRDefault="006939B7" w:rsidP="009619F1">
      <w:pPr>
        <w:pStyle w:val="BodyText"/>
        <w:rPr>
          <w:rFonts w:ascii="Arial" w:hAnsi="Arial" w:cs="Arial"/>
          <w:sz w:val="22"/>
          <w:szCs w:val="22"/>
          <w:lang w:eastAsia="ja-JP"/>
        </w:rPr>
      </w:pPr>
      <w:r w:rsidRPr="008E106E">
        <w:rPr>
          <w:rFonts w:ascii="Arial" w:hAnsi="Arial" w:cs="Arial"/>
          <w:sz w:val="22"/>
          <w:szCs w:val="22"/>
          <w:lang w:eastAsia="ja-JP"/>
        </w:rPr>
        <w:fldChar w:fldCharType="begin"/>
      </w:r>
      <w:r w:rsidRPr="008E106E">
        <w:rPr>
          <w:rFonts w:ascii="Arial" w:hAnsi="Arial" w:cs="Arial"/>
          <w:sz w:val="22"/>
          <w:szCs w:val="22"/>
          <w:lang w:eastAsia="ja-JP"/>
        </w:rPr>
        <w:instrText xml:space="preserve"> REF _Ref422384357 \h  \* MERGEFORMAT </w:instrText>
      </w:r>
      <w:r w:rsidRPr="008E106E">
        <w:rPr>
          <w:rFonts w:ascii="Arial" w:hAnsi="Arial" w:cs="Arial"/>
          <w:sz w:val="22"/>
          <w:szCs w:val="22"/>
          <w:lang w:eastAsia="ja-JP"/>
        </w:rPr>
      </w:r>
      <w:r w:rsidRPr="008E106E">
        <w:rPr>
          <w:rFonts w:ascii="Arial" w:hAnsi="Arial" w:cs="Arial"/>
          <w:sz w:val="22"/>
          <w:szCs w:val="22"/>
          <w:lang w:eastAsia="ja-JP"/>
        </w:rPr>
        <w:fldChar w:fldCharType="separate"/>
      </w:r>
      <w:r w:rsidRPr="008E106E">
        <w:rPr>
          <w:rFonts w:ascii="Arial" w:hAnsi="Arial" w:cs="Arial"/>
          <w:sz w:val="22"/>
          <w:szCs w:val="22"/>
        </w:rPr>
        <w:t xml:space="preserve">Table </w:t>
      </w:r>
      <w:r w:rsidRPr="008E106E">
        <w:rPr>
          <w:rFonts w:ascii="Arial" w:hAnsi="Arial" w:cs="Arial"/>
          <w:noProof/>
          <w:sz w:val="22"/>
          <w:szCs w:val="22"/>
        </w:rPr>
        <w:t>2</w:t>
      </w:r>
      <w:r w:rsidRPr="008E106E">
        <w:rPr>
          <w:rFonts w:ascii="Arial" w:hAnsi="Arial" w:cs="Arial"/>
          <w:sz w:val="22"/>
          <w:szCs w:val="22"/>
        </w:rPr>
        <w:t>.</w:t>
      </w:r>
      <w:r>
        <w:rPr>
          <w:rFonts w:ascii="Arial" w:hAnsi="Arial" w:cs="Arial"/>
          <w:noProof/>
          <w:sz w:val="22"/>
          <w:szCs w:val="22"/>
        </w:rPr>
        <w:t>4</w:t>
      </w:r>
      <w:r w:rsidRPr="008E106E">
        <w:rPr>
          <w:rFonts w:ascii="Arial" w:hAnsi="Arial" w:cs="Arial"/>
          <w:sz w:val="22"/>
          <w:szCs w:val="22"/>
          <w:lang w:eastAsia="ja-JP"/>
        </w:rPr>
        <w:fldChar w:fldCharType="end"/>
      </w:r>
      <w:r w:rsidRPr="008E106E">
        <w:rPr>
          <w:rFonts w:ascii="Arial" w:hAnsi="Arial" w:cs="Arial"/>
          <w:sz w:val="22"/>
          <w:szCs w:val="22"/>
          <w:lang w:eastAsia="ja-JP"/>
        </w:rPr>
        <w:t xml:space="preserve"> </w:t>
      </w:r>
      <w:r w:rsidR="009619F1" w:rsidRPr="008E106E">
        <w:rPr>
          <w:rFonts w:ascii="Arial" w:hAnsi="Arial" w:cs="Arial"/>
          <w:sz w:val="22"/>
          <w:szCs w:val="22"/>
          <w:lang w:eastAsia="ja-JP"/>
        </w:rPr>
        <w:t xml:space="preserve">shows the timing of the tasks for monitoring the Program, including the cost </w:t>
      </w:r>
      <w:r w:rsidR="00410B99" w:rsidRPr="008E106E">
        <w:rPr>
          <w:rFonts w:ascii="Arial" w:hAnsi="Arial" w:cs="Arial"/>
          <w:sz w:val="22"/>
          <w:szCs w:val="22"/>
          <w:lang w:eastAsia="ja-JP"/>
        </w:rPr>
        <w:t xml:space="preserve">and entity responsible for carrying out each task. </w:t>
      </w:r>
    </w:p>
    <w:p w14:paraId="56818453" w14:textId="77777777" w:rsidR="00CE50C5" w:rsidRPr="008E106E" w:rsidRDefault="00E106E9" w:rsidP="009619F1">
      <w:pPr>
        <w:pStyle w:val="BodyText"/>
        <w:rPr>
          <w:rFonts w:ascii="Arial" w:hAnsi="Arial" w:cs="Arial"/>
          <w:sz w:val="22"/>
          <w:szCs w:val="22"/>
        </w:rPr>
        <w:sectPr w:rsidR="00CE50C5" w:rsidRPr="008E106E" w:rsidSect="00CE50C5">
          <w:footerReference w:type="default" r:id="rId15"/>
          <w:pgSz w:w="12242" w:h="15842" w:code="1"/>
          <w:pgMar w:top="1440" w:right="1797" w:bottom="1440" w:left="1797" w:header="709" w:footer="709" w:gutter="0"/>
          <w:pgNumType w:start="1"/>
          <w:cols w:space="708"/>
          <w:docGrid w:linePitch="360"/>
        </w:sectPr>
      </w:pPr>
      <w:r w:rsidRPr="008E106E">
        <w:rPr>
          <w:rFonts w:ascii="Arial" w:hAnsi="Arial" w:cs="Arial"/>
          <w:sz w:val="22"/>
          <w:szCs w:val="22"/>
        </w:rPr>
        <w:br w:type="page"/>
      </w:r>
    </w:p>
    <w:p w14:paraId="41BE38AC" w14:textId="5A60C4B1" w:rsidR="00E106E9" w:rsidRPr="008E106E" w:rsidRDefault="00E106E9" w:rsidP="00D61AD6">
      <w:pPr>
        <w:pStyle w:val="Caption"/>
        <w:shd w:val="clear" w:color="auto" w:fill="BFBFBF" w:themeFill="background1" w:themeFillShade="BF"/>
        <w:rPr>
          <w:rFonts w:ascii="Arial" w:hAnsi="Arial" w:cs="Arial"/>
          <w:sz w:val="22"/>
          <w:szCs w:val="22"/>
        </w:rPr>
      </w:pPr>
      <w:bookmarkStart w:id="38" w:name="_Ref422384357"/>
      <w:bookmarkStart w:id="39" w:name="_Toc423458253"/>
      <w:r w:rsidRPr="008E106E">
        <w:rPr>
          <w:rFonts w:ascii="Arial" w:hAnsi="Arial" w:cs="Arial"/>
          <w:sz w:val="22"/>
          <w:szCs w:val="22"/>
        </w:rPr>
        <w:t xml:space="preserve">Table </w:t>
      </w:r>
      <w:r w:rsidR="00B75A47" w:rsidRPr="008E106E">
        <w:rPr>
          <w:rFonts w:ascii="Arial" w:hAnsi="Arial" w:cs="Arial"/>
          <w:sz w:val="22"/>
          <w:szCs w:val="22"/>
        </w:rPr>
        <w:fldChar w:fldCharType="begin"/>
      </w:r>
      <w:r w:rsidR="00B75A47" w:rsidRPr="008E106E">
        <w:rPr>
          <w:rFonts w:ascii="Arial" w:hAnsi="Arial" w:cs="Arial"/>
          <w:sz w:val="22"/>
          <w:szCs w:val="22"/>
        </w:rPr>
        <w:instrText xml:space="preserve"> STYLEREF 1 \s </w:instrText>
      </w:r>
      <w:r w:rsidR="00B75A47" w:rsidRPr="008E106E">
        <w:rPr>
          <w:rFonts w:ascii="Arial" w:hAnsi="Arial" w:cs="Arial"/>
          <w:sz w:val="22"/>
          <w:szCs w:val="22"/>
        </w:rPr>
        <w:fldChar w:fldCharType="separate"/>
      </w:r>
      <w:r w:rsidR="00B75A47" w:rsidRPr="008E106E">
        <w:rPr>
          <w:rFonts w:ascii="Arial" w:hAnsi="Arial" w:cs="Arial"/>
          <w:noProof/>
          <w:sz w:val="22"/>
          <w:szCs w:val="22"/>
        </w:rPr>
        <w:t>2</w:t>
      </w:r>
      <w:r w:rsidR="00B75A47" w:rsidRPr="008E106E">
        <w:rPr>
          <w:rFonts w:ascii="Arial" w:hAnsi="Arial" w:cs="Arial"/>
          <w:noProof/>
          <w:sz w:val="22"/>
          <w:szCs w:val="22"/>
        </w:rPr>
        <w:fldChar w:fldCharType="end"/>
      </w:r>
      <w:r w:rsidRPr="008E106E">
        <w:rPr>
          <w:rFonts w:ascii="Arial" w:hAnsi="Arial" w:cs="Arial"/>
          <w:sz w:val="22"/>
          <w:szCs w:val="22"/>
        </w:rPr>
        <w:t>.</w:t>
      </w:r>
      <w:bookmarkEnd w:id="38"/>
      <w:r w:rsidR="006939B7">
        <w:rPr>
          <w:rFonts w:ascii="Arial" w:hAnsi="Arial" w:cs="Arial"/>
          <w:sz w:val="22"/>
          <w:szCs w:val="22"/>
        </w:rPr>
        <w:t>4</w:t>
      </w:r>
      <w:r w:rsidRPr="008E106E">
        <w:rPr>
          <w:rFonts w:ascii="Arial" w:hAnsi="Arial" w:cs="Arial"/>
          <w:sz w:val="22"/>
          <w:szCs w:val="22"/>
        </w:rPr>
        <w:t xml:space="preserve">: </w:t>
      </w:r>
      <w:r w:rsidR="00740020" w:rsidRPr="008E106E">
        <w:rPr>
          <w:rFonts w:ascii="Arial" w:hAnsi="Arial" w:cs="Arial"/>
          <w:sz w:val="22"/>
          <w:szCs w:val="22"/>
        </w:rPr>
        <w:t xml:space="preserve">Monitoring </w:t>
      </w:r>
      <w:r w:rsidR="00410B99" w:rsidRPr="008E106E">
        <w:rPr>
          <w:rFonts w:ascii="Arial" w:hAnsi="Arial" w:cs="Arial"/>
          <w:sz w:val="22"/>
          <w:szCs w:val="22"/>
        </w:rPr>
        <w:t>Work Plan</w:t>
      </w:r>
      <w:bookmarkEnd w:id="39"/>
      <w:r w:rsidR="00410B99" w:rsidRPr="008E106E">
        <w:rPr>
          <w:rFonts w:ascii="Arial" w:hAnsi="Arial" w:cs="Arial"/>
          <w:sz w:val="22"/>
          <w:szCs w:val="22"/>
        </w:rPr>
        <w:t xml:space="preserve"> </w:t>
      </w:r>
    </w:p>
    <w:tbl>
      <w:tblPr>
        <w:tblW w:w="5069" w:type="pct"/>
        <w:tblBorders>
          <w:insideH w:val="single" w:sz="4" w:space="0" w:color="auto"/>
          <w:insideV w:val="single" w:sz="4" w:space="0" w:color="auto"/>
        </w:tblBorders>
        <w:tblLayout w:type="fixed"/>
        <w:tblLook w:val="04A0" w:firstRow="1" w:lastRow="0" w:firstColumn="1" w:lastColumn="0" w:noHBand="0" w:noVBand="1"/>
      </w:tblPr>
      <w:tblGrid>
        <w:gridCol w:w="2569"/>
        <w:gridCol w:w="371"/>
        <w:gridCol w:w="329"/>
        <w:gridCol w:w="39"/>
        <w:gridCol w:w="371"/>
        <w:gridCol w:w="281"/>
        <w:gridCol w:w="89"/>
        <w:gridCol w:w="371"/>
        <w:gridCol w:w="234"/>
        <w:gridCol w:w="145"/>
        <w:gridCol w:w="371"/>
        <w:gridCol w:w="176"/>
        <w:gridCol w:w="202"/>
        <w:gridCol w:w="371"/>
        <w:gridCol w:w="378"/>
        <w:gridCol w:w="371"/>
        <w:gridCol w:w="378"/>
        <w:gridCol w:w="371"/>
        <w:gridCol w:w="378"/>
        <w:gridCol w:w="371"/>
        <w:gridCol w:w="378"/>
        <w:gridCol w:w="371"/>
        <w:gridCol w:w="302"/>
        <w:gridCol w:w="376"/>
        <w:gridCol w:w="307"/>
        <w:gridCol w:w="376"/>
        <w:gridCol w:w="431"/>
        <w:gridCol w:w="691"/>
        <w:gridCol w:w="631"/>
        <w:gridCol w:w="1112"/>
      </w:tblGrid>
      <w:tr w:rsidR="008202C3" w:rsidRPr="008E106E" w14:paraId="28598965" w14:textId="77777777" w:rsidTr="00D61AD6">
        <w:trPr>
          <w:trHeight w:val="261"/>
        </w:trPr>
        <w:tc>
          <w:tcPr>
            <w:tcW w:w="978" w:type="pct"/>
            <w:vMerge w:val="restart"/>
            <w:shd w:val="clear" w:color="000000" w:fill="D9D9D9"/>
            <w:noWrap/>
            <w:vAlign w:val="center"/>
            <w:hideMark/>
          </w:tcPr>
          <w:p w14:paraId="08F26112" w14:textId="77777777" w:rsidR="001A20CC" w:rsidRPr="00690D98" w:rsidRDefault="001A20CC" w:rsidP="00E53900">
            <w:pPr>
              <w:jc w:val="center"/>
              <w:rPr>
                <w:rFonts w:ascii="Arial" w:hAnsi="Arial" w:cs="Arial"/>
                <w:b/>
                <w:bCs/>
                <w:color w:val="000000"/>
                <w:sz w:val="20"/>
                <w:szCs w:val="22"/>
              </w:rPr>
            </w:pPr>
            <w:proofErr w:type="spellStart"/>
            <w:r w:rsidRPr="00690D98">
              <w:rPr>
                <w:rFonts w:ascii="Arial" w:hAnsi="Arial" w:cs="Arial"/>
                <w:b/>
                <w:bCs/>
                <w:color w:val="000000"/>
                <w:sz w:val="20"/>
                <w:szCs w:val="22"/>
                <w:lang w:val="es-AR"/>
              </w:rPr>
              <w:t>Activity</w:t>
            </w:r>
            <w:proofErr w:type="spellEnd"/>
          </w:p>
        </w:tc>
        <w:tc>
          <w:tcPr>
            <w:tcW w:w="281" w:type="pct"/>
            <w:gridSpan w:val="3"/>
            <w:shd w:val="clear" w:color="auto" w:fill="D9D9D9" w:themeFill="background1" w:themeFillShade="D9"/>
            <w:noWrap/>
            <w:vAlign w:val="center"/>
          </w:tcPr>
          <w:p w14:paraId="5582A32A" w14:textId="77777777" w:rsidR="001A20CC" w:rsidRPr="00690D98" w:rsidRDefault="001A20CC" w:rsidP="00D61AD6">
            <w:pPr>
              <w:jc w:val="center"/>
              <w:rPr>
                <w:rFonts w:ascii="Arial" w:hAnsi="Arial" w:cs="Arial"/>
                <w:b/>
                <w:bCs/>
                <w:color w:val="000000"/>
                <w:sz w:val="20"/>
                <w:szCs w:val="22"/>
              </w:rPr>
            </w:pPr>
            <w:r w:rsidRPr="00690D98">
              <w:rPr>
                <w:rFonts w:ascii="Arial" w:hAnsi="Arial" w:cs="Arial"/>
                <w:b/>
                <w:bCs/>
                <w:color w:val="000000"/>
                <w:sz w:val="20"/>
                <w:szCs w:val="22"/>
              </w:rPr>
              <w:t>2016</w:t>
            </w:r>
          </w:p>
        </w:tc>
        <w:tc>
          <w:tcPr>
            <w:tcW w:w="282" w:type="pct"/>
            <w:gridSpan w:val="3"/>
            <w:shd w:val="clear" w:color="auto" w:fill="D9D9D9" w:themeFill="background1" w:themeFillShade="D9"/>
            <w:noWrap/>
            <w:vAlign w:val="center"/>
          </w:tcPr>
          <w:p w14:paraId="0FBA61DF" w14:textId="77777777" w:rsidR="001A20CC" w:rsidRPr="00690D98" w:rsidRDefault="001A20CC" w:rsidP="00D61AD6">
            <w:pPr>
              <w:jc w:val="center"/>
              <w:rPr>
                <w:rFonts w:ascii="Arial" w:hAnsi="Arial" w:cs="Arial"/>
                <w:b/>
                <w:bCs/>
                <w:color w:val="000000"/>
                <w:sz w:val="20"/>
                <w:szCs w:val="22"/>
              </w:rPr>
            </w:pPr>
            <w:r w:rsidRPr="00690D98">
              <w:rPr>
                <w:rFonts w:ascii="Arial" w:hAnsi="Arial" w:cs="Arial"/>
                <w:b/>
                <w:bCs/>
                <w:color w:val="000000"/>
                <w:sz w:val="20"/>
                <w:szCs w:val="22"/>
              </w:rPr>
              <w:t>2017</w:t>
            </w:r>
          </w:p>
        </w:tc>
        <w:tc>
          <w:tcPr>
            <w:tcW w:w="285" w:type="pct"/>
            <w:gridSpan w:val="3"/>
            <w:shd w:val="clear" w:color="auto" w:fill="D9D9D9" w:themeFill="background1" w:themeFillShade="D9"/>
            <w:vAlign w:val="center"/>
          </w:tcPr>
          <w:p w14:paraId="7C4952CB" w14:textId="77777777" w:rsidR="001A20CC" w:rsidRPr="00690D98" w:rsidRDefault="001A20CC" w:rsidP="00D61AD6">
            <w:pPr>
              <w:jc w:val="center"/>
              <w:rPr>
                <w:rFonts w:ascii="Arial" w:hAnsi="Arial" w:cs="Arial"/>
                <w:b/>
                <w:bCs/>
                <w:color w:val="000000"/>
                <w:sz w:val="20"/>
                <w:szCs w:val="22"/>
              </w:rPr>
            </w:pPr>
            <w:r w:rsidRPr="00690D98">
              <w:rPr>
                <w:rFonts w:ascii="Arial" w:hAnsi="Arial" w:cs="Arial"/>
                <w:b/>
                <w:bCs/>
                <w:color w:val="000000"/>
                <w:sz w:val="20"/>
                <w:szCs w:val="22"/>
              </w:rPr>
              <w:t>2018</w:t>
            </w:r>
          </w:p>
        </w:tc>
        <w:tc>
          <w:tcPr>
            <w:tcW w:w="285" w:type="pct"/>
            <w:gridSpan w:val="3"/>
            <w:shd w:val="clear" w:color="auto" w:fill="D9D9D9" w:themeFill="background1" w:themeFillShade="D9"/>
            <w:vAlign w:val="center"/>
          </w:tcPr>
          <w:p w14:paraId="23FA2B16" w14:textId="77777777" w:rsidR="001A20CC" w:rsidRPr="00690D98" w:rsidRDefault="001A20CC" w:rsidP="00D61AD6">
            <w:pPr>
              <w:jc w:val="center"/>
              <w:rPr>
                <w:rFonts w:ascii="Arial" w:hAnsi="Arial" w:cs="Arial"/>
                <w:b/>
                <w:bCs/>
                <w:color w:val="000000"/>
                <w:sz w:val="20"/>
                <w:szCs w:val="22"/>
              </w:rPr>
            </w:pPr>
            <w:r w:rsidRPr="00690D98">
              <w:rPr>
                <w:rFonts w:ascii="Arial" w:hAnsi="Arial" w:cs="Arial"/>
                <w:b/>
                <w:bCs/>
                <w:color w:val="000000"/>
                <w:sz w:val="20"/>
                <w:szCs w:val="22"/>
              </w:rPr>
              <w:t>2019</w:t>
            </w:r>
          </w:p>
        </w:tc>
        <w:tc>
          <w:tcPr>
            <w:tcW w:w="285" w:type="pct"/>
            <w:gridSpan w:val="2"/>
            <w:shd w:val="clear" w:color="auto" w:fill="D9D9D9" w:themeFill="background1" w:themeFillShade="D9"/>
            <w:noWrap/>
            <w:vAlign w:val="center"/>
          </w:tcPr>
          <w:p w14:paraId="4F53AFDA" w14:textId="77777777" w:rsidR="001A20CC" w:rsidRPr="00690D98" w:rsidRDefault="001A20CC" w:rsidP="00D61AD6">
            <w:pPr>
              <w:jc w:val="center"/>
              <w:rPr>
                <w:rFonts w:ascii="Arial" w:hAnsi="Arial" w:cs="Arial"/>
                <w:b/>
                <w:bCs/>
                <w:color w:val="000000"/>
                <w:sz w:val="20"/>
                <w:szCs w:val="22"/>
              </w:rPr>
            </w:pPr>
            <w:r w:rsidRPr="00690D98">
              <w:rPr>
                <w:rFonts w:ascii="Arial" w:hAnsi="Arial" w:cs="Arial"/>
                <w:b/>
                <w:bCs/>
                <w:color w:val="000000"/>
                <w:sz w:val="20"/>
                <w:szCs w:val="22"/>
              </w:rPr>
              <w:t>2020</w:t>
            </w:r>
          </w:p>
        </w:tc>
        <w:tc>
          <w:tcPr>
            <w:tcW w:w="285" w:type="pct"/>
            <w:gridSpan w:val="2"/>
            <w:shd w:val="clear" w:color="auto" w:fill="D9D9D9" w:themeFill="background1" w:themeFillShade="D9"/>
            <w:noWrap/>
            <w:vAlign w:val="center"/>
          </w:tcPr>
          <w:p w14:paraId="588E1543" w14:textId="77777777" w:rsidR="001A20CC" w:rsidRPr="00690D98" w:rsidRDefault="001A20CC" w:rsidP="00D61AD6">
            <w:pPr>
              <w:jc w:val="center"/>
              <w:rPr>
                <w:rFonts w:ascii="Arial" w:hAnsi="Arial" w:cs="Arial"/>
                <w:b/>
                <w:bCs/>
                <w:color w:val="000000"/>
                <w:sz w:val="20"/>
                <w:szCs w:val="22"/>
              </w:rPr>
            </w:pPr>
            <w:r w:rsidRPr="00690D98">
              <w:rPr>
                <w:rFonts w:ascii="Arial" w:hAnsi="Arial" w:cs="Arial"/>
                <w:b/>
                <w:bCs/>
                <w:color w:val="000000"/>
                <w:sz w:val="20"/>
                <w:szCs w:val="22"/>
              </w:rPr>
              <w:t>2021</w:t>
            </w:r>
          </w:p>
        </w:tc>
        <w:tc>
          <w:tcPr>
            <w:tcW w:w="285" w:type="pct"/>
            <w:gridSpan w:val="2"/>
            <w:shd w:val="clear" w:color="auto" w:fill="D9D9D9" w:themeFill="background1" w:themeFillShade="D9"/>
            <w:noWrap/>
            <w:vAlign w:val="center"/>
          </w:tcPr>
          <w:p w14:paraId="5DD287BA" w14:textId="77777777" w:rsidR="001A20CC" w:rsidRPr="00690D98" w:rsidRDefault="001A20CC" w:rsidP="00D61AD6">
            <w:pPr>
              <w:jc w:val="center"/>
              <w:rPr>
                <w:rFonts w:ascii="Arial" w:hAnsi="Arial" w:cs="Arial"/>
                <w:b/>
                <w:bCs/>
                <w:color w:val="000000"/>
                <w:sz w:val="20"/>
                <w:szCs w:val="22"/>
              </w:rPr>
            </w:pPr>
            <w:r w:rsidRPr="00690D98">
              <w:rPr>
                <w:rFonts w:ascii="Arial" w:hAnsi="Arial" w:cs="Arial"/>
                <w:b/>
                <w:bCs/>
                <w:color w:val="000000"/>
                <w:sz w:val="20"/>
                <w:szCs w:val="22"/>
              </w:rPr>
              <w:t>2022</w:t>
            </w:r>
          </w:p>
        </w:tc>
        <w:tc>
          <w:tcPr>
            <w:tcW w:w="285" w:type="pct"/>
            <w:gridSpan w:val="2"/>
            <w:shd w:val="clear" w:color="auto" w:fill="D9D9D9" w:themeFill="background1" w:themeFillShade="D9"/>
            <w:vAlign w:val="center"/>
          </w:tcPr>
          <w:p w14:paraId="70ADC2FC" w14:textId="77777777" w:rsidR="001A20CC" w:rsidRPr="00690D98" w:rsidRDefault="001A20CC" w:rsidP="00D61AD6">
            <w:pPr>
              <w:jc w:val="center"/>
              <w:rPr>
                <w:rFonts w:ascii="Arial" w:hAnsi="Arial" w:cs="Arial"/>
                <w:b/>
                <w:bCs/>
                <w:color w:val="000000"/>
                <w:sz w:val="20"/>
                <w:szCs w:val="22"/>
              </w:rPr>
            </w:pPr>
            <w:r w:rsidRPr="00690D98">
              <w:rPr>
                <w:rFonts w:ascii="Arial" w:hAnsi="Arial" w:cs="Arial"/>
                <w:b/>
                <w:bCs/>
                <w:color w:val="000000"/>
                <w:sz w:val="20"/>
                <w:szCs w:val="22"/>
              </w:rPr>
              <w:t>2023</w:t>
            </w:r>
          </w:p>
        </w:tc>
        <w:tc>
          <w:tcPr>
            <w:tcW w:w="256" w:type="pct"/>
            <w:gridSpan w:val="2"/>
            <w:shd w:val="clear" w:color="auto" w:fill="D9D9D9" w:themeFill="background1" w:themeFillShade="D9"/>
            <w:vAlign w:val="center"/>
          </w:tcPr>
          <w:p w14:paraId="5AE805AB" w14:textId="592E89E5" w:rsidR="001A20CC" w:rsidRPr="00690D98" w:rsidRDefault="001A20CC" w:rsidP="00D61AD6">
            <w:pPr>
              <w:jc w:val="center"/>
              <w:rPr>
                <w:rFonts w:ascii="Arial" w:hAnsi="Arial" w:cs="Arial"/>
                <w:b/>
                <w:bCs/>
                <w:color w:val="000000"/>
                <w:sz w:val="20"/>
                <w:szCs w:val="22"/>
              </w:rPr>
            </w:pPr>
            <w:r w:rsidRPr="00690D98">
              <w:rPr>
                <w:rFonts w:ascii="Arial" w:hAnsi="Arial" w:cs="Arial"/>
                <w:b/>
                <w:bCs/>
                <w:color w:val="000000"/>
                <w:sz w:val="20"/>
                <w:szCs w:val="22"/>
              </w:rPr>
              <w:t>2024</w:t>
            </w:r>
          </w:p>
        </w:tc>
        <w:tc>
          <w:tcPr>
            <w:tcW w:w="260" w:type="pct"/>
            <w:gridSpan w:val="2"/>
            <w:shd w:val="clear" w:color="auto" w:fill="D9D9D9" w:themeFill="background1" w:themeFillShade="D9"/>
            <w:vAlign w:val="center"/>
          </w:tcPr>
          <w:p w14:paraId="3D9C272C" w14:textId="6A337BD2" w:rsidR="001A20CC" w:rsidRPr="00690D98" w:rsidRDefault="001A20CC" w:rsidP="00D61AD6">
            <w:pPr>
              <w:jc w:val="center"/>
              <w:rPr>
                <w:rFonts w:ascii="Arial" w:hAnsi="Arial" w:cs="Arial"/>
                <w:b/>
                <w:bCs/>
                <w:color w:val="000000"/>
                <w:sz w:val="20"/>
                <w:szCs w:val="22"/>
                <w:lang w:val="es-ES"/>
              </w:rPr>
            </w:pPr>
            <w:r>
              <w:rPr>
                <w:rFonts w:ascii="Arial" w:hAnsi="Arial" w:cs="Arial"/>
                <w:b/>
                <w:bCs/>
                <w:color w:val="000000"/>
                <w:sz w:val="20"/>
                <w:szCs w:val="22"/>
                <w:lang w:val="es-ES"/>
              </w:rPr>
              <w:t>2025</w:t>
            </w:r>
          </w:p>
        </w:tc>
        <w:tc>
          <w:tcPr>
            <w:tcW w:w="307" w:type="pct"/>
            <w:gridSpan w:val="2"/>
            <w:shd w:val="clear" w:color="auto" w:fill="F2F2F2" w:themeFill="background1" w:themeFillShade="F2"/>
          </w:tcPr>
          <w:p w14:paraId="3847B925" w14:textId="517D8EB2" w:rsidR="001A20CC" w:rsidRPr="00690D98" w:rsidRDefault="001A20CC" w:rsidP="00D61AD6">
            <w:pPr>
              <w:jc w:val="center"/>
              <w:rPr>
                <w:rFonts w:ascii="Arial" w:hAnsi="Arial" w:cs="Arial"/>
                <w:b/>
                <w:bCs/>
                <w:color w:val="000000"/>
                <w:sz w:val="20"/>
                <w:szCs w:val="22"/>
                <w:lang w:val="es-ES"/>
              </w:rPr>
            </w:pPr>
          </w:p>
        </w:tc>
        <w:tc>
          <w:tcPr>
            <w:tcW w:w="263" w:type="pct"/>
            <w:shd w:val="clear" w:color="auto" w:fill="D9D9D9" w:themeFill="background1" w:themeFillShade="D9"/>
            <w:noWrap/>
            <w:vAlign w:val="center"/>
            <w:hideMark/>
          </w:tcPr>
          <w:p w14:paraId="122E554E" w14:textId="5143FCD8" w:rsidR="001A20CC" w:rsidRPr="00690D98" w:rsidRDefault="001A20CC" w:rsidP="00E53900">
            <w:pPr>
              <w:jc w:val="center"/>
              <w:rPr>
                <w:rFonts w:ascii="Arial" w:hAnsi="Arial" w:cs="Arial"/>
                <w:b/>
                <w:bCs/>
                <w:color w:val="000000"/>
                <w:sz w:val="20"/>
                <w:szCs w:val="22"/>
              </w:rPr>
            </w:pPr>
            <w:proofErr w:type="spellStart"/>
            <w:r w:rsidRPr="00690D98">
              <w:rPr>
                <w:rFonts w:ascii="Arial" w:hAnsi="Arial" w:cs="Arial"/>
                <w:b/>
                <w:bCs/>
                <w:color w:val="000000"/>
                <w:sz w:val="20"/>
                <w:szCs w:val="22"/>
                <w:lang w:val="es-ES"/>
              </w:rPr>
              <w:t>Resp</w:t>
            </w:r>
            <w:proofErr w:type="spellEnd"/>
            <w:r w:rsidRPr="00690D98">
              <w:rPr>
                <w:rFonts w:ascii="Arial" w:hAnsi="Arial" w:cs="Arial"/>
                <w:b/>
                <w:bCs/>
                <w:color w:val="000000"/>
                <w:sz w:val="20"/>
                <w:szCs w:val="22"/>
                <w:lang w:val="es-ES"/>
              </w:rPr>
              <w:t>.</w:t>
            </w:r>
          </w:p>
        </w:tc>
        <w:tc>
          <w:tcPr>
            <w:tcW w:w="239" w:type="pct"/>
            <w:shd w:val="clear" w:color="auto" w:fill="D9D9D9" w:themeFill="background1" w:themeFillShade="D9"/>
            <w:noWrap/>
            <w:vAlign w:val="center"/>
            <w:hideMark/>
          </w:tcPr>
          <w:p w14:paraId="168B4D95" w14:textId="77777777" w:rsidR="001A20CC" w:rsidRPr="00690D98" w:rsidRDefault="001A20CC" w:rsidP="009D7969">
            <w:pPr>
              <w:jc w:val="center"/>
              <w:rPr>
                <w:rFonts w:ascii="Arial" w:hAnsi="Arial" w:cs="Arial"/>
                <w:b/>
                <w:bCs/>
                <w:color w:val="000000"/>
                <w:sz w:val="20"/>
                <w:szCs w:val="22"/>
              </w:rPr>
            </w:pPr>
            <w:proofErr w:type="spellStart"/>
            <w:r w:rsidRPr="00690D98">
              <w:rPr>
                <w:rFonts w:ascii="Arial" w:hAnsi="Arial" w:cs="Arial"/>
                <w:b/>
                <w:bCs/>
                <w:color w:val="000000"/>
                <w:sz w:val="20"/>
                <w:szCs w:val="22"/>
                <w:lang w:val="es-AR"/>
              </w:rPr>
              <w:t>Fund</w:t>
            </w:r>
            <w:proofErr w:type="spellEnd"/>
            <w:r w:rsidRPr="00690D98">
              <w:rPr>
                <w:rFonts w:ascii="Arial" w:hAnsi="Arial" w:cs="Arial"/>
                <w:b/>
                <w:bCs/>
                <w:color w:val="000000"/>
                <w:sz w:val="20"/>
                <w:szCs w:val="22"/>
                <w:lang w:val="es-AR"/>
              </w:rPr>
              <w:t>.</w:t>
            </w:r>
          </w:p>
        </w:tc>
        <w:tc>
          <w:tcPr>
            <w:tcW w:w="424" w:type="pct"/>
            <w:shd w:val="clear" w:color="auto" w:fill="D9D9D9" w:themeFill="background1" w:themeFillShade="D9"/>
            <w:noWrap/>
            <w:vAlign w:val="center"/>
            <w:hideMark/>
          </w:tcPr>
          <w:p w14:paraId="792C021A" w14:textId="77777777" w:rsidR="001A20CC" w:rsidRPr="00690D98" w:rsidRDefault="001A20CC" w:rsidP="00E53900">
            <w:pPr>
              <w:jc w:val="center"/>
              <w:rPr>
                <w:rFonts w:ascii="Arial" w:hAnsi="Arial" w:cs="Arial"/>
                <w:b/>
                <w:bCs/>
                <w:color w:val="000000"/>
                <w:sz w:val="20"/>
                <w:szCs w:val="22"/>
              </w:rPr>
            </w:pPr>
            <w:r w:rsidRPr="00690D98">
              <w:rPr>
                <w:rFonts w:ascii="Arial" w:hAnsi="Arial" w:cs="Arial"/>
                <w:b/>
                <w:bCs/>
                <w:color w:val="000000"/>
                <w:sz w:val="20"/>
                <w:szCs w:val="22"/>
                <w:lang w:val="es-AR"/>
              </w:rPr>
              <w:t>US$</w:t>
            </w:r>
          </w:p>
        </w:tc>
      </w:tr>
      <w:tr w:rsidR="008202C3" w:rsidRPr="008E106E" w14:paraId="10EB0E80" w14:textId="77777777" w:rsidTr="00D61AD6">
        <w:trPr>
          <w:trHeight w:val="305"/>
        </w:trPr>
        <w:tc>
          <w:tcPr>
            <w:tcW w:w="978" w:type="pct"/>
            <w:vMerge/>
            <w:vAlign w:val="center"/>
            <w:hideMark/>
          </w:tcPr>
          <w:p w14:paraId="0DF8BB8A" w14:textId="77777777" w:rsidR="001A20CC" w:rsidRPr="00690D98" w:rsidRDefault="001A20CC" w:rsidP="00E53900">
            <w:pPr>
              <w:rPr>
                <w:rFonts w:ascii="Arial" w:hAnsi="Arial" w:cs="Arial"/>
                <w:b/>
                <w:bCs/>
                <w:color w:val="000000"/>
                <w:sz w:val="20"/>
                <w:szCs w:val="22"/>
              </w:rPr>
            </w:pPr>
          </w:p>
        </w:tc>
        <w:tc>
          <w:tcPr>
            <w:tcW w:w="141" w:type="pct"/>
            <w:shd w:val="clear" w:color="auto" w:fill="D9D9D9" w:themeFill="background1" w:themeFillShade="D9"/>
            <w:noWrap/>
            <w:vAlign w:val="center"/>
            <w:hideMark/>
          </w:tcPr>
          <w:p w14:paraId="1A3F5A6D" w14:textId="77777777" w:rsidR="001A20CC" w:rsidRPr="00690D98" w:rsidRDefault="001A20CC" w:rsidP="00D61AD6">
            <w:pPr>
              <w:jc w:val="center"/>
              <w:rPr>
                <w:rFonts w:ascii="Arial" w:hAnsi="Arial" w:cs="Arial"/>
                <w:b/>
                <w:bCs/>
                <w:color w:val="000000"/>
                <w:sz w:val="20"/>
                <w:szCs w:val="22"/>
              </w:rPr>
            </w:pPr>
            <w:r w:rsidRPr="00690D98">
              <w:rPr>
                <w:rFonts w:ascii="Arial" w:hAnsi="Arial" w:cs="Arial"/>
                <w:b/>
                <w:bCs/>
                <w:color w:val="000000"/>
                <w:sz w:val="20"/>
                <w:szCs w:val="22"/>
              </w:rPr>
              <w:t>S1</w:t>
            </w:r>
          </w:p>
        </w:tc>
        <w:tc>
          <w:tcPr>
            <w:tcW w:w="140" w:type="pct"/>
            <w:gridSpan w:val="2"/>
            <w:shd w:val="clear" w:color="auto" w:fill="D9D9D9" w:themeFill="background1" w:themeFillShade="D9"/>
            <w:noWrap/>
            <w:vAlign w:val="center"/>
            <w:hideMark/>
          </w:tcPr>
          <w:p w14:paraId="0B7CD168" w14:textId="77777777" w:rsidR="001A20CC" w:rsidRPr="00690D98" w:rsidRDefault="001A20CC" w:rsidP="00D61AD6">
            <w:pPr>
              <w:jc w:val="center"/>
              <w:rPr>
                <w:rFonts w:ascii="Arial" w:hAnsi="Arial" w:cs="Arial"/>
                <w:b/>
                <w:bCs/>
                <w:color w:val="000000"/>
                <w:sz w:val="20"/>
                <w:szCs w:val="22"/>
              </w:rPr>
            </w:pPr>
            <w:r w:rsidRPr="00690D98">
              <w:rPr>
                <w:rFonts w:ascii="Arial" w:hAnsi="Arial" w:cs="Arial"/>
                <w:b/>
                <w:bCs/>
                <w:color w:val="000000"/>
                <w:sz w:val="20"/>
                <w:szCs w:val="22"/>
              </w:rPr>
              <w:t>S2</w:t>
            </w:r>
          </w:p>
        </w:tc>
        <w:tc>
          <w:tcPr>
            <w:tcW w:w="141" w:type="pct"/>
            <w:shd w:val="clear" w:color="auto" w:fill="D9D9D9" w:themeFill="background1" w:themeFillShade="D9"/>
            <w:noWrap/>
            <w:vAlign w:val="center"/>
            <w:hideMark/>
          </w:tcPr>
          <w:p w14:paraId="4E7A3309" w14:textId="77777777" w:rsidR="001A20CC" w:rsidRPr="00690D98" w:rsidRDefault="001A20CC" w:rsidP="00D61AD6">
            <w:pPr>
              <w:jc w:val="center"/>
              <w:rPr>
                <w:rFonts w:ascii="Arial" w:hAnsi="Arial" w:cs="Arial"/>
                <w:b/>
                <w:bCs/>
                <w:color w:val="000000"/>
                <w:sz w:val="20"/>
                <w:szCs w:val="22"/>
              </w:rPr>
            </w:pPr>
            <w:r w:rsidRPr="00690D98">
              <w:rPr>
                <w:rFonts w:ascii="Arial" w:hAnsi="Arial" w:cs="Arial"/>
                <w:b/>
                <w:bCs/>
                <w:color w:val="000000"/>
                <w:sz w:val="20"/>
                <w:szCs w:val="22"/>
              </w:rPr>
              <w:t>S1</w:t>
            </w:r>
          </w:p>
        </w:tc>
        <w:tc>
          <w:tcPr>
            <w:tcW w:w="141" w:type="pct"/>
            <w:gridSpan w:val="2"/>
            <w:shd w:val="clear" w:color="auto" w:fill="D9D9D9" w:themeFill="background1" w:themeFillShade="D9"/>
            <w:noWrap/>
            <w:vAlign w:val="center"/>
            <w:hideMark/>
          </w:tcPr>
          <w:p w14:paraId="4104B936" w14:textId="77777777" w:rsidR="001A20CC" w:rsidRPr="00690D98" w:rsidRDefault="001A20CC" w:rsidP="00D61AD6">
            <w:pPr>
              <w:jc w:val="center"/>
              <w:rPr>
                <w:rFonts w:ascii="Arial" w:hAnsi="Arial" w:cs="Arial"/>
                <w:b/>
                <w:bCs/>
                <w:color w:val="000000"/>
                <w:sz w:val="20"/>
                <w:szCs w:val="22"/>
              </w:rPr>
            </w:pPr>
            <w:r w:rsidRPr="00690D98">
              <w:rPr>
                <w:rFonts w:ascii="Arial" w:hAnsi="Arial" w:cs="Arial"/>
                <w:b/>
                <w:bCs/>
                <w:color w:val="000000"/>
                <w:sz w:val="20"/>
                <w:szCs w:val="22"/>
              </w:rPr>
              <w:t>S2</w:t>
            </w:r>
          </w:p>
        </w:tc>
        <w:tc>
          <w:tcPr>
            <w:tcW w:w="141" w:type="pct"/>
            <w:shd w:val="clear" w:color="auto" w:fill="D9D9D9" w:themeFill="background1" w:themeFillShade="D9"/>
            <w:vAlign w:val="center"/>
          </w:tcPr>
          <w:p w14:paraId="6D421765" w14:textId="77777777" w:rsidR="001A20CC" w:rsidRPr="00690D98" w:rsidRDefault="001A20CC" w:rsidP="00D61AD6">
            <w:pPr>
              <w:jc w:val="center"/>
              <w:rPr>
                <w:rFonts w:ascii="Arial" w:hAnsi="Arial" w:cs="Arial"/>
                <w:b/>
                <w:bCs/>
                <w:color w:val="000000"/>
                <w:sz w:val="20"/>
                <w:szCs w:val="22"/>
              </w:rPr>
            </w:pPr>
            <w:r w:rsidRPr="00690D98">
              <w:rPr>
                <w:rFonts w:ascii="Arial" w:hAnsi="Arial" w:cs="Arial"/>
                <w:b/>
                <w:bCs/>
                <w:color w:val="000000"/>
                <w:sz w:val="20"/>
                <w:szCs w:val="22"/>
              </w:rPr>
              <w:t>S1</w:t>
            </w:r>
          </w:p>
        </w:tc>
        <w:tc>
          <w:tcPr>
            <w:tcW w:w="144" w:type="pct"/>
            <w:gridSpan w:val="2"/>
            <w:shd w:val="clear" w:color="auto" w:fill="D9D9D9" w:themeFill="background1" w:themeFillShade="D9"/>
            <w:vAlign w:val="center"/>
          </w:tcPr>
          <w:p w14:paraId="1B88622C" w14:textId="77777777" w:rsidR="001A20CC" w:rsidRPr="00690D98" w:rsidRDefault="001A20CC" w:rsidP="00D61AD6">
            <w:pPr>
              <w:jc w:val="center"/>
              <w:rPr>
                <w:rFonts w:ascii="Arial" w:hAnsi="Arial" w:cs="Arial"/>
                <w:b/>
                <w:bCs/>
                <w:color w:val="000000"/>
                <w:sz w:val="20"/>
                <w:szCs w:val="22"/>
              </w:rPr>
            </w:pPr>
            <w:r w:rsidRPr="00690D98">
              <w:rPr>
                <w:rFonts w:ascii="Arial" w:hAnsi="Arial" w:cs="Arial"/>
                <w:b/>
                <w:bCs/>
                <w:color w:val="000000"/>
                <w:sz w:val="20"/>
                <w:szCs w:val="22"/>
              </w:rPr>
              <w:t>S2</w:t>
            </w:r>
          </w:p>
        </w:tc>
        <w:tc>
          <w:tcPr>
            <w:tcW w:w="141" w:type="pct"/>
            <w:shd w:val="clear" w:color="auto" w:fill="D9D9D9" w:themeFill="background1" w:themeFillShade="D9"/>
            <w:vAlign w:val="center"/>
          </w:tcPr>
          <w:p w14:paraId="5A2AFBCA" w14:textId="77777777" w:rsidR="001A20CC" w:rsidRPr="00690D98" w:rsidRDefault="001A20CC" w:rsidP="00D61AD6">
            <w:pPr>
              <w:jc w:val="center"/>
              <w:rPr>
                <w:rFonts w:ascii="Arial" w:hAnsi="Arial" w:cs="Arial"/>
                <w:b/>
                <w:bCs/>
                <w:color w:val="000000"/>
                <w:sz w:val="20"/>
                <w:szCs w:val="22"/>
              </w:rPr>
            </w:pPr>
            <w:r w:rsidRPr="00690D98">
              <w:rPr>
                <w:rFonts w:ascii="Arial" w:hAnsi="Arial" w:cs="Arial"/>
                <w:b/>
                <w:bCs/>
                <w:color w:val="000000"/>
                <w:sz w:val="20"/>
                <w:szCs w:val="22"/>
              </w:rPr>
              <w:t>S1</w:t>
            </w:r>
          </w:p>
        </w:tc>
        <w:tc>
          <w:tcPr>
            <w:tcW w:w="144" w:type="pct"/>
            <w:gridSpan w:val="2"/>
            <w:shd w:val="clear" w:color="auto" w:fill="D9D9D9" w:themeFill="background1" w:themeFillShade="D9"/>
            <w:vAlign w:val="center"/>
          </w:tcPr>
          <w:p w14:paraId="3E0A4B00" w14:textId="77777777" w:rsidR="001A20CC" w:rsidRPr="00690D98" w:rsidRDefault="001A20CC" w:rsidP="00D61AD6">
            <w:pPr>
              <w:jc w:val="center"/>
              <w:rPr>
                <w:rFonts w:ascii="Arial" w:hAnsi="Arial" w:cs="Arial"/>
                <w:b/>
                <w:bCs/>
                <w:color w:val="000000"/>
                <w:sz w:val="20"/>
                <w:szCs w:val="22"/>
              </w:rPr>
            </w:pPr>
            <w:r w:rsidRPr="00690D98">
              <w:rPr>
                <w:rFonts w:ascii="Arial" w:hAnsi="Arial" w:cs="Arial"/>
                <w:b/>
                <w:bCs/>
                <w:color w:val="000000"/>
                <w:sz w:val="20"/>
                <w:szCs w:val="22"/>
              </w:rPr>
              <w:t>S2</w:t>
            </w:r>
          </w:p>
        </w:tc>
        <w:tc>
          <w:tcPr>
            <w:tcW w:w="141" w:type="pct"/>
            <w:shd w:val="clear" w:color="auto" w:fill="D9D9D9" w:themeFill="background1" w:themeFillShade="D9"/>
            <w:noWrap/>
            <w:vAlign w:val="center"/>
            <w:hideMark/>
          </w:tcPr>
          <w:p w14:paraId="2BEC17F1" w14:textId="77777777" w:rsidR="001A20CC" w:rsidRPr="00690D98" w:rsidRDefault="001A20CC" w:rsidP="00D61AD6">
            <w:pPr>
              <w:jc w:val="center"/>
              <w:rPr>
                <w:rFonts w:ascii="Arial" w:hAnsi="Arial" w:cs="Arial"/>
                <w:b/>
                <w:bCs/>
                <w:color w:val="000000"/>
                <w:sz w:val="20"/>
                <w:szCs w:val="22"/>
              </w:rPr>
            </w:pPr>
            <w:r w:rsidRPr="00690D98">
              <w:rPr>
                <w:rFonts w:ascii="Arial" w:hAnsi="Arial" w:cs="Arial"/>
                <w:b/>
                <w:bCs/>
                <w:color w:val="000000"/>
                <w:sz w:val="20"/>
                <w:szCs w:val="22"/>
              </w:rPr>
              <w:t>S1</w:t>
            </w:r>
          </w:p>
        </w:tc>
        <w:tc>
          <w:tcPr>
            <w:tcW w:w="144" w:type="pct"/>
            <w:shd w:val="clear" w:color="auto" w:fill="D9D9D9" w:themeFill="background1" w:themeFillShade="D9"/>
            <w:noWrap/>
            <w:vAlign w:val="center"/>
            <w:hideMark/>
          </w:tcPr>
          <w:p w14:paraId="1B5F4355" w14:textId="77777777" w:rsidR="001A20CC" w:rsidRPr="00690D98" w:rsidRDefault="001A20CC" w:rsidP="00D61AD6">
            <w:pPr>
              <w:jc w:val="center"/>
              <w:rPr>
                <w:rFonts w:ascii="Arial" w:hAnsi="Arial" w:cs="Arial"/>
                <w:b/>
                <w:bCs/>
                <w:color w:val="000000"/>
                <w:sz w:val="20"/>
                <w:szCs w:val="22"/>
              </w:rPr>
            </w:pPr>
            <w:r w:rsidRPr="00690D98">
              <w:rPr>
                <w:rFonts w:ascii="Arial" w:hAnsi="Arial" w:cs="Arial"/>
                <w:b/>
                <w:bCs/>
                <w:color w:val="000000"/>
                <w:sz w:val="20"/>
                <w:szCs w:val="22"/>
              </w:rPr>
              <w:t>S2</w:t>
            </w:r>
          </w:p>
        </w:tc>
        <w:tc>
          <w:tcPr>
            <w:tcW w:w="141" w:type="pct"/>
            <w:shd w:val="clear" w:color="auto" w:fill="D9D9D9" w:themeFill="background1" w:themeFillShade="D9"/>
            <w:noWrap/>
            <w:vAlign w:val="center"/>
            <w:hideMark/>
          </w:tcPr>
          <w:p w14:paraId="30A6D1FF" w14:textId="77777777" w:rsidR="001A20CC" w:rsidRPr="00690D98" w:rsidRDefault="001A20CC" w:rsidP="00D61AD6">
            <w:pPr>
              <w:jc w:val="center"/>
              <w:rPr>
                <w:rFonts w:ascii="Arial" w:hAnsi="Arial" w:cs="Arial"/>
                <w:b/>
                <w:bCs/>
                <w:color w:val="000000"/>
                <w:sz w:val="20"/>
                <w:szCs w:val="22"/>
              </w:rPr>
            </w:pPr>
            <w:r w:rsidRPr="00690D98">
              <w:rPr>
                <w:rFonts w:ascii="Arial" w:hAnsi="Arial" w:cs="Arial"/>
                <w:b/>
                <w:bCs/>
                <w:color w:val="000000"/>
                <w:sz w:val="20"/>
                <w:szCs w:val="22"/>
              </w:rPr>
              <w:t>S1</w:t>
            </w:r>
          </w:p>
        </w:tc>
        <w:tc>
          <w:tcPr>
            <w:tcW w:w="144" w:type="pct"/>
            <w:shd w:val="clear" w:color="auto" w:fill="D9D9D9" w:themeFill="background1" w:themeFillShade="D9"/>
            <w:noWrap/>
            <w:vAlign w:val="center"/>
            <w:hideMark/>
          </w:tcPr>
          <w:p w14:paraId="0AD2ED5F" w14:textId="77777777" w:rsidR="001A20CC" w:rsidRPr="00690D98" w:rsidRDefault="001A20CC" w:rsidP="00D61AD6">
            <w:pPr>
              <w:jc w:val="center"/>
              <w:rPr>
                <w:rFonts w:ascii="Arial" w:hAnsi="Arial" w:cs="Arial"/>
                <w:b/>
                <w:bCs/>
                <w:color w:val="000000"/>
                <w:sz w:val="20"/>
                <w:szCs w:val="22"/>
              </w:rPr>
            </w:pPr>
            <w:r w:rsidRPr="00690D98">
              <w:rPr>
                <w:rFonts w:ascii="Arial" w:hAnsi="Arial" w:cs="Arial"/>
                <w:b/>
                <w:bCs/>
                <w:color w:val="000000"/>
                <w:sz w:val="20"/>
                <w:szCs w:val="22"/>
              </w:rPr>
              <w:t>S2</w:t>
            </w:r>
          </w:p>
        </w:tc>
        <w:tc>
          <w:tcPr>
            <w:tcW w:w="141" w:type="pct"/>
            <w:shd w:val="clear" w:color="auto" w:fill="D9D9D9" w:themeFill="background1" w:themeFillShade="D9"/>
            <w:noWrap/>
            <w:vAlign w:val="center"/>
            <w:hideMark/>
          </w:tcPr>
          <w:p w14:paraId="58E8FECC" w14:textId="77777777" w:rsidR="001A20CC" w:rsidRPr="00690D98" w:rsidRDefault="001A20CC" w:rsidP="00D61AD6">
            <w:pPr>
              <w:jc w:val="center"/>
              <w:rPr>
                <w:rFonts w:ascii="Arial" w:hAnsi="Arial" w:cs="Arial"/>
                <w:b/>
                <w:bCs/>
                <w:color w:val="000000"/>
                <w:sz w:val="20"/>
                <w:szCs w:val="22"/>
              </w:rPr>
            </w:pPr>
            <w:r w:rsidRPr="00690D98">
              <w:rPr>
                <w:rFonts w:ascii="Arial" w:hAnsi="Arial" w:cs="Arial"/>
                <w:b/>
                <w:bCs/>
                <w:color w:val="000000"/>
                <w:sz w:val="20"/>
                <w:szCs w:val="22"/>
              </w:rPr>
              <w:t>S1</w:t>
            </w:r>
          </w:p>
        </w:tc>
        <w:tc>
          <w:tcPr>
            <w:tcW w:w="144" w:type="pct"/>
            <w:shd w:val="clear" w:color="auto" w:fill="D9D9D9" w:themeFill="background1" w:themeFillShade="D9"/>
            <w:noWrap/>
            <w:vAlign w:val="center"/>
            <w:hideMark/>
          </w:tcPr>
          <w:p w14:paraId="7D83B52B" w14:textId="77777777" w:rsidR="001A20CC" w:rsidRPr="00690D98" w:rsidRDefault="001A20CC" w:rsidP="00D61AD6">
            <w:pPr>
              <w:jc w:val="center"/>
              <w:rPr>
                <w:rFonts w:ascii="Arial" w:hAnsi="Arial" w:cs="Arial"/>
                <w:b/>
                <w:bCs/>
                <w:color w:val="000000"/>
                <w:sz w:val="20"/>
                <w:szCs w:val="22"/>
              </w:rPr>
            </w:pPr>
            <w:r w:rsidRPr="00690D98">
              <w:rPr>
                <w:rFonts w:ascii="Arial" w:hAnsi="Arial" w:cs="Arial"/>
                <w:b/>
                <w:bCs/>
                <w:color w:val="000000"/>
                <w:sz w:val="20"/>
                <w:szCs w:val="22"/>
              </w:rPr>
              <w:t>S2</w:t>
            </w:r>
          </w:p>
        </w:tc>
        <w:tc>
          <w:tcPr>
            <w:tcW w:w="141" w:type="pct"/>
            <w:shd w:val="clear" w:color="auto" w:fill="D9D9D9" w:themeFill="background1" w:themeFillShade="D9"/>
            <w:vAlign w:val="center"/>
          </w:tcPr>
          <w:p w14:paraId="40CA2363" w14:textId="77777777" w:rsidR="001A20CC" w:rsidRPr="00690D98" w:rsidRDefault="001A20CC" w:rsidP="00D61AD6">
            <w:pPr>
              <w:jc w:val="center"/>
              <w:rPr>
                <w:rFonts w:ascii="Arial" w:hAnsi="Arial" w:cs="Arial"/>
                <w:b/>
                <w:bCs/>
                <w:color w:val="000000"/>
                <w:sz w:val="20"/>
                <w:szCs w:val="22"/>
              </w:rPr>
            </w:pPr>
            <w:r w:rsidRPr="00690D98">
              <w:rPr>
                <w:rFonts w:ascii="Arial" w:hAnsi="Arial" w:cs="Arial"/>
                <w:b/>
                <w:bCs/>
                <w:color w:val="000000"/>
                <w:sz w:val="20"/>
                <w:szCs w:val="22"/>
              </w:rPr>
              <w:t>S1</w:t>
            </w:r>
          </w:p>
        </w:tc>
        <w:tc>
          <w:tcPr>
            <w:tcW w:w="144" w:type="pct"/>
            <w:shd w:val="clear" w:color="auto" w:fill="D9D9D9" w:themeFill="background1" w:themeFillShade="D9"/>
            <w:vAlign w:val="center"/>
          </w:tcPr>
          <w:p w14:paraId="25BC750B" w14:textId="77777777" w:rsidR="001A20CC" w:rsidRPr="00690D98" w:rsidRDefault="001A20CC" w:rsidP="00D61AD6">
            <w:pPr>
              <w:jc w:val="center"/>
              <w:rPr>
                <w:rFonts w:ascii="Arial" w:hAnsi="Arial" w:cs="Arial"/>
                <w:b/>
                <w:bCs/>
                <w:color w:val="000000"/>
                <w:sz w:val="20"/>
                <w:szCs w:val="22"/>
              </w:rPr>
            </w:pPr>
            <w:r w:rsidRPr="00690D98">
              <w:rPr>
                <w:rFonts w:ascii="Arial" w:hAnsi="Arial" w:cs="Arial"/>
                <w:b/>
                <w:bCs/>
                <w:color w:val="000000"/>
                <w:sz w:val="20"/>
                <w:szCs w:val="22"/>
              </w:rPr>
              <w:t>S2</w:t>
            </w:r>
          </w:p>
        </w:tc>
        <w:tc>
          <w:tcPr>
            <w:tcW w:w="141" w:type="pct"/>
            <w:shd w:val="clear" w:color="auto" w:fill="D9D9D9" w:themeFill="background1" w:themeFillShade="D9"/>
            <w:vAlign w:val="center"/>
          </w:tcPr>
          <w:p w14:paraId="123011F1" w14:textId="77777777" w:rsidR="001A20CC" w:rsidRPr="00690D98" w:rsidRDefault="001A20CC" w:rsidP="00D61AD6">
            <w:pPr>
              <w:jc w:val="center"/>
              <w:rPr>
                <w:rFonts w:ascii="Arial" w:hAnsi="Arial" w:cs="Arial"/>
                <w:b/>
                <w:bCs/>
                <w:color w:val="000000"/>
                <w:sz w:val="20"/>
                <w:szCs w:val="22"/>
              </w:rPr>
            </w:pPr>
            <w:r w:rsidRPr="00690D98">
              <w:rPr>
                <w:rFonts w:ascii="Arial" w:hAnsi="Arial" w:cs="Arial"/>
                <w:b/>
                <w:bCs/>
                <w:color w:val="000000"/>
                <w:sz w:val="20"/>
                <w:szCs w:val="22"/>
              </w:rPr>
              <w:t>S1</w:t>
            </w:r>
          </w:p>
        </w:tc>
        <w:tc>
          <w:tcPr>
            <w:tcW w:w="115" w:type="pct"/>
            <w:shd w:val="clear" w:color="auto" w:fill="D9D9D9" w:themeFill="background1" w:themeFillShade="D9"/>
            <w:vAlign w:val="center"/>
          </w:tcPr>
          <w:p w14:paraId="592D0FB5" w14:textId="77777777" w:rsidR="001A20CC" w:rsidRPr="00690D98" w:rsidRDefault="001A20CC" w:rsidP="00D61AD6">
            <w:pPr>
              <w:jc w:val="center"/>
              <w:rPr>
                <w:rFonts w:ascii="Arial" w:hAnsi="Arial" w:cs="Arial"/>
                <w:b/>
                <w:bCs/>
                <w:color w:val="000000"/>
                <w:sz w:val="20"/>
                <w:szCs w:val="22"/>
              </w:rPr>
            </w:pPr>
            <w:r w:rsidRPr="00690D98">
              <w:rPr>
                <w:rFonts w:ascii="Arial" w:hAnsi="Arial" w:cs="Arial"/>
                <w:b/>
                <w:bCs/>
                <w:color w:val="000000"/>
                <w:sz w:val="20"/>
                <w:szCs w:val="22"/>
              </w:rPr>
              <w:t>S2</w:t>
            </w:r>
          </w:p>
        </w:tc>
        <w:tc>
          <w:tcPr>
            <w:tcW w:w="143" w:type="pct"/>
            <w:shd w:val="clear" w:color="auto" w:fill="D9D9D9" w:themeFill="background1" w:themeFillShade="D9"/>
          </w:tcPr>
          <w:p w14:paraId="7861796C" w14:textId="18522D7A" w:rsidR="001A20CC" w:rsidRPr="00690D98" w:rsidRDefault="001A20CC" w:rsidP="00D61AD6">
            <w:pPr>
              <w:jc w:val="center"/>
              <w:rPr>
                <w:rFonts w:ascii="Arial" w:hAnsi="Arial" w:cs="Arial"/>
                <w:b/>
                <w:bCs/>
                <w:color w:val="000000"/>
                <w:sz w:val="20"/>
                <w:szCs w:val="22"/>
              </w:rPr>
            </w:pPr>
            <w:r>
              <w:rPr>
                <w:rFonts w:ascii="Arial" w:hAnsi="Arial" w:cs="Arial"/>
                <w:b/>
                <w:bCs/>
                <w:color w:val="000000"/>
                <w:sz w:val="20"/>
                <w:szCs w:val="22"/>
              </w:rPr>
              <w:t>S1</w:t>
            </w:r>
          </w:p>
        </w:tc>
        <w:tc>
          <w:tcPr>
            <w:tcW w:w="116" w:type="pct"/>
            <w:shd w:val="clear" w:color="auto" w:fill="D9D9D9" w:themeFill="background1" w:themeFillShade="D9"/>
          </w:tcPr>
          <w:p w14:paraId="49148CF9" w14:textId="6669DC66" w:rsidR="001A20CC" w:rsidRPr="00690D98" w:rsidRDefault="001A20CC" w:rsidP="00D61AD6">
            <w:pPr>
              <w:jc w:val="center"/>
              <w:rPr>
                <w:rFonts w:ascii="Arial" w:hAnsi="Arial" w:cs="Arial"/>
                <w:b/>
                <w:bCs/>
                <w:color w:val="000000"/>
                <w:sz w:val="20"/>
                <w:szCs w:val="22"/>
              </w:rPr>
            </w:pPr>
            <w:r>
              <w:rPr>
                <w:rFonts w:ascii="Arial" w:hAnsi="Arial" w:cs="Arial"/>
                <w:b/>
                <w:bCs/>
                <w:color w:val="000000"/>
                <w:sz w:val="20"/>
                <w:szCs w:val="22"/>
              </w:rPr>
              <w:t>S2</w:t>
            </w:r>
          </w:p>
        </w:tc>
        <w:tc>
          <w:tcPr>
            <w:tcW w:w="143" w:type="pct"/>
            <w:shd w:val="clear" w:color="auto" w:fill="D9D9D9" w:themeFill="background1" w:themeFillShade="D9"/>
          </w:tcPr>
          <w:p w14:paraId="4834CB2F" w14:textId="52BD5DD4" w:rsidR="001A20CC" w:rsidRPr="00690D98" w:rsidRDefault="001A20CC" w:rsidP="00D61AD6">
            <w:pPr>
              <w:jc w:val="center"/>
              <w:rPr>
                <w:rFonts w:ascii="Arial" w:hAnsi="Arial" w:cs="Arial"/>
                <w:b/>
                <w:bCs/>
                <w:color w:val="000000"/>
                <w:sz w:val="20"/>
                <w:szCs w:val="22"/>
              </w:rPr>
            </w:pPr>
            <w:r>
              <w:rPr>
                <w:rFonts w:ascii="Arial" w:hAnsi="Arial" w:cs="Arial"/>
                <w:b/>
                <w:bCs/>
                <w:color w:val="000000"/>
                <w:sz w:val="20"/>
                <w:szCs w:val="22"/>
              </w:rPr>
              <w:t>S1</w:t>
            </w:r>
          </w:p>
        </w:tc>
        <w:tc>
          <w:tcPr>
            <w:tcW w:w="164" w:type="pct"/>
            <w:shd w:val="clear" w:color="auto" w:fill="D9D9D9" w:themeFill="background1" w:themeFillShade="D9"/>
          </w:tcPr>
          <w:p w14:paraId="30AA0237" w14:textId="4230C297" w:rsidR="001A20CC" w:rsidRPr="00690D98" w:rsidRDefault="001A20CC" w:rsidP="00D61AD6">
            <w:pPr>
              <w:jc w:val="center"/>
              <w:rPr>
                <w:rFonts w:ascii="Arial" w:hAnsi="Arial" w:cs="Arial"/>
                <w:b/>
                <w:bCs/>
                <w:color w:val="000000"/>
                <w:sz w:val="20"/>
                <w:szCs w:val="22"/>
              </w:rPr>
            </w:pPr>
            <w:r>
              <w:rPr>
                <w:rFonts w:ascii="Arial" w:hAnsi="Arial" w:cs="Arial"/>
                <w:b/>
                <w:bCs/>
                <w:color w:val="000000"/>
                <w:sz w:val="20"/>
                <w:szCs w:val="22"/>
              </w:rPr>
              <w:t>S2</w:t>
            </w:r>
          </w:p>
        </w:tc>
        <w:tc>
          <w:tcPr>
            <w:tcW w:w="263" w:type="pct"/>
            <w:shd w:val="clear" w:color="auto" w:fill="D9D9D9" w:themeFill="background1" w:themeFillShade="D9"/>
            <w:vAlign w:val="center"/>
            <w:hideMark/>
          </w:tcPr>
          <w:p w14:paraId="30C085B2" w14:textId="16A41AEF" w:rsidR="001A20CC" w:rsidRPr="00690D98" w:rsidRDefault="001A20CC" w:rsidP="00E53900">
            <w:pPr>
              <w:rPr>
                <w:rFonts w:ascii="Arial" w:hAnsi="Arial" w:cs="Arial"/>
                <w:b/>
                <w:bCs/>
                <w:color w:val="000000"/>
                <w:sz w:val="20"/>
                <w:szCs w:val="22"/>
              </w:rPr>
            </w:pPr>
          </w:p>
        </w:tc>
        <w:tc>
          <w:tcPr>
            <w:tcW w:w="239" w:type="pct"/>
            <w:shd w:val="clear" w:color="auto" w:fill="D9D9D9" w:themeFill="background1" w:themeFillShade="D9"/>
            <w:vAlign w:val="center"/>
            <w:hideMark/>
          </w:tcPr>
          <w:p w14:paraId="64D5C991" w14:textId="77777777" w:rsidR="001A20CC" w:rsidRPr="00690D98" w:rsidRDefault="001A20CC" w:rsidP="00E53900">
            <w:pPr>
              <w:rPr>
                <w:rFonts w:ascii="Arial" w:hAnsi="Arial" w:cs="Arial"/>
                <w:b/>
                <w:bCs/>
                <w:color w:val="000000"/>
                <w:sz w:val="20"/>
                <w:szCs w:val="22"/>
              </w:rPr>
            </w:pPr>
          </w:p>
        </w:tc>
        <w:tc>
          <w:tcPr>
            <w:tcW w:w="424" w:type="pct"/>
            <w:shd w:val="clear" w:color="auto" w:fill="D9D9D9" w:themeFill="background1" w:themeFillShade="D9"/>
            <w:vAlign w:val="center"/>
            <w:hideMark/>
          </w:tcPr>
          <w:p w14:paraId="78A29996" w14:textId="77777777" w:rsidR="001A20CC" w:rsidRPr="00690D98" w:rsidRDefault="001A20CC" w:rsidP="00E53900">
            <w:pPr>
              <w:rPr>
                <w:rFonts w:ascii="Arial" w:hAnsi="Arial" w:cs="Arial"/>
                <w:b/>
                <w:bCs/>
                <w:color w:val="000000"/>
                <w:sz w:val="20"/>
                <w:szCs w:val="22"/>
              </w:rPr>
            </w:pPr>
          </w:p>
        </w:tc>
      </w:tr>
      <w:tr w:rsidR="008202C3" w:rsidRPr="008E106E" w14:paraId="49550EB8" w14:textId="77777777" w:rsidTr="00D61AD6">
        <w:trPr>
          <w:trHeight w:val="261"/>
        </w:trPr>
        <w:tc>
          <w:tcPr>
            <w:tcW w:w="978" w:type="pct"/>
            <w:shd w:val="clear" w:color="auto" w:fill="auto"/>
            <w:noWrap/>
            <w:vAlign w:val="center"/>
            <w:hideMark/>
          </w:tcPr>
          <w:p w14:paraId="2497F37B" w14:textId="77777777" w:rsidR="001A20CC" w:rsidRPr="00690D98" w:rsidRDefault="001A20CC" w:rsidP="00E53900">
            <w:pPr>
              <w:rPr>
                <w:rFonts w:ascii="Arial" w:hAnsi="Arial" w:cs="Arial"/>
                <w:color w:val="000000"/>
                <w:sz w:val="20"/>
                <w:szCs w:val="22"/>
              </w:rPr>
            </w:pPr>
            <w:r w:rsidRPr="00690D98">
              <w:rPr>
                <w:rFonts w:ascii="Arial" w:hAnsi="Arial" w:cs="Arial"/>
                <w:sz w:val="20"/>
                <w:szCs w:val="22"/>
              </w:rPr>
              <w:t>Semi-Annual Reports</w:t>
            </w:r>
          </w:p>
        </w:tc>
        <w:tc>
          <w:tcPr>
            <w:tcW w:w="141" w:type="pct"/>
            <w:shd w:val="clear" w:color="auto" w:fill="BFBFBF" w:themeFill="background1" w:themeFillShade="BF"/>
            <w:noWrap/>
            <w:vAlign w:val="center"/>
            <w:hideMark/>
          </w:tcPr>
          <w:p w14:paraId="74648B40" w14:textId="77777777" w:rsidR="001A20CC" w:rsidRPr="00690D98" w:rsidRDefault="001A20CC" w:rsidP="00E53900">
            <w:pPr>
              <w:rPr>
                <w:rFonts w:ascii="Arial" w:hAnsi="Arial" w:cs="Arial"/>
                <w:color w:val="000000"/>
                <w:sz w:val="20"/>
                <w:szCs w:val="22"/>
              </w:rPr>
            </w:pPr>
            <w:r w:rsidRPr="00690D98">
              <w:rPr>
                <w:rFonts w:ascii="Arial" w:hAnsi="Arial" w:cs="Arial"/>
                <w:color w:val="000000"/>
                <w:sz w:val="20"/>
                <w:szCs w:val="22"/>
              </w:rPr>
              <w:t> </w:t>
            </w:r>
          </w:p>
        </w:tc>
        <w:tc>
          <w:tcPr>
            <w:tcW w:w="140" w:type="pct"/>
            <w:gridSpan w:val="2"/>
            <w:shd w:val="clear" w:color="auto" w:fill="BFBFBF" w:themeFill="background1" w:themeFillShade="BF"/>
            <w:noWrap/>
            <w:vAlign w:val="center"/>
            <w:hideMark/>
          </w:tcPr>
          <w:p w14:paraId="503F00B9" w14:textId="77777777" w:rsidR="001A20CC" w:rsidRPr="00690D98" w:rsidRDefault="001A20CC" w:rsidP="00E53900">
            <w:pPr>
              <w:rPr>
                <w:rFonts w:ascii="Arial" w:hAnsi="Arial" w:cs="Arial"/>
                <w:color w:val="000000"/>
                <w:sz w:val="20"/>
                <w:szCs w:val="22"/>
              </w:rPr>
            </w:pPr>
            <w:r w:rsidRPr="00690D98">
              <w:rPr>
                <w:rFonts w:ascii="Arial" w:hAnsi="Arial" w:cs="Arial"/>
                <w:color w:val="000000"/>
                <w:sz w:val="20"/>
                <w:szCs w:val="22"/>
              </w:rPr>
              <w:t> </w:t>
            </w:r>
          </w:p>
        </w:tc>
        <w:tc>
          <w:tcPr>
            <w:tcW w:w="141" w:type="pct"/>
            <w:shd w:val="clear" w:color="auto" w:fill="BFBFBF" w:themeFill="background1" w:themeFillShade="BF"/>
            <w:noWrap/>
            <w:vAlign w:val="center"/>
            <w:hideMark/>
          </w:tcPr>
          <w:p w14:paraId="1C0B9765" w14:textId="77777777" w:rsidR="001A20CC" w:rsidRPr="00690D98" w:rsidRDefault="001A20CC" w:rsidP="00E53900">
            <w:pPr>
              <w:rPr>
                <w:rFonts w:ascii="Arial" w:hAnsi="Arial" w:cs="Arial"/>
                <w:color w:val="000000"/>
                <w:sz w:val="20"/>
                <w:szCs w:val="22"/>
              </w:rPr>
            </w:pPr>
            <w:r w:rsidRPr="00690D98">
              <w:rPr>
                <w:rFonts w:ascii="Arial" w:hAnsi="Arial" w:cs="Arial"/>
                <w:color w:val="000000"/>
                <w:sz w:val="20"/>
                <w:szCs w:val="22"/>
              </w:rPr>
              <w:t> </w:t>
            </w:r>
          </w:p>
        </w:tc>
        <w:tc>
          <w:tcPr>
            <w:tcW w:w="141" w:type="pct"/>
            <w:gridSpan w:val="2"/>
            <w:shd w:val="clear" w:color="auto" w:fill="BFBFBF" w:themeFill="background1" w:themeFillShade="BF"/>
            <w:noWrap/>
            <w:vAlign w:val="center"/>
            <w:hideMark/>
          </w:tcPr>
          <w:p w14:paraId="03BBBD89" w14:textId="77777777" w:rsidR="001A20CC" w:rsidRPr="00690D98" w:rsidRDefault="001A20CC" w:rsidP="00E53900">
            <w:pPr>
              <w:rPr>
                <w:rFonts w:ascii="Arial" w:hAnsi="Arial" w:cs="Arial"/>
                <w:color w:val="000000"/>
                <w:sz w:val="20"/>
                <w:szCs w:val="22"/>
              </w:rPr>
            </w:pPr>
            <w:r w:rsidRPr="00690D98">
              <w:rPr>
                <w:rFonts w:ascii="Arial" w:hAnsi="Arial" w:cs="Arial"/>
                <w:color w:val="000000"/>
                <w:sz w:val="20"/>
                <w:szCs w:val="22"/>
              </w:rPr>
              <w:t> </w:t>
            </w:r>
          </w:p>
        </w:tc>
        <w:tc>
          <w:tcPr>
            <w:tcW w:w="141" w:type="pct"/>
            <w:shd w:val="clear" w:color="auto" w:fill="BFBFBF" w:themeFill="background1" w:themeFillShade="BF"/>
          </w:tcPr>
          <w:p w14:paraId="5462DAF4" w14:textId="77777777" w:rsidR="001A20CC" w:rsidRPr="00690D98" w:rsidRDefault="001A20CC" w:rsidP="00E53900">
            <w:pPr>
              <w:rPr>
                <w:rFonts w:ascii="Arial" w:hAnsi="Arial" w:cs="Arial"/>
                <w:color w:val="000000"/>
                <w:sz w:val="20"/>
                <w:szCs w:val="22"/>
              </w:rPr>
            </w:pPr>
          </w:p>
        </w:tc>
        <w:tc>
          <w:tcPr>
            <w:tcW w:w="144" w:type="pct"/>
            <w:gridSpan w:val="2"/>
            <w:shd w:val="clear" w:color="auto" w:fill="BFBFBF" w:themeFill="background1" w:themeFillShade="BF"/>
          </w:tcPr>
          <w:p w14:paraId="6F76A698" w14:textId="77777777" w:rsidR="001A20CC" w:rsidRPr="00690D98" w:rsidRDefault="001A20CC" w:rsidP="00E53900">
            <w:pPr>
              <w:rPr>
                <w:rFonts w:ascii="Arial" w:hAnsi="Arial" w:cs="Arial"/>
                <w:color w:val="000000"/>
                <w:sz w:val="20"/>
                <w:szCs w:val="22"/>
              </w:rPr>
            </w:pPr>
          </w:p>
        </w:tc>
        <w:tc>
          <w:tcPr>
            <w:tcW w:w="141" w:type="pct"/>
            <w:shd w:val="clear" w:color="auto" w:fill="BFBFBF" w:themeFill="background1" w:themeFillShade="BF"/>
          </w:tcPr>
          <w:p w14:paraId="35E1FAE6" w14:textId="77777777" w:rsidR="001A20CC" w:rsidRPr="00690D98" w:rsidRDefault="001A20CC" w:rsidP="00E53900">
            <w:pPr>
              <w:rPr>
                <w:rFonts w:ascii="Arial" w:hAnsi="Arial" w:cs="Arial"/>
                <w:color w:val="000000"/>
                <w:sz w:val="20"/>
                <w:szCs w:val="22"/>
              </w:rPr>
            </w:pPr>
          </w:p>
        </w:tc>
        <w:tc>
          <w:tcPr>
            <w:tcW w:w="144" w:type="pct"/>
            <w:gridSpan w:val="2"/>
            <w:shd w:val="clear" w:color="auto" w:fill="BFBFBF" w:themeFill="background1" w:themeFillShade="BF"/>
          </w:tcPr>
          <w:p w14:paraId="39630FC3" w14:textId="77777777" w:rsidR="001A20CC" w:rsidRPr="00690D98" w:rsidRDefault="001A20CC" w:rsidP="00E53900">
            <w:pPr>
              <w:rPr>
                <w:rFonts w:ascii="Arial" w:hAnsi="Arial" w:cs="Arial"/>
                <w:color w:val="000000"/>
                <w:sz w:val="20"/>
                <w:szCs w:val="22"/>
              </w:rPr>
            </w:pPr>
          </w:p>
        </w:tc>
        <w:tc>
          <w:tcPr>
            <w:tcW w:w="141" w:type="pct"/>
            <w:shd w:val="clear" w:color="auto" w:fill="BFBFBF" w:themeFill="background1" w:themeFillShade="BF"/>
            <w:noWrap/>
            <w:vAlign w:val="center"/>
            <w:hideMark/>
          </w:tcPr>
          <w:p w14:paraId="28608D40" w14:textId="77777777" w:rsidR="001A20CC" w:rsidRPr="00690D98" w:rsidRDefault="001A20CC" w:rsidP="00E53900">
            <w:pPr>
              <w:rPr>
                <w:rFonts w:ascii="Arial" w:hAnsi="Arial" w:cs="Arial"/>
                <w:color w:val="000000"/>
                <w:sz w:val="20"/>
                <w:szCs w:val="22"/>
              </w:rPr>
            </w:pPr>
            <w:r w:rsidRPr="00690D98">
              <w:rPr>
                <w:rFonts w:ascii="Arial" w:hAnsi="Arial" w:cs="Arial"/>
                <w:color w:val="000000"/>
                <w:sz w:val="20"/>
                <w:szCs w:val="22"/>
              </w:rPr>
              <w:t> </w:t>
            </w:r>
          </w:p>
        </w:tc>
        <w:tc>
          <w:tcPr>
            <w:tcW w:w="144" w:type="pct"/>
            <w:shd w:val="clear" w:color="auto" w:fill="BFBFBF" w:themeFill="background1" w:themeFillShade="BF"/>
            <w:noWrap/>
            <w:vAlign w:val="center"/>
            <w:hideMark/>
          </w:tcPr>
          <w:p w14:paraId="1B1788D3" w14:textId="77777777" w:rsidR="001A20CC" w:rsidRPr="00690D98" w:rsidRDefault="001A20CC" w:rsidP="00E53900">
            <w:pPr>
              <w:rPr>
                <w:rFonts w:ascii="Arial" w:hAnsi="Arial" w:cs="Arial"/>
                <w:color w:val="000000"/>
                <w:sz w:val="20"/>
                <w:szCs w:val="22"/>
              </w:rPr>
            </w:pPr>
            <w:r w:rsidRPr="00690D98">
              <w:rPr>
                <w:rFonts w:ascii="Arial" w:hAnsi="Arial" w:cs="Arial"/>
                <w:color w:val="000000"/>
                <w:sz w:val="20"/>
                <w:szCs w:val="22"/>
              </w:rPr>
              <w:t> </w:t>
            </w:r>
          </w:p>
        </w:tc>
        <w:tc>
          <w:tcPr>
            <w:tcW w:w="141" w:type="pct"/>
            <w:shd w:val="clear" w:color="auto" w:fill="BFBFBF" w:themeFill="background1" w:themeFillShade="BF"/>
            <w:noWrap/>
            <w:vAlign w:val="center"/>
            <w:hideMark/>
          </w:tcPr>
          <w:p w14:paraId="70E8BF72" w14:textId="77777777" w:rsidR="001A20CC" w:rsidRPr="00690D98" w:rsidRDefault="001A20CC" w:rsidP="00E53900">
            <w:pPr>
              <w:rPr>
                <w:rFonts w:ascii="Arial" w:hAnsi="Arial" w:cs="Arial"/>
                <w:color w:val="000000"/>
                <w:sz w:val="20"/>
                <w:szCs w:val="22"/>
              </w:rPr>
            </w:pPr>
            <w:r w:rsidRPr="00690D98">
              <w:rPr>
                <w:rFonts w:ascii="Arial" w:hAnsi="Arial" w:cs="Arial"/>
                <w:color w:val="000000"/>
                <w:sz w:val="20"/>
                <w:szCs w:val="22"/>
              </w:rPr>
              <w:t> </w:t>
            </w:r>
          </w:p>
        </w:tc>
        <w:tc>
          <w:tcPr>
            <w:tcW w:w="144" w:type="pct"/>
            <w:shd w:val="clear" w:color="auto" w:fill="BFBFBF" w:themeFill="background1" w:themeFillShade="BF"/>
            <w:noWrap/>
            <w:vAlign w:val="center"/>
            <w:hideMark/>
          </w:tcPr>
          <w:p w14:paraId="2C056C7B" w14:textId="77777777" w:rsidR="001A20CC" w:rsidRPr="00690D98" w:rsidRDefault="001A20CC" w:rsidP="00E53900">
            <w:pPr>
              <w:rPr>
                <w:rFonts w:ascii="Arial" w:hAnsi="Arial" w:cs="Arial"/>
                <w:color w:val="000000"/>
                <w:sz w:val="20"/>
                <w:szCs w:val="22"/>
              </w:rPr>
            </w:pPr>
            <w:r w:rsidRPr="00690D98">
              <w:rPr>
                <w:rFonts w:ascii="Arial" w:hAnsi="Arial" w:cs="Arial"/>
                <w:color w:val="000000"/>
                <w:sz w:val="20"/>
                <w:szCs w:val="22"/>
              </w:rPr>
              <w:t> </w:t>
            </w:r>
          </w:p>
        </w:tc>
        <w:tc>
          <w:tcPr>
            <w:tcW w:w="141" w:type="pct"/>
            <w:shd w:val="clear" w:color="auto" w:fill="BFBFBF" w:themeFill="background1" w:themeFillShade="BF"/>
            <w:noWrap/>
            <w:vAlign w:val="center"/>
            <w:hideMark/>
          </w:tcPr>
          <w:p w14:paraId="671F6C18" w14:textId="77777777" w:rsidR="001A20CC" w:rsidRPr="00690D98" w:rsidRDefault="001A20CC" w:rsidP="00E53900">
            <w:pPr>
              <w:rPr>
                <w:rFonts w:ascii="Arial" w:hAnsi="Arial" w:cs="Arial"/>
                <w:color w:val="000000"/>
                <w:sz w:val="20"/>
                <w:szCs w:val="22"/>
              </w:rPr>
            </w:pPr>
            <w:r w:rsidRPr="00690D98">
              <w:rPr>
                <w:rFonts w:ascii="Arial" w:hAnsi="Arial" w:cs="Arial"/>
                <w:color w:val="000000"/>
                <w:sz w:val="20"/>
                <w:szCs w:val="22"/>
              </w:rPr>
              <w:t> </w:t>
            </w:r>
          </w:p>
        </w:tc>
        <w:tc>
          <w:tcPr>
            <w:tcW w:w="144" w:type="pct"/>
            <w:shd w:val="clear" w:color="auto" w:fill="BFBFBF" w:themeFill="background1" w:themeFillShade="BF"/>
            <w:noWrap/>
            <w:vAlign w:val="center"/>
            <w:hideMark/>
          </w:tcPr>
          <w:p w14:paraId="3B82C483" w14:textId="77777777" w:rsidR="001A20CC" w:rsidRPr="00690D98" w:rsidRDefault="001A20CC" w:rsidP="00E53900">
            <w:pPr>
              <w:jc w:val="center"/>
              <w:rPr>
                <w:rFonts w:ascii="Arial" w:hAnsi="Arial" w:cs="Arial"/>
                <w:b/>
                <w:bCs/>
                <w:color w:val="000000"/>
                <w:sz w:val="20"/>
                <w:szCs w:val="22"/>
              </w:rPr>
            </w:pPr>
            <w:r w:rsidRPr="00690D98">
              <w:rPr>
                <w:rFonts w:ascii="Arial" w:hAnsi="Arial" w:cs="Arial"/>
                <w:b/>
                <w:bCs/>
                <w:color w:val="000000"/>
                <w:sz w:val="20"/>
                <w:szCs w:val="22"/>
              </w:rPr>
              <w:t> </w:t>
            </w:r>
          </w:p>
          <w:p w14:paraId="22B9AFBB" w14:textId="77777777" w:rsidR="001A20CC" w:rsidRPr="00690D98" w:rsidRDefault="001A20CC" w:rsidP="00E53900">
            <w:pPr>
              <w:rPr>
                <w:rFonts w:ascii="Arial" w:hAnsi="Arial" w:cs="Arial"/>
                <w:sz w:val="20"/>
                <w:szCs w:val="22"/>
              </w:rPr>
            </w:pPr>
          </w:p>
          <w:p w14:paraId="4897601E" w14:textId="77777777" w:rsidR="001A20CC" w:rsidRPr="00690D98" w:rsidRDefault="001A20CC" w:rsidP="00E53900">
            <w:pPr>
              <w:rPr>
                <w:rFonts w:ascii="Arial" w:hAnsi="Arial" w:cs="Arial"/>
                <w:sz w:val="20"/>
                <w:szCs w:val="22"/>
              </w:rPr>
            </w:pPr>
          </w:p>
        </w:tc>
        <w:tc>
          <w:tcPr>
            <w:tcW w:w="141" w:type="pct"/>
            <w:shd w:val="clear" w:color="auto" w:fill="BFBFBF" w:themeFill="background1" w:themeFillShade="BF"/>
          </w:tcPr>
          <w:p w14:paraId="724F27CD" w14:textId="77777777" w:rsidR="001A20CC" w:rsidRPr="00690D98" w:rsidRDefault="001A20CC" w:rsidP="00E53900">
            <w:pPr>
              <w:jc w:val="center"/>
              <w:rPr>
                <w:rFonts w:ascii="Arial" w:hAnsi="Arial" w:cs="Arial"/>
                <w:b/>
                <w:bCs/>
                <w:color w:val="000000"/>
                <w:sz w:val="20"/>
                <w:szCs w:val="22"/>
              </w:rPr>
            </w:pPr>
          </w:p>
        </w:tc>
        <w:tc>
          <w:tcPr>
            <w:tcW w:w="144" w:type="pct"/>
            <w:shd w:val="clear" w:color="auto" w:fill="BFBFBF" w:themeFill="background1" w:themeFillShade="BF"/>
          </w:tcPr>
          <w:p w14:paraId="61B6D98F" w14:textId="77777777" w:rsidR="001A20CC" w:rsidRPr="00690D98" w:rsidRDefault="001A20CC" w:rsidP="00E53900">
            <w:pPr>
              <w:jc w:val="center"/>
              <w:rPr>
                <w:rFonts w:ascii="Arial" w:hAnsi="Arial" w:cs="Arial"/>
                <w:b/>
                <w:bCs/>
                <w:color w:val="000000"/>
                <w:sz w:val="20"/>
                <w:szCs w:val="22"/>
              </w:rPr>
            </w:pPr>
          </w:p>
        </w:tc>
        <w:tc>
          <w:tcPr>
            <w:tcW w:w="141" w:type="pct"/>
            <w:shd w:val="clear" w:color="auto" w:fill="BFBFBF" w:themeFill="background1" w:themeFillShade="BF"/>
          </w:tcPr>
          <w:p w14:paraId="21887FCC" w14:textId="77777777" w:rsidR="001A20CC" w:rsidRPr="00690D98" w:rsidRDefault="001A20CC" w:rsidP="00E53900">
            <w:pPr>
              <w:jc w:val="center"/>
              <w:rPr>
                <w:rFonts w:ascii="Arial" w:hAnsi="Arial" w:cs="Arial"/>
                <w:b/>
                <w:bCs/>
                <w:color w:val="000000"/>
                <w:sz w:val="20"/>
                <w:szCs w:val="22"/>
              </w:rPr>
            </w:pPr>
          </w:p>
          <w:p w14:paraId="0C9B7F4B" w14:textId="77777777" w:rsidR="001A20CC" w:rsidRPr="00690D98" w:rsidRDefault="001A20CC" w:rsidP="00745E8F">
            <w:pPr>
              <w:rPr>
                <w:rFonts w:ascii="Arial" w:hAnsi="Arial" w:cs="Arial"/>
                <w:sz w:val="20"/>
                <w:szCs w:val="22"/>
              </w:rPr>
            </w:pPr>
          </w:p>
        </w:tc>
        <w:tc>
          <w:tcPr>
            <w:tcW w:w="115" w:type="pct"/>
            <w:shd w:val="clear" w:color="auto" w:fill="BFBFBF" w:themeFill="background1" w:themeFillShade="BF"/>
          </w:tcPr>
          <w:p w14:paraId="446F187B" w14:textId="77777777" w:rsidR="001A20CC" w:rsidRPr="00690D98" w:rsidRDefault="001A20CC" w:rsidP="00E53900">
            <w:pPr>
              <w:jc w:val="center"/>
              <w:rPr>
                <w:rFonts w:ascii="Arial" w:hAnsi="Arial" w:cs="Arial"/>
                <w:b/>
                <w:bCs/>
                <w:color w:val="000000"/>
                <w:sz w:val="20"/>
                <w:szCs w:val="22"/>
              </w:rPr>
            </w:pPr>
          </w:p>
        </w:tc>
        <w:tc>
          <w:tcPr>
            <w:tcW w:w="143" w:type="pct"/>
            <w:shd w:val="clear" w:color="auto" w:fill="BFBFBF" w:themeFill="background1" w:themeFillShade="BF"/>
          </w:tcPr>
          <w:p w14:paraId="0365CE70" w14:textId="77777777" w:rsidR="001A20CC" w:rsidRPr="00690D98" w:rsidRDefault="001A20CC" w:rsidP="00E53900">
            <w:pPr>
              <w:jc w:val="center"/>
              <w:rPr>
                <w:rFonts w:ascii="Arial" w:hAnsi="Arial" w:cs="Arial"/>
                <w:sz w:val="20"/>
                <w:szCs w:val="22"/>
              </w:rPr>
            </w:pPr>
          </w:p>
        </w:tc>
        <w:tc>
          <w:tcPr>
            <w:tcW w:w="116" w:type="pct"/>
            <w:shd w:val="clear" w:color="auto" w:fill="BFBFBF" w:themeFill="background1" w:themeFillShade="BF"/>
          </w:tcPr>
          <w:p w14:paraId="2BBCC68E" w14:textId="77777777" w:rsidR="001A20CC" w:rsidRPr="00690D98" w:rsidRDefault="001A20CC" w:rsidP="00E53900">
            <w:pPr>
              <w:jc w:val="center"/>
              <w:rPr>
                <w:rFonts w:ascii="Arial" w:hAnsi="Arial" w:cs="Arial"/>
                <w:sz w:val="20"/>
                <w:szCs w:val="22"/>
              </w:rPr>
            </w:pPr>
          </w:p>
        </w:tc>
        <w:tc>
          <w:tcPr>
            <w:tcW w:w="143" w:type="pct"/>
            <w:shd w:val="clear" w:color="auto" w:fill="BFBFBF" w:themeFill="background1" w:themeFillShade="BF"/>
          </w:tcPr>
          <w:p w14:paraId="16D366DC" w14:textId="77777777" w:rsidR="001A20CC" w:rsidRPr="00690D98" w:rsidRDefault="001A20CC" w:rsidP="00E53900">
            <w:pPr>
              <w:jc w:val="center"/>
              <w:rPr>
                <w:rFonts w:ascii="Arial" w:hAnsi="Arial" w:cs="Arial"/>
                <w:sz w:val="20"/>
                <w:szCs w:val="22"/>
              </w:rPr>
            </w:pPr>
          </w:p>
        </w:tc>
        <w:tc>
          <w:tcPr>
            <w:tcW w:w="164" w:type="pct"/>
          </w:tcPr>
          <w:p w14:paraId="0335223C" w14:textId="77777777" w:rsidR="001A20CC" w:rsidRPr="00690D98" w:rsidRDefault="001A20CC" w:rsidP="00E53900">
            <w:pPr>
              <w:jc w:val="center"/>
              <w:rPr>
                <w:rFonts w:ascii="Arial" w:hAnsi="Arial" w:cs="Arial"/>
                <w:sz w:val="20"/>
                <w:szCs w:val="22"/>
              </w:rPr>
            </w:pPr>
          </w:p>
        </w:tc>
        <w:tc>
          <w:tcPr>
            <w:tcW w:w="263" w:type="pct"/>
            <w:shd w:val="clear" w:color="auto" w:fill="auto"/>
            <w:noWrap/>
            <w:vAlign w:val="center"/>
          </w:tcPr>
          <w:p w14:paraId="750AF9AA" w14:textId="3BC80358" w:rsidR="001A20CC" w:rsidRPr="00690D98" w:rsidRDefault="001A20CC" w:rsidP="00E53900">
            <w:pPr>
              <w:jc w:val="center"/>
              <w:rPr>
                <w:rFonts w:ascii="Arial" w:hAnsi="Arial" w:cs="Arial"/>
                <w:color w:val="000000"/>
                <w:sz w:val="20"/>
                <w:szCs w:val="22"/>
              </w:rPr>
            </w:pPr>
            <w:r w:rsidRPr="00690D98">
              <w:rPr>
                <w:rFonts w:ascii="Arial" w:hAnsi="Arial" w:cs="Arial"/>
                <w:sz w:val="20"/>
                <w:szCs w:val="22"/>
              </w:rPr>
              <w:t>EA</w:t>
            </w:r>
          </w:p>
        </w:tc>
        <w:tc>
          <w:tcPr>
            <w:tcW w:w="239" w:type="pct"/>
            <w:shd w:val="clear" w:color="auto" w:fill="auto"/>
            <w:noWrap/>
            <w:vAlign w:val="center"/>
          </w:tcPr>
          <w:p w14:paraId="4118E226" w14:textId="77777777" w:rsidR="001A20CC" w:rsidRPr="00690D98" w:rsidRDefault="001A20CC" w:rsidP="009D7969">
            <w:pPr>
              <w:jc w:val="center"/>
              <w:rPr>
                <w:rFonts w:ascii="Arial" w:hAnsi="Arial" w:cs="Arial"/>
                <w:color w:val="000000"/>
                <w:sz w:val="20"/>
                <w:szCs w:val="22"/>
              </w:rPr>
            </w:pPr>
            <w:r w:rsidRPr="00690D98">
              <w:rPr>
                <w:rFonts w:ascii="Arial" w:hAnsi="Arial" w:cs="Arial"/>
                <w:color w:val="000000"/>
                <w:sz w:val="20"/>
                <w:szCs w:val="22"/>
              </w:rPr>
              <w:t>Prog.</w:t>
            </w:r>
          </w:p>
        </w:tc>
        <w:tc>
          <w:tcPr>
            <w:tcW w:w="424" w:type="pct"/>
            <w:shd w:val="clear" w:color="auto" w:fill="auto"/>
            <w:noWrap/>
            <w:vAlign w:val="center"/>
          </w:tcPr>
          <w:p w14:paraId="72A89B27" w14:textId="77777777" w:rsidR="001A20CC" w:rsidRPr="00690D98" w:rsidRDefault="001A20CC" w:rsidP="00E53900">
            <w:pPr>
              <w:jc w:val="right"/>
              <w:rPr>
                <w:rFonts w:ascii="Arial" w:hAnsi="Arial" w:cs="Arial"/>
                <w:color w:val="000000"/>
                <w:sz w:val="20"/>
                <w:szCs w:val="22"/>
              </w:rPr>
            </w:pPr>
            <w:r w:rsidRPr="00690D98">
              <w:rPr>
                <w:rFonts w:ascii="Arial" w:hAnsi="Arial" w:cs="Arial"/>
                <w:sz w:val="20"/>
                <w:szCs w:val="22"/>
              </w:rPr>
              <w:t>0</w:t>
            </w:r>
          </w:p>
        </w:tc>
      </w:tr>
      <w:tr w:rsidR="008202C3" w:rsidRPr="008E106E" w14:paraId="7648A0D5" w14:textId="77777777" w:rsidTr="00D61AD6">
        <w:trPr>
          <w:trHeight w:val="261"/>
        </w:trPr>
        <w:tc>
          <w:tcPr>
            <w:tcW w:w="978" w:type="pct"/>
            <w:shd w:val="clear" w:color="auto" w:fill="auto"/>
            <w:noWrap/>
            <w:vAlign w:val="center"/>
          </w:tcPr>
          <w:p w14:paraId="60C95F17" w14:textId="5D99BAA5" w:rsidR="001A20CC" w:rsidRPr="00690D98" w:rsidDel="009331CE" w:rsidRDefault="001A20CC" w:rsidP="00E566AB">
            <w:pPr>
              <w:rPr>
                <w:rFonts w:ascii="Arial" w:hAnsi="Arial" w:cs="Arial"/>
                <w:color w:val="000000"/>
                <w:sz w:val="20"/>
                <w:szCs w:val="22"/>
              </w:rPr>
            </w:pPr>
            <w:r w:rsidRPr="00690D98">
              <w:rPr>
                <w:rFonts w:ascii="Arial" w:hAnsi="Arial" w:cs="Arial"/>
                <w:sz w:val="20"/>
                <w:szCs w:val="22"/>
              </w:rPr>
              <w:t>Annual Reports</w:t>
            </w:r>
          </w:p>
        </w:tc>
        <w:tc>
          <w:tcPr>
            <w:tcW w:w="141" w:type="pct"/>
            <w:shd w:val="clear" w:color="auto" w:fill="auto"/>
            <w:noWrap/>
            <w:vAlign w:val="center"/>
          </w:tcPr>
          <w:p w14:paraId="2851E23A" w14:textId="77777777" w:rsidR="001A20CC" w:rsidRPr="00690D98" w:rsidRDefault="001A20CC" w:rsidP="00E566AB">
            <w:pPr>
              <w:rPr>
                <w:rFonts w:ascii="Arial" w:hAnsi="Arial" w:cs="Arial"/>
                <w:color w:val="000000"/>
                <w:sz w:val="20"/>
                <w:szCs w:val="22"/>
              </w:rPr>
            </w:pPr>
          </w:p>
        </w:tc>
        <w:tc>
          <w:tcPr>
            <w:tcW w:w="140" w:type="pct"/>
            <w:gridSpan w:val="2"/>
            <w:shd w:val="clear" w:color="auto" w:fill="auto"/>
            <w:noWrap/>
            <w:vAlign w:val="center"/>
          </w:tcPr>
          <w:p w14:paraId="6860A1FC" w14:textId="77777777" w:rsidR="001A20CC" w:rsidRPr="00690D98" w:rsidRDefault="001A20CC" w:rsidP="00E566AB">
            <w:pPr>
              <w:rPr>
                <w:rFonts w:ascii="Arial" w:hAnsi="Arial" w:cs="Arial"/>
                <w:color w:val="000000"/>
                <w:sz w:val="20"/>
                <w:szCs w:val="22"/>
              </w:rPr>
            </w:pPr>
          </w:p>
        </w:tc>
        <w:tc>
          <w:tcPr>
            <w:tcW w:w="141" w:type="pct"/>
            <w:shd w:val="clear" w:color="auto" w:fill="auto"/>
            <w:noWrap/>
            <w:vAlign w:val="center"/>
          </w:tcPr>
          <w:p w14:paraId="5E33355C" w14:textId="77777777" w:rsidR="001A20CC" w:rsidRPr="00690D98" w:rsidRDefault="001A20CC" w:rsidP="00E566AB">
            <w:pPr>
              <w:rPr>
                <w:rFonts w:ascii="Arial" w:hAnsi="Arial" w:cs="Arial"/>
                <w:color w:val="000000"/>
                <w:sz w:val="20"/>
                <w:szCs w:val="22"/>
              </w:rPr>
            </w:pPr>
          </w:p>
        </w:tc>
        <w:tc>
          <w:tcPr>
            <w:tcW w:w="141" w:type="pct"/>
            <w:gridSpan w:val="2"/>
            <w:shd w:val="clear" w:color="auto" w:fill="auto"/>
            <w:noWrap/>
            <w:vAlign w:val="center"/>
          </w:tcPr>
          <w:p w14:paraId="6D92EB14" w14:textId="77777777" w:rsidR="001A20CC" w:rsidRPr="00690D98" w:rsidRDefault="001A20CC" w:rsidP="00E566AB">
            <w:pPr>
              <w:rPr>
                <w:rFonts w:ascii="Arial" w:hAnsi="Arial" w:cs="Arial"/>
                <w:color w:val="000000"/>
                <w:sz w:val="20"/>
                <w:szCs w:val="22"/>
              </w:rPr>
            </w:pPr>
          </w:p>
        </w:tc>
        <w:tc>
          <w:tcPr>
            <w:tcW w:w="141" w:type="pct"/>
            <w:shd w:val="clear" w:color="auto" w:fill="auto"/>
          </w:tcPr>
          <w:p w14:paraId="3851443E" w14:textId="77777777" w:rsidR="001A20CC" w:rsidRPr="00690D98" w:rsidRDefault="001A20CC" w:rsidP="00E566AB">
            <w:pPr>
              <w:rPr>
                <w:rFonts w:ascii="Arial" w:hAnsi="Arial" w:cs="Arial"/>
                <w:color w:val="000000"/>
                <w:sz w:val="20"/>
                <w:szCs w:val="22"/>
              </w:rPr>
            </w:pPr>
          </w:p>
        </w:tc>
        <w:tc>
          <w:tcPr>
            <w:tcW w:w="144" w:type="pct"/>
            <w:gridSpan w:val="2"/>
            <w:shd w:val="clear" w:color="auto" w:fill="auto"/>
          </w:tcPr>
          <w:p w14:paraId="20B3E09B" w14:textId="77777777" w:rsidR="001A20CC" w:rsidRPr="00690D98" w:rsidRDefault="001A20CC" w:rsidP="00E566AB">
            <w:pPr>
              <w:rPr>
                <w:rFonts w:ascii="Arial" w:hAnsi="Arial" w:cs="Arial"/>
                <w:color w:val="000000"/>
                <w:sz w:val="20"/>
                <w:szCs w:val="22"/>
              </w:rPr>
            </w:pPr>
          </w:p>
        </w:tc>
        <w:tc>
          <w:tcPr>
            <w:tcW w:w="141" w:type="pct"/>
            <w:shd w:val="clear" w:color="auto" w:fill="BFBFBF" w:themeFill="background1" w:themeFillShade="BF"/>
          </w:tcPr>
          <w:p w14:paraId="2FBC6B3C" w14:textId="77777777" w:rsidR="001A20CC" w:rsidRPr="00690D98" w:rsidRDefault="001A20CC" w:rsidP="00E566AB">
            <w:pPr>
              <w:rPr>
                <w:rFonts w:ascii="Arial" w:hAnsi="Arial" w:cs="Arial"/>
                <w:color w:val="000000"/>
                <w:sz w:val="20"/>
                <w:szCs w:val="22"/>
              </w:rPr>
            </w:pPr>
          </w:p>
        </w:tc>
        <w:tc>
          <w:tcPr>
            <w:tcW w:w="144" w:type="pct"/>
            <w:gridSpan w:val="2"/>
            <w:shd w:val="clear" w:color="auto" w:fill="FFFFFF" w:themeFill="background1"/>
          </w:tcPr>
          <w:p w14:paraId="6A6A96DD" w14:textId="77777777" w:rsidR="001A20CC" w:rsidRPr="00690D98" w:rsidRDefault="001A20CC" w:rsidP="00E566AB">
            <w:pPr>
              <w:rPr>
                <w:rFonts w:ascii="Arial" w:hAnsi="Arial" w:cs="Arial"/>
                <w:color w:val="000000"/>
                <w:sz w:val="20"/>
                <w:szCs w:val="22"/>
              </w:rPr>
            </w:pPr>
          </w:p>
        </w:tc>
        <w:tc>
          <w:tcPr>
            <w:tcW w:w="141" w:type="pct"/>
            <w:shd w:val="clear" w:color="auto" w:fill="BFBFBF" w:themeFill="background1" w:themeFillShade="BF"/>
            <w:noWrap/>
            <w:vAlign w:val="center"/>
          </w:tcPr>
          <w:p w14:paraId="162A93B9" w14:textId="77777777" w:rsidR="001A20CC" w:rsidRPr="00690D98" w:rsidRDefault="001A20CC" w:rsidP="00E566AB">
            <w:pPr>
              <w:rPr>
                <w:rFonts w:ascii="Arial" w:hAnsi="Arial" w:cs="Arial"/>
                <w:color w:val="000000"/>
                <w:sz w:val="20"/>
                <w:szCs w:val="22"/>
              </w:rPr>
            </w:pPr>
          </w:p>
        </w:tc>
        <w:tc>
          <w:tcPr>
            <w:tcW w:w="144" w:type="pct"/>
            <w:shd w:val="clear" w:color="auto" w:fill="FFFFFF" w:themeFill="background1"/>
            <w:noWrap/>
            <w:vAlign w:val="center"/>
          </w:tcPr>
          <w:p w14:paraId="7A71E836" w14:textId="77777777" w:rsidR="001A20CC" w:rsidRPr="00690D98" w:rsidRDefault="001A20CC" w:rsidP="00E566AB">
            <w:pPr>
              <w:rPr>
                <w:rFonts w:ascii="Arial" w:hAnsi="Arial" w:cs="Arial"/>
                <w:color w:val="000000"/>
                <w:sz w:val="20"/>
                <w:szCs w:val="22"/>
              </w:rPr>
            </w:pPr>
          </w:p>
        </w:tc>
        <w:tc>
          <w:tcPr>
            <w:tcW w:w="141" w:type="pct"/>
            <w:shd w:val="clear" w:color="auto" w:fill="BFBFBF" w:themeFill="background1" w:themeFillShade="BF"/>
            <w:noWrap/>
            <w:vAlign w:val="center"/>
          </w:tcPr>
          <w:p w14:paraId="7EE64ECF" w14:textId="77777777" w:rsidR="001A20CC" w:rsidRPr="00690D98" w:rsidRDefault="001A20CC" w:rsidP="00E566AB">
            <w:pPr>
              <w:rPr>
                <w:rFonts w:ascii="Arial" w:hAnsi="Arial" w:cs="Arial"/>
                <w:color w:val="000000"/>
                <w:sz w:val="20"/>
                <w:szCs w:val="22"/>
              </w:rPr>
            </w:pPr>
          </w:p>
        </w:tc>
        <w:tc>
          <w:tcPr>
            <w:tcW w:w="144" w:type="pct"/>
            <w:shd w:val="clear" w:color="auto" w:fill="auto"/>
            <w:noWrap/>
            <w:vAlign w:val="center"/>
          </w:tcPr>
          <w:p w14:paraId="646A4A51" w14:textId="77777777" w:rsidR="001A20CC" w:rsidRPr="00690D98" w:rsidRDefault="001A20CC" w:rsidP="00E566AB">
            <w:pPr>
              <w:rPr>
                <w:rFonts w:ascii="Arial" w:hAnsi="Arial" w:cs="Arial"/>
                <w:color w:val="000000"/>
                <w:sz w:val="20"/>
                <w:szCs w:val="22"/>
              </w:rPr>
            </w:pPr>
          </w:p>
        </w:tc>
        <w:tc>
          <w:tcPr>
            <w:tcW w:w="141" w:type="pct"/>
            <w:shd w:val="clear" w:color="auto" w:fill="BFBFBF" w:themeFill="background1" w:themeFillShade="BF"/>
            <w:noWrap/>
            <w:vAlign w:val="center"/>
          </w:tcPr>
          <w:p w14:paraId="5CB1EDA6" w14:textId="77777777" w:rsidR="001A20CC" w:rsidRPr="00690D98" w:rsidRDefault="001A20CC" w:rsidP="00E566AB">
            <w:pPr>
              <w:rPr>
                <w:rFonts w:ascii="Arial" w:hAnsi="Arial" w:cs="Arial"/>
                <w:color w:val="000000"/>
                <w:sz w:val="20"/>
                <w:szCs w:val="22"/>
              </w:rPr>
            </w:pPr>
          </w:p>
        </w:tc>
        <w:tc>
          <w:tcPr>
            <w:tcW w:w="144" w:type="pct"/>
            <w:shd w:val="clear" w:color="auto" w:fill="FFFFFF" w:themeFill="background1"/>
            <w:noWrap/>
            <w:vAlign w:val="center"/>
          </w:tcPr>
          <w:p w14:paraId="30F6EC8C" w14:textId="77777777" w:rsidR="001A20CC" w:rsidRPr="00690D98" w:rsidRDefault="001A20CC" w:rsidP="00E566AB">
            <w:pPr>
              <w:jc w:val="center"/>
              <w:rPr>
                <w:rFonts w:ascii="Arial" w:hAnsi="Arial" w:cs="Arial"/>
                <w:b/>
                <w:bCs/>
                <w:color w:val="000000"/>
                <w:sz w:val="20"/>
                <w:szCs w:val="22"/>
              </w:rPr>
            </w:pPr>
          </w:p>
        </w:tc>
        <w:tc>
          <w:tcPr>
            <w:tcW w:w="141" w:type="pct"/>
            <w:shd w:val="clear" w:color="auto" w:fill="BFBFBF" w:themeFill="background1" w:themeFillShade="BF"/>
          </w:tcPr>
          <w:p w14:paraId="0BDD7846" w14:textId="77777777" w:rsidR="001A20CC" w:rsidRPr="00690D98" w:rsidRDefault="001A20CC" w:rsidP="00E566AB">
            <w:pPr>
              <w:jc w:val="center"/>
              <w:rPr>
                <w:rFonts w:ascii="Arial" w:hAnsi="Arial" w:cs="Arial"/>
                <w:b/>
                <w:bCs/>
                <w:color w:val="000000"/>
                <w:sz w:val="20"/>
                <w:szCs w:val="22"/>
              </w:rPr>
            </w:pPr>
          </w:p>
        </w:tc>
        <w:tc>
          <w:tcPr>
            <w:tcW w:w="144" w:type="pct"/>
            <w:shd w:val="clear" w:color="auto" w:fill="FFFFFF" w:themeFill="background1"/>
          </w:tcPr>
          <w:p w14:paraId="4A5BDEDC" w14:textId="77777777" w:rsidR="001A20CC" w:rsidRPr="00690D98" w:rsidRDefault="001A20CC" w:rsidP="00E566AB">
            <w:pPr>
              <w:jc w:val="center"/>
              <w:rPr>
                <w:rFonts w:ascii="Arial" w:hAnsi="Arial" w:cs="Arial"/>
                <w:b/>
                <w:bCs/>
                <w:color w:val="000000"/>
                <w:sz w:val="20"/>
                <w:szCs w:val="22"/>
              </w:rPr>
            </w:pPr>
          </w:p>
        </w:tc>
        <w:tc>
          <w:tcPr>
            <w:tcW w:w="141" w:type="pct"/>
            <w:shd w:val="clear" w:color="auto" w:fill="BFBFBF" w:themeFill="background1" w:themeFillShade="BF"/>
          </w:tcPr>
          <w:p w14:paraId="41817810" w14:textId="77777777" w:rsidR="001A20CC" w:rsidRPr="00690D98" w:rsidRDefault="001A20CC" w:rsidP="00E566AB">
            <w:pPr>
              <w:jc w:val="center"/>
              <w:rPr>
                <w:rFonts w:ascii="Arial" w:hAnsi="Arial" w:cs="Arial"/>
                <w:b/>
                <w:bCs/>
                <w:color w:val="000000"/>
                <w:sz w:val="20"/>
                <w:szCs w:val="22"/>
              </w:rPr>
            </w:pPr>
          </w:p>
        </w:tc>
        <w:tc>
          <w:tcPr>
            <w:tcW w:w="115" w:type="pct"/>
            <w:shd w:val="clear" w:color="auto" w:fill="FFFFFF" w:themeFill="background1"/>
          </w:tcPr>
          <w:p w14:paraId="1EE7C4FF" w14:textId="77777777" w:rsidR="001A20CC" w:rsidRPr="00690D98" w:rsidRDefault="001A20CC" w:rsidP="00E566AB">
            <w:pPr>
              <w:jc w:val="center"/>
              <w:rPr>
                <w:rFonts w:ascii="Arial" w:hAnsi="Arial" w:cs="Arial"/>
                <w:b/>
                <w:bCs/>
                <w:color w:val="000000"/>
                <w:sz w:val="20"/>
                <w:szCs w:val="22"/>
              </w:rPr>
            </w:pPr>
          </w:p>
        </w:tc>
        <w:tc>
          <w:tcPr>
            <w:tcW w:w="143" w:type="pct"/>
            <w:shd w:val="clear" w:color="auto" w:fill="BFBFBF" w:themeFill="background1" w:themeFillShade="BF"/>
          </w:tcPr>
          <w:p w14:paraId="3C7D338B" w14:textId="77777777" w:rsidR="001A20CC" w:rsidRPr="00690D98" w:rsidRDefault="001A20CC" w:rsidP="00E566AB">
            <w:pPr>
              <w:jc w:val="center"/>
              <w:rPr>
                <w:rFonts w:ascii="Arial" w:hAnsi="Arial" w:cs="Arial"/>
                <w:sz w:val="20"/>
                <w:szCs w:val="22"/>
              </w:rPr>
            </w:pPr>
          </w:p>
        </w:tc>
        <w:tc>
          <w:tcPr>
            <w:tcW w:w="116" w:type="pct"/>
          </w:tcPr>
          <w:p w14:paraId="2A2F2B39" w14:textId="77777777" w:rsidR="001A20CC" w:rsidRPr="00690D98" w:rsidRDefault="001A20CC" w:rsidP="00E566AB">
            <w:pPr>
              <w:jc w:val="center"/>
              <w:rPr>
                <w:rFonts w:ascii="Arial" w:hAnsi="Arial" w:cs="Arial"/>
                <w:sz w:val="20"/>
                <w:szCs w:val="22"/>
              </w:rPr>
            </w:pPr>
          </w:p>
        </w:tc>
        <w:tc>
          <w:tcPr>
            <w:tcW w:w="143" w:type="pct"/>
            <w:shd w:val="clear" w:color="auto" w:fill="BFBFBF" w:themeFill="background1" w:themeFillShade="BF"/>
          </w:tcPr>
          <w:p w14:paraId="2A7B73F5" w14:textId="2979DEB7" w:rsidR="001A20CC" w:rsidRPr="00690D98" w:rsidRDefault="001A20CC" w:rsidP="00E566AB">
            <w:pPr>
              <w:jc w:val="center"/>
              <w:rPr>
                <w:rFonts w:ascii="Arial" w:hAnsi="Arial" w:cs="Arial"/>
                <w:sz w:val="20"/>
                <w:szCs w:val="22"/>
              </w:rPr>
            </w:pPr>
          </w:p>
        </w:tc>
        <w:tc>
          <w:tcPr>
            <w:tcW w:w="164" w:type="pct"/>
          </w:tcPr>
          <w:p w14:paraId="09A9D501" w14:textId="77777777" w:rsidR="001A20CC" w:rsidRPr="00690D98" w:rsidRDefault="001A20CC" w:rsidP="00E566AB">
            <w:pPr>
              <w:jc w:val="center"/>
              <w:rPr>
                <w:rFonts w:ascii="Arial" w:hAnsi="Arial" w:cs="Arial"/>
                <w:sz w:val="20"/>
                <w:szCs w:val="22"/>
              </w:rPr>
            </w:pPr>
          </w:p>
        </w:tc>
        <w:tc>
          <w:tcPr>
            <w:tcW w:w="263" w:type="pct"/>
            <w:shd w:val="clear" w:color="auto" w:fill="auto"/>
            <w:noWrap/>
            <w:vAlign w:val="center"/>
          </w:tcPr>
          <w:p w14:paraId="6E99E75F" w14:textId="2C7A861B" w:rsidR="001A20CC" w:rsidRPr="00690D98" w:rsidRDefault="00306F33" w:rsidP="00E566AB">
            <w:pPr>
              <w:jc w:val="center"/>
              <w:rPr>
                <w:rFonts w:ascii="Arial" w:hAnsi="Arial" w:cs="Arial"/>
                <w:sz w:val="20"/>
                <w:szCs w:val="22"/>
              </w:rPr>
            </w:pPr>
            <w:r>
              <w:rPr>
                <w:rFonts w:ascii="Arial" w:hAnsi="Arial" w:cs="Arial"/>
                <w:sz w:val="20"/>
                <w:szCs w:val="22"/>
              </w:rPr>
              <w:t>EA</w:t>
            </w:r>
          </w:p>
        </w:tc>
        <w:tc>
          <w:tcPr>
            <w:tcW w:w="239" w:type="pct"/>
            <w:shd w:val="clear" w:color="auto" w:fill="auto"/>
            <w:noWrap/>
            <w:vAlign w:val="center"/>
          </w:tcPr>
          <w:p w14:paraId="214E1429" w14:textId="6BC4B321" w:rsidR="001A20CC" w:rsidRPr="00690D98" w:rsidRDefault="00306F33" w:rsidP="00E566AB">
            <w:pPr>
              <w:jc w:val="center"/>
              <w:rPr>
                <w:rFonts w:ascii="Arial" w:hAnsi="Arial" w:cs="Arial"/>
                <w:color w:val="000000"/>
                <w:sz w:val="20"/>
                <w:szCs w:val="22"/>
              </w:rPr>
            </w:pPr>
            <w:r>
              <w:rPr>
                <w:rFonts w:ascii="Arial" w:hAnsi="Arial" w:cs="Arial"/>
                <w:color w:val="000000"/>
                <w:sz w:val="20"/>
                <w:szCs w:val="22"/>
              </w:rPr>
              <w:t>Prog.</w:t>
            </w:r>
          </w:p>
        </w:tc>
        <w:tc>
          <w:tcPr>
            <w:tcW w:w="424" w:type="pct"/>
            <w:shd w:val="clear" w:color="auto" w:fill="auto"/>
            <w:noWrap/>
            <w:vAlign w:val="center"/>
          </w:tcPr>
          <w:p w14:paraId="4B682B0E" w14:textId="2DA324A9" w:rsidR="001A20CC" w:rsidRPr="00690D98" w:rsidRDefault="00ED14F8" w:rsidP="00E566AB">
            <w:pPr>
              <w:jc w:val="right"/>
              <w:rPr>
                <w:rFonts w:ascii="Arial" w:hAnsi="Arial" w:cs="Arial"/>
                <w:sz w:val="20"/>
                <w:szCs w:val="22"/>
              </w:rPr>
            </w:pPr>
            <w:r>
              <w:rPr>
                <w:rFonts w:ascii="Arial" w:hAnsi="Arial" w:cs="Arial"/>
                <w:sz w:val="20"/>
                <w:szCs w:val="22"/>
              </w:rPr>
              <w:t>0</w:t>
            </w:r>
          </w:p>
        </w:tc>
      </w:tr>
      <w:tr w:rsidR="00880E79" w:rsidRPr="008E106E" w14:paraId="4EB7D9AC" w14:textId="77777777" w:rsidTr="00D61AD6">
        <w:trPr>
          <w:trHeight w:val="261"/>
        </w:trPr>
        <w:tc>
          <w:tcPr>
            <w:tcW w:w="978" w:type="pct"/>
            <w:shd w:val="clear" w:color="auto" w:fill="auto"/>
            <w:noWrap/>
            <w:vAlign w:val="center"/>
            <w:hideMark/>
          </w:tcPr>
          <w:p w14:paraId="5F2283E1" w14:textId="6BA89B97" w:rsidR="001A20CC" w:rsidRPr="00690D98" w:rsidRDefault="001A20CC" w:rsidP="006C72B4">
            <w:pPr>
              <w:rPr>
                <w:rFonts w:ascii="Arial" w:hAnsi="Arial" w:cs="Arial"/>
                <w:color w:val="000000"/>
                <w:sz w:val="20"/>
                <w:szCs w:val="22"/>
              </w:rPr>
            </w:pPr>
            <w:r w:rsidRPr="00690D98">
              <w:rPr>
                <w:rFonts w:ascii="Arial" w:hAnsi="Arial" w:cs="Arial"/>
                <w:sz w:val="20"/>
                <w:szCs w:val="22"/>
              </w:rPr>
              <w:t>Field Inspections</w:t>
            </w:r>
          </w:p>
        </w:tc>
        <w:tc>
          <w:tcPr>
            <w:tcW w:w="141" w:type="pct"/>
            <w:shd w:val="clear" w:color="auto" w:fill="auto"/>
            <w:noWrap/>
            <w:vAlign w:val="center"/>
            <w:hideMark/>
          </w:tcPr>
          <w:p w14:paraId="4A2A432D" w14:textId="77777777" w:rsidR="001A20CC" w:rsidRPr="00690D98" w:rsidRDefault="001A20CC" w:rsidP="00E53900">
            <w:pPr>
              <w:rPr>
                <w:rFonts w:ascii="Arial" w:hAnsi="Arial" w:cs="Arial"/>
                <w:color w:val="000000"/>
                <w:sz w:val="20"/>
                <w:szCs w:val="22"/>
              </w:rPr>
            </w:pPr>
            <w:r w:rsidRPr="00690D98">
              <w:rPr>
                <w:rFonts w:ascii="Arial" w:hAnsi="Arial" w:cs="Arial"/>
                <w:color w:val="000000"/>
                <w:sz w:val="20"/>
                <w:szCs w:val="22"/>
              </w:rPr>
              <w:t> </w:t>
            </w:r>
          </w:p>
        </w:tc>
        <w:tc>
          <w:tcPr>
            <w:tcW w:w="140" w:type="pct"/>
            <w:gridSpan w:val="2"/>
            <w:shd w:val="clear" w:color="auto" w:fill="BFBFBF" w:themeFill="background1" w:themeFillShade="BF"/>
            <w:noWrap/>
            <w:vAlign w:val="center"/>
            <w:hideMark/>
          </w:tcPr>
          <w:p w14:paraId="525FF987" w14:textId="77777777" w:rsidR="001A20CC" w:rsidRPr="00690D98" w:rsidRDefault="001A20CC" w:rsidP="00E53900">
            <w:pPr>
              <w:rPr>
                <w:rFonts w:ascii="Arial" w:hAnsi="Arial" w:cs="Arial"/>
                <w:color w:val="000000"/>
                <w:sz w:val="20"/>
                <w:szCs w:val="22"/>
              </w:rPr>
            </w:pPr>
            <w:r w:rsidRPr="00690D98">
              <w:rPr>
                <w:rFonts w:ascii="Arial" w:hAnsi="Arial" w:cs="Arial"/>
                <w:color w:val="000000"/>
                <w:sz w:val="20"/>
                <w:szCs w:val="22"/>
              </w:rPr>
              <w:t> </w:t>
            </w:r>
          </w:p>
        </w:tc>
        <w:tc>
          <w:tcPr>
            <w:tcW w:w="141" w:type="pct"/>
            <w:shd w:val="clear" w:color="auto" w:fill="auto"/>
            <w:noWrap/>
            <w:vAlign w:val="center"/>
            <w:hideMark/>
          </w:tcPr>
          <w:p w14:paraId="46F48443" w14:textId="77777777" w:rsidR="001A20CC" w:rsidRPr="00690D98" w:rsidRDefault="001A20CC" w:rsidP="00E53900">
            <w:pPr>
              <w:rPr>
                <w:rFonts w:ascii="Arial" w:hAnsi="Arial" w:cs="Arial"/>
                <w:color w:val="000000"/>
                <w:sz w:val="20"/>
                <w:szCs w:val="22"/>
              </w:rPr>
            </w:pPr>
            <w:r w:rsidRPr="00690D98">
              <w:rPr>
                <w:rFonts w:ascii="Arial" w:hAnsi="Arial" w:cs="Arial"/>
                <w:color w:val="000000"/>
                <w:sz w:val="20"/>
                <w:szCs w:val="22"/>
              </w:rPr>
              <w:t> </w:t>
            </w:r>
          </w:p>
        </w:tc>
        <w:tc>
          <w:tcPr>
            <w:tcW w:w="141" w:type="pct"/>
            <w:gridSpan w:val="2"/>
            <w:shd w:val="clear" w:color="auto" w:fill="BFBFBF" w:themeFill="background1" w:themeFillShade="BF"/>
            <w:noWrap/>
            <w:vAlign w:val="center"/>
            <w:hideMark/>
          </w:tcPr>
          <w:p w14:paraId="2D82DE79" w14:textId="77777777" w:rsidR="001A20CC" w:rsidRPr="00690D98" w:rsidRDefault="001A20CC" w:rsidP="00E53900">
            <w:pPr>
              <w:rPr>
                <w:rFonts w:ascii="Arial" w:hAnsi="Arial" w:cs="Arial"/>
                <w:color w:val="000000"/>
                <w:sz w:val="20"/>
                <w:szCs w:val="22"/>
              </w:rPr>
            </w:pPr>
            <w:r w:rsidRPr="00690D98">
              <w:rPr>
                <w:rFonts w:ascii="Arial" w:hAnsi="Arial" w:cs="Arial"/>
                <w:color w:val="000000"/>
                <w:sz w:val="20"/>
                <w:szCs w:val="22"/>
              </w:rPr>
              <w:t> </w:t>
            </w:r>
          </w:p>
        </w:tc>
        <w:tc>
          <w:tcPr>
            <w:tcW w:w="141" w:type="pct"/>
            <w:shd w:val="clear" w:color="auto" w:fill="auto"/>
          </w:tcPr>
          <w:p w14:paraId="109DA386" w14:textId="77777777" w:rsidR="001A20CC" w:rsidRPr="00690D98" w:rsidRDefault="001A20CC" w:rsidP="00E53900">
            <w:pPr>
              <w:rPr>
                <w:rFonts w:ascii="Arial" w:hAnsi="Arial" w:cs="Arial"/>
                <w:color w:val="000000"/>
                <w:sz w:val="20"/>
                <w:szCs w:val="22"/>
              </w:rPr>
            </w:pPr>
          </w:p>
        </w:tc>
        <w:tc>
          <w:tcPr>
            <w:tcW w:w="144" w:type="pct"/>
            <w:gridSpan w:val="2"/>
            <w:shd w:val="clear" w:color="auto" w:fill="BFBFBF" w:themeFill="background1" w:themeFillShade="BF"/>
          </w:tcPr>
          <w:p w14:paraId="0A96FDCF" w14:textId="77777777" w:rsidR="001A20CC" w:rsidRPr="00690D98" w:rsidRDefault="001A20CC" w:rsidP="00E53900">
            <w:pPr>
              <w:rPr>
                <w:rFonts w:ascii="Arial" w:hAnsi="Arial" w:cs="Arial"/>
                <w:color w:val="000000"/>
                <w:sz w:val="20"/>
                <w:szCs w:val="22"/>
              </w:rPr>
            </w:pPr>
          </w:p>
        </w:tc>
        <w:tc>
          <w:tcPr>
            <w:tcW w:w="141" w:type="pct"/>
            <w:shd w:val="clear" w:color="auto" w:fill="auto"/>
          </w:tcPr>
          <w:p w14:paraId="5D93B588" w14:textId="77777777" w:rsidR="001A20CC" w:rsidRPr="00690D98" w:rsidRDefault="001A20CC" w:rsidP="00E53900">
            <w:pPr>
              <w:rPr>
                <w:rFonts w:ascii="Arial" w:hAnsi="Arial" w:cs="Arial"/>
                <w:color w:val="000000"/>
                <w:sz w:val="20"/>
                <w:szCs w:val="22"/>
              </w:rPr>
            </w:pPr>
          </w:p>
        </w:tc>
        <w:tc>
          <w:tcPr>
            <w:tcW w:w="144" w:type="pct"/>
            <w:gridSpan w:val="2"/>
            <w:shd w:val="clear" w:color="auto" w:fill="BFBFBF" w:themeFill="background1" w:themeFillShade="BF"/>
          </w:tcPr>
          <w:p w14:paraId="06A7F941" w14:textId="77777777" w:rsidR="001A20CC" w:rsidRPr="00690D98" w:rsidRDefault="001A20CC" w:rsidP="00E53900">
            <w:pPr>
              <w:rPr>
                <w:rFonts w:ascii="Arial" w:hAnsi="Arial" w:cs="Arial"/>
                <w:color w:val="000000"/>
                <w:sz w:val="20"/>
                <w:szCs w:val="22"/>
              </w:rPr>
            </w:pPr>
          </w:p>
        </w:tc>
        <w:tc>
          <w:tcPr>
            <w:tcW w:w="141" w:type="pct"/>
            <w:shd w:val="clear" w:color="auto" w:fill="auto"/>
            <w:noWrap/>
            <w:vAlign w:val="center"/>
            <w:hideMark/>
          </w:tcPr>
          <w:p w14:paraId="7511D3BB" w14:textId="77777777" w:rsidR="001A20CC" w:rsidRPr="00690D98" w:rsidRDefault="001A20CC" w:rsidP="00E53900">
            <w:pPr>
              <w:rPr>
                <w:rFonts w:ascii="Arial" w:hAnsi="Arial" w:cs="Arial"/>
                <w:color w:val="000000"/>
                <w:sz w:val="20"/>
                <w:szCs w:val="22"/>
              </w:rPr>
            </w:pPr>
            <w:r w:rsidRPr="00690D98">
              <w:rPr>
                <w:rFonts w:ascii="Arial" w:hAnsi="Arial" w:cs="Arial"/>
                <w:color w:val="000000"/>
                <w:sz w:val="20"/>
                <w:szCs w:val="22"/>
              </w:rPr>
              <w:t> </w:t>
            </w:r>
          </w:p>
        </w:tc>
        <w:tc>
          <w:tcPr>
            <w:tcW w:w="144" w:type="pct"/>
            <w:shd w:val="clear" w:color="auto" w:fill="BFBFBF" w:themeFill="background1" w:themeFillShade="BF"/>
            <w:noWrap/>
            <w:vAlign w:val="center"/>
            <w:hideMark/>
          </w:tcPr>
          <w:p w14:paraId="47F491B6" w14:textId="77777777" w:rsidR="001A20CC" w:rsidRPr="00690D98" w:rsidRDefault="001A20CC" w:rsidP="00E53900">
            <w:pPr>
              <w:rPr>
                <w:rFonts w:ascii="Arial" w:hAnsi="Arial" w:cs="Arial"/>
                <w:color w:val="000000"/>
                <w:sz w:val="20"/>
                <w:szCs w:val="22"/>
              </w:rPr>
            </w:pPr>
            <w:r w:rsidRPr="00690D98">
              <w:rPr>
                <w:rFonts w:ascii="Arial" w:hAnsi="Arial" w:cs="Arial"/>
                <w:color w:val="000000"/>
                <w:sz w:val="20"/>
                <w:szCs w:val="22"/>
              </w:rPr>
              <w:t> </w:t>
            </w:r>
          </w:p>
        </w:tc>
        <w:tc>
          <w:tcPr>
            <w:tcW w:w="141" w:type="pct"/>
            <w:shd w:val="clear" w:color="auto" w:fill="auto"/>
            <w:noWrap/>
            <w:vAlign w:val="center"/>
            <w:hideMark/>
          </w:tcPr>
          <w:p w14:paraId="0C86D8CC" w14:textId="77777777" w:rsidR="001A20CC" w:rsidRPr="00690D98" w:rsidRDefault="001A20CC" w:rsidP="00E53900">
            <w:pPr>
              <w:rPr>
                <w:rFonts w:ascii="Arial" w:hAnsi="Arial" w:cs="Arial"/>
                <w:color w:val="000000"/>
                <w:sz w:val="20"/>
                <w:szCs w:val="22"/>
              </w:rPr>
            </w:pPr>
            <w:r w:rsidRPr="00690D98">
              <w:rPr>
                <w:rFonts w:ascii="Arial" w:hAnsi="Arial" w:cs="Arial"/>
                <w:color w:val="000000"/>
                <w:sz w:val="20"/>
                <w:szCs w:val="22"/>
              </w:rPr>
              <w:t> </w:t>
            </w:r>
          </w:p>
        </w:tc>
        <w:tc>
          <w:tcPr>
            <w:tcW w:w="144" w:type="pct"/>
            <w:shd w:val="clear" w:color="auto" w:fill="BFBFBF" w:themeFill="background1" w:themeFillShade="BF"/>
            <w:noWrap/>
            <w:vAlign w:val="center"/>
            <w:hideMark/>
          </w:tcPr>
          <w:p w14:paraId="2C37D03E" w14:textId="77777777" w:rsidR="001A20CC" w:rsidRPr="00690D98" w:rsidRDefault="001A20CC" w:rsidP="00E53900">
            <w:pPr>
              <w:rPr>
                <w:rFonts w:ascii="Arial" w:hAnsi="Arial" w:cs="Arial"/>
                <w:color w:val="000000"/>
                <w:sz w:val="20"/>
                <w:szCs w:val="22"/>
              </w:rPr>
            </w:pPr>
            <w:r w:rsidRPr="00690D98">
              <w:rPr>
                <w:rFonts w:ascii="Arial" w:hAnsi="Arial" w:cs="Arial"/>
                <w:color w:val="000000"/>
                <w:sz w:val="20"/>
                <w:szCs w:val="22"/>
              </w:rPr>
              <w:t> </w:t>
            </w:r>
          </w:p>
        </w:tc>
        <w:tc>
          <w:tcPr>
            <w:tcW w:w="141" w:type="pct"/>
            <w:shd w:val="clear" w:color="auto" w:fill="auto"/>
            <w:noWrap/>
            <w:vAlign w:val="center"/>
            <w:hideMark/>
          </w:tcPr>
          <w:p w14:paraId="743CB4F6" w14:textId="77777777" w:rsidR="001A20CC" w:rsidRPr="00690D98" w:rsidRDefault="001A20CC" w:rsidP="00E53900">
            <w:pPr>
              <w:rPr>
                <w:rFonts w:ascii="Arial" w:hAnsi="Arial" w:cs="Arial"/>
                <w:color w:val="000000"/>
                <w:sz w:val="20"/>
                <w:szCs w:val="22"/>
              </w:rPr>
            </w:pPr>
            <w:r w:rsidRPr="00690D98">
              <w:rPr>
                <w:rFonts w:ascii="Arial" w:hAnsi="Arial" w:cs="Arial"/>
                <w:color w:val="000000"/>
                <w:sz w:val="20"/>
                <w:szCs w:val="22"/>
              </w:rPr>
              <w:t> </w:t>
            </w:r>
          </w:p>
        </w:tc>
        <w:tc>
          <w:tcPr>
            <w:tcW w:w="144" w:type="pct"/>
            <w:shd w:val="clear" w:color="auto" w:fill="BFBFBF" w:themeFill="background1" w:themeFillShade="BF"/>
            <w:noWrap/>
            <w:vAlign w:val="center"/>
            <w:hideMark/>
          </w:tcPr>
          <w:p w14:paraId="57F7246C" w14:textId="77777777" w:rsidR="001A20CC" w:rsidRPr="00690D98" w:rsidRDefault="001A20CC" w:rsidP="00E53900">
            <w:pPr>
              <w:jc w:val="center"/>
              <w:rPr>
                <w:rFonts w:ascii="Arial" w:hAnsi="Arial" w:cs="Arial"/>
                <w:b/>
                <w:bCs/>
                <w:color w:val="000000"/>
                <w:sz w:val="20"/>
                <w:szCs w:val="22"/>
              </w:rPr>
            </w:pPr>
            <w:r w:rsidRPr="00690D98">
              <w:rPr>
                <w:rFonts w:ascii="Arial" w:hAnsi="Arial" w:cs="Arial"/>
                <w:b/>
                <w:bCs/>
                <w:color w:val="000000"/>
                <w:sz w:val="20"/>
                <w:szCs w:val="22"/>
              </w:rPr>
              <w:t> </w:t>
            </w:r>
          </w:p>
        </w:tc>
        <w:tc>
          <w:tcPr>
            <w:tcW w:w="141" w:type="pct"/>
            <w:shd w:val="clear" w:color="auto" w:fill="auto"/>
          </w:tcPr>
          <w:p w14:paraId="3F3D222B" w14:textId="77777777" w:rsidR="001A20CC" w:rsidRPr="00690D98" w:rsidRDefault="001A20CC" w:rsidP="00E53900">
            <w:pPr>
              <w:jc w:val="center"/>
              <w:rPr>
                <w:rFonts w:ascii="Arial" w:hAnsi="Arial" w:cs="Arial"/>
                <w:b/>
                <w:bCs/>
                <w:color w:val="000000"/>
                <w:sz w:val="20"/>
                <w:szCs w:val="22"/>
              </w:rPr>
            </w:pPr>
          </w:p>
        </w:tc>
        <w:tc>
          <w:tcPr>
            <w:tcW w:w="144" w:type="pct"/>
            <w:shd w:val="clear" w:color="auto" w:fill="BFBFBF" w:themeFill="background1" w:themeFillShade="BF"/>
          </w:tcPr>
          <w:p w14:paraId="2754AAC8" w14:textId="77777777" w:rsidR="001A20CC" w:rsidRPr="00690D98" w:rsidRDefault="001A20CC" w:rsidP="00E53900">
            <w:pPr>
              <w:jc w:val="center"/>
              <w:rPr>
                <w:rFonts w:ascii="Arial" w:hAnsi="Arial" w:cs="Arial"/>
                <w:b/>
                <w:bCs/>
                <w:color w:val="000000"/>
                <w:sz w:val="20"/>
                <w:szCs w:val="22"/>
              </w:rPr>
            </w:pPr>
          </w:p>
        </w:tc>
        <w:tc>
          <w:tcPr>
            <w:tcW w:w="141" w:type="pct"/>
            <w:shd w:val="clear" w:color="auto" w:fill="auto"/>
          </w:tcPr>
          <w:p w14:paraId="70CC599A" w14:textId="77777777" w:rsidR="001A20CC" w:rsidRPr="00690D98" w:rsidRDefault="001A20CC" w:rsidP="00E53900">
            <w:pPr>
              <w:jc w:val="center"/>
              <w:rPr>
                <w:rFonts w:ascii="Arial" w:hAnsi="Arial" w:cs="Arial"/>
                <w:b/>
                <w:bCs/>
                <w:color w:val="000000"/>
                <w:sz w:val="20"/>
                <w:szCs w:val="22"/>
              </w:rPr>
            </w:pPr>
          </w:p>
        </w:tc>
        <w:tc>
          <w:tcPr>
            <w:tcW w:w="115" w:type="pct"/>
            <w:shd w:val="clear" w:color="auto" w:fill="BFBFBF" w:themeFill="background1" w:themeFillShade="BF"/>
          </w:tcPr>
          <w:p w14:paraId="6A965BBC" w14:textId="77777777" w:rsidR="001A20CC" w:rsidRPr="00690D98" w:rsidRDefault="001A20CC" w:rsidP="00E53900">
            <w:pPr>
              <w:jc w:val="center"/>
              <w:rPr>
                <w:rFonts w:ascii="Arial" w:hAnsi="Arial" w:cs="Arial"/>
                <w:b/>
                <w:bCs/>
                <w:color w:val="000000"/>
                <w:sz w:val="20"/>
                <w:szCs w:val="22"/>
              </w:rPr>
            </w:pPr>
          </w:p>
        </w:tc>
        <w:tc>
          <w:tcPr>
            <w:tcW w:w="143" w:type="pct"/>
          </w:tcPr>
          <w:p w14:paraId="20B8BC9E" w14:textId="77777777" w:rsidR="001A20CC" w:rsidRPr="00690D98" w:rsidRDefault="001A20CC" w:rsidP="00E53900">
            <w:pPr>
              <w:jc w:val="center"/>
              <w:rPr>
                <w:rFonts w:ascii="Arial" w:hAnsi="Arial" w:cs="Arial"/>
                <w:sz w:val="20"/>
                <w:szCs w:val="22"/>
              </w:rPr>
            </w:pPr>
          </w:p>
        </w:tc>
        <w:tc>
          <w:tcPr>
            <w:tcW w:w="116" w:type="pct"/>
            <w:shd w:val="clear" w:color="auto" w:fill="BFBFBF" w:themeFill="background1" w:themeFillShade="BF"/>
          </w:tcPr>
          <w:p w14:paraId="1FE28A8E" w14:textId="77777777" w:rsidR="001A20CC" w:rsidRPr="00690D98" w:rsidRDefault="001A20CC" w:rsidP="00E53900">
            <w:pPr>
              <w:jc w:val="center"/>
              <w:rPr>
                <w:rFonts w:ascii="Arial" w:hAnsi="Arial" w:cs="Arial"/>
                <w:sz w:val="20"/>
                <w:szCs w:val="22"/>
              </w:rPr>
            </w:pPr>
          </w:p>
        </w:tc>
        <w:tc>
          <w:tcPr>
            <w:tcW w:w="143" w:type="pct"/>
          </w:tcPr>
          <w:p w14:paraId="3514A916" w14:textId="77777777" w:rsidR="001A20CC" w:rsidRPr="00690D98" w:rsidRDefault="001A20CC" w:rsidP="00E53900">
            <w:pPr>
              <w:jc w:val="center"/>
              <w:rPr>
                <w:rFonts w:ascii="Arial" w:hAnsi="Arial" w:cs="Arial"/>
                <w:sz w:val="20"/>
                <w:szCs w:val="22"/>
              </w:rPr>
            </w:pPr>
          </w:p>
        </w:tc>
        <w:tc>
          <w:tcPr>
            <w:tcW w:w="164" w:type="pct"/>
          </w:tcPr>
          <w:p w14:paraId="60A1590B" w14:textId="77777777" w:rsidR="001A20CC" w:rsidRPr="00690D98" w:rsidRDefault="001A20CC" w:rsidP="00E53900">
            <w:pPr>
              <w:jc w:val="center"/>
              <w:rPr>
                <w:rFonts w:ascii="Arial" w:hAnsi="Arial" w:cs="Arial"/>
                <w:sz w:val="20"/>
                <w:szCs w:val="22"/>
              </w:rPr>
            </w:pPr>
          </w:p>
        </w:tc>
        <w:tc>
          <w:tcPr>
            <w:tcW w:w="263" w:type="pct"/>
            <w:shd w:val="clear" w:color="auto" w:fill="auto"/>
            <w:noWrap/>
            <w:vAlign w:val="center"/>
          </w:tcPr>
          <w:p w14:paraId="254A1FA1" w14:textId="15F7DB36" w:rsidR="001A20CC" w:rsidRPr="00690D98" w:rsidRDefault="001A20CC" w:rsidP="00E53900">
            <w:pPr>
              <w:jc w:val="center"/>
              <w:rPr>
                <w:rFonts w:ascii="Arial" w:hAnsi="Arial" w:cs="Arial"/>
                <w:color w:val="000000"/>
                <w:sz w:val="20"/>
                <w:szCs w:val="22"/>
              </w:rPr>
            </w:pPr>
            <w:r w:rsidRPr="00690D98">
              <w:rPr>
                <w:rFonts w:ascii="Arial" w:hAnsi="Arial" w:cs="Arial"/>
                <w:sz w:val="20"/>
                <w:szCs w:val="22"/>
              </w:rPr>
              <w:t>IDB &amp; EA</w:t>
            </w:r>
          </w:p>
        </w:tc>
        <w:tc>
          <w:tcPr>
            <w:tcW w:w="239" w:type="pct"/>
            <w:shd w:val="clear" w:color="auto" w:fill="auto"/>
            <w:noWrap/>
            <w:vAlign w:val="center"/>
          </w:tcPr>
          <w:p w14:paraId="27AC1F48" w14:textId="77777777" w:rsidR="001A20CC" w:rsidRPr="00690D98" w:rsidRDefault="001A20CC" w:rsidP="009D7969">
            <w:pPr>
              <w:jc w:val="center"/>
              <w:rPr>
                <w:rFonts w:ascii="Arial" w:hAnsi="Arial" w:cs="Arial"/>
                <w:color w:val="000000"/>
                <w:sz w:val="20"/>
                <w:szCs w:val="22"/>
              </w:rPr>
            </w:pPr>
            <w:r w:rsidRPr="00690D98">
              <w:rPr>
                <w:rFonts w:ascii="Arial" w:hAnsi="Arial" w:cs="Arial"/>
                <w:color w:val="000000"/>
                <w:sz w:val="20"/>
                <w:szCs w:val="22"/>
              </w:rPr>
              <w:t>Prog.</w:t>
            </w:r>
          </w:p>
        </w:tc>
        <w:tc>
          <w:tcPr>
            <w:tcW w:w="424" w:type="pct"/>
            <w:shd w:val="clear" w:color="auto" w:fill="auto"/>
            <w:noWrap/>
            <w:vAlign w:val="center"/>
          </w:tcPr>
          <w:p w14:paraId="1138E50D" w14:textId="77777777" w:rsidR="001A20CC" w:rsidRPr="00690D98" w:rsidRDefault="001A20CC" w:rsidP="00E53900">
            <w:pPr>
              <w:jc w:val="right"/>
              <w:rPr>
                <w:rFonts w:ascii="Arial" w:hAnsi="Arial" w:cs="Arial"/>
                <w:color w:val="000000"/>
                <w:sz w:val="20"/>
                <w:szCs w:val="22"/>
              </w:rPr>
            </w:pPr>
            <w:r w:rsidRPr="00690D98">
              <w:rPr>
                <w:rFonts w:ascii="Arial" w:hAnsi="Arial" w:cs="Arial"/>
                <w:sz w:val="20"/>
                <w:szCs w:val="22"/>
              </w:rPr>
              <w:t>120,000</w:t>
            </w:r>
          </w:p>
        </w:tc>
      </w:tr>
      <w:tr w:rsidR="008202C3" w:rsidRPr="008E106E" w14:paraId="38845D59" w14:textId="77777777" w:rsidTr="00D61AD6">
        <w:trPr>
          <w:trHeight w:val="261"/>
        </w:trPr>
        <w:tc>
          <w:tcPr>
            <w:tcW w:w="978" w:type="pct"/>
            <w:shd w:val="clear" w:color="auto" w:fill="auto"/>
            <w:noWrap/>
            <w:vAlign w:val="center"/>
          </w:tcPr>
          <w:p w14:paraId="78DEAF65" w14:textId="7751A1AA" w:rsidR="001A20CC" w:rsidRPr="00690D98" w:rsidRDefault="008202C3" w:rsidP="00E53900">
            <w:pPr>
              <w:rPr>
                <w:rFonts w:ascii="Arial" w:hAnsi="Arial" w:cs="Arial"/>
                <w:sz w:val="20"/>
                <w:szCs w:val="22"/>
              </w:rPr>
            </w:pPr>
            <w:r>
              <w:rPr>
                <w:rFonts w:ascii="Arial" w:hAnsi="Arial" w:cs="Arial"/>
                <w:sz w:val="20"/>
                <w:szCs w:val="22"/>
              </w:rPr>
              <w:t xml:space="preserve">Annual </w:t>
            </w:r>
            <w:r w:rsidR="001A20CC" w:rsidRPr="00690D98">
              <w:rPr>
                <w:rFonts w:ascii="Arial" w:hAnsi="Arial" w:cs="Arial"/>
                <w:sz w:val="20"/>
                <w:szCs w:val="22"/>
              </w:rPr>
              <w:t>Audited Financial Statements</w:t>
            </w:r>
            <w:r>
              <w:rPr>
                <w:rFonts w:ascii="Arial" w:hAnsi="Arial" w:cs="Arial"/>
                <w:sz w:val="20"/>
                <w:szCs w:val="22"/>
              </w:rPr>
              <w:t xml:space="preserve"> of the CDB</w:t>
            </w:r>
          </w:p>
        </w:tc>
        <w:tc>
          <w:tcPr>
            <w:tcW w:w="141" w:type="pct"/>
            <w:shd w:val="clear" w:color="auto" w:fill="auto"/>
            <w:noWrap/>
            <w:vAlign w:val="center"/>
          </w:tcPr>
          <w:p w14:paraId="11FBBBF7" w14:textId="77777777" w:rsidR="001A20CC" w:rsidRPr="00D61AD6" w:rsidRDefault="001A20CC" w:rsidP="00E53900">
            <w:pPr>
              <w:rPr>
                <w:rFonts w:ascii="Arial" w:hAnsi="Arial" w:cs="Arial"/>
                <w:color w:val="000000"/>
                <w:sz w:val="20"/>
                <w:szCs w:val="22"/>
              </w:rPr>
            </w:pPr>
          </w:p>
        </w:tc>
        <w:tc>
          <w:tcPr>
            <w:tcW w:w="140" w:type="pct"/>
            <w:gridSpan w:val="2"/>
            <w:shd w:val="clear" w:color="auto" w:fill="auto"/>
            <w:noWrap/>
            <w:vAlign w:val="center"/>
          </w:tcPr>
          <w:p w14:paraId="0166B964" w14:textId="77777777" w:rsidR="001A20CC" w:rsidRPr="00D61AD6" w:rsidRDefault="001A20CC" w:rsidP="00E53900">
            <w:pPr>
              <w:rPr>
                <w:rFonts w:ascii="Arial" w:hAnsi="Arial" w:cs="Arial"/>
                <w:color w:val="000000"/>
                <w:sz w:val="20"/>
                <w:szCs w:val="22"/>
              </w:rPr>
            </w:pPr>
          </w:p>
        </w:tc>
        <w:tc>
          <w:tcPr>
            <w:tcW w:w="141" w:type="pct"/>
            <w:shd w:val="clear" w:color="auto" w:fill="BFBFBF" w:themeFill="background1" w:themeFillShade="BF"/>
            <w:noWrap/>
            <w:vAlign w:val="center"/>
          </w:tcPr>
          <w:p w14:paraId="5CE2EFD1" w14:textId="77777777" w:rsidR="001A20CC" w:rsidRPr="00D61AD6" w:rsidRDefault="001A20CC" w:rsidP="00E53900">
            <w:pPr>
              <w:rPr>
                <w:rFonts w:ascii="Arial" w:hAnsi="Arial" w:cs="Arial"/>
                <w:color w:val="000000"/>
                <w:sz w:val="20"/>
                <w:szCs w:val="22"/>
              </w:rPr>
            </w:pPr>
          </w:p>
        </w:tc>
        <w:tc>
          <w:tcPr>
            <w:tcW w:w="141" w:type="pct"/>
            <w:gridSpan w:val="2"/>
            <w:shd w:val="clear" w:color="auto" w:fill="auto"/>
            <w:noWrap/>
            <w:vAlign w:val="center"/>
          </w:tcPr>
          <w:p w14:paraId="09171180" w14:textId="77777777" w:rsidR="001A20CC" w:rsidRPr="00D61AD6" w:rsidRDefault="001A20CC" w:rsidP="00E53900">
            <w:pPr>
              <w:rPr>
                <w:rFonts w:ascii="Arial" w:hAnsi="Arial" w:cs="Arial"/>
                <w:color w:val="000000"/>
                <w:sz w:val="20"/>
                <w:szCs w:val="22"/>
              </w:rPr>
            </w:pPr>
          </w:p>
        </w:tc>
        <w:tc>
          <w:tcPr>
            <w:tcW w:w="141" w:type="pct"/>
            <w:shd w:val="clear" w:color="auto" w:fill="BFBFBF" w:themeFill="background1" w:themeFillShade="BF"/>
          </w:tcPr>
          <w:p w14:paraId="55072202" w14:textId="77777777" w:rsidR="001A20CC" w:rsidRPr="00D61AD6" w:rsidRDefault="001A20CC" w:rsidP="00E53900">
            <w:pPr>
              <w:rPr>
                <w:rFonts w:ascii="Arial" w:hAnsi="Arial" w:cs="Arial"/>
                <w:color w:val="000000"/>
                <w:sz w:val="20"/>
                <w:szCs w:val="22"/>
              </w:rPr>
            </w:pPr>
          </w:p>
        </w:tc>
        <w:tc>
          <w:tcPr>
            <w:tcW w:w="144" w:type="pct"/>
            <w:gridSpan w:val="2"/>
            <w:shd w:val="clear" w:color="auto" w:fill="FFFFFF" w:themeFill="background1"/>
          </w:tcPr>
          <w:p w14:paraId="0DB07DA6" w14:textId="77777777" w:rsidR="001A20CC" w:rsidRPr="00D61AD6" w:rsidRDefault="001A20CC" w:rsidP="00E53900">
            <w:pPr>
              <w:rPr>
                <w:rFonts w:ascii="Arial" w:hAnsi="Arial" w:cs="Arial"/>
                <w:color w:val="000000"/>
                <w:sz w:val="20"/>
                <w:szCs w:val="22"/>
              </w:rPr>
            </w:pPr>
          </w:p>
        </w:tc>
        <w:tc>
          <w:tcPr>
            <w:tcW w:w="141" w:type="pct"/>
            <w:shd w:val="clear" w:color="auto" w:fill="BFBFBF" w:themeFill="background1" w:themeFillShade="BF"/>
          </w:tcPr>
          <w:p w14:paraId="46D0F164" w14:textId="77777777" w:rsidR="001A20CC" w:rsidRPr="00D61AD6" w:rsidRDefault="001A20CC" w:rsidP="00E53900">
            <w:pPr>
              <w:rPr>
                <w:rFonts w:ascii="Arial" w:hAnsi="Arial" w:cs="Arial"/>
                <w:color w:val="000000"/>
                <w:sz w:val="20"/>
                <w:szCs w:val="22"/>
              </w:rPr>
            </w:pPr>
          </w:p>
        </w:tc>
        <w:tc>
          <w:tcPr>
            <w:tcW w:w="144" w:type="pct"/>
            <w:gridSpan w:val="2"/>
            <w:shd w:val="clear" w:color="auto" w:fill="FFFFFF" w:themeFill="background1"/>
          </w:tcPr>
          <w:p w14:paraId="58C969FC" w14:textId="77777777" w:rsidR="001A20CC" w:rsidRPr="00D61AD6" w:rsidRDefault="001A20CC" w:rsidP="00E53900">
            <w:pPr>
              <w:rPr>
                <w:rFonts w:ascii="Arial" w:hAnsi="Arial" w:cs="Arial"/>
                <w:color w:val="000000"/>
                <w:sz w:val="20"/>
                <w:szCs w:val="22"/>
              </w:rPr>
            </w:pPr>
          </w:p>
        </w:tc>
        <w:tc>
          <w:tcPr>
            <w:tcW w:w="141" w:type="pct"/>
            <w:shd w:val="clear" w:color="auto" w:fill="BFBFBF" w:themeFill="background1" w:themeFillShade="BF"/>
            <w:noWrap/>
            <w:vAlign w:val="center"/>
          </w:tcPr>
          <w:p w14:paraId="41F3CE86" w14:textId="77777777" w:rsidR="001A20CC" w:rsidRPr="00D61AD6" w:rsidRDefault="001A20CC" w:rsidP="00E53900">
            <w:pPr>
              <w:rPr>
                <w:rFonts w:ascii="Arial" w:hAnsi="Arial" w:cs="Arial"/>
                <w:color w:val="000000"/>
                <w:sz w:val="20"/>
                <w:szCs w:val="22"/>
              </w:rPr>
            </w:pPr>
          </w:p>
        </w:tc>
        <w:tc>
          <w:tcPr>
            <w:tcW w:w="144" w:type="pct"/>
            <w:shd w:val="clear" w:color="auto" w:fill="FFFFFF" w:themeFill="background1"/>
            <w:noWrap/>
            <w:vAlign w:val="center"/>
          </w:tcPr>
          <w:p w14:paraId="4146CCB0" w14:textId="77777777" w:rsidR="001A20CC" w:rsidRPr="00D61AD6" w:rsidRDefault="001A20CC" w:rsidP="00E53900">
            <w:pPr>
              <w:rPr>
                <w:rFonts w:ascii="Arial" w:hAnsi="Arial" w:cs="Arial"/>
                <w:color w:val="000000"/>
                <w:sz w:val="20"/>
                <w:szCs w:val="22"/>
              </w:rPr>
            </w:pPr>
          </w:p>
        </w:tc>
        <w:tc>
          <w:tcPr>
            <w:tcW w:w="141" w:type="pct"/>
            <w:shd w:val="clear" w:color="auto" w:fill="BFBFBF" w:themeFill="background1" w:themeFillShade="BF"/>
            <w:noWrap/>
            <w:vAlign w:val="center"/>
          </w:tcPr>
          <w:p w14:paraId="542745E4" w14:textId="77777777" w:rsidR="001A20CC" w:rsidRPr="00D61AD6" w:rsidRDefault="001A20CC" w:rsidP="00E53900">
            <w:pPr>
              <w:rPr>
                <w:rFonts w:ascii="Arial" w:hAnsi="Arial" w:cs="Arial"/>
                <w:color w:val="000000"/>
                <w:sz w:val="20"/>
                <w:szCs w:val="22"/>
              </w:rPr>
            </w:pPr>
          </w:p>
        </w:tc>
        <w:tc>
          <w:tcPr>
            <w:tcW w:w="144" w:type="pct"/>
            <w:shd w:val="clear" w:color="auto" w:fill="auto"/>
            <w:noWrap/>
            <w:vAlign w:val="center"/>
          </w:tcPr>
          <w:p w14:paraId="01B12063" w14:textId="77777777" w:rsidR="001A20CC" w:rsidRPr="00D61AD6" w:rsidRDefault="001A20CC" w:rsidP="00E53900">
            <w:pPr>
              <w:rPr>
                <w:rFonts w:ascii="Arial" w:hAnsi="Arial" w:cs="Arial"/>
                <w:color w:val="000000"/>
                <w:sz w:val="20"/>
                <w:szCs w:val="22"/>
              </w:rPr>
            </w:pPr>
          </w:p>
        </w:tc>
        <w:tc>
          <w:tcPr>
            <w:tcW w:w="141" w:type="pct"/>
            <w:shd w:val="clear" w:color="auto" w:fill="BFBFBF" w:themeFill="background1" w:themeFillShade="BF"/>
            <w:noWrap/>
            <w:vAlign w:val="center"/>
          </w:tcPr>
          <w:p w14:paraId="0334204E" w14:textId="77777777" w:rsidR="001A20CC" w:rsidRPr="00D61AD6" w:rsidRDefault="001A20CC" w:rsidP="00E53900">
            <w:pPr>
              <w:rPr>
                <w:rFonts w:ascii="Arial" w:hAnsi="Arial" w:cs="Arial"/>
                <w:color w:val="000000"/>
                <w:sz w:val="20"/>
                <w:szCs w:val="22"/>
              </w:rPr>
            </w:pPr>
          </w:p>
        </w:tc>
        <w:tc>
          <w:tcPr>
            <w:tcW w:w="144" w:type="pct"/>
            <w:shd w:val="clear" w:color="auto" w:fill="FFFFFF" w:themeFill="background1"/>
            <w:noWrap/>
            <w:vAlign w:val="center"/>
          </w:tcPr>
          <w:p w14:paraId="01C7F582" w14:textId="77777777" w:rsidR="001A20CC" w:rsidRPr="00690D98" w:rsidRDefault="001A20CC" w:rsidP="00E53900">
            <w:pPr>
              <w:jc w:val="center"/>
              <w:rPr>
                <w:rFonts w:ascii="Arial" w:hAnsi="Arial" w:cs="Arial"/>
                <w:b/>
                <w:bCs/>
                <w:color w:val="000000"/>
                <w:sz w:val="20"/>
                <w:szCs w:val="22"/>
              </w:rPr>
            </w:pPr>
          </w:p>
        </w:tc>
        <w:tc>
          <w:tcPr>
            <w:tcW w:w="141" w:type="pct"/>
            <w:shd w:val="clear" w:color="auto" w:fill="BFBFBF" w:themeFill="background1" w:themeFillShade="BF"/>
          </w:tcPr>
          <w:p w14:paraId="6F2223EE" w14:textId="77777777" w:rsidR="001A20CC" w:rsidRPr="00690D98" w:rsidRDefault="001A20CC" w:rsidP="00E53900">
            <w:pPr>
              <w:jc w:val="center"/>
              <w:rPr>
                <w:rFonts w:ascii="Arial" w:hAnsi="Arial" w:cs="Arial"/>
                <w:b/>
                <w:bCs/>
                <w:color w:val="000000"/>
                <w:sz w:val="20"/>
                <w:szCs w:val="22"/>
              </w:rPr>
            </w:pPr>
          </w:p>
        </w:tc>
        <w:tc>
          <w:tcPr>
            <w:tcW w:w="144" w:type="pct"/>
            <w:shd w:val="clear" w:color="auto" w:fill="FFFFFF" w:themeFill="background1"/>
          </w:tcPr>
          <w:p w14:paraId="0BC96461" w14:textId="77777777" w:rsidR="001A20CC" w:rsidRPr="00690D98" w:rsidRDefault="001A20CC" w:rsidP="00E53900">
            <w:pPr>
              <w:jc w:val="center"/>
              <w:rPr>
                <w:rFonts w:ascii="Arial" w:hAnsi="Arial" w:cs="Arial"/>
                <w:b/>
                <w:bCs/>
                <w:color w:val="000000"/>
                <w:sz w:val="20"/>
                <w:szCs w:val="22"/>
              </w:rPr>
            </w:pPr>
          </w:p>
        </w:tc>
        <w:tc>
          <w:tcPr>
            <w:tcW w:w="141" w:type="pct"/>
            <w:shd w:val="clear" w:color="auto" w:fill="BFBFBF" w:themeFill="background1" w:themeFillShade="BF"/>
          </w:tcPr>
          <w:p w14:paraId="481CA4CB" w14:textId="77777777" w:rsidR="001A20CC" w:rsidRPr="00690D98" w:rsidRDefault="001A20CC" w:rsidP="00E53900">
            <w:pPr>
              <w:jc w:val="center"/>
              <w:rPr>
                <w:rFonts w:ascii="Arial" w:hAnsi="Arial" w:cs="Arial"/>
                <w:b/>
                <w:bCs/>
                <w:color w:val="000000"/>
                <w:sz w:val="20"/>
                <w:szCs w:val="22"/>
              </w:rPr>
            </w:pPr>
          </w:p>
        </w:tc>
        <w:tc>
          <w:tcPr>
            <w:tcW w:w="115" w:type="pct"/>
            <w:shd w:val="clear" w:color="auto" w:fill="FFFFFF" w:themeFill="background1"/>
          </w:tcPr>
          <w:p w14:paraId="0DEAEB7F" w14:textId="77777777" w:rsidR="001A20CC" w:rsidRPr="00690D98" w:rsidRDefault="001A20CC" w:rsidP="00E53900">
            <w:pPr>
              <w:jc w:val="center"/>
              <w:rPr>
                <w:rFonts w:ascii="Arial" w:hAnsi="Arial" w:cs="Arial"/>
                <w:b/>
                <w:bCs/>
                <w:color w:val="000000"/>
                <w:sz w:val="20"/>
                <w:szCs w:val="22"/>
              </w:rPr>
            </w:pPr>
          </w:p>
        </w:tc>
        <w:tc>
          <w:tcPr>
            <w:tcW w:w="143" w:type="pct"/>
            <w:shd w:val="clear" w:color="auto" w:fill="BFBFBF" w:themeFill="background1" w:themeFillShade="BF"/>
          </w:tcPr>
          <w:p w14:paraId="557BCE39" w14:textId="77777777" w:rsidR="001A20CC" w:rsidRPr="00690D98" w:rsidRDefault="001A20CC" w:rsidP="00E53900">
            <w:pPr>
              <w:jc w:val="center"/>
              <w:rPr>
                <w:rFonts w:ascii="Arial" w:hAnsi="Arial" w:cs="Arial"/>
                <w:sz w:val="20"/>
                <w:szCs w:val="22"/>
              </w:rPr>
            </w:pPr>
          </w:p>
        </w:tc>
        <w:tc>
          <w:tcPr>
            <w:tcW w:w="116" w:type="pct"/>
          </w:tcPr>
          <w:p w14:paraId="49500007" w14:textId="77777777" w:rsidR="001A20CC" w:rsidRPr="00690D98" w:rsidRDefault="001A20CC" w:rsidP="00E53900">
            <w:pPr>
              <w:jc w:val="center"/>
              <w:rPr>
                <w:rFonts w:ascii="Arial" w:hAnsi="Arial" w:cs="Arial"/>
                <w:sz w:val="20"/>
                <w:szCs w:val="22"/>
              </w:rPr>
            </w:pPr>
          </w:p>
        </w:tc>
        <w:tc>
          <w:tcPr>
            <w:tcW w:w="143" w:type="pct"/>
            <w:shd w:val="clear" w:color="auto" w:fill="BFBFBF" w:themeFill="background1" w:themeFillShade="BF"/>
          </w:tcPr>
          <w:p w14:paraId="2D745D8F" w14:textId="77777777" w:rsidR="001A20CC" w:rsidRPr="00690D98" w:rsidRDefault="001A20CC" w:rsidP="00E53900">
            <w:pPr>
              <w:jc w:val="center"/>
              <w:rPr>
                <w:rFonts w:ascii="Arial" w:hAnsi="Arial" w:cs="Arial"/>
                <w:sz w:val="20"/>
                <w:szCs w:val="22"/>
              </w:rPr>
            </w:pPr>
          </w:p>
        </w:tc>
        <w:tc>
          <w:tcPr>
            <w:tcW w:w="164" w:type="pct"/>
          </w:tcPr>
          <w:p w14:paraId="2182BD47" w14:textId="77777777" w:rsidR="001A20CC" w:rsidRPr="00690D98" w:rsidRDefault="001A20CC" w:rsidP="00E53900">
            <w:pPr>
              <w:jc w:val="center"/>
              <w:rPr>
                <w:rFonts w:ascii="Arial" w:hAnsi="Arial" w:cs="Arial"/>
                <w:sz w:val="20"/>
                <w:szCs w:val="22"/>
              </w:rPr>
            </w:pPr>
          </w:p>
        </w:tc>
        <w:tc>
          <w:tcPr>
            <w:tcW w:w="263" w:type="pct"/>
            <w:shd w:val="clear" w:color="auto" w:fill="auto"/>
            <w:noWrap/>
            <w:vAlign w:val="center"/>
          </w:tcPr>
          <w:p w14:paraId="08592242" w14:textId="7B525B3A" w:rsidR="001A20CC" w:rsidRPr="00690D98" w:rsidRDefault="001A20CC" w:rsidP="00E53900">
            <w:pPr>
              <w:jc w:val="center"/>
              <w:rPr>
                <w:rFonts w:ascii="Arial" w:hAnsi="Arial" w:cs="Arial"/>
                <w:sz w:val="20"/>
                <w:szCs w:val="22"/>
              </w:rPr>
            </w:pPr>
            <w:r w:rsidRPr="00690D98">
              <w:rPr>
                <w:rFonts w:ascii="Arial" w:hAnsi="Arial" w:cs="Arial"/>
                <w:sz w:val="20"/>
                <w:szCs w:val="22"/>
              </w:rPr>
              <w:t>EA</w:t>
            </w:r>
          </w:p>
        </w:tc>
        <w:tc>
          <w:tcPr>
            <w:tcW w:w="239" w:type="pct"/>
            <w:shd w:val="clear" w:color="auto" w:fill="auto"/>
            <w:noWrap/>
            <w:vAlign w:val="center"/>
          </w:tcPr>
          <w:p w14:paraId="5E83FD84" w14:textId="2C935829" w:rsidR="001A20CC" w:rsidRPr="00690D98" w:rsidRDefault="001A20CC" w:rsidP="009D7969">
            <w:pPr>
              <w:jc w:val="center"/>
              <w:rPr>
                <w:rFonts w:ascii="Arial" w:hAnsi="Arial" w:cs="Arial"/>
                <w:color w:val="000000"/>
                <w:sz w:val="20"/>
                <w:szCs w:val="22"/>
              </w:rPr>
            </w:pPr>
            <w:r w:rsidRPr="00690D98">
              <w:rPr>
                <w:rFonts w:ascii="Arial" w:hAnsi="Arial" w:cs="Arial"/>
                <w:color w:val="000000"/>
                <w:sz w:val="20"/>
                <w:szCs w:val="22"/>
              </w:rPr>
              <w:t>Prog.</w:t>
            </w:r>
          </w:p>
        </w:tc>
        <w:tc>
          <w:tcPr>
            <w:tcW w:w="424" w:type="pct"/>
            <w:shd w:val="clear" w:color="auto" w:fill="auto"/>
            <w:noWrap/>
            <w:vAlign w:val="center"/>
          </w:tcPr>
          <w:p w14:paraId="08A18BFF" w14:textId="2BA9FA1B" w:rsidR="001A20CC" w:rsidRPr="00690D98" w:rsidRDefault="001A20CC" w:rsidP="00E53900">
            <w:pPr>
              <w:jc w:val="right"/>
              <w:rPr>
                <w:rFonts w:ascii="Arial" w:hAnsi="Arial" w:cs="Arial"/>
                <w:sz w:val="20"/>
                <w:szCs w:val="22"/>
              </w:rPr>
            </w:pPr>
            <w:r w:rsidRPr="00690D98">
              <w:rPr>
                <w:rFonts w:ascii="Arial" w:hAnsi="Arial" w:cs="Arial"/>
                <w:sz w:val="20"/>
                <w:szCs w:val="22"/>
              </w:rPr>
              <w:t>140,000</w:t>
            </w:r>
          </w:p>
        </w:tc>
      </w:tr>
      <w:tr w:rsidR="008202C3" w:rsidRPr="008E106E" w14:paraId="67C3BCBA" w14:textId="77777777" w:rsidTr="00D61AD6">
        <w:trPr>
          <w:trHeight w:val="261"/>
        </w:trPr>
        <w:tc>
          <w:tcPr>
            <w:tcW w:w="978" w:type="pct"/>
            <w:shd w:val="clear" w:color="auto" w:fill="auto"/>
            <w:noWrap/>
            <w:vAlign w:val="center"/>
            <w:hideMark/>
          </w:tcPr>
          <w:p w14:paraId="7E266CEE" w14:textId="333ABD12" w:rsidR="001A20CC" w:rsidRPr="00690D98" w:rsidRDefault="001A20CC" w:rsidP="00DD26BB">
            <w:pPr>
              <w:rPr>
                <w:rFonts w:ascii="Arial" w:hAnsi="Arial" w:cs="Arial"/>
                <w:color w:val="000000"/>
                <w:sz w:val="20"/>
                <w:szCs w:val="22"/>
              </w:rPr>
            </w:pPr>
            <w:r>
              <w:rPr>
                <w:rFonts w:ascii="Arial" w:hAnsi="Arial" w:cs="Arial"/>
                <w:color w:val="000000"/>
                <w:sz w:val="20"/>
                <w:szCs w:val="22"/>
              </w:rPr>
              <w:t xml:space="preserve">Annual </w:t>
            </w:r>
            <w:r w:rsidRPr="00D61AD6">
              <w:rPr>
                <w:rFonts w:ascii="Arial" w:hAnsi="Arial" w:cs="Arial"/>
                <w:color w:val="000000"/>
                <w:sz w:val="20"/>
                <w:szCs w:val="22"/>
                <w:u w:val="single"/>
              </w:rPr>
              <w:t>Audited</w:t>
            </w:r>
            <w:r>
              <w:rPr>
                <w:rFonts w:ascii="Arial" w:hAnsi="Arial" w:cs="Arial"/>
                <w:color w:val="000000"/>
                <w:sz w:val="20"/>
                <w:szCs w:val="22"/>
              </w:rPr>
              <w:t xml:space="preserve"> Financial Statements of the Program</w:t>
            </w:r>
            <w:r w:rsidRPr="00690D98">
              <w:rPr>
                <w:rFonts w:ascii="Arial" w:hAnsi="Arial" w:cs="Arial"/>
                <w:color w:val="000000"/>
                <w:sz w:val="20"/>
                <w:szCs w:val="22"/>
              </w:rPr>
              <w:t xml:space="preserve"> </w:t>
            </w:r>
          </w:p>
        </w:tc>
        <w:tc>
          <w:tcPr>
            <w:tcW w:w="141" w:type="pct"/>
            <w:shd w:val="clear" w:color="auto" w:fill="auto"/>
            <w:noWrap/>
            <w:vAlign w:val="center"/>
            <w:hideMark/>
          </w:tcPr>
          <w:p w14:paraId="232DD150" w14:textId="77777777" w:rsidR="001A20CC" w:rsidRPr="00690D98" w:rsidRDefault="001A20CC" w:rsidP="00E53900">
            <w:pPr>
              <w:rPr>
                <w:rFonts w:ascii="Arial" w:hAnsi="Arial" w:cs="Arial"/>
                <w:color w:val="000000"/>
                <w:sz w:val="20"/>
                <w:szCs w:val="22"/>
              </w:rPr>
            </w:pPr>
            <w:r w:rsidRPr="00690D98">
              <w:rPr>
                <w:rFonts w:ascii="Arial" w:hAnsi="Arial" w:cs="Arial"/>
                <w:color w:val="000000"/>
                <w:sz w:val="20"/>
                <w:szCs w:val="22"/>
              </w:rPr>
              <w:t> </w:t>
            </w:r>
          </w:p>
        </w:tc>
        <w:tc>
          <w:tcPr>
            <w:tcW w:w="140" w:type="pct"/>
            <w:gridSpan w:val="2"/>
            <w:shd w:val="clear" w:color="auto" w:fill="auto"/>
            <w:noWrap/>
            <w:vAlign w:val="center"/>
            <w:hideMark/>
          </w:tcPr>
          <w:p w14:paraId="2FC39E70" w14:textId="77777777" w:rsidR="001A20CC" w:rsidRPr="00690D98" w:rsidRDefault="001A20CC" w:rsidP="00E53900">
            <w:pPr>
              <w:rPr>
                <w:rFonts w:ascii="Arial" w:hAnsi="Arial" w:cs="Arial"/>
                <w:color w:val="000000"/>
                <w:sz w:val="20"/>
                <w:szCs w:val="22"/>
              </w:rPr>
            </w:pPr>
            <w:r w:rsidRPr="00690D98">
              <w:rPr>
                <w:rFonts w:ascii="Arial" w:hAnsi="Arial" w:cs="Arial"/>
                <w:color w:val="000000"/>
                <w:sz w:val="20"/>
                <w:szCs w:val="22"/>
              </w:rPr>
              <w:t> </w:t>
            </w:r>
          </w:p>
        </w:tc>
        <w:tc>
          <w:tcPr>
            <w:tcW w:w="141" w:type="pct"/>
            <w:shd w:val="clear" w:color="auto" w:fill="BFBFBF" w:themeFill="background1" w:themeFillShade="BF"/>
            <w:noWrap/>
            <w:vAlign w:val="center"/>
            <w:hideMark/>
          </w:tcPr>
          <w:p w14:paraId="7EA20740" w14:textId="77777777" w:rsidR="001A20CC" w:rsidRPr="00690D98" w:rsidRDefault="001A20CC" w:rsidP="00E53900">
            <w:pPr>
              <w:rPr>
                <w:rFonts w:ascii="Arial" w:hAnsi="Arial" w:cs="Arial"/>
                <w:color w:val="000000"/>
                <w:sz w:val="20"/>
                <w:szCs w:val="22"/>
              </w:rPr>
            </w:pPr>
            <w:r w:rsidRPr="00690D98">
              <w:rPr>
                <w:rFonts w:ascii="Arial" w:hAnsi="Arial" w:cs="Arial"/>
                <w:color w:val="000000"/>
                <w:sz w:val="20"/>
                <w:szCs w:val="22"/>
              </w:rPr>
              <w:t> </w:t>
            </w:r>
          </w:p>
        </w:tc>
        <w:tc>
          <w:tcPr>
            <w:tcW w:w="141" w:type="pct"/>
            <w:gridSpan w:val="2"/>
            <w:shd w:val="clear" w:color="auto" w:fill="auto"/>
            <w:noWrap/>
            <w:vAlign w:val="center"/>
            <w:hideMark/>
          </w:tcPr>
          <w:p w14:paraId="28FD16EA" w14:textId="77777777" w:rsidR="001A20CC" w:rsidRPr="00690D98" w:rsidRDefault="001A20CC" w:rsidP="00E53900">
            <w:pPr>
              <w:rPr>
                <w:rFonts w:ascii="Arial" w:hAnsi="Arial" w:cs="Arial"/>
                <w:color w:val="000000"/>
                <w:sz w:val="20"/>
                <w:szCs w:val="22"/>
              </w:rPr>
            </w:pPr>
            <w:r w:rsidRPr="00690D98">
              <w:rPr>
                <w:rFonts w:ascii="Arial" w:hAnsi="Arial" w:cs="Arial"/>
                <w:color w:val="000000"/>
                <w:sz w:val="20"/>
                <w:szCs w:val="22"/>
              </w:rPr>
              <w:t> </w:t>
            </w:r>
          </w:p>
        </w:tc>
        <w:tc>
          <w:tcPr>
            <w:tcW w:w="141" w:type="pct"/>
            <w:shd w:val="clear" w:color="auto" w:fill="BFBFBF" w:themeFill="background1" w:themeFillShade="BF"/>
          </w:tcPr>
          <w:p w14:paraId="1064E1CF" w14:textId="77777777" w:rsidR="001A20CC" w:rsidRPr="00690D98" w:rsidRDefault="001A20CC" w:rsidP="00E53900">
            <w:pPr>
              <w:rPr>
                <w:rFonts w:ascii="Arial" w:hAnsi="Arial" w:cs="Arial"/>
                <w:color w:val="000000"/>
                <w:sz w:val="20"/>
                <w:szCs w:val="22"/>
              </w:rPr>
            </w:pPr>
          </w:p>
        </w:tc>
        <w:tc>
          <w:tcPr>
            <w:tcW w:w="144" w:type="pct"/>
            <w:gridSpan w:val="2"/>
            <w:shd w:val="clear" w:color="auto" w:fill="FFFFFF" w:themeFill="background1"/>
          </w:tcPr>
          <w:p w14:paraId="09376AAA" w14:textId="77777777" w:rsidR="001A20CC" w:rsidRPr="00690D98" w:rsidRDefault="001A20CC" w:rsidP="00E53900">
            <w:pPr>
              <w:rPr>
                <w:rFonts w:ascii="Arial" w:hAnsi="Arial" w:cs="Arial"/>
                <w:color w:val="000000"/>
                <w:sz w:val="20"/>
                <w:szCs w:val="22"/>
              </w:rPr>
            </w:pPr>
          </w:p>
        </w:tc>
        <w:tc>
          <w:tcPr>
            <w:tcW w:w="141" w:type="pct"/>
            <w:shd w:val="clear" w:color="auto" w:fill="BFBFBF" w:themeFill="background1" w:themeFillShade="BF"/>
          </w:tcPr>
          <w:p w14:paraId="2E03B288" w14:textId="77777777" w:rsidR="001A20CC" w:rsidRPr="00690D98" w:rsidRDefault="001A20CC" w:rsidP="00E53900">
            <w:pPr>
              <w:rPr>
                <w:rFonts w:ascii="Arial" w:hAnsi="Arial" w:cs="Arial"/>
                <w:color w:val="000000"/>
                <w:sz w:val="20"/>
                <w:szCs w:val="22"/>
              </w:rPr>
            </w:pPr>
          </w:p>
        </w:tc>
        <w:tc>
          <w:tcPr>
            <w:tcW w:w="144" w:type="pct"/>
            <w:gridSpan w:val="2"/>
            <w:shd w:val="clear" w:color="auto" w:fill="FFFFFF" w:themeFill="background1"/>
          </w:tcPr>
          <w:p w14:paraId="5EE4DCC7" w14:textId="77777777" w:rsidR="001A20CC" w:rsidRPr="00690D98" w:rsidRDefault="001A20CC" w:rsidP="00E53900">
            <w:pPr>
              <w:rPr>
                <w:rFonts w:ascii="Arial" w:hAnsi="Arial" w:cs="Arial"/>
                <w:color w:val="000000"/>
                <w:sz w:val="20"/>
                <w:szCs w:val="22"/>
              </w:rPr>
            </w:pPr>
          </w:p>
        </w:tc>
        <w:tc>
          <w:tcPr>
            <w:tcW w:w="141" w:type="pct"/>
            <w:shd w:val="clear" w:color="auto" w:fill="BFBFBF" w:themeFill="background1" w:themeFillShade="BF"/>
            <w:noWrap/>
            <w:vAlign w:val="center"/>
            <w:hideMark/>
          </w:tcPr>
          <w:p w14:paraId="0CF6A22D" w14:textId="77777777" w:rsidR="001A20CC" w:rsidRPr="00690D98" w:rsidRDefault="001A20CC" w:rsidP="00E53900">
            <w:pPr>
              <w:rPr>
                <w:rFonts w:ascii="Arial" w:hAnsi="Arial" w:cs="Arial"/>
                <w:color w:val="000000"/>
                <w:sz w:val="20"/>
                <w:szCs w:val="22"/>
              </w:rPr>
            </w:pPr>
            <w:r w:rsidRPr="00690D98">
              <w:rPr>
                <w:rFonts w:ascii="Arial" w:hAnsi="Arial" w:cs="Arial"/>
                <w:color w:val="000000"/>
                <w:sz w:val="20"/>
                <w:szCs w:val="22"/>
              </w:rPr>
              <w:t> </w:t>
            </w:r>
          </w:p>
        </w:tc>
        <w:tc>
          <w:tcPr>
            <w:tcW w:w="144" w:type="pct"/>
            <w:shd w:val="clear" w:color="auto" w:fill="FFFFFF" w:themeFill="background1"/>
            <w:noWrap/>
            <w:vAlign w:val="center"/>
            <w:hideMark/>
          </w:tcPr>
          <w:p w14:paraId="6CB850B1" w14:textId="77777777" w:rsidR="001A20CC" w:rsidRPr="00690D98" w:rsidRDefault="001A20CC" w:rsidP="00E53900">
            <w:pPr>
              <w:rPr>
                <w:rFonts w:ascii="Arial" w:hAnsi="Arial" w:cs="Arial"/>
                <w:color w:val="000000"/>
                <w:sz w:val="20"/>
                <w:szCs w:val="22"/>
              </w:rPr>
            </w:pPr>
            <w:r w:rsidRPr="00690D98">
              <w:rPr>
                <w:rFonts w:ascii="Arial" w:hAnsi="Arial" w:cs="Arial"/>
                <w:color w:val="000000"/>
                <w:sz w:val="20"/>
                <w:szCs w:val="22"/>
              </w:rPr>
              <w:t> </w:t>
            </w:r>
          </w:p>
        </w:tc>
        <w:tc>
          <w:tcPr>
            <w:tcW w:w="141" w:type="pct"/>
            <w:shd w:val="clear" w:color="auto" w:fill="BFBFBF" w:themeFill="background1" w:themeFillShade="BF"/>
            <w:noWrap/>
            <w:vAlign w:val="center"/>
            <w:hideMark/>
          </w:tcPr>
          <w:p w14:paraId="75FC86EA" w14:textId="77777777" w:rsidR="001A20CC" w:rsidRPr="00690D98" w:rsidRDefault="001A20CC" w:rsidP="00E53900">
            <w:pPr>
              <w:rPr>
                <w:rFonts w:ascii="Arial" w:hAnsi="Arial" w:cs="Arial"/>
                <w:color w:val="000000"/>
                <w:sz w:val="20"/>
                <w:szCs w:val="22"/>
              </w:rPr>
            </w:pPr>
            <w:r w:rsidRPr="00690D98">
              <w:rPr>
                <w:rFonts w:ascii="Arial" w:hAnsi="Arial" w:cs="Arial"/>
                <w:color w:val="000000"/>
                <w:sz w:val="20"/>
                <w:szCs w:val="22"/>
              </w:rPr>
              <w:t> </w:t>
            </w:r>
          </w:p>
        </w:tc>
        <w:tc>
          <w:tcPr>
            <w:tcW w:w="144" w:type="pct"/>
            <w:shd w:val="clear" w:color="auto" w:fill="auto"/>
            <w:noWrap/>
            <w:vAlign w:val="center"/>
            <w:hideMark/>
          </w:tcPr>
          <w:p w14:paraId="73D0BF82" w14:textId="77777777" w:rsidR="001A20CC" w:rsidRPr="00690D98" w:rsidRDefault="001A20CC" w:rsidP="00E53900">
            <w:pPr>
              <w:rPr>
                <w:rFonts w:ascii="Arial" w:hAnsi="Arial" w:cs="Arial"/>
                <w:color w:val="000000"/>
                <w:sz w:val="20"/>
                <w:szCs w:val="22"/>
              </w:rPr>
            </w:pPr>
            <w:r w:rsidRPr="00690D98">
              <w:rPr>
                <w:rFonts w:ascii="Arial" w:hAnsi="Arial" w:cs="Arial"/>
                <w:color w:val="000000"/>
                <w:sz w:val="20"/>
                <w:szCs w:val="22"/>
              </w:rPr>
              <w:t> </w:t>
            </w:r>
          </w:p>
        </w:tc>
        <w:tc>
          <w:tcPr>
            <w:tcW w:w="141" w:type="pct"/>
            <w:shd w:val="clear" w:color="auto" w:fill="BFBFBF" w:themeFill="background1" w:themeFillShade="BF"/>
            <w:noWrap/>
            <w:vAlign w:val="center"/>
            <w:hideMark/>
          </w:tcPr>
          <w:p w14:paraId="2A4FCBD9" w14:textId="77777777" w:rsidR="001A20CC" w:rsidRPr="00690D98" w:rsidRDefault="001A20CC" w:rsidP="00E53900">
            <w:pPr>
              <w:rPr>
                <w:rFonts w:ascii="Arial" w:hAnsi="Arial" w:cs="Arial"/>
                <w:color w:val="000000"/>
                <w:sz w:val="20"/>
                <w:szCs w:val="22"/>
              </w:rPr>
            </w:pPr>
            <w:r w:rsidRPr="00690D98">
              <w:rPr>
                <w:rFonts w:ascii="Arial" w:hAnsi="Arial" w:cs="Arial"/>
                <w:color w:val="000000"/>
                <w:sz w:val="20"/>
                <w:szCs w:val="22"/>
              </w:rPr>
              <w:t> </w:t>
            </w:r>
          </w:p>
        </w:tc>
        <w:tc>
          <w:tcPr>
            <w:tcW w:w="144" w:type="pct"/>
            <w:shd w:val="clear" w:color="auto" w:fill="FFFFFF" w:themeFill="background1"/>
            <w:noWrap/>
            <w:vAlign w:val="center"/>
            <w:hideMark/>
          </w:tcPr>
          <w:p w14:paraId="524C13C8" w14:textId="77777777" w:rsidR="001A20CC" w:rsidRPr="00690D98" w:rsidRDefault="001A20CC" w:rsidP="00E53900">
            <w:pPr>
              <w:jc w:val="center"/>
              <w:rPr>
                <w:rFonts w:ascii="Arial" w:hAnsi="Arial" w:cs="Arial"/>
                <w:b/>
                <w:bCs/>
                <w:color w:val="000000"/>
                <w:sz w:val="20"/>
                <w:szCs w:val="22"/>
              </w:rPr>
            </w:pPr>
            <w:r w:rsidRPr="00690D98">
              <w:rPr>
                <w:rFonts w:ascii="Arial" w:hAnsi="Arial" w:cs="Arial"/>
                <w:b/>
                <w:bCs/>
                <w:color w:val="000000"/>
                <w:sz w:val="20"/>
                <w:szCs w:val="22"/>
              </w:rPr>
              <w:t> </w:t>
            </w:r>
          </w:p>
        </w:tc>
        <w:tc>
          <w:tcPr>
            <w:tcW w:w="141" w:type="pct"/>
            <w:shd w:val="clear" w:color="auto" w:fill="BFBFBF" w:themeFill="background1" w:themeFillShade="BF"/>
          </w:tcPr>
          <w:p w14:paraId="4B9FB23A" w14:textId="77777777" w:rsidR="001A20CC" w:rsidRPr="00690D98" w:rsidRDefault="001A20CC" w:rsidP="00E53900">
            <w:pPr>
              <w:jc w:val="center"/>
              <w:rPr>
                <w:rFonts w:ascii="Arial" w:hAnsi="Arial" w:cs="Arial"/>
                <w:b/>
                <w:bCs/>
                <w:color w:val="000000"/>
                <w:sz w:val="20"/>
                <w:szCs w:val="22"/>
              </w:rPr>
            </w:pPr>
          </w:p>
        </w:tc>
        <w:tc>
          <w:tcPr>
            <w:tcW w:w="144" w:type="pct"/>
            <w:shd w:val="clear" w:color="auto" w:fill="FFFFFF" w:themeFill="background1"/>
          </w:tcPr>
          <w:p w14:paraId="48853B5A" w14:textId="77777777" w:rsidR="001A20CC" w:rsidRPr="00690D98" w:rsidRDefault="001A20CC" w:rsidP="00E53900">
            <w:pPr>
              <w:jc w:val="center"/>
              <w:rPr>
                <w:rFonts w:ascii="Arial" w:hAnsi="Arial" w:cs="Arial"/>
                <w:b/>
                <w:bCs/>
                <w:color w:val="000000"/>
                <w:sz w:val="20"/>
                <w:szCs w:val="22"/>
              </w:rPr>
            </w:pPr>
          </w:p>
        </w:tc>
        <w:tc>
          <w:tcPr>
            <w:tcW w:w="141" w:type="pct"/>
            <w:shd w:val="clear" w:color="auto" w:fill="BFBFBF" w:themeFill="background1" w:themeFillShade="BF"/>
          </w:tcPr>
          <w:p w14:paraId="454186BE" w14:textId="77777777" w:rsidR="001A20CC" w:rsidRPr="00690D98" w:rsidRDefault="001A20CC" w:rsidP="00E53900">
            <w:pPr>
              <w:jc w:val="center"/>
              <w:rPr>
                <w:rFonts w:ascii="Arial" w:hAnsi="Arial" w:cs="Arial"/>
                <w:b/>
                <w:bCs/>
                <w:color w:val="000000"/>
                <w:sz w:val="20"/>
                <w:szCs w:val="22"/>
              </w:rPr>
            </w:pPr>
          </w:p>
        </w:tc>
        <w:tc>
          <w:tcPr>
            <w:tcW w:w="115" w:type="pct"/>
            <w:shd w:val="clear" w:color="auto" w:fill="FFFFFF" w:themeFill="background1"/>
          </w:tcPr>
          <w:p w14:paraId="7DDAF026" w14:textId="77777777" w:rsidR="001A20CC" w:rsidRPr="00690D98" w:rsidRDefault="001A20CC" w:rsidP="00E53900">
            <w:pPr>
              <w:jc w:val="center"/>
              <w:rPr>
                <w:rFonts w:ascii="Arial" w:hAnsi="Arial" w:cs="Arial"/>
                <w:b/>
                <w:bCs/>
                <w:color w:val="000000"/>
                <w:sz w:val="20"/>
                <w:szCs w:val="22"/>
              </w:rPr>
            </w:pPr>
          </w:p>
        </w:tc>
        <w:tc>
          <w:tcPr>
            <w:tcW w:w="143" w:type="pct"/>
            <w:shd w:val="clear" w:color="auto" w:fill="BFBFBF" w:themeFill="background1" w:themeFillShade="BF"/>
          </w:tcPr>
          <w:p w14:paraId="502246DC" w14:textId="77777777" w:rsidR="001A20CC" w:rsidRPr="00690D98" w:rsidRDefault="001A20CC" w:rsidP="00E53900">
            <w:pPr>
              <w:jc w:val="center"/>
              <w:rPr>
                <w:rFonts w:ascii="Arial" w:hAnsi="Arial" w:cs="Arial"/>
                <w:sz w:val="20"/>
                <w:szCs w:val="22"/>
              </w:rPr>
            </w:pPr>
          </w:p>
        </w:tc>
        <w:tc>
          <w:tcPr>
            <w:tcW w:w="116" w:type="pct"/>
          </w:tcPr>
          <w:p w14:paraId="61611544" w14:textId="77777777" w:rsidR="001A20CC" w:rsidRPr="00690D98" w:rsidRDefault="001A20CC" w:rsidP="00E53900">
            <w:pPr>
              <w:jc w:val="center"/>
              <w:rPr>
                <w:rFonts w:ascii="Arial" w:hAnsi="Arial" w:cs="Arial"/>
                <w:sz w:val="20"/>
                <w:szCs w:val="22"/>
              </w:rPr>
            </w:pPr>
          </w:p>
        </w:tc>
        <w:tc>
          <w:tcPr>
            <w:tcW w:w="143" w:type="pct"/>
            <w:shd w:val="clear" w:color="auto" w:fill="BFBFBF" w:themeFill="background1" w:themeFillShade="BF"/>
          </w:tcPr>
          <w:p w14:paraId="1BA4F490" w14:textId="77777777" w:rsidR="001A20CC" w:rsidRPr="00690D98" w:rsidRDefault="001A20CC" w:rsidP="00E53900">
            <w:pPr>
              <w:jc w:val="center"/>
              <w:rPr>
                <w:rFonts w:ascii="Arial" w:hAnsi="Arial" w:cs="Arial"/>
                <w:sz w:val="20"/>
                <w:szCs w:val="22"/>
              </w:rPr>
            </w:pPr>
          </w:p>
        </w:tc>
        <w:tc>
          <w:tcPr>
            <w:tcW w:w="164" w:type="pct"/>
          </w:tcPr>
          <w:p w14:paraId="4D5A1B4A" w14:textId="77777777" w:rsidR="001A20CC" w:rsidRPr="00690D98" w:rsidRDefault="001A20CC" w:rsidP="00E53900">
            <w:pPr>
              <w:jc w:val="center"/>
              <w:rPr>
                <w:rFonts w:ascii="Arial" w:hAnsi="Arial" w:cs="Arial"/>
                <w:sz w:val="20"/>
                <w:szCs w:val="22"/>
              </w:rPr>
            </w:pPr>
          </w:p>
        </w:tc>
        <w:tc>
          <w:tcPr>
            <w:tcW w:w="263" w:type="pct"/>
            <w:shd w:val="clear" w:color="auto" w:fill="auto"/>
            <w:noWrap/>
            <w:vAlign w:val="center"/>
          </w:tcPr>
          <w:p w14:paraId="533BECCC" w14:textId="4FFD8EBF" w:rsidR="001A20CC" w:rsidRPr="00690D98" w:rsidRDefault="001A20CC" w:rsidP="00E53900">
            <w:pPr>
              <w:jc w:val="center"/>
              <w:rPr>
                <w:rFonts w:ascii="Arial" w:hAnsi="Arial" w:cs="Arial"/>
                <w:color w:val="000000"/>
                <w:sz w:val="20"/>
                <w:szCs w:val="22"/>
              </w:rPr>
            </w:pPr>
            <w:r w:rsidRPr="00690D98">
              <w:rPr>
                <w:rFonts w:ascii="Arial" w:hAnsi="Arial" w:cs="Arial"/>
                <w:sz w:val="20"/>
                <w:szCs w:val="22"/>
              </w:rPr>
              <w:t>EA</w:t>
            </w:r>
          </w:p>
        </w:tc>
        <w:tc>
          <w:tcPr>
            <w:tcW w:w="239" w:type="pct"/>
            <w:shd w:val="clear" w:color="auto" w:fill="auto"/>
            <w:noWrap/>
            <w:vAlign w:val="center"/>
          </w:tcPr>
          <w:p w14:paraId="3CF825DA" w14:textId="5E401D07" w:rsidR="001A20CC" w:rsidRPr="00690D98" w:rsidRDefault="001A20CC" w:rsidP="009D7969">
            <w:pPr>
              <w:jc w:val="center"/>
              <w:rPr>
                <w:rFonts w:ascii="Arial" w:hAnsi="Arial" w:cs="Arial"/>
                <w:color w:val="000000"/>
                <w:sz w:val="20"/>
                <w:szCs w:val="22"/>
              </w:rPr>
            </w:pPr>
            <w:r w:rsidRPr="00690D98">
              <w:rPr>
                <w:rFonts w:ascii="Arial" w:hAnsi="Arial" w:cs="Arial"/>
                <w:color w:val="000000"/>
                <w:sz w:val="20"/>
                <w:szCs w:val="22"/>
              </w:rPr>
              <w:t>Prog.</w:t>
            </w:r>
          </w:p>
        </w:tc>
        <w:tc>
          <w:tcPr>
            <w:tcW w:w="424" w:type="pct"/>
            <w:shd w:val="clear" w:color="auto" w:fill="auto"/>
            <w:noWrap/>
            <w:vAlign w:val="center"/>
          </w:tcPr>
          <w:p w14:paraId="16D0EA93" w14:textId="246AF8AA" w:rsidR="001A20CC" w:rsidRPr="00690D98" w:rsidRDefault="001A20CC" w:rsidP="00DD26BB">
            <w:pPr>
              <w:jc w:val="right"/>
              <w:rPr>
                <w:rFonts w:ascii="Arial" w:hAnsi="Arial" w:cs="Arial"/>
                <w:color w:val="000000"/>
                <w:sz w:val="20"/>
                <w:szCs w:val="22"/>
              </w:rPr>
            </w:pPr>
            <w:r w:rsidRPr="00690D98">
              <w:rPr>
                <w:rFonts w:ascii="Arial" w:hAnsi="Arial" w:cs="Arial"/>
                <w:sz w:val="20"/>
                <w:szCs w:val="22"/>
              </w:rPr>
              <w:t>195,000</w:t>
            </w:r>
          </w:p>
        </w:tc>
      </w:tr>
      <w:tr w:rsidR="008202C3" w:rsidRPr="008E106E" w14:paraId="399460E7" w14:textId="77777777" w:rsidTr="00D61AD6">
        <w:trPr>
          <w:trHeight w:val="261"/>
        </w:trPr>
        <w:tc>
          <w:tcPr>
            <w:tcW w:w="978" w:type="pct"/>
            <w:shd w:val="clear" w:color="auto" w:fill="auto"/>
            <w:noWrap/>
            <w:vAlign w:val="center"/>
          </w:tcPr>
          <w:p w14:paraId="290BDFA5" w14:textId="0C9DE955" w:rsidR="001A20CC" w:rsidRPr="00690D98" w:rsidRDefault="001A20CC" w:rsidP="007F0988">
            <w:pPr>
              <w:rPr>
                <w:rFonts w:ascii="Arial" w:hAnsi="Arial" w:cs="Arial"/>
                <w:sz w:val="20"/>
                <w:szCs w:val="22"/>
              </w:rPr>
            </w:pPr>
            <w:r>
              <w:rPr>
                <w:rFonts w:ascii="Arial" w:hAnsi="Arial" w:cs="Arial"/>
                <w:color w:val="000000"/>
                <w:sz w:val="20"/>
                <w:szCs w:val="22"/>
              </w:rPr>
              <w:t>Semi-a</w:t>
            </w:r>
            <w:r>
              <w:rPr>
                <w:rFonts w:ascii="Arial" w:hAnsi="Arial" w:cs="Arial"/>
                <w:color w:val="000000"/>
                <w:sz w:val="20"/>
                <w:szCs w:val="22"/>
              </w:rPr>
              <w:t xml:space="preserve">nnual </w:t>
            </w:r>
            <w:r w:rsidRPr="00D61AD6">
              <w:rPr>
                <w:rFonts w:ascii="Arial" w:hAnsi="Arial" w:cs="Arial"/>
                <w:color w:val="000000"/>
                <w:sz w:val="20"/>
                <w:szCs w:val="22"/>
                <w:u w:val="single"/>
              </w:rPr>
              <w:t>Una</w:t>
            </w:r>
            <w:r w:rsidRPr="00D61AD6">
              <w:rPr>
                <w:rFonts w:ascii="Arial" w:hAnsi="Arial" w:cs="Arial"/>
                <w:color w:val="000000"/>
                <w:sz w:val="20"/>
                <w:szCs w:val="22"/>
                <w:u w:val="single"/>
              </w:rPr>
              <w:t>udited</w:t>
            </w:r>
            <w:r>
              <w:rPr>
                <w:rFonts w:ascii="Arial" w:hAnsi="Arial" w:cs="Arial"/>
                <w:color w:val="000000"/>
                <w:sz w:val="20"/>
                <w:szCs w:val="22"/>
              </w:rPr>
              <w:t xml:space="preserve"> Financial Statements of the Program</w:t>
            </w:r>
            <w:r w:rsidRPr="00690D98">
              <w:rPr>
                <w:rFonts w:ascii="Arial" w:hAnsi="Arial" w:cs="Arial"/>
                <w:color w:val="000000"/>
                <w:sz w:val="20"/>
                <w:szCs w:val="22"/>
              </w:rPr>
              <w:t xml:space="preserve"> </w:t>
            </w:r>
          </w:p>
        </w:tc>
        <w:tc>
          <w:tcPr>
            <w:tcW w:w="141" w:type="pct"/>
            <w:shd w:val="clear" w:color="auto" w:fill="auto"/>
            <w:noWrap/>
            <w:vAlign w:val="center"/>
          </w:tcPr>
          <w:p w14:paraId="478F7E6E" w14:textId="65014F0D" w:rsidR="001A20CC" w:rsidRPr="00690D98" w:rsidRDefault="001A20CC" w:rsidP="007F0988">
            <w:pPr>
              <w:rPr>
                <w:rFonts w:ascii="Arial" w:hAnsi="Arial" w:cs="Arial"/>
                <w:color w:val="000000"/>
                <w:sz w:val="20"/>
                <w:szCs w:val="22"/>
              </w:rPr>
            </w:pPr>
            <w:r w:rsidRPr="00690D98">
              <w:rPr>
                <w:rFonts w:ascii="Arial" w:hAnsi="Arial" w:cs="Arial"/>
                <w:color w:val="000000"/>
                <w:sz w:val="20"/>
                <w:szCs w:val="22"/>
              </w:rPr>
              <w:t> </w:t>
            </w:r>
          </w:p>
        </w:tc>
        <w:tc>
          <w:tcPr>
            <w:tcW w:w="140" w:type="pct"/>
            <w:gridSpan w:val="2"/>
            <w:shd w:val="clear" w:color="auto" w:fill="BFBFBF" w:themeFill="background1" w:themeFillShade="BF"/>
            <w:noWrap/>
            <w:vAlign w:val="center"/>
          </w:tcPr>
          <w:p w14:paraId="66F2125B" w14:textId="7E428BB2" w:rsidR="001A20CC" w:rsidRPr="00690D98" w:rsidRDefault="001A20CC" w:rsidP="007F0988">
            <w:pPr>
              <w:rPr>
                <w:rFonts w:ascii="Arial" w:hAnsi="Arial" w:cs="Arial"/>
                <w:color w:val="000000"/>
                <w:sz w:val="20"/>
                <w:szCs w:val="22"/>
              </w:rPr>
            </w:pPr>
            <w:r w:rsidRPr="00690D98">
              <w:rPr>
                <w:rFonts w:ascii="Arial" w:hAnsi="Arial" w:cs="Arial"/>
                <w:color w:val="000000"/>
                <w:sz w:val="20"/>
                <w:szCs w:val="22"/>
              </w:rPr>
              <w:t> </w:t>
            </w:r>
          </w:p>
        </w:tc>
        <w:tc>
          <w:tcPr>
            <w:tcW w:w="141" w:type="pct"/>
            <w:shd w:val="clear" w:color="auto" w:fill="auto"/>
            <w:noWrap/>
            <w:vAlign w:val="center"/>
          </w:tcPr>
          <w:p w14:paraId="6FB72970" w14:textId="59F63408" w:rsidR="001A20CC" w:rsidRPr="00690D98" w:rsidRDefault="001A20CC" w:rsidP="007F0988">
            <w:pPr>
              <w:rPr>
                <w:rFonts w:ascii="Arial" w:hAnsi="Arial" w:cs="Arial"/>
                <w:color w:val="000000"/>
                <w:sz w:val="20"/>
                <w:szCs w:val="22"/>
              </w:rPr>
            </w:pPr>
            <w:r w:rsidRPr="00690D98">
              <w:rPr>
                <w:rFonts w:ascii="Arial" w:hAnsi="Arial" w:cs="Arial"/>
                <w:color w:val="000000"/>
                <w:sz w:val="20"/>
                <w:szCs w:val="22"/>
              </w:rPr>
              <w:t> </w:t>
            </w:r>
          </w:p>
        </w:tc>
        <w:tc>
          <w:tcPr>
            <w:tcW w:w="141" w:type="pct"/>
            <w:gridSpan w:val="2"/>
            <w:shd w:val="clear" w:color="auto" w:fill="BFBFBF" w:themeFill="background1" w:themeFillShade="BF"/>
            <w:noWrap/>
            <w:vAlign w:val="center"/>
          </w:tcPr>
          <w:p w14:paraId="60BD9B9B" w14:textId="55370739" w:rsidR="001A20CC" w:rsidRPr="00690D98" w:rsidRDefault="001A20CC" w:rsidP="007F0988">
            <w:pPr>
              <w:rPr>
                <w:rFonts w:ascii="Arial" w:hAnsi="Arial" w:cs="Arial"/>
                <w:color w:val="000000"/>
                <w:sz w:val="20"/>
                <w:szCs w:val="22"/>
              </w:rPr>
            </w:pPr>
            <w:r w:rsidRPr="00690D98">
              <w:rPr>
                <w:rFonts w:ascii="Arial" w:hAnsi="Arial" w:cs="Arial"/>
                <w:color w:val="000000"/>
                <w:sz w:val="20"/>
                <w:szCs w:val="22"/>
              </w:rPr>
              <w:t> </w:t>
            </w:r>
          </w:p>
        </w:tc>
        <w:tc>
          <w:tcPr>
            <w:tcW w:w="141" w:type="pct"/>
            <w:shd w:val="clear" w:color="auto" w:fill="auto"/>
          </w:tcPr>
          <w:p w14:paraId="65077521" w14:textId="77777777" w:rsidR="001A20CC" w:rsidRPr="00690D98" w:rsidRDefault="001A20CC" w:rsidP="007F0988">
            <w:pPr>
              <w:rPr>
                <w:rFonts w:ascii="Arial" w:hAnsi="Arial" w:cs="Arial"/>
                <w:color w:val="000000"/>
                <w:sz w:val="20"/>
                <w:szCs w:val="22"/>
              </w:rPr>
            </w:pPr>
          </w:p>
        </w:tc>
        <w:tc>
          <w:tcPr>
            <w:tcW w:w="144" w:type="pct"/>
            <w:gridSpan w:val="2"/>
            <w:shd w:val="clear" w:color="auto" w:fill="BFBFBF" w:themeFill="background1" w:themeFillShade="BF"/>
          </w:tcPr>
          <w:p w14:paraId="6A255B70" w14:textId="77777777" w:rsidR="001A20CC" w:rsidRPr="00690D98" w:rsidRDefault="001A20CC" w:rsidP="007F0988">
            <w:pPr>
              <w:rPr>
                <w:rFonts w:ascii="Arial" w:hAnsi="Arial" w:cs="Arial"/>
                <w:color w:val="000000"/>
                <w:sz w:val="20"/>
                <w:szCs w:val="22"/>
              </w:rPr>
            </w:pPr>
          </w:p>
        </w:tc>
        <w:tc>
          <w:tcPr>
            <w:tcW w:w="141" w:type="pct"/>
            <w:shd w:val="clear" w:color="auto" w:fill="auto"/>
          </w:tcPr>
          <w:p w14:paraId="3631B978" w14:textId="77777777" w:rsidR="001A20CC" w:rsidRPr="00690D98" w:rsidRDefault="001A20CC" w:rsidP="007F0988">
            <w:pPr>
              <w:rPr>
                <w:rFonts w:ascii="Arial" w:hAnsi="Arial" w:cs="Arial"/>
                <w:color w:val="000000"/>
                <w:sz w:val="20"/>
                <w:szCs w:val="22"/>
              </w:rPr>
            </w:pPr>
          </w:p>
        </w:tc>
        <w:tc>
          <w:tcPr>
            <w:tcW w:w="144" w:type="pct"/>
            <w:gridSpan w:val="2"/>
            <w:shd w:val="clear" w:color="auto" w:fill="BFBFBF" w:themeFill="background1" w:themeFillShade="BF"/>
          </w:tcPr>
          <w:p w14:paraId="2CA50C02" w14:textId="77777777" w:rsidR="001A20CC" w:rsidRPr="00690D98" w:rsidRDefault="001A20CC" w:rsidP="007F0988">
            <w:pPr>
              <w:rPr>
                <w:rFonts w:ascii="Arial" w:hAnsi="Arial" w:cs="Arial"/>
                <w:color w:val="000000"/>
                <w:sz w:val="20"/>
                <w:szCs w:val="22"/>
              </w:rPr>
            </w:pPr>
          </w:p>
        </w:tc>
        <w:tc>
          <w:tcPr>
            <w:tcW w:w="141" w:type="pct"/>
            <w:shd w:val="clear" w:color="auto" w:fill="auto"/>
            <w:noWrap/>
            <w:vAlign w:val="center"/>
          </w:tcPr>
          <w:p w14:paraId="52CA7348" w14:textId="3B1CFA43" w:rsidR="001A20CC" w:rsidRPr="00690D98" w:rsidRDefault="001A20CC" w:rsidP="007F0988">
            <w:pPr>
              <w:rPr>
                <w:rFonts w:ascii="Arial" w:hAnsi="Arial" w:cs="Arial"/>
                <w:color w:val="000000"/>
                <w:sz w:val="20"/>
                <w:szCs w:val="22"/>
              </w:rPr>
            </w:pPr>
            <w:r w:rsidRPr="00690D98">
              <w:rPr>
                <w:rFonts w:ascii="Arial" w:hAnsi="Arial" w:cs="Arial"/>
                <w:color w:val="000000"/>
                <w:sz w:val="20"/>
                <w:szCs w:val="22"/>
              </w:rPr>
              <w:t> </w:t>
            </w:r>
          </w:p>
        </w:tc>
        <w:tc>
          <w:tcPr>
            <w:tcW w:w="144" w:type="pct"/>
            <w:shd w:val="clear" w:color="auto" w:fill="BFBFBF" w:themeFill="background1" w:themeFillShade="BF"/>
            <w:noWrap/>
            <w:vAlign w:val="center"/>
          </w:tcPr>
          <w:p w14:paraId="3BB560BB" w14:textId="61B9AD09" w:rsidR="001A20CC" w:rsidRPr="00690D98" w:rsidRDefault="001A20CC" w:rsidP="007F0988">
            <w:pPr>
              <w:rPr>
                <w:rFonts w:ascii="Arial" w:hAnsi="Arial" w:cs="Arial"/>
                <w:color w:val="000000"/>
                <w:sz w:val="20"/>
                <w:szCs w:val="22"/>
              </w:rPr>
            </w:pPr>
            <w:r w:rsidRPr="00690D98">
              <w:rPr>
                <w:rFonts w:ascii="Arial" w:hAnsi="Arial" w:cs="Arial"/>
                <w:color w:val="000000"/>
                <w:sz w:val="20"/>
                <w:szCs w:val="22"/>
              </w:rPr>
              <w:t> </w:t>
            </w:r>
          </w:p>
        </w:tc>
        <w:tc>
          <w:tcPr>
            <w:tcW w:w="141" w:type="pct"/>
            <w:shd w:val="clear" w:color="auto" w:fill="auto"/>
            <w:noWrap/>
            <w:vAlign w:val="center"/>
          </w:tcPr>
          <w:p w14:paraId="384CBC07" w14:textId="2B30242A" w:rsidR="001A20CC" w:rsidRPr="00690D98" w:rsidRDefault="001A20CC" w:rsidP="007F0988">
            <w:pPr>
              <w:rPr>
                <w:rFonts w:ascii="Arial" w:hAnsi="Arial" w:cs="Arial"/>
                <w:color w:val="000000"/>
                <w:sz w:val="20"/>
                <w:szCs w:val="22"/>
              </w:rPr>
            </w:pPr>
            <w:r w:rsidRPr="00690D98">
              <w:rPr>
                <w:rFonts w:ascii="Arial" w:hAnsi="Arial" w:cs="Arial"/>
                <w:color w:val="000000"/>
                <w:sz w:val="20"/>
                <w:szCs w:val="22"/>
              </w:rPr>
              <w:t> </w:t>
            </w:r>
          </w:p>
        </w:tc>
        <w:tc>
          <w:tcPr>
            <w:tcW w:w="144" w:type="pct"/>
            <w:shd w:val="clear" w:color="auto" w:fill="BFBFBF" w:themeFill="background1" w:themeFillShade="BF"/>
            <w:noWrap/>
            <w:vAlign w:val="center"/>
          </w:tcPr>
          <w:p w14:paraId="72D62711" w14:textId="70E81654" w:rsidR="001A20CC" w:rsidRPr="00690D98" w:rsidRDefault="001A20CC" w:rsidP="007F0988">
            <w:pPr>
              <w:rPr>
                <w:rFonts w:ascii="Arial" w:hAnsi="Arial" w:cs="Arial"/>
                <w:color w:val="000000"/>
                <w:sz w:val="20"/>
                <w:szCs w:val="22"/>
              </w:rPr>
            </w:pPr>
            <w:r w:rsidRPr="00690D98">
              <w:rPr>
                <w:rFonts w:ascii="Arial" w:hAnsi="Arial" w:cs="Arial"/>
                <w:color w:val="000000"/>
                <w:sz w:val="20"/>
                <w:szCs w:val="22"/>
              </w:rPr>
              <w:t> </w:t>
            </w:r>
          </w:p>
        </w:tc>
        <w:tc>
          <w:tcPr>
            <w:tcW w:w="141" w:type="pct"/>
            <w:shd w:val="clear" w:color="auto" w:fill="auto"/>
            <w:noWrap/>
            <w:vAlign w:val="center"/>
          </w:tcPr>
          <w:p w14:paraId="1CA59ECE" w14:textId="12AD81C4" w:rsidR="001A20CC" w:rsidRPr="00690D98" w:rsidRDefault="001A20CC" w:rsidP="007F0988">
            <w:pPr>
              <w:rPr>
                <w:rFonts w:ascii="Arial" w:hAnsi="Arial" w:cs="Arial"/>
                <w:color w:val="000000"/>
                <w:sz w:val="20"/>
                <w:szCs w:val="22"/>
              </w:rPr>
            </w:pPr>
            <w:r w:rsidRPr="00690D98">
              <w:rPr>
                <w:rFonts w:ascii="Arial" w:hAnsi="Arial" w:cs="Arial"/>
                <w:color w:val="000000"/>
                <w:sz w:val="20"/>
                <w:szCs w:val="22"/>
              </w:rPr>
              <w:t> </w:t>
            </w:r>
          </w:p>
        </w:tc>
        <w:tc>
          <w:tcPr>
            <w:tcW w:w="144" w:type="pct"/>
            <w:shd w:val="clear" w:color="auto" w:fill="BFBFBF" w:themeFill="background1" w:themeFillShade="BF"/>
            <w:noWrap/>
            <w:vAlign w:val="center"/>
          </w:tcPr>
          <w:p w14:paraId="18CA0068" w14:textId="2557E963" w:rsidR="001A20CC" w:rsidRPr="00690D98" w:rsidRDefault="001A20CC" w:rsidP="007F0988">
            <w:pPr>
              <w:jc w:val="center"/>
              <w:rPr>
                <w:rFonts w:ascii="Arial" w:hAnsi="Arial" w:cs="Arial"/>
                <w:b/>
                <w:bCs/>
                <w:color w:val="000000"/>
                <w:sz w:val="20"/>
                <w:szCs w:val="22"/>
              </w:rPr>
            </w:pPr>
            <w:r w:rsidRPr="00690D98">
              <w:rPr>
                <w:rFonts w:ascii="Arial" w:hAnsi="Arial" w:cs="Arial"/>
                <w:b/>
                <w:bCs/>
                <w:color w:val="000000"/>
                <w:sz w:val="20"/>
                <w:szCs w:val="22"/>
              </w:rPr>
              <w:t> </w:t>
            </w:r>
          </w:p>
        </w:tc>
        <w:tc>
          <w:tcPr>
            <w:tcW w:w="141" w:type="pct"/>
            <w:shd w:val="clear" w:color="auto" w:fill="auto"/>
          </w:tcPr>
          <w:p w14:paraId="187E58C5" w14:textId="77777777" w:rsidR="001A20CC" w:rsidRPr="00690D98" w:rsidRDefault="001A20CC" w:rsidP="007F0988">
            <w:pPr>
              <w:jc w:val="center"/>
              <w:rPr>
                <w:rFonts w:ascii="Arial" w:hAnsi="Arial" w:cs="Arial"/>
                <w:b/>
                <w:bCs/>
                <w:color w:val="000000"/>
                <w:sz w:val="20"/>
                <w:szCs w:val="22"/>
              </w:rPr>
            </w:pPr>
          </w:p>
        </w:tc>
        <w:tc>
          <w:tcPr>
            <w:tcW w:w="144" w:type="pct"/>
            <w:tcBorders>
              <w:bottom w:val="single" w:sz="4" w:space="0" w:color="auto"/>
            </w:tcBorders>
            <w:shd w:val="clear" w:color="auto" w:fill="BFBFBF" w:themeFill="background1" w:themeFillShade="BF"/>
          </w:tcPr>
          <w:p w14:paraId="42203FE1" w14:textId="77777777" w:rsidR="001A20CC" w:rsidRPr="00690D98" w:rsidRDefault="001A20CC" w:rsidP="007F0988">
            <w:pPr>
              <w:jc w:val="center"/>
              <w:rPr>
                <w:rFonts w:ascii="Arial" w:hAnsi="Arial" w:cs="Arial"/>
                <w:b/>
                <w:bCs/>
                <w:color w:val="000000"/>
                <w:sz w:val="20"/>
                <w:szCs w:val="22"/>
              </w:rPr>
            </w:pPr>
          </w:p>
        </w:tc>
        <w:tc>
          <w:tcPr>
            <w:tcW w:w="141" w:type="pct"/>
            <w:shd w:val="clear" w:color="auto" w:fill="auto"/>
          </w:tcPr>
          <w:p w14:paraId="6A3F6B0F" w14:textId="77777777" w:rsidR="001A20CC" w:rsidRPr="00690D98" w:rsidRDefault="001A20CC" w:rsidP="007F0988">
            <w:pPr>
              <w:jc w:val="center"/>
              <w:rPr>
                <w:rFonts w:ascii="Arial" w:hAnsi="Arial" w:cs="Arial"/>
                <w:b/>
                <w:bCs/>
                <w:color w:val="000000"/>
                <w:sz w:val="20"/>
                <w:szCs w:val="22"/>
              </w:rPr>
            </w:pPr>
          </w:p>
        </w:tc>
        <w:tc>
          <w:tcPr>
            <w:tcW w:w="115" w:type="pct"/>
            <w:shd w:val="clear" w:color="auto" w:fill="BFBFBF" w:themeFill="background1" w:themeFillShade="BF"/>
          </w:tcPr>
          <w:p w14:paraId="1DFB13DD" w14:textId="77777777" w:rsidR="001A20CC" w:rsidRPr="00690D98" w:rsidRDefault="001A20CC" w:rsidP="007F0988">
            <w:pPr>
              <w:jc w:val="center"/>
              <w:rPr>
                <w:rFonts w:ascii="Arial" w:hAnsi="Arial" w:cs="Arial"/>
                <w:b/>
                <w:bCs/>
                <w:color w:val="000000"/>
                <w:sz w:val="20"/>
                <w:szCs w:val="22"/>
              </w:rPr>
            </w:pPr>
          </w:p>
        </w:tc>
        <w:tc>
          <w:tcPr>
            <w:tcW w:w="143" w:type="pct"/>
          </w:tcPr>
          <w:p w14:paraId="6B078647" w14:textId="77777777" w:rsidR="001A20CC" w:rsidRPr="00690D98" w:rsidRDefault="001A20CC" w:rsidP="007F0988">
            <w:pPr>
              <w:jc w:val="center"/>
              <w:rPr>
                <w:rFonts w:ascii="Arial" w:hAnsi="Arial" w:cs="Arial"/>
                <w:sz w:val="20"/>
                <w:szCs w:val="22"/>
              </w:rPr>
            </w:pPr>
          </w:p>
        </w:tc>
        <w:tc>
          <w:tcPr>
            <w:tcW w:w="116" w:type="pct"/>
            <w:shd w:val="clear" w:color="auto" w:fill="BFBFBF" w:themeFill="background1" w:themeFillShade="BF"/>
          </w:tcPr>
          <w:p w14:paraId="17431AAF" w14:textId="77777777" w:rsidR="001A20CC" w:rsidRPr="00690D98" w:rsidRDefault="001A20CC" w:rsidP="007F0988">
            <w:pPr>
              <w:jc w:val="center"/>
              <w:rPr>
                <w:rFonts w:ascii="Arial" w:hAnsi="Arial" w:cs="Arial"/>
                <w:sz w:val="20"/>
                <w:szCs w:val="22"/>
              </w:rPr>
            </w:pPr>
          </w:p>
        </w:tc>
        <w:tc>
          <w:tcPr>
            <w:tcW w:w="143" w:type="pct"/>
          </w:tcPr>
          <w:p w14:paraId="5792B047" w14:textId="77777777" w:rsidR="001A20CC" w:rsidRPr="00690D98" w:rsidRDefault="001A20CC" w:rsidP="007F0988">
            <w:pPr>
              <w:jc w:val="center"/>
              <w:rPr>
                <w:rFonts w:ascii="Arial" w:hAnsi="Arial" w:cs="Arial"/>
                <w:sz w:val="20"/>
                <w:szCs w:val="22"/>
              </w:rPr>
            </w:pPr>
          </w:p>
        </w:tc>
        <w:tc>
          <w:tcPr>
            <w:tcW w:w="164" w:type="pct"/>
          </w:tcPr>
          <w:p w14:paraId="22628576" w14:textId="77777777" w:rsidR="001A20CC" w:rsidRPr="00690D98" w:rsidRDefault="001A20CC" w:rsidP="007F0988">
            <w:pPr>
              <w:jc w:val="center"/>
              <w:rPr>
                <w:rFonts w:ascii="Arial" w:hAnsi="Arial" w:cs="Arial"/>
                <w:sz w:val="20"/>
                <w:szCs w:val="22"/>
              </w:rPr>
            </w:pPr>
          </w:p>
        </w:tc>
        <w:tc>
          <w:tcPr>
            <w:tcW w:w="263" w:type="pct"/>
            <w:shd w:val="clear" w:color="auto" w:fill="auto"/>
            <w:noWrap/>
            <w:vAlign w:val="center"/>
          </w:tcPr>
          <w:p w14:paraId="4435D0F6" w14:textId="0CA14862" w:rsidR="001A20CC" w:rsidRPr="00690D98" w:rsidRDefault="001A20CC" w:rsidP="007F0988">
            <w:pPr>
              <w:jc w:val="center"/>
              <w:rPr>
                <w:rFonts w:ascii="Arial" w:hAnsi="Arial" w:cs="Arial"/>
                <w:sz w:val="20"/>
                <w:szCs w:val="22"/>
              </w:rPr>
            </w:pPr>
            <w:r w:rsidRPr="00690D98">
              <w:rPr>
                <w:rFonts w:ascii="Arial" w:hAnsi="Arial" w:cs="Arial"/>
                <w:sz w:val="20"/>
                <w:szCs w:val="22"/>
              </w:rPr>
              <w:t>EA</w:t>
            </w:r>
          </w:p>
        </w:tc>
        <w:tc>
          <w:tcPr>
            <w:tcW w:w="239" w:type="pct"/>
            <w:shd w:val="clear" w:color="auto" w:fill="auto"/>
            <w:noWrap/>
            <w:vAlign w:val="center"/>
          </w:tcPr>
          <w:p w14:paraId="5F9E58BD" w14:textId="1D8A73AE" w:rsidR="001A20CC" w:rsidRPr="00690D98" w:rsidRDefault="001A20CC" w:rsidP="007F0988">
            <w:pPr>
              <w:jc w:val="center"/>
              <w:rPr>
                <w:rFonts w:ascii="Arial" w:hAnsi="Arial" w:cs="Arial"/>
                <w:color w:val="000000"/>
                <w:sz w:val="20"/>
                <w:szCs w:val="22"/>
              </w:rPr>
            </w:pPr>
            <w:r w:rsidRPr="00690D98">
              <w:rPr>
                <w:rFonts w:ascii="Arial" w:hAnsi="Arial" w:cs="Arial"/>
                <w:color w:val="000000"/>
                <w:sz w:val="20"/>
                <w:szCs w:val="22"/>
              </w:rPr>
              <w:t>Prog.</w:t>
            </w:r>
          </w:p>
        </w:tc>
        <w:tc>
          <w:tcPr>
            <w:tcW w:w="424" w:type="pct"/>
            <w:shd w:val="clear" w:color="auto" w:fill="auto"/>
            <w:noWrap/>
            <w:vAlign w:val="center"/>
          </w:tcPr>
          <w:p w14:paraId="58BF2FAA" w14:textId="1000BFBF" w:rsidR="001A20CC" w:rsidRPr="00690D98" w:rsidRDefault="001A20CC" w:rsidP="007F0988">
            <w:pPr>
              <w:jc w:val="right"/>
              <w:rPr>
                <w:rFonts w:ascii="Arial" w:hAnsi="Arial" w:cs="Arial"/>
                <w:sz w:val="20"/>
                <w:szCs w:val="22"/>
              </w:rPr>
            </w:pPr>
            <w:r>
              <w:rPr>
                <w:rFonts w:ascii="Arial" w:hAnsi="Arial" w:cs="Arial"/>
                <w:sz w:val="20"/>
                <w:szCs w:val="22"/>
              </w:rPr>
              <w:t>0</w:t>
            </w:r>
          </w:p>
        </w:tc>
      </w:tr>
      <w:tr w:rsidR="008202C3" w:rsidRPr="008E106E" w14:paraId="079B266E" w14:textId="77777777" w:rsidTr="00D61AD6">
        <w:trPr>
          <w:trHeight w:val="261"/>
        </w:trPr>
        <w:tc>
          <w:tcPr>
            <w:tcW w:w="978" w:type="pct"/>
            <w:shd w:val="clear" w:color="auto" w:fill="auto"/>
            <w:noWrap/>
            <w:vAlign w:val="center"/>
          </w:tcPr>
          <w:p w14:paraId="36F9EFCE" w14:textId="53D2A647" w:rsidR="001A20CC" w:rsidRPr="00690D98" w:rsidRDefault="001A20CC" w:rsidP="003F0315">
            <w:pPr>
              <w:rPr>
                <w:rFonts w:ascii="Arial" w:hAnsi="Arial" w:cs="Arial"/>
                <w:sz w:val="20"/>
                <w:szCs w:val="22"/>
              </w:rPr>
            </w:pPr>
            <w:r w:rsidRPr="00690D98">
              <w:rPr>
                <w:rFonts w:ascii="Arial" w:hAnsi="Arial" w:cs="Arial"/>
                <w:sz w:val="20"/>
                <w:szCs w:val="22"/>
              </w:rPr>
              <w:t>ESG Due Diligence and Annual Supervision Missions by External Consultant</w:t>
            </w:r>
          </w:p>
        </w:tc>
        <w:tc>
          <w:tcPr>
            <w:tcW w:w="141" w:type="pct"/>
            <w:shd w:val="clear" w:color="auto" w:fill="auto"/>
            <w:noWrap/>
            <w:vAlign w:val="center"/>
          </w:tcPr>
          <w:p w14:paraId="2D718934" w14:textId="77777777" w:rsidR="001A20CC" w:rsidRPr="00690D98" w:rsidRDefault="001A20CC" w:rsidP="00E53900">
            <w:pPr>
              <w:rPr>
                <w:rFonts w:ascii="Arial" w:hAnsi="Arial" w:cs="Arial"/>
                <w:color w:val="000000"/>
                <w:sz w:val="20"/>
                <w:szCs w:val="22"/>
              </w:rPr>
            </w:pPr>
          </w:p>
        </w:tc>
        <w:tc>
          <w:tcPr>
            <w:tcW w:w="140" w:type="pct"/>
            <w:gridSpan w:val="2"/>
            <w:shd w:val="clear" w:color="auto" w:fill="BFBFBF" w:themeFill="background1" w:themeFillShade="BF"/>
            <w:noWrap/>
            <w:vAlign w:val="center"/>
          </w:tcPr>
          <w:p w14:paraId="77A961C9" w14:textId="77777777" w:rsidR="001A20CC" w:rsidRPr="00690D98" w:rsidRDefault="001A20CC" w:rsidP="00E53900">
            <w:pPr>
              <w:rPr>
                <w:rFonts w:ascii="Arial" w:hAnsi="Arial" w:cs="Arial"/>
                <w:color w:val="000000"/>
                <w:sz w:val="20"/>
                <w:szCs w:val="22"/>
              </w:rPr>
            </w:pPr>
          </w:p>
        </w:tc>
        <w:tc>
          <w:tcPr>
            <w:tcW w:w="141" w:type="pct"/>
            <w:shd w:val="clear" w:color="auto" w:fill="auto"/>
            <w:noWrap/>
            <w:vAlign w:val="center"/>
          </w:tcPr>
          <w:p w14:paraId="38194A51" w14:textId="77777777" w:rsidR="001A20CC" w:rsidRPr="00690D98" w:rsidRDefault="001A20CC" w:rsidP="00E53900">
            <w:pPr>
              <w:rPr>
                <w:rFonts w:ascii="Arial" w:hAnsi="Arial" w:cs="Arial"/>
                <w:color w:val="000000"/>
                <w:sz w:val="20"/>
                <w:szCs w:val="22"/>
              </w:rPr>
            </w:pPr>
          </w:p>
        </w:tc>
        <w:tc>
          <w:tcPr>
            <w:tcW w:w="141" w:type="pct"/>
            <w:gridSpan w:val="2"/>
            <w:shd w:val="clear" w:color="auto" w:fill="BFBFBF" w:themeFill="background1" w:themeFillShade="BF"/>
            <w:noWrap/>
            <w:vAlign w:val="center"/>
          </w:tcPr>
          <w:p w14:paraId="3D44C74A" w14:textId="77777777" w:rsidR="001A20CC" w:rsidRPr="00690D98" w:rsidRDefault="001A20CC" w:rsidP="00E53900">
            <w:pPr>
              <w:rPr>
                <w:rFonts w:ascii="Arial" w:hAnsi="Arial" w:cs="Arial"/>
                <w:color w:val="000000"/>
                <w:sz w:val="20"/>
                <w:szCs w:val="22"/>
              </w:rPr>
            </w:pPr>
          </w:p>
        </w:tc>
        <w:tc>
          <w:tcPr>
            <w:tcW w:w="141" w:type="pct"/>
            <w:shd w:val="clear" w:color="auto" w:fill="auto"/>
          </w:tcPr>
          <w:p w14:paraId="129E2EC3" w14:textId="77777777" w:rsidR="001A20CC" w:rsidRPr="00690D98" w:rsidRDefault="001A20CC" w:rsidP="00E53900">
            <w:pPr>
              <w:rPr>
                <w:rFonts w:ascii="Arial" w:hAnsi="Arial" w:cs="Arial"/>
                <w:color w:val="000000"/>
                <w:sz w:val="20"/>
                <w:szCs w:val="22"/>
              </w:rPr>
            </w:pPr>
          </w:p>
        </w:tc>
        <w:tc>
          <w:tcPr>
            <w:tcW w:w="144" w:type="pct"/>
            <w:gridSpan w:val="2"/>
            <w:shd w:val="clear" w:color="auto" w:fill="BFBFBF" w:themeFill="background1" w:themeFillShade="BF"/>
          </w:tcPr>
          <w:p w14:paraId="5974B040" w14:textId="77777777" w:rsidR="001A20CC" w:rsidRPr="00690D98" w:rsidRDefault="001A20CC" w:rsidP="00E53900">
            <w:pPr>
              <w:rPr>
                <w:rFonts w:ascii="Arial" w:hAnsi="Arial" w:cs="Arial"/>
                <w:color w:val="000000"/>
                <w:sz w:val="20"/>
                <w:szCs w:val="22"/>
              </w:rPr>
            </w:pPr>
          </w:p>
        </w:tc>
        <w:tc>
          <w:tcPr>
            <w:tcW w:w="141" w:type="pct"/>
            <w:shd w:val="clear" w:color="auto" w:fill="auto"/>
          </w:tcPr>
          <w:p w14:paraId="6C9A770A" w14:textId="77777777" w:rsidR="001A20CC" w:rsidRPr="00690D98" w:rsidRDefault="001A20CC" w:rsidP="00E53900">
            <w:pPr>
              <w:rPr>
                <w:rFonts w:ascii="Arial" w:hAnsi="Arial" w:cs="Arial"/>
                <w:color w:val="000000"/>
                <w:sz w:val="20"/>
                <w:szCs w:val="22"/>
              </w:rPr>
            </w:pPr>
          </w:p>
        </w:tc>
        <w:tc>
          <w:tcPr>
            <w:tcW w:w="144" w:type="pct"/>
            <w:gridSpan w:val="2"/>
            <w:shd w:val="clear" w:color="auto" w:fill="BFBFBF" w:themeFill="background1" w:themeFillShade="BF"/>
          </w:tcPr>
          <w:p w14:paraId="7CD5BB22" w14:textId="77777777" w:rsidR="001A20CC" w:rsidRPr="00690D98" w:rsidRDefault="001A20CC" w:rsidP="00E53900">
            <w:pPr>
              <w:rPr>
                <w:rFonts w:ascii="Arial" w:hAnsi="Arial" w:cs="Arial"/>
                <w:color w:val="000000"/>
                <w:sz w:val="20"/>
                <w:szCs w:val="22"/>
              </w:rPr>
            </w:pPr>
          </w:p>
        </w:tc>
        <w:tc>
          <w:tcPr>
            <w:tcW w:w="141" w:type="pct"/>
            <w:shd w:val="clear" w:color="auto" w:fill="auto"/>
            <w:noWrap/>
            <w:vAlign w:val="center"/>
          </w:tcPr>
          <w:p w14:paraId="2E78F4F9" w14:textId="77777777" w:rsidR="001A20CC" w:rsidRPr="00690D98" w:rsidRDefault="001A20CC" w:rsidP="00E53900">
            <w:pPr>
              <w:rPr>
                <w:rFonts w:ascii="Arial" w:hAnsi="Arial" w:cs="Arial"/>
                <w:color w:val="000000"/>
                <w:sz w:val="20"/>
                <w:szCs w:val="22"/>
              </w:rPr>
            </w:pPr>
          </w:p>
        </w:tc>
        <w:tc>
          <w:tcPr>
            <w:tcW w:w="144" w:type="pct"/>
            <w:shd w:val="clear" w:color="auto" w:fill="BFBFBF" w:themeFill="background1" w:themeFillShade="BF"/>
            <w:noWrap/>
            <w:vAlign w:val="center"/>
          </w:tcPr>
          <w:p w14:paraId="715AC467" w14:textId="77777777" w:rsidR="001A20CC" w:rsidRPr="00690D98" w:rsidRDefault="001A20CC" w:rsidP="00E53900">
            <w:pPr>
              <w:rPr>
                <w:rFonts w:ascii="Arial" w:hAnsi="Arial" w:cs="Arial"/>
                <w:color w:val="000000"/>
                <w:sz w:val="20"/>
                <w:szCs w:val="22"/>
              </w:rPr>
            </w:pPr>
          </w:p>
        </w:tc>
        <w:tc>
          <w:tcPr>
            <w:tcW w:w="141" w:type="pct"/>
            <w:shd w:val="clear" w:color="auto" w:fill="auto"/>
            <w:noWrap/>
            <w:vAlign w:val="center"/>
          </w:tcPr>
          <w:p w14:paraId="422D9C5A" w14:textId="77777777" w:rsidR="001A20CC" w:rsidRPr="00690D98" w:rsidRDefault="001A20CC" w:rsidP="00E53900">
            <w:pPr>
              <w:rPr>
                <w:rFonts w:ascii="Arial" w:hAnsi="Arial" w:cs="Arial"/>
                <w:color w:val="000000"/>
                <w:sz w:val="20"/>
                <w:szCs w:val="22"/>
              </w:rPr>
            </w:pPr>
          </w:p>
        </w:tc>
        <w:tc>
          <w:tcPr>
            <w:tcW w:w="144" w:type="pct"/>
            <w:shd w:val="clear" w:color="auto" w:fill="BFBFBF" w:themeFill="background1" w:themeFillShade="BF"/>
            <w:noWrap/>
            <w:vAlign w:val="center"/>
          </w:tcPr>
          <w:p w14:paraId="6AD408FA" w14:textId="77777777" w:rsidR="001A20CC" w:rsidRPr="00690D98" w:rsidRDefault="001A20CC" w:rsidP="00E53900">
            <w:pPr>
              <w:rPr>
                <w:rFonts w:ascii="Arial" w:hAnsi="Arial" w:cs="Arial"/>
                <w:color w:val="000000"/>
                <w:sz w:val="20"/>
                <w:szCs w:val="22"/>
              </w:rPr>
            </w:pPr>
          </w:p>
        </w:tc>
        <w:tc>
          <w:tcPr>
            <w:tcW w:w="141" w:type="pct"/>
            <w:shd w:val="clear" w:color="auto" w:fill="auto"/>
            <w:noWrap/>
            <w:vAlign w:val="center"/>
          </w:tcPr>
          <w:p w14:paraId="63694851" w14:textId="77777777" w:rsidR="001A20CC" w:rsidRPr="00690D98" w:rsidRDefault="001A20CC" w:rsidP="00E53900">
            <w:pPr>
              <w:rPr>
                <w:rFonts w:ascii="Arial" w:hAnsi="Arial" w:cs="Arial"/>
                <w:color w:val="000000"/>
                <w:sz w:val="20"/>
                <w:szCs w:val="22"/>
              </w:rPr>
            </w:pPr>
          </w:p>
        </w:tc>
        <w:tc>
          <w:tcPr>
            <w:tcW w:w="144" w:type="pct"/>
            <w:shd w:val="clear" w:color="auto" w:fill="BFBFBF" w:themeFill="background1" w:themeFillShade="BF"/>
            <w:noWrap/>
            <w:vAlign w:val="center"/>
          </w:tcPr>
          <w:p w14:paraId="59084209" w14:textId="77777777" w:rsidR="001A20CC" w:rsidRPr="00690D98" w:rsidRDefault="001A20CC" w:rsidP="00E53900">
            <w:pPr>
              <w:jc w:val="center"/>
              <w:rPr>
                <w:rFonts w:ascii="Arial" w:hAnsi="Arial" w:cs="Arial"/>
                <w:b/>
                <w:bCs/>
                <w:color w:val="000000"/>
                <w:sz w:val="20"/>
                <w:szCs w:val="22"/>
              </w:rPr>
            </w:pPr>
          </w:p>
        </w:tc>
        <w:tc>
          <w:tcPr>
            <w:tcW w:w="141" w:type="pct"/>
            <w:shd w:val="clear" w:color="auto" w:fill="auto"/>
          </w:tcPr>
          <w:p w14:paraId="2CDA41B7" w14:textId="77777777" w:rsidR="001A20CC" w:rsidRPr="00690D98" w:rsidRDefault="001A20CC" w:rsidP="00E53900">
            <w:pPr>
              <w:jc w:val="center"/>
              <w:rPr>
                <w:rFonts w:ascii="Arial" w:hAnsi="Arial" w:cs="Arial"/>
                <w:b/>
                <w:bCs/>
                <w:color w:val="000000"/>
                <w:sz w:val="20"/>
                <w:szCs w:val="22"/>
              </w:rPr>
            </w:pPr>
          </w:p>
        </w:tc>
        <w:tc>
          <w:tcPr>
            <w:tcW w:w="144" w:type="pct"/>
            <w:tcBorders>
              <w:top w:val="single" w:sz="4" w:space="0" w:color="auto"/>
              <w:bottom w:val="nil"/>
            </w:tcBorders>
            <w:shd w:val="clear" w:color="auto" w:fill="BFBFBF" w:themeFill="background1" w:themeFillShade="BF"/>
          </w:tcPr>
          <w:p w14:paraId="4C17D947" w14:textId="77777777" w:rsidR="001A20CC" w:rsidRPr="00690D98" w:rsidRDefault="001A20CC" w:rsidP="00E53900">
            <w:pPr>
              <w:jc w:val="center"/>
              <w:rPr>
                <w:rFonts w:ascii="Arial" w:hAnsi="Arial" w:cs="Arial"/>
                <w:b/>
                <w:bCs/>
                <w:color w:val="000000"/>
                <w:sz w:val="20"/>
                <w:szCs w:val="22"/>
              </w:rPr>
            </w:pPr>
          </w:p>
        </w:tc>
        <w:tc>
          <w:tcPr>
            <w:tcW w:w="141" w:type="pct"/>
            <w:shd w:val="clear" w:color="auto" w:fill="auto"/>
          </w:tcPr>
          <w:p w14:paraId="49F763CA" w14:textId="77777777" w:rsidR="001A20CC" w:rsidRPr="00690D98" w:rsidRDefault="001A20CC" w:rsidP="00E53900">
            <w:pPr>
              <w:jc w:val="center"/>
              <w:rPr>
                <w:rFonts w:ascii="Arial" w:hAnsi="Arial" w:cs="Arial"/>
                <w:b/>
                <w:bCs/>
                <w:color w:val="000000"/>
                <w:sz w:val="20"/>
                <w:szCs w:val="22"/>
              </w:rPr>
            </w:pPr>
          </w:p>
        </w:tc>
        <w:tc>
          <w:tcPr>
            <w:tcW w:w="115" w:type="pct"/>
            <w:shd w:val="clear" w:color="auto" w:fill="BFBFBF" w:themeFill="background1" w:themeFillShade="BF"/>
          </w:tcPr>
          <w:p w14:paraId="32BC24E9" w14:textId="77777777" w:rsidR="001A20CC" w:rsidRPr="00690D98" w:rsidRDefault="001A20CC" w:rsidP="00E53900">
            <w:pPr>
              <w:jc w:val="center"/>
              <w:rPr>
                <w:rFonts w:ascii="Arial" w:hAnsi="Arial" w:cs="Arial"/>
                <w:b/>
                <w:bCs/>
                <w:color w:val="000000"/>
                <w:sz w:val="20"/>
                <w:szCs w:val="22"/>
              </w:rPr>
            </w:pPr>
          </w:p>
        </w:tc>
        <w:tc>
          <w:tcPr>
            <w:tcW w:w="143" w:type="pct"/>
          </w:tcPr>
          <w:p w14:paraId="25D231C2" w14:textId="77777777" w:rsidR="001A20CC" w:rsidRPr="00690D98" w:rsidRDefault="001A20CC" w:rsidP="00E53900">
            <w:pPr>
              <w:jc w:val="center"/>
              <w:rPr>
                <w:rFonts w:ascii="Arial" w:hAnsi="Arial" w:cs="Arial"/>
                <w:sz w:val="20"/>
                <w:szCs w:val="22"/>
              </w:rPr>
            </w:pPr>
          </w:p>
        </w:tc>
        <w:tc>
          <w:tcPr>
            <w:tcW w:w="116" w:type="pct"/>
            <w:shd w:val="clear" w:color="auto" w:fill="BFBFBF" w:themeFill="background1" w:themeFillShade="BF"/>
          </w:tcPr>
          <w:p w14:paraId="5C8F5CCE" w14:textId="77777777" w:rsidR="001A20CC" w:rsidRPr="00690D98" w:rsidRDefault="001A20CC" w:rsidP="00E53900">
            <w:pPr>
              <w:jc w:val="center"/>
              <w:rPr>
                <w:rFonts w:ascii="Arial" w:hAnsi="Arial" w:cs="Arial"/>
                <w:sz w:val="20"/>
                <w:szCs w:val="22"/>
              </w:rPr>
            </w:pPr>
          </w:p>
        </w:tc>
        <w:tc>
          <w:tcPr>
            <w:tcW w:w="143" w:type="pct"/>
          </w:tcPr>
          <w:p w14:paraId="5E754749" w14:textId="77777777" w:rsidR="001A20CC" w:rsidRPr="00690D98" w:rsidRDefault="001A20CC" w:rsidP="00E53900">
            <w:pPr>
              <w:jc w:val="center"/>
              <w:rPr>
                <w:rFonts w:ascii="Arial" w:hAnsi="Arial" w:cs="Arial"/>
                <w:sz w:val="20"/>
                <w:szCs w:val="22"/>
              </w:rPr>
            </w:pPr>
          </w:p>
        </w:tc>
        <w:tc>
          <w:tcPr>
            <w:tcW w:w="164" w:type="pct"/>
          </w:tcPr>
          <w:p w14:paraId="341DCD6D" w14:textId="77777777" w:rsidR="001A20CC" w:rsidRPr="00690D98" w:rsidRDefault="001A20CC" w:rsidP="00E53900">
            <w:pPr>
              <w:jc w:val="center"/>
              <w:rPr>
                <w:rFonts w:ascii="Arial" w:hAnsi="Arial" w:cs="Arial"/>
                <w:sz w:val="20"/>
                <w:szCs w:val="22"/>
              </w:rPr>
            </w:pPr>
          </w:p>
        </w:tc>
        <w:tc>
          <w:tcPr>
            <w:tcW w:w="263" w:type="pct"/>
            <w:shd w:val="clear" w:color="auto" w:fill="auto"/>
            <w:noWrap/>
            <w:vAlign w:val="center"/>
          </w:tcPr>
          <w:p w14:paraId="76E0C107" w14:textId="18E213C9" w:rsidR="001A20CC" w:rsidRPr="00690D98" w:rsidRDefault="001A20CC" w:rsidP="00E53900">
            <w:pPr>
              <w:jc w:val="center"/>
              <w:rPr>
                <w:rFonts w:ascii="Arial" w:hAnsi="Arial" w:cs="Arial"/>
                <w:sz w:val="20"/>
                <w:szCs w:val="22"/>
              </w:rPr>
            </w:pPr>
            <w:r w:rsidRPr="00690D98">
              <w:rPr>
                <w:rFonts w:ascii="Arial" w:hAnsi="Arial" w:cs="Arial"/>
                <w:sz w:val="20"/>
                <w:szCs w:val="22"/>
              </w:rPr>
              <w:t xml:space="preserve">IDB </w:t>
            </w:r>
          </w:p>
        </w:tc>
        <w:tc>
          <w:tcPr>
            <w:tcW w:w="239" w:type="pct"/>
            <w:shd w:val="clear" w:color="auto" w:fill="auto"/>
            <w:noWrap/>
            <w:vAlign w:val="center"/>
          </w:tcPr>
          <w:p w14:paraId="275A2733" w14:textId="2F782BA7" w:rsidR="001A20CC" w:rsidRPr="00690D98" w:rsidRDefault="001A20CC" w:rsidP="009D7969">
            <w:pPr>
              <w:jc w:val="center"/>
              <w:rPr>
                <w:rFonts w:ascii="Arial" w:hAnsi="Arial" w:cs="Arial"/>
                <w:color w:val="000000"/>
                <w:sz w:val="20"/>
                <w:szCs w:val="22"/>
              </w:rPr>
            </w:pPr>
            <w:r w:rsidRPr="00690D98">
              <w:rPr>
                <w:rFonts w:ascii="Arial" w:hAnsi="Arial" w:cs="Arial"/>
                <w:color w:val="000000"/>
                <w:sz w:val="20"/>
                <w:szCs w:val="22"/>
              </w:rPr>
              <w:t>Prog.</w:t>
            </w:r>
          </w:p>
        </w:tc>
        <w:tc>
          <w:tcPr>
            <w:tcW w:w="424" w:type="pct"/>
            <w:shd w:val="clear" w:color="auto" w:fill="auto"/>
            <w:noWrap/>
            <w:vAlign w:val="center"/>
          </w:tcPr>
          <w:p w14:paraId="489E9A88" w14:textId="6F742CD5" w:rsidR="001A20CC" w:rsidRPr="00690D98" w:rsidRDefault="00682655" w:rsidP="00E53900">
            <w:pPr>
              <w:jc w:val="right"/>
              <w:rPr>
                <w:rFonts w:ascii="Arial" w:hAnsi="Arial" w:cs="Arial"/>
                <w:sz w:val="20"/>
                <w:szCs w:val="22"/>
              </w:rPr>
            </w:pPr>
            <w:r>
              <w:rPr>
                <w:rFonts w:ascii="Arial" w:hAnsi="Arial" w:cs="Arial"/>
                <w:sz w:val="20"/>
                <w:szCs w:val="22"/>
              </w:rPr>
              <w:t>2</w:t>
            </w:r>
            <w:r w:rsidR="001A20CC" w:rsidRPr="00690D98">
              <w:rPr>
                <w:rFonts w:ascii="Arial" w:hAnsi="Arial" w:cs="Arial"/>
                <w:sz w:val="20"/>
                <w:szCs w:val="22"/>
              </w:rPr>
              <w:t>50,000</w:t>
            </w:r>
          </w:p>
        </w:tc>
      </w:tr>
      <w:tr w:rsidR="008202C3" w:rsidRPr="008E106E" w14:paraId="1996824C" w14:textId="77777777" w:rsidTr="00D61AD6">
        <w:trPr>
          <w:trHeight w:val="261"/>
        </w:trPr>
        <w:tc>
          <w:tcPr>
            <w:tcW w:w="978" w:type="pct"/>
            <w:shd w:val="clear" w:color="auto" w:fill="auto"/>
            <w:noWrap/>
            <w:vAlign w:val="center"/>
          </w:tcPr>
          <w:p w14:paraId="4ED22EA4" w14:textId="3DB58C67" w:rsidR="001A20CC" w:rsidRPr="00690D98" w:rsidRDefault="001A20CC" w:rsidP="006C72B4">
            <w:pPr>
              <w:rPr>
                <w:rFonts w:ascii="Arial" w:hAnsi="Arial" w:cs="Arial"/>
                <w:b/>
                <w:sz w:val="20"/>
                <w:szCs w:val="22"/>
              </w:rPr>
            </w:pPr>
            <w:r w:rsidRPr="00690D98">
              <w:rPr>
                <w:rFonts w:ascii="Arial" w:hAnsi="Arial" w:cs="Arial"/>
                <w:b/>
                <w:sz w:val="20"/>
                <w:szCs w:val="22"/>
              </w:rPr>
              <w:t>Total</w:t>
            </w:r>
          </w:p>
        </w:tc>
        <w:tc>
          <w:tcPr>
            <w:tcW w:w="266" w:type="pct"/>
            <w:gridSpan w:val="2"/>
          </w:tcPr>
          <w:p w14:paraId="6578B4C7" w14:textId="77777777" w:rsidR="001A20CC" w:rsidRPr="00690D98" w:rsidRDefault="001A20CC" w:rsidP="009D7969">
            <w:pPr>
              <w:jc w:val="center"/>
              <w:rPr>
                <w:rFonts w:ascii="Arial" w:hAnsi="Arial" w:cs="Arial"/>
                <w:color w:val="000000"/>
                <w:sz w:val="20"/>
                <w:szCs w:val="22"/>
              </w:rPr>
            </w:pPr>
          </w:p>
        </w:tc>
        <w:tc>
          <w:tcPr>
            <w:tcW w:w="263" w:type="pct"/>
            <w:gridSpan w:val="3"/>
          </w:tcPr>
          <w:p w14:paraId="66C54585" w14:textId="77777777" w:rsidR="001A20CC" w:rsidRPr="00690D98" w:rsidRDefault="001A20CC" w:rsidP="009D7969">
            <w:pPr>
              <w:jc w:val="center"/>
              <w:rPr>
                <w:rFonts w:ascii="Arial" w:hAnsi="Arial" w:cs="Arial"/>
                <w:color w:val="000000"/>
                <w:sz w:val="20"/>
                <w:szCs w:val="22"/>
              </w:rPr>
            </w:pPr>
          </w:p>
        </w:tc>
        <w:tc>
          <w:tcPr>
            <w:tcW w:w="264" w:type="pct"/>
            <w:gridSpan w:val="3"/>
          </w:tcPr>
          <w:p w14:paraId="207D84C7" w14:textId="77777777" w:rsidR="001A20CC" w:rsidRPr="00690D98" w:rsidRDefault="001A20CC" w:rsidP="009D7969">
            <w:pPr>
              <w:jc w:val="center"/>
              <w:rPr>
                <w:rFonts w:ascii="Arial" w:hAnsi="Arial" w:cs="Arial"/>
                <w:color w:val="000000"/>
                <w:sz w:val="20"/>
                <w:szCs w:val="22"/>
              </w:rPr>
            </w:pPr>
          </w:p>
        </w:tc>
        <w:tc>
          <w:tcPr>
            <w:tcW w:w="263" w:type="pct"/>
            <w:gridSpan w:val="3"/>
          </w:tcPr>
          <w:p w14:paraId="5CBD8067" w14:textId="77777777" w:rsidR="001A20CC" w:rsidRPr="00690D98" w:rsidRDefault="001A20CC" w:rsidP="009D7969">
            <w:pPr>
              <w:jc w:val="center"/>
              <w:rPr>
                <w:rFonts w:ascii="Arial" w:hAnsi="Arial" w:cs="Arial"/>
                <w:color w:val="000000"/>
                <w:sz w:val="20"/>
                <w:szCs w:val="22"/>
              </w:rPr>
            </w:pPr>
          </w:p>
        </w:tc>
        <w:tc>
          <w:tcPr>
            <w:tcW w:w="2543" w:type="pct"/>
            <w:gridSpan w:val="17"/>
            <w:shd w:val="clear" w:color="auto" w:fill="auto"/>
            <w:noWrap/>
            <w:vAlign w:val="center"/>
          </w:tcPr>
          <w:p w14:paraId="522C7F1C" w14:textId="58A56917" w:rsidR="001A20CC" w:rsidRPr="00690D98" w:rsidRDefault="001A20CC" w:rsidP="009D7969">
            <w:pPr>
              <w:jc w:val="center"/>
              <w:rPr>
                <w:rFonts w:ascii="Arial" w:hAnsi="Arial" w:cs="Arial"/>
                <w:color w:val="000000"/>
                <w:sz w:val="20"/>
                <w:szCs w:val="22"/>
              </w:rPr>
            </w:pPr>
          </w:p>
        </w:tc>
        <w:tc>
          <w:tcPr>
            <w:tcW w:w="424" w:type="pct"/>
            <w:shd w:val="clear" w:color="auto" w:fill="auto"/>
            <w:noWrap/>
            <w:vAlign w:val="center"/>
          </w:tcPr>
          <w:p w14:paraId="10153B74" w14:textId="56E8EAA7" w:rsidR="001A20CC" w:rsidRPr="00690D98" w:rsidRDefault="00682655" w:rsidP="00E53900">
            <w:pPr>
              <w:jc w:val="right"/>
              <w:rPr>
                <w:rFonts w:ascii="Arial" w:hAnsi="Arial" w:cs="Arial"/>
                <w:b/>
                <w:sz w:val="20"/>
                <w:szCs w:val="22"/>
              </w:rPr>
            </w:pPr>
            <w:r>
              <w:rPr>
                <w:rFonts w:ascii="Arial" w:hAnsi="Arial" w:cs="Arial"/>
                <w:b/>
                <w:sz w:val="20"/>
                <w:szCs w:val="22"/>
              </w:rPr>
              <w:t>7</w:t>
            </w:r>
            <w:r w:rsidR="001A20CC" w:rsidRPr="00690D98">
              <w:rPr>
                <w:rFonts w:ascii="Arial" w:hAnsi="Arial" w:cs="Arial"/>
                <w:b/>
                <w:sz w:val="20"/>
                <w:szCs w:val="22"/>
              </w:rPr>
              <w:t>05,000</w:t>
            </w:r>
          </w:p>
        </w:tc>
      </w:tr>
      <w:tr w:rsidR="001A20CC" w:rsidRPr="008E106E" w14:paraId="2F7E5AA7" w14:textId="68091ABC" w:rsidTr="00D61AD6">
        <w:trPr>
          <w:gridAfter w:val="18"/>
          <w:wAfter w:w="2967" w:type="pct"/>
          <w:trHeight w:val="261"/>
        </w:trPr>
        <w:tc>
          <w:tcPr>
            <w:tcW w:w="978" w:type="pct"/>
            <w:shd w:val="clear" w:color="auto" w:fill="auto"/>
            <w:noWrap/>
            <w:vAlign w:val="center"/>
            <w:hideMark/>
          </w:tcPr>
          <w:p w14:paraId="5B2C15AB" w14:textId="55858998" w:rsidR="001A20CC" w:rsidRPr="00690D98" w:rsidRDefault="001A20CC" w:rsidP="00E53900">
            <w:pPr>
              <w:rPr>
                <w:rFonts w:ascii="Arial" w:hAnsi="Arial" w:cs="Arial"/>
                <w:b/>
                <w:bCs/>
                <w:color w:val="000000"/>
                <w:sz w:val="20"/>
                <w:szCs w:val="22"/>
              </w:rPr>
            </w:pPr>
          </w:p>
        </w:tc>
        <w:tc>
          <w:tcPr>
            <w:tcW w:w="266" w:type="pct"/>
            <w:gridSpan w:val="2"/>
          </w:tcPr>
          <w:p w14:paraId="4D756E33" w14:textId="77777777" w:rsidR="001A20CC" w:rsidRPr="00690D98" w:rsidRDefault="001A20CC" w:rsidP="00E53900">
            <w:pPr>
              <w:rPr>
                <w:rFonts w:ascii="Arial" w:hAnsi="Arial" w:cs="Arial"/>
                <w:b/>
                <w:bCs/>
                <w:color w:val="000000"/>
                <w:sz w:val="20"/>
                <w:szCs w:val="22"/>
              </w:rPr>
            </w:pPr>
          </w:p>
        </w:tc>
        <w:tc>
          <w:tcPr>
            <w:tcW w:w="263" w:type="pct"/>
            <w:gridSpan w:val="3"/>
          </w:tcPr>
          <w:p w14:paraId="05E92534" w14:textId="77777777" w:rsidR="001A20CC" w:rsidRPr="00690D98" w:rsidRDefault="001A20CC" w:rsidP="00E53900">
            <w:pPr>
              <w:rPr>
                <w:rFonts w:ascii="Arial" w:hAnsi="Arial" w:cs="Arial"/>
                <w:b/>
                <w:bCs/>
                <w:color w:val="000000"/>
                <w:sz w:val="20"/>
                <w:szCs w:val="22"/>
              </w:rPr>
            </w:pPr>
          </w:p>
        </w:tc>
        <w:tc>
          <w:tcPr>
            <w:tcW w:w="264" w:type="pct"/>
            <w:gridSpan w:val="3"/>
          </w:tcPr>
          <w:p w14:paraId="06826AA6" w14:textId="77777777" w:rsidR="001A20CC" w:rsidRPr="00690D98" w:rsidRDefault="001A20CC" w:rsidP="00E53900">
            <w:pPr>
              <w:rPr>
                <w:rFonts w:ascii="Arial" w:hAnsi="Arial" w:cs="Arial"/>
                <w:b/>
                <w:bCs/>
                <w:color w:val="000000"/>
                <w:sz w:val="20"/>
                <w:szCs w:val="22"/>
              </w:rPr>
            </w:pPr>
          </w:p>
        </w:tc>
        <w:tc>
          <w:tcPr>
            <w:tcW w:w="263" w:type="pct"/>
            <w:gridSpan w:val="3"/>
          </w:tcPr>
          <w:p w14:paraId="40539E6D" w14:textId="77777777" w:rsidR="001A20CC" w:rsidRPr="00690D98" w:rsidRDefault="001A20CC" w:rsidP="00E53900">
            <w:pPr>
              <w:rPr>
                <w:rFonts w:ascii="Arial" w:hAnsi="Arial" w:cs="Arial"/>
                <w:b/>
                <w:bCs/>
                <w:color w:val="000000"/>
                <w:sz w:val="20"/>
                <w:szCs w:val="22"/>
              </w:rPr>
            </w:pPr>
          </w:p>
        </w:tc>
      </w:tr>
    </w:tbl>
    <w:p w14:paraId="1D688792" w14:textId="77777777" w:rsidR="00E106E9" w:rsidRPr="008E106E" w:rsidRDefault="00E106E9">
      <w:pPr>
        <w:pStyle w:val="TableorFigureEnd"/>
        <w:rPr>
          <w:rFonts w:ascii="Arial" w:hAnsi="Arial" w:cs="Arial"/>
          <w:sz w:val="22"/>
          <w:szCs w:val="22"/>
        </w:rPr>
      </w:pPr>
    </w:p>
    <w:p w14:paraId="4E25A9C8" w14:textId="77777777" w:rsidR="00E106E9" w:rsidRPr="008E106E" w:rsidRDefault="00E106E9" w:rsidP="00E106E9">
      <w:pPr>
        <w:pStyle w:val="BodyText"/>
        <w:rPr>
          <w:rFonts w:ascii="Arial" w:hAnsi="Arial" w:cs="Arial"/>
          <w:sz w:val="22"/>
          <w:szCs w:val="22"/>
          <w:lang w:eastAsia="ja-JP"/>
        </w:rPr>
      </w:pPr>
    </w:p>
    <w:p w14:paraId="15EF2AE9" w14:textId="77777777" w:rsidR="00CE50C5" w:rsidRPr="008E106E" w:rsidRDefault="00CE50C5" w:rsidP="00CE50C5">
      <w:pPr>
        <w:pStyle w:val="BodyText"/>
        <w:rPr>
          <w:rFonts w:ascii="Arial" w:hAnsi="Arial" w:cs="Arial"/>
          <w:sz w:val="22"/>
          <w:szCs w:val="22"/>
          <w:lang w:eastAsia="ja-JP"/>
        </w:rPr>
        <w:sectPr w:rsidR="00CE50C5" w:rsidRPr="008E106E" w:rsidSect="00810778">
          <w:pgSz w:w="15842" w:h="12242" w:orient="landscape" w:code="1"/>
          <w:pgMar w:top="1800" w:right="1440" w:bottom="1800" w:left="1440" w:header="706" w:footer="706" w:gutter="0"/>
          <w:cols w:space="708"/>
          <w:docGrid w:linePitch="360"/>
        </w:sectPr>
      </w:pPr>
    </w:p>
    <w:p w14:paraId="134DEA8A" w14:textId="78823048" w:rsidR="00CE50C5" w:rsidRPr="008E106E" w:rsidRDefault="00CE50C5" w:rsidP="00CE50C5">
      <w:pPr>
        <w:pStyle w:val="Heading1"/>
        <w:rPr>
          <w:rFonts w:ascii="Arial" w:hAnsi="Arial"/>
          <w:sz w:val="22"/>
          <w:szCs w:val="22"/>
          <w:lang w:eastAsia="ja-JP"/>
        </w:rPr>
      </w:pPr>
      <w:bookmarkStart w:id="40" w:name="_Ref422460381"/>
      <w:bookmarkStart w:id="41" w:name="_Toc531018663"/>
      <w:bookmarkEnd w:id="6"/>
      <w:r w:rsidRPr="008E106E">
        <w:rPr>
          <w:rFonts w:ascii="Arial" w:hAnsi="Arial"/>
          <w:sz w:val="22"/>
          <w:szCs w:val="22"/>
          <w:lang w:eastAsia="ja-JP"/>
        </w:rPr>
        <w:t>Evaluation</w:t>
      </w:r>
      <w:bookmarkEnd w:id="40"/>
      <w:bookmarkEnd w:id="41"/>
    </w:p>
    <w:p w14:paraId="2F2B64F5" w14:textId="65E53637" w:rsidR="000E36BC" w:rsidRPr="008E106E" w:rsidRDefault="000E36BC" w:rsidP="00745C67">
      <w:pPr>
        <w:pStyle w:val="BodyText"/>
        <w:rPr>
          <w:rFonts w:ascii="Arial" w:hAnsi="Arial" w:cs="Arial"/>
          <w:sz w:val="22"/>
          <w:szCs w:val="22"/>
        </w:rPr>
      </w:pPr>
      <w:r w:rsidRPr="008E106E">
        <w:rPr>
          <w:rFonts w:ascii="Arial" w:hAnsi="Arial" w:cs="Arial"/>
          <w:sz w:val="22"/>
          <w:szCs w:val="22"/>
        </w:rPr>
        <w:t>The Program will be evaluated by measuring compliance with targets for a set of indicators. The Evaluation Plan first defines what questions the indicators address. Then it mentions the studies that t</w:t>
      </w:r>
      <w:r w:rsidR="005F698F" w:rsidRPr="008E106E">
        <w:rPr>
          <w:rFonts w:ascii="Arial" w:hAnsi="Arial" w:cs="Arial"/>
          <w:sz w:val="22"/>
          <w:szCs w:val="22"/>
        </w:rPr>
        <w:t>he Evaluation Plan builds upon and describes the indi</w:t>
      </w:r>
      <w:r w:rsidRPr="008E106E">
        <w:rPr>
          <w:rFonts w:ascii="Arial" w:hAnsi="Arial" w:cs="Arial"/>
          <w:sz w:val="22"/>
          <w:szCs w:val="22"/>
        </w:rPr>
        <w:t xml:space="preserve">cators </w:t>
      </w:r>
      <w:r w:rsidR="005F698F" w:rsidRPr="008E106E">
        <w:rPr>
          <w:rFonts w:ascii="Arial" w:hAnsi="Arial" w:cs="Arial"/>
          <w:sz w:val="22"/>
          <w:szCs w:val="22"/>
        </w:rPr>
        <w:t xml:space="preserve">that will be </w:t>
      </w:r>
      <w:r w:rsidRPr="008E106E">
        <w:rPr>
          <w:rFonts w:ascii="Arial" w:hAnsi="Arial" w:cs="Arial"/>
          <w:sz w:val="22"/>
          <w:szCs w:val="22"/>
        </w:rPr>
        <w:t>used to evaluate the results of the Program</w:t>
      </w:r>
      <w:r w:rsidR="005F698F" w:rsidRPr="008E106E">
        <w:rPr>
          <w:rFonts w:ascii="Arial" w:hAnsi="Arial" w:cs="Arial"/>
          <w:sz w:val="22"/>
          <w:szCs w:val="22"/>
        </w:rPr>
        <w:t xml:space="preserve">. It also explains the before and after </w:t>
      </w:r>
      <w:r w:rsidR="00C578BF" w:rsidRPr="008E106E">
        <w:rPr>
          <w:rFonts w:ascii="Arial" w:hAnsi="Arial" w:cs="Arial"/>
          <w:sz w:val="22"/>
          <w:szCs w:val="22"/>
        </w:rPr>
        <w:t xml:space="preserve">evaluation </w:t>
      </w:r>
      <w:r w:rsidR="005F698F" w:rsidRPr="008E106E">
        <w:rPr>
          <w:rFonts w:ascii="Arial" w:hAnsi="Arial" w:cs="Arial"/>
          <w:sz w:val="22"/>
          <w:szCs w:val="22"/>
        </w:rPr>
        <w:t xml:space="preserve">methodology and the instruments that will be used to evaluate the Program. Lastly, it describes the institutional arrangements, work plan, and budget to carry out the Evaluation Plan. </w:t>
      </w:r>
    </w:p>
    <w:p w14:paraId="2ECCE704" w14:textId="77777777" w:rsidR="00CE50C5" w:rsidRPr="008E106E" w:rsidRDefault="00CE50C5" w:rsidP="00CE50C5">
      <w:pPr>
        <w:pStyle w:val="Heading2"/>
        <w:rPr>
          <w:rFonts w:ascii="Arial" w:hAnsi="Arial"/>
          <w:sz w:val="22"/>
          <w:szCs w:val="22"/>
        </w:rPr>
      </w:pPr>
      <w:bookmarkStart w:id="42" w:name="_Toc531018664"/>
      <w:r w:rsidRPr="008E106E">
        <w:rPr>
          <w:rFonts w:ascii="Arial" w:hAnsi="Arial"/>
          <w:sz w:val="22"/>
          <w:szCs w:val="22"/>
        </w:rPr>
        <w:t>Main Evaluation Questions</w:t>
      </w:r>
      <w:bookmarkEnd w:id="42"/>
    </w:p>
    <w:p w14:paraId="05C76065" w14:textId="25004633" w:rsidR="00784FD1" w:rsidRPr="008E106E" w:rsidRDefault="00784FD1" w:rsidP="00784FD1">
      <w:pPr>
        <w:rPr>
          <w:rFonts w:ascii="Arial" w:hAnsi="Arial" w:cs="Arial"/>
          <w:sz w:val="22"/>
          <w:szCs w:val="22"/>
        </w:rPr>
      </w:pPr>
      <w:r w:rsidRPr="008E106E">
        <w:rPr>
          <w:rFonts w:ascii="Arial" w:hAnsi="Arial" w:cs="Arial"/>
          <w:sz w:val="22"/>
          <w:szCs w:val="22"/>
        </w:rPr>
        <w:t>The purpose of the evaluation is to assess the outcomes</w:t>
      </w:r>
      <w:r w:rsidR="00BC6A5C" w:rsidRPr="008E106E">
        <w:rPr>
          <w:rFonts w:ascii="Arial" w:hAnsi="Arial" w:cs="Arial"/>
          <w:sz w:val="22"/>
          <w:szCs w:val="22"/>
        </w:rPr>
        <w:t xml:space="preserve"> and impact</w:t>
      </w:r>
      <w:r w:rsidRPr="008E106E">
        <w:rPr>
          <w:rFonts w:ascii="Arial" w:hAnsi="Arial" w:cs="Arial"/>
          <w:sz w:val="22"/>
          <w:szCs w:val="22"/>
        </w:rPr>
        <w:t xml:space="preserve"> of the Project. The main evaluation questions are as follows: </w:t>
      </w:r>
    </w:p>
    <w:p w14:paraId="70A389B2" w14:textId="0264A735" w:rsidR="00784FD1" w:rsidRPr="008E106E" w:rsidRDefault="00C578BF" w:rsidP="00784FD1">
      <w:pPr>
        <w:pStyle w:val="ListBullet"/>
        <w:rPr>
          <w:rFonts w:ascii="Arial" w:hAnsi="Arial" w:cs="Arial"/>
          <w:sz w:val="22"/>
          <w:szCs w:val="22"/>
        </w:rPr>
      </w:pPr>
      <w:r w:rsidRPr="008E106E">
        <w:rPr>
          <w:rFonts w:ascii="Arial" w:hAnsi="Arial" w:cs="Arial"/>
          <w:sz w:val="22"/>
          <w:szCs w:val="22"/>
        </w:rPr>
        <w:t>How many geothermal projects financed by the program moved or are projected to move from the current to the next stage of development</w:t>
      </w:r>
      <w:r w:rsidR="007C48EE" w:rsidRPr="008E106E">
        <w:rPr>
          <w:rFonts w:ascii="Arial" w:hAnsi="Arial" w:cs="Arial"/>
          <w:sz w:val="22"/>
          <w:szCs w:val="22"/>
        </w:rPr>
        <w:t>?</w:t>
      </w:r>
    </w:p>
    <w:p w14:paraId="4CE670BE" w14:textId="6018256A" w:rsidR="0074369A" w:rsidRPr="008E106E" w:rsidRDefault="00BC298A" w:rsidP="00B04770">
      <w:pPr>
        <w:pStyle w:val="ListBullet"/>
        <w:rPr>
          <w:rFonts w:ascii="Arial" w:hAnsi="Arial" w:cs="Arial"/>
          <w:b/>
          <w:sz w:val="22"/>
          <w:szCs w:val="22"/>
        </w:rPr>
      </w:pPr>
      <w:r w:rsidRPr="008E106E">
        <w:rPr>
          <w:rFonts w:ascii="Arial" w:hAnsi="Arial" w:cs="Arial"/>
          <w:sz w:val="22"/>
          <w:szCs w:val="22"/>
        </w:rPr>
        <w:t>How did the program contribute to the regional penetration of indigenous renewable energy sources for power generation within the ECC</w:t>
      </w:r>
      <w:r w:rsidR="0074369A" w:rsidRPr="008E106E">
        <w:rPr>
          <w:rFonts w:ascii="Arial" w:hAnsi="Arial" w:cs="Arial"/>
          <w:sz w:val="22"/>
          <w:szCs w:val="22"/>
        </w:rPr>
        <w:t xml:space="preserve">? </w:t>
      </w:r>
    </w:p>
    <w:p w14:paraId="3F800543" w14:textId="77777777" w:rsidR="00B66139" w:rsidRPr="008E106E" w:rsidRDefault="0049035F" w:rsidP="00B04770">
      <w:pPr>
        <w:pStyle w:val="ListBullet"/>
        <w:rPr>
          <w:rFonts w:ascii="Arial" w:hAnsi="Arial" w:cs="Arial"/>
          <w:sz w:val="22"/>
          <w:szCs w:val="22"/>
        </w:rPr>
      </w:pPr>
      <w:r w:rsidRPr="008E106E">
        <w:rPr>
          <w:rFonts w:ascii="Arial" w:hAnsi="Arial" w:cs="Arial"/>
          <w:sz w:val="22"/>
          <w:szCs w:val="22"/>
        </w:rPr>
        <w:t>What was t</w:t>
      </w:r>
      <w:r w:rsidR="00B66139" w:rsidRPr="008E106E">
        <w:rPr>
          <w:rFonts w:ascii="Arial" w:hAnsi="Arial" w:cs="Arial"/>
          <w:sz w:val="22"/>
          <w:szCs w:val="22"/>
        </w:rPr>
        <w:t>he</w:t>
      </w:r>
      <w:r w:rsidRPr="008E106E">
        <w:rPr>
          <w:rFonts w:ascii="Arial" w:hAnsi="Arial" w:cs="Arial"/>
          <w:sz w:val="22"/>
          <w:szCs w:val="22"/>
        </w:rPr>
        <w:t xml:space="preserve"> impact of the</w:t>
      </w:r>
      <w:r w:rsidR="00B66139" w:rsidRPr="008E106E">
        <w:rPr>
          <w:rFonts w:ascii="Arial" w:hAnsi="Arial" w:cs="Arial"/>
          <w:sz w:val="22"/>
          <w:szCs w:val="22"/>
        </w:rPr>
        <w:t xml:space="preserve"> Program towards decreasing the amount of </w:t>
      </w:r>
      <w:r w:rsidR="00893EEE" w:rsidRPr="008E106E">
        <w:rPr>
          <w:rFonts w:ascii="Arial" w:hAnsi="Arial" w:cs="Arial"/>
          <w:sz w:val="22"/>
          <w:szCs w:val="22"/>
        </w:rPr>
        <w:t xml:space="preserve">greenhouse gas </w:t>
      </w:r>
      <w:r w:rsidR="00B66139" w:rsidRPr="008E106E">
        <w:rPr>
          <w:rFonts w:ascii="Arial" w:hAnsi="Arial" w:cs="Arial"/>
          <w:sz w:val="22"/>
          <w:szCs w:val="22"/>
        </w:rPr>
        <w:t>emissions</w:t>
      </w:r>
      <w:r w:rsidR="00B04770" w:rsidRPr="008E106E">
        <w:rPr>
          <w:rFonts w:ascii="Arial" w:hAnsi="Arial" w:cs="Arial"/>
          <w:sz w:val="22"/>
          <w:szCs w:val="22"/>
        </w:rPr>
        <w:t xml:space="preserve">, </w:t>
      </w:r>
      <w:r w:rsidR="00B66139" w:rsidRPr="008E106E">
        <w:rPr>
          <w:rFonts w:ascii="Arial" w:hAnsi="Arial" w:cs="Arial"/>
          <w:sz w:val="22"/>
          <w:szCs w:val="22"/>
        </w:rPr>
        <w:t>the cost of electricity service</w:t>
      </w:r>
      <w:r w:rsidR="00B04770" w:rsidRPr="008E106E">
        <w:rPr>
          <w:rFonts w:ascii="Arial" w:hAnsi="Arial" w:cs="Arial"/>
          <w:sz w:val="22"/>
          <w:szCs w:val="22"/>
        </w:rPr>
        <w:t>, and</w:t>
      </w:r>
      <w:r w:rsidR="00B66139" w:rsidRPr="008E106E">
        <w:rPr>
          <w:rFonts w:ascii="Arial" w:hAnsi="Arial" w:cs="Arial"/>
          <w:sz w:val="22"/>
          <w:szCs w:val="22"/>
        </w:rPr>
        <w:t xml:space="preserve"> the amount of fuel oil imports?</w:t>
      </w:r>
    </w:p>
    <w:p w14:paraId="2D56A5D2" w14:textId="19602E06" w:rsidR="00B04770" w:rsidRPr="008E106E" w:rsidRDefault="00B04770" w:rsidP="00B04770">
      <w:pPr>
        <w:pStyle w:val="ListBullet"/>
        <w:rPr>
          <w:rFonts w:ascii="Arial" w:hAnsi="Arial" w:cs="Arial"/>
          <w:sz w:val="22"/>
          <w:szCs w:val="22"/>
        </w:rPr>
      </w:pPr>
      <w:r w:rsidRPr="008E106E">
        <w:rPr>
          <w:rFonts w:ascii="Arial" w:hAnsi="Arial" w:cs="Arial"/>
          <w:sz w:val="22"/>
          <w:szCs w:val="22"/>
        </w:rPr>
        <w:t xml:space="preserve">How much additional public and private resources was the Program able to leverage in the development of </w:t>
      </w:r>
      <w:r w:rsidR="00C50804" w:rsidRPr="008E106E">
        <w:rPr>
          <w:rFonts w:ascii="Arial" w:hAnsi="Arial" w:cs="Arial"/>
          <w:sz w:val="22"/>
          <w:szCs w:val="22"/>
        </w:rPr>
        <w:t xml:space="preserve">geothermal </w:t>
      </w:r>
      <w:r w:rsidRPr="008E106E">
        <w:rPr>
          <w:rFonts w:ascii="Arial" w:hAnsi="Arial" w:cs="Arial"/>
          <w:sz w:val="22"/>
          <w:szCs w:val="22"/>
        </w:rPr>
        <w:t xml:space="preserve">projects financed at some stage by the program? </w:t>
      </w:r>
    </w:p>
    <w:p w14:paraId="48C8E7D6" w14:textId="51F73429" w:rsidR="00BC298A" w:rsidRPr="008E106E" w:rsidRDefault="00BC298A" w:rsidP="00B04770">
      <w:pPr>
        <w:pStyle w:val="ListBullet"/>
        <w:rPr>
          <w:rFonts w:ascii="Arial" w:hAnsi="Arial" w:cs="Arial"/>
          <w:sz w:val="22"/>
          <w:szCs w:val="22"/>
        </w:rPr>
      </w:pPr>
      <w:r w:rsidRPr="008E106E">
        <w:rPr>
          <w:rFonts w:ascii="Arial" w:hAnsi="Arial" w:cs="Arial"/>
          <w:sz w:val="22"/>
          <w:szCs w:val="22"/>
        </w:rPr>
        <w:t>How many loans, contingent recovery grants and grants were provided to geothermal projects in the different development stages?</w:t>
      </w:r>
    </w:p>
    <w:p w14:paraId="1398F71E" w14:textId="022A1B2F" w:rsidR="00CD68B6" w:rsidRPr="008E106E" w:rsidRDefault="00CD68B6" w:rsidP="00B04770">
      <w:pPr>
        <w:pStyle w:val="ListBullet"/>
        <w:rPr>
          <w:rFonts w:ascii="Arial" w:hAnsi="Arial" w:cs="Arial"/>
          <w:sz w:val="22"/>
          <w:szCs w:val="22"/>
        </w:rPr>
      </w:pPr>
      <w:r w:rsidRPr="008E106E">
        <w:rPr>
          <w:rFonts w:ascii="Arial" w:hAnsi="Arial" w:cs="Arial"/>
          <w:sz w:val="22"/>
          <w:szCs w:val="22"/>
        </w:rPr>
        <w:t xml:space="preserve">How many countries </w:t>
      </w:r>
      <w:r w:rsidR="00F97E14" w:rsidRPr="008E106E">
        <w:rPr>
          <w:rFonts w:ascii="Arial" w:hAnsi="Arial" w:cs="Arial"/>
          <w:sz w:val="22"/>
          <w:szCs w:val="22"/>
        </w:rPr>
        <w:t>have legal and regulatory frameworks implemented that enable GE developments?</w:t>
      </w:r>
    </w:p>
    <w:p w14:paraId="24618DA0" w14:textId="0F27B2C2" w:rsidR="00F97E14" w:rsidRPr="008E106E" w:rsidRDefault="00F97E14" w:rsidP="00B04770">
      <w:pPr>
        <w:pStyle w:val="ListBullet"/>
        <w:rPr>
          <w:rFonts w:ascii="Arial" w:hAnsi="Arial" w:cs="Arial"/>
          <w:sz w:val="22"/>
          <w:szCs w:val="22"/>
        </w:rPr>
      </w:pPr>
      <w:r w:rsidRPr="008E106E">
        <w:rPr>
          <w:rFonts w:ascii="Arial" w:hAnsi="Arial" w:cs="Arial"/>
          <w:sz w:val="22"/>
          <w:szCs w:val="22"/>
        </w:rPr>
        <w:t>How many women were trained in construction, operation and/or maintenance of GE projects and participated in consultation processes?</w:t>
      </w:r>
    </w:p>
    <w:p w14:paraId="702431E4" w14:textId="77777777" w:rsidR="00CE50C5" w:rsidRPr="008E106E" w:rsidRDefault="00995E3A" w:rsidP="00995E3A">
      <w:pPr>
        <w:pStyle w:val="Heading2"/>
        <w:rPr>
          <w:rFonts w:ascii="Arial" w:hAnsi="Arial"/>
          <w:sz w:val="22"/>
          <w:szCs w:val="22"/>
          <w:lang w:eastAsia="ja-JP"/>
        </w:rPr>
      </w:pPr>
      <w:bookmarkStart w:id="43" w:name="_Ref423617652"/>
      <w:bookmarkStart w:id="44" w:name="_Ref423623496"/>
      <w:bookmarkStart w:id="45" w:name="_Toc531018665"/>
      <w:r w:rsidRPr="008E106E">
        <w:rPr>
          <w:rFonts w:ascii="Arial" w:hAnsi="Arial"/>
          <w:sz w:val="22"/>
          <w:szCs w:val="22"/>
          <w:lang w:eastAsia="ja-JP"/>
        </w:rPr>
        <w:t>Existing Knowledge</w:t>
      </w:r>
      <w:bookmarkEnd w:id="43"/>
      <w:bookmarkEnd w:id="44"/>
      <w:bookmarkEnd w:id="45"/>
    </w:p>
    <w:p w14:paraId="30E1AF33" w14:textId="77777777" w:rsidR="00DF2B0A" w:rsidRPr="008E106E" w:rsidRDefault="00995E3A" w:rsidP="00DF2B0A">
      <w:pPr>
        <w:pStyle w:val="BodyText"/>
        <w:rPr>
          <w:rFonts w:ascii="Arial" w:hAnsi="Arial" w:cs="Arial"/>
          <w:sz w:val="22"/>
          <w:szCs w:val="22"/>
        </w:rPr>
      </w:pPr>
      <w:commentRangeStart w:id="46"/>
      <w:r w:rsidRPr="008E106E">
        <w:rPr>
          <w:rFonts w:ascii="Arial" w:hAnsi="Arial" w:cs="Arial"/>
          <w:sz w:val="22"/>
          <w:szCs w:val="22"/>
        </w:rPr>
        <w:t>An ex</w:t>
      </w:r>
      <w:r w:rsidR="0019210A">
        <w:rPr>
          <w:rFonts w:ascii="Arial" w:hAnsi="Arial" w:cs="Arial"/>
          <w:sz w:val="22"/>
          <w:szCs w:val="22"/>
        </w:rPr>
        <w:t>-</w:t>
      </w:r>
      <w:r w:rsidRPr="008E106E">
        <w:rPr>
          <w:rFonts w:ascii="Arial" w:hAnsi="Arial" w:cs="Arial"/>
          <w:sz w:val="22"/>
          <w:szCs w:val="22"/>
        </w:rPr>
        <w:t>ante Cost Benefit Analysis (CBA)</w:t>
      </w:r>
      <w:r w:rsidR="00643A33" w:rsidRPr="008E106E">
        <w:rPr>
          <w:rFonts w:ascii="Arial" w:hAnsi="Arial" w:cs="Arial"/>
          <w:sz w:val="22"/>
          <w:szCs w:val="22"/>
        </w:rPr>
        <w:t xml:space="preserve"> </w:t>
      </w:r>
      <w:commentRangeEnd w:id="46"/>
      <w:r w:rsidR="00C154FC" w:rsidRPr="008E106E">
        <w:rPr>
          <w:rStyle w:val="CommentReference"/>
          <w:rFonts w:ascii="Arial" w:hAnsi="Arial" w:cs="Arial"/>
        </w:rPr>
        <w:commentReference w:id="46"/>
      </w:r>
      <w:r w:rsidR="00643A33" w:rsidRPr="008E106E">
        <w:rPr>
          <w:rFonts w:ascii="Arial" w:hAnsi="Arial" w:cs="Arial"/>
          <w:sz w:val="22"/>
          <w:szCs w:val="22"/>
        </w:rPr>
        <w:t>and financial analysis of the geothermal projects that may be funded by the Program have been prepared</w:t>
      </w:r>
      <w:r w:rsidRPr="008E106E">
        <w:rPr>
          <w:rFonts w:ascii="Arial" w:hAnsi="Arial" w:cs="Arial"/>
          <w:sz w:val="22"/>
          <w:szCs w:val="22"/>
        </w:rPr>
        <w:t xml:space="preserve">. </w:t>
      </w:r>
      <w:r w:rsidR="00DF2B0A" w:rsidRPr="008E106E">
        <w:rPr>
          <w:rFonts w:ascii="Arial" w:hAnsi="Arial" w:cs="Arial"/>
          <w:sz w:val="22"/>
          <w:szCs w:val="22"/>
        </w:rPr>
        <w:t xml:space="preserve">The CBA, financial analysis, and a description of the methodology used in their preparation and their main conclusions are explained in further detail in the </w:t>
      </w:r>
      <w:hyperlink r:id="rId19" w:history="1">
        <w:r w:rsidR="00DF2B0A" w:rsidRPr="008E106E">
          <w:rPr>
            <w:rStyle w:val="Hyperlink"/>
            <w:rFonts w:ascii="Arial" w:hAnsi="Arial" w:cs="Arial"/>
            <w:sz w:val="22"/>
            <w:szCs w:val="22"/>
          </w:rPr>
          <w:t>Cost Benefit Analysis Report</w:t>
        </w:r>
      </w:hyperlink>
      <w:r w:rsidR="00DF2B0A" w:rsidRPr="008E106E">
        <w:rPr>
          <w:rFonts w:ascii="Arial" w:hAnsi="Arial" w:cs="Arial"/>
          <w:sz w:val="22"/>
          <w:szCs w:val="22"/>
        </w:rPr>
        <w:t xml:space="preserve"> which is an Optional Electronic Link of the Proposal for Operation Development (POD). A summary of the methodology, assumptions, and main results of the ex-ante CBA are discussed below. </w:t>
      </w:r>
    </w:p>
    <w:p w14:paraId="5ECBB0FA" w14:textId="1A078768" w:rsidR="00A848AA" w:rsidRPr="008E106E" w:rsidRDefault="00B87BBA" w:rsidP="00FC670E">
      <w:pPr>
        <w:pStyle w:val="BodyText"/>
        <w:rPr>
          <w:rFonts w:ascii="Arial" w:hAnsi="Arial" w:cs="Arial"/>
          <w:sz w:val="22"/>
          <w:szCs w:val="22"/>
        </w:rPr>
      </w:pPr>
      <w:r w:rsidRPr="008E106E">
        <w:rPr>
          <w:rFonts w:ascii="Arial" w:hAnsi="Arial" w:cs="Arial"/>
          <w:sz w:val="22"/>
          <w:szCs w:val="22"/>
        </w:rPr>
        <w:t>The CBA is an economic analysis that presents the net economic benefits to the E</w:t>
      </w:r>
      <w:r w:rsidR="00DF2B0A">
        <w:rPr>
          <w:rFonts w:ascii="Arial" w:hAnsi="Arial" w:cs="Arial"/>
          <w:sz w:val="22"/>
          <w:szCs w:val="22"/>
        </w:rPr>
        <w:t xml:space="preserve">astern </w:t>
      </w:r>
      <w:r w:rsidRPr="008E106E">
        <w:rPr>
          <w:rFonts w:ascii="Arial" w:hAnsi="Arial" w:cs="Arial"/>
          <w:sz w:val="22"/>
          <w:szCs w:val="22"/>
        </w:rPr>
        <w:t>C</w:t>
      </w:r>
      <w:r w:rsidR="00DF2B0A">
        <w:rPr>
          <w:rFonts w:ascii="Arial" w:hAnsi="Arial" w:cs="Arial"/>
          <w:sz w:val="22"/>
          <w:szCs w:val="22"/>
        </w:rPr>
        <w:t>aribbean</w:t>
      </w:r>
      <w:r w:rsidR="00C90575" w:rsidRPr="008E106E">
        <w:rPr>
          <w:rFonts w:ascii="Arial" w:hAnsi="Arial" w:cs="Arial"/>
          <w:sz w:val="22"/>
          <w:szCs w:val="22"/>
        </w:rPr>
        <w:t xml:space="preserve"> region </w:t>
      </w:r>
      <w:r w:rsidR="00643A33" w:rsidRPr="008E106E">
        <w:rPr>
          <w:rFonts w:ascii="Arial" w:hAnsi="Arial" w:cs="Arial"/>
          <w:sz w:val="22"/>
          <w:szCs w:val="22"/>
        </w:rPr>
        <w:t xml:space="preserve">and to each country </w:t>
      </w:r>
      <w:r w:rsidR="00C90575" w:rsidRPr="008E106E">
        <w:rPr>
          <w:rFonts w:ascii="Arial" w:hAnsi="Arial" w:cs="Arial"/>
          <w:sz w:val="22"/>
          <w:szCs w:val="22"/>
        </w:rPr>
        <w:t xml:space="preserve">from implementing </w:t>
      </w:r>
      <w:r w:rsidR="00471FEE" w:rsidRPr="008E106E">
        <w:rPr>
          <w:rFonts w:ascii="Arial" w:hAnsi="Arial" w:cs="Arial"/>
          <w:sz w:val="22"/>
          <w:szCs w:val="22"/>
        </w:rPr>
        <w:t xml:space="preserve">SEF-2015 </w:t>
      </w:r>
      <w:r w:rsidR="00DC2A62" w:rsidRPr="008E106E">
        <w:rPr>
          <w:rFonts w:ascii="Arial" w:hAnsi="Arial" w:cs="Arial"/>
          <w:sz w:val="22"/>
          <w:szCs w:val="22"/>
        </w:rPr>
        <w:t xml:space="preserve">Components </w:t>
      </w:r>
      <w:r w:rsidR="00471FEE" w:rsidRPr="008E106E">
        <w:rPr>
          <w:rFonts w:ascii="Arial" w:hAnsi="Arial" w:cs="Arial"/>
          <w:sz w:val="22"/>
          <w:szCs w:val="22"/>
        </w:rPr>
        <w:t xml:space="preserve">1 </w:t>
      </w:r>
      <w:r w:rsidR="00DC2A62" w:rsidRPr="008E106E">
        <w:rPr>
          <w:rFonts w:ascii="Arial" w:hAnsi="Arial" w:cs="Arial"/>
          <w:sz w:val="22"/>
          <w:szCs w:val="22"/>
        </w:rPr>
        <w:t xml:space="preserve">and </w:t>
      </w:r>
      <w:r w:rsidR="00471FEE" w:rsidRPr="008E106E">
        <w:rPr>
          <w:rFonts w:ascii="Arial" w:hAnsi="Arial" w:cs="Arial"/>
          <w:sz w:val="22"/>
          <w:szCs w:val="22"/>
        </w:rPr>
        <w:t>3 and SEF-Expanded Component 1</w:t>
      </w:r>
      <w:r w:rsidR="00C90575" w:rsidRPr="008E106E">
        <w:rPr>
          <w:rFonts w:ascii="Arial" w:hAnsi="Arial" w:cs="Arial"/>
          <w:sz w:val="22"/>
          <w:szCs w:val="22"/>
        </w:rPr>
        <w:t xml:space="preserve">. The financial analysis estimates the </w:t>
      </w:r>
      <w:r w:rsidR="00643A33" w:rsidRPr="008E106E">
        <w:rPr>
          <w:rFonts w:ascii="Arial" w:hAnsi="Arial" w:cs="Arial"/>
          <w:sz w:val="22"/>
          <w:szCs w:val="22"/>
        </w:rPr>
        <w:t>rate that the geothermal projects would charge to utilities and its impact on the tariff in the countries, as well as the cost of debt of the projects.</w:t>
      </w:r>
      <w:r w:rsidR="00C90575" w:rsidRPr="008E106E">
        <w:rPr>
          <w:rFonts w:ascii="Arial" w:hAnsi="Arial" w:cs="Arial"/>
          <w:sz w:val="22"/>
          <w:szCs w:val="22"/>
        </w:rPr>
        <w:t xml:space="preserve"> </w:t>
      </w:r>
      <w:r w:rsidR="00643A33" w:rsidRPr="008E106E">
        <w:rPr>
          <w:rFonts w:ascii="Arial" w:hAnsi="Arial" w:cs="Arial"/>
          <w:sz w:val="22"/>
          <w:szCs w:val="22"/>
        </w:rPr>
        <w:t xml:space="preserve">The financial analysis includes projected financial statements for each of the geothermal projects. </w:t>
      </w:r>
    </w:p>
    <w:p w14:paraId="6E918AC0" w14:textId="0741A3BF" w:rsidR="00FC670E" w:rsidRPr="008E106E" w:rsidRDefault="00BA6F43" w:rsidP="00BA6F43">
      <w:pPr>
        <w:pStyle w:val="Subheading"/>
        <w:rPr>
          <w:rFonts w:ascii="Arial" w:hAnsi="Arial" w:cs="Arial"/>
          <w:sz w:val="22"/>
          <w:szCs w:val="22"/>
        </w:rPr>
      </w:pPr>
      <w:r w:rsidRPr="008E106E">
        <w:rPr>
          <w:rFonts w:ascii="Arial" w:hAnsi="Arial" w:cs="Arial"/>
          <w:sz w:val="22"/>
          <w:szCs w:val="22"/>
        </w:rPr>
        <w:t xml:space="preserve">Cost Benefit Analysis </w:t>
      </w:r>
      <w:r w:rsidR="00FC670E" w:rsidRPr="008E106E">
        <w:rPr>
          <w:rFonts w:ascii="Arial" w:hAnsi="Arial" w:cs="Arial"/>
          <w:sz w:val="22"/>
          <w:szCs w:val="22"/>
        </w:rPr>
        <w:t xml:space="preserve"> </w:t>
      </w:r>
    </w:p>
    <w:p w14:paraId="6084D72B" w14:textId="7CCF33A2" w:rsidR="00FC670E" w:rsidRPr="008E106E" w:rsidRDefault="00FC670E" w:rsidP="00FC670E">
      <w:pPr>
        <w:pStyle w:val="BodyText"/>
        <w:rPr>
          <w:rFonts w:ascii="Arial" w:hAnsi="Arial" w:cs="Arial"/>
          <w:sz w:val="22"/>
          <w:szCs w:val="22"/>
        </w:rPr>
      </w:pPr>
      <w:r w:rsidRPr="008E106E">
        <w:rPr>
          <w:rFonts w:ascii="Arial" w:hAnsi="Arial" w:cs="Arial"/>
          <w:sz w:val="22"/>
          <w:szCs w:val="22"/>
        </w:rPr>
        <w:t xml:space="preserve">The objective of the CBA methodology is to determine whether </w:t>
      </w:r>
      <w:r w:rsidR="00436F54" w:rsidRPr="008E106E">
        <w:rPr>
          <w:rFonts w:ascii="Arial" w:hAnsi="Arial" w:cs="Arial"/>
          <w:sz w:val="22"/>
          <w:szCs w:val="22"/>
        </w:rPr>
        <w:t>GE projects to be financed</w:t>
      </w:r>
      <w:r w:rsidR="00A836B5" w:rsidRPr="008E106E">
        <w:rPr>
          <w:rFonts w:ascii="Arial" w:hAnsi="Arial" w:cs="Arial"/>
          <w:sz w:val="22"/>
          <w:szCs w:val="22"/>
        </w:rPr>
        <w:t xml:space="preserve"> by </w:t>
      </w:r>
      <w:r w:rsidRPr="008E106E">
        <w:rPr>
          <w:rFonts w:ascii="Arial" w:hAnsi="Arial" w:cs="Arial"/>
          <w:sz w:val="22"/>
          <w:szCs w:val="22"/>
        </w:rPr>
        <w:t xml:space="preserve">the Program are economically viable. </w:t>
      </w:r>
      <w:r w:rsidR="00A836B5" w:rsidRPr="008E106E">
        <w:rPr>
          <w:rFonts w:ascii="Arial" w:hAnsi="Arial" w:cs="Arial"/>
          <w:sz w:val="22"/>
          <w:szCs w:val="22"/>
        </w:rPr>
        <w:t xml:space="preserve">While a </w:t>
      </w:r>
      <w:r w:rsidRPr="008E106E">
        <w:rPr>
          <w:rFonts w:ascii="Arial" w:hAnsi="Arial" w:cs="Arial"/>
          <w:sz w:val="22"/>
          <w:szCs w:val="22"/>
        </w:rPr>
        <w:t xml:space="preserve">CBA </w:t>
      </w:r>
      <w:r w:rsidR="00A836B5" w:rsidRPr="008E106E">
        <w:rPr>
          <w:rFonts w:ascii="Arial" w:hAnsi="Arial" w:cs="Arial"/>
          <w:sz w:val="22"/>
          <w:szCs w:val="22"/>
        </w:rPr>
        <w:t xml:space="preserve">was </w:t>
      </w:r>
      <w:r w:rsidRPr="008E106E">
        <w:rPr>
          <w:rFonts w:ascii="Arial" w:hAnsi="Arial" w:cs="Arial"/>
          <w:sz w:val="22"/>
          <w:szCs w:val="22"/>
        </w:rPr>
        <w:t>carried out for the street light retrofitting and geothermal power projects included in the indicative project pipeline</w:t>
      </w:r>
      <w:r w:rsidR="00A836B5" w:rsidRPr="008E106E">
        <w:rPr>
          <w:rFonts w:ascii="Arial" w:hAnsi="Arial" w:cs="Arial"/>
          <w:sz w:val="22"/>
          <w:szCs w:val="22"/>
        </w:rPr>
        <w:t xml:space="preserve"> for SEF-2</w:t>
      </w:r>
      <w:r w:rsidR="00EB1B04" w:rsidRPr="008E106E">
        <w:rPr>
          <w:rFonts w:ascii="Arial" w:hAnsi="Arial" w:cs="Arial"/>
          <w:sz w:val="22"/>
          <w:szCs w:val="22"/>
        </w:rPr>
        <w:t>0</w:t>
      </w:r>
      <w:r w:rsidR="00A836B5" w:rsidRPr="008E106E">
        <w:rPr>
          <w:rFonts w:ascii="Arial" w:hAnsi="Arial" w:cs="Arial"/>
          <w:sz w:val="22"/>
          <w:szCs w:val="22"/>
        </w:rPr>
        <w:t>15 approval, the CBA for GE projects has been updated for the SEF-Expanded</w:t>
      </w:r>
      <w:r w:rsidR="00C11796" w:rsidRPr="008E106E">
        <w:rPr>
          <w:rFonts w:ascii="Arial" w:hAnsi="Arial" w:cs="Arial"/>
          <w:sz w:val="22"/>
          <w:szCs w:val="22"/>
        </w:rPr>
        <w:t xml:space="preserve"> considering updated values for oil prices which is one of the main variables. </w:t>
      </w:r>
      <w:r w:rsidR="00A836B5" w:rsidRPr="008E106E">
        <w:rPr>
          <w:rFonts w:ascii="Arial" w:hAnsi="Arial" w:cs="Arial"/>
          <w:sz w:val="22"/>
          <w:szCs w:val="22"/>
        </w:rPr>
        <w:t>Because</w:t>
      </w:r>
      <w:r w:rsidRPr="008E106E">
        <w:rPr>
          <w:rFonts w:ascii="Arial" w:hAnsi="Arial" w:cs="Arial"/>
          <w:sz w:val="22"/>
          <w:szCs w:val="22"/>
        </w:rPr>
        <w:t xml:space="preserve"> the </w:t>
      </w:r>
      <w:r w:rsidR="00A836B5" w:rsidRPr="008E106E">
        <w:rPr>
          <w:rFonts w:ascii="Arial" w:hAnsi="Arial" w:cs="Arial"/>
          <w:sz w:val="22"/>
          <w:szCs w:val="22"/>
        </w:rPr>
        <w:t xml:space="preserve">revised </w:t>
      </w:r>
      <w:r w:rsidRPr="008E106E">
        <w:rPr>
          <w:rFonts w:ascii="Arial" w:hAnsi="Arial" w:cs="Arial"/>
          <w:sz w:val="22"/>
          <w:szCs w:val="22"/>
        </w:rPr>
        <w:t>indicative pipeline is the current forecast of the potential demand for Program funds from the EC</w:t>
      </w:r>
      <w:r w:rsidR="00A836B5" w:rsidRPr="008E106E">
        <w:rPr>
          <w:rFonts w:ascii="Arial" w:hAnsi="Arial" w:cs="Arial"/>
          <w:sz w:val="22"/>
          <w:szCs w:val="22"/>
        </w:rPr>
        <w:t>C, the CBA is based on it</w:t>
      </w:r>
      <w:r w:rsidRPr="008E106E">
        <w:rPr>
          <w:rFonts w:ascii="Arial" w:hAnsi="Arial" w:cs="Arial"/>
          <w:sz w:val="22"/>
          <w:szCs w:val="22"/>
        </w:rPr>
        <w:t>.</w:t>
      </w:r>
    </w:p>
    <w:p w14:paraId="633F6A5B" w14:textId="77777777" w:rsidR="00FC670E" w:rsidRPr="008E106E" w:rsidRDefault="00FC670E" w:rsidP="00FC670E">
      <w:pPr>
        <w:pStyle w:val="BodyText"/>
        <w:rPr>
          <w:rFonts w:ascii="Arial" w:hAnsi="Arial" w:cs="Arial"/>
          <w:sz w:val="22"/>
          <w:szCs w:val="22"/>
        </w:rPr>
      </w:pPr>
      <w:r w:rsidRPr="008E106E">
        <w:rPr>
          <w:rFonts w:ascii="Arial" w:hAnsi="Arial" w:cs="Arial"/>
          <w:sz w:val="22"/>
          <w:szCs w:val="22"/>
        </w:rPr>
        <w:t xml:space="preserve">The results of the CBA indicate that the projects are economically viable when a 12 percent discount rate is used. Specifically, the results of the CBA show that the present value (PV) of the net economic benefits of each project is positive and their internal rates of return exceed the cost of capital (12 percent). Similarly, the PV of the aggregate net economic benefit of all projects combined is also positive and exceeds the cost of capital. This means that implementing the projects will result in a net economic gain for the Governments in each of the countries and for the </w:t>
      </w:r>
      <w:proofErr w:type="gramStart"/>
      <w:r w:rsidRPr="008E106E">
        <w:rPr>
          <w:rFonts w:ascii="Arial" w:hAnsi="Arial" w:cs="Arial"/>
          <w:sz w:val="22"/>
          <w:szCs w:val="22"/>
        </w:rPr>
        <w:t>region as a whole, and</w:t>
      </w:r>
      <w:proofErr w:type="gramEnd"/>
      <w:r w:rsidRPr="008E106E">
        <w:rPr>
          <w:rFonts w:ascii="Arial" w:hAnsi="Arial" w:cs="Arial"/>
          <w:sz w:val="22"/>
          <w:szCs w:val="22"/>
        </w:rPr>
        <w:t xml:space="preserve"> so, the Governments, multilateral institutions, and private sponsors should proceed with implementing them.  </w:t>
      </w:r>
    </w:p>
    <w:p w14:paraId="12E007D1" w14:textId="20BE84F8" w:rsidR="00FC670E" w:rsidRPr="008E106E" w:rsidRDefault="00FC670E" w:rsidP="00FC670E">
      <w:pPr>
        <w:pStyle w:val="BodyText"/>
        <w:rPr>
          <w:rFonts w:ascii="Arial" w:hAnsi="Arial" w:cs="Arial"/>
          <w:sz w:val="22"/>
          <w:szCs w:val="22"/>
        </w:rPr>
      </w:pPr>
      <w:r w:rsidRPr="008E106E">
        <w:rPr>
          <w:rFonts w:ascii="Arial" w:hAnsi="Arial" w:cs="Arial"/>
          <w:sz w:val="22"/>
          <w:szCs w:val="22"/>
        </w:rPr>
        <w:t xml:space="preserve">To carry out the CBA, a methodology that </w:t>
      </w:r>
      <w:r w:rsidRPr="008E106E">
        <w:rPr>
          <w:rStyle w:val="BodyTextChar"/>
          <w:rFonts w:ascii="Arial" w:hAnsi="Arial" w:cs="Arial"/>
          <w:sz w:val="22"/>
          <w:szCs w:val="22"/>
        </w:rPr>
        <w:t xml:space="preserve">complies with the IDB Guidelines for Economic Analysis was used. Specifically, the </w:t>
      </w:r>
      <w:r w:rsidRPr="008E106E">
        <w:rPr>
          <w:rFonts w:ascii="Arial" w:hAnsi="Arial" w:cs="Arial"/>
          <w:sz w:val="22"/>
          <w:szCs w:val="22"/>
        </w:rPr>
        <w:t>PVs of the projects</w:t>
      </w:r>
      <w:r w:rsidR="00F44D7D" w:rsidRPr="008E106E">
        <w:rPr>
          <w:rFonts w:ascii="Arial" w:hAnsi="Arial" w:cs="Arial"/>
          <w:sz w:val="22"/>
          <w:szCs w:val="22"/>
        </w:rPr>
        <w:t>’ net benefits we</w:t>
      </w:r>
      <w:r w:rsidRPr="008E106E">
        <w:rPr>
          <w:rFonts w:ascii="Arial" w:hAnsi="Arial" w:cs="Arial"/>
          <w:sz w:val="22"/>
          <w:szCs w:val="22"/>
        </w:rPr>
        <w:t xml:space="preserve">re estimated. To do so the PV of the projects’ benefits and costs </w:t>
      </w:r>
      <w:r w:rsidR="00F44D7D" w:rsidRPr="008E106E">
        <w:rPr>
          <w:rFonts w:ascii="Arial" w:hAnsi="Arial" w:cs="Arial"/>
          <w:sz w:val="22"/>
          <w:szCs w:val="22"/>
        </w:rPr>
        <w:t>were</w:t>
      </w:r>
      <w:r w:rsidRPr="008E106E">
        <w:rPr>
          <w:rFonts w:ascii="Arial" w:hAnsi="Arial" w:cs="Arial"/>
          <w:sz w:val="22"/>
          <w:szCs w:val="22"/>
        </w:rPr>
        <w:t xml:space="preserve"> estimated. For calculating the projects’ benefits, the s</w:t>
      </w:r>
      <w:r w:rsidRPr="008E106E">
        <w:rPr>
          <w:rStyle w:val="BodyTextChar"/>
          <w:rFonts w:ascii="Arial" w:hAnsi="Arial" w:cs="Arial"/>
          <w:sz w:val="22"/>
          <w:szCs w:val="22"/>
        </w:rPr>
        <w:t xml:space="preserve">avings in electricity expenditures and the monetary value of greenhouse gas emissions displaced by the projects </w:t>
      </w:r>
      <w:r w:rsidR="00F44D7D" w:rsidRPr="008E106E">
        <w:rPr>
          <w:rStyle w:val="BodyTextChar"/>
          <w:rFonts w:ascii="Arial" w:hAnsi="Arial" w:cs="Arial"/>
          <w:sz w:val="22"/>
          <w:szCs w:val="22"/>
        </w:rPr>
        <w:t>were</w:t>
      </w:r>
      <w:r w:rsidRPr="008E106E">
        <w:rPr>
          <w:rStyle w:val="BodyTextChar"/>
          <w:rFonts w:ascii="Arial" w:hAnsi="Arial" w:cs="Arial"/>
          <w:sz w:val="22"/>
          <w:szCs w:val="22"/>
        </w:rPr>
        <w:t xml:space="preserve"> estimated. For calculating the projects’ costs, the full economic costs of implementing the projects </w:t>
      </w:r>
      <w:r w:rsidR="00F44D7D" w:rsidRPr="008E106E">
        <w:rPr>
          <w:rStyle w:val="BodyTextChar"/>
          <w:rFonts w:ascii="Arial" w:hAnsi="Arial" w:cs="Arial"/>
          <w:sz w:val="22"/>
          <w:szCs w:val="22"/>
        </w:rPr>
        <w:t>were</w:t>
      </w:r>
      <w:r w:rsidRPr="008E106E">
        <w:rPr>
          <w:rStyle w:val="BodyTextChar"/>
          <w:rFonts w:ascii="Arial" w:hAnsi="Arial" w:cs="Arial"/>
          <w:sz w:val="22"/>
          <w:szCs w:val="22"/>
        </w:rPr>
        <w:t xml:space="preserve"> included, including the costs not financed by the Program. Then the difference between these two values </w:t>
      </w:r>
      <w:r w:rsidR="00F44D7D" w:rsidRPr="008E106E">
        <w:rPr>
          <w:rStyle w:val="BodyTextChar"/>
          <w:rFonts w:ascii="Arial" w:hAnsi="Arial" w:cs="Arial"/>
          <w:sz w:val="22"/>
          <w:szCs w:val="22"/>
        </w:rPr>
        <w:t>wa</w:t>
      </w:r>
      <w:r w:rsidRPr="008E106E">
        <w:rPr>
          <w:rStyle w:val="BodyTextChar"/>
          <w:rFonts w:ascii="Arial" w:hAnsi="Arial" w:cs="Arial"/>
          <w:sz w:val="22"/>
          <w:szCs w:val="22"/>
        </w:rPr>
        <w:t>s calculated and the pr</w:t>
      </w:r>
      <w:r w:rsidR="00F44D7D" w:rsidRPr="008E106E">
        <w:rPr>
          <w:rStyle w:val="BodyTextChar"/>
          <w:rFonts w:ascii="Arial" w:hAnsi="Arial" w:cs="Arial"/>
          <w:sz w:val="22"/>
          <w:szCs w:val="22"/>
        </w:rPr>
        <w:t>esent value of that difference wa</w:t>
      </w:r>
      <w:r w:rsidRPr="008E106E">
        <w:rPr>
          <w:rStyle w:val="BodyTextChar"/>
          <w:rFonts w:ascii="Arial" w:hAnsi="Arial" w:cs="Arial"/>
          <w:sz w:val="22"/>
          <w:szCs w:val="22"/>
        </w:rPr>
        <w:t xml:space="preserve">s found. That PV is the result of the CBA. If the PV is positive, the project is economically viable. </w:t>
      </w:r>
    </w:p>
    <w:p w14:paraId="37989FD6" w14:textId="55C55882" w:rsidR="00FC670E" w:rsidRPr="008E106E" w:rsidRDefault="00FC670E" w:rsidP="00FC670E">
      <w:pPr>
        <w:pStyle w:val="BodyText"/>
        <w:rPr>
          <w:rFonts w:ascii="Arial" w:hAnsi="Arial" w:cs="Arial"/>
          <w:sz w:val="22"/>
          <w:szCs w:val="22"/>
        </w:rPr>
      </w:pPr>
      <w:r w:rsidRPr="008E106E">
        <w:rPr>
          <w:rFonts w:ascii="Arial" w:hAnsi="Arial" w:cs="Arial"/>
          <w:sz w:val="22"/>
          <w:szCs w:val="22"/>
        </w:rPr>
        <w:t xml:space="preserve">To determine the projects’ net benefits, the annual economic costs and benefits </w:t>
      </w:r>
      <w:r w:rsidR="00BD1360" w:rsidRPr="008E106E">
        <w:rPr>
          <w:rFonts w:ascii="Arial" w:hAnsi="Arial" w:cs="Arial"/>
          <w:sz w:val="22"/>
          <w:szCs w:val="22"/>
        </w:rPr>
        <w:t xml:space="preserve">were estimated </w:t>
      </w:r>
      <w:r w:rsidRPr="008E106E">
        <w:rPr>
          <w:rFonts w:ascii="Arial" w:hAnsi="Arial" w:cs="Arial"/>
          <w:sz w:val="22"/>
          <w:szCs w:val="22"/>
        </w:rPr>
        <w:t xml:space="preserve">for a period of </w:t>
      </w:r>
      <w:r w:rsidR="001E04CC" w:rsidRPr="008E106E">
        <w:rPr>
          <w:rFonts w:ascii="Arial" w:hAnsi="Arial" w:cs="Arial"/>
          <w:sz w:val="22"/>
          <w:szCs w:val="22"/>
        </w:rPr>
        <w:t>40</w:t>
      </w:r>
      <w:r w:rsidRPr="008E106E">
        <w:rPr>
          <w:rFonts w:ascii="Arial" w:hAnsi="Arial" w:cs="Arial"/>
          <w:sz w:val="22"/>
          <w:szCs w:val="22"/>
        </w:rPr>
        <w:t xml:space="preserve"> years and a period of 15 years for geothermal projects and energy efficiency projects, respectively. </w:t>
      </w:r>
      <w:r w:rsidRPr="008E106E">
        <w:rPr>
          <w:rFonts w:ascii="Arial" w:hAnsi="Arial" w:cs="Arial"/>
          <w:sz w:val="22"/>
          <w:szCs w:val="22"/>
        </w:rPr>
        <w:fldChar w:fldCharType="begin"/>
      </w:r>
      <w:r w:rsidRPr="008E106E">
        <w:rPr>
          <w:rFonts w:ascii="Arial" w:hAnsi="Arial" w:cs="Arial"/>
          <w:sz w:val="22"/>
          <w:szCs w:val="22"/>
        </w:rPr>
        <w:instrText xml:space="preserve"> REF _Ref423615760 \h </w:instrText>
      </w:r>
      <w:r w:rsidR="00616B9B" w:rsidRPr="008E106E">
        <w:rPr>
          <w:rFonts w:ascii="Arial" w:hAnsi="Arial" w:cs="Arial"/>
          <w:sz w:val="22"/>
          <w:szCs w:val="22"/>
        </w:rPr>
        <w:instrText xml:space="preserve"> \* MERGEFORMAT </w:instrText>
      </w:r>
      <w:r w:rsidRPr="008E106E">
        <w:rPr>
          <w:rFonts w:ascii="Arial" w:hAnsi="Arial" w:cs="Arial"/>
          <w:sz w:val="22"/>
          <w:szCs w:val="22"/>
        </w:rPr>
      </w:r>
      <w:r w:rsidRPr="008E106E">
        <w:rPr>
          <w:rFonts w:ascii="Arial" w:hAnsi="Arial" w:cs="Arial"/>
          <w:sz w:val="22"/>
          <w:szCs w:val="22"/>
        </w:rPr>
        <w:fldChar w:fldCharType="separate"/>
      </w:r>
      <w:r w:rsidR="00B75A47" w:rsidRPr="008E106E">
        <w:rPr>
          <w:rFonts w:ascii="Arial" w:hAnsi="Arial" w:cs="Arial"/>
          <w:sz w:val="22"/>
          <w:szCs w:val="22"/>
        </w:rPr>
        <w:t xml:space="preserve">Table </w:t>
      </w:r>
      <w:r w:rsidR="00B75A47" w:rsidRPr="008E106E">
        <w:rPr>
          <w:rFonts w:ascii="Arial" w:hAnsi="Arial" w:cs="Arial"/>
          <w:noProof/>
          <w:sz w:val="22"/>
          <w:szCs w:val="22"/>
        </w:rPr>
        <w:t>3</w:t>
      </w:r>
      <w:r w:rsidR="00B75A47" w:rsidRPr="008E106E">
        <w:rPr>
          <w:rFonts w:ascii="Arial" w:hAnsi="Arial" w:cs="Arial"/>
          <w:sz w:val="22"/>
          <w:szCs w:val="22"/>
        </w:rPr>
        <w:t>.</w:t>
      </w:r>
      <w:r w:rsidR="00B75A47" w:rsidRPr="008E106E">
        <w:rPr>
          <w:rFonts w:ascii="Arial" w:hAnsi="Arial" w:cs="Arial"/>
          <w:noProof/>
          <w:sz w:val="22"/>
          <w:szCs w:val="22"/>
        </w:rPr>
        <w:t>1</w:t>
      </w:r>
      <w:r w:rsidRPr="008E106E">
        <w:rPr>
          <w:rFonts w:ascii="Arial" w:hAnsi="Arial" w:cs="Arial"/>
          <w:sz w:val="22"/>
          <w:szCs w:val="22"/>
        </w:rPr>
        <w:fldChar w:fldCharType="end"/>
      </w:r>
      <w:r w:rsidRPr="008E106E">
        <w:rPr>
          <w:rFonts w:ascii="Arial" w:hAnsi="Arial" w:cs="Arial"/>
          <w:sz w:val="22"/>
          <w:szCs w:val="22"/>
        </w:rPr>
        <w:t xml:space="preserve"> presents the assumptions used to calculate the economic costs and benefits of the projects.</w:t>
      </w:r>
    </w:p>
    <w:p w14:paraId="7538B672" w14:textId="5B22F16F" w:rsidR="00FC670E" w:rsidRPr="008E106E" w:rsidRDefault="00FC670E" w:rsidP="00FC670E">
      <w:pPr>
        <w:pStyle w:val="Caption"/>
        <w:keepNext/>
        <w:pBdr>
          <w:bottom w:val="none" w:sz="0" w:space="0" w:color="auto"/>
        </w:pBdr>
        <w:spacing w:line="240" w:lineRule="auto"/>
        <w:ind w:left="0" w:right="0"/>
        <w:jc w:val="both"/>
        <w:rPr>
          <w:rFonts w:ascii="Arial" w:hAnsi="Arial" w:cs="Arial"/>
          <w:sz w:val="22"/>
          <w:szCs w:val="22"/>
        </w:rPr>
      </w:pPr>
      <w:bookmarkStart w:id="47" w:name="_Ref423615760"/>
      <w:r w:rsidRPr="008E106E">
        <w:rPr>
          <w:rFonts w:ascii="Arial" w:hAnsi="Arial" w:cs="Arial"/>
          <w:sz w:val="22"/>
          <w:szCs w:val="22"/>
        </w:rPr>
        <w:t xml:space="preserve">Table </w:t>
      </w:r>
      <w:r w:rsidR="00B75A47" w:rsidRPr="008E106E">
        <w:rPr>
          <w:rFonts w:ascii="Arial" w:hAnsi="Arial" w:cs="Arial"/>
          <w:sz w:val="22"/>
          <w:szCs w:val="22"/>
        </w:rPr>
        <w:fldChar w:fldCharType="begin"/>
      </w:r>
      <w:r w:rsidR="00B75A47" w:rsidRPr="008E106E">
        <w:rPr>
          <w:rFonts w:ascii="Arial" w:hAnsi="Arial" w:cs="Arial"/>
          <w:sz w:val="22"/>
          <w:szCs w:val="22"/>
        </w:rPr>
        <w:instrText xml:space="preserve"> STYLEREF 1 \s </w:instrText>
      </w:r>
      <w:r w:rsidR="00B75A47" w:rsidRPr="008E106E">
        <w:rPr>
          <w:rFonts w:ascii="Arial" w:hAnsi="Arial" w:cs="Arial"/>
          <w:sz w:val="22"/>
          <w:szCs w:val="22"/>
        </w:rPr>
        <w:fldChar w:fldCharType="separate"/>
      </w:r>
      <w:r w:rsidR="00B75A47" w:rsidRPr="008E106E">
        <w:rPr>
          <w:rFonts w:ascii="Arial" w:hAnsi="Arial" w:cs="Arial"/>
          <w:noProof/>
          <w:sz w:val="22"/>
          <w:szCs w:val="22"/>
        </w:rPr>
        <w:t>3</w:t>
      </w:r>
      <w:r w:rsidR="00B75A47" w:rsidRPr="008E106E">
        <w:rPr>
          <w:rFonts w:ascii="Arial" w:hAnsi="Arial" w:cs="Arial"/>
          <w:noProof/>
          <w:sz w:val="22"/>
          <w:szCs w:val="22"/>
        </w:rPr>
        <w:fldChar w:fldCharType="end"/>
      </w:r>
      <w:r w:rsidRPr="008E106E">
        <w:rPr>
          <w:rFonts w:ascii="Arial" w:hAnsi="Arial" w:cs="Arial"/>
          <w:sz w:val="22"/>
          <w:szCs w:val="22"/>
        </w:rPr>
        <w:t>.</w:t>
      </w:r>
      <w:r w:rsidR="005870B7" w:rsidRPr="008E106E">
        <w:rPr>
          <w:rFonts w:ascii="Arial" w:hAnsi="Arial" w:cs="Arial"/>
          <w:sz w:val="22"/>
          <w:szCs w:val="22"/>
        </w:rPr>
        <w:fldChar w:fldCharType="begin"/>
      </w:r>
      <w:r w:rsidR="005870B7" w:rsidRPr="008E106E">
        <w:rPr>
          <w:rFonts w:ascii="Arial" w:hAnsi="Arial" w:cs="Arial"/>
          <w:sz w:val="22"/>
          <w:szCs w:val="22"/>
        </w:rPr>
        <w:instrText xml:space="preserve"> SEQ Table \* ARABIC \s 1 </w:instrText>
      </w:r>
      <w:r w:rsidR="005870B7" w:rsidRPr="008E106E">
        <w:rPr>
          <w:rFonts w:ascii="Arial" w:hAnsi="Arial" w:cs="Arial"/>
          <w:sz w:val="22"/>
          <w:szCs w:val="22"/>
        </w:rPr>
        <w:fldChar w:fldCharType="separate"/>
      </w:r>
      <w:r w:rsidR="00B75A47" w:rsidRPr="008E106E">
        <w:rPr>
          <w:rFonts w:ascii="Arial" w:hAnsi="Arial" w:cs="Arial"/>
          <w:noProof/>
          <w:sz w:val="22"/>
          <w:szCs w:val="22"/>
        </w:rPr>
        <w:t>1</w:t>
      </w:r>
      <w:r w:rsidR="005870B7" w:rsidRPr="008E106E">
        <w:rPr>
          <w:rFonts w:ascii="Arial" w:hAnsi="Arial" w:cs="Arial"/>
          <w:noProof/>
          <w:sz w:val="22"/>
          <w:szCs w:val="22"/>
        </w:rPr>
        <w:fldChar w:fldCharType="end"/>
      </w:r>
      <w:bookmarkEnd w:id="47"/>
      <w:r w:rsidRPr="008E106E">
        <w:rPr>
          <w:rFonts w:ascii="Arial" w:hAnsi="Arial" w:cs="Arial"/>
          <w:sz w:val="22"/>
          <w:szCs w:val="22"/>
        </w:rPr>
        <w:t>: Assumptions Used to Determine the Indicative Projects’ Economic Costs and Benefits</w:t>
      </w:r>
    </w:p>
    <w:tbl>
      <w:tblPr>
        <w:tblStyle w:val="TableGrid"/>
        <w:tblW w:w="0" w:type="auto"/>
        <w:tblLook w:val="04A0" w:firstRow="1" w:lastRow="0" w:firstColumn="1" w:lastColumn="0" w:noHBand="0" w:noVBand="1"/>
      </w:tblPr>
      <w:tblGrid>
        <w:gridCol w:w="3298"/>
        <w:gridCol w:w="1039"/>
        <w:gridCol w:w="943"/>
        <w:gridCol w:w="810"/>
        <w:gridCol w:w="786"/>
        <w:gridCol w:w="943"/>
        <w:gridCol w:w="829"/>
      </w:tblGrid>
      <w:tr w:rsidR="00BB17F5" w:rsidRPr="008E106E" w14:paraId="2FFA490F" w14:textId="77777777" w:rsidTr="00B218BC">
        <w:trPr>
          <w:trHeight w:val="372"/>
          <w:tblHeader/>
        </w:trPr>
        <w:tc>
          <w:tcPr>
            <w:tcW w:w="3298" w:type="dxa"/>
            <w:shd w:val="clear" w:color="auto" w:fill="BFBFBF" w:themeFill="background1" w:themeFillShade="BF"/>
          </w:tcPr>
          <w:p w14:paraId="1BBC2E39" w14:textId="77777777" w:rsidR="00FC670E" w:rsidRPr="008E106E" w:rsidRDefault="00FC670E" w:rsidP="00627B10">
            <w:pPr>
              <w:pStyle w:val="TableText"/>
              <w:keepNext/>
              <w:rPr>
                <w:rFonts w:ascii="Arial" w:hAnsi="Arial" w:cs="Arial"/>
                <w:szCs w:val="22"/>
              </w:rPr>
            </w:pPr>
            <w:r w:rsidRPr="008E106E">
              <w:rPr>
                <w:rFonts w:ascii="Arial" w:hAnsi="Arial" w:cs="Arial"/>
                <w:b/>
                <w:szCs w:val="22"/>
              </w:rPr>
              <w:t>Variable</w:t>
            </w:r>
          </w:p>
        </w:tc>
        <w:tc>
          <w:tcPr>
            <w:tcW w:w="1039" w:type="dxa"/>
            <w:shd w:val="clear" w:color="auto" w:fill="BFBFBF" w:themeFill="background1" w:themeFillShade="BF"/>
          </w:tcPr>
          <w:p w14:paraId="1D460F76" w14:textId="77777777" w:rsidR="00FC670E" w:rsidRPr="008E106E" w:rsidRDefault="00FC670E" w:rsidP="00627B10">
            <w:pPr>
              <w:pStyle w:val="TableText"/>
              <w:keepNext/>
              <w:rPr>
                <w:rFonts w:ascii="Arial" w:hAnsi="Arial" w:cs="Arial"/>
                <w:szCs w:val="22"/>
              </w:rPr>
            </w:pPr>
            <w:r w:rsidRPr="008E106E">
              <w:rPr>
                <w:rFonts w:ascii="Arial" w:hAnsi="Arial" w:cs="Arial"/>
                <w:b/>
                <w:szCs w:val="22"/>
              </w:rPr>
              <w:t>All Projects</w:t>
            </w:r>
          </w:p>
        </w:tc>
        <w:tc>
          <w:tcPr>
            <w:tcW w:w="943" w:type="dxa"/>
            <w:shd w:val="clear" w:color="auto" w:fill="BFBFBF" w:themeFill="background1" w:themeFillShade="BF"/>
          </w:tcPr>
          <w:p w14:paraId="23CBD1AC" w14:textId="77777777" w:rsidR="00FC670E" w:rsidRPr="008E106E" w:rsidRDefault="00FC670E" w:rsidP="00627B10">
            <w:pPr>
              <w:pStyle w:val="TableText"/>
              <w:keepNext/>
              <w:rPr>
                <w:rFonts w:ascii="Arial" w:hAnsi="Arial" w:cs="Arial"/>
                <w:b/>
                <w:szCs w:val="22"/>
              </w:rPr>
            </w:pPr>
            <w:r w:rsidRPr="008E106E">
              <w:rPr>
                <w:rFonts w:ascii="Arial" w:hAnsi="Arial" w:cs="Arial"/>
                <w:b/>
                <w:szCs w:val="22"/>
              </w:rPr>
              <w:t>Dom.</w:t>
            </w:r>
          </w:p>
        </w:tc>
        <w:tc>
          <w:tcPr>
            <w:tcW w:w="810" w:type="dxa"/>
            <w:shd w:val="clear" w:color="auto" w:fill="BFBFBF" w:themeFill="background1" w:themeFillShade="BF"/>
          </w:tcPr>
          <w:p w14:paraId="5D3788FA" w14:textId="77777777" w:rsidR="00FC670E" w:rsidRPr="008E106E" w:rsidRDefault="00FC670E" w:rsidP="00627B10">
            <w:pPr>
              <w:pStyle w:val="TableText"/>
              <w:keepNext/>
              <w:rPr>
                <w:rFonts w:ascii="Arial" w:hAnsi="Arial" w:cs="Arial"/>
                <w:b/>
                <w:szCs w:val="22"/>
              </w:rPr>
            </w:pPr>
            <w:proofErr w:type="spellStart"/>
            <w:r w:rsidRPr="008E106E">
              <w:rPr>
                <w:rFonts w:ascii="Arial" w:hAnsi="Arial" w:cs="Arial"/>
                <w:b/>
                <w:szCs w:val="22"/>
              </w:rPr>
              <w:t>Gren</w:t>
            </w:r>
            <w:proofErr w:type="spellEnd"/>
            <w:r w:rsidRPr="008E106E">
              <w:rPr>
                <w:rFonts w:ascii="Arial" w:hAnsi="Arial" w:cs="Arial"/>
                <w:b/>
                <w:szCs w:val="22"/>
              </w:rPr>
              <w:t>.</w:t>
            </w:r>
          </w:p>
        </w:tc>
        <w:tc>
          <w:tcPr>
            <w:tcW w:w="786" w:type="dxa"/>
            <w:shd w:val="clear" w:color="auto" w:fill="BFBFBF" w:themeFill="background1" w:themeFillShade="BF"/>
          </w:tcPr>
          <w:p w14:paraId="368EC253" w14:textId="77777777" w:rsidR="00FC670E" w:rsidRPr="008E106E" w:rsidRDefault="00FC670E" w:rsidP="00627B10">
            <w:pPr>
              <w:pStyle w:val="TableText"/>
              <w:keepNext/>
              <w:rPr>
                <w:rFonts w:ascii="Arial" w:hAnsi="Arial" w:cs="Arial"/>
                <w:b/>
                <w:szCs w:val="22"/>
              </w:rPr>
            </w:pPr>
            <w:r w:rsidRPr="008E106E">
              <w:rPr>
                <w:rFonts w:ascii="Arial" w:hAnsi="Arial" w:cs="Arial"/>
                <w:b/>
                <w:szCs w:val="22"/>
              </w:rPr>
              <w:t>Nevis</w:t>
            </w:r>
          </w:p>
        </w:tc>
        <w:tc>
          <w:tcPr>
            <w:tcW w:w="943" w:type="dxa"/>
            <w:shd w:val="clear" w:color="auto" w:fill="BFBFBF" w:themeFill="background1" w:themeFillShade="BF"/>
          </w:tcPr>
          <w:p w14:paraId="1DC1CC63" w14:textId="77777777" w:rsidR="00FC670E" w:rsidRPr="008E106E" w:rsidRDefault="00FC670E" w:rsidP="00627B10">
            <w:pPr>
              <w:pStyle w:val="TableText"/>
              <w:keepNext/>
              <w:rPr>
                <w:rFonts w:ascii="Arial" w:hAnsi="Arial" w:cs="Arial"/>
                <w:b/>
                <w:szCs w:val="22"/>
              </w:rPr>
            </w:pPr>
            <w:r w:rsidRPr="008E106E">
              <w:rPr>
                <w:rFonts w:ascii="Arial" w:hAnsi="Arial" w:cs="Arial"/>
                <w:b/>
                <w:szCs w:val="22"/>
              </w:rPr>
              <w:t>SL</w:t>
            </w:r>
          </w:p>
        </w:tc>
        <w:tc>
          <w:tcPr>
            <w:tcW w:w="829" w:type="dxa"/>
            <w:shd w:val="clear" w:color="auto" w:fill="BFBFBF" w:themeFill="background1" w:themeFillShade="BF"/>
          </w:tcPr>
          <w:p w14:paraId="2ECAAA76" w14:textId="77777777" w:rsidR="00FC670E" w:rsidRPr="008E106E" w:rsidRDefault="00FC670E" w:rsidP="00627B10">
            <w:pPr>
              <w:pStyle w:val="TableText"/>
              <w:keepNext/>
              <w:rPr>
                <w:rFonts w:ascii="Arial" w:hAnsi="Arial" w:cs="Arial"/>
                <w:b/>
                <w:szCs w:val="22"/>
              </w:rPr>
            </w:pPr>
            <w:r w:rsidRPr="008E106E">
              <w:rPr>
                <w:rFonts w:ascii="Arial" w:hAnsi="Arial" w:cs="Arial"/>
                <w:b/>
                <w:szCs w:val="22"/>
              </w:rPr>
              <w:t>SVG</w:t>
            </w:r>
          </w:p>
        </w:tc>
      </w:tr>
      <w:tr w:rsidR="00FC670E" w:rsidRPr="008E106E" w14:paraId="167EBC65" w14:textId="77777777" w:rsidTr="00690D98">
        <w:trPr>
          <w:trHeight w:val="372"/>
        </w:trPr>
        <w:tc>
          <w:tcPr>
            <w:tcW w:w="8648" w:type="dxa"/>
            <w:gridSpan w:val="7"/>
            <w:shd w:val="clear" w:color="auto" w:fill="D9D9D9" w:themeFill="background1" w:themeFillShade="D9"/>
          </w:tcPr>
          <w:p w14:paraId="2FD19646" w14:textId="77777777" w:rsidR="00FC670E" w:rsidRPr="008E106E" w:rsidRDefault="00FC670E" w:rsidP="00627B10">
            <w:pPr>
              <w:pStyle w:val="TableText"/>
              <w:keepNext/>
              <w:rPr>
                <w:rFonts w:ascii="Arial" w:hAnsi="Arial" w:cs="Arial"/>
                <w:b/>
                <w:szCs w:val="22"/>
              </w:rPr>
            </w:pPr>
            <w:r w:rsidRPr="008E106E">
              <w:rPr>
                <w:rFonts w:ascii="Arial" w:hAnsi="Arial" w:cs="Arial"/>
                <w:b/>
                <w:szCs w:val="22"/>
              </w:rPr>
              <w:t>General Assumptions</w:t>
            </w:r>
          </w:p>
        </w:tc>
      </w:tr>
      <w:tr w:rsidR="00FC670E" w:rsidRPr="008E106E" w14:paraId="1A2C4AA2" w14:textId="77777777" w:rsidTr="00690D98">
        <w:trPr>
          <w:trHeight w:val="372"/>
        </w:trPr>
        <w:tc>
          <w:tcPr>
            <w:tcW w:w="3298" w:type="dxa"/>
          </w:tcPr>
          <w:p w14:paraId="170E34AD" w14:textId="77777777" w:rsidR="00FC670E" w:rsidRPr="008E106E" w:rsidRDefault="00FC670E" w:rsidP="00627B10">
            <w:pPr>
              <w:pStyle w:val="TableText"/>
              <w:keepNext/>
              <w:rPr>
                <w:rFonts w:ascii="Arial" w:hAnsi="Arial" w:cs="Arial"/>
                <w:szCs w:val="22"/>
              </w:rPr>
            </w:pPr>
            <w:r w:rsidRPr="008E106E">
              <w:rPr>
                <w:rFonts w:ascii="Arial" w:hAnsi="Arial" w:cs="Arial"/>
                <w:szCs w:val="22"/>
              </w:rPr>
              <w:t>Social Cost of one ton of CO</w:t>
            </w:r>
            <w:r w:rsidRPr="008E106E">
              <w:rPr>
                <w:rFonts w:ascii="Cambria Math" w:hAnsi="Cambria Math" w:cs="Cambria Math"/>
                <w:szCs w:val="22"/>
              </w:rPr>
              <w:t>₂</w:t>
            </w:r>
            <w:r w:rsidRPr="008E106E">
              <w:rPr>
                <w:rFonts w:ascii="Arial" w:hAnsi="Arial" w:cs="Arial"/>
                <w:szCs w:val="22"/>
              </w:rPr>
              <w:t xml:space="preserve"> emissions (US$/</w:t>
            </w:r>
            <w:proofErr w:type="spellStart"/>
            <w:r w:rsidRPr="008E106E">
              <w:rPr>
                <w:rFonts w:ascii="Arial" w:hAnsi="Arial" w:cs="Arial"/>
                <w:szCs w:val="22"/>
              </w:rPr>
              <w:t>tCO</w:t>
            </w:r>
            <w:proofErr w:type="spellEnd"/>
            <w:r w:rsidRPr="008E106E">
              <w:rPr>
                <w:rFonts w:ascii="Cambria Math" w:hAnsi="Cambria Math" w:cs="Cambria Math"/>
                <w:szCs w:val="22"/>
              </w:rPr>
              <w:t>₂</w:t>
            </w:r>
            <w:r w:rsidRPr="008E106E">
              <w:rPr>
                <w:rFonts w:ascii="Arial" w:hAnsi="Arial" w:cs="Arial"/>
                <w:szCs w:val="22"/>
              </w:rPr>
              <w:t xml:space="preserve">) </w:t>
            </w:r>
          </w:p>
        </w:tc>
        <w:tc>
          <w:tcPr>
            <w:tcW w:w="5350" w:type="dxa"/>
            <w:gridSpan w:val="6"/>
          </w:tcPr>
          <w:p w14:paraId="17079D5A" w14:textId="77777777" w:rsidR="00FC670E" w:rsidRPr="008E106E" w:rsidRDefault="00FC670E" w:rsidP="00627B10">
            <w:pPr>
              <w:pStyle w:val="TableText"/>
              <w:keepNext/>
              <w:jc w:val="center"/>
              <w:rPr>
                <w:rFonts w:ascii="Arial" w:hAnsi="Arial" w:cs="Arial"/>
                <w:szCs w:val="22"/>
              </w:rPr>
            </w:pPr>
            <w:r w:rsidRPr="008E106E">
              <w:rPr>
                <w:rFonts w:ascii="Arial" w:hAnsi="Arial" w:cs="Arial"/>
                <w:szCs w:val="22"/>
              </w:rPr>
              <w:t>10</w:t>
            </w:r>
            <w:r w:rsidRPr="008E106E">
              <w:rPr>
                <w:rStyle w:val="FootnoteReference"/>
                <w:rFonts w:ascii="Arial" w:hAnsi="Arial" w:cs="Arial"/>
                <w:sz w:val="22"/>
                <w:szCs w:val="22"/>
              </w:rPr>
              <w:footnoteReference w:id="6"/>
            </w:r>
          </w:p>
        </w:tc>
      </w:tr>
      <w:tr w:rsidR="00FC670E" w:rsidRPr="008E106E" w14:paraId="156DB8B5" w14:textId="77777777" w:rsidTr="00690D98">
        <w:trPr>
          <w:trHeight w:val="372"/>
        </w:trPr>
        <w:tc>
          <w:tcPr>
            <w:tcW w:w="3298" w:type="dxa"/>
          </w:tcPr>
          <w:p w14:paraId="3037E086" w14:textId="77777777" w:rsidR="00FC670E" w:rsidRPr="008E106E" w:rsidRDefault="00FC670E" w:rsidP="00627B10">
            <w:pPr>
              <w:pStyle w:val="TableText"/>
              <w:keepNext/>
              <w:rPr>
                <w:rFonts w:ascii="Arial" w:hAnsi="Arial" w:cs="Arial"/>
                <w:szCs w:val="22"/>
              </w:rPr>
            </w:pPr>
            <w:r w:rsidRPr="008E106E">
              <w:rPr>
                <w:rFonts w:ascii="Arial" w:hAnsi="Arial" w:cs="Arial"/>
                <w:szCs w:val="22"/>
              </w:rPr>
              <w:t>Pounds of CO</w:t>
            </w:r>
            <w:r w:rsidRPr="008E106E">
              <w:rPr>
                <w:rFonts w:ascii="Cambria Math" w:hAnsi="Cambria Math" w:cs="Cambria Math"/>
                <w:szCs w:val="22"/>
              </w:rPr>
              <w:t>₂</w:t>
            </w:r>
            <w:r w:rsidRPr="008E106E">
              <w:rPr>
                <w:rFonts w:ascii="Arial" w:hAnsi="Arial" w:cs="Arial"/>
                <w:szCs w:val="22"/>
              </w:rPr>
              <w:t xml:space="preserve"> emissions per kWh of electricity produced from fuel oil (No.2) (</w:t>
            </w:r>
            <w:proofErr w:type="spellStart"/>
            <w:r w:rsidRPr="008E106E">
              <w:rPr>
                <w:rFonts w:ascii="Arial" w:hAnsi="Arial" w:cs="Arial"/>
                <w:szCs w:val="22"/>
              </w:rPr>
              <w:t>tCO</w:t>
            </w:r>
            <w:proofErr w:type="spellEnd"/>
            <w:r w:rsidRPr="008E106E">
              <w:rPr>
                <w:rFonts w:ascii="Cambria Math" w:hAnsi="Cambria Math" w:cs="Cambria Math"/>
                <w:szCs w:val="22"/>
              </w:rPr>
              <w:t>₂</w:t>
            </w:r>
            <w:r w:rsidRPr="008E106E">
              <w:rPr>
                <w:rFonts w:ascii="Arial" w:hAnsi="Arial" w:cs="Arial"/>
                <w:szCs w:val="22"/>
              </w:rPr>
              <w:t>/MWh)</w:t>
            </w:r>
          </w:p>
        </w:tc>
        <w:tc>
          <w:tcPr>
            <w:tcW w:w="5350" w:type="dxa"/>
            <w:gridSpan w:val="6"/>
          </w:tcPr>
          <w:p w14:paraId="6AAD4CF1" w14:textId="7093FC45" w:rsidR="00FC670E" w:rsidRPr="008E106E" w:rsidRDefault="00FC670E" w:rsidP="00B92170">
            <w:pPr>
              <w:pStyle w:val="TableText"/>
              <w:keepNext/>
              <w:jc w:val="center"/>
              <w:rPr>
                <w:rFonts w:ascii="Arial" w:hAnsi="Arial" w:cs="Arial"/>
                <w:szCs w:val="22"/>
              </w:rPr>
            </w:pPr>
            <w:r w:rsidRPr="008E106E">
              <w:rPr>
                <w:rFonts w:ascii="Arial" w:hAnsi="Arial" w:cs="Arial"/>
                <w:szCs w:val="22"/>
              </w:rPr>
              <w:t>0.</w:t>
            </w:r>
            <w:r w:rsidR="00B92170" w:rsidRPr="008E106E">
              <w:rPr>
                <w:rFonts w:ascii="Arial" w:hAnsi="Arial" w:cs="Arial"/>
                <w:szCs w:val="22"/>
              </w:rPr>
              <w:t>76</w:t>
            </w:r>
            <w:r w:rsidRPr="008E106E">
              <w:rPr>
                <w:rStyle w:val="FootnoteReference"/>
                <w:rFonts w:ascii="Arial" w:hAnsi="Arial" w:cs="Arial"/>
                <w:sz w:val="22"/>
                <w:szCs w:val="22"/>
              </w:rPr>
              <w:footnoteReference w:id="7"/>
            </w:r>
          </w:p>
        </w:tc>
      </w:tr>
      <w:tr w:rsidR="00FC670E" w:rsidRPr="008E106E" w14:paraId="72574187" w14:textId="77777777" w:rsidTr="00690D98">
        <w:trPr>
          <w:trHeight w:val="372"/>
        </w:trPr>
        <w:tc>
          <w:tcPr>
            <w:tcW w:w="3298" w:type="dxa"/>
          </w:tcPr>
          <w:p w14:paraId="2D53B499" w14:textId="77777777" w:rsidR="00FC670E" w:rsidRPr="008E106E" w:rsidRDefault="00FC670E" w:rsidP="00627B10">
            <w:pPr>
              <w:pStyle w:val="TableText"/>
              <w:keepNext/>
              <w:rPr>
                <w:rFonts w:ascii="Arial" w:hAnsi="Arial" w:cs="Arial"/>
                <w:szCs w:val="22"/>
              </w:rPr>
            </w:pPr>
            <w:r w:rsidRPr="008E106E">
              <w:rPr>
                <w:rFonts w:ascii="Arial" w:hAnsi="Arial" w:cs="Arial"/>
                <w:szCs w:val="22"/>
              </w:rPr>
              <w:t>Discount rate (%)</w:t>
            </w:r>
          </w:p>
        </w:tc>
        <w:tc>
          <w:tcPr>
            <w:tcW w:w="5350" w:type="dxa"/>
            <w:gridSpan w:val="6"/>
          </w:tcPr>
          <w:p w14:paraId="7F4417F0" w14:textId="77777777" w:rsidR="00FC670E" w:rsidRPr="008E106E" w:rsidRDefault="00FC670E" w:rsidP="00627B10">
            <w:pPr>
              <w:pStyle w:val="TableText"/>
              <w:keepNext/>
              <w:jc w:val="center"/>
              <w:rPr>
                <w:rFonts w:ascii="Arial" w:hAnsi="Arial" w:cs="Arial"/>
                <w:szCs w:val="22"/>
              </w:rPr>
            </w:pPr>
            <w:r w:rsidRPr="008E106E">
              <w:rPr>
                <w:rFonts w:ascii="Arial" w:hAnsi="Arial" w:cs="Arial"/>
                <w:szCs w:val="22"/>
              </w:rPr>
              <w:t>0.12</w:t>
            </w:r>
          </w:p>
        </w:tc>
      </w:tr>
      <w:tr w:rsidR="00FC670E" w:rsidRPr="008E106E" w14:paraId="14F10011" w14:textId="77777777" w:rsidTr="00690D98">
        <w:trPr>
          <w:trHeight w:val="372"/>
        </w:trPr>
        <w:tc>
          <w:tcPr>
            <w:tcW w:w="8648" w:type="dxa"/>
            <w:gridSpan w:val="7"/>
            <w:shd w:val="clear" w:color="auto" w:fill="D9D9D9" w:themeFill="background1" w:themeFillShade="D9"/>
          </w:tcPr>
          <w:p w14:paraId="1879D51A" w14:textId="77777777" w:rsidR="00FC670E" w:rsidRPr="008E106E" w:rsidRDefault="00FC670E" w:rsidP="00627B10">
            <w:pPr>
              <w:pStyle w:val="TableText"/>
              <w:keepNext/>
              <w:rPr>
                <w:rFonts w:ascii="Arial" w:hAnsi="Arial" w:cs="Arial"/>
                <w:b/>
                <w:szCs w:val="22"/>
              </w:rPr>
            </w:pPr>
            <w:r w:rsidRPr="008E106E">
              <w:rPr>
                <w:rFonts w:ascii="Arial" w:hAnsi="Arial" w:cs="Arial"/>
                <w:b/>
                <w:szCs w:val="22"/>
              </w:rPr>
              <w:t>Assumptions for Geothermal Projects</w:t>
            </w:r>
          </w:p>
        </w:tc>
      </w:tr>
      <w:tr w:rsidR="00FC670E" w:rsidRPr="008E106E" w14:paraId="79AAF02C" w14:textId="77777777" w:rsidTr="00690D98">
        <w:trPr>
          <w:trHeight w:val="372"/>
        </w:trPr>
        <w:tc>
          <w:tcPr>
            <w:tcW w:w="3298" w:type="dxa"/>
          </w:tcPr>
          <w:p w14:paraId="7C9C59CC" w14:textId="77777777" w:rsidR="00FC670E" w:rsidRPr="008E106E" w:rsidRDefault="00FC670E" w:rsidP="00627B10">
            <w:pPr>
              <w:pStyle w:val="TableText"/>
              <w:keepNext/>
              <w:rPr>
                <w:rFonts w:ascii="Arial" w:hAnsi="Arial" w:cs="Arial"/>
                <w:szCs w:val="22"/>
              </w:rPr>
            </w:pPr>
            <w:r w:rsidRPr="008E106E">
              <w:rPr>
                <w:rFonts w:ascii="Arial" w:hAnsi="Arial" w:cs="Arial"/>
                <w:szCs w:val="22"/>
              </w:rPr>
              <w:t>Plant size (MW)</w:t>
            </w:r>
          </w:p>
        </w:tc>
        <w:tc>
          <w:tcPr>
            <w:tcW w:w="1039" w:type="dxa"/>
          </w:tcPr>
          <w:p w14:paraId="152DEE35" w14:textId="77777777" w:rsidR="00FC670E" w:rsidRPr="008E106E" w:rsidRDefault="00FC670E" w:rsidP="00627B10">
            <w:pPr>
              <w:pStyle w:val="TableText"/>
              <w:keepNext/>
              <w:jc w:val="right"/>
              <w:rPr>
                <w:rFonts w:ascii="Arial" w:hAnsi="Arial" w:cs="Arial"/>
                <w:szCs w:val="22"/>
              </w:rPr>
            </w:pPr>
            <w:r w:rsidRPr="008E106E">
              <w:rPr>
                <w:rFonts w:ascii="Arial" w:hAnsi="Arial" w:cs="Arial"/>
                <w:szCs w:val="22"/>
              </w:rPr>
              <w:t>60</w:t>
            </w:r>
          </w:p>
        </w:tc>
        <w:tc>
          <w:tcPr>
            <w:tcW w:w="943" w:type="dxa"/>
          </w:tcPr>
          <w:p w14:paraId="1E182DEA" w14:textId="77777777" w:rsidR="00FC670E" w:rsidRPr="008E106E" w:rsidRDefault="00FC670E" w:rsidP="00627B10">
            <w:pPr>
              <w:pStyle w:val="TableText"/>
              <w:keepNext/>
              <w:jc w:val="right"/>
              <w:rPr>
                <w:rFonts w:ascii="Arial" w:hAnsi="Arial" w:cs="Arial"/>
                <w:szCs w:val="22"/>
              </w:rPr>
            </w:pPr>
            <w:r w:rsidRPr="008E106E">
              <w:rPr>
                <w:rFonts w:ascii="Arial" w:hAnsi="Arial" w:cs="Arial"/>
                <w:szCs w:val="22"/>
              </w:rPr>
              <w:t>10</w:t>
            </w:r>
          </w:p>
        </w:tc>
        <w:tc>
          <w:tcPr>
            <w:tcW w:w="810" w:type="dxa"/>
          </w:tcPr>
          <w:p w14:paraId="20A62880" w14:textId="77777777" w:rsidR="00FC670E" w:rsidRPr="008E106E" w:rsidRDefault="00FC670E" w:rsidP="00627B10">
            <w:pPr>
              <w:pStyle w:val="TableText"/>
              <w:keepNext/>
              <w:jc w:val="right"/>
              <w:rPr>
                <w:rFonts w:ascii="Arial" w:hAnsi="Arial" w:cs="Arial"/>
                <w:szCs w:val="22"/>
              </w:rPr>
            </w:pPr>
            <w:r w:rsidRPr="008E106E">
              <w:rPr>
                <w:rFonts w:ascii="Arial" w:hAnsi="Arial" w:cs="Arial"/>
                <w:szCs w:val="22"/>
              </w:rPr>
              <w:t>10</w:t>
            </w:r>
          </w:p>
        </w:tc>
        <w:tc>
          <w:tcPr>
            <w:tcW w:w="786" w:type="dxa"/>
          </w:tcPr>
          <w:p w14:paraId="216C7CB6" w14:textId="77777777" w:rsidR="00FC670E" w:rsidRPr="008E106E" w:rsidRDefault="00FC670E" w:rsidP="00627B10">
            <w:pPr>
              <w:pStyle w:val="TableText"/>
              <w:keepNext/>
              <w:jc w:val="right"/>
              <w:rPr>
                <w:rFonts w:ascii="Arial" w:hAnsi="Arial" w:cs="Arial"/>
                <w:szCs w:val="22"/>
              </w:rPr>
            </w:pPr>
            <w:r w:rsidRPr="008E106E">
              <w:rPr>
                <w:rFonts w:ascii="Arial" w:hAnsi="Arial" w:cs="Arial"/>
                <w:szCs w:val="22"/>
              </w:rPr>
              <w:t>10</w:t>
            </w:r>
          </w:p>
        </w:tc>
        <w:tc>
          <w:tcPr>
            <w:tcW w:w="943" w:type="dxa"/>
          </w:tcPr>
          <w:p w14:paraId="59F90D29" w14:textId="77777777" w:rsidR="00FC670E" w:rsidRPr="008E106E" w:rsidRDefault="00FC670E" w:rsidP="00627B10">
            <w:pPr>
              <w:pStyle w:val="TableText"/>
              <w:keepNext/>
              <w:jc w:val="right"/>
              <w:rPr>
                <w:rFonts w:ascii="Arial" w:hAnsi="Arial" w:cs="Arial"/>
                <w:szCs w:val="22"/>
              </w:rPr>
            </w:pPr>
            <w:r w:rsidRPr="008E106E">
              <w:rPr>
                <w:rFonts w:ascii="Arial" w:hAnsi="Arial" w:cs="Arial"/>
                <w:szCs w:val="22"/>
              </w:rPr>
              <w:t>20</w:t>
            </w:r>
          </w:p>
        </w:tc>
        <w:tc>
          <w:tcPr>
            <w:tcW w:w="829" w:type="dxa"/>
          </w:tcPr>
          <w:p w14:paraId="427ABCD4" w14:textId="77777777" w:rsidR="00FC670E" w:rsidRPr="008E106E" w:rsidRDefault="00FC670E" w:rsidP="00627B10">
            <w:pPr>
              <w:pStyle w:val="TableText"/>
              <w:keepNext/>
              <w:jc w:val="right"/>
              <w:rPr>
                <w:rFonts w:ascii="Arial" w:hAnsi="Arial" w:cs="Arial"/>
                <w:szCs w:val="22"/>
              </w:rPr>
            </w:pPr>
            <w:r w:rsidRPr="008E106E">
              <w:rPr>
                <w:rFonts w:ascii="Arial" w:hAnsi="Arial" w:cs="Arial"/>
                <w:szCs w:val="22"/>
              </w:rPr>
              <w:t>10</w:t>
            </w:r>
          </w:p>
        </w:tc>
      </w:tr>
      <w:tr w:rsidR="00FC670E" w:rsidRPr="008E106E" w14:paraId="7EAD0824" w14:textId="77777777" w:rsidTr="00690D98">
        <w:trPr>
          <w:trHeight w:val="394"/>
        </w:trPr>
        <w:tc>
          <w:tcPr>
            <w:tcW w:w="3298" w:type="dxa"/>
          </w:tcPr>
          <w:p w14:paraId="2DCCBC0D" w14:textId="77777777" w:rsidR="00FC670E" w:rsidRPr="008E106E" w:rsidRDefault="00FC670E" w:rsidP="00627B10">
            <w:pPr>
              <w:pStyle w:val="TableText"/>
              <w:rPr>
                <w:rFonts w:ascii="Arial" w:hAnsi="Arial" w:cs="Arial"/>
                <w:szCs w:val="22"/>
              </w:rPr>
            </w:pPr>
            <w:r w:rsidRPr="008E106E">
              <w:rPr>
                <w:rFonts w:ascii="Arial" w:hAnsi="Arial" w:cs="Arial"/>
                <w:szCs w:val="22"/>
              </w:rPr>
              <w:t>Plant availability (%)</w:t>
            </w:r>
          </w:p>
        </w:tc>
        <w:tc>
          <w:tcPr>
            <w:tcW w:w="5350" w:type="dxa"/>
            <w:gridSpan w:val="6"/>
          </w:tcPr>
          <w:p w14:paraId="22570023" w14:textId="77777777" w:rsidR="00FC670E" w:rsidRPr="008E106E" w:rsidRDefault="00FC670E" w:rsidP="00627B10">
            <w:pPr>
              <w:pStyle w:val="TableText"/>
              <w:jc w:val="center"/>
              <w:rPr>
                <w:rFonts w:ascii="Arial" w:hAnsi="Arial" w:cs="Arial"/>
                <w:szCs w:val="22"/>
              </w:rPr>
            </w:pPr>
            <w:r w:rsidRPr="008E106E">
              <w:rPr>
                <w:rFonts w:ascii="Arial" w:hAnsi="Arial" w:cs="Arial"/>
                <w:szCs w:val="22"/>
              </w:rPr>
              <w:t xml:space="preserve">85 </w:t>
            </w:r>
          </w:p>
        </w:tc>
      </w:tr>
      <w:tr w:rsidR="00FC670E" w:rsidRPr="008E106E" w14:paraId="0499302A" w14:textId="77777777" w:rsidTr="00690D98">
        <w:trPr>
          <w:trHeight w:val="304"/>
        </w:trPr>
        <w:tc>
          <w:tcPr>
            <w:tcW w:w="3298" w:type="dxa"/>
          </w:tcPr>
          <w:p w14:paraId="4F1E4D94" w14:textId="77777777" w:rsidR="00FC670E" w:rsidRPr="008E106E" w:rsidRDefault="00FC670E" w:rsidP="00627B10">
            <w:pPr>
              <w:pStyle w:val="TableText"/>
              <w:rPr>
                <w:rFonts w:ascii="Arial" w:hAnsi="Arial" w:cs="Arial"/>
                <w:szCs w:val="22"/>
              </w:rPr>
            </w:pPr>
            <w:r w:rsidRPr="008E106E">
              <w:rPr>
                <w:rFonts w:ascii="Arial" w:hAnsi="Arial" w:cs="Arial"/>
                <w:szCs w:val="22"/>
              </w:rPr>
              <w:t>Total Capex (US$ million)</w:t>
            </w:r>
          </w:p>
        </w:tc>
        <w:tc>
          <w:tcPr>
            <w:tcW w:w="1039" w:type="dxa"/>
          </w:tcPr>
          <w:p w14:paraId="58931462" w14:textId="77777777" w:rsidR="00FC670E" w:rsidRPr="008E106E" w:rsidRDefault="00FC670E" w:rsidP="00627B10">
            <w:pPr>
              <w:pStyle w:val="TableText"/>
              <w:jc w:val="right"/>
              <w:rPr>
                <w:rFonts w:ascii="Arial" w:hAnsi="Arial" w:cs="Arial"/>
                <w:szCs w:val="22"/>
              </w:rPr>
            </w:pPr>
            <w:r w:rsidRPr="008E106E">
              <w:rPr>
                <w:rFonts w:ascii="Arial" w:hAnsi="Arial" w:cs="Arial"/>
                <w:szCs w:val="22"/>
              </w:rPr>
              <w:t>531.5</w:t>
            </w:r>
          </w:p>
        </w:tc>
        <w:tc>
          <w:tcPr>
            <w:tcW w:w="943" w:type="dxa"/>
          </w:tcPr>
          <w:p w14:paraId="1D81E9D7" w14:textId="77777777" w:rsidR="00FC670E" w:rsidRPr="008E106E" w:rsidRDefault="00FC670E" w:rsidP="00627B10">
            <w:pPr>
              <w:pStyle w:val="TableText"/>
              <w:jc w:val="right"/>
              <w:rPr>
                <w:rFonts w:ascii="Arial" w:hAnsi="Arial" w:cs="Arial"/>
                <w:szCs w:val="22"/>
              </w:rPr>
            </w:pPr>
            <w:r w:rsidRPr="008E106E">
              <w:rPr>
                <w:rFonts w:ascii="Arial" w:hAnsi="Arial" w:cs="Arial"/>
                <w:szCs w:val="22"/>
              </w:rPr>
              <w:t>68.3</w:t>
            </w:r>
          </w:p>
        </w:tc>
        <w:tc>
          <w:tcPr>
            <w:tcW w:w="810" w:type="dxa"/>
          </w:tcPr>
          <w:p w14:paraId="1BF4A8B6" w14:textId="77777777" w:rsidR="00FC670E" w:rsidRPr="008E106E" w:rsidRDefault="00FC670E" w:rsidP="00627B10">
            <w:pPr>
              <w:pStyle w:val="TableText"/>
              <w:jc w:val="right"/>
              <w:rPr>
                <w:rFonts w:ascii="Arial" w:hAnsi="Arial" w:cs="Arial"/>
                <w:szCs w:val="22"/>
              </w:rPr>
            </w:pPr>
            <w:r w:rsidRPr="008E106E">
              <w:rPr>
                <w:rFonts w:ascii="Arial" w:hAnsi="Arial" w:cs="Arial"/>
                <w:szCs w:val="22"/>
              </w:rPr>
              <w:t>102.3</w:t>
            </w:r>
          </w:p>
        </w:tc>
        <w:tc>
          <w:tcPr>
            <w:tcW w:w="786" w:type="dxa"/>
          </w:tcPr>
          <w:p w14:paraId="13F90C29" w14:textId="77777777" w:rsidR="00FC670E" w:rsidRPr="008E106E" w:rsidRDefault="00FC670E" w:rsidP="00627B10">
            <w:pPr>
              <w:pStyle w:val="TableText"/>
              <w:jc w:val="right"/>
              <w:rPr>
                <w:rFonts w:ascii="Arial" w:hAnsi="Arial" w:cs="Arial"/>
                <w:szCs w:val="22"/>
              </w:rPr>
            </w:pPr>
            <w:r w:rsidRPr="008E106E">
              <w:rPr>
                <w:rFonts w:ascii="Arial" w:hAnsi="Arial" w:cs="Arial"/>
                <w:szCs w:val="22"/>
              </w:rPr>
              <w:t>96.3</w:t>
            </w:r>
          </w:p>
        </w:tc>
        <w:tc>
          <w:tcPr>
            <w:tcW w:w="943" w:type="dxa"/>
          </w:tcPr>
          <w:p w14:paraId="545443A8" w14:textId="77777777" w:rsidR="00FC670E" w:rsidRPr="008E106E" w:rsidRDefault="00FC670E" w:rsidP="00627B10">
            <w:pPr>
              <w:pStyle w:val="TableText"/>
              <w:jc w:val="right"/>
              <w:rPr>
                <w:rFonts w:ascii="Arial" w:hAnsi="Arial" w:cs="Arial"/>
                <w:szCs w:val="22"/>
              </w:rPr>
            </w:pPr>
            <w:r w:rsidRPr="008E106E">
              <w:rPr>
                <w:rFonts w:ascii="Arial" w:hAnsi="Arial" w:cs="Arial"/>
                <w:szCs w:val="22"/>
              </w:rPr>
              <w:t>168.3</w:t>
            </w:r>
          </w:p>
        </w:tc>
        <w:tc>
          <w:tcPr>
            <w:tcW w:w="829" w:type="dxa"/>
          </w:tcPr>
          <w:p w14:paraId="3FB457CD" w14:textId="77777777" w:rsidR="00FC670E" w:rsidRPr="008E106E" w:rsidRDefault="00FC670E" w:rsidP="00627B10">
            <w:pPr>
              <w:pStyle w:val="TableText"/>
              <w:jc w:val="right"/>
              <w:rPr>
                <w:rFonts w:ascii="Arial" w:hAnsi="Arial" w:cs="Arial"/>
                <w:szCs w:val="22"/>
              </w:rPr>
            </w:pPr>
            <w:r w:rsidRPr="008E106E">
              <w:rPr>
                <w:rFonts w:ascii="Arial" w:hAnsi="Arial" w:cs="Arial"/>
                <w:szCs w:val="22"/>
              </w:rPr>
              <w:t>96.3</w:t>
            </w:r>
          </w:p>
        </w:tc>
      </w:tr>
      <w:tr w:rsidR="00FC670E" w:rsidRPr="008E106E" w14:paraId="1DEF6AB3" w14:textId="77777777" w:rsidTr="00690D98">
        <w:trPr>
          <w:trHeight w:val="372"/>
        </w:trPr>
        <w:tc>
          <w:tcPr>
            <w:tcW w:w="3298" w:type="dxa"/>
          </w:tcPr>
          <w:p w14:paraId="03D962D3" w14:textId="77777777" w:rsidR="00FC670E" w:rsidRPr="008E106E" w:rsidRDefault="00FC670E" w:rsidP="00627B10">
            <w:pPr>
              <w:pStyle w:val="TableText"/>
              <w:ind w:left="284"/>
              <w:rPr>
                <w:rFonts w:ascii="Arial" w:hAnsi="Arial" w:cs="Arial"/>
                <w:szCs w:val="22"/>
              </w:rPr>
            </w:pPr>
            <w:r w:rsidRPr="008E106E">
              <w:rPr>
                <w:rFonts w:ascii="Arial" w:hAnsi="Arial" w:cs="Arial"/>
                <w:szCs w:val="22"/>
              </w:rPr>
              <w:t>Pre-investment</w:t>
            </w:r>
          </w:p>
          <w:p w14:paraId="45B0E888" w14:textId="77777777" w:rsidR="00FC670E" w:rsidRPr="008E106E" w:rsidRDefault="00FC670E" w:rsidP="00627B10">
            <w:pPr>
              <w:pStyle w:val="TableText"/>
              <w:ind w:left="284"/>
              <w:rPr>
                <w:rFonts w:ascii="Arial" w:hAnsi="Arial" w:cs="Arial"/>
                <w:szCs w:val="22"/>
              </w:rPr>
            </w:pPr>
            <w:r w:rsidRPr="008E106E">
              <w:rPr>
                <w:rFonts w:ascii="Arial" w:hAnsi="Arial" w:cs="Arial"/>
                <w:szCs w:val="22"/>
              </w:rPr>
              <w:t xml:space="preserve">Exploration </w:t>
            </w:r>
          </w:p>
          <w:p w14:paraId="2ED585DE" w14:textId="77777777" w:rsidR="00FC670E" w:rsidRPr="008E106E" w:rsidRDefault="00FC670E" w:rsidP="00627B10">
            <w:pPr>
              <w:pStyle w:val="TableText"/>
              <w:ind w:left="284"/>
              <w:rPr>
                <w:rFonts w:ascii="Arial" w:hAnsi="Arial" w:cs="Arial"/>
                <w:szCs w:val="22"/>
              </w:rPr>
            </w:pPr>
            <w:r w:rsidRPr="008E106E">
              <w:rPr>
                <w:rFonts w:ascii="Arial" w:hAnsi="Arial" w:cs="Arial"/>
                <w:szCs w:val="22"/>
              </w:rPr>
              <w:t>Production Drilling</w:t>
            </w:r>
          </w:p>
          <w:p w14:paraId="507D7508" w14:textId="77777777" w:rsidR="00FC670E" w:rsidRPr="008E106E" w:rsidRDefault="00FC670E" w:rsidP="00627B10">
            <w:pPr>
              <w:pStyle w:val="TableText"/>
              <w:ind w:left="284"/>
              <w:rPr>
                <w:rFonts w:ascii="Arial" w:hAnsi="Arial" w:cs="Arial"/>
                <w:szCs w:val="22"/>
              </w:rPr>
            </w:pPr>
            <w:r w:rsidRPr="008E106E">
              <w:rPr>
                <w:rFonts w:ascii="Arial" w:hAnsi="Arial" w:cs="Arial"/>
                <w:szCs w:val="22"/>
              </w:rPr>
              <w:t>Power Plant Construction</w:t>
            </w:r>
          </w:p>
          <w:p w14:paraId="77FF9682" w14:textId="77777777" w:rsidR="00FC670E" w:rsidRPr="008E106E" w:rsidRDefault="00FC670E" w:rsidP="00627B10">
            <w:pPr>
              <w:pStyle w:val="TableText"/>
              <w:ind w:left="284"/>
              <w:rPr>
                <w:rFonts w:ascii="Arial" w:hAnsi="Arial" w:cs="Arial"/>
                <w:szCs w:val="22"/>
              </w:rPr>
            </w:pPr>
            <w:r w:rsidRPr="008E106E">
              <w:rPr>
                <w:rFonts w:ascii="Arial" w:hAnsi="Arial" w:cs="Arial"/>
                <w:szCs w:val="22"/>
              </w:rPr>
              <w:t>T&amp;D and Access Roads</w:t>
            </w:r>
          </w:p>
        </w:tc>
        <w:tc>
          <w:tcPr>
            <w:tcW w:w="1039" w:type="dxa"/>
          </w:tcPr>
          <w:p w14:paraId="233DFAEE" w14:textId="77777777" w:rsidR="00FC670E" w:rsidRPr="008E106E" w:rsidRDefault="00FC670E" w:rsidP="00627B10">
            <w:pPr>
              <w:pStyle w:val="TableText"/>
              <w:jc w:val="right"/>
              <w:rPr>
                <w:rFonts w:ascii="Arial" w:hAnsi="Arial" w:cs="Arial"/>
                <w:szCs w:val="22"/>
              </w:rPr>
            </w:pPr>
            <w:r w:rsidRPr="008E106E">
              <w:rPr>
                <w:rFonts w:ascii="Arial" w:hAnsi="Arial" w:cs="Arial"/>
                <w:szCs w:val="22"/>
              </w:rPr>
              <w:t>12</w:t>
            </w:r>
          </w:p>
          <w:p w14:paraId="1BD04020" w14:textId="77777777" w:rsidR="00FC670E" w:rsidRPr="008E106E" w:rsidRDefault="00FC670E" w:rsidP="00627B10">
            <w:pPr>
              <w:pStyle w:val="TableText"/>
              <w:jc w:val="right"/>
              <w:rPr>
                <w:rFonts w:ascii="Arial" w:hAnsi="Arial" w:cs="Arial"/>
                <w:szCs w:val="22"/>
              </w:rPr>
            </w:pPr>
            <w:r w:rsidRPr="008E106E">
              <w:rPr>
                <w:rFonts w:ascii="Arial" w:hAnsi="Arial" w:cs="Arial"/>
                <w:szCs w:val="22"/>
              </w:rPr>
              <w:t>56</w:t>
            </w:r>
          </w:p>
          <w:p w14:paraId="1F38BFED" w14:textId="77777777" w:rsidR="00FC670E" w:rsidRPr="008E106E" w:rsidRDefault="00FC670E" w:rsidP="00627B10">
            <w:pPr>
              <w:pStyle w:val="TableText"/>
              <w:jc w:val="right"/>
              <w:rPr>
                <w:rFonts w:ascii="Arial" w:hAnsi="Arial" w:cs="Arial"/>
                <w:szCs w:val="22"/>
              </w:rPr>
            </w:pPr>
            <w:r w:rsidRPr="008E106E">
              <w:rPr>
                <w:rFonts w:ascii="Arial" w:hAnsi="Arial" w:cs="Arial"/>
                <w:szCs w:val="22"/>
              </w:rPr>
              <w:t>112</w:t>
            </w:r>
          </w:p>
          <w:p w14:paraId="5F27B8B1" w14:textId="77777777" w:rsidR="00FC670E" w:rsidRPr="008E106E" w:rsidRDefault="00FC670E" w:rsidP="00627B10">
            <w:pPr>
              <w:pStyle w:val="TableText"/>
              <w:jc w:val="right"/>
              <w:rPr>
                <w:rFonts w:ascii="Arial" w:hAnsi="Arial" w:cs="Arial"/>
                <w:szCs w:val="22"/>
              </w:rPr>
            </w:pPr>
            <w:r w:rsidRPr="008E106E">
              <w:rPr>
                <w:rFonts w:ascii="Arial" w:hAnsi="Arial" w:cs="Arial"/>
                <w:szCs w:val="22"/>
              </w:rPr>
              <w:t>270</w:t>
            </w:r>
          </w:p>
          <w:p w14:paraId="11E55717" w14:textId="77777777" w:rsidR="00FC670E" w:rsidRPr="008E106E" w:rsidRDefault="00FC670E" w:rsidP="00627B10">
            <w:pPr>
              <w:pStyle w:val="TableText"/>
              <w:jc w:val="right"/>
              <w:rPr>
                <w:rFonts w:ascii="Arial" w:hAnsi="Arial" w:cs="Arial"/>
                <w:szCs w:val="22"/>
              </w:rPr>
            </w:pPr>
            <w:r w:rsidRPr="008E106E">
              <w:rPr>
                <w:rFonts w:ascii="Arial" w:hAnsi="Arial" w:cs="Arial"/>
                <w:szCs w:val="22"/>
              </w:rPr>
              <w:t>81.5</w:t>
            </w:r>
          </w:p>
        </w:tc>
        <w:tc>
          <w:tcPr>
            <w:tcW w:w="943" w:type="dxa"/>
          </w:tcPr>
          <w:p w14:paraId="264AB957" w14:textId="77777777" w:rsidR="00FC670E" w:rsidRPr="008E106E" w:rsidRDefault="00FC670E" w:rsidP="00627B10">
            <w:pPr>
              <w:pStyle w:val="TableText"/>
              <w:jc w:val="right"/>
              <w:rPr>
                <w:rFonts w:ascii="Arial" w:hAnsi="Arial" w:cs="Arial"/>
                <w:szCs w:val="22"/>
              </w:rPr>
            </w:pPr>
            <w:r w:rsidRPr="008E106E">
              <w:rPr>
                <w:rFonts w:ascii="Arial" w:hAnsi="Arial" w:cs="Arial"/>
                <w:szCs w:val="22"/>
              </w:rPr>
              <w:t>0</w:t>
            </w:r>
          </w:p>
          <w:p w14:paraId="1BB509FC" w14:textId="77777777" w:rsidR="00FC670E" w:rsidRPr="008E106E" w:rsidRDefault="00FC670E" w:rsidP="00627B10">
            <w:pPr>
              <w:pStyle w:val="TableText"/>
              <w:jc w:val="right"/>
              <w:rPr>
                <w:rFonts w:ascii="Arial" w:hAnsi="Arial" w:cs="Arial"/>
                <w:szCs w:val="22"/>
              </w:rPr>
            </w:pPr>
            <w:r w:rsidRPr="008E106E">
              <w:rPr>
                <w:rFonts w:ascii="Arial" w:hAnsi="Arial" w:cs="Arial"/>
                <w:szCs w:val="22"/>
              </w:rPr>
              <w:t>0</w:t>
            </w:r>
          </w:p>
          <w:p w14:paraId="0B4CD80D" w14:textId="77777777" w:rsidR="00FC670E" w:rsidRPr="008E106E" w:rsidRDefault="00FC670E" w:rsidP="00627B10">
            <w:pPr>
              <w:pStyle w:val="TableText"/>
              <w:jc w:val="right"/>
              <w:rPr>
                <w:rFonts w:ascii="Arial" w:hAnsi="Arial" w:cs="Arial"/>
                <w:szCs w:val="22"/>
              </w:rPr>
            </w:pPr>
            <w:r w:rsidRPr="008E106E">
              <w:rPr>
                <w:rFonts w:ascii="Arial" w:hAnsi="Arial" w:cs="Arial"/>
                <w:szCs w:val="22"/>
              </w:rPr>
              <w:t>7</w:t>
            </w:r>
          </w:p>
          <w:p w14:paraId="1E09137C" w14:textId="77777777" w:rsidR="00FC670E" w:rsidRPr="008E106E" w:rsidRDefault="00FC670E" w:rsidP="00627B10">
            <w:pPr>
              <w:pStyle w:val="TableText"/>
              <w:jc w:val="right"/>
              <w:rPr>
                <w:rFonts w:ascii="Arial" w:hAnsi="Arial" w:cs="Arial"/>
                <w:szCs w:val="22"/>
              </w:rPr>
            </w:pPr>
            <w:r w:rsidRPr="008E106E">
              <w:rPr>
                <w:rFonts w:ascii="Arial" w:hAnsi="Arial" w:cs="Arial"/>
                <w:szCs w:val="22"/>
              </w:rPr>
              <w:t>45</w:t>
            </w:r>
          </w:p>
          <w:p w14:paraId="5D3D4EB1" w14:textId="77777777" w:rsidR="00FC670E" w:rsidRPr="008E106E" w:rsidRDefault="00FC670E" w:rsidP="00627B10">
            <w:pPr>
              <w:pStyle w:val="TableText"/>
              <w:jc w:val="right"/>
              <w:rPr>
                <w:rFonts w:ascii="Arial" w:hAnsi="Arial" w:cs="Arial"/>
                <w:szCs w:val="22"/>
              </w:rPr>
            </w:pPr>
            <w:r w:rsidRPr="008E106E">
              <w:rPr>
                <w:rFonts w:ascii="Arial" w:hAnsi="Arial" w:cs="Arial"/>
                <w:szCs w:val="22"/>
              </w:rPr>
              <w:t>16.3</w:t>
            </w:r>
          </w:p>
        </w:tc>
        <w:tc>
          <w:tcPr>
            <w:tcW w:w="810" w:type="dxa"/>
          </w:tcPr>
          <w:p w14:paraId="1400C38E" w14:textId="77777777" w:rsidR="00FC670E" w:rsidRPr="008E106E" w:rsidRDefault="00FC670E" w:rsidP="00627B10">
            <w:pPr>
              <w:pStyle w:val="TableText"/>
              <w:jc w:val="right"/>
              <w:rPr>
                <w:rFonts w:ascii="Arial" w:hAnsi="Arial" w:cs="Arial"/>
                <w:szCs w:val="22"/>
              </w:rPr>
            </w:pPr>
            <w:r w:rsidRPr="008E106E">
              <w:rPr>
                <w:rFonts w:ascii="Arial" w:hAnsi="Arial" w:cs="Arial"/>
                <w:szCs w:val="22"/>
              </w:rPr>
              <w:t>6</w:t>
            </w:r>
          </w:p>
          <w:p w14:paraId="7C5ADD99" w14:textId="77777777" w:rsidR="00FC670E" w:rsidRPr="008E106E" w:rsidRDefault="00FC670E" w:rsidP="00627B10">
            <w:pPr>
              <w:pStyle w:val="TableText"/>
              <w:jc w:val="right"/>
              <w:rPr>
                <w:rFonts w:ascii="Arial" w:hAnsi="Arial" w:cs="Arial"/>
                <w:szCs w:val="22"/>
              </w:rPr>
            </w:pPr>
            <w:r w:rsidRPr="008E106E">
              <w:rPr>
                <w:rFonts w:ascii="Arial" w:hAnsi="Arial" w:cs="Arial"/>
                <w:szCs w:val="22"/>
              </w:rPr>
              <w:t>14</w:t>
            </w:r>
          </w:p>
          <w:p w14:paraId="44F42D91" w14:textId="77777777" w:rsidR="00FC670E" w:rsidRPr="008E106E" w:rsidRDefault="00FC670E" w:rsidP="00627B10">
            <w:pPr>
              <w:pStyle w:val="TableText"/>
              <w:jc w:val="right"/>
              <w:rPr>
                <w:rFonts w:ascii="Arial" w:hAnsi="Arial" w:cs="Arial"/>
                <w:szCs w:val="22"/>
              </w:rPr>
            </w:pPr>
            <w:r w:rsidRPr="008E106E">
              <w:rPr>
                <w:rFonts w:ascii="Arial" w:hAnsi="Arial" w:cs="Arial"/>
                <w:szCs w:val="22"/>
              </w:rPr>
              <w:t>21</w:t>
            </w:r>
          </w:p>
          <w:p w14:paraId="6684FE99" w14:textId="77777777" w:rsidR="00FC670E" w:rsidRPr="008E106E" w:rsidRDefault="00FC670E" w:rsidP="00627B10">
            <w:pPr>
              <w:pStyle w:val="TableText"/>
              <w:jc w:val="right"/>
              <w:rPr>
                <w:rFonts w:ascii="Arial" w:hAnsi="Arial" w:cs="Arial"/>
                <w:szCs w:val="22"/>
              </w:rPr>
            </w:pPr>
            <w:r w:rsidRPr="008E106E">
              <w:rPr>
                <w:rFonts w:ascii="Arial" w:hAnsi="Arial" w:cs="Arial"/>
                <w:szCs w:val="22"/>
              </w:rPr>
              <w:t>45</w:t>
            </w:r>
          </w:p>
          <w:p w14:paraId="17281524" w14:textId="77777777" w:rsidR="00FC670E" w:rsidRPr="008E106E" w:rsidRDefault="00FC670E" w:rsidP="00627B10">
            <w:pPr>
              <w:pStyle w:val="TableText"/>
              <w:jc w:val="right"/>
              <w:rPr>
                <w:rFonts w:ascii="Arial" w:hAnsi="Arial" w:cs="Arial"/>
                <w:szCs w:val="22"/>
              </w:rPr>
            </w:pPr>
            <w:r w:rsidRPr="008E106E">
              <w:rPr>
                <w:rFonts w:ascii="Arial" w:hAnsi="Arial" w:cs="Arial"/>
                <w:szCs w:val="22"/>
              </w:rPr>
              <w:t>16.3</w:t>
            </w:r>
          </w:p>
        </w:tc>
        <w:tc>
          <w:tcPr>
            <w:tcW w:w="786" w:type="dxa"/>
          </w:tcPr>
          <w:p w14:paraId="77BFCC95" w14:textId="77777777" w:rsidR="00FC670E" w:rsidRPr="008E106E" w:rsidRDefault="00FC670E" w:rsidP="00627B10">
            <w:pPr>
              <w:pStyle w:val="TableText"/>
              <w:jc w:val="right"/>
              <w:rPr>
                <w:rFonts w:ascii="Arial" w:hAnsi="Arial" w:cs="Arial"/>
                <w:szCs w:val="22"/>
              </w:rPr>
            </w:pPr>
            <w:r w:rsidRPr="008E106E">
              <w:rPr>
                <w:rFonts w:ascii="Arial" w:hAnsi="Arial" w:cs="Arial"/>
                <w:szCs w:val="22"/>
              </w:rPr>
              <w:t>0</w:t>
            </w:r>
          </w:p>
          <w:p w14:paraId="14186D69" w14:textId="77777777" w:rsidR="00FC670E" w:rsidRPr="008E106E" w:rsidRDefault="00FC670E" w:rsidP="00627B10">
            <w:pPr>
              <w:pStyle w:val="TableText"/>
              <w:jc w:val="right"/>
              <w:rPr>
                <w:rFonts w:ascii="Arial" w:hAnsi="Arial" w:cs="Arial"/>
                <w:szCs w:val="22"/>
              </w:rPr>
            </w:pPr>
            <w:r w:rsidRPr="008E106E">
              <w:rPr>
                <w:rFonts w:ascii="Arial" w:hAnsi="Arial" w:cs="Arial"/>
                <w:szCs w:val="22"/>
              </w:rPr>
              <w:t>14</w:t>
            </w:r>
          </w:p>
          <w:p w14:paraId="082A2399" w14:textId="77777777" w:rsidR="00FC670E" w:rsidRPr="008E106E" w:rsidRDefault="00FC670E" w:rsidP="00627B10">
            <w:pPr>
              <w:pStyle w:val="TableText"/>
              <w:jc w:val="right"/>
              <w:rPr>
                <w:rFonts w:ascii="Arial" w:hAnsi="Arial" w:cs="Arial"/>
                <w:szCs w:val="22"/>
              </w:rPr>
            </w:pPr>
            <w:r w:rsidRPr="008E106E">
              <w:rPr>
                <w:rFonts w:ascii="Arial" w:hAnsi="Arial" w:cs="Arial"/>
                <w:szCs w:val="22"/>
              </w:rPr>
              <w:t>21</w:t>
            </w:r>
          </w:p>
          <w:p w14:paraId="53A45EE0" w14:textId="77777777" w:rsidR="00FC670E" w:rsidRPr="008E106E" w:rsidRDefault="00FC670E" w:rsidP="00627B10">
            <w:pPr>
              <w:pStyle w:val="TableText"/>
              <w:jc w:val="right"/>
              <w:rPr>
                <w:rFonts w:ascii="Arial" w:hAnsi="Arial" w:cs="Arial"/>
                <w:szCs w:val="22"/>
              </w:rPr>
            </w:pPr>
            <w:r w:rsidRPr="008E106E">
              <w:rPr>
                <w:rFonts w:ascii="Arial" w:hAnsi="Arial" w:cs="Arial"/>
                <w:szCs w:val="22"/>
              </w:rPr>
              <w:t>45</w:t>
            </w:r>
          </w:p>
          <w:p w14:paraId="63D89D5A" w14:textId="77777777" w:rsidR="00FC670E" w:rsidRPr="008E106E" w:rsidRDefault="00FC670E" w:rsidP="00627B10">
            <w:pPr>
              <w:pStyle w:val="TableText"/>
              <w:jc w:val="right"/>
              <w:rPr>
                <w:rFonts w:ascii="Arial" w:hAnsi="Arial" w:cs="Arial"/>
                <w:szCs w:val="22"/>
              </w:rPr>
            </w:pPr>
            <w:r w:rsidRPr="008E106E">
              <w:rPr>
                <w:rFonts w:ascii="Arial" w:hAnsi="Arial" w:cs="Arial"/>
                <w:szCs w:val="22"/>
              </w:rPr>
              <w:t>16.3</w:t>
            </w:r>
          </w:p>
        </w:tc>
        <w:tc>
          <w:tcPr>
            <w:tcW w:w="943" w:type="dxa"/>
          </w:tcPr>
          <w:p w14:paraId="081967B5" w14:textId="77777777" w:rsidR="00FC670E" w:rsidRPr="008E106E" w:rsidRDefault="00FC670E" w:rsidP="00627B10">
            <w:pPr>
              <w:pStyle w:val="TableText"/>
              <w:jc w:val="right"/>
              <w:rPr>
                <w:rFonts w:ascii="Arial" w:hAnsi="Arial" w:cs="Arial"/>
                <w:szCs w:val="22"/>
              </w:rPr>
            </w:pPr>
            <w:r w:rsidRPr="008E106E">
              <w:rPr>
                <w:rFonts w:ascii="Arial" w:hAnsi="Arial" w:cs="Arial"/>
                <w:szCs w:val="22"/>
              </w:rPr>
              <w:t>6</w:t>
            </w:r>
          </w:p>
          <w:p w14:paraId="51AC2E58" w14:textId="77777777" w:rsidR="00FC670E" w:rsidRPr="008E106E" w:rsidRDefault="00FC670E" w:rsidP="00627B10">
            <w:pPr>
              <w:pStyle w:val="TableText"/>
              <w:jc w:val="right"/>
              <w:rPr>
                <w:rFonts w:ascii="Arial" w:hAnsi="Arial" w:cs="Arial"/>
                <w:szCs w:val="22"/>
              </w:rPr>
            </w:pPr>
            <w:r w:rsidRPr="008E106E">
              <w:rPr>
                <w:rFonts w:ascii="Arial" w:hAnsi="Arial" w:cs="Arial"/>
                <w:szCs w:val="22"/>
              </w:rPr>
              <w:t>14</w:t>
            </w:r>
          </w:p>
          <w:p w14:paraId="557ACA86" w14:textId="77777777" w:rsidR="00FC670E" w:rsidRPr="008E106E" w:rsidRDefault="00FC670E" w:rsidP="00627B10">
            <w:pPr>
              <w:pStyle w:val="TableText"/>
              <w:jc w:val="right"/>
              <w:rPr>
                <w:rFonts w:ascii="Arial" w:hAnsi="Arial" w:cs="Arial"/>
                <w:szCs w:val="22"/>
              </w:rPr>
            </w:pPr>
            <w:r w:rsidRPr="008E106E">
              <w:rPr>
                <w:rFonts w:ascii="Arial" w:hAnsi="Arial" w:cs="Arial"/>
                <w:szCs w:val="22"/>
              </w:rPr>
              <w:t>42</w:t>
            </w:r>
          </w:p>
          <w:p w14:paraId="62B84760" w14:textId="77777777" w:rsidR="00FC670E" w:rsidRPr="008E106E" w:rsidRDefault="00FC670E" w:rsidP="00627B10">
            <w:pPr>
              <w:pStyle w:val="TableText"/>
              <w:jc w:val="right"/>
              <w:rPr>
                <w:rFonts w:ascii="Arial" w:hAnsi="Arial" w:cs="Arial"/>
                <w:szCs w:val="22"/>
              </w:rPr>
            </w:pPr>
            <w:r w:rsidRPr="008E106E">
              <w:rPr>
                <w:rFonts w:ascii="Arial" w:hAnsi="Arial" w:cs="Arial"/>
                <w:szCs w:val="22"/>
              </w:rPr>
              <w:t>90</w:t>
            </w:r>
          </w:p>
          <w:p w14:paraId="52971FC4" w14:textId="77777777" w:rsidR="00FC670E" w:rsidRPr="008E106E" w:rsidRDefault="00FC670E" w:rsidP="00627B10">
            <w:pPr>
              <w:pStyle w:val="TableText"/>
              <w:jc w:val="right"/>
              <w:rPr>
                <w:rFonts w:ascii="Arial" w:hAnsi="Arial" w:cs="Arial"/>
                <w:szCs w:val="22"/>
              </w:rPr>
            </w:pPr>
            <w:r w:rsidRPr="008E106E">
              <w:rPr>
                <w:rFonts w:ascii="Arial" w:hAnsi="Arial" w:cs="Arial"/>
                <w:szCs w:val="22"/>
              </w:rPr>
              <w:t>16.3</w:t>
            </w:r>
          </w:p>
        </w:tc>
        <w:tc>
          <w:tcPr>
            <w:tcW w:w="829" w:type="dxa"/>
          </w:tcPr>
          <w:p w14:paraId="0AAA7FA4" w14:textId="77777777" w:rsidR="00FC670E" w:rsidRPr="008E106E" w:rsidRDefault="00FC670E" w:rsidP="00627B10">
            <w:pPr>
              <w:pStyle w:val="TableText"/>
              <w:jc w:val="right"/>
              <w:rPr>
                <w:rFonts w:ascii="Arial" w:hAnsi="Arial" w:cs="Arial"/>
                <w:szCs w:val="22"/>
              </w:rPr>
            </w:pPr>
            <w:r w:rsidRPr="008E106E">
              <w:rPr>
                <w:rFonts w:ascii="Arial" w:hAnsi="Arial" w:cs="Arial"/>
                <w:szCs w:val="22"/>
              </w:rPr>
              <w:t>0</w:t>
            </w:r>
          </w:p>
          <w:p w14:paraId="49EF7D76" w14:textId="77777777" w:rsidR="00FC670E" w:rsidRPr="008E106E" w:rsidRDefault="00FC670E" w:rsidP="00627B10">
            <w:pPr>
              <w:pStyle w:val="TableText"/>
              <w:jc w:val="right"/>
              <w:rPr>
                <w:rFonts w:ascii="Arial" w:hAnsi="Arial" w:cs="Arial"/>
                <w:szCs w:val="22"/>
              </w:rPr>
            </w:pPr>
            <w:r w:rsidRPr="008E106E">
              <w:rPr>
                <w:rFonts w:ascii="Arial" w:hAnsi="Arial" w:cs="Arial"/>
                <w:szCs w:val="22"/>
              </w:rPr>
              <w:t>14</w:t>
            </w:r>
          </w:p>
          <w:p w14:paraId="03ACEB44" w14:textId="77777777" w:rsidR="00FC670E" w:rsidRPr="008E106E" w:rsidRDefault="00FC670E" w:rsidP="00627B10">
            <w:pPr>
              <w:pStyle w:val="TableText"/>
              <w:jc w:val="right"/>
              <w:rPr>
                <w:rFonts w:ascii="Arial" w:hAnsi="Arial" w:cs="Arial"/>
                <w:szCs w:val="22"/>
              </w:rPr>
            </w:pPr>
            <w:r w:rsidRPr="008E106E">
              <w:rPr>
                <w:rFonts w:ascii="Arial" w:hAnsi="Arial" w:cs="Arial"/>
                <w:szCs w:val="22"/>
              </w:rPr>
              <w:t>21</w:t>
            </w:r>
          </w:p>
          <w:p w14:paraId="1BCA498D" w14:textId="77777777" w:rsidR="00FC670E" w:rsidRPr="008E106E" w:rsidRDefault="00FC670E" w:rsidP="00627B10">
            <w:pPr>
              <w:pStyle w:val="TableText"/>
              <w:jc w:val="right"/>
              <w:rPr>
                <w:rFonts w:ascii="Arial" w:hAnsi="Arial" w:cs="Arial"/>
                <w:szCs w:val="22"/>
              </w:rPr>
            </w:pPr>
            <w:r w:rsidRPr="008E106E">
              <w:rPr>
                <w:rFonts w:ascii="Arial" w:hAnsi="Arial" w:cs="Arial"/>
                <w:szCs w:val="22"/>
              </w:rPr>
              <w:t>45</w:t>
            </w:r>
          </w:p>
          <w:p w14:paraId="3A746264" w14:textId="77777777" w:rsidR="00FC670E" w:rsidRPr="008E106E" w:rsidRDefault="00FC670E" w:rsidP="00627B10">
            <w:pPr>
              <w:pStyle w:val="TableText"/>
              <w:jc w:val="right"/>
              <w:rPr>
                <w:rFonts w:ascii="Arial" w:hAnsi="Arial" w:cs="Arial"/>
                <w:szCs w:val="22"/>
              </w:rPr>
            </w:pPr>
            <w:r w:rsidRPr="008E106E">
              <w:rPr>
                <w:rFonts w:ascii="Arial" w:hAnsi="Arial" w:cs="Arial"/>
                <w:szCs w:val="22"/>
              </w:rPr>
              <w:t>16.3</w:t>
            </w:r>
          </w:p>
        </w:tc>
      </w:tr>
      <w:tr w:rsidR="00FC670E" w:rsidRPr="008E106E" w14:paraId="022A25A4" w14:textId="77777777" w:rsidTr="00690D98">
        <w:trPr>
          <w:trHeight w:val="372"/>
        </w:trPr>
        <w:tc>
          <w:tcPr>
            <w:tcW w:w="3298" w:type="dxa"/>
          </w:tcPr>
          <w:p w14:paraId="04DD1CBD" w14:textId="77777777" w:rsidR="00FC670E" w:rsidRPr="008E106E" w:rsidRDefault="00FC670E" w:rsidP="00627B10">
            <w:pPr>
              <w:pStyle w:val="TableText"/>
              <w:rPr>
                <w:rFonts w:ascii="Arial" w:hAnsi="Arial" w:cs="Arial"/>
                <w:szCs w:val="22"/>
                <w:highlight w:val="yellow"/>
              </w:rPr>
            </w:pPr>
            <w:r w:rsidRPr="008E106E">
              <w:rPr>
                <w:rFonts w:ascii="Arial" w:hAnsi="Arial" w:cs="Arial"/>
                <w:szCs w:val="22"/>
              </w:rPr>
              <w:t>Operating cost of electricity from geothermal generation (US$/kWh)</w:t>
            </w:r>
          </w:p>
        </w:tc>
        <w:tc>
          <w:tcPr>
            <w:tcW w:w="5350" w:type="dxa"/>
            <w:gridSpan w:val="6"/>
          </w:tcPr>
          <w:p w14:paraId="31A42B9E" w14:textId="77777777" w:rsidR="00FC670E" w:rsidRPr="008E106E" w:rsidRDefault="00FC670E" w:rsidP="00627B10">
            <w:pPr>
              <w:pStyle w:val="TableText"/>
              <w:jc w:val="center"/>
              <w:rPr>
                <w:rFonts w:ascii="Arial" w:hAnsi="Arial" w:cs="Arial"/>
                <w:szCs w:val="22"/>
              </w:rPr>
            </w:pPr>
            <w:r w:rsidRPr="008E106E">
              <w:rPr>
                <w:rFonts w:ascii="Arial" w:hAnsi="Arial" w:cs="Arial"/>
                <w:szCs w:val="22"/>
              </w:rPr>
              <w:t>0.02</w:t>
            </w:r>
            <w:r w:rsidRPr="008E106E">
              <w:rPr>
                <w:rStyle w:val="FootnoteReference"/>
                <w:rFonts w:ascii="Arial" w:hAnsi="Arial" w:cs="Arial"/>
                <w:sz w:val="22"/>
                <w:szCs w:val="22"/>
              </w:rPr>
              <w:footnoteReference w:id="8"/>
            </w:r>
          </w:p>
        </w:tc>
      </w:tr>
      <w:tr w:rsidR="00FC670E" w:rsidRPr="008E106E" w14:paraId="1F612E0E" w14:textId="77777777" w:rsidTr="00690D98">
        <w:trPr>
          <w:trHeight w:val="372"/>
        </w:trPr>
        <w:tc>
          <w:tcPr>
            <w:tcW w:w="3298" w:type="dxa"/>
          </w:tcPr>
          <w:p w14:paraId="25F2C4DE" w14:textId="77777777" w:rsidR="00FC670E" w:rsidRPr="008E106E" w:rsidRDefault="00FC670E" w:rsidP="00627B10">
            <w:pPr>
              <w:pStyle w:val="TableText"/>
              <w:rPr>
                <w:rFonts w:ascii="Arial" w:hAnsi="Arial" w:cs="Arial"/>
                <w:szCs w:val="22"/>
              </w:rPr>
            </w:pPr>
            <w:r w:rsidRPr="008E106E">
              <w:rPr>
                <w:rFonts w:ascii="Arial" w:hAnsi="Arial" w:cs="Arial"/>
                <w:szCs w:val="22"/>
              </w:rPr>
              <w:t>Avoided cost of fuel oil generation (US$)</w:t>
            </w:r>
          </w:p>
        </w:tc>
        <w:tc>
          <w:tcPr>
            <w:tcW w:w="1039" w:type="dxa"/>
            <w:shd w:val="clear" w:color="auto" w:fill="A6A6A6" w:themeFill="background1" w:themeFillShade="A6"/>
          </w:tcPr>
          <w:p w14:paraId="6D774CA5" w14:textId="77777777" w:rsidR="00FC670E" w:rsidRPr="008E106E" w:rsidRDefault="00FC670E" w:rsidP="00627B10">
            <w:pPr>
              <w:pStyle w:val="TableText"/>
              <w:rPr>
                <w:rFonts w:ascii="Arial" w:hAnsi="Arial" w:cs="Arial"/>
                <w:szCs w:val="22"/>
              </w:rPr>
            </w:pPr>
          </w:p>
        </w:tc>
        <w:tc>
          <w:tcPr>
            <w:tcW w:w="943" w:type="dxa"/>
          </w:tcPr>
          <w:p w14:paraId="14C4382D" w14:textId="77777777" w:rsidR="00FC670E" w:rsidRPr="008E106E" w:rsidRDefault="00FC670E" w:rsidP="00627B10">
            <w:pPr>
              <w:pStyle w:val="TableText"/>
              <w:rPr>
                <w:rFonts w:ascii="Arial" w:hAnsi="Arial" w:cs="Arial"/>
                <w:szCs w:val="22"/>
              </w:rPr>
            </w:pPr>
            <w:r w:rsidRPr="008E106E">
              <w:rPr>
                <w:rFonts w:ascii="Arial" w:hAnsi="Arial" w:cs="Arial"/>
                <w:szCs w:val="22"/>
              </w:rPr>
              <w:t>0.174</w:t>
            </w:r>
          </w:p>
        </w:tc>
        <w:tc>
          <w:tcPr>
            <w:tcW w:w="810" w:type="dxa"/>
          </w:tcPr>
          <w:p w14:paraId="46ABCEEB" w14:textId="77777777" w:rsidR="00FC670E" w:rsidRPr="008E106E" w:rsidRDefault="00FC670E" w:rsidP="00627B10">
            <w:pPr>
              <w:pStyle w:val="TableText"/>
              <w:rPr>
                <w:rFonts w:ascii="Arial" w:hAnsi="Arial" w:cs="Arial"/>
                <w:szCs w:val="22"/>
              </w:rPr>
            </w:pPr>
            <w:r w:rsidRPr="008E106E">
              <w:rPr>
                <w:rFonts w:ascii="Arial" w:hAnsi="Arial" w:cs="Arial"/>
                <w:szCs w:val="22"/>
              </w:rPr>
              <w:t>0.205</w:t>
            </w:r>
          </w:p>
        </w:tc>
        <w:tc>
          <w:tcPr>
            <w:tcW w:w="786" w:type="dxa"/>
          </w:tcPr>
          <w:p w14:paraId="482DEC88" w14:textId="77777777" w:rsidR="00FC670E" w:rsidRPr="008E106E" w:rsidRDefault="00FC670E" w:rsidP="00627B10">
            <w:pPr>
              <w:pStyle w:val="TableText"/>
              <w:rPr>
                <w:rFonts w:ascii="Arial" w:hAnsi="Arial" w:cs="Arial"/>
                <w:szCs w:val="22"/>
              </w:rPr>
            </w:pPr>
            <w:r w:rsidRPr="008E106E">
              <w:rPr>
                <w:rFonts w:ascii="Arial" w:hAnsi="Arial" w:cs="Arial"/>
                <w:szCs w:val="22"/>
              </w:rPr>
              <w:t>0.192</w:t>
            </w:r>
          </w:p>
        </w:tc>
        <w:tc>
          <w:tcPr>
            <w:tcW w:w="943" w:type="dxa"/>
          </w:tcPr>
          <w:p w14:paraId="24D7EB1C" w14:textId="77777777" w:rsidR="00FC670E" w:rsidRPr="008E106E" w:rsidRDefault="00FC670E" w:rsidP="00627B10">
            <w:pPr>
              <w:pStyle w:val="TableText"/>
              <w:rPr>
                <w:rFonts w:ascii="Arial" w:hAnsi="Arial" w:cs="Arial"/>
                <w:szCs w:val="22"/>
              </w:rPr>
            </w:pPr>
            <w:r w:rsidRPr="008E106E">
              <w:rPr>
                <w:rFonts w:ascii="Arial" w:hAnsi="Arial" w:cs="Arial"/>
                <w:szCs w:val="22"/>
              </w:rPr>
              <w:t>0.20</w:t>
            </w:r>
          </w:p>
        </w:tc>
        <w:tc>
          <w:tcPr>
            <w:tcW w:w="829" w:type="dxa"/>
          </w:tcPr>
          <w:p w14:paraId="0A635283" w14:textId="77777777" w:rsidR="00FC670E" w:rsidRPr="008E106E" w:rsidRDefault="00FC670E" w:rsidP="00627B10">
            <w:pPr>
              <w:pStyle w:val="TableText"/>
              <w:rPr>
                <w:rFonts w:ascii="Arial" w:hAnsi="Arial" w:cs="Arial"/>
                <w:szCs w:val="22"/>
              </w:rPr>
            </w:pPr>
            <w:r w:rsidRPr="008E106E">
              <w:rPr>
                <w:rFonts w:ascii="Arial" w:hAnsi="Arial" w:cs="Arial"/>
                <w:szCs w:val="22"/>
              </w:rPr>
              <w:t>0.189</w:t>
            </w:r>
          </w:p>
        </w:tc>
      </w:tr>
      <w:tr w:rsidR="00BB17F5" w:rsidRPr="008E106E" w14:paraId="02995EDB" w14:textId="77777777" w:rsidTr="00B218BC">
        <w:trPr>
          <w:trHeight w:val="42"/>
        </w:trPr>
        <w:tc>
          <w:tcPr>
            <w:tcW w:w="3298" w:type="dxa"/>
          </w:tcPr>
          <w:p w14:paraId="7C315626" w14:textId="77777777" w:rsidR="00FC670E" w:rsidRPr="008E106E" w:rsidRDefault="00FC670E" w:rsidP="00627B10">
            <w:pPr>
              <w:pStyle w:val="TableText"/>
              <w:keepNext/>
              <w:rPr>
                <w:rFonts w:ascii="Arial" w:hAnsi="Arial" w:cs="Arial"/>
                <w:szCs w:val="22"/>
              </w:rPr>
            </w:pPr>
            <w:r w:rsidRPr="008E106E">
              <w:rPr>
                <w:rFonts w:ascii="Arial" w:hAnsi="Arial" w:cs="Arial"/>
                <w:szCs w:val="22"/>
              </w:rPr>
              <w:t>Avoided cost of electricity expenditures (US$)</w:t>
            </w:r>
          </w:p>
          <w:p w14:paraId="0BC2F7BA" w14:textId="77777777" w:rsidR="00FC670E" w:rsidRPr="008E106E" w:rsidRDefault="00FC670E" w:rsidP="00627B10">
            <w:pPr>
              <w:pStyle w:val="TableText"/>
              <w:rPr>
                <w:rFonts w:ascii="Arial" w:hAnsi="Arial" w:cs="Arial"/>
                <w:szCs w:val="22"/>
              </w:rPr>
            </w:pPr>
          </w:p>
        </w:tc>
        <w:tc>
          <w:tcPr>
            <w:tcW w:w="1039" w:type="dxa"/>
            <w:shd w:val="clear" w:color="auto" w:fill="A6A6A6" w:themeFill="background1" w:themeFillShade="A6"/>
          </w:tcPr>
          <w:p w14:paraId="51A66114" w14:textId="77777777" w:rsidR="00FC670E" w:rsidRPr="008E106E" w:rsidRDefault="00FC670E" w:rsidP="00627B10">
            <w:pPr>
              <w:pStyle w:val="TableText"/>
              <w:rPr>
                <w:rFonts w:ascii="Arial" w:hAnsi="Arial" w:cs="Arial"/>
                <w:szCs w:val="22"/>
              </w:rPr>
            </w:pPr>
          </w:p>
        </w:tc>
        <w:tc>
          <w:tcPr>
            <w:tcW w:w="943" w:type="dxa"/>
          </w:tcPr>
          <w:p w14:paraId="76E7132E" w14:textId="77777777" w:rsidR="00FC670E" w:rsidRPr="008E106E" w:rsidRDefault="00FC670E" w:rsidP="00627B10">
            <w:pPr>
              <w:pStyle w:val="TableText"/>
              <w:rPr>
                <w:rFonts w:ascii="Arial" w:hAnsi="Arial" w:cs="Arial"/>
                <w:szCs w:val="22"/>
              </w:rPr>
            </w:pPr>
            <w:r w:rsidRPr="008E106E">
              <w:rPr>
                <w:rFonts w:ascii="Arial" w:hAnsi="Arial" w:cs="Arial"/>
                <w:szCs w:val="22"/>
              </w:rPr>
              <w:t>0.26</w:t>
            </w:r>
            <w:r w:rsidRPr="008E106E">
              <w:rPr>
                <w:rStyle w:val="FootnoteReference"/>
                <w:rFonts w:ascii="Arial" w:hAnsi="Arial" w:cs="Arial"/>
                <w:sz w:val="22"/>
                <w:szCs w:val="22"/>
              </w:rPr>
              <w:footnoteReference w:id="9"/>
            </w:r>
          </w:p>
        </w:tc>
        <w:tc>
          <w:tcPr>
            <w:tcW w:w="810" w:type="dxa"/>
            <w:shd w:val="clear" w:color="auto" w:fill="A6A6A6" w:themeFill="background1" w:themeFillShade="A6"/>
          </w:tcPr>
          <w:p w14:paraId="19D7C087" w14:textId="77777777" w:rsidR="00FC670E" w:rsidRPr="008E106E" w:rsidRDefault="00FC670E" w:rsidP="00627B10">
            <w:pPr>
              <w:pStyle w:val="TableText"/>
              <w:rPr>
                <w:rFonts w:ascii="Arial" w:hAnsi="Arial" w:cs="Arial"/>
                <w:szCs w:val="22"/>
              </w:rPr>
            </w:pPr>
          </w:p>
        </w:tc>
        <w:tc>
          <w:tcPr>
            <w:tcW w:w="786" w:type="dxa"/>
            <w:shd w:val="clear" w:color="auto" w:fill="A6A6A6" w:themeFill="background1" w:themeFillShade="A6"/>
          </w:tcPr>
          <w:p w14:paraId="0501B56B" w14:textId="77777777" w:rsidR="00FC670E" w:rsidRPr="008E106E" w:rsidRDefault="00FC670E" w:rsidP="00627B10">
            <w:pPr>
              <w:pStyle w:val="TableText"/>
              <w:rPr>
                <w:rFonts w:ascii="Arial" w:hAnsi="Arial" w:cs="Arial"/>
                <w:szCs w:val="22"/>
              </w:rPr>
            </w:pPr>
          </w:p>
        </w:tc>
        <w:tc>
          <w:tcPr>
            <w:tcW w:w="943" w:type="dxa"/>
          </w:tcPr>
          <w:p w14:paraId="2D996A17" w14:textId="77777777" w:rsidR="00FC670E" w:rsidRPr="008E106E" w:rsidRDefault="00FC670E" w:rsidP="00627B10">
            <w:pPr>
              <w:pStyle w:val="TableText"/>
              <w:rPr>
                <w:rFonts w:ascii="Arial" w:hAnsi="Arial" w:cs="Arial"/>
                <w:szCs w:val="22"/>
              </w:rPr>
            </w:pPr>
            <w:r w:rsidRPr="008E106E">
              <w:rPr>
                <w:rFonts w:ascii="Arial" w:hAnsi="Arial" w:cs="Arial"/>
                <w:szCs w:val="22"/>
              </w:rPr>
              <w:t>0.39</w:t>
            </w:r>
            <w:r w:rsidRPr="008E106E">
              <w:rPr>
                <w:rStyle w:val="FootnoteReference"/>
                <w:rFonts w:ascii="Arial" w:hAnsi="Arial" w:cs="Arial"/>
                <w:sz w:val="22"/>
                <w:szCs w:val="22"/>
              </w:rPr>
              <w:footnoteReference w:id="10"/>
            </w:r>
          </w:p>
        </w:tc>
        <w:tc>
          <w:tcPr>
            <w:tcW w:w="829" w:type="dxa"/>
            <w:shd w:val="clear" w:color="auto" w:fill="A6A6A6" w:themeFill="background1" w:themeFillShade="A6"/>
          </w:tcPr>
          <w:p w14:paraId="7187D23D" w14:textId="77777777" w:rsidR="00FC670E" w:rsidRPr="008E106E" w:rsidRDefault="00FC670E" w:rsidP="00627B10">
            <w:pPr>
              <w:pStyle w:val="TableText"/>
              <w:rPr>
                <w:rFonts w:ascii="Arial" w:hAnsi="Arial" w:cs="Arial"/>
                <w:szCs w:val="22"/>
              </w:rPr>
            </w:pPr>
          </w:p>
        </w:tc>
      </w:tr>
      <w:tr w:rsidR="00BB17F5" w:rsidRPr="008E106E" w14:paraId="3C7C1762" w14:textId="77777777" w:rsidTr="00B218BC">
        <w:trPr>
          <w:trHeight w:val="372"/>
        </w:trPr>
        <w:tc>
          <w:tcPr>
            <w:tcW w:w="3298" w:type="dxa"/>
          </w:tcPr>
          <w:p w14:paraId="6796A4A8" w14:textId="77777777" w:rsidR="00BB17F5" w:rsidRPr="008E106E" w:rsidRDefault="00BB17F5" w:rsidP="00372613">
            <w:pPr>
              <w:pStyle w:val="TableText"/>
              <w:rPr>
                <w:rFonts w:ascii="Arial" w:hAnsi="Arial" w:cs="Arial"/>
                <w:szCs w:val="22"/>
              </w:rPr>
            </w:pPr>
            <w:r w:rsidRPr="008A49BC">
              <w:rPr>
                <w:rFonts w:ascii="Arial" w:hAnsi="Arial" w:cs="Arial"/>
                <w:bCs/>
                <w:sz w:val="20"/>
                <w:szCs w:val="20"/>
              </w:rPr>
              <w:t>Average electricity tariff for customers in ECC</w:t>
            </w:r>
            <w:r>
              <w:rPr>
                <w:rFonts w:ascii="Arial" w:hAnsi="Arial" w:cs="Arial"/>
                <w:bCs/>
                <w:sz w:val="20"/>
                <w:szCs w:val="20"/>
              </w:rPr>
              <w:t xml:space="preserve"> in 2015 (US$/</w:t>
            </w:r>
            <w:proofErr w:type="spellStart"/>
            <w:r>
              <w:rPr>
                <w:rFonts w:ascii="Arial" w:hAnsi="Arial" w:cs="Arial"/>
                <w:bCs/>
                <w:sz w:val="20"/>
                <w:szCs w:val="20"/>
              </w:rPr>
              <w:t>KWh</w:t>
            </w:r>
            <w:proofErr w:type="spellEnd"/>
            <w:r>
              <w:rPr>
                <w:rFonts w:ascii="Arial" w:hAnsi="Arial" w:cs="Arial"/>
                <w:bCs/>
                <w:sz w:val="20"/>
                <w:szCs w:val="20"/>
              </w:rPr>
              <w:t>)</w:t>
            </w:r>
          </w:p>
        </w:tc>
        <w:tc>
          <w:tcPr>
            <w:tcW w:w="1039" w:type="dxa"/>
          </w:tcPr>
          <w:p w14:paraId="1937A54A" w14:textId="77777777" w:rsidR="00BB17F5" w:rsidRPr="008E106E" w:rsidRDefault="00BB17F5" w:rsidP="00372613">
            <w:pPr>
              <w:pStyle w:val="TableText"/>
              <w:rPr>
                <w:rFonts w:ascii="Arial" w:hAnsi="Arial" w:cs="Arial"/>
                <w:szCs w:val="22"/>
              </w:rPr>
            </w:pPr>
            <w:r>
              <w:rPr>
                <w:rFonts w:ascii="Arial" w:hAnsi="Arial" w:cs="Arial"/>
                <w:sz w:val="20"/>
                <w:szCs w:val="20"/>
              </w:rPr>
              <w:t>0.33</w:t>
            </w:r>
          </w:p>
        </w:tc>
        <w:tc>
          <w:tcPr>
            <w:tcW w:w="943" w:type="dxa"/>
          </w:tcPr>
          <w:p w14:paraId="06CCBCB6" w14:textId="77777777" w:rsidR="00BB17F5" w:rsidRPr="008E106E" w:rsidRDefault="00BB17F5" w:rsidP="00372613">
            <w:pPr>
              <w:pStyle w:val="TableText"/>
              <w:rPr>
                <w:rFonts w:ascii="Arial" w:hAnsi="Arial" w:cs="Arial"/>
                <w:szCs w:val="22"/>
              </w:rPr>
            </w:pPr>
            <w:r>
              <w:rPr>
                <w:rFonts w:ascii="Arial" w:hAnsi="Arial" w:cs="Arial"/>
                <w:sz w:val="20"/>
                <w:szCs w:val="20"/>
              </w:rPr>
              <w:t>0.35</w:t>
            </w:r>
          </w:p>
        </w:tc>
        <w:tc>
          <w:tcPr>
            <w:tcW w:w="810" w:type="dxa"/>
          </w:tcPr>
          <w:p w14:paraId="777047C3" w14:textId="77777777" w:rsidR="00BB17F5" w:rsidRPr="008E106E" w:rsidRDefault="00BB17F5" w:rsidP="00372613">
            <w:pPr>
              <w:pStyle w:val="TableText"/>
              <w:rPr>
                <w:rFonts w:ascii="Arial" w:hAnsi="Arial" w:cs="Arial"/>
                <w:szCs w:val="22"/>
              </w:rPr>
            </w:pPr>
            <w:r>
              <w:rPr>
                <w:rFonts w:ascii="Arial" w:hAnsi="Arial" w:cs="Arial"/>
                <w:sz w:val="20"/>
                <w:szCs w:val="20"/>
              </w:rPr>
              <w:t>0.30</w:t>
            </w:r>
          </w:p>
        </w:tc>
        <w:tc>
          <w:tcPr>
            <w:tcW w:w="786" w:type="dxa"/>
          </w:tcPr>
          <w:p w14:paraId="297E0624" w14:textId="77777777" w:rsidR="00BB17F5" w:rsidRPr="008E106E" w:rsidRDefault="00BB17F5" w:rsidP="00372613">
            <w:pPr>
              <w:pStyle w:val="TableText"/>
              <w:rPr>
                <w:rFonts w:ascii="Arial" w:hAnsi="Arial" w:cs="Arial"/>
                <w:szCs w:val="22"/>
              </w:rPr>
            </w:pPr>
            <w:r>
              <w:rPr>
                <w:rFonts w:ascii="Arial" w:hAnsi="Arial" w:cs="Arial"/>
                <w:sz w:val="20"/>
                <w:szCs w:val="20"/>
              </w:rPr>
              <w:t>0.32</w:t>
            </w:r>
          </w:p>
        </w:tc>
        <w:tc>
          <w:tcPr>
            <w:tcW w:w="943" w:type="dxa"/>
          </w:tcPr>
          <w:p w14:paraId="62BE681F" w14:textId="77777777" w:rsidR="00BB17F5" w:rsidRPr="008E106E" w:rsidRDefault="00BB17F5" w:rsidP="00372613">
            <w:pPr>
              <w:pStyle w:val="TableText"/>
              <w:rPr>
                <w:rFonts w:ascii="Arial" w:hAnsi="Arial" w:cs="Arial"/>
                <w:szCs w:val="22"/>
              </w:rPr>
            </w:pPr>
            <w:r>
              <w:rPr>
                <w:rFonts w:ascii="Arial" w:hAnsi="Arial" w:cs="Arial"/>
                <w:sz w:val="20"/>
                <w:szCs w:val="20"/>
              </w:rPr>
              <w:t>0.34</w:t>
            </w:r>
          </w:p>
        </w:tc>
        <w:tc>
          <w:tcPr>
            <w:tcW w:w="829" w:type="dxa"/>
          </w:tcPr>
          <w:p w14:paraId="3DAD4D52" w14:textId="77777777" w:rsidR="00BB17F5" w:rsidRPr="008E106E" w:rsidRDefault="00BB17F5" w:rsidP="00372613">
            <w:pPr>
              <w:pStyle w:val="TableText"/>
              <w:rPr>
                <w:rFonts w:ascii="Arial" w:hAnsi="Arial" w:cs="Arial"/>
                <w:szCs w:val="22"/>
              </w:rPr>
            </w:pPr>
            <w:r>
              <w:rPr>
                <w:rFonts w:ascii="Arial" w:hAnsi="Arial" w:cs="Arial"/>
                <w:sz w:val="20"/>
                <w:szCs w:val="20"/>
              </w:rPr>
              <w:t>0.33</w:t>
            </w:r>
          </w:p>
        </w:tc>
      </w:tr>
      <w:tr w:rsidR="00B218BC" w:rsidRPr="008E106E" w14:paraId="6080858C" w14:textId="77777777" w:rsidTr="00690D98">
        <w:trPr>
          <w:trHeight w:val="372"/>
        </w:trPr>
        <w:tc>
          <w:tcPr>
            <w:tcW w:w="3298" w:type="dxa"/>
          </w:tcPr>
          <w:p w14:paraId="62126005" w14:textId="171D2F5F" w:rsidR="00B218BC" w:rsidRPr="008A49BC" w:rsidRDefault="00B218BC" w:rsidP="00372613">
            <w:pPr>
              <w:pStyle w:val="TableText"/>
              <w:rPr>
                <w:rFonts w:ascii="Arial" w:hAnsi="Arial" w:cs="Arial"/>
                <w:bCs/>
                <w:sz w:val="20"/>
                <w:szCs w:val="20"/>
              </w:rPr>
            </w:pPr>
            <w:r w:rsidRPr="001D71D7">
              <w:rPr>
                <w:rFonts w:ascii="Arial" w:hAnsi="Arial" w:cs="Arial"/>
                <w:bCs/>
                <w:sz w:val="20"/>
                <w:szCs w:val="20"/>
              </w:rPr>
              <w:t>Regional penetration of indigenous RE sources for power generation within the ECC</w:t>
            </w:r>
            <w:r>
              <w:rPr>
                <w:rFonts w:ascii="Arial" w:hAnsi="Arial" w:cs="Arial"/>
                <w:bCs/>
                <w:sz w:val="20"/>
                <w:szCs w:val="20"/>
              </w:rPr>
              <w:t xml:space="preserve"> (%)</w:t>
            </w:r>
          </w:p>
        </w:tc>
        <w:tc>
          <w:tcPr>
            <w:tcW w:w="5350" w:type="dxa"/>
            <w:gridSpan w:val="6"/>
            <w:vAlign w:val="center"/>
          </w:tcPr>
          <w:p w14:paraId="6BA62905" w14:textId="12BAEAD7" w:rsidR="00B218BC" w:rsidRDefault="00D04399" w:rsidP="00690D98">
            <w:pPr>
              <w:pStyle w:val="TableText"/>
              <w:jc w:val="center"/>
              <w:rPr>
                <w:rFonts w:ascii="Arial" w:hAnsi="Arial" w:cs="Arial"/>
                <w:sz w:val="20"/>
                <w:szCs w:val="20"/>
              </w:rPr>
            </w:pPr>
            <w:r>
              <w:rPr>
                <w:rFonts w:ascii="Arial" w:hAnsi="Arial" w:cs="Arial"/>
                <w:sz w:val="20"/>
                <w:szCs w:val="20"/>
              </w:rPr>
              <w:t>10%</w:t>
            </w:r>
          </w:p>
        </w:tc>
      </w:tr>
      <w:tr w:rsidR="00BB17F5" w:rsidRPr="008E106E" w14:paraId="43D641C9" w14:textId="77777777" w:rsidTr="00B218BC">
        <w:trPr>
          <w:trHeight w:val="372"/>
        </w:trPr>
        <w:tc>
          <w:tcPr>
            <w:tcW w:w="3298" w:type="dxa"/>
          </w:tcPr>
          <w:p w14:paraId="76926E67" w14:textId="5FBEF9C4" w:rsidR="00BB17F5" w:rsidRPr="008A49BC" w:rsidRDefault="00553E36" w:rsidP="00372613">
            <w:pPr>
              <w:pStyle w:val="TableText"/>
              <w:rPr>
                <w:rFonts w:ascii="Arial" w:hAnsi="Arial" w:cs="Arial"/>
                <w:bCs/>
                <w:sz w:val="20"/>
                <w:szCs w:val="20"/>
              </w:rPr>
            </w:pPr>
            <w:r>
              <w:rPr>
                <w:rFonts w:ascii="Arial" w:hAnsi="Arial" w:cs="Arial"/>
                <w:sz w:val="20"/>
                <w:szCs w:val="20"/>
              </w:rPr>
              <w:t>Financing from other sources (e.g. commercial banks, private equity) leveraged by this program (US$ millions)</w:t>
            </w:r>
          </w:p>
        </w:tc>
        <w:tc>
          <w:tcPr>
            <w:tcW w:w="1039" w:type="dxa"/>
          </w:tcPr>
          <w:p w14:paraId="6AA24E3E" w14:textId="77777777" w:rsidR="00BB17F5" w:rsidRDefault="00BB17F5" w:rsidP="00372613">
            <w:pPr>
              <w:pStyle w:val="TableText"/>
              <w:rPr>
                <w:rFonts w:ascii="Arial" w:hAnsi="Arial" w:cs="Arial"/>
                <w:sz w:val="20"/>
                <w:szCs w:val="20"/>
              </w:rPr>
            </w:pPr>
          </w:p>
        </w:tc>
        <w:tc>
          <w:tcPr>
            <w:tcW w:w="943" w:type="dxa"/>
          </w:tcPr>
          <w:p w14:paraId="6FA07EDB" w14:textId="77777777" w:rsidR="00BB17F5" w:rsidRDefault="00BB17F5" w:rsidP="00372613">
            <w:pPr>
              <w:pStyle w:val="TableText"/>
              <w:rPr>
                <w:rFonts w:ascii="Arial" w:hAnsi="Arial" w:cs="Arial"/>
                <w:sz w:val="20"/>
                <w:szCs w:val="20"/>
              </w:rPr>
            </w:pPr>
          </w:p>
        </w:tc>
        <w:tc>
          <w:tcPr>
            <w:tcW w:w="810" w:type="dxa"/>
          </w:tcPr>
          <w:p w14:paraId="7B2F8BB2" w14:textId="77777777" w:rsidR="00BB17F5" w:rsidRDefault="00BB17F5" w:rsidP="00372613">
            <w:pPr>
              <w:pStyle w:val="TableText"/>
              <w:rPr>
                <w:rFonts w:ascii="Arial" w:hAnsi="Arial" w:cs="Arial"/>
                <w:sz w:val="20"/>
                <w:szCs w:val="20"/>
              </w:rPr>
            </w:pPr>
          </w:p>
        </w:tc>
        <w:tc>
          <w:tcPr>
            <w:tcW w:w="786" w:type="dxa"/>
          </w:tcPr>
          <w:p w14:paraId="6A0F1A7B" w14:textId="77777777" w:rsidR="00BB17F5" w:rsidRDefault="00BB17F5" w:rsidP="00372613">
            <w:pPr>
              <w:pStyle w:val="TableText"/>
              <w:rPr>
                <w:rFonts w:ascii="Arial" w:hAnsi="Arial" w:cs="Arial"/>
                <w:sz w:val="20"/>
                <w:szCs w:val="20"/>
              </w:rPr>
            </w:pPr>
          </w:p>
        </w:tc>
        <w:tc>
          <w:tcPr>
            <w:tcW w:w="943" w:type="dxa"/>
          </w:tcPr>
          <w:p w14:paraId="6077D366" w14:textId="77777777" w:rsidR="00BB17F5" w:rsidRDefault="00BB17F5" w:rsidP="00372613">
            <w:pPr>
              <w:pStyle w:val="TableText"/>
              <w:rPr>
                <w:rFonts w:ascii="Arial" w:hAnsi="Arial" w:cs="Arial"/>
                <w:sz w:val="20"/>
                <w:szCs w:val="20"/>
              </w:rPr>
            </w:pPr>
          </w:p>
        </w:tc>
        <w:tc>
          <w:tcPr>
            <w:tcW w:w="829" w:type="dxa"/>
          </w:tcPr>
          <w:p w14:paraId="6FF5CD6A" w14:textId="43ADA24F" w:rsidR="00BB17F5" w:rsidRDefault="00EA2B06" w:rsidP="00372613">
            <w:pPr>
              <w:pStyle w:val="TableText"/>
              <w:rPr>
                <w:rFonts w:ascii="Arial" w:hAnsi="Arial" w:cs="Arial"/>
                <w:sz w:val="20"/>
                <w:szCs w:val="20"/>
              </w:rPr>
            </w:pPr>
            <w:r>
              <w:rPr>
                <w:rFonts w:ascii="Arial" w:hAnsi="Arial" w:cs="Arial"/>
                <w:sz w:val="20"/>
                <w:szCs w:val="20"/>
              </w:rPr>
              <w:t>15</w:t>
            </w:r>
          </w:p>
        </w:tc>
      </w:tr>
    </w:tbl>
    <w:p w14:paraId="50D8B23A" w14:textId="77777777" w:rsidR="00FC670E" w:rsidRPr="008E106E" w:rsidRDefault="00FC670E" w:rsidP="00FC670E">
      <w:pPr>
        <w:pStyle w:val="TableorFigureEnd"/>
        <w:rPr>
          <w:rFonts w:ascii="Arial" w:hAnsi="Arial" w:cs="Arial"/>
          <w:sz w:val="22"/>
          <w:szCs w:val="22"/>
        </w:rPr>
      </w:pPr>
    </w:p>
    <w:p w14:paraId="4F387BEE" w14:textId="0A72FE94" w:rsidR="00DC2A62" w:rsidRPr="008E106E" w:rsidRDefault="00FC670E" w:rsidP="00030536">
      <w:pPr>
        <w:pStyle w:val="BodyText"/>
        <w:rPr>
          <w:rFonts w:ascii="Arial" w:hAnsi="Arial" w:cs="Arial"/>
          <w:sz w:val="22"/>
          <w:szCs w:val="22"/>
        </w:rPr>
      </w:pPr>
      <w:r w:rsidRPr="008E106E">
        <w:rPr>
          <w:rFonts w:ascii="Arial" w:hAnsi="Arial" w:cs="Arial"/>
          <w:sz w:val="22"/>
          <w:szCs w:val="22"/>
        </w:rPr>
        <w:t>The results of the CBA and the financial analysis</w:t>
      </w:r>
      <w:r w:rsidR="00DC2A62" w:rsidRPr="008E106E">
        <w:rPr>
          <w:rFonts w:ascii="Arial" w:hAnsi="Arial" w:cs="Arial"/>
          <w:sz w:val="22"/>
          <w:szCs w:val="22"/>
        </w:rPr>
        <w:t xml:space="preserve"> </w:t>
      </w:r>
      <w:r w:rsidR="00894794" w:rsidRPr="008E106E">
        <w:rPr>
          <w:rFonts w:ascii="Arial" w:hAnsi="Arial" w:cs="Arial"/>
          <w:sz w:val="22"/>
          <w:szCs w:val="22"/>
        </w:rPr>
        <w:t>were</w:t>
      </w:r>
      <w:r w:rsidR="00DC2A62" w:rsidRPr="008E106E">
        <w:rPr>
          <w:rFonts w:ascii="Arial" w:hAnsi="Arial" w:cs="Arial"/>
          <w:sz w:val="22"/>
          <w:szCs w:val="22"/>
        </w:rPr>
        <w:t xml:space="preserve"> used to establish the targets for measuring the results of the Program. This ensure</w:t>
      </w:r>
      <w:r w:rsidR="00894794" w:rsidRPr="008E106E">
        <w:rPr>
          <w:rFonts w:ascii="Arial" w:hAnsi="Arial" w:cs="Arial"/>
          <w:sz w:val="22"/>
          <w:szCs w:val="22"/>
        </w:rPr>
        <w:t>s</w:t>
      </w:r>
      <w:r w:rsidR="00DC2A62" w:rsidRPr="008E106E">
        <w:rPr>
          <w:rFonts w:ascii="Arial" w:hAnsi="Arial" w:cs="Arial"/>
          <w:sz w:val="22"/>
          <w:szCs w:val="22"/>
        </w:rPr>
        <w:t xml:space="preserve"> the targets set in the </w:t>
      </w:r>
      <w:r w:rsidR="00A836B5" w:rsidRPr="008E106E">
        <w:rPr>
          <w:rFonts w:ascii="Arial" w:hAnsi="Arial" w:cs="Arial"/>
          <w:sz w:val="22"/>
          <w:szCs w:val="22"/>
        </w:rPr>
        <w:t xml:space="preserve">M&amp;E </w:t>
      </w:r>
      <w:r w:rsidR="00DC2A62" w:rsidRPr="008E106E">
        <w:rPr>
          <w:rFonts w:ascii="Arial" w:hAnsi="Arial" w:cs="Arial"/>
          <w:sz w:val="22"/>
          <w:szCs w:val="22"/>
        </w:rPr>
        <w:t>Plan coincide with the goals established during the design and approval of the Program. The targets for the percentage decrease in cost of electricity service will be based on the projected cost of electricity service calculated in the financial model</w:t>
      </w:r>
      <w:r w:rsidR="00152C26" w:rsidRPr="008E106E">
        <w:rPr>
          <w:rFonts w:ascii="Arial" w:hAnsi="Arial" w:cs="Arial"/>
          <w:sz w:val="22"/>
          <w:szCs w:val="22"/>
        </w:rPr>
        <w:t>.</w:t>
      </w:r>
    </w:p>
    <w:p w14:paraId="44F7449C" w14:textId="77777777" w:rsidR="00995E3A" w:rsidRPr="008E106E" w:rsidRDefault="00161274" w:rsidP="00064C93">
      <w:pPr>
        <w:pStyle w:val="Heading2"/>
        <w:rPr>
          <w:rFonts w:ascii="Arial" w:hAnsi="Arial"/>
          <w:sz w:val="22"/>
          <w:szCs w:val="22"/>
          <w:lang w:eastAsia="ja-JP"/>
        </w:rPr>
      </w:pPr>
      <w:bookmarkStart w:id="48" w:name="_Ref422463875"/>
      <w:bookmarkStart w:id="49" w:name="_Toc531018666"/>
      <w:r w:rsidRPr="008E106E">
        <w:rPr>
          <w:rFonts w:ascii="Arial" w:hAnsi="Arial"/>
          <w:sz w:val="22"/>
          <w:szCs w:val="22"/>
          <w:lang w:eastAsia="ja-JP"/>
        </w:rPr>
        <w:t>Outcome Indicators</w:t>
      </w:r>
      <w:bookmarkEnd w:id="48"/>
      <w:bookmarkEnd w:id="49"/>
    </w:p>
    <w:p w14:paraId="5D0FE4C5" w14:textId="01AD3705" w:rsidR="0036024E" w:rsidRPr="008E106E" w:rsidRDefault="003D63CA" w:rsidP="00030536">
      <w:pPr>
        <w:pStyle w:val="BodyText"/>
        <w:rPr>
          <w:rFonts w:ascii="Arial" w:hAnsi="Arial" w:cs="Arial"/>
          <w:sz w:val="22"/>
          <w:szCs w:val="22"/>
        </w:rPr>
      </w:pPr>
      <w:r w:rsidRPr="008E106E">
        <w:rPr>
          <w:rFonts w:ascii="Arial" w:hAnsi="Arial" w:cs="Arial"/>
          <w:sz w:val="22"/>
          <w:szCs w:val="22"/>
        </w:rPr>
        <w:fldChar w:fldCharType="begin"/>
      </w:r>
      <w:r w:rsidRPr="008E106E">
        <w:rPr>
          <w:rFonts w:ascii="Arial" w:hAnsi="Arial" w:cs="Arial"/>
          <w:sz w:val="22"/>
          <w:szCs w:val="22"/>
        </w:rPr>
        <w:instrText xml:space="preserve"> REF _Ref422467806 \h </w:instrText>
      </w:r>
      <w:r w:rsidR="00616B9B" w:rsidRPr="008E106E">
        <w:rPr>
          <w:rFonts w:ascii="Arial" w:hAnsi="Arial" w:cs="Arial"/>
          <w:sz w:val="22"/>
          <w:szCs w:val="22"/>
        </w:rPr>
        <w:instrText xml:space="preserve"> \* MERGEFORMAT </w:instrText>
      </w:r>
      <w:r w:rsidRPr="008E106E">
        <w:rPr>
          <w:rFonts w:ascii="Arial" w:hAnsi="Arial" w:cs="Arial"/>
          <w:sz w:val="22"/>
          <w:szCs w:val="22"/>
        </w:rPr>
      </w:r>
      <w:r w:rsidRPr="008E106E">
        <w:rPr>
          <w:rFonts w:ascii="Arial" w:hAnsi="Arial" w:cs="Arial"/>
          <w:sz w:val="22"/>
          <w:szCs w:val="22"/>
        </w:rPr>
        <w:fldChar w:fldCharType="separate"/>
      </w:r>
      <w:r w:rsidR="00B75A47" w:rsidRPr="008E106E">
        <w:rPr>
          <w:rFonts w:ascii="Arial" w:hAnsi="Arial" w:cs="Arial"/>
          <w:sz w:val="22"/>
          <w:szCs w:val="22"/>
        </w:rPr>
        <w:t xml:space="preserve">Table </w:t>
      </w:r>
      <w:r w:rsidR="00B75A47" w:rsidRPr="008E106E">
        <w:rPr>
          <w:rFonts w:ascii="Arial" w:hAnsi="Arial" w:cs="Arial"/>
          <w:noProof/>
          <w:sz w:val="22"/>
          <w:szCs w:val="22"/>
        </w:rPr>
        <w:t>3</w:t>
      </w:r>
      <w:r w:rsidR="00B75A47" w:rsidRPr="008E106E">
        <w:rPr>
          <w:rFonts w:ascii="Arial" w:hAnsi="Arial" w:cs="Arial"/>
          <w:sz w:val="22"/>
          <w:szCs w:val="22"/>
        </w:rPr>
        <w:t>.</w:t>
      </w:r>
      <w:r w:rsidR="00B75A47" w:rsidRPr="008E106E">
        <w:rPr>
          <w:rFonts w:ascii="Arial" w:hAnsi="Arial" w:cs="Arial"/>
          <w:noProof/>
          <w:sz w:val="22"/>
          <w:szCs w:val="22"/>
        </w:rPr>
        <w:t>2</w:t>
      </w:r>
      <w:r w:rsidRPr="008E106E">
        <w:rPr>
          <w:rFonts w:ascii="Arial" w:hAnsi="Arial" w:cs="Arial"/>
          <w:sz w:val="22"/>
          <w:szCs w:val="22"/>
        </w:rPr>
        <w:fldChar w:fldCharType="end"/>
      </w:r>
      <w:r w:rsidRPr="008E106E">
        <w:rPr>
          <w:rFonts w:ascii="Arial" w:hAnsi="Arial" w:cs="Arial"/>
          <w:sz w:val="22"/>
          <w:szCs w:val="22"/>
        </w:rPr>
        <w:t xml:space="preserve"> presents the indicators that will be used to measure whether the Program achieved its intended </w:t>
      </w:r>
      <w:r w:rsidR="0036024E" w:rsidRPr="008E106E">
        <w:rPr>
          <w:rFonts w:ascii="Arial" w:hAnsi="Arial" w:cs="Arial"/>
          <w:sz w:val="22"/>
          <w:szCs w:val="22"/>
        </w:rPr>
        <w:t>outcomes</w:t>
      </w:r>
      <w:r w:rsidR="005476FE" w:rsidRPr="008E106E">
        <w:rPr>
          <w:rFonts w:ascii="Arial" w:hAnsi="Arial" w:cs="Arial"/>
          <w:sz w:val="22"/>
          <w:szCs w:val="22"/>
        </w:rPr>
        <w:t>/results</w:t>
      </w:r>
      <w:r w:rsidR="0036024E" w:rsidRPr="008E106E">
        <w:rPr>
          <w:rFonts w:ascii="Arial" w:hAnsi="Arial" w:cs="Arial"/>
          <w:sz w:val="22"/>
          <w:szCs w:val="22"/>
        </w:rPr>
        <w:t>. Due to the long maturities associated to these projects, projects financed from early exploration may not be fully operational until past the timeframe of evaluation</w:t>
      </w:r>
      <w:r w:rsidR="00643A33" w:rsidRPr="008E106E">
        <w:rPr>
          <w:rFonts w:ascii="Arial" w:hAnsi="Arial" w:cs="Arial"/>
          <w:sz w:val="22"/>
          <w:szCs w:val="22"/>
        </w:rPr>
        <w:t xml:space="preserve">. Therefore, </w:t>
      </w:r>
      <w:r w:rsidR="00DC2611" w:rsidRPr="008E106E">
        <w:rPr>
          <w:rFonts w:ascii="Arial" w:hAnsi="Arial" w:cs="Arial"/>
          <w:sz w:val="22"/>
          <w:szCs w:val="22"/>
        </w:rPr>
        <w:t>for those cases,</w:t>
      </w:r>
      <w:r w:rsidR="00182B49" w:rsidRPr="008E106E">
        <w:rPr>
          <w:rFonts w:ascii="Arial" w:hAnsi="Arial" w:cs="Arial"/>
          <w:sz w:val="22"/>
          <w:szCs w:val="22"/>
        </w:rPr>
        <w:t xml:space="preserve"> some indicators will </w:t>
      </w:r>
      <w:r w:rsidR="0036024E" w:rsidRPr="008E106E">
        <w:rPr>
          <w:rFonts w:ascii="Arial" w:hAnsi="Arial" w:cs="Arial"/>
          <w:sz w:val="22"/>
          <w:szCs w:val="22"/>
        </w:rPr>
        <w:t>be estimated</w:t>
      </w:r>
      <w:r w:rsidR="00DC2611" w:rsidRPr="008E106E">
        <w:rPr>
          <w:rFonts w:ascii="Arial" w:hAnsi="Arial" w:cs="Arial"/>
          <w:sz w:val="22"/>
          <w:szCs w:val="22"/>
        </w:rPr>
        <w:t xml:space="preserve"> based on expected future outcomes</w:t>
      </w:r>
      <w:r w:rsidR="00A15E4D" w:rsidRPr="008E106E">
        <w:rPr>
          <w:rFonts w:ascii="Arial" w:hAnsi="Arial" w:cs="Arial"/>
          <w:sz w:val="22"/>
          <w:szCs w:val="22"/>
        </w:rPr>
        <w:t>.</w:t>
      </w:r>
      <w:r w:rsidR="0036024E" w:rsidRPr="008E106E">
        <w:rPr>
          <w:rFonts w:ascii="Arial" w:hAnsi="Arial" w:cs="Arial"/>
          <w:sz w:val="22"/>
          <w:szCs w:val="22"/>
        </w:rPr>
        <w:t xml:space="preserve"> A note is included signaling the indicators for which this is the case. </w:t>
      </w:r>
      <w:r w:rsidR="00182B49" w:rsidRPr="008E106E">
        <w:rPr>
          <w:rFonts w:ascii="Arial" w:hAnsi="Arial" w:cs="Arial"/>
          <w:sz w:val="22"/>
          <w:szCs w:val="22"/>
        </w:rPr>
        <w:t>T</w:t>
      </w:r>
      <w:r w:rsidR="0036024E" w:rsidRPr="008E106E">
        <w:rPr>
          <w:rFonts w:ascii="Arial" w:hAnsi="Arial" w:cs="Arial"/>
          <w:sz w:val="22"/>
          <w:szCs w:val="22"/>
        </w:rPr>
        <w:t xml:space="preserve">he basis for estimating indicator values </w:t>
      </w:r>
      <w:r w:rsidR="00182B49" w:rsidRPr="008E106E">
        <w:rPr>
          <w:rFonts w:ascii="Arial" w:hAnsi="Arial" w:cs="Arial"/>
          <w:sz w:val="22"/>
          <w:szCs w:val="22"/>
        </w:rPr>
        <w:t xml:space="preserve">is included in the source description. </w:t>
      </w:r>
      <w:r w:rsidR="0036024E" w:rsidRPr="008E106E">
        <w:rPr>
          <w:rFonts w:ascii="Arial" w:hAnsi="Arial" w:cs="Arial"/>
          <w:sz w:val="22"/>
          <w:szCs w:val="22"/>
        </w:rPr>
        <w:t xml:space="preserve"> </w:t>
      </w:r>
    </w:p>
    <w:p w14:paraId="45C83A13" w14:textId="0C82D196" w:rsidR="00123C6C" w:rsidRPr="008E106E" w:rsidRDefault="003D63CA" w:rsidP="00C977C3">
      <w:pPr>
        <w:pStyle w:val="Caption"/>
        <w:keepNext/>
        <w:rPr>
          <w:rFonts w:ascii="Arial" w:hAnsi="Arial" w:cs="Arial"/>
          <w:sz w:val="22"/>
          <w:szCs w:val="22"/>
        </w:rPr>
      </w:pPr>
      <w:bookmarkStart w:id="50" w:name="_Ref422467806"/>
      <w:bookmarkStart w:id="51" w:name="_Toc423458254"/>
      <w:r w:rsidRPr="008E106E">
        <w:rPr>
          <w:rFonts w:ascii="Arial" w:hAnsi="Arial" w:cs="Arial"/>
          <w:sz w:val="22"/>
          <w:szCs w:val="22"/>
        </w:rPr>
        <w:t xml:space="preserve">Table </w:t>
      </w:r>
      <w:r w:rsidR="00B75A47" w:rsidRPr="008E106E">
        <w:rPr>
          <w:rFonts w:ascii="Arial" w:hAnsi="Arial" w:cs="Arial"/>
          <w:sz w:val="22"/>
          <w:szCs w:val="22"/>
        </w:rPr>
        <w:fldChar w:fldCharType="begin"/>
      </w:r>
      <w:r w:rsidR="00B75A47" w:rsidRPr="008E106E">
        <w:rPr>
          <w:rFonts w:ascii="Arial" w:hAnsi="Arial" w:cs="Arial"/>
          <w:sz w:val="22"/>
          <w:szCs w:val="22"/>
        </w:rPr>
        <w:instrText xml:space="preserve"> STYLEREF 1 \s </w:instrText>
      </w:r>
      <w:r w:rsidR="00B75A47" w:rsidRPr="008E106E">
        <w:rPr>
          <w:rFonts w:ascii="Arial" w:hAnsi="Arial" w:cs="Arial"/>
          <w:sz w:val="22"/>
          <w:szCs w:val="22"/>
        </w:rPr>
        <w:fldChar w:fldCharType="separate"/>
      </w:r>
      <w:r w:rsidR="00B75A47" w:rsidRPr="008E106E">
        <w:rPr>
          <w:rFonts w:ascii="Arial" w:hAnsi="Arial" w:cs="Arial"/>
          <w:noProof/>
          <w:sz w:val="22"/>
          <w:szCs w:val="22"/>
        </w:rPr>
        <w:t>3</w:t>
      </w:r>
      <w:r w:rsidR="00B75A47" w:rsidRPr="008E106E">
        <w:rPr>
          <w:rFonts w:ascii="Arial" w:hAnsi="Arial" w:cs="Arial"/>
          <w:noProof/>
          <w:sz w:val="22"/>
          <w:szCs w:val="22"/>
        </w:rPr>
        <w:fldChar w:fldCharType="end"/>
      </w:r>
      <w:r w:rsidRPr="008E106E">
        <w:rPr>
          <w:rFonts w:ascii="Arial" w:hAnsi="Arial" w:cs="Arial"/>
          <w:sz w:val="22"/>
          <w:szCs w:val="22"/>
        </w:rPr>
        <w:t>.</w:t>
      </w:r>
      <w:r w:rsidR="005870B7" w:rsidRPr="008E106E">
        <w:rPr>
          <w:rFonts w:ascii="Arial" w:hAnsi="Arial" w:cs="Arial"/>
          <w:sz w:val="22"/>
          <w:szCs w:val="22"/>
        </w:rPr>
        <w:fldChar w:fldCharType="begin"/>
      </w:r>
      <w:r w:rsidR="005870B7" w:rsidRPr="008E106E">
        <w:rPr>
          <w:rFonts w:ascii="Arial" w:hAnsi="Arial" w:cs="Arial"/>
          <w:sz w:val="22"/>
          <w:szCs w:val="22"/>
        </w:rPr>
        <w:instrText xml:space="preserve"> SEQ Table \* ARABIC \s 1 </w:instrText>
      </w:r>
      <w:r w:rsidR="005870B7" w:rsidRPr="008E106E">
        <w:rPr>
          <w:rFonts w:ascii="Arial" w:hAnsi="Arial" w:cs="Arial"/>
          <w:sz w:val="22"/>
          <w:szCs w:val="22"/>
        </w:rPr>
        <w:fldChar w:fldCharType="separate"/>
      </w:r>
      <w:r w:rsidR="00B75A47" w:rsidRPr="008E106E">
        <w:rPr>
          <w:rFonts w:ascii="Arial" w:hAnsi="Arial" w:cs="Arial"/>
          <w:noProof/>
          <w:sz w:val="22"/>
          <w:szCs w:val="22"/>
        </w:rPr>
        <w:t>2</w:t>
      </w:r>
      <w:r w:rsidR="005870B7" w:rsidRPr="008E106E">
        <w:rPr>
          <w:rFonts w:ascii="Arial" w:hAnsi="Arial" w:cs="Arial"/>
          <w:noProof/>
          <w:sz w:val="22"/>
          <w:szCs w:val="22"/>
        </w:rPr>
        <w:fldChar w:fldCharType="end"/>
      </w:r>
      <w:bookmarkEnd w:id="50"/>
      <w:r w:rsidRPr="008E106E">
        <w:rPr>
          <w:rFonts w:ascii="Arial" w:hAnsi="Arial" w:cs="Arial"/>
          <w:sz w:val="22"/>
          <w:szCs w:val="22"/>
        </w:rPr>
        <w:t>: Key Results Indictors</w:t>
      </w:r>
      <w:bookmarkEnd w:id="51"/>
    </w:p>
    <w:tbl>
      <w:tblPr>
        <w:tblStyle w:val="TableGrid"/>
        <w:tblW w:w="0" w:type="auto"/>
        <w:jc w:val="left"/>
        <w:tblInd w:w="-23" w:type="dxa"/>
        <w:tblLook w:val="04A0" w:firstRow="1" w:lastRow="0" w:firstColumn="1" w:lastColumn="0" w:noHBand="0" w:noVBand="1"/>
      </w:tblPr>
      <w:tblGrid>
        <w:gridCol w:w="2142"/>
        <w:gridCol w:w="2338"/>
        <w:gridCol w:w="2156"/>
        <w:gridCol w:w="2015"/>
        <w:gridCol w:w="20"/>
      </w:tblGrid>
      <w:tr w:rsidR="00965961" w:rsidRPr="00471143" w14:paraId="05635B27" w14:textId="77777777" w:rsidTr="00690D98">
        <w:trPr>
          <w:jc w:val="left"/>
        </w:trPr>
        <w:tc>
          <w:tcPr>
            <w:tcW w:w="2142" w:type="dxa"/>
            <w:shd w:val="clear" w:color="auto" w:fill="D9D9D9" w:themeFill="background1" w:themeFillShade="D9"/>
          </w:tcPr>
          <w:p w14:paraId="2D68C2F2" w14:textId="77777777" w:rsidR="00123C6C" w:rsidRPr="00471143" w:rsidRDefault="00166E8C" w:rsidP="00C977C3">
            <w:pPr>
              <w:pStyle w:val="TableText"/>
              <w:keepNext/>
              <w:spacing w:after="120"/>
              <w:jc w:val="center"/>
              <w:rPr>
                <w:rFonts w:ascii="Arial" w:hAnsi="Arial" w:cs="Arial"/>
                <w:b/>
                <w:sz w:val="20"/>
                <w:szCs w:val="20"/>
              </w:rPr>
            </w:pPr>
            <w:r w:rsidRPr="00471143">
              <w:rPr>
                <w:rFonts w:ascii="Arial" w:hAnsi="Arial" w:cs="Arial"/>
                <w:b/>
                <w:sz w:val="20"/>
                <w:szCs w:val="20"/>
              </w:rPr>
              <w:t xml:space="preserve">Results </w:t>
            </w:r>
            <w:r w:rsidR="00123C6C" w:rsidRPr="00471143">
              <w:rPr>
                <w:rFonts w:ascii="Arial" w:hAnsi="Arial" w:cs="Arial"/>
                <w:b/>
                <w:sz w:val="20"/>
                <w:szCs w:val="20"/>
              </w:rPr>
              <w:t>Indicator</w:t>
            </w:r>
          </w:p>
        </w:tc>
        <w:tc>
          <w:tcPr>
            <w:tcW w:w="2338" w:type="dxa"/>
            <w:shd w:val="clear" w:color="auto" w:fill="D9D9D9" w:themeFill="background1" w:themeFillShade="D9"/>
          </w:tcPr>
          <w:p w14:paraId="270B81CD" w14:textId="77777777" w:rsidR="00A93C21" w:rsidRPr="00471143" w:rsidRDefault="00F95A05" w:rsidP="00C977C3">
            <w:pPr>
              <w:pStyle w:val="TableText"/>
              <w:keepNext/>
              <w:spacing w:after="120"/>
              <w:jc w:val="center"/>
              <w:rPr>
                <w:rFonts w:ascii="Arial" w:hAnsi="Arial" w:cs="Arial"/>
                <w:b/>
                <w:sz w:val="20"/>
                <w:szCs w:val="20"/>
              </w:rPr>
            </w:pPr>
            <w:r w:rsidRPr="00471143">
              <w:rPr>
                <w:rFonts w:ascii="Arial" w:hAnsi="Arial" w:cs="Arial"/>
                <w:b/>
                <w:sz w:val="20"/>
                <w:szCs w:val="20"/>
              </w:rPr>
              <w:t>Unit</w:t>
            </w:r>
          </w:p>
          <w:p w14:paraId="7F7F5EAD" w14:textId="77777777" w:rsidR="00123C6C" w:rsidRPr="00471143" w:rsidRDefault="00F95A05" w:rsidP="00C977C3">
            <w:pPr>
              <w:pStyle w:val="TableText"/>
              <w:keepNext/>
              <w:spacing w:after="120"/>
              <w:jc w:val="center"/>
              <w:rPr>
                <w:rFonts w:ascii="Arial" w:hAnsi="Arial" w:cs="Arial"/>
                <w:b/>
                <w:sz w:val="20"/>
                <w:szCs w:val="20"/>
              </w:rPr>
            </w:pPr>
            <w:r w:rsidRPr="00471143">
              <w:rPr>
                <w:rFonts w:ascii="Arial" w:hAnsi="Arial" w:cs="Arial"/>
                <w:b/>
                <w:sz w:val="20"/>
                <w:szCs w:val="20"/>
              </w:rPr>
              <w:t>/Description</w:t>
            </w:r>
          </w:p>
        </w:tc>
        <w:tc>
          <w:tcPr>
            <w:tcW w:w="2156" w:type="dxa"/>
            <w:shd w:val="clear" w:color="auto" w:fill="D9D9D9" w:themeFill="background1" w:themeFillShade="D9"/>
          </w:tcPr>
          <w:p w14:paraId="545FFE72" w14:textId="77777777" w:rsidR="00123C6C" w:rsidRPr="00471143" w:rsidRDefault="00123C6C" w:rsidP="00C977C3">
            <w:pPr>
              <w:pStyle w:val="TableText"/>
              <w:keepNext/>
              <w:spacing w:after="120"/>
              <w:jc w:val="center"/>
              <w:rPr>
                <w:rFonts w:ascii="Arial" w:hAnsi="Arial" w:cs="Arial"/>
                <w:b/>
                <w:sz w:val="20"/>
                <w:szCs w:val="20"/>
              </w:rPr>
            </w:pPr>
            <w:r w:rsidRPr="00471143">
              <w:rPr>
                <w:rFonts w:ascii="Arial" w:hAnsi="Arial" w:cs="Arial"/>
                <w:b/>
                <w:sz w:val="20"/>
                <w:szCs w:val="20"/>
              </w:rPr>
              <w:t>Frequency of Measurement</w:t>
            </w:r>
          </w:p>
        </w:tc>
        <w:tc>
          <w:tcPr>
            <w:tcW w:w="2035" w:type="dxa"/>
            <w:gridSpan w:val="2"/>
            <w:shd w:val="clear" w:color="auto" w:fill="D9D9D9" w:themeFill="background1" w:themeFillShade="D9"/>
          </w:tcPr>
          <w:p w14:paraId="01B12EF7" w14:textId="77777777" w:rsidR="00123C6C" w:rsidRPr="00471143" w:rsidRDefault="00123C6C" w:rsidP="00C977C3">
            <w:pPr>
              <w:pStyle w:val="TableText"/>
              <w:keepNext/>
              <w:spacing w:after="120"/>
              <w:jc w:val="center"/>
              <w:rPr>
                <w:rFonts w:ascii="Arial" w:hAnsi="Arial" w:cs="Arial"/>
                <w:b/>
                <w:sz w:val="20"/>
                <w:szCs w:val="20"/>
              </w:rPr>
            </w:pPr>
            <w:r w:rsidRPr="00471143">
              <w:rPr>
                <w:rFonts w:ascii="Arial" w:hAnsi="Arial" w:cs="Arial"/>
                <w:b/>
                <w:sz w:val="20"/>
                <w:szCs w:val="20"/>
              </w:rPr>
              <w:t>Source</w:t>
            </w:r>
            <w:r w:rsidR="00A63168" w:rsidRPr="00471143">
              <w:rPr>
                <w:rFonts w:ascii="Arial" w:hAnsi="Arial" w:cs="Arial"/>
                <w:b/>
                <w:sz w:val="20"/>
                <w:szCs w:val="20"/>
              </w:rPr>
              <w:t xml:space="preserve"> of Verification</w:t>
            </w:r>
          </w:p>
        </w:tc>
      </w:tr>
      <w:tr w:rsidR="00AF4CA4" w:rsidRPr="00471143" w14:paraId="6F8ADA2B" w14:textId="77777777" w:rsidTr="00690D98">
        <w:tblPrEx>
          <w:tblBorders>
            <w:insideH w:val="single" w:sz="4" w:space="0" w:color="000000"/>
            <w:insideV w:val="single" w:sz="4" w:space="0" w:color="000000"/>
          </w:tblBorders>
        </w:tblPrEx>
        <w:trPr>
          <w:gridAfter w:val="1"/>
          <w:wAfter w:w="20" w:type="dxa"/>
          <w:trHeight w:val="68"/>
          <w:jc w:val="left"/>
        </w:trPr>
        <w:tc>
          <w:tcPr>
            <w:tcW w:w="8651" w:type="dxa"/>
            <w:gridSpan w:val="4"/>
            <w:shd w:val="clear" w:color="auto" w:fill="BFBFBF"/>
            <w:hideMark/>
          </w:tcPr>
          <w:p w14:paraId="4E4CB364" w14:textId="77777777" w:rsidR="00AF4CA4" w:rsidRPr="00471143" w:rsidRDefault="00AF4CA4" w:rsidP="002C3948">
            <w:pPr>
              <w:pStyle w:val="TableText"/>
              <w:rPr>
                <w:rFonts w:ascii="Arial" w:hAnsi="Arial" w:cs="Arial"/>
                <w:b/>
                <w:sz w:val="20"/>
                <w:szCs w:val="20"/>
              </w:rPr>
            </w:pPr>
            <w:r w:rsidRPr="00471143">
              <w:rPr>
                <w:rFonts w:ascii="Arial" w:hAnsi="Arial" w:cs="Arial"/>
                <w:b/>
                <w:sz w:val="20"/>
                <w:szCs w:val="20"/>
              </w:rPr>
              <w:t>Component 1: GE project Development</w:t>
            </w:r>
          </w:p>
        </w:tc>
      </w:tr>
      <w:tr w:rsidR="00A51292" w:rsidRPr="00471143" w14:paraId="266752FC" w14:textId="77777777" w:rsidTr="00690D98">
        <w:trPr>
          <w:jc w:val="left"/>
        </w:trPr>
        <w:tc>
          <w:tcPr>
            <w:tcW w:w="2142" w:type="dxa"/>
          </w:tcPr>
          <w:p w14:paraId="6535E3F5" w14:textId="605BA792" w:rsidR="00AF4CA4" w:rsidRPr="00471143" w:rsidRDefault="00323830" w:rsidP="002C3948">
            <w:pPr>
              <w:pStyle w:val="TableText"/>
              <w:rPr>
                <w:rFonts w:ascii="Arial" w:hAnsi="Arial" w:cs="Arial"/>
                <w:sz w:val="20"/>
                <w:szCs w:val="20"/>
              </w:rPr>
            </w:pPr>
            <w:r w:rsidRPr="00471143">
              <w:rPr>
                <w:rFonts w:ascii="Arial" w:hAnsi="Arial" w:cs="Arial"/>
                <w:sz w:val="20"/>
                <w:szCs w:val="20"/>
              </w:rPr>
              <w:t>Geothermal power generation capacity installed in projects facilitated or financed at some stage by the program.</w:t>
            </w:r>
          </w:p>
        </w:tc>
        <w:tc>
          <w:tcPr>
            <w:tcW w:w="2338" w:type="dxa"/>
          </w:tcPr>
          <w:p w14:paraId="67D03A8E" w14:textId="72C1737E" w:rsidR="00965961" w:rsidRPr="00471143" w:rsidRDefault="00965961" w:rsidP="002C3948">
            <w:pPr>
              <w:pStyle w:val="TableText"/>
              <w:rPr>
                <w:rFonts w:ascii="Arial" w:hAnsi="Arial" w:cs="Arial"/>
                <w:sz w:val="20"/>
                <w:szCs w:val="20"/>
              </w:rPr>
            </w:pPr>
            <w:r w:rsidRPr="00471143">
              <w:rPr>
                <w:rFonts w:ascii="Arial" w:hAnsi="Arial" w:cs="Arial"/>
                <w:sz w:val="20"/>
                <w:szCs w:val="20"/>
              </w:rPr>
              <w:t>MW</w:t>
            </w:r>
          </w:p>
          <w:p w14:paraId="02788CA8" w14:textId="77777777" w:rsidR="00965961" w:rsidRPr="00471143" w:rsidRDefault="00965961" w:rsidP="002C3948">
            <w:pPr>
              <w:pStyle w:val="TableText"/>
              <w:rPr>
                <w:rFonts w:ascii="Arial" w:hAnsi="Arial" w:cs="Arial"/>
                <w:sz w:val="20"/>
                <w:szCs w:val="20"/>
              </w:rPr>
            </w:pPr>
          </w:p>
          <w:p w14:paraId="5F771D32" w14:textId="280B06C1" w:rsidR="00AF4CA4" w:rsidRPr="00471143" w:rsidRDefault="00AF4CA4" w:rsidP="002C3948">
            <w:pPr>
              <w:pStyle w:val="TableText"/>
              <w:rPr>
                <w:rFonts w:ascii="Arial" w:hAnsi="Arial" w:cs="Arial"/>
                <w:sz w:val="20"/>
                <w:szCs w:val="20"/>
              </w:rPr>
            </w:pPr>
            <w:r w:rsidRPr="00471143">
              <w:rPr>
                <w:rFonts w:ascii="Arial" w:hAnsi="Arial" w:cs="Arial"/>
                <w:sz w:val="20"/>
                <w:szCs w:val="20"/>
              </w:rPr>
              <w:t>Estimations of expected installed capacity based on quality of resource confirmed once exploration wells</w:t>
            </w:r>
            <w:r w:rsidR="00A51292" w:rsidRPr="00471143">
              <w:rPr>
                <w:rFonts w:ascii="Arial" w:hAnsi="Arial" w:cs="Arial"/>
                <w:sz w:val="20"/>
                <w:szCs w:val="20"/>
              </w:rPr>
              <w:t xml:space="preserve"> are drilled</w:t>
            </w:r>
            <w:r w:rsidRPr="00471143">
              <w:rPr>
                <w:rFonts w:ascii="Arial" w:hAnsi="Arial" w:cs="Arial"/>
                <w:sz w:val="20"/>
                <w:szCs w:val="20"/>
              </w:rPr>
              <w:t xml:space="preserve"> </w:t>
            </w:r>
            <w:r w:rsidR="00A51292" w:rsidRPr="00471143">
              <w:rPr>
                <w:rFonts w:ascii="Arial" w:hAnsi="Arial" w:cs="Arial"/>
                <w:sz w:val="20"/>
                <w:szCs w:val="20"/>
              </w:rPr>
              <w:t xml:space="preserve">in projects facilitated or financed at some stage by the program </w:t>
            </w:r>
          </w:p>
        </w:tc>
        <w:tc>
          <w:tcPr>
            <w:tcW w:w="2156" w:type="dxa"/>
          </w:tcPr>
          <w:p w14:paraId="77A7F648" w14:textId="77777777" w:rsidR="00AF4CA4" w:rsidRPr="00471143" w:rsidRDefault="00AF4CA4" w:rsidP="002C3948">
            <w:pPr>
              <w:pStyle w:val="TableText"/>
              <w:rPr>
                <w:rFonts w:ascii="Arial" w:hAnsi="Arial" w:cs="Arial"/>
                <w:sz w:val="20"/>
                <w:szCs w:val="20"/>
              </w:rPr>
            </w:pPr>
            <w:r w:rsidRPr="00471143">
              <w:rPr>
                <w:rFonts w:ascii="Arial" w:hAnsi="Arial" w:cs="Arial"/>
                <w:sz w:val="20"/>
                <w:szCs w:val="20"/>
              </w:rPr>
              <w:t>Semiannually and at the end of the execution period</w:t>
            </w:r>
          </w:p>
        </w:tc>
        <w:tc>
          <w:tcPr>
            <w:tcW w:w="2035" w:type="dxa"/>
            <w:gridSpan w:val="2"/>
          </w:tcPr>
          <w:p w14:paraId="01A01050" w14:textId="1D75EB3F" w:rsidR="00AF4CA4" w:rsidRPr="00471143" w:rsidRDefault="00A51292" w:rsidP="002C3948">
            <w:pPr>
              <w:pStyle w:val="TableText"/>
              <w:keepNext/>
              <w:rPr>
                <w:rFonts w:ascii="Arial" w:hAnsi="Arial" w:cs="Arial"/>
                <w:sz w:val="20"/>
                <w:szCs w:val="20"/>
              </w:rPr>
            </w:pPr>
            <w:r w:rsidRPr="00471143">
              <w:rPr>
                <w:rFonts w:ascii="Arial" w:hAnsi="Arial" w:cs="Arial"/>
                <w:sz w:val="20"/>
                <w:szCs w:val="20"/>
              </w:rPr>
              <w:t xml:space="preserve">Report from </w:t>
            </w:r>
            <w:r w:rsidR="00AF4CA4" w:rsidRPr="00471143">
              <w:rPr>
                <w:rFonts w:ascii="Arial" w:hAnsi="Arial" w:cs="Arial"/>
                <w:sz w:val="20"/>
                <w:szCs w:val="20"/>
              </w:rPr>
              <w:t>CDB</w:t>
            </w:r>
            <w:r w:rsidRPr="00471143">
              <w:rPr>
                <w:rFonts w:ascii="Arial" w:hAnsi="Arial" w:cs="Arial"/>
                <w:sz w:val="20"/>
                <w:szCs w:val="20"/>
              </w:rPr>
              <w:t xml:space="preserve"> with information from ECC and private project sponsors</w:t>
            </w:r>
            <w:r w:rsidR="00AF4CA4" w:rsidRPr="00471143">
              <w:rPr>
                <w:rFonts w:ascii="Arial" w:hAnsi="Arial" w:cs="Arial"/>
                <w:sz w:val="20"/>
                <w:szCs w:val="20"/>
              </w:rPr>
              <w:t xml:space="preserve"> </w:t>
            </w:r>
          </w:p>
        </w:tc>
      </w:tr>
      <w:tr w:rsidR="00965961" w:rsidRPr="00471143" w14:paraId="010C451F" w14:textId="77777777" w:rsidTr="00690D98">
        <w:trPr>
          <w:jc w:val="left"/>
        </w:trPr>
        <w:tc>
          <w:tcPr>
            <w:tcW w:w="2142" w:type="dxa"/>
          </w:tcPr>
          <w:p w14:paraId="5EBADAA5" w14:textId="37387577" w:rsidR="00AF4CA4" w:rsidRPr="00471143" w:rsidRDefault="006B62DA" w:rsidP="002C3948">
            <w:pPr>
              <w:pStyle w:val="TableText"/>
              <w:rPr>
                <w:rFonts w:ascii="Arial" w:hAnsi="Arial" w:cs="Arial"/>
                <w:sz w:val="20"/>
                <w:szCs w:val="20"/>
              </w:rPr>
            </w:pPr>
            <w:r w:rsidRPr="00471143">
              <w:rPr>
                <w:rFonts w:ascii="Arial" w:hAnsi="Arial" w:cs="Arial"/>
                <w:sz w:val="20"/>
                <w:szCs w:val="20"/>
              </w:rPr>
              <w:t>Geothermal projects financed by the program with a power plant in construction or operation</w:t>
            </w:r>
          </w:p>
        </w:tc>
        <w:tc>
          <w:tcPr>
            <w:tcW w:w="2338" w:type="dxa"/>
          </w:tcPr>
          <w:p w14:paraId="4162D644" w14:textId="499C3AF3" w:rsidR="00AF4CA4" w:rsidRPr="00471143" w:rsidRDefault="00AF4CA4" w:rsidP="002C3948">
            <w:pPr>
              <w:pStyle w:val="TableText"/>
              <w:rPr>
                <w:rFonts w:ascii="Arial" w:hAnsi="Arial" w:cs="Arial"/>
                <w:sz w:val="20"/>
                <w:szCs w:val="20"/>
              </w:rPr>
            </w:pPr>
            <w:r w:rsidRPr="00471143">
              <w:rPr>
                <w:rFonts w:ascii="Arial" w:hAnsi="Arial" w:cs="Arial"/>
                <w:sz w:val="20"/>
                <w:szCs w:val="20"/>
              </w:rPr>
              <w:t>Number of GE projects</w:t>
            </w:r>
            <w:r w:rsidR="00A51292" w:rsidRPr="00471143">
              <w:rPr>
                <w:rFonts w:ascii="Arial" w:hAnsi="Arial" w:cs="Arial"/>
                <w:sz w:val="20"/>
                <w:szCs w:val="20"/>
              </w:rPr>
              <w:t xml:space="preserve"> financed by the program with a power plant in construction or operation.</w:t>
            </w:r>
          </w:p>
        </w:tc>
        <w:tc>
          <w:tcPr>
            <w:tcW w:w="2156" w:type="dxa"/>
          </w:tcPr>
          <w:p w14:paraId="07C2BEE1" w14:textId="64BC34B4" w:rsidR="00AF4CA4" w:rsidRPr="00690D98" w:rsidRDefault="00A51292" w:rsidP="002C3948">
            <w:pPr>
              <w:pStyle w:val="TableText"/>
              <w:rPr>
                <w:rFonts w:ascii="Arial" w:hAnsi="Arial" w:cs="Arial"/>
                <w:sz w:val="20"/>
                <w:szCs w:val="20"/>
              </w:rPr>
            </w:pPr>
            <w:r w:rsidRPr="00690D98">
              <w:rPr>
                <w:rFonts w:ascii="Arial" w:hAnsi="Arial" w:cs="Arial"/>
                <w:sz w:val="20"/>
                <w:szCs w:val="20"/>
              </w:rPr>
              <w:t>Semiannually and at the end of the execution period</w:t>
            </w:r>
          </w:p>
        </w:tc>
        <w:tc>
          <w:tcPr>
            <w:tcW w:w="2035" w:type="dxa"/>
            <w:gridSpan w:val="2"/>
          </w:tcPr>
          <w:p w14:paraId="55217EDA" w14:textId="77B29BE3" w:rsidR="00AF4CA4" w:rsidRPr="00471143" w:rsidRDefault="00A51292" w:rsidP="002C3948">
            <w:pPr>
              <w:pStyle w:val="TableText"/>
              <w:keepNext/>
              <w:rPr>
                <w:rFonts w:ascii="Arial" w:hAnsi="Arial" w:cs="Arial"/>
                <w:sz w:val="20"/>
                <w:szCs w:val="20"/>
              </w:rPr>
            </w:pPr>
            <w:r w:rsidRPr="00471143">
              <w:rPr>
                <w:rFonts w:ascii="Arial" w:hAnsi="Arial" w:cs="Arial"/>
                <w:sz w:val="20"/>
                <w:szCs w:val="20"/>
              </w:rPr>
              <w:t>Report from CDB with information from ECC and private project sponsors</w:t>
            </w:r>
          </w:p>
        </w:tc>
      </w:tr>
      <w:tr w:rsidR="005C08C9" w:rsidRPr="00471143" w14:paraId="3817EF8F" w14:textId="77777777" w:rsidTr="00690D98">
        <w:tblPrEx>
          <w:tblBorders>
            <w:insideH w:val="single" w:sz="4" w:space="0" w:color="000000"/>
            <w:insideV w:val="single" w:sz="4" w:space="0" w:color="000000"/>
          </w:tblBorders>
        </w:tblPrEx>
        <w:trPr>
          <w:gridAfter w:val="1"/>
          <w:wAfter w:w="20" w:type="dxa"/>
          <w:trHeight w:val="68"/>
          <w:jc w:val="left"/>
        </w:trPr>
        <w:tc>
          <w:tcPr>
            <w:tcW w:w="8651" w:type="dxa"/>
            <w:gridSpan w:val="4"/>
            <w:shd w:val="clear" w:color="auto" w:fill="BFBFBF"/>
            <w:hideMark/>
          </w:tcPr>
          <w:p w14:paraId="0B14CD62" w14:textId="5568B0CA" w:rsidR="005C08C9" w:rsidRPr="00471143" w:rsidRDefault="006B62DA" w:rsidP="005870B7">
            <w:pPr>
              <w:pStyle w:val="TableText"/>
              <w:rPr>
                <w:rFonts w:ascii="Arial" w:hAnsi="Arial" w:cs="Arial"/>
                <w:b/>
                <w:sz w:val="20"/>
                <w:szCs w:val="20"/>
              </w:rPr>
            </w:pPr>
            <w:r w:rsidRPr="00471143">
              <w:rPr>
                <w:rFonts w:ascii="Arial" w:hAnsi="Arial" w:cs="Arial"/>
                <w:b/>
                <w:sz w:val="20"/>
                <w:szCs w:val="20"/>
              </w:rPr>
              <w:t>Component 2- Technical Assistance: Regulatory framework, institutional strengthening, and capacity building</w:t>
            </w:r>
          </w:p>
        </w:tc>
      </w:tr>
      <w:tr w:rsidR="00965961" w:rsidRPr="00471143" w14:paraId="42E7B534" w14:textId="77777777" w:rsidTr="00690D98">
        <w:trPr>
          <w:jc w:val="left"/>
        </w:trPr>
        <w:tc>
          <w:tcPr>
            <w:tcW w:w="2142" w:type="dxa"/>
          </w:tcPr>
          <w:p w14:paraId="77AE3CA8" w14:textId="74F109B4" w:rsidR="00370779" w:rsidRPr="00471143" w:rsidRDefault="00370779" w:rsidP="005C08C9">
            <w:pPr>
              <w:pStyle w:val="TableText"/>
              <w:rPr>
                <w:rFonts w:ascii="Arial" w:hAnsi="Arial" w:cs="Arial"/>
                <w:sz w:val="20"/>
                <w:szCs w:val="20"/>
              </w:rPr>
            </w:pPr>
            <w:r w:rsidRPr="00471143">
              <w:rPr>
                <w:rFonts w:ascii="Arial" w:hAnsi="Arial" w:cs="Arial"/>
                <w:sz w:val="20"/>
                <w:szCs w:val="20"/>
              </w:rPr>
              <w:t>EC</w:t>
            </w:r>
            <w:r w:rsidR="005C08C9" w:rsidRPr="00471143">
              <w:rPr>
                <w:rFonts w:ascii="Arial" w:hAnsi="Arial" w:cs="Arial"/>
                <w:sz w:val="20"/>
                <w:szCs w:val="20"/>
              </w:rPr>
              <w:t>C</w:t>
            </w:r>
            <w:r w:rsidRPr="00471143">
              <w:rPr>
                <w:rFonts w:ascii="Arial" w:hAnsi="Arial" w:cs="Arial"/>
                <w:sz w:val="20"/>
                <w:szCs w:val="20"/>
              </w:rPr>
              <w:t xml:space="preserve"> with legal and regulatory frameworks that enable GE development</w:t>
            </w:r>
            <w:r w:rsidR="003A04F3" w:rsidRPr="00471143">
              <w:rPr>
                <w:rFonts w:ascii="Arial" w:hAnsi="Arial" w:cs="Arial"/>
                <w:sz w:val="20"/>
                <w:szCs w:val="20"/>
              </w:rPr>
              <w:t xml:space="preserve"> implemented</w:t>
            </w:r>
          </w:p>
        </w:tc>
        <w:tc>
          <w:tcPr>
            <w:tcW w:w="2338" w:type="dxa"/>
          </w:tcPr>
          <w:p w14:paraId="7259E5D3" w14:textId="50AE1776" w:rsidR="00370779" w:rsidRPr="00471143" w:rsidRDefault="00370779" w:rsidP="00A012A6">
            <w:pPr>
              <w:pStyle w:val="TableText"/>
              <w:rPr>
                <w:rFonts w:ascii="Arial" w:hAnsi="Arial" w:cs="Arial"/>
                <w:sz w:val="20"/>
                <w:szCs w:val="20"/>
              </w:rPr>
            </w:pPr>
            <w:r w:rsidRPr="00471143">
              <w:rPr>
                <w:rFonts w:ascii="Arial" w:hAnsi="Arial" w:cs="Arial"/>
                <w:sz w:val="20"/>
                <w:szCs w:val="20"/>
              </w:rPr>
              <w:t>Number of countries that have GE legal and regulatory frameworks</w:t>
            </w:r>
          </w:p>
        </w:tc>
        <w:tc>
          <w:tcPr>
            <w:tcW w:w="2156" w:type="dxa"/>
          </w:tcPr>
          <w:p w14:paraId="7DD2C5F6" w14:textId="3451E91F" w:rsidR="00370779" w:rsidRPr="00471143" w:rsidRDefault="005C08C9" w:rsidP="00370779">
            <w:pPr>
              <w:pStyle w:val="TableText"/>
              <w:rPr>
                <w:rFonts w:ascii="Arial" w:hAnsi="Arial" w:cs="Arial"/>
                <w:sz w:val="20"/>
                <w:szCs w:val="20"/>
              </w:rPr>
            </w:pPr>
            <w:r w:rsidRPr="00471143">
              <w:rPr>
                <w:rFonts w:ascii="Arial" w:hAnsi="Arial" w:cs="Arial"/>
                <w:sz w:val="20"/>
                <w:szCs w:val="20"/>
              </w:rPr>
              <w:t>Semiannually and at the end of the execution period</w:t>
            </w:r>
          </w:p>
        </w:tc>
        <w:tc>
          <w:tcPr>
            <w:tcW w:w="2035" w:type="dxa"/>
            <w:gridSpan w:val="2"/>
          </w:tcPr>
          <w:p w14:paraId="1A016761" w14:textId="2CD9DD03" w:rsidR="00370779" w:rsidRPr="00471143" w:rsidRDefault="00370779" w:rsidP="00370779">
            <w:pPr>
              <w:pStyle w:val="TableText"/>
              <w:keepNext/>
              <w:rPr>
                <w:rFonts w:ascii="Arial" w:hAnsi="Arial" w:cs="Arial"/>
                <w:sz w:val="20"/>
                <w:szCs w:val="20"/>
              </w:rPr>
            </w:pPr>
            <w:r w:rsidRPr="00471143">
              <w:rPr>
                <w:rFonts w:ascii="Arial" w:hAnsi="Arial" w:cs="Arial"/>
                <w:sz w:val="20"/>
                <w:szCs w:val="20"/>
              </w:rPr>
              <w:t xml:space="preserve">EA report based on information from Governments </w:t>
            </w:r>
          </w:p>
        </w:tc>
      </w:tr>
      <w:tr w:rsidR="008256C7" w:rsidRPr="00471143" w14:paraId="5BEE0C7F" w14:textId="77777777" w:rsidTr="00690D98">
        <w:trPr>
          <w:jc w:val="left"/>
        </w:trPr>
        <w:tc>
          <w:tcPr>
            <w:tcW w:w="2142" w:type="dxa"/>
          </w:tcPr>
          <w:p w14:paraId="523700A3" w14:textId="12EF8B64" w:rsidR="008256C7" w:rsidRPr="00471143" w:rsidRDefault="008256C7" w:rsidP="008256C7">
            <w:pPr>
              <w:pStyle w:val="TableText"/>
              <w:rPr>
                <w:rFonts w:ascii="Arial" w:hAnsi="Arial" w:cs="Arial"/>
                <w:sz w:val="20"/>
                <w:szCs w:val="20"/>
              </w:rPr>
            </w:pPr>
            <w:r w:rsidRPr="00471143">
              <w:rPr>
                <w:rFonts w:ascii="Arial" w:hAnsi="Arial" w:cs="Arial"/>
                <w:sz w:val="20"/>
                <w:szCs w:val="20"/>
              </w:rPr>
              <w:t>Specialized advisory services provided to ECC to structure GE sub-projects and reach financial closing for the construction of power plants</w:t>
            </w:r>
          </w:p>
        </w:tc>
        <w:tc>
          <w:tcPr>
            <w:tcW w:w="2338" w:type="dxa"/>
          </w:tcPr>
          <w:p w14:paraId="232057EA" w14:textId="0AC3443D" w:rsidR="008256C7" w:rsidRPr="00471143" w:rsidRDefault="008256C7" w:rsidP="008256C7">
            <w:pPr>
              <w:pStyle w:val="TableText"/>
              <w:rPr>
                <w:rFonts w:ascii="Arial" w:hAnsi="Arial" w:cs="Arial"/>
                <w:sz w:val="20"/>
                <w:szCs w:val="20"/>
              </w:rPr>
            </w:pPr>
            <w:r w:rsidRPr="00471143">
              <w:rPr>
                <w:rFonts w:ascii="Arial" w:hAnsi="Arial" w:cs="Arial"/>
                <w:sz w:val="20"/>
                <w:szCs w:val="20"/>
              </w:rPr>
              <w:t>Number of countries that received advisory services</w:t>
            </w:r>
          </w:p>
        </w:tc>
        <w:tc>
          <w:tcPr>
            <w:tcW w:w="2156" w:type="dxa"/>
          </w:tcPr>
          <w:p w14:paraId="2AD978A9" w14:textId="001D8186" w:rsidR="008256C7" w:rsidRPr="00471143" w:rsidRDefault="008256C7" w:rsidP="008256C7">
            <w:pPr>
              <w:pStyle w:val="TableText"/>
              <w:rPr>
                <w:rFonts w:ascii="Arial" w:hAnsi="Arial" w:cs="Arial"/>
                <w:sz w:val="20"/>
                <w:szCs w:val="20"/>
              </w:rPr>
            </w:pPr>
            <w:r w:rsidRPr="00471143">
              <w:rPr>
                <w:rFonts w:ascii="Arial" w:hAnsi="Arial" w:cs="Arial"/>
                <w:sz w:val="20"/>
                <w:szCs w:val="20"/>
              </w:rPr>
              <w:t>Semiannually and at the end of the execution period</w:t>
            </w:r>
          </w:p>
        </w:tc>
        <w:tc>
          <w:tcPr>
            <w:tcW w:w="2035" w:type="dxa"/>
            <w:gridSpan w:val="2"/>
          </w:tcPr>
          <w:p w14:paraId="73F6BE43" w14:textId="06FEAF59" w:rsidR="008256C7" w:rsidRPr="00471143" w:rsidRDefault="008256C7" w:rsidP="008256C7">
            <w:pPr>
              <w:pStyle w:val="TableText"/>
              <w:keepNext/>
              <w:rPr>
                <w:rFonts w:ascii="Arial" w:hAnsi="Arial" w:cs="Arial"/>
                <w:sz w:val="20"/>
                <w:szCs w:val="20"/>
              </w:rPr>
            </w:pPr>
            <w:r w:rsidRPr="00471143">
              <w:rPr>
                <w:rFonts w:ascii="Arial" w:hAnsi="Arial" w:cs="Arial"/>
                <w:sz w:val="20"/>
                <w:szCs w:val="20"/>
              </w:rPr>
              <w:t>CDB report</w:t>
            </w:r>
          </w:p>
        </w:tc>
      </w:tr>
      <w:tr w:rsidR="00FF246B" w:rsidRPr="00471143" w14:paraId="4503AD28" w14:textId="77777777" w:rsidTr="00690D98">
        <w:trPr>
          <w:jc w:val="left"/>
        </w:trPr>
        <w:tc>
          <w:tcPr>
            <w:tcW w:w="2142" w:type="dxa"/>
          </w:tcPr>
          <w:p w14:paraId="66A05E2E" w14:textId="310D4E1C" w:rsidR="00FF246B" w:rsidRPr="00471143" w:rsidRDefault="00FF246B" w:rsidP="00FF246B">
            <w:pPr>
              <w:pStyle w:val="TableText"/>
              <w:rPr>
                <w:rFonts w:ascii="Arial" w:hAnsi="Arial" w:cs="Arial"/>
                <w:sz w:val="20"/>
                <w:szCs w:val="20"/>
              </w:rPr>
            </w:pPr>
            <w:r w:rsidRPr="00471143">
              <w:rPr>
                <w:rFonts w:ascii="Arial" w:hAnsi="Arial" w:cs="Arial"/>
                <w:sz w:val="20"/>
                <w:szCs w:val="20"/>
              </w:rPr>
              <w:t>Public institutions responsible for energy in the ECC trained in GE technical, financial, or regulatory aspects.</w:t>
            </w:r>
          </w:p>
        </w:tc>
        <w:tc>
          <w:tcPr>
            <w:tcW w:w="2338" w:type="dxa"/>
          </w:tcPr>
          <w:p w14:paraId="314A031F" w14:textId="667A5772" w:rsidR="00FF246B" w:rsidRPr="00471143" w:rsidRDefault="00FF246B" w:rsidP="00FF246B">
            <w:pPr>
              <w:pStyle w:val="TableText"/>
              <w:rPr>
                <w:rFonts w:ascii="Arial" w:hAnsi="Arial" w:cs="Arial"/>
                <w:sz w:val="20"/>
                <w:szCs w:val="20"/>
              </w:rPr>
            </w:pPr>
            <w:r w:rsidRPr="00471143">
              <w:rPr>
                <w:rFonts w:ascii="Arial" w:hAnsi="Arial" w:cs="Arial"/>
                <w:sz w:val="20"/>
                <w:szCs w:val="20"/>
              </w:rPr>
              <w:t>Number of institutions that received training</w:t>
            </w:r>
          </w:p>
        </w:tc>
        <w:tc>
          <w:tcPr>
            <w:tcW w:w="2156" w:type="dxa"/>
          </w:tcPr>
          <w:p w14:paraId="7F669220" w14:textId="7E7990FE" w:rsidR="00FF246B" w:rsidRPr="00471143" w:rsidRDefault="00FF246B" w:rsidP="00FF246B">
            <w:pPr>
              <w:pStyle w:val="TableText"/>
              <w:rPr>
                <w:rFonts w:ascii="Arial" w:hAnsi="Arial" w:cs="Arial"/>
                <w:sz w:val="20"/>
                <w:szCs w:val="20"/>
              </w:rPr>
            </w:pPr>
            <w:r w:rsidRPr="00471143">
              <w:rPr>
                <w:rFonts w:ascii="Arial" w:hAnsi="Arial" w:cs="Arial"/>
                <w:sz w:val="20"/>
                <w:szCs w:val="20"/>
              </w:rPr>
              <w:t>Semiannually and at the end of the execution period</w:t>
            </w:r>
          </w:p>
        </w:tc>
        <w:tc>
          <w:tcPr>
            <w:tcW w:w="2035" w:type="dxa"/>
            <w:gridSpan w:val="2"/>
          </w:tcPr>
          <w:p w14:paraId="1D00DBF9" w14:textId="18BC65A6" w:rsidR="00FF246B" w:rsidRPr="00471143" w:rsidRDefault="00FF246B" w:rsidP="00FF246B">
            <w:pPr>
              <w:pStyle w:val="TableText"/>
              <w:keepNext/>
              <w:rPr>
                <w:rFonts w:ascii="Arial" w:hAnsi="Arial" w:cs="Arial"/>
                <w:sz w:val="20"/>
                <w:szCs w:val="20"/>
              </w:rPr>
            </w:pPr>
            <w:r w:rsidRPr="00471143">
              <w:rPr>
                <w:rFonts w:ascii="Arial" w:hAnsi="Arial" w:cs="Arial"/>
                <w:sz w:val="20"/>
                <w:szCs w:val="20"/>
              </w:rPr>
              <w:t>CDB report</w:t>
            </w:r>
          </w:p>
        </w:tc>
      </w:tr>
      <w:tr w:rsidR="00FF246B" w:rsidRPr="00471143" w14:paraId="1B646558" w14:textId="77777777" w:rsidTr="00690D98">
        <w:trPr>
          <w:jc w:val="left"/>
        </w:trPr>
        <w:tc>
          <w:tcPr>
            <w:tcW w:w="2142" w:type="dxa"/>
          </w:tcPr>
          <w:p w14:paraId="00D7634E" w14:textId="2C532B2C" w:rsidR="00FF246B" w:rsidRPr="00471143" w:rsidRDefault="00FF246B" w:rsidP="00FF246B">
            <w:pPr>
              <w:pStyle w:val="TableText"/>
              <w:rPr>
                <w:rFonts w:ascii="Arial" w:hAnsi="Arial" w:cs="Arial"/>
                <w:sz w:val="20"/>
                <w:szCs w:val="20"/>
              </w:rPr>
            </w:pPr>
            <w:r w:rsidRPr="00471143">
              <w:rPr>
                <w:rFonts w:ascii="Arial" w:hAnsi="Arial" w:cs="Arial"/>
                <w:sz w:val="20"/>
                <w:szCs w:val="20"/>
              </w:rPr>
              <w:t>Women trained in construction, operation and/or maintenance of RE infrastructure and projects</w:t>
            </w:r>
          </w:p>
        </w:tc>
        <w:tc>
          <w:tcPr>
            <w:tcW w:w="2338" w:type="dxa"/>
          </w:tcPr>
          <w:p w14:paraId="778C83E2" w14:textId="77777777" w:rsidR="00FF246B" w:rsidRPr="00471143" w:rsidRDefault="00FF246B" w:rsidP="00FF246B">
            <w:pPr>
              <w:pStyle w:val="TableText"/>
              <w:rPr>
                <w:rFonts w:ascii="Arial" w:hAnsi="Arial" w:cs="Arial"/>
                <w:sz w:val="20"/>
                <w:szCs w:val="20"/>
              </w:rPr>
            </w:pPr>
            <w:r w:rsidRPr="00471143">
              <w:rPr>
                <w:rFonts w:ascii="Arial" w:hAnsi="Arial" w:cs="Arial"/>
                <w:sz w:val="20"/>
                <w:szCs w:val="20"/>
              </w:rPr>
              <w:t>%</w:t>
            </w:r>
          </w:p>
          <w:p w14:paraId="64AC6904" w14:textId="77777777" w:rsidR="00FF246B" w:rsidRPr="00471143" w:rsidRDefault="00FF246B" w:rsidP="00FF246B">
            <w:pPr>
              <w:pStyle w:val="TableText"/>
              <w:rPr>
                <w:rFonts w:ascii="Arial" w:hAnsi="Arial" w:cs="Arial"/>
                <w:sz w:val="20"/>
                <w:szCs w:val="20"/>
              </w:rPr>
            </w:pPr>
          </w:p>
          <w:p w14:paraId="4545984B" w14:textId="1A67DED9" w:rsidR="00FF246B" w:rsidRPr="00471143" w:rsidRDefault="00FF246B" w:rsidP="00FF246B">
            <w:pPr>
              <w:pStyle w:val="TableText"/>
              <w:rPr>
                <w:rFonts w:ascii="Arial" w:hAnsi="Arial" w:cs="Arial"/>
                <w:sz w:val="20"/>
                <w:szCs w:val="20"/>
              </w:rPr>
            </w:pPr>
            <w:r w:rsidRPr="00471143">
              <w:rPr>
                <w:rFonts w:ascii="Arial" w:hAnsi="Arial" w:cs="Arial"/>
                <w:sz w:val="20"/>
                <w:szCs w:val="20"/>
              </w:rPr>
              <w:t xml:space="preserve">Measures the percentage of women trained, out of the total trainees, in construction, management and/or maintenance of </w:t>
            </w:r>
            <w:r w:rsidR="0065415D" w:rsidRPr="00471143">
              <w:rPr>
                <w:rFonts w:ascii="Arial" w:hAnsi="Arial" w:cs="Arial"/>
                <w:sz w:val="20"/>
                <w:szCs w:val="20"/>
              </w:rPr>
              <w:t xml:space="preserve">RE </w:t>
            </w:r>
            <w:r w:rsidRPr="00471143">
              <w:rPr>
                <w:rFonts w:ascii="Arial" w:hAnsi="Arial" w:cs="Arial"/>
                <w:sz w:val="20"/>
                <w:szCs w:val="20"/>
              </w:rPr>
              <w:t>infrastructure/project</w:t>
            </w:r>
            <w:r w:rsidR="003676CA" w:rsidRPr="00471143">
              <w:rPr>
                <w:rFonts w:ascii="Arial" w:hAnsi="Arial" w:cs="Arial"/>
                <w:sz w:val="20"/>
                <w:szCs w:val="20"/>
              </w:rPr>
              <w:t>. Measured as an average of individual GE sub projects at the end of the program</w:t>
            </w:r>
          </w:p>
          <w:p w14:paraId="620951BE" w14:textId="77777777" w:rsidR="00FF246B" w:rsidRPr="00471143" w:rsidRDefault="00FF246B" w:rsidP="00FF246B">
            <w:pPr>
              <w:pStyle w:val="TableText"/>
              <w:rPr>
                <w:rFonts w:ascii="Arial" w:hAnsi="Arial" w:cs="Arial"/>
                <w:sz w:val="20"/>
                <w:szCs w:val="20"/>
              </w:rPr>
            </w:pPr>
          </w:p>
        </w:tc>
        <w:tc>
          <w:tcPr>
            <w:tcW w:w="2156" w:type="dxa"/>
          </w:tcPr>
          <w:p w14:paraId="19F046EC" w14:textId="41C6E8CD" w:rsidR="00FF246B" w:rsidRPr="00471143" w:rsidRDefault="00FF246B" w:rsidP="00FF246B">
            <w:pPr>
              <w:pStyle w:val="TableText"/>
              <w:rPr>
                <w:rFonts w:ascii="Arial" w:hAnsi="Arial" w:cs="Arial"/>
                <w:sz w:val="20"/>
                <w:szCs w:val="20"/>
              </w:rPr>
            </w:pPr>
            <w:r w:rsidRPr="00471143">
              <w:rPr>
                <w:rFonts w:ascii="Arial" w:hAnsi="Arial" w:cs="Arial"/>
                <w:sz w:val="20"/>
                <w:szCs w:val="20"/>
              </w:rPr>
              <w:t xml:space="preserve">At the completion of the execution period </w:t>
            </w:r>
          </w:p>
          <w:p w14:paraId="31DD7EC3" w14:textId="77777777" w:rsidR="00FF246B" w:rsidRPr="00471143" w:rsidRDefault="00FF246B" w:rsidP="00FF246B">
            <w:pPr>
              <w:pStyle w:val="TableText"/>
              <w:rPr>
                <w:rFonts w:ascii="Arial" w:hAnsi="Arial" w:cs="Arial"/>
                <w:sz w:val="20"/>
                <w:szCs w:val="20"/>
              </w:rPr>
            </w:pPr>
          </w:p>
          <w:p w14:paraId="1A91DEE3" w14:textId="77777777" w:rsidR="00FF246B" w:rsidRPr="00471143" w:rsidRDefault="00FF246B" w:rsidP="00FF246B">
            <w:pPr>
              <w:pStyle w:val="TableText"/>
              <w:rPr>
                <w:rFonts w:ascii="Arial" w:hAnsi="Arial" w:cs="Arial"/>
                <w:sz w:val="20"/>
                <w:szCs w:val="20"/>
              </w:rPr>
            </w:pPr>
          </w:p>
        </w:tc>
        <w:tc>
          <w:tcPr>
            <w:tcW w:w="2035" w:type="dxa"/>
            <w:gridSpan w:val="2"/>
          </w:tcPr>
          <w:p w14:paraId="692068E1" w14:textId="07C8CB7C" w:rsidR="00FF246B" w:rsidRPr="00471143" w:rsidRDefault="00FF246B" w:rsidP="00FF246B">
            <w:pPr>
              <w:pStyle w:val="TableText"/>
              <w:keepNext/>
              <w:rPr>
                <w:rFonts w:ascii="Arial" w:hAnsi="Arial" w:cs="Arial"/>
                <w:sz w:val="20"/>
                <w:szCs w:val="20"/>
              </w:rPr>
            </w:pPr>
            <w:r w:rsidRPr="00471143">
              <w:rPr>
                <w:rFonts w:ascii="Arial" w:hAnsi="Arial" w:cs="Arial"/>
                <w:sz w:val="20"/>
                <w:szCs w:val="20"/>
              </w:rPr>
              <w:t>EA report based on information from Governments and private project sponsors</w:t>
            </w:r>
          </w:p>
        </w:tc>
      </w:tr>
      <w:tr w:rsidR="003676CA" w:rsidRPr="00471143" w14:paraId="2231430C" w14:textId="77777777" w:rsidTr="00690D98">
        <w:trPr>
          <w:jc w:val="left"/>
        </w:trPr>
        <w:tc>
          <w:tcPr>
            <w:tcW w:w="2142" w:type="dxa"/>
          </w:tcPr>
          <w:p w14:paraId="70FE9028" w14:textId="25785D29" w:rsidR="003676CA" w:rsidRPr="00471143" w:rsidRDefault="003676CA" w:rsidP="003676CA">
            <w:pPr>
              <w:pStyle w:val="TableText"/>
              <w:rPr>
                <w:rFonts w:ascii="Arial" w:hAnsi="Arial" w:cs="Arial"/>
                <w:sz w:val="20"/>
                <w:szCs w:val="20"/>
              </w:rPr>
            </w:pPr>
            <w:r w:rsidRPr="00471143">
              <w:rPr>
                <w:rFonts w:ascii="Arial" w:hAnsi="Arial" w:cs="Arial"/>
                <w:sz w:val="20"/>
                <w:szCs w:val="20"/>
              </w:rPr>
              <w:t>% of women who participated in consultations.</w:t>
            </w:r>
          </w:p>
        </w:tc>
        <w:tc>
          <w:tcPr>
            <w:tcW w:w="2338" w:type="dxa"/>
            <w:vAlign w:val="center"/>
          </w:tcPr>
          <w:p w14:paraId="159AA8F1" w14:textId="77777777" w:rsidR="003676CA" w:rsidRPr="00471143" w:rsidRDefault="003676CA" w:rsidP="003676CA">
            <w:pPr>
              <w:pStyle w:val="TableText"/>
              <w:keepNext/>
              <w:rPr>
                <w:rFonts w:ascii="Arial" w:hAnsi="Arial" w:cs="Arial"/>
                <w:sz w:val="20"/>
                <w:szCs w:val="20"/>
              </w:rPr>
            </w:pPr>
            <w:r w:rsidRPr="00471143">
              <w:rPr>
                <w:rFonts w:ascii="Arial" w:hAnsi="Arial" w:cs="Arial"/>
                <w:sz w:val="20"/>
                <w:szCs w:val="20"/>
              </w:rPr>
              <w:t>%</w:t>
            </w:r>
          </w:p>
          <w:p w14:paraId="694FDE1F" w14:textId="77777777" w:rsidR="003676CA" w:rsidRPr="00471143" w:rsidRDefault="003676CA" w:rsidP="003676CA">
            <w:pPr>
              <w:pStyle w:val="TableText"/>
              <w:keepNext/>
              <w:rPr>
                <w:rFonts w:ascii="Arial" w:hAnsi="Arial" w:cs="Arial"/>
                <w:sz w:val="20"/>
                <w:szCs w:val="20"/>
              </w:rPr>
            </w:pPr>
          </w:p>
          <w:p w14:paraId="70ED4C8F" w14:textId="38092A6C" w:rsidR="003676CA" w:rsidRPr="00471143" w:rsidRDefault="003676CA" w:rsidP="003676CA">
            <w:pPr>
              <w:pStyle w:val="TableText"/>
              <w:rPr>
                <w:rFonts w:ascii="Arial" w:hAnsi="Arial" w:cs="Arial"/>
                <w:sz w:val="20"/>
                <w:szCs w:val="20"/>
              </w:rPr>
            </w:pPr>
            <w:r w:rsidRPr="00471143">
              <w:rPr>
                <w:rFonts w:ascii="Arial" w:hAnsi="Arial" w:cs="Arial"/>
                <w:sz w:val="20"/>
                <w:szCs w:val="20"/>
              </w:rPr>
              <w:t>Measures the percentage of woman that participated in consultation process for GE projects out of the total of persons that participated in consultations. Measured as an average of individual GE sub projects at the end of the program</w:t>
            </w:r>
          </w:p>
        </w:tc>
        <w:tc>
          <w:tcPr>
            <w:tcW w:w="2156" w:type="dxa"/>
          </w:tcPr>
          <w:p w14:paraId="52AD3EEF" w14:textId="77777777" w:rsidR="003676CA" w:rsidRPr="00471143" w:rsidRDefault="003676CA" w:rsidP="003676CA">
            <w:pPr>
              <w:pStyle w:val="TableText"/>
              <w:rPr>
                <w:rFonts w:ascii="Arial" w:hAnsi="Arial" w:cs="Arial"/>
                <w:sz w:val="20"/>
                <w:szCs w:val="20"/>
              </w:rPr>
            </w:pPr>
            <w:r w:rsidRPr="00471143">
              <w:rPr>
                <w:rFonts w:ascii="Arial" w:hAnsi="Arial" w:cs="Arial"/>
                <w:sz w:val="20"/>
                <w:szCs w:val="20"/>
              </w:rPr>
              <w:t xml:space="preserve">At the completion of the execution period </w:t>
            </w:r>
          </w:p>
          <w:p w14:paraId="5A9EF7DE" w14:textId="77777777" w:rsidR="003676CA" w:rsidRPr="00471143" w:rsidRDefault="003676CA" w:rsidP="003676CA">
            <w:pPr>
              <w:pStyle w:val="TableText"/>
              <w:rPr>
                <w:rFonts w:ascii="Arial" w:hAnsi="Arial" w:cs="Arial"/>
                <w:sz w:val="20"/>
                <w:szCs w:val="20"/>
              </w:rPr>
            </w:pPr>
          </w:p>
        </w:tc>
        <w:tc>
          <w:tcPr>
            <w:tcW w:w="2035" w:type="dxa"/>
            <w:gridSpan w:val="2"/>
          </w:tcPr>
          <w:p w14:paraId="1F97EB79" w14:textId="5B543E86" w:rsidR="003676CA" w:rsidRPr="00471143" w:rsidRDefault="003676CA" w:rsidP="003676CA">
            <w:pPr>
              <w:pStyle w:val="TableText"/>
              <w:keepNext/>
              <w:rPr>
                <w:rFonts w:ascii="Arial" w:hAnsi="Arial" w:cs="Arial"/>
                <w:sz w:val="20"/>
                <w:szCs w:val="20"/>
              </w:rPr>
            </w:pPr>
            <w:r w:rsidRPr="00471143">
              <w:rPr>
                <w:rFonts w:ascii="Arial" w:hAnsi="Arial" w:cs="Arial"/>
                <w:sz w:val="20"/>
                <w:szCs w:val="20"/>
              </w:rPr>
              <w:t>Reports from the CDB based on information from governments and private project sponsors</w:t>
            </w:r>
          </w:p>
        </w:tc>
      </w:tr>
    </w:tbl>
    <w:p w14:paraId="68AD70F1" w14:textId="77777777" w:rsidR="00123C6C" w:rsidRPr="008E106E" w:rsidRDefault="00123C6C" w:rsidP="00A012A6">
      <w:pPr>
        <w:pStyle w:val="TableorFigureEnd"/>
        <w:pBdr>
          <w:top w:val="single" w:sz="4" w:space="31" w:color="auto"/>
        </w:pBdr>
        <w:rPr>
          <w:rFonts w:ascii="Arial" w:hAnsi="Arial" w:cs="Arial"/>
          <w:sz w:val="22"/>
          <w:szCs w:val="22"/>
        </w:rPr>
      </w:pPr>
    </w:p>
    <w:p w14:paraId="60D2CD74" w14:textId="77777777" w:rsidR="001962AD" w:rsidRPr="008E106E" w:rsidRDefault="00123C6C" w:rsidP="0009381F">
      <w:pPr>
        <w:pStyle w:val="Heading2"/>
        <w:rPr>
          <w:rFonts w:ascii="Arial" w:hAnsi="Arial"/>
          <w:sz w:val="22"/>
          <w:szCs w:val="22"/>
        </w:rPr>
      </w:pPr>
      <w:bookmarkStart w:id="52" w:name="_Toc531018667"/>
      <w:r w:rsidRPr="008E106E">
        <w:rPr>
          <w:rFonts w:ascii="Arial" w:hAnsi="Arial"/>
          <w:sz w:val="22"/>
          <w:szCs w:val="22"/>
        </w:rPr>
        <w:t>Evaluation Methodology</w:t>
      </w:r>
      <w:bookmarkEnd w:id="52"/>
      <w:r w:rsidR="006A0723" w:rsidRPr="008E106E">
        <w:rPr>
          <w:rFonts w:ascii="Arial" w:hAnsi="Arial"/>
          <w:sz w:val="22"/>
          <w:szCs w:val="22"/>
        </w:rPr>
        <w:t xml:space="preserve"> </w:t>
      </w:r>
    </w:p>
    <w:p w14:paraId="1220B74E" w14:textId="4777D792" w:rsidR="00016909" w:rsidRPr="008E106E" w:rsidRDefault="00DE5BDE" w:rsidP="00072EFB">
      <w:pPr>
        <w:pStyle w:val="BodyText"/>
        <w:rPr>
          <w:rFonts w:ascii="Arial" w:hAnsi="Arial" w:cs="Arial"/>
          <w:sz w:val="22"/>
          <w:szCs w:val="22"/>
          <w:lang w:eastAsia="ja-JP"/>
        </w:rPr>
      </w:pPr>
      <w:r w:rsidRPr="008E106E">
        <w:rPr>
          <w:rFonts w:ascii="Arial" w:hAnsi="Arial" w:cs="Arial"/>
          <w:sz w:val="22"/>
          <w:szCs w:val="22"/>
          <w:lang w:eastAsia="ja-JP"/>
        </w:rPr>
        <w:t>The IDB will follow a before</w:t>
      </w:r>
      <w:r w:rsidR="00072EFB" w:rsidRPr="008E106E">
        <w:rPr>
          <w:rFonts w:ascii="Arial" w:hAnsi="Arial" w:cs="Arial"/>
          <w:sz w:val="22"/>
          <w:szCs w:val="22"/>
          <w:lang w:eastAsia="ja-JP"/>
        </w:rPr>
        <w:t>-completion</w:t>
      </w:r>
      <w:r w:rsidRPr="008E106E">
        <w:rPr>
          <w:rFonts w:ascii="Arial" w:hAnsi="Arial" w:cs="Arial"/>
          <w:sz w:val="22"/>
          <w:szCs w:val="22"/>
          <w:lang w:eastAsia="ja-JP"/>
        </w:rPr>
        <w:t xml:space="preserve"> and after</w:t>
      </w:r>
      <w:r w:rsidR="00072EFB" w:rsidRPr="008E106E">
        <w:rPr>
          <w:rFonts w:ascii="Arial" w:hAnsi="Arial" w:cs="Arial"/>
          <w:sz w:val="22"/>
          <w:szCs w:val="22"/>
          <w:lang w:eastAsia="ja-JP"/>
        </w:rPr>
        <w:t>-completion</w:t>
      </w:r>
      <w:r w:rsidRPr="008E106E">
        <w:rPr>
          <w:rFonts w:ascii="Arial" w:hAnsi="Arial" w:cs="Arial"/>
          <w:sz w:val="22"/>
          <w:szCs w:val="22"/>
          <w:lang w:eastAsia="ja-JP"/>
        </w:rPr>
        <w:t xml:space="preserve"> methodology to evaluate the results of the Program</w:t>
      </w:r>
      <w:r w:rsidR="00C11796" w:rsidRPr="008E106E">
        <w:rPr>
          <w:rFonts w:ascii="Arial" w:hAnsi="Arial" w:cs="Arial"/>
          <w:sz w:val="22"/>
          <w:szCs w:val="22"/>
          <w:lang w:eastAsia="ja-JP"/>
        </w:rPr>
        <w:t xml:space="preserve"> (SEF-Expanded and SEF-2015)</w:t>
      </w:r>
      <w:r w:rsidRPr="008E106E">
        <w:rPr>
          <w:rFonts w:ascii="Arial" w:hAnsi="Arial" w:cs="Arial"/>
          <w:sz w:val="22"/>
          <w:szCs w:val="22"/>
          <w:lang w:eastAsia="ja-JP"/>
        </w:rPr>
        <w:t xml:space="preserve">. </w:t>
      </w:r>
      <w:r w:rsidR="0073235B" w:rsidRPr="008E106E">
        <w:rPr>
          <w:rFonts w:ascii="Arial" w:hAnsi="Arial" w:cs="Arial"/>
          <w:sz w:val="22"/>
          <w:szCs w:val="22"/>
          <w:lang w:eastAsia="ja-JP"/>
        </w:rPr>
        <w:t xml:space="preserve">Specifically, for a group of indicators, the IDB will compare baseline values against the values after the Program is completed. </w:t>
      </w:r>
      <w:r w:rsidR="00016909" w:rsidRPr="008E106E">
        <w:rPr>
          <w:rFonts w:ascii="Arial" w:hAnsi="Arial" w:cs="Arial"/>
          <w:sz w:val="22"/>
          <w:szCs w:val="22"/>
          <w:lang w:eastAsia="ja-JP"/>
        </w:rPr>
        <w:t xml:space="preserve">This is the same methodology that is used for monitoring the Program. The only difference is the point in time when the methodology is applied. For monitoring the Program, the methodology is applied while the Program is being executed. For evaluating the Program, the methodology is used after the Program is completed. </w:t>
      </w:r>
    </w:p>
    <w:p w14:paraId="0C24EEDA" w14:textId="0FB71090" w:rsidR="00213D35" w:rsidRPr="008E106E" w:rsidRDefault="0073235B" w:rsidP="00072EFB">
      <w:pPr>
        <w:pStyle w:val="BodyText"/>
        <w:rPr>
          <w:rFonts w:ascii="Arial" w:hAnsi="Arial" w:cs="Arial"/>
          <w:sz w:val="22"/>
          <w:szCs w:val="22"/>
          <w:lang w:eastAsia="ja-JP"/>
        </w:rPr>
      </w:pPr>
      <w:r w:rsidRPr="008E106E">
        <w:rPr>
          <w:rFonts w:ascii="Arial" w:hAnsi="Arial" w:cs="Arial"/>
          <w:sz w:val="22"/>
          <w:szCs w:val="22"/>
          <w:lang w:eastAsia="ja-JP"/>
        </w:rPr>
        <w:t xml:space="preserve">By measuring </w:t>
      </w:r>
      <w:r w:rsidR="00403807" w:rsidRPr="008E106E">
        <w:rPr>
          <w:rFonts w:ascii="Arial" w:hAnsi="Arial" w:cs="Arial"/>
          <w:sz w:val="22"/>
          <w:szCs w:val="22"/>
          <w:lang w:eastAsia="ja-JP"/>
        </w:rPr>
        <w:t>b</w:t>
      </w:r>
      <w:r w:rsidRPr="008E106E">
        <w:rPr>
          <w:rFonts w:ascii="Arial" w:hAnsi="Arial" w:cs="Arial"/>
          <w:sz w:val="22"/>
          <w:szCs w:val="22"/>
          <w:lang w:eastAsia="ja-JP"/>
        </w:rPr>
        <w:t>aseline values in year 0</w:t>
      </w:r>
      <w:r w:rsidR="00072EFB" w:rsidRPr="008E106E">
        <w:rPr>
          <w:rFonts w:ascii="Arial" w:hAnsi="Arial" w:cs="Arial"/>
          <w:sz w:val="22"/>
          <w:szCs w:val="22"/>
          <w:lang w:eastAsia="ja-JP"/>
        </w:rPr>
        <w:t xml:space="preserve"> </w:t>
      </w:r>
      <w:r w:rsidR="00247EB7" w:rsidRPr="008E106E">
        <w:rPr>
          <w:rFonts w:ascii="Arial" w:hAnsi="Arial" w:cs="Arial"/>
          <w:sz w:val="22"/>
          <w:szCs w:val="22"/>
          <w:lang w:eastAsia="ja-JP"/>
        </w:rPr>
        <w:t xml:space="preserve">of the SEF Program </w:t>
      </w:r>
      <w:r w:rsidR="00072EFB" w:rsidRPr="008E106E">
        <w:rPr>
          <w:rFonts w:ascii="Arial" w:hAnsi="Arial" w:cs="Arial"/>
          <w:sz w:val="22"/>
          <w:szCs w:val="22"/>
          <w:lang w:eastAsia="ja-JP"/>
        </w:rPr>
        <w:t>(2015)</w:t>
      </w:r>
      <w:r w:rsidRPr="008E106E">
        <w:rPr>
          <w:rFonts w:ascii="Arial" w:hAnsi="Arial" w:cs="Arial"/>
          <w:sz w:val="22"/>
          <w:szCs w:val="22"/>
          <w:lang w:eastAsia="ja-JP"/>
        </w:rPr>
        <w:t xml:space="preserve">, the IDB </w:t>
      </w:r>
      <w:r w:rsidR="00AF1047" w:rsidRPr="008E106E">
        <w:rPr>
          <w:rFonts w:ascii="Arial" w:hAnsi="Arial" w:cs="Arial"/>
          <w:sz w:val="22"/>
          <w:szCs w:val="22"/>
          <w:lang w:eastAsia="ja-JP"/>
        </w:rPr>
        <w:t>will</w:t>
      </w:r>
      <w:r w:rsidRPr="008E106E">
        <w:rPr>
          <w:rFonts w:ascii="Arial" w:hAnsi="Arial" w:cs="Arial"/>
          <w:sz w:val="22"/>
          <w:szCs w:val="22"/>
          <w:lang w:eastAsia="ja-JP"/>
        </w:rPr>
        <w:t xml:space="preserve"> </w:t>
      </w:r>
      <w:r w:rsidR="00403807" w:rsidRPr="008E106E">
        <w:rPr>
          <w:rFonts w:ascii="Arial" w:hAnsi="Arial" w:cs="Arial"/>
          <w:sz w:val="22"/>
          <w:szCs w:val="22"/>
          <w:lang w:eastAsia="ja-JP"/>
        </w:rPr>
        <w:t xml:space="preserve">simulate </w:t>
      </w:r>
      <w:r w:rsidRPr="008E106E">
        <w:rPr>
          <w:rFonts w:ascii="Arial" w:hAnsi="Arial" w:cs="Arial"/>
          <w:sz w:val="22"/>
          <w:szCs w:val="22"/>
          <w:lang w:eastAsia="ja-JP"/>
        </w:rPr>
        <w:t xml:space="preserve">a counterfactual of what the </w:t>
      </w:r>
      <w:r w:rsidR="00403807" w:rsidRPr="008E106E">
        <w:rPr>
          <w:rFonts w:ascii="Arial" w:hAnsi="Arial" w:cs="Arial"/>
          <w:sz w:val="22"/>
          <w:szCs w:val="22"/>
          <w:lang w:eastAsia="ja-JP"/>
        </w:rPr>
        <w:t>performance for these indicators would be if the Program would not be implemented.</w:t>
      </w:r>
      <w:r w:rsidR="00D47570" w:rsidRPr="008E106E">
        <w:rPr>
          <w:rFonts w:ascii="Arial" w:hAnsi="Arial" w:cs="Arial"/>
          <w:sz w:val="22"/>
          <w:szCs w:val="22"/>
          <w:lang w:eastAsia="ja-JP"/>
        </w:rPr>
        <w:t xml:space="preserve"> This methodology assumes that if the </w:t>
      </w:r>
      <w:r w:rsidR="00AF1047" w:rsidRPr="008E106E">
        <w:rPr>
          <w:rFonts w:ascii="Arial" w:hAnsi="Arial" w:cs="Arial"/>
          <w:sz w:val="22"/>
          <w:szCs w:val="22"/>
          <w:lang w:eastAsia="ja-JP"/>
        </w:rPr>
        <w:t>Program</w:t>
      </w:r>
      <w:r w:rsidR="00D47570" w:rsidRPr="008E106E">
        <w:rPr>
          <w:rFonts w:ascii="Arial" w:hAnsi="Arial" w:cs="Arial"/>
          <w:sz w:val="22"/>
          <w:szCs w:val="22"/>
          <w:lang w:eastAsia="ja-JP"/>
        </w:rPr>
        <w:t xml:space="preserve"> w</w:t>
      </w:r>
      <w:r w:rsidR="00CF2968" w:rsidRPr="008E106E">
        <w:rPr>
          <w:rFonts w:ascii="Arial" w:hAnsi="Arial" w:cs="Arial"/>
          <w:sz w:val="22"/>
          <w:szCs w:val="22"/>
          <w:lang w:eastAsia="ja-JP"/>
        </w:rPr>
        <w:t>as</w:t>
      </w:r>
      <w:r w:rsidR="00D47570" w:rsidRPr="008E106E">
        <w:rPr>
          <w:rFonts w:ascii="Arial" w:hAnsi="Arial" w:cs="Arial"/>
          <w:sz w:val="22"/>
          <w:szCs w:val="22"/>
          <w:lang w:eastAsia="ja-JP"/>
        </w:rPr>
        <w:t xml:space="preserve"> not implemented, indicator values would remain at their baseline values. </w:t>
      </w:r>
    </w:p>
    <w:p w14:paraId="331BBD31" w14:textId="60C99B3C" w:rsidR="00CC50EB" w:rsidRPr="00690D98" w:rsidRDefault="00083A37" w:rsidP="00072EFB">
      <w:pPr>
        <w:pStyle w:val="BodyText"/>
        <w:rPr>
          <w:rFonts w:ascii="Arial" w:hAnsi="Arial" w:cs="Arial"/>
          <w:sz w:val="22"/>
          <w:szCs w:val="22"/>
          <w:lang w:eastAsia="ja-JP"/>
        </w:rPr>
      </w:pPr>
      <w:r w:rsidRPr="008E106E">
        <w:rPr>
          <w:rFonts w:ascii="Arial" w:hAnsi="Arial" w:cs="Arial"/>
          <w:sz w:val="22"/>
          <w:szCs w:val="22"/>
          <w:lang w:eastAsia="ja-JP"/>
        </w:rPr>
        <w:t>The</w:t>
      </w:r>
      <w:r w:rsidR="00CC50EB" w:rsidRPr="008E106E">
        <w:rPr>
          <w:rFonts w:ascii="Arial" w:hAnsi="Arial" w:cs="Arial"/>
          <w:sz w:val="22"/>
          <w:szCs w:val="22"/>
          <w:lang w:eastAsia="ja-JP"/>
        </w:rPr>
        <w:t xml:space="preserve"> CBA </w:t>
      </w:r>
      <w:r w:rsidR="009F2C48" w:rsidRPr="00690D98">
        <w:rPr>
          <w:rFonts w:ascii="Arial" w:hAnsi="Arial" w:cs="Arial"/>
          <w:sz w:val="22"/>
          <w:szCs w:val="22"/>
          <w:lang w:eastAsia="ja-JP"/>
        </w:rPr>
        <w:t xml:space="preserve">variables </w:t>
      </w:r>
      <w:r w:rsidR="00CC50EB" w:rsidRPr="00690D98">
        <w:rPr>
          <w:rFonts w:ascii="Arial" w:hAnsi="Arial" w:cs="Arial"/>
          <w:sz w:val="22"/>
          <w:szCs w:val="22"/>
          <w:lang w:eastAsia="ja-JP"/>
        </w:rPr>
        <w:t xml:space="preserve">will be updated with </w:t>
      </w:r>
      <w:r w:rsidR="009F2C48" w:rsidRPr="00690D98">
        <w:rPr>
          <w:rFonts w:ascii="Arial" w:hAnsi="Arial" w:cs="Arial"/>
          <w:sz w:val="22"/>
          <w:szCs w:val="22"/>
          <w:lang w:eastAsia="ja-JP"/>
        </w:rPr>
        <w:t>real values</w:t>
      </w:r>
      <w:r w:rsidR="00CC50EB" w:rsidRPr="00690D98">
        <w:rPr>
          <w:rFonts w:ascii="Arial" w:hAnsi="Arial" w:cs="Arial"/>
          <w:sz w:val="22"/>
          <w:szCs w:val="22"/>
          <w:lang w:eastAsia="ja-JP"/>
        </w:rPr>
        <w:t xml:space="preserve"> </w:t>
      </w:r>
      <w:r w:rsidR="00CC50EB" w:rsidRPr="008E106E">
        <w:rPr>
          <w:rFonts w:ascii="Arial" w:hAnsi="Arial" w:cs="Arial"/>
          <w:sz w:val="22"/>
          <w:szCs w:val="22"/>
          <w:lang w:eastAsia="ja-JP"/>
        </w:rPr>
        <w:t>through the e</w:t>
      </w:r>
      <w:r w:rsidR="00CC50EB" w:rsidRPr="00690D98">
        <w:rPr>
          <w:rFonts w:ascii="Arial" w:hAnsi="Arial" w:cs="Arial"/>
          <w:sz w:val="22"/>
          <w:szCs w:val="22"/>
          <w:lang w:eastAsia="ja-JP"/>
        </w:rPr>
        <w:t>xecution of the project:</w:t>
      </w:r>
    </w:p>
    <w:p w14:paraId="46904A3A" w14:textId="4EAFB38C" w:rsidR="00083A37" w:rsidRPr="008E106E" w:rsidRDefault="00CC50EB" w:rsidP="00CC50EB">
      <w:pPr>
        <w:pStyle w:val="BodyText"/>
        <w:numPr>
          <w:ilvl w:val="0"/>
          <w:numId w:val="28"/>
        </w:numPr>
        <w:rPr>
          <w:rFonts w:ascii="Arial" w:hAnsi="Arial" w:cs="Arial"/>
          <w:sz w:val="22"/>
          <w:szCs w:val="22"/>
          <w:lang w:eastAsia="ja-JP"/>
        </w:rPr>
      </w:pPr>
      <w:r w:rsidRPr="008E106E">
        <w:rPr>
          <w:rFonts w:ascii="Arial" w:hAnsi="Arial" w:cs="Arial"/>
          <w:sz w:val="22"/>
          <w:szCs w:val="22"/>
          <w:lang w:eastAsia="ja-JP"/>
        </w:rPr>
        <w:t>Pounds of CO</w:t>
      </w:r>
      <w:r w:rsidRPr="008E106E">
        <w:rPr>
          <w:rFonts w:ascii="Cambria Math" w:hAnsi="Cambria Math" w:cs="Cambria Math"/>
          <w:sz w:val="22"/>
          <w:szCs w:val="22"/>
          <w:lang w:eastAsia="ja-JP"/>
        </w:rPr>
        <w:t>₂</w:t>
      </w:r>
      <w:r w:rsidRPr="008E106E">
        <w:rPr>
          <w:rFonts w:ascii="Arial" w:hAnsi="Arial" w:cs="Arial"/>
          <w:sz w:val="22"/>
          <w:szCs w:val="22"/>
          <w:lang w:eastAsia="ja-JP"/>
        </w:rPr>
        <w:t xml:space="preserve"> emissions per kWh of electricity produced from fuel oil:</w:t>
      </w:r>
      <w:r w:rsidR="00D17D8C" w:rsidRPr="008E106E">
        <w:rPr>
          <w:rFonts w:ascii="Arial" w:hAnsi="Arial" w:cs="Arial"/>
          <w:sz w:val="22"/>
          <w:szCs w:val="22"/>
          <w:lang w:eastAsia="ja-JP"/>
        </w:rPr>
        <w:t xml:space="preserve"> the value will be updated with the actual emission intensity of the fossil fuel plant </w:t>
      </w:r>
      <w:r w:rsidRPr="008E106E">
        <w:rPr>
          <w:rFonts w:ascii="Arial" w:hAnsi="Arial" w:cs="Arial"/>
          <w:sz w:val="22"/>
          <w:szCs w:val="22"/>
          <w:lang w:eastAsia="ja-JP"/>
        </w:rPr>
        <w:t xml:space="preserve">that will be displaced by GE projects considering </w:t>
      </w:r>
      <w:r w:rsidR="009F2C48" w:rsidRPr="008E106E">
        <w:rPr>
          <w:rFonts w:ascii="Arial" w:hAnsi="Arial" w:cs="Arial"/>
          <w:sz w:val="22"/>
          <w:szCs w:val="22"/>
          <w:lang w:eastAsia="ja-JP"/>
        </w:rPr>
        <w:t xml:space="preserve">the </w:t>
      </w:r>
      <w:r w:rsidRPr="008E106E">
        <w:rPr>
          <w:rFonts w:ascii="Arial" w:hAnsi="Arial" w:cs="Arial"/>
          <w:sz w:val="22"/>
          <w:szCs w:val="22"/>
          <w:lang w:eastAsia="ja-JP"/>
        </w:rPr>
        <w:t xml:space="preserve">prefeasibility and exploration results or </w:t>
      </w:r>
      <w:r w:rsidR="002677CA" w:rsidRPr="008E106E">
        <w:rPr>
          <w:rFonts w:ascii="Arial" w:hAnsi="Arial" w:cs="Arial"/>
          <w:sz w:val="22"/>
          <w:szCs w:val="22"/>
          <w:lang w:eastAsia="ja-JP"/>
        </w:rPr>
        <w:t xml:space="preserve">actual </w:t>
      </w:r>
      <w:r w:rsidRPr="008E106E">
        <w:rPr>
          <w:rFonts w:ascii="Arial" w:hAnsi="Arial" w:cs="Arial"/>
          <w:sz w:val="22"/>
          <w:szCs w:val="22"/>
          <w:lang w:eastAsia="ja-JP"/>
        </w:rPr>
        <w:t>plants under construction or operation</w:t>
      </w:r>
      <w:r w:rsidR="002677CA" w:rsidRPr="008E106E">
        <w:rPr>
          <w:rFonts w:ascii="Arial" w:hAnsi="Arial" w:cs="Arial"/>
          <w:sz w:val="22"/>
          <w:szCs w:val="22"/>
          <w:lang w:eastAsia="ja-JP"/>
        </w:rPr>
        <w:t>.</w:t>
      </w:r>
    </w:p>
    <w:p w14:paraId="6F647AF4" w14:textId="60C73957" w:rsidR="00CC50EB" w:rsidRPr="008E106E" w:rsidRDefault="004C29D2" w:rsidP="00CC50EB">
      <w:pPr>
        <w:pStyle w:val="BodyText"/>
        <w:numPr>
          <w:ilvl w:val="0"/>
          <w:numId w:val="28"/>
        </w:numPr>
        <w:rPr>
          <w:rFonts w:ascii="Arial" w:hAnsi="Arial" w:cs="Arial"/>
          <w:sz w:val="22"/>
          <w:szCs w:val="22"/>
          <w:lang w:eastAsia="ja-JP"/>
        </w:rPr>
      </w:pPr>
      <w:r w:rsidRPr="008E106E">
        <w:rPr>
          <w:rFonts w:ascii="Arial" w:hAnsi="Arial" w:cs="Arial"/>
          <w:sz w:val="22"/>
          <w:szCs w:val="22"/>
          <w:lang w:eastAsia="ja-JP"/>
        </w:rPr>
        <w:t>Plant size: the MW will be updated with the results obtained from the prefeasibility and exploration studies and actual plants under construction or operation.</w:t>
      </w:r>
    </w:p>
    <w:p w14:paraId="55EF99F1" w14:textId="1275CF01" w:rsidR="004C29D2" w:rsidRPr="008E106E" w:rsidRDefault="004C29D2" w:rsidP="00CC50EB">
      <w:pPr>
        <w:pStyle w:val="BodyText"/>
        <w:numPr>
          <w:ilvl w:val="0"/>
          <w:numId w:val="28"/>
        </w:numPr>
        <w:rPr>
          <w:rFonts w:ascii="Arial" w:hAnsi="Arial" w:cs="Arial"/>
          <w:sz w:val="22"/>
          <w:szCs w:val="22"/>
          <w:lang w:eastAsia="ja-JP"/>
        </w:rPr>
      </w:pPr>
      <w:r w:rsidRPr="008E106E">
        <w:rPr>
          <w:rFonts w:ascii="Arial" w:hAnsi="Arial" w:cs="Arial"/>
          <w:sz w:val="22"/>
          <w:szCs w:val="22"/>
          <w:lang w:eastAsia="ja-JP"/>
        </w:rPr>
        <w:t xml:space="preserve">Total Capex: will be updated with real capex of the plants that are already constructed or updated estimates for the planned or under construction plants for each specific site. </w:t>
      </w:r>
    </w:p>
    <w:p w14:paraId="1F38237F" w14:textId="216DD46C" w:rsidR="004C29D2" w:rsidRPr="008E106E" w:rsidRDefault="004C29D2" w:rsidP="004C29D2">
      <w:pPr>
        <w:pStyle w:val="BodyText"/>
        <w:numPr>
          <w:ilvl w:val="0"/>
          <w:numId w:val="28"/>
        </w:numPr>
        <w:rPr>
          <w:rFonts w:ascii="Arial" w:hAnsi="Arial" w:cs="Arial"/>
          <w:sz w:val="22"/>
          <w:szCs w:val="22"/>
          <w:lang w:eastAsia="ja-JP"/>
        </w:rPr>
      </w:pPr>
      <w:r w:rsidRPr="008E106E">
        <w:rPr>
          <w:rFonts w:ascii="Arial" w:hAnsi="Arial" w:cs="Arial"/>
          <w:sz w:val="22"/>
          <w:szCs w:val="22"/>
          <w:lang w:eastAsia="ja-JP"/>
        </w:rPr>
        <w:t xml:space="preserve">Operating cost of electricity from geothermal generation: will be updated with real operational costs of the plants that are already constructed or updated estimates for the planned or under construction plants for each specific site. </w:t>
      </w:r>
    </w:p>
    <w:p w14:paraId="2D0309E7" w14:textId="64A394DB" w:rsidR="004C29D2" w:rsidRPr="008E106E" w:rsidRDefault="004C29D2" w:rsidP="00690D98">
      <w:pPr>
        <w:pStyle w:val="BodyText"/>
        <w:numPr>
          <w:ilvl w:val="0"/>
          <w:numId w:val="28"/>
        </w:numPr>
        <w:rPr>
          <w:rFonts w:ascii="Arial" w:hAnsi="Arial" w:cs="Arial"/>
          <w:sz w:val="22"/>
          <w:szCs w:val="22"/>
          <w:lang w:eastAsia="ja-JP"/>
        </w:rPr>
      </w:pPr>
      <w:r w:rsidRPr="008E106E">
        <w:rPr>
          <w:rFonts w:ascii="Arial" w:hAnsi="Arial" w:cs="Arial"/>
          <w:sz w:val="22"/>
          <w:szCs w:val="22"/>
          <w:lang w:eastAsia="ja-JP"/>
        </w:rPr>
        <w:t xml:space="preserve">Avoided cost of fuel oil will be calculated for each country and oil cost for the displaced fossil fuel plants. </w:t>
      </w:r>
    </w:p>
    <w:p w14:paraId="7FEBC78E" w14:textId="44D3E062" w:rsidR="002F0BF1" w:rsidRPr="008E106E" w:rsidRDefault="00DE5BDE" w:rsidP="00072EFB">
      <w:pPr>
        <w:pStyle w:val="BodyText"/>
        <w:rPr>
          <w:rFonts w:ascii="Arial" w:hAnsi="Arial" w:cs="Arial"/>
          <w:sz w:val="22"/>
          <w:szCs w:val="22"/>
          <w:lang w:eastAsia="ja-JP"/>
        </w:rPr>
      </w:pPr>
      <w:r w:rsidRPr="008E106E">
        <w:rPr>
          <w:rFonts w:ascii="Arial" w:hAnsi="Arial" w:cs="Arial"/>
          <w:sz w:val="22"/>
          <w:szCs w:val="22"/>
          <w:lang w:eastAsia="ja-JP"/>
        </w:rPr>
        <w:t xml:space="preserve">The main </w:t>
      </w:r>
      <w:r w:rsidR="009A699D" w:rsidRPr="008E106E">
        <w:rPr>
          <w:rFonts w:ascii="Arial" w:hAnsi="Arial" w:cs="Arial"/>
          <w:sz w:val="22"/>
          <w:szCs w:val="22"/>
          <w:lang w:eastAsia="ja-JP"/>
        </w:rPr>
        <w:t>instrument</w:t>
      </w:r>
      <w:r w:rsidRPr="008E106E">
        <w:rPr>
          <w:rFonts w:ascii="Arial" w:hAnsi="Arial" w:cs="Arial"/>
          <w:sz w:val="22"/>
          <w:szCs w:val="22"/>
          <w:lang w:eastAsia="ja-JP"/>
        </w:rPr>
        <w:t xml:space="preserve"> the IDB will use to evaluate the Program will be </w:t>
      </w:r>
      <w:r w:rsidR="0073235B" w:rsidRPr="008E106E">
        <w:rPr>
          <w:rFonts w:ascii="Arial" w:hAnsi="Arial" w:cs="Arial"/>
          <w:sz w:val="22"/>
          <w:szCs w:val="22"/>
          <w:lang w:eastAsia="ja-JP"/>
        </w:rPr>
        <w:t>the</w:t>
      </w:r>
      <w:r w:rsidRPr="008E106E">
        <w:rPr>
          <w:rFonts w:ascii="Arial" w:hAnsi="Arial" w:cs="Arial"/>
          <w:sz w:val="22"/>
          <w:szCs w:val="22"/>
          <w:lang w:eastAsia="ja-JP"/>
        </w:rPr>
        <w:t xml:space="preserve"> Project Completion Report (‘PCR’</w:t>
      </w:r>
      <w:r w:rsidR="0073235B" w:rsidRPr="008E106E">
        <w:rPr>
          <w:rFonts w:ascii="Arial" w:hAnsi="Arial" w:cs="Arial"/>
          <w:sz w:val="22"/>
          <w:szCs w:val="22"/>
          <w:lang w:eastAsia="ja-JP"/>
        </w:rPr>
        <w:t>)</w:t>
      </w:r>
      <w:r w:rsidR="00AF1047" w:rsidRPr="008E106E">
        <w:rPr>
          <w:rFonts w:ascii="Arial" w:hAnsi="Arial" w:cs="Arial"/>
          <w:sz w:val="22"/>
          <w:szCs w:val="22"/>
          <w:lang w:eastAsia="ja-JP"/>
        </w:rPr>
        <w:t xml:space="preserve">, which </w:t>
      </w:r>
      <w:r w:rsidR="0073235B" w:rsidRPr="008E106E">
        <w:rPr>
          <w:rFonts w:ascii="Arial" w:hAnsi="Arial" w:cs="Arial"/>
          <w:sz w:val="22"/>
          <w:szCs w:val="22"/>
          <w:lang w:eastAsia="ja-JP"/>
        </w:rPr>
        <w:t>compares the Program results against baseline values</w:t>
      </w:r>
      <w:r w:rsidR="00403807" w:rsidRPr="008E106E">
        <w:rPr>
          <w:rFonts w:ascii="Arial" w:hAnsi="Arial" w:cs="Arial"/>
          <w:sz w:val="22"/>
          <w:szCs w:val="22"/>
          <w:lang w:eastAsia="ja-JP"/>
        </w:rPr>
        <w:t xml:space="preserve">. The IDB will base the PCR on mid-term and final evaluations and an ex-post CBA. </w:t>
      </w:r>
      <w:r w:rsidR="00296D1F" w:rsidRPr="008E106E">
        <w:rPr>
          <w:rFonts w:ascii="Arial" w:hAnsi="Arial" w:cs="Arial"/>
          <w:sz w:val="22"/>
          <w:szCs w:val="22"/>
          <w:lang w:eastAsia="ja-JP"/>
        </w:rPr>
        <w:t>These</w:t>
      </w:r>
      <w:r w:rsidR="009A699D" w:rsidRPr="008E106E">
        <w:rPr>
          <w:rFonts w:ascii="Arial" w:hAnsi="Arial" w:cs="Arial"/>
          <w:sz w:val="22"/>
          <w:szCs w:val="22"/>
          <w:lang w:eastAsia="ja-JP"/>
        </w:rPr>
        <w:t xml:space="preserve"> instruments</w:t>
      </w:r>
      <w:r w:rsidRPr="008E106E">
        <w:rPr>
          <w:rFonts w:ascii="Arial" w:hAnsi="Arial" w:cs="Arial"/>
          <w:sz w:val="22"/>
          <w:szCs w:val="22"/>
          <w:lang w:eastAsia="ja-JP"/>
        </w:rPr>
        <w:t xml:space="preserve"> are described in more detail in the following section. </w:t>
      </w:r>
    </w:p>
    <w:p w14:paraId="135392CB" w14:textId="53082F38" w:rsidR="001962AD" w:rsidRPr="008E106E" w:rsidRDefault="00072EFB" w:rsidP="00072EFB">
      <w:pPr>
        <w:pStyle w:val="BodyText"/>
        <w:rPr>
          <w:rFonts w:ascii="Arial" w:hAnsi="Arial" w:cs="Arial"/>
          <w:i/>
          <w:sz w:val="22"/>
          <w:szCs w:val="22"/>
          <w:lang w:eastAsia="ja-JP"/>
        </w:rPr>
      </w:pPr>
      <w:r w:rsidRPr="008E106E">
        <w:rPr>
          <w:rFonts w:ascii="Arial" w:hAnsi="Arial" w:cs="Arial"/>
          <w:sz w:val="22"/>
          <w:szCs w:val="22"/>
          <w:lang w:eastAsia="ja-JP"/>
        </w:rPr>
        <w:t>Also, i</w:t>
      </w:r>
      <w:r w:rsidR="00296D1F" w:rsidRPr="008E106E">
        <w:rPr>
          <w:rFonts w:ascii="Arial" w:hAnsi="Arial" w:cs="Arial"/>
          <w:sz w:val="22"/>
          <w:szCs w:val="22"/>
          <w:lang w:eastAsia="ja-JP"/>
        </w:rPr>
        <w:t xml:space="preserve">n addition to the evaluation described in this section, the </w:t>
      </w:r>
      <w:r w:rsidR="001962AD" w:rsidRPr="008E106E">
        <w:rPr>
          <w:rFonts w:ascii="Arial" w:hAnsi="Arial" w:cs="Arial"/>
          <w:sz w:val="22"/>
          <w:szCs w:val="22"/>
          <w:lang w:eastAsia="ja-JP"/>
        </w:rPr>
        <w:t>IDB Oversight Evaluation Office (OVE)</w:t>
      </w:r>
      <w:r w:rsidR="0046084D" w:rsidRPr="008E106E">
        <w:rPr>
          <w:rFonts w:ascii="Arial" w:hAnsi="Arial" w:cs="Arial"/>
          <w:sz w:val="22"/>
          <w:szCs w:val="22"/>
          <w:lang w:eastAsia="ja-JP"/>
        </w:rPr>
        <w:t xml:space="preserve"> may also separately </w:t>
      </w:r>
      <w:r w:rsidR="001962AD" w:rsidRPr="008E106E">
        <w:rPr>
          <w:rFonts w:ascii="Arial" w:hAnsi="Arial" w:cs="Arial"/>
          <w:sz w:val="22"/>
          <w:szCs w:val="22"/>
          <w:lang w:eastAsia="ja-JP"/>
        </w:rPr>
        <w:t>evaluate the impact of the Program.</w:t>
      </w:r>
      <w:r w:rsidR="001962AD" w:rsidRPr="008E106E">
        <w:rPr>
          <w:rFonts w:ascii="Arial" w:hAnsi="Arial" w:cs="Arial"/>
          <w:i/>
          <w:sz w:val="22"/>
          <w:szCs w:val="22"/>
          <w:lang w:eastAsia="ja-JP"/>
        </w:rPr>
        <w:t xml:space="preserve"> </w:t>
      </w:r>
    </w:p>
    <w:p w14:paraId="06D2B80C" w14:textId="77777777" w:rsidR="00083A37" w:rsidRPr="00690D98" w:rsidRDefault="00083A37" w:rsidP="00072EFB">
      <w:pPr>
        <w:pStyle w:val="BodyText"/>
        <w:rPr>
          <w:rFonts w:ascii="Arial" w:hAnsi="Arial" w:cs="Arial"/>
          <w:sz w:val="22"/>
          <w:szCs w:val="22"/>
        </w:rPr>
      </w:pPr>
    </w:p>
    <w:p w14:paraId="08332122" w14:textId="12EC13C8" w:rsidR="00123C6C" w:rsidRPr="008E106E" w:rsidRDefault="00123C6C" w:rsidP="0009381F">
      <w:pPr>
        <w:pStyle w:val="Heading2"/>
        <w:rPr>
          <w:rFonts w:ascii="Arial" w:hAnsi="Arial"/>
          <w:sz w:val="22"/>
          <w:szCs w:val="22"/>
        </w:rPr>
      </w:pPr>
      <w:bookmarkStart w:id="53" w:name="_Toc531018668"/>
      <w:r w:rsidRPr="008E106E">
        <w:rPr>
          <w:rFonts w:ascii="Arial" w:hAnsi="Arial"/>
          <w:sz w:val="22"/>
          <w:szCs w:val="22"/>
        </w:rPr>
        <w:t>Reporting Results</w:t>
      </w:r>
      <w:bookmarkEnd w:id="53"/>
    </w:p>
    <w:p w14:paraId="2C8ACF59" w14:textId="22AC2B50" w:rsidR="00A14C7B" w:rsidRPr="008E106E" w:rsidRDefault="00A14C7B" w:rsidP="00A14C7B">
      <w:pPr>
        <w:pStyle w:val="BodyText"/>
        <w:rPr>
          <w:rFonts w:ascii="Arial" w:hAnsi="Arial" w:cs="Arial"/>
          <w:sz w:val="22"/>
          <w:szCs w:val="22"/>
          <w:lang w:eastAsia="ja-JP"/>
        </w:rPr>
      </w:pPr>
      <w:r w:rsidRPr="008E106E">
        <w:rPr>
          <w:rFonts w:ascii="Arial" w:hAnsi="Arial" w:cs="Arial"/>
          <w:sz w:val="22"/>
          <w:szCs w:val="22"/>
          <w:lang w:eastAsia="ja-JP"/>
        </w:rPr>
        <w:t xml:space="preserve">The EA will be responsible for reporting on the results of the Program, based on information collected from the EC Governments and private sponsors and on information from its own systems. </w:t>
      </w:r>
      <w:r w:rsidRPr="008E106E">
        <w:rPr>
          <w:rFonts w:ascii="Arial" w:hAnsi="Arial" w:cs="Arial"/>
          <w:sz w:val="22"/>
          <w:szCs w:val="22"/>
        </w:rPr>
        <w:t xml:space="preserve">The EA will be responsible for reporting progress and results to the IDB. </w:t>
      </w:r>
      <w:r w:rsidRPr="008E106E">
        <w:rPr>
          <w:rFonts w:ascii="Arial" w:hAnsi="Arial" w:cs="Arial"/>
          <w:sz w:val="22"/>
          <w:szCs w:val="22"/>
          <w:lang w:eastAsia="ja-JP"/>
        </w:rPr>
        <w:t>The EA will collect, store, and retain all information to assist the IDB in monitoring performance of the Program.</w:t>
      </w:r>
    </w:p>
    <w:p w14:paraId="6441536F" w14:textId="77777777" w:rsidR="00261A1C" w:rsidRPr="008E106E" w:rsidRDefault="00261A1C" w:rsidP="00261A1C">
      <w:pPr>
        <w:pStyle w:val="BodyText"/>
        <w:rPr>
          <w:rFonts w:ascii="Arial" w:hAnsi="Arial" w:cs="Arial"/>
          <w:sz w:val="22"/>
          <w:szCs w:val="22"/>
        </w:rPr>
      </w:pPr>
      <w:r w:rsidRPr="008E106E">
        <w:rPr>
          <w:rFonts w:ascii="Arial" w:hAnsi="Arial" w:cs="Arial"/>
          <w:sz w:val="22"/>
          <w:szCs w:val="22"/>
          <w:lang w:eastAsia="ja-JP"/>
        </w:rPr>
        <w:t>T</w:t>
      </w:r>
      <w:r w:rsidRPr="008E106E">
        <w:rPr>
          <w:rFonts w:ascii="Arial" w:hAnsi="Arial" w:cs="Arial"/>
          <w:sz w:val="22"/>
          <w:szCs w:val="22"/>
        </w:rPr>
        <w:t xml:space="preserve">he INE/ENE Division of the IDB will be responsible for overseeing the execution of the Monitoring and Evaluation Plan for the complete Program, including the funds provided by other donors. As such, they must report annually to the Clean Technology Fund Trust Fund Committee (CTF TFC) and the Japan International Cooperation Agency (‘JICA’) on progress towards achieving the results of the Program and estimations of results (in case of plants in state of construction and non-operational as of reporting date). </w:t>
      </w:r>
    </w:p>
    <w:p w14:paraId="392ABBD1" w14:textId="77777777" w:rsidR="00261A1C" w:rsidRPr="008E106E" w:rsidRDefault="00261A1C" w:rsidP="00261A1C">
      <w:pPr>
        <w:pStyle w:val="BodyText"/>
        <w:rPr>
          <w:rFonts w:ascii="Arial" w:hAnsi="Arial" w:cs="Arial"/>
          <w:sz w:val="22"/>
          <w:szCs w:val="22"/>
        </w:rPr>
      </w:pPr>
      <w:r w:rsidRPr="008E106E">
        <w:rPr>
          <w:rFonts w:ascii="Arial" w:hAnsi="Arial" w:cs="Arial"/>
          <w:sz w:val="22"/>
          <w:szCs w:val="22"/>
        </w:rPr>
        <w:t>The project team composed by specialists from INE/ENE</w:t>
      </w:r>
      <w:r w:rsidR="006A2F8F" w:rsidRPr="008E106E">
        <w:rPr>
          <w:rFonts w:ascii="Arial" w:hAnsi="Arial" w:cs="Arial"/>
          <w:sz w:val="22"/>
          <w:szCs w:val="22"/>
        </w:rPr>
        <w:t xml:space="preserve"> and IFD/CMF</w:t>
      </w:r>
      <w:r w:rsidRPr="008E106E">
        <w:rPr>
          <w:rFonts w:ascii="Arial" w:hAnsi="Arial" w:cs="Arial"/>
          <w:sz w:val="22"/>
          <w:szCs w:val="22"/>
        </w:rPr>
        <w:t>, with support from the country office in Barbados</w:t>
      </w:r>
      <w:r w:rsidR="00A14C7B" w:rsidRPr="008E106E">
        <w:rPr>
          <w:rFonts w:ascii="Arial" w:hAnsi="Arial" w:cs="Arial"/>
          <w:sz w:val="22"/>
          <w:szCs w:val="22"/>
        </w:rPr>
        <w:t>,</w:t>
      </w:r>
      <w:r w:rsidRPr="008E106E">
        <w:rPr>
          <w:rFonts w:ascii="Arial" w:hAnsi="Arial" w:cs="Arial"/>
          <w:sz w:val="22"/>
          <w:szCs w:val="22"/>
        </w:rPr>
        <w:t xml:space="preserve"> will </w:t>
      </w:r>
      <w:proofErr w:type="gramStart"/>
      <w:r w:rsidRPr="008E106E">
        <w:rPr>
          <w:rFonts w:ascii="Arial" w:hAnsi="Arial" w:cs="Arial"/>
          <w:sz w:val="22"/>
          <w:szCs w:val="22"/>
        </w:rPr>
        <w:t>be in charge of</w:t>
      </w:r>
      <w:proofErr w:type="gramEnd"/>
      <w:r w:rsidRPr="008E106E">
        <w:rPr>
          <w:rFonts w:ascii="Arial" w:hAnsi="Arial" w:cs="Arial"/>
          <w:sz w:val="22"/>
          <w:szCs w:val="22"/>
        </w:rPr>
        <w:t xml:space="preserve"> following up the execution, monitoring and evaluation of the program. </w:t>
      </w:r>
    </w:p>
    <w:p w14:paraId="37740962" w14:textId="45CB1DAE" w:rsidR="006A0723" w:rsidRPr="008E106E" w:rsidRDefault="006A0723" w:rsidP="006A0723">
      <w:pPr>
        <w:pStyle w:val="BodyText"/>
        <w:rPr>
          <w:rFonts w:ascii="Arial" w:hAnsi="Arial" w:cs="Arial"/>
          <w:sz w:val="22"/>
          <w:szCs w:val="22"/>
          <w:lang w:eastAsia="ja-JP"/>
        </w:rPr>
      </w:pPr>
      <w:r w:rsidRPr="008E106E">
        <w:rPr>
          <w:rFonts w:ascii="Arial" w:hAnsi="Arial" w:cs="Arial"/>
          <w:sz w:val="22"/>
          <w:szCs w:val="22"/>
          <w:lang w:eastAsia="ja-JP"/>
        </w:rPr>
        <w:t xml:space="preserve">There are </w:t>
      </w:r>
      <w:r w:rsidR="00DD0C35" w:rsidRPr="008E106E">
        <w:rPr>
          <w:rFonts w:ascii="Arial" w:hAnsi="Arial" w:cs="Arial"/>
          <w:sz w:val="22"/>
          <w:szCs w:val="22"/>
          <w:lang w:eastAsia="ja-JP"/>
        </w:rPr>
        <w:t>five</w:t>
      </w:r>
      <w:r w:rsidRPr="008E106E">
        <w:rPr>
          <w:rFonts w:ascii="Arial" w:hAnsi="Arial" w:cs="Arial"/>
          <w:sz w:val="22"/>
          <w:szCs w:val="22"/>
          <w:lang w:eastAsia="ja-JP"/>
        </w:rPr>
        <w:t xml:space="preserve"> </w:t>
      </w:r>
      <w:r w:rsidR="001962AD" w:rsidRPr="008E106E">
        <w:rPr>
          <w:rFonts w:ascii="Arial" w:hAnsi="Arial" w:cs="Arial"/>
          <w:sz w:val="22"/>
          <w:szCs w:val="22"/>
          <w:lang w:eastAsia="ja-JP"/>
        </w:rPr>
        <w:t>instrument</w:t>
      </w:r>
      <w:r w:rsidRPr="008E106E">
        <w:rPr>
          <w:rFonts w:ascii="Arial" w:hAnsi="Arial" w:cs="Arial"/>
          <w:sz w:val="22"/>
          <w:szCs w:val="22"/>
          <w:lang w:eastAsia="ja-JP"/>
        </w:rPr>
        <w:t xml:space="preserve">s that the IDB will use to evaluate the Program’s results. The </w:t>
      </w:r>
      <w:r w:rsidR="001962AD" w:rsidRPr="008E106E">
        <w:rPr>
          <w:rFonts w:ascii="Arial" w:hAnsi="Arial" w:cs="Arial"/>
          <w:sz w:val="22"/>
          <w:szCs w:val="22"/>
          <w:lang w:eastAsia="ja-JP"/>
        </w:rPr>
        <w:t>instruments</w:t>
      </w:r>
      <w:r w:rsidRPr="008E106E">
        <w:rPr>
          <w:rFonts w:ascii="Arial" w:hAnsi="Arial" w:cs="Arial"/>
          <w:sz w:val="22"/>
          <w:szCs w:val="22"/>
          <w:lang w:eastAsia="ja-JP"/>
        </w:rPr>
        <w:t xml:space="preserve"> are as follows:</w:t>
      </w:r>
    </w:p>
    <w:p w14:paraId="742C4E21" w14:textId="77777777" w:rsidR="000114AD" w:rsidRPr="008E106E" w:rsidRDefault="000114AD" w:rsidP="006A0723">
      <w:pPr>
        <w:pStyle w:val="ListBullet"/>
        <w:rPr>
          <w:rFonts w:ascii="Arial" w:hAnsi="Arial" w:cs="Arial"/>
          <w:sz w:val="22"/>
          <w:szCs w:val="22"/>
          <w:lang w:eastAsia="ja-JP"/>
        </w:rPr>
      </w:pPr>
      <w:r w:rsidRPr="008E106E">
        <w:rPr>
          <w:rFonts w:ascii="Arial" w:hAnsi="Arial" w:cs="Arial"/>
          <w:sz w:val="22"/>
          <w:szCs w:val="22"/>
          <w:lang w:eastAsia="ja-JP"/>
        </w:rPr>
        <w:t>Baseline Values Study</w:t>
      </w:r>
    </w:p>
    <w:p w14:paraId="62BE3276" w14:textId="1E52671D" w:rsidR="006A0723" w:rsidRPr="008E106E" w:rsidRDefault="006A0723" w:rsidP="006A0723">
      <w:pPr>
        <w:pStyle w:val="ListBullet"/>
        <w:rPr>
          <w:rFonts w:ascii="Arial" w:hAnsi="Arial" w:cs="Arial"/>
          <w:sz w:val="22"/>
          <w:szCs w:val="22"/>
          <w:lang w:eastAsia="ja-JP"/>
        </w:rPr>
      </w:pPr>
      <w:r w:rsidRPr="008E106E">
        <w:rPr>
          <w:rFonts w:ascii="Arial" w:hAnsi="Arial" w:cs="Arial"/>
          <w:sz w:val="22"/>
          <w:szCs w:val="22"/>
          <w:lang w:eastAsia="ja-JP"/>
        </w:rPr>
        <w:t>Mid-Term Evaluation</w:t>
      </w:r>
      <w:r w:rsidR="003D707D" w:rsidRPr="008E106E">
        <w:rPr>
          <w:rFonts w:ascii="Arial" w:hAnsi="Arial" w:cs="Arial"/>
          <w:sz w:val="22"/>
          <w:szCs w:val="22"/>
          <w:lang w:eastAsia="ja-JP"/>
        </w:rPr>
        <w:t xml:space="preserve"> and Final Evaluation</w:t>
      </w:r>
      <w:r w:rsidR="00DD0C35" w:rsidRPr="008E106E">
        <w:rPr>
          <w:rFonts w:ascii="Arial" w:hAnsi="Arial" w:cs="Arial"/>
          <w:sz w:val="22"/>
          <w:szCs w:val="22"/>
          <w:lang w:eastAsia="ja-JP"/>
        </w:rPr>
        <w:t xml:space="preserve"> – GEF</w:t>
      </w:r>
    </w:p>
    <w:p w14:paraId="4F183E44" w14:textId="5A4A7968" w:rsidR="00DD0C35" w:rsidRPr="008E106E" w:rsidRDefault="00DD0C35" w:rsidP="006A0723">
      <w:pPr>
        <w:pStyle w:val="ListBullet"/>
        <w:rPr>
          <w:rFonts w:ascii="Arial" w:hAnsi="Arial" w:cs="Arial"/>
          <w:sz w:val="22"/>
          <w:szCs w:val="22"/>
          <w:lang w:eastAsia="ja-JP"/>
        </w:rPr>
      </w:pPr>
      <w:r w:rsidRPr="008E106E">
        <w:rPr>
          <w:rFonts w:ascii="Arial" w:hAnsi="Arial" w:cs="Arial"/>
          <w:sz w:val="22"/>
          <w:szCs w:val="22"/>
          <w:lang w:eastAsia="ja-JP"/>
        </w:rPr>
        <w:t>Mid-Term Evaluation</w:t>
      </w:r>
    </w:p>
    <w:p w14:paraId="35A2B70E" w14:textId="77777777" w:rsidR="006A0723" w:rsidRPr="008E106E" w:rsidRDefault="006A0723" w:rsidP="006A0723">
      <w:pPr>
        <w:pStyle w:val="ListBullet"/>
        <w:rPr>
          <w:rFonts w:ascii="Arial" w:hAnsi="Arial" w:cs="Arial"/>
          <w:sz w:val="22"/>
          <w:szCs w:val="22"/>
          <w:lang w:eastAsia="ja-JP"/>
        </w:rPr>
      </w:pPr>
      <w:r w:rsidRPr="008E106E">
        <w:rPr>
          <w:rFonts w:ascii="Arial" w:hAnsi="Arial" w:cs="Arial"/>
          <w:sz w:val="22"/>
          <w:szCs w:val="22"/>
          <w:lang w:eastAsia="ja-JP"/>
        </w:rPr>
        <w:t>Ex</w:t>
      </w:r>
      <w:r w:rsidR="008D1DE2" w:rsidRPr="008E106E">
        <w:rPr>
          <w:rFonts w:ascii="Arial" w:hAnsi="Arial" w:cs="Arial"/>
          <w:sz w:val="22"/>
          <w:szCs w:val="22"/>
          <w:lang w:eastAsia="ja-JP"/>
        </w:rPr>
        <w:t>-</w:t>
      </w:r>
      <w:r w:rsidRPr="008E106E">
        <w:rPr>
          <w:rFonts w:ascii="Arial" w:hAnsi="Arial" w:cs="Arial"/>
          <w:sz w:val="22"/>
          <w:szCs w:val="22"/>
          <w:lang w:eastAsia="ja-JP"/>
        </w:rPr>
        <w:t>post Cost Benefit Analysis (‘CBA’)</w:t>
      </w:r>
      <w:r w:rsidR="007D71CB" w:rsidRPr="008E106E">
        <w:rPr>
          <w:rFonts w:ascii="Arial" w:hAnsi="Arial" w:cs="Arial"/>
          <w:sz w:val="22"/>
          <w:szCs w:val="22"/>
          <w:lang w:eastAsia="ja-JP"/>
        </w:rPr>
        <w:t xml:space="preserve"> </w:t>
      </w:r>
    </w:p>
    <w:p w14:paraId="6A817BA5" w14:textId="573371BB" w:rsidR="006A0723" w:rsidRPr="008E106E" w:rsidRDefault="006A0723" w:rsidP="006A0723">
      <w:pPr>
        <w:pStyle w:val="ListBullet"/>
        <w:rPr>
          <w:rFonts w:ascii="Arial" w:hAnsi="Arial" w:cs="Arial"/>
          <w:sz w:val="22"/>
          <w:szCs w:val="22"/>
          <w:lang w:eastAsia="ja-JP"/>
        </w:rPr>
      </w:pPr>
      <w:r w:rsidRPr="008E106E">
        <w:rPr>
          <w:rFonts w:ascii="Arial" w:hAnsi="Arial" w:cs="Arial"/>
          <w:sz w:val="22"/>
          <w:szCs w:val="22"/>
          <w:lang w:eastAsia="ja-JP"/>
        </w:rPr>
        <w:t>Project Completion Report</w:t>
      </w:r>
      <w:r w:rsidR="008C726C" w:rsidRPr="008E106E">
        <w:rPr>
          <w:rFonts w:ascii="Arial" w:hAnsi="Arial" w:cs="Arial"/>
          <w:sz w:val="22"/>
          <w:szCs w:val="22"/>
          <w:lang w:eastAsia="ja-JP"/>
        </w:rPr>
        <w:t xml:space="preserve"> </w:t>
      </w:r>
    </w:p>
    <w:p w14:paraId="04714CE6" w14:textId="77777777" w:rsidR="006A0723" w:rsidRPr="008E106E" w:rsidRDefault="006A0723" w:rsidP="006A0723">
      <w:pPr>
        <w:pStyle w:val="BodyText"/>
        <w:rPr>
          <w:rFonts w:ascii="Arial" w:hAnsi="Arial" w:cs="Arial"/>
          <w:sz w:val="22"/>
          <w:szCs w:val="22"/>
        </w:rPr>
      </w:pPr>
      <w:r w:rsidRPr="008E106E">
        <w:rPr>
          <w:rFonts w:ascii="Arial" w:hAnsi="Arial" w:cs="Arial"/>
          <w:sz w:val="22"/>
          <w:szCs w:val="22"/>
          <w:lang w:eastAsia="ja-JP"/>
        </w:rPr>
        <w:t xml:space="preserve">For each </w:t>
      </w:r>
      <w:r w:rsidR="001962AD" w:rsidRPr="008E106E">
        <w:rPr>
          <w:rFonts w:ascii="Arial" w:hAnsi="Arial" w:cs="Arial"/>
          <w:sz w:val="22"/>
          <w:szCs w:val="22"/>
          <w:lang w:eastAsia="ja-JP"/>
        </w:rPr>
        <w:t>instrument</w:t>
      </w:r>
      <w:r w:rsidRPr="008E106E">
        <w:rPr>
          <w:rFonts w:ascii="Arial" w:hAnsi="Arial" w:cs="Arial"/>
          <w:sz w:val="22"/>
          <w:szCs w:val="22"/>
          <w:lang w:eastAsia="ja-JP"/>
        </w:rPr>
        <w:t xml:space="preserve">, the remainder of this section describes its </w:t>
      </w:r>
      <w:r w:rsidRPr="008E106E">
        <w:rPr>
          <w:rFonts w:ascii="Arial" w:hAnsi="Arial" w:cs="Arial"/>
          <w:sz w:val="22"/>
          <w:szCs w:val="22"/>
        </w:rPr>
        <w:t>purpose</w:t>
      </w:r>
      <w:r w:rsidR="008D1DE2" w:rsidRPr="008E106E">
        <w:rPr>
          <w:rFonts w:ascii="Arial" w:hAnsi="Arial" w:cs="Arial"/>
          <w:sz w:val="22"/>
          <w:szCs w:val="22"/>
        </w:rPr>
        <w:t xml:space="preserve">, </w:t>
      </w:r>
      <w:r w:rsidR="00A57E08" w:rsidRPr="008E106E">
        <w:rPr>
          <w:rFonts w:ascii="Arial" w:hAnsi="Arial" w:cs="Arial"/>
          <w:sz w:val="22"/>
          <w:szCs w:val="22"/>
        </w:rPr>
        <w:t xml:space="preserve">the </w:t>
      </w:r>
      <w:r w:rsidR="008D1DE2" w:rsidRPr="008E106E">
        <w:rPr>
          <w:rFonts w:ascii="Arial" w:hAnsi="Arial" w:cs="Arial"/>
          <w:sz w:val="22"/>
          <w:szCs w:val="22"/>
        </w:rPr>
        <w:t>entities responsible for preparing</w:t>
      </w:r>
      <w:r w:rsidR="00F77A26" w:rsidRPr="008E106E">
        <w:rPr>
          <w:rFonts w:ascii="Arial" w:hAnsi="Arial" w:cs="Arial"/>
          <w:sz w:val="22"/>
          <w:szCs w:val="22"/>
        </w:rPr>
        <w:t xml:space="preserve"> i</w:t>
      </w:r>
      <w:r w:rsidR="008D1DE2" w:rsidRPr="008E106E">
        <w:rPr>
          <w:rFonts w:ascii="Arial" w:hAnsi="Arial" w:cs="Arial"/>
          <w:sz w:val="22"/>
          <w:szCs w:val="22"/>
        </w:rPr>
        <w:t>t</w:t>
      </w:r>
      <w:r w:rsidR="00420858" w:rsidRPr="008E106E">
        <w:rPr>
          <w:rFonts w:ascii="Arial" w:hAnsi="Arial" w:cs="Arial"/>
          <w:sz w:val="22"/>
          <w:szCs w:val="22"/>
        </w:rPr>
        <w:t>, and, when applicable, the methodology used in its preparation</w:t>
      </w:r>
      <w:r w:rsidRPr="008E106E">
        <w:rPr>
          <w:rFonts w:ascii="Arial" w:hAnsi="Arial" w:cs="Arial"/>
          <w:sz w:val="22"/>
          <w:szCs w:val="22"/>
        </w:rPr>
        <w:t>.</w:t>
      </w:r>
    </w:p>
    <w:p w14:paraId="099FD2DF" w14:textId="77777777" w:rsidR="000114AD" w:rsidRPr="008E106E" w:rsidRDefault="000114AD" w:rsidP="002F0BF1">
      <w:pPr>
        <w:pStyle w:val="Subheading"/>
        <w:rPr>
          <w:rFonts w:ascii="Arial" w:hAnsi="Arial" w:cs="Arial"/>
          <w:sz w:val="22"/>
          <w:szCs w:val="22"/>
        </w:rPr>
      </w:pPr>
      <w:r w:rsidRPr="008E106E">
        <w:rPr>
          <w:rFonts w:ascii="Arial" w:hAnsi="Arial" w:cs="Arial"/>
          <w:sz w:val="22"/>
          <w:szCs w:val="22"/>
        </w:rPr>
        <w:t>Baseline Values Study</w:t>
      </w:r>
    </w:p>
    <w:p w14:paraId="53697B25" w14:textId="6629CE6E" w:rsidR="000114AD" w:rsidRPr="008E106E" w:rsidRDefault="000114AD" w:rsidP="000114AD">
      <w:pPr>
        <w:pStyle w:val="BodyText"/>
        <w:rPr>
          <w:rFonts w:ascii="Arial" w:hAnsi="Arial" w:cs="Arial"/>
          <w:sz w:val="22"/>
          <w:szCs w:val="22"/>
        </w:rPr>
      </w:pPr>
      <w:r w:rsidRPr="008E106E">
        <w:rPr>
          <w:rFonts w:ascii="Arial" w:hAnsi="Arial" w:cs="Arial"/>
          <w:sz w:val="22"/>
          <w:szCs w:val="22"/>
        </w:rPr>
        <w:t xml:space="preserve">The Baseline Values Study establish the baseline values of the indicators that will be used to evaluate the Program. This study is a key input of the Evaluation Plan and </w:t>
      </w:r>
      <w:r w:rsidR="000C1BF2" w:rsidRPr="008E106E">
        <w:rPr>
          <w:rFonts w:ascii="Arial" w:hAnsi="Arial" w:cs="Arial"/>
          <w:sz w:val="22"/>
          <w:szCs w:val="22"/>
        </w:rPr>
        <w:t xml:space="preserve">was done at the beginning of SEF-2015 and therefore </w:t>
      </w:r>
      <w:r w:rsidRPr="008E106E">
        <w:rPr>
          <w:rFonts w:ascii="Arial" w:hAnsi="Arial" w:cs="Arial"/>
          <w:sz w:val="22"/>
          <w:szCs w:val="22"/>
        </w:rPr>
        <w:t>measured</w:t>
      </w:r>
      <w:r w:rsidR="000C1BF2" w:rsidRPr="008E106E">
        <w:rPr>
          <w:rFonts w:ascii="Arial" w:hAnsi="Arial" w:cs="Arial"/>
          <w:sz w:val="22"/>
          <w:szCs w:val="22"/>
        </w:rPr>
        <w:t xml:space="preserve"> </w:t>
      </w:r>
      <w:r w:rsidRPr="008E106E">
        <w:rPr>
          <w:rFonts w:ascii="Arial" w:hAnsi="Arial" w:cs="Arial"/>
          <w:sz w:val="22"/>
          <w:szCs w:val="22"/>
        </w:rPr>
        <w:t xml:space="preserve">the </w:t>
      </w:r>
      <w:r w:rsidR="000C1BF2" w:rsidRPr="008E106E">
        <w:rPr>
          <w:rFonts w:ascii="Arial" w:hAnsi="Arial" w:cs="Arial"/>
          <w:sz w:val="22"/>
          <w:szCs w:val="22"/>
        </w:rPr>
        <w:t xml:space="preserve">status of the indicators at the </w:t>
      </w:r>
      <w:r w:rsidRPr="008E106E">
        <w:rPr>
          <w:rFonts w:ascii="Arial" w:hAnsi="Arial" w:cs="Arial"/>
          <w:sz w:val="22"/>
          <w:szCs w:val="22"/>
        </w:rPr>
        <w:t>start of the Program</w:t>
      </w:r>
      <w:r w:rsidR="000C1BF2" w:rsidRPr="008E106E">
        <w:rPr>
          <w:rFonts w:ascii="Arial" w:hAnsi="Arial" w:cs="Arial"/>
          <w:sz w:val="22"/>
          <w:szCs w:val="22"/>
        </w:rPr>
        <w:t xml:space="preserve"> (SEF-2015 and SEF-Expanded)</w:t>
      </w:r>
      <w:r w:rsidRPr="008E106E">
        <w:rPr>
          <w:rFonts w:ascii="Arial" w:hAnsi="Arial" w:cs="Arial"/>
          <w:sz w:val="22"/>
          <w:szCs w:val="22"/>
        </w:rPr>
        <w:t>. The IDB is responsible for carrying out the Baseline Values St</w:t>
      </w:r>
      <w:r w:rsidR="001179B3" w:rsidRPr="008E106E">
        <w:rPr>
          <w:rFonts w:ascii="Arial" w:hAnsi="Arial" w:cs="Arial"/>
          <w:sz w:val="22"/>
          <w:szCs w:val="22"/>
        </w:rPr>
        <w:t>udy with support from the EA, and the Governments, utilities, private sponsors, and projects in EC countries.</w:t>
      </w:r>
    </w:p>
    <w:p w14:paraId="56276946" w14:textId="2809D3CA" w:rsidR="00DD0C35" w:rsidRPr="008E106E" w:rsidRDefault="00DD0C35" w:rsidP="00DD0C35">
      <w:pPr>
        <w:pStyle w:val="Subheading"/>
        <w:rPr>
          <w:rFonts w:ascii="Arial" w:hAnsi="Arial" w:cs="Arial"/>
          <w:sz w:val="22"/>
          <w:szCs w:val="22"/>
        </w:rPr>
      </w:pPr>
      <w:r w:rsidRPr="008E106E">
        <w:rPr>
          <w:rFonts w:ascii="Arial" w:hAnsi="Arial" w:cs="Arial"/>
          <w:sz w:val="22"/>
          <w:szCs w:val="22"/>
        </w:rPr>
        <w:t xml:space="preserve">Midterm and Terminal evaluation - GEF </w:t>
      </w:r>
    </w:p>
    <w:p w14:paraId="4C117E4F" w14:textId="40FE94B2" w:rsidR="00DD0C35" w:rsidRPr="008E106E" w:rsidRDefault="00DD0C35" w:rsidP="00DD0C35">
      <w:pPr>
        <w:pStyle w:val="BodyText"/>
        <w:rPr>
          <w:rFonts w:ascii="Arial" w:hAnsi="Arial" w:cs="Arial"/>
          <w:sz w:val="22"/>
          <w:szCs w:val="22"/>
        </w:rPr>
      </w:pPr>
      <w:r w:rsidRPr="008E106E">
        <w:rPr>
          <w:rFonts w:ascii="Arial" w:hAnsi="Arial" w:cs="Arial"/>
          <w:sz w:val="22"/>
          <w:szCs w:val="22"/>
        </w:rPr>
        <w:t xml:space="preserve">A mid-term and a terminal evaluation will be conducted according to GEF guidelines to review and evaluate the achievements attained during the implementation of the GEF grant </w:t>
      </w:r>
      <w:proofErr w:type="gramStart"/>
      <w:r w:rsidRPr="008E106E">
        <w:rPr>
          <w:rFonts w:ascii="Arial" w:hAnsi="Arial" w:cs="Arial"/>
          <w:sz w:val="22"/>
          <w:szCs w:val="22"/>
        </w:rPr>
        <w:t>as regards</w:t>
      </w:r>
      <w:proofErr w:type="gramEnd"/>
      <w:r w:rsidRPr="008E106E">
        <w:rPr>
          <w:rFonts w:ascii="Arial" w:hAnsi="Arial" w:cs="Arial"/>
          <w:sz w:val="22"/>
          <w:szCs w:val="22"/>
        </w:rPr>
        <w:t xml:space="preserve"> the fulfillment of its objectives, outputs, results framework and work plan. </w:t>
      </w:r>
    </w:p>
    <w:p w14:paraId="10A614E2" w14:textId="7ACA9653" w:rsidR="006A0723" w:rsidRPr="008E106E" w:rsidRDefault="006A0723" w:rsidP="002F0BF1">
      <w:pPr>
        <w:pStyle w:val="Subheading"/>
        <w:rPr>
          <w:rFonts w:ascii="Arial" w:hAnsi="Arial" w:cs="Arial"/>
          <w:sz w:val="22"/>
          <w:szCs w:val="22"/>
        </w:rPr>
      </w:pPr>
      <w:r w:rsidRPr="008E106E">
        <w:rPr>
          <w:rFonts w:ascii="Arial" w:hAnsi="Arial" w:cs="Arial"/>
          <w:sz w:val="22"/>
          <w:szCs w:val="22"/>
        </w:rPr>
        <w:t xml:space="preserve">Mid Term Evaluation </w:t>
      </w:r>
      <w:r w:rsidR="00B924DD">
        <w:rPr>
          <w:rFonts w:ascii="Arial" w:hAnsi="Arial" w:cs="Arial"/>
          <w:sz w:val="22"/>
          <w:szCs w:val="22"/>
        </w:rPr>
        <w:t xml:space="preserve">/ </w:t>
      </w:r>
      <w:r w:rsidR="00B924DD" w:rsidRPr="00B924DD">
        <w:rPr>
          <w:rFonts w:ascii="Arial" w:hAnsi="Arial" w:cs="Arial"/>
          <w:sz w:val="22"/>
          <w:szCs w:val="22"/>
        </w:rPr>
        <w:t>Interim Independent Evaluation Report</w:t>
      </w:r>
    </w:p>
    <w:p w14:paraId="4E7BDECB" w14:textId="120CD8CB" w:rsidR="00F77A26" w:rsidRPr="008E106E" w:rsidRDefault="00F70EF5" w:rsidP="00F77A26">
      <w:pPr>
        <w:pStyle w:val="BodyText"/>
        <w:rPr>
          <w:rFonts w:ascii="Arial" w:hAnsi="Arial" w:cs="Arial"/>
          <w:sz w:val="22"/>
          <w:szCs w:val="22"/>
        </w:rPr>
      </w:pPr>
      <w:r w:rsidRPr="008E106E">
        <w:rPr>
          <w:rFonts w:ascii="Arial" w:hAnsi="Arial" w:cs="Arial"/>
          <w:sz w:val="22"/>
          <w:szCs w:val="22"/>
        </w:rPr>
        <w:t xml:space="preserve">The </w:t>
      </w:r>
      <w:r w:rsidR="00620F11" w:rsidRPr="008E106E">
        <w:rPr>
          <w:rFonts w:ascii="Arial" w:hAnsi="Arial" w:cs="Arial"/>
          <w:sz w:val="22"/>
          <w:szCs w:val="22"/>
        </w:rPr>
        <w:t>Mid-term</w:t>
      </w:r>
      <w:r w:rsidR="003D707D" w:rsidRPr="008E106E">
        <w:rPr>
          <w:rFonts w:ascii="Arial" w:hAnsi="Arial" w:cs="Arial"/>
          <w:sz w:val="22"/>
          <w:szCs w:val="22"/>
        </w:rPr>
        <w:t xml:space="preserve"> Evaluation </w:t>
      </w:r>
      <w:r w:rsidRPr="008E106E">
        <w:rPr>
          <w:rFonts w:ascii="Arial" w:hAnsi="Arial" w:cs="Arial"/>
          <w:sz w:val="22"/>
          <w:szCs w:val="22"/>
        </w:rPr>
        <w:t xml:space="preserve">is </w:t>
      </w:r>
      <w:r w:rsidR="006A0723" w:rsidRPr="008E106E">
        <w:rPr>
          <w:rFonts w:ascii="Arial" w:hAnsi="Arial" w:cs="Arial"/>
          <w:sz w:val="22"/>
          <w:szCs w:val="22"/>
        </w:rPr>
        <w:t xml:space="preserve">designed to </w:t>
      </w:r>
      <w:r w:rsidR="00A57E08" w:rsidRPr="008E106E">
        <w:rPr>
          <w:rFonts w:ascii="Arial" w:hAnsi="Arial" w:cs="Arial"/>
          <w:sz w:val="22"/>
          <w:szCs w:val="22"/>
        </w:rPr>
        <w:t xml:space="preserve">assess the performance of the Program, by reviewing whether the Program has met </w:t>
      </w:r>
      <w:r w:rsidR="003D707D" w:rsidRPr="008E106E">
        <w:rPr>
          <w:rFonts w:ascii="Arial" w:hAnsi="Arial" w:cs="Arial"/>
          <w:sz w:val="22"/>
          <w:szCs w:val="22"/>
        </w:rPr>
        <w:t>the targets set for the evaluation indicators.</w:t>
      </w:r>
      <w:r w:rsidR="00F77A26" w:rsidRPr="008E106E">
        <w:rPr>
          <w:rFonts w:ascii="Arial" w:hAnsi="Arial" w:cs="Arial"/>
          <w:sz w:val="22"/>
          <w:szCs w:val="22"/>
        </w:rPr>
        <w:t xml:space="preserve"> Specifically, the evaluation will verify the reported progress of the Program, assess Program’s performance against the planned results, and assess the EA’s performance in coordinating and executing the Program. Th</w:t>
      </w:r>
      <w:r w:rsidR="00247EB7" w:rsidRPr="008E106E">
        <w:rPr>
          <w:rFonts w:ascii="Arial" w:hAnsi="Arial" w:cs="Arial"/>
          <w:sz w:val="22"/>
          <w:szCs w:val="22"/>
        </w:rPr>
        <w:t>i</w:t>
      </w:r>
      <w:r w:rsidR="00F77A26" w:rsidRPr="008E106E">
        <w:rPr>
          <w:rFonts w:ascii="Arial" w:hAnsi="Arial" w:cs="Arial"/>
          <w:sz w:val="22"/>
          <w:szCs w:val="22"/>
        </w:rPr>
        <w:t>s evaluation will also identify ways that the Program’s operations could be improved and will identify lessons learned.</w:t>
      </w:r>
      <w:r w:rsidR="000114AD" w:rsidRPr="008E106E">
        <w:rPr>
          <w:rFonts w:ascii="Arial" w:hAnsi="Arial" w:cs="Arial"/>
          <w:sz w:val="22"/>
          <w:szCs w:val="22"/>
        </w:rPr>
        <w:t xml:space="preserve"> </w:t>
      </w:r>
      <w:r w:rsidRPr="008E106E">
        <w:rPr>
          <w:rFonts w:ascii="Arial" w:hAnsi="Arial" w:cs="Arial"/>
          <w:sz w:val="22"/>
          <w:szCs w:val="22"/>
        </w:rPr>
        <w:t xml:space="preserve">A </w:t>
      </w:r>
      <w:r w:rsidR="008F76E6" w:rsidRPr="008E106E">
        <w:rPr>
          <w:rFonts w:ascii="Arial" w:hAnsi="Arial" w:cs="Arial"/>
          <w:sz w:val="22"/>
          <w:szCs w:val="22"/>
        </w:rPr>
        <w:t xml:space="preserve">Final Evaluation will be </w:t>
      </w:r>
      <w:r w:rsidRPr="008E106E">
        <w:rPr>
          <w:rFonts w:ascii="Arial" w:hAnsi="Arial" w:cs="Arial"/>
          <w:sz w:val="22"/>
          <w:szCs w:val="22"/>
        </w:rPr>
        <w:t>completed as part of</w:t>
      </w:r>
      <w:r w:rsidR="008F76E6" w:rsidRPr="008E106E">
        <w:rPr>
          <w:rFonts w:ascii="Arial" w:hAnsi="Arial" w:cs="Arial"/>
          <w:sz w:val="22"/>
          <w:szCs w:val="22"/>
        </w:rPr>
        <w:t xml:space="preserve"> the Project Completion Report discussed in further detail below and presented in Paragraph 3.1</w:t>
      </w:r>
      <w:r w:rsidR="00A90470">
        <w:rPr>
          <w:rFonts w:ascii="Arial" w:hAnsi="Arial" w:cs="Arial"/>
          <w:sz w:val="22"/>
          <w:szCs w:val="22"/>
        </w:rPr>
        <w:t>6</w:t>
      </w:r>
      <w:r w:rsidR="008F76E6" w:rsidRPr="008E106E">
        <w:rPr>
          <w:rFonts w:ascii="Arial" w:hAnsi="Arial" w:cs="Arial"/>
          <w:sz w:val="22"/>
          <w:szCs w:val="22"/>
        </w:rPr>
        <w:t xml:space="preserve"> of the Proposal for Development.</w:t>
      </w:r>
    </w:p>
    <w:p w14:paraId="011EF089" w14:textId="32E3D4FB" w:rsidR="003D707D" w:rsidRPr="008E106E" w:rsidRDefault="003D707D" w:rsidP="006A0723">
      <w:pPr>
        <w:pStyle w:val="BodyText"/>
        <w:rPr>
          <w:rFonts w:ascii="Arial" w:hAnsi="Arial" w:cs="Arial"/>
          <w:sz w:val="22"/>
          <w:szCs w:val="22"/>
        </w:rPr>
      </w:pPr>
      <w:r w:rsidRPr="008E106E">
        <w:rPr>
          <w:rFonts w:ascii="Arial" w:hAnsi="Arial" w:cs="Arial"/>
          <w:sz w:val="22"/>
          <w:szCs w:val="22"/>
        </w:rPr>
        <w:t xml:space="preserve">The EA is responsible for hiring the independent consultant that will prepare </w:t>
      </w:r>
      <w:r w:rsidR="00F77A26" w:rsidRPr="008E106E">
        <w:rPr>
          <w:rFonts w:ascii="Arial" w:hAnsi="Arial" w:cs="Arial"/>
          <w:sz w:val="22"/>
          <w:szCs w:val="22"/>
        </w:rPr>
        <w:t>the Mid Term Evaluation</w:t>
      </w:r>
      <w:r w:rsidR="006459CB">
        <w:rPr>
          <w:rFonts w:ascii="Arial" w:hAnsi="Arial" w:cs="Arial"/>
          <w:sz w:val="22"/>
          <w:szCs w:val="22"/>
        </w:rPr>
        <w:t>s</w:t>
      </w:r>
      <w:r w:rsidRPr="008E106E">
        <w:rPr>
          <w:rFonts w:ascii="Arial" w:hAnsi="Arial" w:cs="Arial"/>
          <w:sz w:val="22"/>
          <w:szCs w:val="22"/>
        </w:rPr>
        <w:t xml:space="preserve">. In addition, the EA is responsible for providing the independent consultant the information needed to complete </w:t>
      </w:r>
      <w:r w:rsidR="00F70EF5" w:rsidRPr="008E106E">
        <w:rPr>
          <w:rFonts w:ascii="Arial" w:hAnsi="Arial" w:cs="Arial"/>
          <w:sz w:val="22"/>
          <w:szCs w:val="22"/>
        </w:rPr>
        <w:t>it</w:t>
      </w:r>
      <w:r w:rsidRPr="008E106E">
        <w:rPr>
          <w:rFonts w:ascii="Arial" w:hAnsi="Arial" w:cs="Arial"/>
          <w:sz w:val="22"/>
          <w:szCs w:val="22"/>
        </w:rPr>
        <w:t xml:space="preserve">. Once completed, the EA must submit the Mid-term Evaluation to the IDB for its </w:t>
      </w:r>
      <w:r w:rsidR="00D46033" w:rsidRPr="008E106E">
        <w:rPr>
          <w:rFonts w:ascii="Arial" w:hAnsi="Arial" w:cs="Arial"/>
          <w:sz w:val="22"/>
          <w:szCs w:val="22"/>
        </w:rPr>
        <w:t xml:space="preserve">review and non-objection. </w:t>
      </w:r>
      <w:r w:rsidR="006459CB">
        <w:rPr>
          <w:rFonts w:ascii="Arial" w:hAnsi="Arial" w:cs="Arial"/>
          <w:sz w:val="22"/>
          <w:szCs w:val="22"/>
        </w:rPr>
        <w:t xml:space="preserve">The EA will be responsible of submit two Mid-term Evaluations. </w:t>
      </w:r>
      <w:proofErr w:type="gramStart"/>
      <w:r w:rsidR="006459CB">
        <w:rPr>
          <w:rFonts w:ascii="Arial" w:hAnsi="Arial" w:cs="Arial"/>
          <w:sz w:val="22"/>
          <w:szCs w:val="22"/>
        </w:rPr>
        <w:t xml:space="preserve">One </w:t>
      </w:r>
      <w:r w:rsidR="00D46033" w:rsidRPr="008E106E">
        <w:rPr>
          <w:rFonts w:ascii="Arial" w:hAnsi="Arial" w:cs="Arial"/>
          <w:sz w:val="22"/>
          <w:szCs w:val="22"/>
        </w:rPr>
        <w:t xml:space="preserve"> Mid</w:t>
      </w:r>
      <w:proofErr w:type="gramEnd"/>
      <w:r w:rsidR="00D46033" w:rsidRPr="008E106E">
        <w:rPr>
          <w:rFonts w:ascii="Arial" w:hAnsi="Arial" w:cs="Arial"/>
          <w:sz w:val="22"/>
          <w:szCs w:val="22"/>
        </w:rPr>
        <w:t>-term Evaluation</w:t>
      </w:r>
      <w:r w:rsidR="00F83DB4" w:rsidRPr="008E106E">
        <w:rPr>
          <w:rFonts w:ascii="Arial" w:hAnsi="Arial" w:cs="Arial"/>
          <w:sz w:val="22"/>
          <w:szCs w:val="22"/>
        </w:rPr>
        <w:t>, done for the whole Program including SEF-Expanded and SEF-2015,</w:t>
      </w:r>
      <w:r w:rsidR="00D46033" w:rsidRPr="008E106E">
        <w:rPr>
          <w:rFonts w:ascii="Arial" w:hAnsi="Arial" w:cs="Arial"/>
          <w:sz w:val="22"/>
          <w:szCs w:val="22"/>
        </w:rPr>
        <w:t xml:space="preserve"> </w:t>
      </w:r>
      <w:r w:rsidR="00F70EF5" w:rsidRPr="008E106E">
        <w:rPr>
          <w:rFonts w:ascii="Arial" w:hAnsi="Arial" w:cs="Arial"/>
          <w:sz w:val="22"/>
          <w:szCs w:val="22"/>
        </w:rPr>
        <w:t xml:space="preserve">is </w:t>
      </w:r>
      <w:r w:rsidR="00D46033" w:rsidRPr="008E106E">
        <w:rPr>
          <w:rFonts w:ascii="Arial" w:hAnsi="Arial" w:cs="Arial"/>
          <w:sz w:val="22"/>
          <w:szCs w:val="22"/>
        </w:rPr>
        <w:t xml:space="preserve">due </w:t>
      </w:r>
      <w:r w:rsidR="00F70EF5" w:rsidRPr="008E106E">
        <w:rPr>
          <w:rFonts w:ascii="Arial" w:hAnsi="Arial" w:cs="Arial"/>
          <w:sz w:val="22"/>
          <w:szCs w:val="22"/>
        </w:rPr>
        <w:t xml:space="preserve">once 50% of </w:t>
      </w:r>
      <w:r w:rsidR="00C11796" w:rsidRPr="008E106E">
        <w:rPr>
          <w:rFonts w:ascii="Arial" w:hAnsi="Arial" w:cs="Arial"/>
          <w:sz w:val="22"/>
          <w:szCs w:val="22"/>
        </w:rPr>
        <w:t xml:space="preserve">SEF-2015 </w:t>
      </w:r>
      <w:r w:rsidR="00F70EF5" w:rsidRPr="008E106E">
        <w:rPr>
          <w:rFonts w:ascii="Arial" w:hAnsi="Arial" w:cs="Arial"/>
          <w:sz w:val="22"/>
          <w:szCs w:val="22"/>
        </w:rPr>
        <w:t>loan resources are disbursed, or after</w:t>
      </w:r>
      <w:r w:rsidR="00832820" w:rsidRPr="008E106E">
        <w:rPr>
          <w:rFonts w:ascii="Arial" w:hAnsi="Arial" w:cs="Arial"/>
          <w:sz w:val="22"/>
          <w:szCs w:val="22"/>
        </w:rPr>
        <w:t xml:space="preserve"> four years from the date of the first disbursement of the SEF-2015</w:t>
      </w:r>
      <w:r w:rsidR="00F70EF5" w:rsidRPr="008E106E">
        <w:rPr>
          <w:rFonts w:ascii="Arial" w:hAnsi="Arial" w:cs="Arial"/>
          <w:sz w:val="22"/>
          <w:szCs w:val="22"/>
        </w:rPr>
        <w:t>, whichever is earlier</w:t>
      </w:r>
      <w:r w:rsidR="00D46033" w:rsidRPr="008E106E">
        <w:rPr>
          <w:rFonts w:ascii="Arial" w:hAnsi="Arial" w:cs="Arial"/>
          <w:sz w:val="22"/>
          <w:szCs w:val="22"/>
        </w:rPr>
        <w:t xml:space="preserve">. </w:t>
      </w:r>
      <w:r w:rsidR="006459CB">
        <w:rPr>
          <w:rFonts w:ascii="Arial" w:hAnsi="Arial" w:cs="Arial"/>
          <w:sz w:val="22"/>
          <w:szCs w:val="22"/>
        </w:rPr>
        <w:t xml:space="preserve">The second </w:t>
      </w:r>
      <w:r w:rsidR="006459CB" w:rsidRPr="008E106E">
        <w:rPr>
          <w:rFonts w:ascii="Arial" w:hAnsi="Arial" w:cs="Arial"/>
          <w:sz w:val="22"/>
          <w:szCs w:val="22"/>
        </w:rPr>
        <w:t>Mid-term Evaluation, done for the whole Program including SEF-Expanded and SEF-2015, is due once 50% of SEF-</w:t>
      </w:r>
      <w:r w:rsidR="006459CB">
        <w:rPr>
          <w:rFonts w:ascii="Arial" w:hAnsi="Arial" w:cs="Arial"/>
          <w:sz w:val="22"/>
          <w:szCs w:val="22"/>
        </w:rPr>
        <w:t>Expanded</w:t>
      </w:r>
      <w:r w:rsidR="006459CB" w:rsidRPr="008E106E">
        <w:rPr>
          <w:rFonts w:ascii="Arial" w:hAnsi="Arial" w:cs="Arial"/>
          <w:sz w:val="22"/>
          <w:szCs w:val="22"/>
        </w:rPr>
        <w:t xml:space="preserve"> loan resources are disbursed, or after four years from the date of the first disbursement of the SEF-</w:t>
      </w:r>
      <w:r w:rsidR="006459CB">
        <w:rPr>
          <w:rFonts w:ascii="Arial" w:hAnsi="Arial" w:cs="Arial"/>
          <w:sz w:val="22"/>
          <w:szCs w:val="22"/>
        </w:rPr>
        <w:t>Expanded</w:t>
      </w:r>
      <w:r w:rsidR="006459CB" w:rsidRPr="008E106E">
        <w:rPr>
          <w:rFonts w:ascii="Arial" w:hAnsi="Arial" w:cs="Arial"/>
          <w:sz w:val="22"/>
          <w:szCs w:val="22"/>
        </w:rPr>
        <w:t>, whichever is earlier</w:t>
      </w:r>
      <w:r w:rsidR="006459CB">
        <w:rPr>
          <w:rFonts w:ascii="Arial" w:hAnsi="Arial" w:cs="Arial"/>
          <w:sz w:val="22"/>
          <w:szCs w:val="22"/>
        </w:rPr>
        <w:t>.</w:t>
      </w:r>
    </w:p>
    <w:p w14:paraId="1AFE62A2" w14:textId="72F80201" w:rsidR="00A57E08" w:rsidRPr="008E106E" w:rsidRDefault="00F77A26" w:rsidP="002F0BF1">
      <w:pPr>
        <w:pStyle w:val="Subheading"/>
        <w:rPr>
          <w:rFonts w:ascii="Arial" w:hAnsi="Arial" w:cs="Arial"/>
          <w:sz w:val="22"/>
          <w:szCs w:val="22"/>
        </w:rPr>
      </w:pPr>
      <w:r w:rsidRPr="008E106E">
        <w:rPr>
          <w:rFonts w:ascii="Arial" w:hAnsi="Arial" w:cs="Arial"/>
          <w:sz w:val="22"/>
          <w:szCs w:val="22"/>
        </w:rPr>
        <w:t>Ex</w:t>
      </w:r>
      <w:r w:rsidR="00850341">
        <w:rPr>
          <w:rFonts w:ascii="Arial" w:hAnsi="Arial" w:cs="Arial"/>
          <w:sz w:val="22"/>
          <w:szCs w:val="22"/>
        </w:rPr>
        <w:t>-</w:t>
      </w:r>
      <w:r w:rsidRPr="008E106E">
        <w:rPr>
          <w:rFonts w:ascii="Arial" w:hAnsi="Arial" w:cs="Arial"/>
          <w:sz w:val="22"/>
          <w:szCs w:val="22"/>
        </w:rPr>
        <w:t>post Cost Benefit Analysis</w:t>
      </w:r>
    </w:p>
    <w:p w14:paraId="755D3AFE" w14:textId="56240AA6" w:rsidR="006E3009" w:rsidRDefault="00134AF8" w:rsidP="006E3009">
      <w:pPr>
        <w:pStyle w:val="BodyText"/>
        <w:rPr>
          <w:rFonts w:ascii="Arial" w:hAnsi="Arial" w:cs="Arial"/>
          <w:sz w:val="22"/>
          <w:szCs w:val="22"/>
        </w:rPr>
      </w:pPr>
      <w:r w:rsidRPr="008E106E">
        <w:rPr>
          <w:rFonts w:ascii="Arial" w:hAnsi="Arial" w:cs="Arial"/>
          <w:sz w:val="22"/>
          <w:szCs w:val="22"/>
        </w:rPr>
        <w:t>The ex-post Cost Benefit Analysis (‘</w:t>
      </w:r>
      <w:r w:rsidR="006C7DCA" w:rsidRPr="008E106E">
        <w:rPr>
          <w:rFonts w:ascii="Arial" w:hAnsi="Arial" w:cs="Arial"/>
          <w:sz w:val="22"/>
          <w:szCs w:val="22"/>
        </w:rPr>
        <w:t xml:space="preserve">ex-post </w:t>
      </w:r>
      <w:r w:rsidRPr="008E106E">
        <w:rPr>
          <w:rFonts w:ascii="Arial" w:hAnsi="Arial" w:cs="Arial"/>
          <w:sz w:val="22"/>
          <w:szCs w:val="22"/>
        </w:rPr>
        <w:t xml:space="preserve">CBA’) is designed to measure the economic impact of the Program. </w:t>
      </w:r>
      <w:r w:rsidR="006E3009">
        <w:rPr>
          <w:rFonts w:ascii="Arial" w:hAnsi="Arial" w:cs="Arial"/>
          <w:sz w:val="22"/>
          <w:szCs w:val="22"/>
        </w:rPr>
        <w:t>T</w:t>
      </w:r>
      <w:r w:rsidR="006E3009" w:rsidRPr="006E3009">
        <w:rPr>
          <w:rFonts w:ascii="Arial" w:hAnsi="Arial" w:cs="Arial"/>
          <w:sz w:val="22"/>
          <w:szCs w:val="22"/>
        </w:rPr>
        <w:t xml:space="preserve">he </w:t>
      </w:r>
      <w:r w:rsidR="006E3009">
        <w:rPr>
          <w:rFonts w:ascii="Arial" w:hAnsi="Arial" w:cs="Arial"/>
          <w:sz w:val="22"/>
          <w:szCs w:val="22"/>
        </w:rPr>
        <w:t>ex-post CBA</w:t>
      </w:r>
      <w:r w:rsidR="006E3009" w:rsidRPr="006E3009">
        <w:rPr>
          <w:rFonts w:ascii="Arial" w:hAnsi="Arial" w:cs="Arial"/>
          <w:sz w:val="22"/>
          <w:szCs w:val="22"/>
        </w:rPr>
        <w:t xml:space="preserve"> be conducted once 100% of the program is completed, including both SEF-2015 and SEF-Expanded, so no sub-project is left out of the analysis.</w:t>
      </w:r>
    </w:p>
    <w:p w14:paraId="2C1A906F" w14:textId="14AD2314" w:rsidR="006C7DCA" w:rsidRPr="008E106E" w:rsidRDefault="006C7DCA" w:rsidP="002A04AA">
      <w:pPr>
        <w:pStyle w:val="BodyText"/>
        <w:rPr>
          <w:rFonts w:ascii="Arial" w:hAnsi="Arial" w:cs="Arial"/>
          <w:sz w:val="22"/>
          <w:szCs w:val="22"/>
        </w:rPr>
      </w:pPr>
      <w:r w:rsidRPr="008E106E">
        <w:rPr>
          <w:rFonts w:ascii="Arial" w:hAnsi="Arial" w:cs="Arial"/>
          <w:sz w:val="22"/>
          <w:szCs w:val="22"/>
        </w:rPr>
        <w:t>The ex-post CBA will measure whether the actual economic benefits of the Program exceeded its actual economic costs</w:t>
      </w:r>
      <w:r w:rsidR="004203BE" w:rsidRPr="008E106E">
        <w:rPr>
          <w:rFonts w:ascii="Arial" w:hAnsi="Arial" w:cs="Arial"/>
          <w:sz w:val="22"/>
          <w:szCs w:val="22"/>
        </w:rPr>
        <w:t xml:space="preserve"> and how these compared to estimations made when the Program was designed</w:t>
      </w:r>
      <w:r w:rsidRPr="008E106E">
        <w:rPr>
          <w:rFonts w:ascii="Arial" w:hAnsi="Arial" w:cs="Arial"/>
          <w:sz w:val="22"/>
          <w:szCs w:val="22"/>
        </w:rPr>
        <w:t>.</w:t>
      </w:r>
      <w:r w:rsidR="00C46290" w:rsidRPr="008E106E">
        <w:rPr>
          <w:rFonts w:ascii="Arial" w:hAnsi="Arial" w:cs="Arial"/>
          <w:sz w:val="22"/>
          <w:szCs w:val="22"/>
        </w:rPr>
        <w:t xml:space="preserve"> It will also assess </w:t>
      </w:r>
      <w:r w:rsidR="00C46290" w:rsidRPr="008E106E" w:rsidDel="00C46290">
        <w:rPr>
          <w:rFonts w:ascii="Arial" w:hAnsi="Arial" w:cs="Arial"/>
          <w:sz w:val="22"/>
          <w:szCs w:val="22"/>
        </w:rPr>
        <w:t xml:space="preserve">the financial costs and benefits of the geothermal projects to </w:t>
      </w:r>
      <w:r w:rsidR="00C46290" w:rsidRPr="008E106E">
        <w:rPr>
          <w:rFonts w:ascii="Arial" w:hAnsi="Arial" w:cs="Arial"/>
          <w:sz w:val="22"/>
          <w:szCs w:val="22"/>
        </w:rPr>
        <w:t xml:space="preserve">private </w:t>
      </w:r>
      <w:r w:rsidR="00C46290" w:rsidRPr="008E106E" w:rsidDel="00C46290">
        <w:rPr>
          <w:rFonts w:ascii="Arial" w:hAnsi="Arial" w:cs="Arial"/>
          <w:sz w:val="22"/>
          <w:szCs w:val="22"/>
        </w:rPr>
        <w:t>investors</w:t>
      </w:r>
      <w:r w:rsidR="00C46290" w:rsidRPr="008E106E">
        <w:rPr>
          <w:rFonts w:ascii="Arial" w:hAnsi="Arial" w:cs="Arial"/>
          <w:sz w:val="22"/>
          <w:szCs w:val="22"/>
        </w:rPr>
        <w:t xml:space="preserve"> or PPP.</w:t>
      </w:r>
      <w:r w:rsidRPr="008E106E">
        <w:rPr>
          <w:rFonts w:ascii="Arial" w:hAnsi="Arial" w:cs="Arial"/>
          <w:sz w:val="22"/>
          <w:szCs w:val="22"/>
        </w:rPr>
        <w:t xml:space="preserve"> </w:t>
      </w:r>
      <w:r w:rsidR="002A04AA" w:rsidRPr="008E106E">
        <w:rPr>
          <w:rFonts w:ascii="Arial" w:hAnsi="Arial" w:cs="Arial"/>
          <w:sz w:val="22"/>
          <w:szCs w:val="22"/>
        </w:rPr>
        <w:t xml:space="preserve">Comparing the ex-post CBA with the ex-ante CBA </w:t>
      </w:r>
      <w:r w:rsidR="00152C26" w:rsidRPr="008E106E">
        <w:rPr>
          <w:rFonts w:ascii="Arial" w:hAnsi="Arial" w:cs="Arial"/>
          <w:sz w:val="22"/>
          <w:szCs w:val="22"/>
        </w:rPr>
        <w:t xml:space="preserve">will identify what factors led to discrepancies between the estimated costs and benefits included in the ex-ante CBA and the </w:t>
      </w:r>
      <w:r w:rsidR="002A04AA" w:rsidRPr="008E106E">
        <w:rPr>
          <w:rFonts w:ascii="Arial" w:hAnsi="Arial" w:cs="Arial"/>
          <w:sz w:val="22"/>
          <w:szCs w:val="22"/>
        </w:rPr>
        <w:t xml:space="preserve">actual </w:t>
      </w:r>
      <w:r w:rsidR="00152C26" w:rsidRPr="008E106E">
        <w:rPr>
          <w:rFonts w:ascii="Arial" w:hAnsi="Arial" w:cs="Arial"/>
          <w:sz w:val="22"/>
          <w:szCs w:val="22"/>
        </w:rPr>
        <w:t xml:space="preserve">costs and benefits observed </w:t>
      </w:r>
      <w:r w:rsidR="002A04AA" w:rsidRPr="008E106E">
        <w:rPr>
          <w:rFonts w:ascii="Arial" w:hAnsi="Arial" w:cs="Arial"/>
          <w:sz w:val="22"/>
          <w:szCs w:val="22"/>
        </w:rPr>
        <w:t xml:space="preserve">at the Program’s completion. </w:t>
      </w:r>
      <w:r w:rsidR="00A32CC4" w:rsidRPr="008E106E">
        <w:rPr>
          <w:rFonts w:ascii="Arial" w:hAnsi="Arial" w:cs="Arial"/>
          <w:sz w:val="22"/>
          <w:szCs w:val="22"/>
        </w:rPr>
        <w:t>For this reason, t</w:t>
      </w:r>
      <w:r w:rsidRPr="008E106E">
        <w:rPr>
          <w:rFonts w:ascii="Arial" w:hAnsi="Arial" w:cs="Arial"/>
          <w:sz w:val="22"/>
          <w:szCs w:val="22"/>
        </w:rPr>
        <w:t xml:space="preserve">he </w:t>
      </w:r>
      <w:r w:rsidR="00A32CC4" w:rsidRPr="008E106E">
        <w:rPr>
          <w:rFonts w:ascii="Arial" w:hAnsi="Arial" w:cs="Arial"/>
          <w:sz w:val="22"/>
          <w:szCs w:val="22"/>
        </w:rPr>
        <w:t xml:space="preserve">ex-post </w:t>
      </w:r>
      <w:r w:rsidRPr="008E106E">
        <w:rPr>
          <w:rFonts w:ascii="Arial" w:hAnsi="Arial" w:cs="Arial"/>
          <w:sz w:val="22"/>
          <w:szCs w:val="22"/>
        </w:rPr>
        <w:t xml:space="preserve">CBA will follow the </w:t>
      </w:r>
      <w:r w:rsidR="00A32CC4" w:rsidRPr="008E106E">
        <w:rPr>
          <w:rFonts w:ascii="Arial" w:hAnsi="Arial" w:cs="Arial"/>
          <w:sz w:val="22"/>
          <w:szCs w:val="22"/>
        </w:rPr>
        <w:t xml:space="preserve">same </w:t>
      </w:r>
      <w:r w:rsidRPr="008E106E">
        <w:rPr>
          <w:rFonts w:ascii="Arial" w:hAnsi="Arial" w:cs="Arial"/>
          <w:sz w:val="22"/>
          <w:szCs w:val="22"/>
        </w:rPr>
        <w:t xml:space="preserve">methodology used for </w:t>
      </w:r>
      <w:r w:rsidR="004203BE" w:rsidRPr="008E106E">
        <w:rPr>
          <w:rFonts w:ascii="Arial" w:hAnsi="Arial" w:cs="Arial"/>
          <w:sz w:val="22"/>
          <w:szCs w:val="22"/>
        </w:rPr>
        <w:t>preparing</w:t>
      </w:r>
      <w:r w:rsidRPr="008E106E">
        <w:rPr>
          <w:rFonts w:ascii="Arial" w:hAnsi="Arial" w:cs="Arial"/>
          <w:sz w:val="22"/>
          <w:szCs w:val="22"/>
        </w:rPr>
        <w:t xml:space="preserve"> the ex-ante CBA </w:t>
      </w:r>
      <w:r w:rsidR="00C80A3F" w:rsidRPr="008E106E">
        <w:rPr>
          <w:rFonts w:ascii="Arial" w:hAnsi="Arial" w:cs="Arial"/>
          <w:sz w:val="22"/>
          <w:szCs w:val="22"/>
        </w:rPr>
        <w:t>p</w:t>
      </w:r>
      <w:r w:rsidRPr="008E106E">
        <w:rPr>
          <w:rFonts w:ascii="Arial" w:hAnsi="Arial" w:cs="Arial"/>
          <w:sz w:val="22"/>
          <w:szCs w:val="22"/>
        </w:rPr>
        <w:t xml:space="preserve">resented in </w:t>
      </w:r>
      <w:r w:rsidR="00E1796F" w:rsidRPr="008E106E">
        <w:rPr>
          <w:rFonts w:ascii="Arial" w:hAnsi="Arial" w:cs="Arial"/>
          <w:sz w:val="22"/>
          <w:szCs w:val="22"/>
        </w:rPr>
        <w:t xml:space="preserve">Section </w:t>
      </w:r>
      <w:r w:rsidR="00E1796F" w:rsidRPr="008E106E">
        <w:rPr>
          <w:rFonts w:ascii="Arial" w:hAnsi="Arial" w:cs="Arial"/>
          <w:sz w:val="22"/>
          <w:szCs w:val="22"/>
        </w:rPr>
        <w:fldChar w:fldCharType="begin"/>
      </w:r>
      <w:r w:rsidR="00E1796F" w:rsidRPr="008E106E">
        <w:rPr>
          <w:rFonts w:ascii="Arial" w:hAnsi="Arial" w:cs="Arial"/>
          <w:sz w:val="22"/>
          <w:szCs w:val="22"/>
        </w:rPr>
        <w:instrText xml:space="preserve"> REF _Ref423617652 \r \h </w:instrText>
      </w:r>
      <w:r w:rsidR="00616B9B" w:rsidRPr="008E106E">
        <w:rPr>
          <w:rFonts w:ascii="Arial" w:hAnsi="Arial" w:cs="Arial"/>
          <w:sz w:val="22"/>
          <w:szCs w:val="22"/>
        </w:rPr>
        <w:instrText xml:space="preserve"> \* MERGEFORMAT </w:instrText>
      </w:r>
      <w:r w:rsidR="00E1796F" w:rsidRPr="008E106E">
        <w:rPr>
          <w:rFonts w:ascii="Arial" w:hAnsi="Arial" w:cs="Arial"/>
          <w:sz w:val="22"/>
          <w:szCs w:val="22"/>
        </w:rPr>
      </w:r>
      <w:r w:rsidR="00E1796F" w:rsidRPr="008E106E">
        <w:rPr>
          <w:rFonts w:ascii="Arial" w:hAnsi="Arial" w:cs="Arial"/>
          <w:sz w:val="22"/>
          <w:szCs w:val="22"/>
        </w:rPr>
        <w:fldChar w:fldCharType="separate"/>
      </w:r>
      <w:r w:rsidR="00B75A47" w:rsidRPr="008E106E">
        <w:rPr>
          <w:rFonts w:ascii="Arial" w:hAnsi="Arial" w:cs="Arial"/>
          <w:sz w:val="22"/>
          <w:szCs w:val="22"/>
        </w:rPr>
        <w:t>3.2</w:t>
      </w:r>
      <w:r w:rsidR="00E1796F" w:rsidRPr="008E106E">
        <w:rPr>
          <w:rFonts w:ascii="Arial" w:hAnsi="Arial" w:cs="Arial"/>
          <w:sz w:val="22"/>
          <w:szCs w:val="22"/>
        </w:rPr>
        <w:fldChar w:fldCharType="end"/>
      </w:r>
      <w:r w:rsidR="00E1796F" w:rsidRPr="008E106E">
        <w:rPr>
          <w:rFonts w:ascii="Arial" w:hAnsi="Arial" w:cs="Arial"/>
          <w:sz w:val="22"/>
          <w:szCs w:val="22"/>
        </w:rPr>
        <w:t xml:space="preserve"> and in</w:t>
      </w:r>
      <w:r w:rsidRPr="008E106E">
        <w:rPr>
          <w:rFonts w:ascii="Arial" w:hAnsi="Arial" w:cs="Arial"/>
          <w:sz w:val="22"/>
          <w:szCs w:val="22"/>
        </w:rPr>
        <w:t xml:space="preserve"> </w:t>
      </w:r>
      <w:r w:rsidR="006A2F8F" w:rsidRPr="008E106E">
        <w:rPr>
          <w:rFonts w:ascii="Arial" w:hAnsi="Arial" w:cs="Arial"/>
          <w:sz w:val="22"/>
          <w:szCs w:val="22"/>
        </w:rPr>
        <w:t xml:space="preserve">the </w:t>
      </w:r>
      <w:hyperlink r:id="rId20" w:history="1">
        <w:r w:rsidR="006A2F8F" w:rsidRPr="008E106E">
          <w:rPr>
            <w:rStyle w:val="Hyperlink"/>
            <w:rFonts w:ascii="Arial" w:hAnsi="Arial" w:cs="Arial"/>
            <w:sz w:val="22"/>
            <w:szCs w:val="22"/>
          </w:rPr>
          <w:t>Cost Benefit Analysis Report</w:t>
        </w:r>
      </w:hyperlink>
      <w:r w:rsidR="006A2F8F" w:rsidRPr="008E106E">
        <w:rPr>
          <w:rFonts w:ascii="Arial" w:hAnsi="Arial" w:cs="Arial"/>
          <w:sz w:val="22"/>
          <w:szCs w:val="22"/>
        </w:rPr>
        <w:t xml:space="preserve"> which is an Optional Electronic Link of the POD.</w:t>
      </w:r>
      <w:r w:rsidRPr="008E106E">
        <w:rPr>
          <w:rFonts w:ascii="Arial" w:hAnsi="Arial" w:cs="Arial"/>
          <w:sz w:val="22"/>
          <w:szCs w:val="22"/>
        </w:rPr>
        <w:t xml:space="preserve"> </w:t>
      </w:r>
    </w:p>
    <w:p w14:paraId="180DC778" w14:textId="2E6B0060" w:rsidR="00C46290" w:rsidRDefault="00C46290" w:rsidP="00C46290">
      <w:pPr>
        <w:pStyle w:val="BodyText"/>
        <w:rPr>
          <w:rFonts w:ascii="Arial" w:hAnsi="Arial" w:cs="Arial"/>
          <w:sz w:val="22"/>
          <w:szCs w:val="22"/>
        </w:rPr>
      </w:pPr>
      <w:r w:rsidRPr="008E106E" w:rsidDel="00C46290">
        <w:rPr>
          <w:rFonts w:ascii="Arial" w:hAnsi="Arial" w:cs="Arial"/>
          <w:sz w:val="22"/>
          <w:szCs w:val="22"/>
        </w:rPr>
        <w:t xml:space="preserve">In assessing the financial costs and benefits of the geothermal projects to the investors, the ex-post </w:t>
      </w:r>
      <w:r w:rsidRPr="008E106E">
        <w:rPr>
          <w:rFonts w:ascii="Arial" w:hAnsi="Arial" w:cs="Arial"/>
          <w:sz w:val="22"/>
          <w:szCs w:val="22"/>
        </w:rPr>
        <w:t>CBA</w:t>
      </w:r>
      <w:r w:rsidRPr="008E106E" w:rsidDel="00C46290">
        <w:rPr>
          <w:rFonts w:ascii="Arial" w:hAnsi="Arial" w:cs="Arial"/>
          <w:sz w:val="22"/>
          <w:szCs w:val="22"/>
        </w:rPr>
        <w:t xml:space="preserve"> </w:t>
      </w:r>
      <w:r w:rsidRPr="00690D98" w:rsidDel="00C46290">
        <w:rPr>
          <w:rFonts w:ascii="Arial" w:hAnsi="Arial" w:cs="Arial"/>
          <w:sz w:val="22"/>
          <w:szCs w:val="22"/>
          <w:u w:val="single"/>
        </w:rPr>
        <w:t>will determine the cost of electricity service with the new geothermal capacity</w:t>
      </w:r>
      <w:r w:rsidRPr="008E106E" w:rsidDel="00C46290">
        <w:rPr>
          <w:rFonts w:ascii="Arial" w:hAnsi="Arial" w:cs="Arial"/>
          <w:sz w:val="22"/>
          <w:szCs w:val="22"/>
        </w:rPr>
        <w:t xml:space="preserve">. Due to the long maturities associated to these projects, projects financed from early exploration may not be fully operational until past the timeframe of evaluation. As such, indicator values that depend on when power plants are commissioned will be estimated. The ex-post </w:t>
      </w:r>
      <w:r w:rsidRPr="008E106E">
        <w:rPr>
          <w:rFonts w:ascii="Arial" w:hAnsi="Arial" w:cs="Arial"/>
          <w:sz w:val="22"/>
          <w:szCs w:val="22"/>
        </w:rPr>
        <w:t>CBA</w:t>
      </w:r>
      <w:r w:rsidRPr="008E106E" w:rsidDel="00C46290">
        <w:rPr>
          <w:rFonts w:ascii="Arial" w:hAnsi="Arial" w:cs="Arial"/>
          <w:sz w:val="22"/>
          <w:szCs w:val="22"/>
        </w:rPr>
        <w:t xml:space="preserve"> will be the instrument to estimate the estimated decrease in cost of service based on up to date information about resource quality, estimated installed capacity, and the estimated timelines for the geothermal power plants to come on line.</w:t>
      </w:r>
    </w:p>
    <w:p w14:paraId="2317D823" w14:textId="77777777" w:rsidR="009638DE" w:rsidRDefault="009638DE" w:rsidP="006E3009">
      <w:pPr>
        <w:pStyle w:val="Subheading"/>
        <w:rPr>
          <w:rFonts w:ascii="Arial" w:hAnsi="Arial" w:cs="Arial"/>
          <w:sz w:val="22"/>
          <w:szCs w:val="22"/>
          <w:lang w:eastAsia="ja-JP"/>
        </w:rPr>
      </w:pPr>
      <w:r w:rsidRPr="009638DE">
        <w:rPr>
          <w:rFonts w:ascii="Arial" w:hAnsi="Arial" w:cs="Arial"/>
          <w:sz w:val="22"/>
          <w:szCs w:val="22"/>
          <w:lang w:eastAsia="ja-JP"/>
        </w:rPr>
        <w:t>Final Independent Evaluation Report.</w:t>
      </w:r>
    </w:p>
    <w:p w14:paraId="60A4118C" w14:textId="3B39F8DD" w:rsidR="009638DE" w:rsidRPr="00D61AD6" w:rsidRDefault="009638DE" w:rsidP="006E3009">
      <w:pPr>
        <w:pStyle w:val="Subheading"/>
        <w:rPr>
          <w:rFonts w:ascii="Arial" w:hAnsi="Arial" w:cs="Arial"/>
          <w:b w:val="0"/>
          <w:sz w:val="22"/>
          <w:szCs w:val="22"/>
          <w:lang w:eastAsia="ja-JP"/>
        </w:rPr>
      </w:pPr>
      <w:r w:rsidRPr="00D61AD6">
        <w:rPr>
          <w:rFonts w:ascii="Arial" w:hAnsi="Arial" w:cs="Arial"/>
          <w:b w:val="0"/>
          <w:sz w:val="22"/>
          <w:szCs w:val="22"/>
          <w:lang w:eastAsia="ja-JP"/>
        </w:rPr>
        <w:t xml:space="preserve">A report of the final evaluation of the Program will be presented to the Bank within 5 months after disbursement of 100% of the resources of the </w:t>
      </w:r>
      <w:r w:rsidR="00721808">
        <w:rPr>
          <w:rFonts w:ascii="Arial" w:hAnsi="Arial" w:cs="Arial"/>
          <w:b w:val="0"/>
          <w:sz w:val="22"/>
          <w:szCs w:val="22"/>
          <w:lang w:eastAsia="ja-JP"/>
        </w:rPr>
        <w:t>SEF-Expanded</w:t>
      </w:r>
      <w:r w:rsidRPr="00D61AD6">
        <w:rPr>
          <w:rFonts w:ascii="Arial" w:hAnsi="Arial" w:cs="Arial"/>
          <w:b w:val="0"/>
          <w:sz w:val="22"/>
          <w:szCs w:val="22"/>
          <w:lang w:eastAsia="ja-JP"/>
        </w:rPr>
        <w:t>, according to the terms set forth in the OM.</w:t>
      </w:r>
    </w:p>
    <w:p w14:paraId="5E885D84" w14:textId="2EC542E5" w:rsidR="006E3009" w:rsidRPr="008E106E" w:rsidRDefault="006E3009" w:rsidP="006E3009">
      <w:pPr>
        <w:pStyle w:val="Subheading"/>
        <w:rPr>
          <w:rFonts w:ascii="Arial" w:hAnsi="Arial" w:cs="Arial"/>
          <w:sz w:val="22"/>
          <w:szCs w:val="22"/>
          <w:lang w:eastAsia="ja-JP"/>
        </w:rPr>
      </w:pPr>
      <w:r w:rsidRPr="008E106E">
        <w:rPr>
          <w:rFonts w:ascii="Arial" w:hAnsi="Arial" w:cs="Arial"/>
          <w:sz w:val="22"/>
          <w:szCs w:val="22"/>
          <w:lang w:eastAsia="ja-JP"/>
        </w:rPr>
        <w:t xml:space="preserve">Project Completion Report for the Program </w:t>
      </w:r>
    </w:p>
    <w:p w14:paraId="307868EC" w14:textId="77777777" w:rsidR="006E3009" w:rsidRDefault="006E3009" w:rsidP="006E3009">
      <w:pPr>
        <w:pStyle w:val="BodyText"/>
        <w:rPr>
          <w:rFonts w:ascii="Arial" w:hAnsi="Arial" w:cs="Arial"/>
          <w:sz w:val="22"/>
          <w:szCs w:val="22"/>
        </w:rPr>
      </w:pPr>
      <w:r w:rsidRPr="008E106E">
        <w:rPr>
          <w:rFonts w:ascii="Arial" w:hAnsi="Arial" w:cs="Arial"/>
          <w:sz w:val="22"/>
          <w:szCs w:val="22"/>
        </w:rPr>
        <w:t xml:space="preserve">The Project Completion Report (PCR) is designed to assess and document the performance of the Program. A PCR will be completed for the Program as a whole, including SEF-2015 and SEF-Expanded, including the results of each sub-project financed through the Program. </w:t>
      </w:r>
      <w:r>
        <w:rPr>
          <w:rFonts w:ascii="Arial" w:hAnsi="Arial" w:cs="Arial"/>
          <w:sz w:val="22"/>
          <w:szCs w:val="22"/>
        </w:rPr>
        <w:t>T</w:t>
      </w:r>
      <w:r w:rsidRPr="006E3009">
        <w:rPr>
          <w:rFonts w:ascii="Arial" w:hAnsi="Arial" w:cs="Arial"/>
          <w:sz w:val="22"/>
          <w:szCs w:val="22"/>
        </w:rPr>
        <w:t>he PCR be conducted once 100% of the program is completed, including both SEF-2015 and SEF-Expanded, so no sub-project is left out of the analysis. The PCR will include the progress in meeting the program results as defined in the Results Matrix, information on the execution of the program and lessons learned.</w:t>
      </w:r>
    </w:p>
    <w:p w14:paraId="165DE2A7" w14:textId="77777777" w:rsidR="006E3009" w:rsidRPr="008E106E" w:rsidRDefault="006E3009" w:rsidP="006E3009">
      <w:pPr>
        <w:pStyle w:val="BodyText"/>
        <w:rPr>
          <w:rFonts w:ascii="Arial" w:hAnsi="Arial" w:cs="Arial"/>
          <w:sz w:val="22"/>
          <w:szCs w:val="22"/>
        </w:rPr>
      </w:pPr>
      <w:r w:rsidRPr="008E106E">
        <w:rPr>
          <w:rFonts w:ascii="Arial" w:hAnsi="Arial" w:cs="Arial"/>
          <w:sz w:val="22"/>
          <w:szCs w:val="22"/>
        </w:rPr>
        <w:t>The PCR evaluates three main areas: whether the Program and sub-projects met their targets for results indicators, whether the results are sustainable, and the issues that affected how successful the Program and sub-projects were in achieving their intended results.</w:t>
      </w:r>
    </w:p>
    <w:p w14:paraId="2ACCEDFF" w14:textId="77777777" w:rsidR="006E3009" w:rsidRPr="008E106E" w:rsidRDefault="006E3009" w:rsidP="006E3009">
      <w:pPr>
        <w:pStyle w:val="BodyText"/>
        <w:rPr>
          <w:rFonts w:ascii="Arial" w:hAnsi="Arial" w:cs="Arial"/>
          <w:sz w:val="22"/>
          <w:szCs w:val="22"/>
        </w:rPr>
      </w:pPr>
      <w:r w:rsidRPr="008E106E">
        <w:rPr>
          <w:rFonts w:ascii="Arial" w:hAnsi="Arial" w:cs="Arial"/>
          <w:sz w:val="22"/>
          <w:szCs w:val="22"/>
        </w:rPr>
        <w:t xml:space="preserve">In evaluating whether the Program and sub-projects met the targets for results indicators, the PCR uses a before and after methodology that compares the baseline values of the results indicators against the indicator values after the Program and/or Project is completed. As part of the PCR completed for the Program, an ex-post Cost Benefit Analysis (CBA) will be developed. </w:t>
      </w:r>
    </w:p>
    <w:p w14:paraId="12D31480" w14:textId="77777777" w:rsidR="006E3009" w:rsidRPr="008E106E" w:rsidRDefault="006E3009" w:rsidP="006E3009">
      <w:pPr>
        <w:pStyle w:val="BodyText"/>
        <w:rPr>
          <w:rFonts w:ascii="Arial" w:hAnsi="Arial" w:cs="Arial"/>
          <w:sz w:val="22"/>
          <w:szCs w:val="22"/>
        </w:rPr>
      </w:pPr>
      <w:r w:rsidRPr="008E106E">
        <w:rPr>
          <w:rFonts w:ascii="Arial" w:hAnsi="Arial" w:cs="Arial"/>
          <w:sz w:val="22"/>
          <w:szCs w:val="22"/>
        </w:rPr>
        <w:t xml:space="preserve">The evaluation of the sustainability of the results and the issues that affected the Program’s and/or projects’ implementation is focused on evaluating risks. In evaluating whether the results are sustainable, the PCR identifies the risks that could affect the sustainability of the Program’s and/or projects’ results, and their likelihood and severity. The four main kinds of risks that should be considered include: financial risks, sociopolitical risks, institutional framework and governance risks, and environmental risks. In evaluating issues, the PCR considers the risks that were not properly mitigated against and turned into issues that affected the implementation of the Program and sub-projects. Examples can include poor local implementation capacities and delays and effects thereof on the Program’s and/or projects’ results. </w:t>
      </w:r>
    </w:p>
    <w:p w14:paraId="46C62334" w14:textId="77777777" w:rsidR="006E3009" w:rsidRPr="008E106E" w:rsidRDefault="006E3009" w:rsidP="006E3009">
      <w:pPr>
        <w:pStyle w:val="BodyText"/>
        <w:rPr>
          <w:rFonts w:ascii="Arial" w:hAnsi="Arial" w:cs="Arial"/>
          <w:sz w:val="22"/>
          <w:szCs w:val="22"/>
        </w:rPr>
      </w:pPr>
    </w:p>
    <w:p w14:paraId="7CB52929" w14:textId="0DA92AF5" w:rsidR="0034029A" w:rsidRPr="00552D3E" w:rsidRDefault="0034029A">
      <w:pPr>
        <w:pStyle w:val="Heading2"/>
        <w:rPr>
          <w:rFonts w:ascii="Arial" w:hAnsi="Arial"/>
          <w:sz w:val="22"/>
          <w:szCs w:val="22"/>
        </w:rPr>
      </w:pPr>
      <w:bookmarkStart w:id="54" w:name="_Toc423341355"/>
      <w:bookmarkStart w:id="55" w:name="_Ref423357305"/>
      <w:bookmarkStart w:id="56" w:name="_Toc423457925"/>
      <w:bookmarkStart w:id="57" w:name="_Ref473021196"/>
      <w:bookmarkStart w:id="58" w:name="_Toc494122614"/>
      <w:bookmarkStart w:id="59" w:name="_Toc531018669"/>
      <w:r w:rsidRPr="00552D3E">
        <w:rPr>
          <w:rFonts w:ascii="Arial" w:hAnsi="Arial"/>
          <w:sz w:val="22"/>
          <w:szCs w:val="22"/>
        </w:rPr>
        <w:t>Methodology and Assumptions</w:t>
      </w:r>
      <w:bookmarkEnd w:id="54"/>
      <w:bookmarkEnd w:id="55"/>
      <w:bookmarkEnd w:id="56"/>
      <w:bookmarkEnd w:id="57"/>
      <w:bookmarkEnd w:id="58"/>
      <w:r w:rsidRPr="00690D98">
        <w:rPr>
          <w:rFonts w:ascii="Arial" w:hAnsi="Arial"/>
          <w:sz w:val="22"/>
          <w:szCs w:val="22"/>
        </w:rPr>
        <w:t xml:space="preserve"> to replicate the CBA</w:t>
      </w:r>
      <w:bookmarkEnd w:id="59"/>
    </w:p>
    <w:p w14:paraId="72116D4D" w14:textId="77777777" w:rsidR="006E3009" w:rsidRDefault="006E3009" w:rsidP="006E3009">
      <w:pPr>
        <w:pStyle w:val="BodyText"/>
        <w:rPr>
          <w:rStyle w:val="BodyTextChar"/>
          <w:rFonts w:ascii="Arial" w:hAnsi="Arial" w:cs="Arial"/>
          <w:sz w:val="22"/>
          <w:szCs w:val="22"/>
        </w:rPr>
      </w:pPr>
      <w:r w:rsidRPr="008E106E">
        <w:rPr>
          <w:rFonts w:ascii="Arial" w:hAnsi="Arial" w:cs="Arial"/>
          <w:sz w:val="22"/>
          <w:szCs w:val="22"/>
        </w:rPr>
        <w:t xml:space="preserve">To carry out the ex-post CBA, a methodology that </w:t>
      </w:r>
      <w:r w:rsidRPr="008E106E">
        <w:rPr>
          <w:rStyle w:val="BodyTextChar"/>
          <w:rFonts w:ascii="Arial" w:hAnsi="Arial" w:cs="Arial"/>
          <w:sz w:val="22"/>
          <w:szCs w:val="22"/>
        </w:rPr>
        <w:t xml:space="preserve">complies with the IDB Guidelines for Economic Analysis will be used. Specifically, the </w:t>
      </w:r>
      <w:r w:rsidRPr="008E106E">
        <w:rPr>
          <w:rFonts w:ascii="Arial" w:hAnsi="Arial" w:cs="Arial"/>
          <w:sz w:val="22"/>
          <w:szCs w:val="22"/>
        </w:rPr>
        <w:t>PVs of the projects’ net benefits will be estimated based on current information for the EA, Governments, and private project sponsors. To do so the PV of the projects’ benefits and costs will be estimated. For calculating the projects’ benefits, the s</w:t>
      </w:r>
      <w:r w:rsidRPr="008E106E">
        <w:rPr>
          <w:rStyle w:val="BodyTextChar"/>
          <w:rFonts w:ascii="Arial" w:hAnsi="Arial" w:cs="Arial"/>
          <w:sz w:val="22"/>
          <w:szCs w:val="22"/>
        </w:rPr>
        <w:t xml:space="preserve">avings in electricity expenditures and the monetary value of greenhouse gas emissions displaced by the projects will be estimated. </w:t>
      </w:r>
    </w:p>
    <w:p w14:paraId="15464DDC" w14:textId="0B30A2C5" w:rsidR="00E1796F" w:rsidRDefault="00684308" w:rsidP="00E1796F">
      <w:pPr>
        <w:pStyle w:val="BodyText"/>
        <w:rPr>
          <w:rFonts w:ascii="Arial" w:hAnsi="Arial" w:cs="Arial"/>
          <w:sz w:val="22"/>
          <w:szCs w:val="22"/>
        </w:rPr>
      </w:pPr>
      <w:r w:rsidRPr="00CF1BB7">
        <w:rPr>
          <w:rFonts w:ascii="Arial" w:hAnsi="Arial" w:cs="Arial"/>
          <w:sz w:val="22"/>
          <w:szCs w:val="22"/>
        </w:rPr>
        <w:t>To determine the geothermal project’s net benefits, the annual economic costs and benefits of the geothermal project, for a period of 40 years</w:t>
      </w:r>
      <w:r>
        <w:rPr>
          <w:rFonts w:ascii="Arial" w:hAnsi="Arial" w:cs="Arial"/>
          <w:sz w:val="22"/>
          <w:szCs w:val="22"/>
        </w:rPr>
        <w:t xml:space="preserve"> will be calculated</w:t>
      </w:r>
      <w:r w:rsidRPr="00CF1BB7">
        <w:rPr>
          <w:rFonts w:ascii="Arial" w:hAnsi="Arial" w:cs="Arial"/>
          <w:sz w:val="22"/>
          <w:szCs w:val="22"/>
        </w:rPr>
        <w:t xml:space="preserve">. </w:t>
      </w:r>
      <w:r w:rsidRPr="008E106E">
        <w:rPr>
          <w:rStyle w:val="BodyTextChar"/>
          <w:rFonts w:ascii="Arial" w:hAnsi="Arial" w:cs="Arial"/>
          <w:sz w:val="22"/>
          <w:szCs w:val="22"/>
        </w:rPr>
        <w:t xml:space="preserve">For calculating the projects’ costs, the full economic costs incurred during the implementation of the projects will be included, including the costs that were not financed by the Program. </w:t>
      </w:r>
    </w:p>
    <w:p w14:paraId="718B0FBF" w14:textId="77777777" w:rsidR="00E0760C" w:rsidRPr="00CF1BB7" w:rsidRDefault="00E0760C" w:rsidP="00E0760C">
      <w:pPr>
        <w:pStyle w:val="BodyText"/>
        <w:rPr>
          <w:rFonts w:ascii="Arial" w:hAnsi="Arial" w:cs="Arial"/>
          <w:sz w:val="22"/>
          <w:szCs w:val="22"/>
        </w:rPr>
      </w:pPr>
      <w:r w:rsidRPr="00CF1BB7">
        <w:rPr>
          <w:rFonts w:ascii="Arial" w:hAnsi="Arial" w:cs="Arial"/>
          <w:sz w:val="22"/>
          <w:szCs w:val="22"/>
        </w:rPr>
        <w:t>The steps to calculate the net benefits of the Program are:</w:t>
      </w:r>
    </w:p>
    <w:p w14:paraId="7EE7FECE" w14:textId="5DC9BB21" w:rsidR="00E0760C" w:rsidRPr="00CF1BB7" w:rsidRDefault="00E0760C" w:rsidP="00E0760C">
      <w:pPr>
        <w:pStyle w:val="ListBullet"/>
        <w:numPr>
          <w:ilvl w:val="0"/>
          <w:numId w:val="1"/>
        </w:numPr>
        <w:rPr>
          <w:rFonts w:ascii="Arial" w:hAnsi="Arial" w:cs="Arial"/>
          <w:sz w:val="22"/>
          <w:szCs w:val="22"/>
        </w:rPr>
      </w:pPr>
      <w:r w:rsidRPr="00CF1BB7">
        <w:rPr>
          <w:rFonts w:ascii="Arial" w:hAnsi="Arial" w:cs="Arial"/>
          <w:sz w:val="22"/>
          <w:szCs w:val="22"/>
        </w:rPr>
        <w:t>Estimate the economic costs of geothermal projects</w:t>
      </w:r>
      <w:r w:rsidR="00910F52">
        <w:rPr>
          <w:rFonts w:ascii="Arial" w:hAnsi="Arial" w:cs="Arial"/>
          <w:sz w:val="22"/>
          <w:szCs w:val="22"/>
        </w:rPr>
        <w:t xml:space="preserve"> (3.6.1)</w:t>
      </w:r>
    </w:p>
    <w:p w14:paraId="25271EBF" w14:textId="3B660AF4" w:rsidR="00E0760C" w:rsidRPr="00CF1BB7" w:rsidRDefault="00E0760C" w:rsidP="00E0760C">
      <w:pPr>
        <w:pStyle w:val="ListBullet"/>
        <w:numPr>
          <w:ilvl w:val="0"/>
          <w:numId w:val="1"/>
        </w:numPr>
        <w:rPr>
          <w:rFonts w:ascii="Arial" w:hAnsi="Arial" w:cs="Arial"/>
          <w:sz w:val="22"/>
          <w:szCs w:val="22"/>
        </w:rPr>
      </w:pPr>
      <w:r w:rsidRPr="00CF1BB7">
        <w:rPr>
          <w:rFonts w:ascii="Arial" w:hAnsi="Arial" w:cs="Arial"/>
          <w:sz w:val="22"/>
          <w:szCs w:val="22"/>
        </w:rPr>
        <w:t>Estimate the economic benefits of geothermal projects</w:t>
      </w:r>
      <w:r w:rsidR="00910F52">
        <w:rPr>
          <w:rFonts w:ascii="Arial" w:hAnsi="Arial" w:cs="Arial"/>
          <w:sz w:val="22"/>
          <w:szCs w:val="22"/>
        </w:rPr>
        <w:t xml:space="preserve"> (3.6.2)</w:t>
      </w:r>
    </w:p>
    <w:p w14:paraId="68D34D3E" w14:textId="50B4304A" w:rsidR="00E0760C" w:rsidRPr="00CF1BB7" w:rsidRDefault="00E0760C" w:rsidP="00E0760C">
      <w:pPr>
        <w:pStyle w:val="ListBullet"/>
        <w:numPr>
          <w:ilvl w:val="0"/>
          <w:numId w:val="1"/>
        </w:numPr>
        <w:rPr>
          <w:rFonts w:ascii="Arial" w:hAnsi="Arial" w:cs="Arial"/>
          <w:sz w:val="22"/>
          <w:szCs w:val="22"/>
        </w:rPr>
      </w:pPr>
      <w:r w:rsidRPr="00CF1BB7">
        <w:rPr>
          <w:rFonts w:ascii="Arial" w:hAnsi="Arial" w:cs="Arial"/>
          <w:sz w:val="22"/>
          <w:szCs w:val="22"/>
        </w:rPr>
        <w:t xml:space="preserve">Estimate the present value of the geothermal projects net economic benefits </w:t>
      </w:r>
      <w:r w:rsidR="00910F52">
        <w:rPr>
          <w:rFonts w:ascii="Arial" w:hAnsi="Arial" w:cs="Arial"/>
          <w:sz w:val="22"/>
          <w:szCs w:val="22"/>
        </w:rPr>
        <w:t>(3.6.3)</w:t>
      </w:r>
    </w:p>
    <w:p w14:paraId="5F71AE26" w14:textId="3A39D885" w:rsidR="003B00D0" w:rsidRPr="00CF1BB7" w:rsidRDefault="003B00D0" w:rsidP="003B00D0">
      <w:pPr>
        <w:pStyle w:val="BodyText"/>
        <w:rPr>
          <w:rFonts w:ascii="Arial" w:hAnsi="Arial" w:cs="Arial"/>
          <w:sz w:val="22"/>
          <w:szCs w:val="22"/>
        </w:rPr>
      </w:pPr>
      <w:r w:rsidRPr="00CF1BB7">
        <w:rPr>
          <w:rFonts w:ascii="Arial" w:hAnsi="Arial" w:cs="Arial"/>
          <w:sz w:val="22"/>
          <w:szCs w:val="22"/>
        </w:rPr>
        <w:t xml:space="preserve">We discuss each of these steps and the assumptions </w:t>
      </w:r>
      <w:r w:rsidR="00D4078B">
        <w:rPr>
          <w:rFonts w:ascii="Arial" w:hAnsi="Arial" w:cs="Arial"/>
          <w:sz w:val="22"/>
          <w:szCs w:val="22"/>
        </w:rPr>
        <w:t xml:space="preserve">to be </w:t>
      </w:r>
      <w:r w:rsidRPr="00CF1BB7">
        <w:rPr>
          <w:rFonts w:ascii="Arial" w:hAnsi="Arial" w:cs="Arial"/>
          <w:sz w:val="22"/>
          <w:szCs w:val="22"/>
        </w:rPr>
        <w:t>used in their calculation in more detail below:</w:t>
      </w:r>
    </w:p>
    <w:p w14:paraId="2732DDF8" w14:textId="7A13C37A" w:rsidR="003B00D0" w:rsidRPr="00CF1BB7" w:rsidRDefault="003B00D0" w:rsidP="003B00D0">
      <w:pPr>
        <w:pStyle w:val="Heading3"/>
        <w:rPr>
          <w:rFonts w:ascii="Arial" w:hAnsi="Arial"/>
          <w:sz w:val="22"/>
          <w:szCs w:val="22"/>
        </w:rPr>
      </w:pPr>
      <w:bookmarkStart w:id="60" w:name="_Toc423341356"/>
      <w:bookmarkStart w:id="61" w:name="_Ref423355820"/>
      <w:bookmarkStart w:id="62" w:name="_Toc423457926"/>
      <w:bookmarkStart w:id="63" w:name="_Ref473021646"/>
      <w:bookmarkStart w:id="64" w:name="_Toc494122615"/>
      <w:bookmarkStart w:id="65" w:name="_Toc531018670"/>
      <w:r w:rsidRPr="00CF1BB7">
        <w:rPr>
          <w:rFonts w:ascii="Arial" w:hAnsi="Arial"/>
          <w:sz w:val="22"/>
          <w:szCs w:val="22"/>
        </w:rPr>
        <w:t>Economic Costs of Geothermal Projects</w:t>
      </w:r>
      <w:bookmarkEnd w:id="60"/>
      <w:bookmarkEnd w:id="61"/>
      <w:bookmarkEnd w:id="62"/>
      <w:bookmarkEnd w:id="63"/>
      <w:bookmarkEnd w:id="64"/>
      <w:bookmarkEnd w:id="65"/>
    </w:p>
    <w:p w14:paraId="657A37BA" w14:textId="77777777" w:rsidR="003B00D0" w:rsidRPr="00CF1BB7" w:rsidRDefault="003B00D0" w:rsidP="003B00D0">
      <w:pPr>
        <w:pStyle w:val="ListBullet"/>
        <w:numPr>
          <w:ilvl w:val="0"/>
          <w:numId w:val="0"/>
        </w:numPr>
        <w:rPr>
          <w:rFonts w:ascii="Arial" w:hAnsi="Arial" w:cs="Arial"/>
          <w:sz w:val="22"/>
          <w:szCs w:val="22"/>
        </w:rPr>
      </w:pPr>
      <w:r w:rsidRPr="00CF1BB7">
        <w:rPr>
          <w:rFonts w:ascii="Arial" w:hAnsi="Arial" w:cs="Arial"/>
          <w:sz w:val="22"/>
          <w:szCs w:val="22"/>
        </w:rPr>
        <w:t>The economic costs of the geothermal projects are composed by:</w:t>
      </w:r>
    </w:p>
    <w:p w14:paraId="4C6DBC36" w14:textId="77777777" w:rsidR="00FE4A1C" w:rsidRDefault="003B00D0" w:rsidP="00FE4A1C">
      <w:pPr>
        <w:pStyle w:val="ListBullet"/>
        <w:numPr>
          <w:ilvl w:val="0"/>
          <w:numId w:val="0"/>
        </w:numPr>
        <w:ind w:left="1004"/>
        <w:rPr>
          <w:rFonts w:ascii="Arial" w:hAnsi="Arial" w:cs="Arial"/>
          <w:sz w:val="22"/>
          <w:szCs w:val="22"/>
        </w:rPr>
      </w:pPr>
      <w:r w:rsidRPr="00CF1BB7">
        <w:rPr>
          <w:rFonts w:ascii="Arial" w:hAnsi="Arial" w:cs="Arial"/>
          <w:b/>
          <w:sz w:val="22"/>
          <w:szCs w:val="22"/>
        </w:rPr>
        <w:t>Capital Expenditures (Capex)</w:t>
      </w:r>
      <w:r w:rsidRPr="00CF1BB7">
        <w:rPr>
          <w:rFonts w:ascii="Arial" w:hAnsi="Arial" w:cs="Arial"/>
          <w:sz w:val="22"/>
          <w:szCs w:val="22"/>
        </w:rPr>
        <w:t xml:space="preserve">—these are the </w:t>
      </w:r>
      <w:r w:rsidR="00D4078B">
        <w:rPr>
          <w:rFonts w:ascii="Arial" w:hAnsi="Arial" w:cs="Arial"/>
          <w:sz w:val="22"/>
          <w:szCs w:val="22"/>
        </w:rPr>
        <w:t xml:space="preserve">actual </w:t>
      </w:r>
      <w:r w:rsidRPr="00CF1BB7">
        <w:rPr>
          <w:rFonts w:ascii="Arial" w:hAnsi="Arial" w:cs="Arial"/>
          <w:sz w:val="22"/>
          <w:szCs w:val="22"/>
        </w:rPr>
        <w:t xml:space="preserve">capital investments </w:t>
      </w:r>
      <w:r w:rsidR="00D4078B">
        <w:rPr>
          <w:rFonts w:ascii="Arial" w:hAnsi="Arial" w:cs="Arial"/>
          <w:sz w:val="22"/>
          <w:szCs w:val="22"/>
        </w:rPr>
        <w:t xml:space="preserve">that were made </w:t>
      </w:r>
      <w:r w:rsidRPr="00CF1BB7">
        <w:rPr>
          <w:rFonts w:ascii="Arial" w:hAnsi="Arial" w:cs="Arial"/>
          <w:sz w:val="22"/>
          <w:szCs w:val="22"/>
        </w:rPr>
        <w:t xml:space="preserve">to complete the project stages </w:t>
      </w:r>
      <w:r w:rsidR="00D4078B">
        <w:rPr>
          <w:rFonts w:ascii="Arial" w:hAnsi="Arial" w:cs="Arial"/>
          <w:sz w:val="22"/>
          <w:szCs w:val="22"/>
        </w:rPr>
        <w:t xml:space="preserve">of geothermal projects financed at some stage with resources from the program. If there </w:t>
      </w:r>
      <w:r w:rsidR="00E1386D">
        <w:rPr>
          <w:rFonts w:ascii="Arial" w:hAnsi="Arial" w:cs="Arial"/>
          <w:sz w:val="22"/>
          <w:szCs w:val="22"/>
        </w:rPr>
        <w:t xml:space="preserve">are still stages </w:t>
      </w:r>
      <w:r w:rsidRPr="00CF1BB7">
        <w:rPr>
          <w:rFonts w:ascii="Arial" w:hAnsi="Arial" w:cs="Arial"/>
          <w:sz w:val="22"/>
          <w:szCs w:val="22"/>
        </w:rPr>
        <w:t>that are pending</w:t>
      </w:r>
      <w:r w:rsidR="00E1386D">
        <w:rPr>
          <w:rFonts w:ascii="Arial" w:hAnsi="Arial" w:cs="Arial"/>
          <w:sz w:val="22"/>
          <w:szCs w:val="22"/>
        </w:rPr>
        <w:t xml:space="preserve">, then the remaining Capex costs will be estimated based on </w:t>
      </w:r>
      <w:r w:rsidR="005D73C5" w:rsidRPr="00CF1BB7">
        <w:rPr>
          <w:rFonts w:ascii="Arial" w:hAnsi="Arial" w:cs="Arial"/>
          <w:sz w:val="22"/>
          <w:szCs w:val="22"/>
        </w:rPr>
        <w:t>the costs for completing the pre-investment stages (first slim hole drillings), the exploration stage (test drilling), and the field development stage (production drilling and power plant construction)</w:t>
      </w:r>
      <w:r w:rsidR="00911864">
        <w:rPr>
          <w:rFonts w:ascii="Arial" w:hAnsi="Arial" w:cs="Arial"/>
          <w:sz w:val="22"/>
          <w:szCs w:val="22"/>
        </w:rPr>
        <w:t xml:space="preserve"> </w:t>
      </w:r>
      <w:r w:rsidR="00291086">
        <w:rPr>
          <w:rFonts w:ascii="Arial" w:hAnsi="Arial" w:cs="Arial"/>
          <w:sz w:val="22"/>
          <w:szCs w:val="22"/>
        </w:rPr>
        <w:t>presented below. These costs are the same considered in the Ex-ante CBA</w:t>
      </w:r>
      <w:r w:rsidR="00E50C5E">
        <w:rPr>
          <w:rFonts w:ascii="Arial" w:hAnsi="Arial" w:cs="Arial"/>
          <w:sz w:val="22"/>
          <w:szCs w:val="22"/>
        </w:rPr>
        <w:t xml:space="preserve"> for </w:t>
      </w:r>
      <w:r w:rsidR="00911864">
        <w:rPr>
          <w:rFonts w:ascii="Arial" w:hAnsi="Arial" w:cs="Arial"/>
          <w:sz w:val="22"/>
          <w:szCs w:val="22"/>
        </w:rPr>
        <w:t>geothermal plants</w:t>
      </w:r>
      <w:r w:rsidR="00F06A2B">
        <w:rPr>
          <w:rFonts w:ascii="Arial" w:hAnsi="Arial" w:cs="Arial"/>
          <w:sz w:val="22"/>
          <w:szCs w:val="22"/>
        </w:rPr>
        <w:t xml:space="preserve"> of a certain installed capacity expected to be developed in each of the ECC islands</w:t>
      </w:r>
      <w:r w:rsidR="005D73C5" w:rsidRPr="00CF1BB7">
        <w:rPr>
          <w:rFonts w:ascii="Arial" w:hAnsi="Arial" w:cs="Arial"/>
          <w:sz w:val="22"/>
          <w:szCs w:val="22"/>
        </w:rPr>
        <w:t xml:space="preserve">. </w:t>
      </w:r>
      <w:r w:rsidR="00E50C5E">
        <w:rPr>
          <w:rFonts w:ascii="Arial" w:hAnsi="Arial" w:cs="Arial"/>
          <w:sz w:val="22"/>
          <w:szCs w:val="22"/>
        </w:rPr>
        <w:t>If the actual installed capacity of the plants effectively built or planned is different from the assumption, then the Capex cost per MW of installed capacity that results from the assumptions presented below</w:t>
      </w:r>
      <w:r w:rsidR="00D83FEE">
        <w:rPr>
          <w:rFonts w:ascii="Arial" w:hAnsi="Arial" w:cs="Arial"/>
          <w:sz w:val="22"/>
          <w:szCs w:val="22"/>
        </w:rPr>
        <w:t xml:space="preserve"> will be used to estimate total capex costs of pending stages</w:t>
      </w:r>
      <w:r w:rsidR="00E50C5E">
        <w:rPr>
          <w:rFonts w:ascii="Arial" w:hAnsi="Arial" w:cs="Arial"/>
          <w:sz w:val="22"/>
          <w:szCs w:val="22"/>
        </w:rPr>
        <w:t>.</w:t>
      </w:r>
      <w:r w:rsidR="00E50C5E" w:rsidRPr="005D73C5">
        <w:rPr>
          <w:rFonts w:ascii="Arial" w:hAnsi="Arial" w:cs="Arial"/>
          <w:sz w:val="22"/>
          <w:szCs w:val="22"/>
        </w:rPr>
        <w:t xml:space="preserve"> </w:t>
      </w:r>
    </w:p>
    <w:p w14:paraId="4648AAE0" w14:textId="1E90135D" w:rsidR="00FE4A1C" w:rsidRPr="00CF1BB7" w:rsidRDefault="00423C00" w:rsidP="005D73C5">
      <w:pPr>
        <w:pStyle w:val="ListBullet"/>
        <w:numPr>
          <w:ilvl w:val="0"/>
          <w:numId w:val="0"/>
        </w:numPr>
        <w:ind w:left="1004"/>
        <w:rPr>
          <w:rFonts w:ascii="Arial" w:hAnsi="Arial" w:cs="Arial"/>
          <w:sz w:val="22"/>
          <w:szCs w:val="22"/>
        </w:rPr>
      </w:pPr>
      <w:r w:rsidRPr="00690D98">
        <w:rPr>
          <w:rFonts w:ascii="Arial" w:hAnsi="Arial" w:cs="Arial"/>
          <w:sz w:val="22"/>
          <w:szCs w:val="22"/>
        </w:rPr>
        <w:t>These</w:t>
      </w:r>
      <w:r>
        <w:rPr>
          <w:rFonts w:ascii="Arial" w:hAnsi="Arial" w:cs="Arial"/>
          <w:b/>
          <w:sz w:val="22"/>
          <w:szCs w:val="22"/>
        </w:rPr>
        <w:t xml:space="preserve"> </w:t>
      </w:r>
      <w:r w:rsidR="00FE4A1C" w:rsidRPr="00CF1BB7">
        <w:rPr>
          <w:rFonts w:ascii="Arial" w:hAnsi="Arial" w:cs="Arial"/>
          <w:sz w:val="22"/>
          <w:szCs w:val="22"/>
        </w:rPr>
        <w:t>assumptions for capital expenditures are based on the estimated average costs for developing each geothermal stage from the IDB and the Energy Sector Management Assistance Program (ESMAP)</w:t>
      </w:r>
      <w:r w:rsidR="00FE4A1C">
        <w:rPr>
          <w:rFonts w:ascii="Arial" w:hAnsi="Arial" w:cs="Arial"/>
          <w:sz w:val="22"/>
          <w:szCs w:val="22"/>
        </w:rPr>
        <w:t xml:space="preserve"> and the financial model of the SVG project</w:t>
      </w:r>
      <w:r w:rsidR="00FE4A1C" w:rsidRPr="00CF1BB7">
        <w:rPr>
          <w:rFonts w:ascii="Arial" w:hAnsi="Arial" w:cs="Arial"/>
          <w:sz w:val="22"/>
          <w:szCs w:val="22"/>
        </w:rPr>
        <w:t>.</w:t>
      </w:r>
      <w:r w:rsidR="00FE4A1C" w:rsidRPr="00CF1BB7">
        <w:rPr>
          <w:rStyle w:val="FootnoteReference"/>
          <w:rFonts w:ascii="Arial" w:hAnsi="Arial" w:cs="Arial"/>
          <w:sz w:val="22"/>
          <w:szCs w:val="22"/>
        </w:rPr>
        <w:footnoteReference w:id="11"/>
      </w:r>
      <w:r w:rsidR="00FE4A1C" w:rsidRPr="00CF1BB7">
        <w:rPr>
          <w:rFonts w:ascii="Arial" w:hAnsi="Arial" w:cs="Arial"/>
          <w:sz w:val="22"/>
          <w:szCs w:val="22"/>
        </w:rPr>
        <w:t xml:space="preserve"> </w:t>
      </w:r>
    </w:p>
    <w:p w14:paraId="32A1D478" w14:textId="67237BBA" w:rsidR="00DF6AAE" w:rsidRDefault="00DF6AAE" w:rsidP="00690D98">
      <w:pPr>
        <w:pStyle w:val="ListBullet"/>
        <w:numPr>
          <w:ilvl w:val="0"/>
          <w:numId w:val="0"/>
        </w:numPr>
        <w:ind w:left="1004"/>
        <w:rPr>
          <w:rFonts w:ascii="Arial" w:hAnsi="Arial" w:cs="Arial"/>
          <w:sz w:val="22"/>
          <w:szCs w:val="22"/>
        </w:rPr>
      </w:pPr>
    </w:p>
    <w:tbl>
      <w:tblPr>
        <w:tblStyle w:val="TableGrid"/>
        <w:tblW w:w="0" w:type="auto"/>
        <w:tblLook w:val="04A0" w:firstRow="1" w:lastRow="0" w:firstColumn="1" w:lastColumn="0" w:noHBand="0" w:noVBand="1"/>
      </w:tblPr>
      <w:tblGrid>
        <w:gridCol w:w="2640"/>
        <w:gridCol w:w="1320"/>
        <w:gridCol w:w="780"/>
        <w:gridCol w:w="977"/>
        <w:gridCol w:w="977"/>
        <w:gridCol w:w="977"/>
        <w:gridCol w:w="977"/>
      </w:tblGrid>
      <w:tr w:rsidR="00DF6AAE" w:rsidRPr="00E003E4" w14:paraId="466D8421" w14:textId="77777777" w:rsidTr="00372613">
        <w:trPr>
          <w:trHeight w:val="372"/>
          <w:tblHeader/>
        </w:trPr>
        <w:tc>
          <w:tcPr>
            <w:tcW w:w="2640" w:type="dxa"/>
            <w:shd w:val="clear" w:color="auto" w:fill="BFBFBF" w:themeFill="background1" w:themeFillShade="BF"/>
          </w:tcPr>
          <w:p w14:paraId="2D8F19CE" w14:textId="77777777" w:rsidR="00DF6AAE" w:rsidRPr="00E003E4" w:rsidRDefault="00DF6AAE" w:rsidP="00372613">
            <w:pPr>
              <w:pStyle w:val="TableText"/>
              <w:keepNext/>
              <w:rPr>
                <w:rFonts w:ascii="Arial" w:hAnsi="Arial" w:cs="Arial"/>
                <w:sz w:val="20"/>
                <w:szCs w:val="20"/>
              </w:rPr>
            </w:pPr>
            <w:r w:rsidRPr="00E003E4">
              <w:rPr>
                <w:rFonts w:ascii="Arial" w:hAnsi="Arial" w:cs="Arial"/>
                <w:b/>
                <w:sz w:val="20"/>
                <w:szCs w:val="20"/>
              </w:rPr>
              <w:t>Variable</w:t>
            </w:r>
          </w:p>
        </w:tc>
        <w:tc>
          <w:tcPr>
            <w:tcW w:w="1320" w:type="dxa"/>
            <w:shd w:val="clear" w:color="auto" w:fill="BFBFBF" w:themeFill="background1" w:themeFillShade="BF"/>
          </w:tcPr>
          <w:p w14:paraId="65DDB94B" w14:textId="77777777" w:rsidR="00DF6AAE" w:rsidRPr="00E003E4" w:rsidRDefault="00DF6AAE" w:rsidP="00372613">
            <w:pPr>
              <w:pStyle w:val="TableText"/>
              <w:keepNext/>
              <w:rPr>
                <w:rFonts w:ascii="Arial" w:hAnsi="Arial" w:cs="Arial"/>
                <w:sz w:val="20"/>
                <w:szCs w:val="20"/>
              </w:rPr>
            </w:pPr>
            <w:r w:rsidRPr="00E003E4">
              <w:rPr>
                <w:rFonts w:ascii="Arial" w:hAnsi="Arial" w:cs="Arial"/>
                <w:b/>
                <w:sz w:val="20"/>
                <w:szCs w:val="20"/>
              </w:rPr>
              <w:t>All Projects</w:t>
            </w:r>
          </w:p>
        </w:tc>
        <w:tc>
          <w:tcPr>
            <w:tcW w:w="780" w:type="dxa"/>
            <w:shd w:val="clear" w:color="auto" w:fill="BFBFBF" w:themeFill="background1" w:themeFillShade="BF"/>
          </w:tcPr>
          <w:p w14:paraId="061A5AB3" w14:textId="77777777" w:rsidR="00DF6AAE" w:rsidRPr="00E003E4" w:rsidRDefault="00DF6AAE" w:rsidP="00372613">
            <w:pPr>
              <w:pStyle w:val="TableText"/>
              <w:keepNext/>
              <w:rPr>
                <w:rFonts w:ascii="Arial" w:hAnsi="Arial" w:cs="Arial"/>
                <w:b/>
                <w:sz w:val="20"/>
                <w:szCs w:val="20"/>
              </w:rPr>
            </w:pPr>
            <w:r w:rsidRPr="00E003E4">
              <w:rPr>
                <w:rFonts w:ascii="Arial" w:hAnsi="Arial" w:cs="Arial"/>
                <w:b/>
                <w:sz w:val="20"/>
                <w:szCs w:val="20"/>
              </w:rPr>
              <w:t>DOM</w:t>
            </w:r>
          </w:p>
        </w:tc>
        <w:tc>
          <w:tcPr>
            <w:tcW w:w="977" w:type="dxa"/>
            <w:shd w:val="clear" w:color="auto" w:fill="BFBFBF" w:themeFill="background1" w:themeFillShade="BF"/>
          </w:tcPr>
          <w:p w14:paraId="3C164072" w14:textId="77777777" w:rsidR="00DF6AAE" w:rsidRPr="00E003E4" w:rsidRDefault="00DF6AAE" w:rsidP="00372613">
            <w:pPr>
              <w:pStyle w:val="TableText"/>
              <w:keepNext/>
              <w:rPr>
                <w:rFonts w:ascii="Arial" w:hAnsi="Arial" w:cs="Arial"/>
                <w:b/>
                <w:sz w:val="20"/>
                <w:szCs w:val="20"/>
              </w:rPr>
            </w:pPr>
            <w:r w:rsidRPr="00E003E4">
              <w:rPr>
                <w:rFonts w:ascii="Arial" w:hAnsi="Arial" w:cs="Arial"/>
                <w:b/>
                <w:sz w:val="20"/>
                <w:szCs w:val="20"/>
              </w:rPr>
              <w:t>GRE</w:t>
            </w:r>
          </w:p>
        </w:tc>
        <w:tc>
          <w:tcPr>
            <w:tcW w:w="977" w:type="dxa"/>
            <w:shd w:val="clear" w:color="auto" w:fill="BFBFBF" w:themeFill="background1" w:themeFillShade="BF"/>
          </w:tcPr>
          <w:p w14:paraId="3CB330D4" w14:textId="77777777" w:rsidR="00DF6AAE" w:rsidRPr="00E003E4" w:rsidRDefault="00DF6AAE" w:rsidP="00372613">
            <w:pPr>
              <w:pStyle w:val="TableText"/>
              <w:keepNext/>
              <w:rPr>
                <w:rFonts w:ascii="Arial" w:hAnsi="Arial" w:cs="Arial"/>
                <w:b/>
                <w:sz w:val="20"/>
                <w:szCs w:val="20"/>
              </w:rPr>
            </w:pPr>
            <w:r w:rsidRPr="00E003E4">
              <w:rPr>
                <w:rFonts w:ascii="Arial" w:hAnsi="Arial" w:cs="Arial"/>
                <w:b/>
                <w:sz w:val="20"/>
                <w:szCs w:val="20"/>
              </w:rPr>
              <w:t>Nevis</w:t>
            </w:r>
          </w:p>
        </w:tc>
        <w:tc>
          <w:tcPr>
            <w:tcW w:w="977" w:type="dxa"/>
            <w:shd w:val="clear" w:color="auto" w:fill="BFBFBF" w:themeFill="background1" w:themeFillShade="BF"/>
          </w:tcPr>
          <w:p w14:paraId="4164FF92" w14:textId="77777777" w:rsidR="00DF6AAE" w:rsidRPr="00E003E4" w:rsidRDefault="00DF6AAE" w:rsidP="00372613">
            <w:pPr>
              <w:pStyle w:val="TableText"/>
              <w:keepNext/>
              <w:rPr>
                <w:rFonts w:ascii="Arial" w:hAnsi="Arial" w:cs="Arial"/>
                <w:b/>
                <w:sz w:val="20"/>
                <w:szCs w:val="20"/>
              </w:rPr>
            </w:pPr>
            <w:r w:rsidRPr="00E003E4">
              <w:rPr>
                <w:rFonts w:ascii="Arial" w:hAnsi="Arial" w:cs="Arial"/>
                <w:b/>
                <w:sz w:val="20"/>
                <w:szCs w:val="20"/>
              </w:rPr>
              <w:t>SL</w:t>
            </w:r>
          </w:p>
        </w:tc>
        <w:tc>
          <w:tcPr>
            <w:tcW w:w="977" w:type="dxa"/>
            <w:shd w:val="clear" w:color="auto" w:fill="BFBFBF" w:themeFill="background1" w:themeFillShade="BF"/>
          </w:tcPr>
          <w:p w14:paraId="5AAD539D" w14:textId="77777777" w:rsidR="00DF6AAE" w:rsidRPr="00E003E4" w:rsidRDefault="00DF6AAE" w:rsidP="00372613">
            <w:pPr>
              <w:pStyle w:val="TableText"/>
              <w:keepNext/>
              <w:rPr>
                <w:rFonts w:ascii="Arial" w:hAnsi="Arial" w:cs="Arial"/>
                <w:b/>
                <w:sz w:val="20"/>
                <w:szCs w:val="20"/>
              </w:rPr>
            </w:pPr>
            <w:r w:rsidRPr="00E003E4">
              <w:rPr>
                <w:rFonts w:ascii="Arial" w:hAnsi="Arial" w:cs="Arial"/>
                <w:b/>
                <w:sz w:val="20"/>
                <w:szCs w:val="20"/>
              </w:rPr>
              <w:t>SVG</w:t>
            </w:r>
          </w:p>
        </w:tc>
      </w:tr>
      <w:tr w:rsidR="00DF6AAE" w:rsidRPr="00E003E4" w14:paraId="06B39951" w14:textId="77777777" w:rsidTr="00372613">
        <w:trPr>
          <w:trHeight w:val="313"/>
        </w:trPr>
        <w:tc>
          <w:tcPr>
            <w:tcW w:w="2640" w:type="dxa"/>
          </w:tcPr>
          <w:p w14:paraId="7272B483" w14:textId="77777777" w:rsidR="00DF6AAE" w:rsidRPr="00E003E4" w:rsidRDefault="00DF6AAE" w:rsidP="00372613">
            <w:pPr>
              <w:pStyle w:val="TableText"/>
              <w:keepNext/>
              <w:rPr>
                <w:rFonts w:ascii="Arial" w:hAnsi="Arial" w:cs="Arial"/>
                <w:sz w:val="20"/>
                <w:szCs w:val="20"/>
              </w:rPr>
            </w:pPr>
            <w:r w:rsidRPr="00E003E4">
              <w:rPr>
                <w:rFonts w:ascii="Arial" w:hAnsi="Arial" w:cs="Arial"/>
                <w:sz w:val="20"/>
                <w:szCs w:val="20"/>
              </w:rPr>
              <w:t>Plant size (MW)</w:t>
            </w:r>
          </w:p>
        </w:tc>
        <w:tc>
          <w:tcPr>
            <w:tcW w:w="1320" w:type="dxa"/>
          </w:tcPr>
          <w:p w14:paraId="3583ED37" w14:textId="77777777" w:rsidR="00DF6AAE" w:rsidRPr="00E003E4" w:rsidRDefault="00DF6AAE" w:rsidP="00372613">
            <w:pPr>
              <w:pStyle w:val="TableText"/>
              <w:keepNext/>
              <w:jc w:val="right"/>
              <w:rPr>
                <w:rFonts w:ascii="Arial" w:hAnsi="Arial" w:cs="Arial"/>
                <w:sz w:val="20"/>
                <w:szCs w:val="20"/>
              </w:rPr>
            </w:pPr>
            <w:r w:rsidRPr="00E003E4">
              <w:rPr>
                <w:rFonts w:ascii="Arial" w:hAnsi="Arial" w:cs="Arial"/>
                <w:sz w:val="20"/>
                <w:szCs w:val="20"/>
              </w:rPr>
              <w:t>60</w:t>
            </w:r>
          </w:p>
        </w:tc>
        <w:tc>
          <w:tcPr>
            <w:tcW w:w="780" w:type="dxa"/>
          </w:tcPr>
          <w:p w14:paraId="213038EA" w14:textId="77777777" w:rsidR="00DF6AAE" w:rsidRPr="00E003E4" w:rsidRDefault="00DF6AAE" w:rsidP="00372613">
            <w:pPr>
              <w:pStyle w:val="TableText"/>
              <w:keepNext/>
              <w:jc w:val="right"/>
              <w:rPr>
                <w:rFonts w:ascii="Arial" w:hAnsi="Arial" w:cs="Arial"/>
                <w:sz w:val="20"/>
                <w:szCs w:val="20"/>
              </w:rPr>
            </w:pPr>
            <w:r w:rsidRPr="00E003E4">
              <w:rPr>
                <w:rFonts w:ascii="Arial" w:hAnsi="Arial" w:cs="Arial"/>
                <w:sz w:val="20"/>
                <w:szCs w:val="20"/>
              </w:rPr>
              <w:t>10</w:t>
            </w:r>
          </w:p>
        </w:tc>
        <w:tc>
          <w:tcPr>
            <w:tcW w:w="977" w:type="dxa"/>
          </w:tcPr>
          <w:p w14:paraId="52042BFE" w14:textId="77777777" w:rsidR="00DF6AAE" w:rsidRPr="00E003E4" w:rsidRDefault="00DF6AAE" w:rsidP="00372613">
            <w:pPr>
              <w:pStyle w:val="TableText"/>
              <w:keepNext/>
              <w:jc w:val="right"/>
              <w:rPr>
                <w:rFonts w:ascii="Arial" w:hAnsi="Arial" w:cs="Arial"/>
                <w:sz w:val="20"/>
                <w:szCs w:val="20"/>
              </w:rPr>
            </w:pPr>
            <w:r w:rsidRPr="00E003E4">
              <w:rPr>
                <w:rFonts w:ascii="Arial" w:hAnsi="Arial" w:cs="Arial"/>
                <w:sz w:val="20"/>
                <w:szCs w:val="20"/>
              </w:rPr>
              <w:t>10</w:t>
            </w:r>
          </w:p>
        </w:tc>
        <w:tc>
          <w:tcPr>
            <w:tcW w:w="977" w:type="dxa"/>
          </w:tcPr>
          <w:p w14:paraId="051897F4" w14:textId="77777777" w:rsidR="00DF6AAE" w:rsidRPr="00E003E4" w:rsidRDefault="00DF6AAE" w:rsidP="00372613">
            <w:pPr>
              <w:pStyle w:val="TableText"/>
              <w:keepNext/>
              <w:jc w:val="right"/>
              <w:rPr>
                <w:rFonts w:ascii="Arial" w:hAnsi="Arial" w:cs="Arial"/>
                <w:sz w:val="20"/>
                <w:szCs w:val="20"/>
              </w:rPr>
            </w:pPr>
            <w:r w:rsidRPr="00E003E4">
              <w:rPr>
                <w:rFonts w:ascii="Arial" w:hAnsi="Arial" w:cs="Arial"/>
                <w:sz w:val="20"/>
                <w:szCs w:val="20"/>
              </w:rPr>
              <w:t>10</w:t>
            </w:r>
          </w:p>
        </w:tc>
        <w:tc>
          <w:tcPr>
            <w:tcW w:w="977" w:type="dxa"/>
          </w:tcPr>
          <w:p w14:paraId="1B8A159A" w14:textId="77777777" w:rsidR="00DF6AAE" w:rsidRPr="00E003E4" w:rsidRDefault="00DF6AAE" w:rsidP="00372613">
            <w:pPr>
              <w:pStyle w:val="TableText"/>
              <w:keepNext/>
              <w:jc w:val="right"/>
              <w:rPr>
                <w:rFonts w:ascii="Arial" w:hAnsi="Arial" w:cs="Arial"/>
                <w:sz w:val="20"/>
                <w:szCs w:val="20"/>
              </w:rPr>
            </w:pPr>
            <w:r w:rsidRPr="00E003E4">
              <w:rPr>
                <w:rFonts w:ascii="Arial" w:hAnsi="Arial" w:cs="Arial"/>
                <w:sz w:val="20"/>
                <w:szCs w:val="20"/>
              </w:rPr>
              <w:t>20</w:t>
            </w:r>
          </w:p>
        </w:tc>
        <w:tc>
          <w:tcPr>
            <w:tcW w:w="977" w:type="dxa"/>
          </w:tcPr>
          <w:p w14:paraId="1B6B83FF" w14:textId="77777777" w:rsidR="00DF6AAE" w:rsidRPr="00E003E4" w:rsidRDefault="00DF6AAE" w:rsidP="00372613">
            <w:pPr>
              <w:pStyle w:val="TableText"/>
              <w:keepNext/>
              <w:jc w:val="right"/>
              <w:rPr>
                <w:rFonts w:ascii="Arial" w:hAnsi="Arial" w:cs="Arial"/>
                <w:sz w:val="20"/>
                <w:szCs w:val="20"/>
              </w:rPr>
            </w:pPr>
            <w:r w:rsidRPr="00E003E4">
              <w:rPr>
                <w:rFonts w:ascii="Arial" w:hAnsi="Arial" w:cs="Arial"/>
                <w:sz w:val="20"/>
                <w:szCs w:val="20"/>
              </w:rPr>
              <w:t>10</w:t>
            </w:r>
          </w:p>
        </w:tc>
      </w:tr>
      <w:tr w:rsidR="00DF6AAE" w:rsidRPr="00E003E4" w14:paraId="058120B7" w14:textId="77777777" w:rsidTr="00372613">
        <w:trPr>
          <w:trHeight w:val="304"/>
        </w:trPr>
        <w:tc>
          <w:tcPr>
            <w:tcW w:w="2640" w:type="dxa"/>
          </w:tcPr>
          <w:p w14:paraId="7BD3F4FA" w14:textId="77777777" w:rsidR="00DF6AAE" w:rsidRPr="00E003E4" w:rsidRDefault="00DF6AAE" w:rsidP="00372613">
            <w:pPr>
              <w:pStyle w:val="TableText"/>
              <w:rPr>
                <w:rFonts w:ascii="Arial" w:hAnsi="Arial" w:cs="Arial"/>
                <w:sz w:val="20"/>
                <w:szCs w:val="20"/>
              </w:rPr>
            </w:pPr>
            <w:r w:rsidRPr="00E003E4">
              <w:rPr>
                <w:rFonts w:ascii="Arial" w:hAnsi="Arial" w:cs="Arial"/>
                <w:sz w:val="20"/>
                <w:szCs w:val="20"/>
              </w:rPr>
              <w:t>Total Capex (US$ million)</w:t>
            </w:r>
          </w:p>
        </w:tc>
        <w:tc>
          <w:tcPr>
            <w:tcW w:w="1320" w:type="dxa"/>
          </w:tcPr>
          <w:p w14:paraId="0D6A04B3" w14:textId="77777777" w:rsidR="00DF6AAE" w:rsidRPr="00E003E4" w:rsidRDefault="00DF6AAE" w:rsidP="00372613">
            <w:pPr>
              <w:pStyle w:val="TableText"/>
              <w:jc w:val="right"/>
              <w:rPr>
                <w:rFonts w:ascii="Arial" w:hAnsi="Arial" w:cs="Arial"/>
                <w:sz w:val="20"/>
                <w:szCs w:val="20"/>
              </w:rPr>
            </w:pPr>
            <w:r w:rsidRPr="00E003E4">
              <w:rPr>
                <w:rFonts w:ascii="Arial" w:hAnsi="Arial" w:cs="Arial"/>
                <w:sz w:val="20"/>
                <w:szCs w:val="20"/>
              </w:rPr>
              <w:t>517.5</w:t>
            </w:r>
          </w:p>
        </w:tc>
        <w:tc>
          <w:tcPr>
            <w:tcW w:w="780" w:type="dxa"/>
          </w:tcPr>
          <w:p w14:paraId="3742ED77" w14:textId="77777777" w:rsidR="00DF6AAE" w:rsidRPr="00E003E4" w:rsidRDefault="00DF6AAE" w:rsidP="00372613">
            <w:pPr>
              <w:pStyle w:val="TableText"/>
              <w:jc w:val="right"/>
              <w:rPr>
                <w:rFonts w:ascii="Arial" w:hAnsi="Arial" w:cs="Arial"/>
                <w:sz w:val="20"/>
                <w:szCs w:val="20"/>
              </w:rPr>
            </w:pPr>
            <w:r w:rsidRPr="00E003E4">
              <w:rPr>
                <w:rFonts w:ascii="Arial" w:hAnsi="Arial" w:cs="Arial"/>
                <w:sz w:val="20"/>
                <w:szCs w:val="20"/>
              </w:rPr>
              <w:t>67.0</w:t>
            </w:r>
          </w:p>
        </w:tc>
        <w:tc>
          <w:tcPr>
            <w:tcW w:w="977" w:type="dxa"/>
          </w:tcPr>
          <w:p w14:paraId="1D9CCF0A" w14:textId="77777777" w:rsidR="00DF6AAE" w:rsidRPr="00E003E4" w:rsidRDefault="00DF6AAE" w:rsidP="00372613">
            <w:pPr>
              <w:pStyle w:val="TableText"/>
              <w:jc w:val="right"/>
              <w:rPr>
                <w:rFonts w:ascii="Arial" w:hAnsi="Arial" w:cs="Arial"/>
                <w:sz w:val="20"/>
                <w:szCs w:val="20"/>
              </w:rPr>
            </w:pPr>
            <w:r w:rsidRPr="00E003E4">
              <w:rPr>
                <w:rFonts w:ascii="Arial" w:hAnsi="Arial" w:cs="Arial"/>
                <w:sz w:val="20"/>
                <w:szCs w:val="20"/>
              </w:rPr>
              <w:t>102.3</w:t>
            </w:r>
          </w:p>
        </w:tc>
        <w:tc>
          <w:tcPr>
            <w:tcW w:w="977" w:type="dxa"/>
          </w:tcPr>
          <w:p w14:paraId="23BF8030" w14:textId="77777777" w:rsidR="00DF6AAE" w:rsidRPr="00E003E4" w:rsidRDefault="00DF6AAE" w:rsidP="00372613">
            <w:pPr>
              <w:pStyle w:val="TableText"/>
              <w:jc w:val="right"/>
              <w:rPr>
                <w:rFonts w:ascii="Arial" w:hAnsi="Arial" w:cs="Arial"/>
                <w:sz w:val="20"/>
                <w:szCs w:val="20"/>
              </w:rPr>
            </w:pPr>
            <w:r w:rsidRPr="00E003E4">
              <w:rPr>
                <w:rFonts w:ascii="Arial" w:hAnsi="Arial" w:cs="Arial"/>
                <w:sz w:val="20"/>
                <w:szCs w:val="20"/>
              </w:rPr>
              <w:t>92.1</w:t>
            </w:r>
          </w:p>
        </w:tc>
        <w:tc>
          <w:tcPr>
            <w:tcW w:w="977" w:type="dxa"/>
          </w:tcPr>
          <w:p w14:paraId="04A564D8" w14:textId="77777777" w:rsidR="00DF6AAE" w:rsidRPr="00E003E4" w:rsidRDefault="00DF6AAE" w:rsidP="00372613">
            <w:pPr>
              <w:pStyle w:val="TableText"/>
              <w:jc w:val="right"/>
              <w:rPr>
                <w:rFonts w:ascii="Arial" w:hAnsi="Arial" w:cs="Arial"/>
                <w:sz w:val="20"/>
                <w:szCs w:val="20"/>
              </w:rPr>
            </w:pPr>
            <w:r w:rsidRPr="00E003E4">
              <w:rPr>
                <w:rFonts w:ascii="Arial" w:hAnsi="Arial" w:cs="Arial"/>
                <w:sz w:val="20"/>
                <w:szCs w:val="20"/>
              </w:rPr>
              <w:t>159.3</w:t>
            </w:r>
          </w:p>
        </w:tc>
        <w:tc>
          <w:tcPr>
            <w:tcW w:w="977" w:type="dxa"/>
          </w:tcPr>
          <w:p w14:paraId="581A56CF" w14:textId="77777777" w:rsidR="00DF6AAE" w:rsidRPr="00E003E4" w:rsidRDefault="00DF6AAE" w:rsidP="00372613">
            <w:pPr>
              <w:pStyle w:val="TableText"/>
              <w:jc w:val="right"/>
              <w:rPr>
                <w:rFonts w:ascii="Arial" w:hAnsi="Arial" w:cs="Arial"/>
                <w:sz w:val="20"/>
                <w:szCs w:val="20"/>
              </w:rPr>
            </w:pPr>
            <w:r w:rsidRPr="00E003E4">
              <w:rPr>
                <w:rFonts w:ascii="Arial" w:hAnsi="Arial" w:cs="Arial"/>
                <w:sz w:val="20"/>
                <w:szCs w:val="20"/>
              </w:rPr>
              <w:t>96.8</w:t>
            </w:r>
          </w:p>
        </w:tc>
      </w:tr>
      <w:tr w:rsidR="00DF6AAE" w:rsidRPr="00E003E4" w14:paraId="31642381" w14:textId="77777777" w:rsidTr="00372613">
        <w:trPr>
          <w:cantSplit/>
          <w:trHeight w:val="372"/>
        </w:trPr>
        <w:tc>
          <w:tcPr>
            <w:tcW w:w="2640" w:type="dxa"/>
          </w:tcPr>
          <w:p w14:paraId="45D0B3F8" w14:textId="77777777" w:rsidR="00DF6AAE" w:rsidRPr="00E003E4" w:rsidRDefault="00DF6AAE" w:rsidP="00372613">
            <w:pPr>
              <w:pStyle w:val="TableText"/>
              <w:ind w:left="284"/>
              <w:rPr>
                <w:rFonts w:ascii="Arial" w:hAnsi="Arial" w:cs="Arial"/>
                <w:sz w:val="20"/>
                <w:szCs w:val="20"/>
              </w:rPr>
            </w:pPr>
            <w:r w:rsidRPr="00E003E4">
              <w:rPr>
                <w:rFonts w:ascii="Arial" w:hAnsi="Arial" w:cs="Arial"/>
                <w:sz w:val="20"/>
                <w:szCs w:val="20"/>
              </w:rPr>
              <w:t>Pre-investment</w:t>
            </w:r>
          </w:p>
          <w:p w14:paraId="7295005D" w14:textId="77777777" w:rsidR="00DF6AAE" w:rsidRPr="00E003E4" w:rsidRDefault="00DF6AAE" w:rsidP="00372613">
            <w:pPr>
              <w:pStyle w:val="TableText"/>
              <w:ind w:left="284"/>
              <w:rPr>
                <w:rFonts w:ascii="Arial" w:hAnsi="Arial" w:cs="Arial"/>
                <w:sz w:val="20"/>
                <w:szCs w:val="20"/>
              </w:rPr>
            </w:pPr>
            <w:r w:rsidRPr="00E003E4">
              <w:rPr>
                <w:rFonts w:ascii="Arial" w:hAnsi="Arial" w:cs="Arial"/>
                <w:sz w:val="20"/>
                <w:szCs w:val="20"/>
              </w:rPr>
              <w:t xml:space="preserve">Exploration </w:t>
            </w:r>
          </w:p>
          <w:p w14:paraId="593BF6BB" w14:textId="77777777" w:rsidR="00DF6AAE" w:rsidRPr="00E003E4" w:rsidRDefault="00DF6AAE" w:rsidP="00372613">
            <w:pPr>
              <w:pStyle w:val="TableText"/>
              <w:ind w:left="284"/>
              <w:rPr>
                <w:rFonts w:ascii="Arial" w:hAnsi="Arial" w:cs="Arial"/>
                <w:sz w:val="20"/>
                <w:szCs w:val="20"/>
              </w:rPr>
            </w:pPr>
            <w:r w:rsidRPr="00E003E4">
              <w:rPr>
                <w:rFonts w:ascii="Arial" w:hAnsi="Arial" w:cs="Arial"/>
                <w:sz w:val="20"/>
                <w:szCs w:val="20"/>
              </w:rPr>
              <w:t>Production Drilling</w:t>
            </w:r>
          </w:p>
          <w:p w14:paraId="6C754304" w14:textId="77777777" w:rsidR="00DF6AAE" w:rsidRPr="00E003E4" w:rsidRDefault="00DF6AAE" w:rsidP="00372613">
            <w:pPr>
              <w:pStyle w:val="TableText"/>
              <w:ind w:left="284"/>
              <w:rPr>
                <w:rFonts w:ascii="Arial" w:hAnsi="Arial" w:cs="Arial"/>
                <w:sz w:val="20"/>
                <w:szCs w:val="20"/>
              </w:rPr>
            </w:pPr>
            <w:r w:rsidRPr="00E003E4">
              <w:rPr>
                <w:rFonts w:ascii="Arial" w:hAnsi="Arial" w:cs="Arial"/>
                <w:sz w:val="20"/>
                <w:szCs w:val="20"/>
              </w:rPr>
              <w:t>Power Plant Construction</w:t>
            </w:r>
          </w:p>
          <w:p w14:paraId="6998DD8C" w14:textId="77777777" w:rsidR="00DF6AAE" w:rsidRPr="00E003E4" w:rsidRDefault="00DF6AAE" w:rsidP="00372613">
            <w:pPr>
              <w:pStyle w:val="TableText"/>
              <w:ind w:left="284"/>
              <w:rPr>
                <w:rFonts w:ascii="Arial" w:hAnsi="Arial" w:cs="Arial"/>
                <w:sz w:val="20"/>
                <w:szCs w:val="20"/>
              </w:rPr>
            </w:pPr>
            <w:r w:rsidRPr="00E003E4">
              <w:rPr>
                <w:rFonts w:ascii="Arial" w:hAnsi="Arial" w:cs="Arial"/>
                <w:sz w:val="20"/>
                <w:szCs w:val="20"/>
              </w:rPr>
              <w:t>T&amp;D and Access Roads</w:t>
            </w:r>
          </w:p>
        </w:tc>
        <w:tc>
          <w:tcPr>
            <w:tcW w:w="1320" w:type="dxa"/>
          </w:tcPr>
          <w:p w14:paraId="28782FAF" w14:textId="77777777" w:rsidR="00DF6AAE" w:rsidRPr="00E003E4" w:rsidRDefault="00DF6AAE" w:rsidP="00372613">
            <w:pPr>
              <w:pStyle w:val="TableText"/>
              <w:jc w:val="right"/>
              <w:rPr>
                <w:rFonts w:ascii="Arial" w:hAnsi="Arial" w:cs="Arial"/>
                <w:sz w:val="20"/>
                <w:szCs w:val="20"/>
              </w:rPr>
            </w:pPr>
            <w:r w:rsidRPr="00E003E4">
              <w:rPr>
                <w:rFonts w:ascii="Arial" w:hAnsi="Arial" w:cs="Arial"/>
                <w:sz w:val="20"/>
                <w:szCs w:val="20"/>
              </w:rPr>
              <w:t>12.0</w:t>
            </w:r>
          </w:p>
          <w:p w14:paraId="25CA0EAA" w14:textId="77777777" w:rsidR="00DF6AAE" w:rsidRPr="00E003E4" w:rsidRDefault="00DF6AAE" w:rsidP="00372613">
            <w:pPr>
              <w:pStyle w:val="TableText"/>
              <w:jc w:val="right"/>
              <w:rPr>
                <w:rFonts w:ascii="Arial" w:hAnsi="Arial" w:cs="Arial"/>
                <w:sz w:val="20"/>
                <w:szCs w:val="20"/>
              </w:rPr>
            </w:pPr>
            <w:r w:rsidRPr="00E003E4">
              <w:rPr>
                <w:rFonts w:ascii="Arial" w:hAnsi="Arial" w:cs="Arial"/>
                <w:sz w:val="20"/>
                <w:szCs w:val="20"/>
              </w:rPr>
              <w:t>58.3</w:t>
            </w:r>
          </w:p>
          <w:p w14:paraId="53A14B2D" w14:textId="77777777" w:rsidR="00DF6AAE" w:rsidRPr="00E003E4" w:rsidRDefault="00DF6AAE" w:rsidP="00372613">
            <w:pPr>
              <w:pStyle w:val="TableText"/>
              <w:jc w:val="right"/>
              <w:rPr>
                <w:rFonts w:ascii="Arial" w:hAnsi="Arial" w:cs="Arial"/>
                <w:sz w:val="20"/>
                <w:szCs w:val="20"/>
              </w:rPr>
            </w:pPr>
            <w:r w:rsidRPr="00E003E4">
              <w:rPr>
                <w:rFonts w:ascii="Arial" w:hAnsi="Arial" w:cs="Arial"/>
                <w:sz w:val="20"/>
                <w:szCs w:val="20"/>
              </w:rPr>
              <w:t>115.7</w:t>
            </w:r>
          </w:p>
          <w:p w14:paraId="6DCDD8C2" w14:textId="77777777" w:rsidR="00DF6AAE" w:rsidRPr="00E003E4" w:rsidRDefault="00DF6AAE" w:rsidP="00372613">
            <w:pPr>
              <w:pStyle w:val="TableText"/>
              <w:jc w:val="right"/>
              <w:rPr>
                <w:rFonts w:ascii="Arial" w:hAnsi="Arial" w:cs="Arial"/>
                <w:sz w:val="20"/>
                <w:szCs w:val="20"/>
              </w:rPr>
            </w:pPr>
            <w:r w:rsidRPr="00E003E4">
              <w:rPr>
                <w:rFonts w:ascii="Arial" w:hAnsi="Arial" w:cs="Arial"/>
                <w:sz w:val="20"/>
                <w:szCs w:val="20"/>
              </w:rPr>
              <w:t>263.1</w:t>
            </w:r>
          </w:p>
          <w:p w14:paraId="0D017B66" w14:textId="77777777" w:rsidR="00DF6AAE" w:rsidRPr="00E003E4" w:rsidRDefault="00DF6AAE" w:rsidP="00372613">
            <w:pPr>
              <w:pStyle w:val="TableText"/>
              <w:jc w:val="right"/>
              <w:rPr>
                <w:rFonts w:ascii="Arial" w:hAnsi="Arial" w:cs="Arial"/>
                <w:sz w:val="20"/>
                <w:szCs w:val="20"/>
              </w:rPr>
            </w:pPr>
            <w:r w:rsidRPr="00E003E4">
              <w:rPr>
                <w:rFonts w:ascii="Arial" w:hAnsi="Arial" w:cs="Arial"/>
                <w:sz w:val="20"/>
                <w:szCs w:val="20"/>
              </w:rPr>
              <w:t>68.4</w:t>
            </w:r>
          </w:p>
        </w:tc>
        <w:tc>
          <w:tcPr>
            <w:tcW w:w="780" w:type="dxa"/>
          </w:tcPr>
          <w:p w14:paraId="0CE7A158" w14:textId="77777777" w:rsidR="00DF6AAE" w:rsidRPr="00E003E4" w:rsidRDefault="00DF6AAE" w:rsidP="00372613">
            <w:pPr>
              <w:pStyle w:val="TableText"/>
              <w:jc w:val="right"/>
              <w:rPr>
                <w:rFonts w:ascii="Arial" w:hAnsi="Arial" w:cs="Arial"/>
                <w:sz w:val="20"/>
                <w:szCs w:val="20"/>
              </w:rPr>
            </w:pPr>
          </w:p>
          <w:p w14:paraId="2D2563AB" w14:textId="77777777" w:rsidR="00DF6AAE" w:rsidRPr="00E003E4" w:rsidRDefault="00DF6AAE" w:rsidP="00372613">
            <w:pPr>
              <w:pStyle w:val="TableText"/>
              <w:jc w:val="right"/>
              <w:rPr>
                <w:rFonts w:ascii="Arial" w:hAnsi="Arial" w:cs="Arial"/>
                <w:sz w:val="20"/>
                <w:szCs w:val="20"/>
              </w:rPr>
            </w:pPr>
          </w:p>
          <w:p w14:paraId="0E6D6187" w14:textId="77777777" w:rsidR="00DF6AAE" w:rsidRPr="00E003E4" w:rsidRDefault="00DF6AAE" w:rsidP="00372613">
            <w:pPr>
              <w:pStyle w:val="TableText"/>
              <w:jc w:val="right"/>
              <w:rPr>
                <w:rFonts w:ascii="Arial" w:hAnsi="Arial" w:cs="Arial"/>
                <w:sz w:val="20"/>
                <w:szCs w:val="20"/>
              </w:rPr>
            </w:pPr>
            <w:r w:rsidRPr="00E003E4">
              <w:rPr>
                <w:rFonts w:ascii="Arial" w:hAnsi="Arial" w:cs="Arial"/>
                <w:sz w:val="20"/>
                <w:szCs w:val="20"/>
              </w:rPr>
              <w:t>7</w:t>
            </w:r>
          </w:p>
          <w:p w14:paraId="154339AF" w14:textId="77777777" w:rsidR="00DF6AAE" w:rsidRPr="00E003E4" w:rsidRDefault="00DF6AAE" w:rsidP="00372613">
            <w:pPr>
              <w:pStyle w:val="TableText"/>
              <w:jc w:val="right"/>
              <w:rPr>
                <w:rFonts w:ascii="Arial" w:hAnsi="Arial" w:cs="Arial"/>
                <w:sz w:val="20"/>
                <w:szCs w:val="20"/>
              </w:rPr>
            </w:pPr>
            <w:r w:rsidRPr="00E003E4">
              <w:rPr>
                <w:rFonts w:ascii="Arial" w:hAnsi="Arial" w:cs="Arial"/>
                <w:sz w:val="20"/>
                <w:szCs w:val="20"/>
              </w:rPr>
              <w:t>45</w:t>
            </w:r>
          </w:p>
          <w:p w14:paraId="4F08A68C" w14:textId="77777777" w:rsidR="00DF6AAE" w:rsidRPr="00E003E4" w:rsidRDefault="00DF6AAE" w:rsidP="00372613">
            <w:pPr>
              <w:pStyle w:val="TableText"/>
              <w:jc w:val="right"/>
              <w:rPr>
                <w:rFonts w:ascii="Arial" w:hAnsi="Arial" w:cs="Arial"/>
                <w:sz w:val="20"/>
                <w:szCs w:val="20"/>
              </w:rPr>
            </w:pPr>
            <w:r w:rsidRPr="00E003E4">
              <w:rPr>
                <w:rFonts w:ascii="Arial" w:hAnsi="Arial" w:cs="Arial"/>
                <w:sz w:val="20"/>
                <w:szCs w:val="20"/>
              </w:rPr>
              <w:t>15</w:t>
            </w:r>
          </w:p>
        </w:tc>
        <w:tc>
          <w:tcPr>
            <w:tcW w:w="977" w:type="dxa"/>
          </w:tcPr>
          <w:p w14:paraId="19EA16A3" w14:textId="77777777" w:rsidR="00DF6AAE" w:rsidRPr="00E003E4" w:rsidRDefault="00DF6AAE" w:rsidP="00372613">
            <w:pPr>
              <w:pStyle w:val="TableText"/>
              <w:jc w:val="right"/>
              <w:rPr>
                <w:rFonts w:ascii="Arial" w:hAnsi="Arial" w:cs="Arial"/>
                <w:sz w:val="20"/>
                <w:szCs w:val="20"/>
              </w:rPr>
            </w:pPr>
            <w:r w:rsidRPr="00E003E4">
              <w:rPr>
                <w:rFonts w:ascii="Arial" w:hAnsi="Arial" w:cs="Arial"/>
                <w:sz w:val="20"/>
                <w:szCs w:val="20"/>
              </w:rPr>
              <w:t>6</w:t>
            </w:r>
          </w:p>
          <w:p w14:paraId="44733385" w14:textId="77777777" w:rsidR="00DF6AAE" w:rsidRPr="00E003E4" w:rsidRDefault="00DF6AAE" w:rsidP="00372613">
            <w:pPr>
              <w:pStyle w:val="TableText"/>
              <w:jc w:val="right"/>
              <w:rPr>
                <w:rFonts w:ascii="Arial" w:hAnsi="Arial" w:cs="Arial"/>
                <w:sz w:val="20"/>
                <w:szCs w:val="20"/>
              </w:rPr>
            </w:pPr>
            <w:r w:rsidRPr="00E003E4">
              <w:rPr>
                <w:rFonts w:ascii="Arial" w:hAnsi="Arial" w:cs="Arial"/>
                <w:sz w:val="20"/>
                <w:szCs w:val="20"/>
              </w:rPr>
              <w:t>14</w:t>
            </w:r>
          </w:p>
          <w:p w14:paraId="128C5A06" w14:textId="77777777" w:rsidR="00DF6AAE" w:rsidRPr="00E003E4" w:rsidRDefault="00DF6AAE" w:rsidP="00372613">
            <w:pPr>
              <w:pStyle w:val="TableText"/>
              <w:jc w:val="right"/>
              <w:rPr>
                <w:rFonts w:ascii="Arial" w:hAnsi="Arial" w:cs="Arial"/>
                <w:sz w:val="20"/>
                <w:szCs w:val="20"/>
              </w:rPr>
            </w:pPr>
            <w:r w:rsidRPr="00E003E4">
              <w:rPr>
                <w:rFonts w:ascii="Arial" w:hAnsi="Arial" w:cs="Arial"/>
                <w:sz w:val="20"/>
                <w:szCs w:val="20"/>
              </w:rPr>
              <w:t>21</w:t>
            </w:r>
          </w:p>
          <w:p w14:paraId="2D665074" w14:textId="77777777" w:rsidR="00DF6AAE" w:rsidRPr="00E003E4" w:rsidRDefault="00DF6AAE" w:rsidP="00372613">
            <w:pPr>
              <w:pStyle w:val="TableText"/>
              <w:jc w:val="right"/>
              <w:rPr>
                <w:rFonts w:ascii="Arial" w:hAnsi="Arial" w:cs="Arial"/>
                <w:sz w:val="20"/>
                <w:szCs w:val="20"/>
              </w:rPr>
            </w:pPr>
            <w:r w:rsidRPr="00E003E4">
              <w:rPr>
                <w:rFonts w:ascii="Arial" w:hAnsi="Arial" w:cs="Arial"/>
                <w:sz w:val="20"/>
                <w:szCs w:val="20"/>
              </w:rPr>
              <w:t>45</w:t>
            </w:r>
          </w:p>
          <w:p w14:paraId="4929356D" w14:textId="77777777" w:rsidR="00DF6AAE" w:rsidRPr="00E003E4" w:rsidRDefault="00DF6AAE" w:rsidP="00372613">
            <w:pPr>
              <w:pStyle w:val="TableText"/>
              <w:jc w:val="right"/>
              <w:rPr>
                <w:rFonts w:ascii="Arial" w:hAnsi="Arial" w:cs="Arial"/>
                <w:sz w:val="20"/>
                <w:szCs w:val="20"/>
              </w:rPr>
            </w:pPr>
            <w:r w:rsidRPr="00E003E4">
              <w:rPr>
                <w:rFonts w:ascii="Arial" w:hAnsi="Arial" w:cs="Arial"/>
                <w:sz w:val="20"/>
                <w:szCs w:val="20"/>
              </w:rPr>
              <w:t>16</w:t>
            </w:r>
          </w:p>
        </w:tc>
        <w:tc>
          <w:tcPr>
            <w:tcW w:w="977" w:type="dxa"/>
          </w:tcPr>
          <w:p w14:paraId="4CF374C8" w14:textId="77777777" w:rsidR="00DF6AAE" w:rsidRPr="00E003E4" w:rsidRDefault="00DF6AAE" w:rsidP="00372613">
            <w:pPr>
              <w:pStyle w:val="TableText"/>
              <w:jc w:val="right"/>
              <w:rPr>
                <w:rFonts w:ascii="Arial" w:hAnsi="Arial" w:cs="Arial"/>
                <w:sz w:val="20"/>
                <w:szCs w:val="20"/>
              </w:rPr>
            </w:pPr>
          </w:p>
          <w:p w14:paraId="32D402DC" w14:textId="77777777" w:rsidR="00DF6AAE" w:rsidRPr="00E003E4" w:rsidRDefault="00DF6AAE" w:rsidP="00372613">
            <w:pPr>
              <w:pStyle w:val="TableText"/>
              <w:jc w:val="right"/>
              <w:rPr>
                <w:rFonts w:ascii="Arial" w:hAnsi="Arial" w:cs="Arial"/>
                <w:sz w:val="20"/>
                <w:szCs w:val="20"/>
              </w:rPr>
            </w:pPr>
            <w:r w:rsidRPr="00E003E4">
              <w:rPr>
                <w:rFonts w:ascii="Arial" w:hAnsi="Arial" w:cs="Arial"/>
                <w:sz w:val="20"/>
                <w:szCs w:val="20"/>
              </w:rPr>
              <w:t>14</w:t>
            </w:r>
          </w:p>
          <w:p w14:paraId="0A7E8279" w14:textId="77777777" w:rsidR="00DF6AAE" w:rsidRPr="00E003E4" w:rsidRDefault="00DF6AAE" w:rsidP="00372613">
            <w:pPr>
              <w:pStyle w:val="TableText"/>
              <w:jc w:val="right"/>
              <w:rPr>
                <w:rFonts w:ascii="Arial" w:hAnsi="Arial" w:cs="Arial"/>
                <w:sz w:val="20"/>
                <w:szCs w:val="20"/>
              </w:rPr>
            </w:pPr>
            <w:r w:rsidRPr="00E003E4">
              <w:rPr>
                <w:rFonts w:ascii="Arial" w:hAnsi="Arial" w:cs="Arial"/>
                <w:sz w:val="20"/>
                <w:szCs w:val="20"/>
              </w:rPr>
              <w:t>21</w:t>
            </w:r>
          </w:p>
          <w:p w14:paraId="3260198D" w14:textId="77777777" w:rsidR="00DF6AAE" w:rsidRPr="00E003E4" w:rsidRDefault="00DF6AAE" w:rsidP="00372613">
            <w:pPr>
              <w:pStyle w:val="TableText"/>
              <w:jc w:val="right"/>
              <w:rPr>
                <w:rFonts w:ascii="Arial" w:hAnsi="Arial" w:cs="Arial"/>
                <w:sz w:val="20"/>
                <w:szCs w:val="20"/>
              </w:rPr>
            </w:pPr>
            <w:r w:rsidRPr="00E003E4">
              <w:rPr>
                <w:rFonts w:ascii="Arial" w:hAnsi="Arial" w:cs="Arial"/>
                <w:sz w:val="20"/>
                <w:szCs w:val="20"/>
              </w:rPr>
              <w:t>45</w:t>
            </w:r>
          </w:p>
          <w:p w14:paraId="2BC0F58A" w14:textId="77777777" w:rsidR="00DF6AAE" w:rsidRPr="00E003E4" w:rsidRDefault="00DF6AAE" w:rsidP="00372613">
            <w:pPr>
              <w:pStyle w:val="TableText"/>
              <w:jc w:val="right"/>
              <w:rPr>
                <w:rFonts w:ascii="Arial" w:hAnsi="Arial" w:cs="Arial"/>
                <w:sz w:val="20"/>
                <w:szCs w:val="20"/>
              </w:rPr>
            </w:pPr>
            <w:r w:rsidRPr="00E003E4">
              <w:rPr>
                <w:rFonts w:ascii="Arial" w:hAnsi="Arial" w:cs="Arial"/>
                <w:sz w:val="20"/>
                <w:szCs w:val="20"/>
              </w:rPr>
              <w:t>12</w:t>
            </w:r>
          </w:p>
        </w:tc>
        <w:tc>
          <w:tcPr>
            <w:tcW w:w="977" w:type="dxa"/>
          </w:tcPr>
          <w:p w14:paraId="24987545" w14:textId="77777777" w:rsidR="00DF6AAE" w:rsidRPr="00E003E4" w:rsidRDefault="00DF6AAE" w:rsidP="00372613">
            <w:pPr>
              <w:pStyle w:val="TableText"/>
              <w:jc w:val="right"/>
              <w:rPr>
                <w:rFonts w:ascii="Arial" w:hAnsi="Arial" w:cs="Arial"/>
                <w:sz w:val="20"/>
                <w:szCs w:val="20"/>
              </w:rPr>
            </w:pPr>
            <w:r w:rsidRPr="00E003E4">
              <w:rPr>
                <w:rFonts w:ascii="Arial" w:hAnsi="Arial" w:cs="Arial"/>
                <w:sz w:val="20"/>
                <w:szCs w:val="20"/>
              </w:rPr>
              <w:t>6</w:t>
            </w:r>
          </w:p>
          <w:p w14:paraId="07D78C25" w14:textId="77777777" w:rsidR="00DF6AAE" w:rsidRPr="00E003E4" w:rsidRDefault="00DF6AAE" w:rsidP="00372613">
            <w:pPr>
              <w:pStyle w:val="TableText"/>
              <w:jc w:val="right"/>
              <w:rPr>
                <w:rFonts w:ascii="Arial" w:hAnsi="Arial" w:cs="Arial"/>
                <w:sz w:val="20"/>
                <w:szCs w:val="20"/>
              </w:rPr>
            </w:pPr>
            <w:r w:rsidRPr="00E003E4">
              <w:rPr>
                <w:rFonts w:ascii="Arial" w:hAnsi="Arial" w:cs="Arial"/>
                <w:sz w:val="20"/>
                <w:szCs w:val="20"/>
              </w:rPr>
              <w:t>14</w:t>
            </w:r>
          </w:p>
          <w:p w14:paraId="73282421" w14:textId="77777777" w:rsidR="00DF6AAE" w:rsidRPr="00E003E4" w:rsidRDefault="00DF6AAE" w:rsidP="00372613">
            <w:pPr>
              <w:pStyle w:val="TableText"/>
              <w:jc w:val="right"/>
              <w:rPr>
                <w:rFonts w:ascii="Arial" w:hAnsi="Arial" w:cs="Arial"/>
                <w:sz w:val="20"/>
                <w:szCs w:val="20"/>
              </w:rPr>
            </w:pPr>
            <w:r w:rsidRPr="00E003E4">
              <w:rPr>
                <w:rFonts w:ascii="Arial" w:hAnsi="Arial" w:cs="Arial"/>
                <w:sz w:val="20"/>
                <w:szCs w:val="20"/>
              </w:rPr>
              <w:t>42</w:t>
            </w:r>
          </w:p>
          <w:p w14:paraId="65FF0B22" w14:textId="77777777" w:rsidR="00DF6AAE" w:rsidRPr="00E003E4" w:rsidRDefault="00DF6AAE" w:rsidP="00372613">
            <w:pPr>
              <w:pStyle w:val="TableText"/>
              <w:jc w:val="right"/>
              <w:rPr>
                <w:rFonts w:ascii="Arial" w:hAnsi="Arial" w:cs="Arial"/>
                <w:sz w:val="20"/>
                <w:szCs w:val="20"/>
              </w:rPr>
            </w:pPr>
            <w:r w:rsidRPr="00E003E4">
              <w:rPr>
                <w:rFonts w:ascii="Arial" w:hAnsi="Arial" w:cs="Arial"/>
                <w:sz w:val="20"/>
                <w:szCs w:val="20"/>
              </w:rPr>
              <w:t>81</w:t>
            </w:r>
          </w:p>
          <w:p w14:paraId="045B0F04" w14:textId="77777777" w:rsidR="00DF6AAE" w:rsidRPr="00E003E4" w:rsidRDefault="00DF6AAE" w:rsidP="00372613">
            <w:pPr>
              <w:pStyle w:val="TableText"/>
              <w:jc w:val="right"/>
              <w:rPr>
                <w:rFonts w:ascii="Arial" w:hAnsi="Arial" w:cs="Arial"/>
                <w:sz w:val="20"/>
                <w:szCs w:val="20"/>
              </w:rPr>
            </w:pPr>
            <w:r w:rsidRPr="00E003E4">
              <w:rPr>
                <w:rFonts w:ascii="Arial" w:hAnsi="Arial" w:cs="Arial"/>
                <w:sz w:val="20"/>
                <w:szCs w:val="20"/>
              </w:rPr>
              <w:t>16</w:t>
            </w:r>
          </w:p>
        </w:tc>
        <w:tc>
          <w:tcPr>
            <w:tcW w:w="977" w:type="dxa"/>
          </w:tcPr>
          <w:p w14:paraId="345BC301" w14:textId="77777777" w:rsidR="00DF6AAE" w:rsidRPr="00E003E4" w:rsidRDefault="00DF6AAE" w:rsidP="00372613">
            <w:pPr>
              <w:pStyle w:val="TableText"/>
              <w:jc w:val="right"/>
              <w:rPr>
                <w:rFonts w:ascii="Arial" w:hAnsi="Arial" w:cs="Arial"/>
                <w:sz w:val="20"/>
                <w:szCs w:val="20"/>
              </w:rPr>
            </w:pPr>
          </w:p>
          <w:p w14:paraId="3F54B9D5" w14:textId="77777777" w:rsidR="00DF6AAE" w:rsidRPr="00E003E4" w:rsidRDefault="00DF6AAE" w:rsidP="00372613">
            <w:pPr>
              <w:pStyle w:val="TableText"/>
              <w:jc w:val="right"/>
              <w:rPr>
                <w:rFonts w:ascii="Arial" w:hAnsi="Arial" w:cs="Arial"/>
                <w:sz w:val="20"/>
                <w:szCs w:val="20"/>
              </w:rPr>
            </w:pPr>
            <w:r w:rsidRPr="00E003E4">
              <w:rPr>
                <w:rFonts w:ascii="Arial" w:hAnsi="Arial" w:cs="Arial"/>
                <w:sz w:val="20"/>
                <w:szCs w:val="20"/>
              </w:rPr>
              <w:t>17</w:t>
            </w:r>
          </w:p>
          <w:p w14:paraId="3069EA42" w14:textId="77777777" w:rsidR="00DF6AAE" w:rsidRPr="00E003E4" w:rsidRDefault="00DF6AAE" w:rsidP="00372613">
            <w:pPr>
              <w:pStyle w:val="TableText"/>
              <w:jc w:val="right"/>
              <w:rPr>
                <w:rFonts w:ascii="Arial" w:hAnsi="Arial" w:cs="Arial"/>
                <w:sz w:val="20"/>
                <w:szCs w:val="20"/>
              </w:rPr>
            </w:pPr>
            <w:r w:rsidRPr="00E003E4">
              <w:rPr>
                <w:rFonts w:ascii="Arial" w:hAnsi="Arial" w:cs="Arial"/>
                <w:sz w:val="20"/>
                <w:szCs w:val="20"/>
              </w:rPr>
              <w:t>25</w:t>
            </w:r>
          </w:p>
          <w:p w14:paraId="6A4CC38F" w14:textId="77777777" w:rsidR="00DF6AAE" w:rsidRPr="00E003E4" w:rsidRDefault="00DF6AAE" w:rsidP="00372613">
            <w:pPr>
              <w:pStyle w:val="TableText"/>
              <w:jc w:val="right"/>
              <w:rPr>
                <w:rFonts w:ascii="Arial" w:hAnsi="Arial" w:cs="Arial"/>
                <w:sz w:val="20"/>
                <w:szCs w:val="20"/>
              </w:rPr>
            </w:pPr>
            <w:r w:rsidRPr="00E003E4">
              <w:rPr>
                <w:rFonts w:ascii="Arial" w:hAnsi="Arial" w:cs="Arial"/>
                <w:sz w:val="20"/>
                <w:szCs w:val="20"/>
              </w:rPr>
              <w:t>47</w:t>
            </w:r>
          </w:p>
          <w:p w14:paraId="1DF74022" w14:textId="77777777" w:rsidR="00DF6AAE" w:rsidRPr="00E003E4" w:rsidRDefault="00DF6AAE" w:rsidP="00372613">
            <w:pPr>
              <w:pStyle w:val="TableText"/>
              <w:jc w:val="right"/>
              <w:rPr>
                <w:rFonts w:ascii="Arial" w:hAnsi="Arial" w:cs="Arial"/>
                <w:sz w:val="20"/>
                <w:szCs w:val="20"/>
              </w:rPr>
            </w:pPr>
            <w:r w:rsidRPr="00E003E4">
              <w:rPr>
                <w:rFonts w:ascii="Arial" w:hAnsi="Arial" w:cs="Arial"/>
                <w:sz w:val="20"/>
                <w:szCs w:val="20"/>
              </w:rPr>
              <w:t>8</w:t>
            </w:r>
          </w:p>
        </w:tc>
      </w:tr>
    </w:tbl>
    <w:p w14:paraId="6E18194A" w14:textId="77777777" w:rsidR="00DF6AAE" w:rsidRDefault="00DF6AAE" w:rsidP="00DF6AAE">
      <w:pPr>
        <w:pStyle w:val="ListBullet"/>
        <w:numPr>
          <w:ilvl w:val="0"/>
          <w:numId w:val="0"/>
        </w:numPr>
        <w:ind w:left="1004"/>
        <w:rPr>
          <w:rFonts w:ascii="Arial" w:hAnsi="Arial" w:cs="Arial"/>
          <w:b/>
          <w:sz w:val="22"/>
          <w:szCs w:val="22"/>
        </w:rPr>
      </w:pPr>
    </w:p>
    <w:p w14:paraId="77215877" w14:textId="7A864A7C" w:rsidR="003B00D0" w:rsidRPr="00CF1BB7" w:rsidRDefault="003B00D0" w:rsidP="003B00D0">
      <w:pPr>
        <w:pStyle w:val="Heading3"/>
        <w:rPr>
          <w:rFonts w:ascii="Arial" w:hAnsi="Arial"/>
          <w:sz w:val="22"/>
          <w:szCs w:val="22"/>
        </w:rPr>
      </w:pPr>
      <w:bookmarkStart w:id="66" w:name="_Toc423341357"/>
      <w:bookmarkStart w:id="67" w:name="_Ref423355934"/>
      <w:bookmarkStart w:id="68" w:name="_Toc423457927"/>
      <w:bookmarkStart w:id="69" w:name="_Ref473021661"/>
      <w:bookmarkStart w:id="70" w:name="_Toc494122616"/>
      <w:bookmarkStart w:id="71" w:name="_Toc531018671"/>
      <w:r w:rsidRPr="00CF1BB7">
        <w:rPr>
          <w:rFonts w:ascii="Arial" w:hAnsi="Arial"/>
          <w:sz w:val="22"/>
          <w:szCs w:val="22"/>
        </w:rPr>
        <w:t>Economic Benefits of Geothermal Projects</w:t>
      </w:r>
      <w:bookmarkEnd w:id="66"/>
      <w:bookmarkEnd w:id="67"/>
      <w:bookmarkEnd w:id="68"/>
      <w:bookmarkEnd w:id="69"/>
      <w:bookmarkEnd w:id="70"/>
      <w:bookmarkEnd w:id="71"/>
    </w:p>
    <w:p w14:paraId="554BCAE2" w14:textId="77777777" w:rsidR="003B00D0" w:rsidRPr="00CF1BB7" w:rsidRDefault="003B00D0" w:rsidP="003B00D0">
      <w:pPr>
        <w:pStyle w:val="ListBullet"/>
        <w:keepNext/>
        <w:numPr>
          <w:ilvl w:val="0"/>
          <w:numId w:val="0"/>
        </w:numPr>
        <w:rPr>
          <w:rFonts w:ascii="Arial" w:hAnsi="Arial" w:cs="Arial"/>
          <w:sz w:val="22"/>
          <w:szCs w:val="22"/>
        </w:rPr>
      </w:pPr>
      <w:r w:rsidRPr="00CF1BB7">
        <w:rPr>
          <w:rFonts w:ascii="Arial" w:hAnsi="Arial" w:cs="Arial"/>
          <w:sz w:val="22"/>
          <w:szCs w:val="22"/>
        </w:rPr>
        <w:t>The economic benefits of the geothermal projects are composed by:</w:t>
      </w:r>
    </w:p>
    <w:p w14:paraId="57B33178" w14:textId="73BA740E" w:rsidR="003B00D0" w:rsidRPr="00CF1BB7" w:rsidRDefault="003B00D0" w:rsidP="003B00D0">
      <w:pPr>
        <w:pStyle w:val="ListBullet"/>
        <w:keepNext/>
        <w:numPr>
          <w:ilvl w:val="0"/>
          <w:numId w:val="1"/>
        </w:numPr>
        <w:rPr>
          <w:rFonts w:ascii="Arial" w:hAnsi="Arial" w:cs="Arial"/>
          <w:sz w:val="22"/>
          <w:szCs w:val="22"/>
        </w:rPr>
      </w:pPr>
      <w:r w:rsidRPr="00CF1BB7">
        <w:rPr>
          <w:rFonts w:ascii="Arial" w:hAnsi="Arial" w:cs="Arial"/>
          <w:b/>
          <w:sz w:val="22"/>
          <w:szCs w:val="22"/>
        </w:rPr>
        <w:t>Savings in generation costs</w:t>
      </w:r>
      <w:r w:rsidRPr="00CF1BB7">
        <w:rPr>
          <w:rFonts w:ascii="Arial" w:hAnsi="Arial" w:cs="Arial"/>
          <w:sz w:val="22"/>
          <w:szCs w:val="22"/>
        </w:rPr>
        <w:t xml:space="preserve">—generating electricity from geothermal resources potentially cost less than generating electricity from </w:t>
      </w:r>
      <w:r w:rsidR="00FA582B">
        <w:rPr>
          <w:rFonts w:ascii="Arial" w:hAnsi="Arial" w:cs="Arial"/>
          <w:sz w:val="22"/>
          <w:szCs w:val="22"/>
        </w:rPr>
        <w:t xml:space="preserve">liquid fossil fuels such as diesel and/or </w:t>
      </w:r>
      <w:r w:rsidRPr="00CF1BB7">
        <w:rPr>
          <w:rFonts w:ascii="Arial" w:hAnsi="Arial" w:cs="Arial"/>
          <w:sz w:val="22"/>
          <w:szCs w:val="22"/>
        </w:rPr>
        <w:t>fuel oil. Therefore, the countr</w:t>
      </w:r>
      <w:r w:rsidR="00B755BF">
        <w:rPr>
          <w:rFonts w:ascii="Arial" w:hAnsi="Arial" w:cs="Arial"/>
          <w:sz w:val="22"/>
          <w:szCs w:val="22"/>
        </w:rPr>
        <w:t>ies</w:t>
      </w:r>
      <w:r w:rsidRPr="00CF1BB7">
        <w:rPr>
          <w:rFonts w:ascii="Arial" w:hAnsi="Arial" w:cs="Arial"/>
          <w:sz w:val="22"/>
          <w:szCs w:val="22"/>
        </w:rPr>
        <w:t xml:space="preserve"> will save in generation costs by replacing fuel oil generation with geothermal generation. </w:t>
      </w:r>
      <w:r w:rsidR="00B755BF">
        <w:rPr>
          <w:rFonts w:ascii="Arial" w:hAnsi="Arial" w:cs="Arial"/>
          <w:sz w:val="22"/>
          <w:szCs w:val="22"/>
        </w:rPr>
        <w:t>S</w:t>
      </w:r>
      <w:r w:rsidRPr="00CF1BB7">
        <w:rPr>
          <w:rFonts w:ascii="Arial" w:hAnsi="Arial" w:cs="Arial"/>
          <w:sz w:val="22"/>
          <w:szCs w:val="22"/>
        </w:rPr>
        <w:t xml:space="preserve">avings to the country </w:t>
      </w:r>
      <w:r w:rsidR="00B755BF">
        <w:rPr>
          <w:rFonts w:ascii="Arial" w:hAnsi="Arial" w:cs="Arial"/>
          <w:sz w:val="22"/>
          <w:szCs w:val="22"/>
        </w:rPr>
        <w:t xml:space="preserve">will be estimated </w:t>
      </w:r>
      <w:r w:rsidRPr="00CF1BB7">
        <w:rPr>
          <w:rFonts w:ascii="Arial" w:hAnsi="Arial" w:cs="Arial"/>
          <w:sz w:val="22"/>
          <w:szCs w:val="22"/>
        </w:rPr>
        <w:t>as the difference between the Total Avoided Cost (‘TAC’) of fuel oil generation and the Total Operating Costs (‘TOC’) of geothermal generation. The TAC is the long run marginal cost of diesel generation. We use the following formulas to calculation the savings in generations costs:</w:t>
      </w:r>
    </w:p>
    <w:p w14:paraId="107D9B9E" w14:textId="77777777" w:rsidR="003B00D0" w:rsidRPr="00CF1BB7" w:rsidRDefault="003B00D0" w:rsidP="003B00D0">
      <w:pPr>
        <w:pStyle w:val="ListBullet"/>
        <w:numPr>
          <w:ilvl w:val="0"/>
          <w:numId w:val="0"/>
        </w:numPr>
        <w:rPr>
          <w:rFonts w:ascii="Arial" w:hAnsi="Arial" w:cs="Arial"/>
          <w:sz w:val="22"/>
          <w:szCs w:val="22"/>
        </w:rPr>
      </w:pPr>
      <m:oMathPara>
        <m:oMath>
          <m:r>
            <w:rPr>
              <w:rFonts w:ascii="Cambria Math" w:hAnsi="Cambria Math" w:cs="Arial"/>
              <w:sz w:val="22"/>
              <w:szCs w:val="22"/>
            </w:rPr>
            <m:t xml:space="preserve">TAC </m:t>
          </m:r>
          <m:d>
            <m:dPr>
              <m:ctrlPr>
                <w:rPr>
                  <w:rFonts w:ascii="Cambria Math" w:hAnsi="Cambria Math" w:cs="Arial"/>
                  <w:i/>
                  <w:sz w:val="22"/>
                  <w:szCs w:val="22"/>
                </w:rPr>
              </m:ctrlPr>
            </m:dPr>
            <m:e>
              <m:r>
                <w:rPr>
                  <w:rFonts w:ascii="Cambria Math" w:hAnsi="Cambria Math" w:cs="Arial"/>
                  <w:sz w:val="22"/>
                  <w:szCs w:val="22"/>
                </w:rPr>
                <m:t>US$</m:t>
              </m:r>
            </m:e>
          </m:d>
          <m:r>
            <w:rPr>
              <w:rFonts w:ascii="Cambria Math" w:hAnsi="Cambria Math" w:cs="Arial"/>
              <w:sz w:val="22"/>
              <w:szCs w:val="22"/>
            </w:rPr>
            <m:t xml:space="preserve">=Avoided Cost of Fuel Oil Generation </m:t>
          </m:r>
          <m:d>
            <m:dPr>
              <m:ctrlPr>
                <w:rPr>
                  <w:rFonts w:ascii="Cambria Math" w:hAnsi="Cambria Math" w:cs="Arial"/>
                  <w:i/>
                  <w:sz w:val="22"/>
                  <w:szCs w:val="22"/>
                </w:rPr>
              </m:ctrlPr>
            </m:dPr>
            <m:e>
              <m:f>
                <m:fPr>
                  <m:ctrlPr>
                    <w:rPr>
                      <w:rFonts w:ascii="Cambria Math" w:hAnsi="Cambria Math" w:cs="Arial"/>
                      <w:i/>
                      <w:sz w:val="22"/>
                      <w:szCs w:val="22"/>
                    </w:rPr>
                  </m:ctrlPr>
                </m:fPr>
                <m:num>
                  <m:r>
                    <w:rPr>
                      <w:rFonts w:ascii="Cambria Math" w:hAnsi="Cambria Math" w:cs="Arial"/>
                      <w:sz w:val="22"/>
                      <w:szCs w:val="22"/>
                    </w:rPr>
                    <m:t>US$</m:t>
                  </m:r>
                </m:num>
                <m:den>
                  <m:r>
                    <w:rPr>
                      <w:rFonts w:ascii="Cambria Math" w:hAnsi="Cambria Math" w:cs="Arial"/>
                      <w:sz w:val="22"/>
                      <w:szCs w:val="22"/>
                    </w:rPr>
                    <m:t>kWh</m:t>
                  </m:r>
                </m:den>
              </m:f>
            </m:e>
          </m:d>
          <m:r>
            <w:rPr>
              <w:rFonts w:ascii="Cambria Math" w:hAnsi="Cambria Math" w:cs="Arial"/>
              <w:sz w:val="22"/>
              <w:szCs w:val="22"/>
            </w:rPr>
            <m:t>×Generation from Geothermal (kWh)</m:t>
          </m:r>
        </m:oMath>
      </m:oMathPara>
    </w:p>
    <w:p w14:paraId="3DC7B9C4" w14:textId="77777777" w:rsidR="003B00D0" w:rsidRPr="00CF1BB7" w:rsidRDefault="003B00D0" w:rsidP="003B00D0">
      <w:pPr>
        <w:pStyle w:val="ListBullet"/>
        <w:numPr>
          <w:ilvl w:val="0"/>
          <w:numId w:val="0"/>
        </w:numPr>
        <w:ind w:firstLine="720"/>
        <w:rPr>
          <w:rFonts w:ascii="Arial" w:hAnsi="Arial" w:cs="Arial"/>
          <w:sz w:val="22"/>
          <w:szCs w:val="22"/>
        </w:rPr>
      </w:pPr>
      <m:oMathPara>
        <m:oMath>
          <m:r>
            <w:rPr>
              <w:rFonts w:ascii="Cambria Math" w:hAnsi="Cambria Math" w:cs="Arial"/>
              <w:sz w:val="22"/>
              <w:szCs w:val="22"/>
            </w:rPr>
            <m:t xml:space="preserve">Avoided Cost of Fuel Oil Generation </m:t>
          </m:r>
          <m:d>
            <m:dPr>
              <m:ctrlPr>
                <w:rPr>
                  <w:rFonts w:ascii="Cambria Math" w:hAnsi="Cambria Math" w:cs="Arial"/>
                  <w:i/>
                  <w:sz w:val="22"/>
                  <w:szCs w:val="22"/>
                </w:rPr>
              </m:ctrlPr>
            </m:dPr>
            <m:e>
              <m:f>
                <m:fPr>
                  <m:ctrlPr>
                    <w:rPr>
                      <w:rFonts w:ascii="Cambria Math" w:hAnsi="Cambria Math" w:cs="Arial"/>
                      <w:i/>
                      <w:sz w:val="22"/>
                      <w:szCs w:val="22"/>
                    </w:rPr>
                  </m:ctrlPr>
                </m:fPr>
                <m:num>
                  <m:r>
                    <w:rPr>
                      <w:rFonts w:ascii="Cambria Math" w:hAnsi="Cambria Math" w:cs="Arial"/>
                      <w:sz w:val="22"/>
                      <w:szCs w:val="22"/>
                    </w:rPr>
                    <m:t>US$</m:t>
                  </m:r>
                </m:num>
                <m:den>
                  <m:r>
                    <w:rPr>
                      <w:rFonts w:ascii="Cambria Math" w:hAnsi="Cambria Math" w:cs="Arial"/>
                      <w:sz w:val="22"/>
                      <w:szCs w:val="22"/>
                    </w:rPr>
                    <m:t>kWh</m:t>
                  </m:r>
                </m:den>
              </m:f>
            </m:e>
          </m:d>
          <m:r>
            <w:rPr>
              <w:rFonts w:ascii="Cambria Math" w:hAnsi="Cambria Math" w:cs="Arial"/>
              <w:sz w:val="22"/>
              <w:szCs w:val="22"/>
            </w:rPr>
            <m:t>=</m:t>
          </m:r>
          <m:f>
            <m:fPr>
              <m:ctrlPr>
                <w:rPr>
                  <w:rFonts w:ascii="Cambria Math" w:hAnsi="Cambria Math" w:cs="Arial"/>
                  <w:i/>
                  <w:sz w:val="22"/>
                  <w:szCs w:val="22"/>
                </w:rPr>
              </m:ctrlPr>
            </m:fPr>
            <m:num>
              <m:r>
                <w:rPr>
                  <w:rFonts w:ascii="Cambria Math" w:hAnsi="Cambria Math" w:cs="Arial"/>
                  <w:sz w:val="22"/>
                  <w:szCs w:val="22"/>
                </w:rPr>
                <m:t>Total Fuel Cost (US$)</m:t>
              </m:r>
            </m:num>
            <m:den>
              <m:r>
                <w:rPr>
                  <w:rFonts w:ascii="Cambria Math" w:hAnsi="Cambria Math" w:cs="Arial"/>
                  <w:sz w:val="22"/>
                  <w:szCs w:val="22"/>
                </w:rPr>
                <m:t>Total Energy Sold (kWh)</m:t>
              </m:r>
            </m:den>
          </m:f>
        </m:oMath>
      </m:oMathPara>
    </w:p>
    <w:p w14:paraId="322E64FA" w14:textId="1E73F69B" w:rsidR="003B00D0" w:rsidRPr="00241317" w:rsidRDefault="003B00D0" w:rsidP="003B00D0">
      <w:pPr>
        <w:pStyle w:val="ListBullet"/>
        <w:numPr>
          <w:ilvl w:val="0"/>
          <w:numId w:val="0"/>
        </w:numPr>
        <w:ind w:firstLine="720"/>
        <w:rPr>
          <w:rFonts w:ascii="Arial" w:hAnsi="Arial" w:cs="Arial"/>
          <w:sz w:val="22"/>
          <w:szCs w:val="22"/>
        </w:rPr>
      </w:pPr>
      <m:oMathPara>
        <m:oMath>
          <m:r>
            <w:rPr>
              <w:rFonts w:ascii="Cambria Math" w:hAnsi="Cambria Math" w:cs="Arial"/>
              <w:sz w:val="22"/>
              <w:szCs w:val="22"/>
            </w:rPr>
            <m:t xml:space="preserve">TOC(US$)=Operating Costs from Geothermal </m:t>
          </m:r>
          <m:d>
            <m:dPr>
              <m:ctrlPr>
                <w:rPr>
                  <w:rFonts w:ascii="Cambria Math" w:hAnsi="Cambria Math" w:cs="Arial"/>
                  <w:i/>
                  <w:sz w:val="22"/>
                  <w:szCs w:val="22"/>
                </w:rPr>
              </m:ctrlPr>
            </m:dPr>
            <m:e>
              <m:f>
                <m:fPr>
                  <m:ctrlPr>
                    <w:rPr>
                      <w:rFonts w:ascii="Cambria Math" w:hAnsi="Cambria Math" w:cs="Arial"/>
                      <w:i/>
                      <w:sz w:val="22"/>
                      <w:szCs w:val="22"/>
                    </w:rPr>
                  </m:ctrlPr>
                </m:fPr>
                <m:num>
                  <m:r>
                    <w:rPr>
                      <w:rFonts w:ascii="Cambria Math" w:hAnsi="Cambria Math" w:cs="Arial"/>
                      <w:sz w:val="22"/>
                      <w:szCs w:val="22"/>
                    </w:rPr>
                    <m:t>US$</m:t>
                  </m:r>
                </m:num>
                <m:den>
                  <m:r>
                    <w:rPr>
                      <w:rFonts w:ascii="Cambria Math" w:hAnsi="Cambria Math" w:cs="Arial"/>
                      <w:sz w:val="22"/>
                      <w:szCs w:val="22"/>
                    </w:rPr>
                    <m:t>kWh</m:t>
                  </m:r>
                </m:den>
              </m:f>
            </m:e>
          </m:d>
          <m:r>
            <w:rPr>
              <w:rFonts w:ascii="Cambria Math" w:hAnsi="Cambria Math" w:cs="Arial"/>
              <w:sz w:val="22"/>
              <w:szCs w:val="22"/>
            </w:rPr>
            <m:t>×Generation from Geothermal (kWh)</m:t>
          </m:r>
        </m:oMath>
      </m:oMathPara>
    </w:p>
    <w:p w14:paraId="79C79ECC" w14:textId="7AA3C69B" w:rsidR="00D365D7" w:rsidRDefault="0064511C" w:rsidP="006E391E">
      <w:pPr>
        <w:pStyle w:val="ListBullet"/>
        <w:numPr>
          <w:ilvl w:val="0"/>
          <w:numId w:val="0"/>
        </w:numPr>
        <w:ind w:left="720"/>
        <w:rPr>
          <w:rFonts w:ascii="Arial" w:hAnsi="Arial" w:cs="Arial"/>
          <w:sz w:val="22"/>
          <w:szCs w:val="22"/>
        </w:rPr>
      </w:pPr>
      <w:r>
        <w:rPr>
          <w:rFonts w:ascii="Arial" w:hAnsi="Arial" w:cs="Arial"/>
          <w:sz w:val="22"/>
          <w:szCs w:val="22"/>
        </w:rPr>
        <w:t>Generation from Geothermal (kWh)</w:t>
      </w:r>
      <w:r w:rsidR="003F2BDB">
        <w:rPr>
          <w:rFonts w:ascii="Arial" w:hAnsi="Arial" w:cs="Arial"/>
          <w:sz w:val="22"/>
          <w:szCs w:val="22"/>
        </w:rPr>
        <w:t>, Total Energy Sold (kWh)</w:t>
      </w:r>
      <w:r w:rsidR="005F0CCE">
        <w:rPr>
          <w:rFonts w:ascii="Arial" w:hAnsi="Arial" w:cs="Arial"/>
          <w:sz w:val="22"/>
          <w:szCs w:val="22"/>
        </w:rPr>
        <w:t>,</w:t>
      </w:r>
      <w:r>
        <w:rPr>
          <w:rFonts w:ascii="Arial" w:hAnsi="Arial" w:cs="Arial"/>
          <w:sz w:val="22"/>
          <w:szCs w:val="22"/>
        </w:rPr>
        <w:t xml:space="preserve"> </w:t>
      </w:r>
      <w:r w:rsidR="00D365D7">
        <w:rPr>
          <w:rFonts w:ascii="Arial" w:hAnsi="Arial" w:cs="Arial"/>
          <w:sz w:val="22"/>
          <w:szCs w:val="22"/>
        </w:rPr>
        <w:t>and Operating Costs from Geothermal (US</w:t>
      </w:r>
      <w:r w:rsidR="003F2BDB">
        <w:rPr>
          <w:rFonts w:ascii="Arial" w:hAnsi="Arial" w:cs="Arial"/>
          <w:sz w:val="22"/>
          <w:szCs w:val="22"/>
        </w:rPr>
        <w:t xml:space="preserve">$/kWh) </w:t>
      </w:r>
      <w:r>
        <w:rPr>
          <w:rFonts w:ascii="Arial" w:hAnsi="Arial" w:cs="Arial"/>
          <w:sz w:val="22"/>
          <w:szCs w:val="22"/>
        </w:rPr>
        <w:t xml:space="preserve">will be reported by </w:t>
      </w:r>
      <w:r w:rsidR="00D365D7">
        <w:rPr>
          <w:rFonts w:ascii="Arial" w:hAnsi="Arial" w:cs="Arial"/>
          <w:sz w:val="22"/>
          <w:szCs w:val="22"/>
        </w:rPr>
        <w:t>the Geothermal power generation company</w:t>
      </w:r>
      <w:r w:rsidR="003F2BDB">
        <w:rPr>
          <w:rFonts w:ascii="Arial" w:hAnsi="Arial" w:cs="Arial"/>
          <w:sz w:val="22"/>
          <w:szCs w:val="22"/>
        </w:rPr>
        <w:t xml:space="preserve"> at the time of the ex-post CBA.</w:t>
      </w:r>
    </w:p>
    <w:p w14:paraId="67B373DB" w14:textId="7D6272CA" w:rsidR="00AB4B57" w:rsidRDefault="00860BD1" w:rsidP="006E391E">
      <w:pPr>
        <w:pStyle w:val="ListBullet"/>
        <w:numPr>
          <w:ilvl w:val="0"/>
          <w:numId w:val="0"/>
        </w:numPr>
        <w:ind w:left="720"/>
        <w:rPr>
          <w:rFonts w:ascii="Arial" w:hAnsi="Arial" w:cs="Arial"/>
          <w:sz w:val="22"/>
          <w:szCs w:val="22"/>
        </w:rPr>
      </w:pPr>
      <w:r>
        <w:rPr>
          <w:rFonts w:ascii="Arial" w:hAnsi="Arial" w:cs="Arial"/>
          <w:sz w:val="22"/>
          <w:szCs w:val="22"/>
        </w:rPr>
        <w:t xml:space="preserve">Total Fuel Cost (US$) will be estimated based on the </w:t>
      </w:r>
      <w:r w:rsidR="006E391E">
        <w:rPr>
          <w:rFonts w:ascii="Arial" w:hAnsi="Arial" w:cs="Arial"/>
          <w:sz w:val="22"/>
          <w:szCs w:val="22"/>
        </w:rPr>
        <w:t>Total Energy Sold (kWh)</w:t>
      </w:r>
      <w:r w:rsidR="004D5A40">
        <w:rPr>
          <w:rFonts w:ascii="Arial" w:hAnsi="Arial" w:cs="Arial"/>
          <w:sz w:val="22"/>
          <w:szCs w:val="22"/>
        </w:rPr>
        <w:t>,</w:t>
      </w:r>
      <w:r w:rsidR="006E391E">
        <w:rPr>
          <w:rFonts w:ascii="Arial" w:hAnsi="Arial" w:cs="Arial"/>
          <w:sz w:val="22"/>
          <w:szCs w:val="22"/>
        </w:rPr>
        <w:t xml:space="preserve"> </w:t>
      </w:r>
      <w:r w:rsidR="008F56D4">
        <w:rPr>
          <w:rFonts w:ascii="Arial" w:hAnsi="Arial" w:cs="Arial"/>
          <w:sz w:val="22"/>
          <w:szCs w:val="22"/>
        </w:rPr>
        <w:t xml:space="preserve">the </w:t>
      </w:r>
      <w:r w:rsidR="008F56D4" w:rsidRPr="00690D98">
        <w:rPr>
          <w:rFonts w:ascii="Arial" w:hAnsi="Arial" w:cs="Arial"/>
          <w:sz w:val="22"/>
          <w:szCs w:val="22"/>
        </w:rPr>
        <w:t xml:space="preserve">Amount of oil used per </w:t>
      </w:r>
      <w:r w:rsidR="00806E25">
        <w:rPr>
          <w:rFonts w:ascii="Arial" w:hAnsi="Arial" w:cs="Arial"/>
          <w:sz w:val="22"/>
          <w:szCs w:val="22"/>
        </w:rPr>
        <w:t>k</w:t>
      </w:r>
      <w:r w:rsidR="008F56D4" w:rsidRPr="00690D98">
        <w:rPr>
          <w:rFonts w:ascii="Arial" w:hAnsi="Arial" w:cs="Arial"/>
          <w:sz w:val="22"/>
          <w:szCs w:val="22"/>
        </w:rPr>
        <w:t>Wh of power generated (Barrels/</w:t>
      </w:r>
      <w:r w:rsidR="004D5A40">
        <w:rPr>
          <w:rFonts w:ascii="Arial" w:hAnsi="Arial" w:cs="Arial"/>
          <w:sz w:val="22"/>
          <w:szCs w:val="22"/>
        </w:rPr>
        <w:t>k</w:t>
      </w:r>
      <w:r w:rsidR="008F56D4" w:rsidRPr="00690D98">
        <w:rPr>
          <w:rFonts w:ascii="Arial" w:hAnsi="Arial" w:cs="Arial"/>
          <w:sz w:val="22"/>
          <w:szCs w:val="22"/>
        </w:rPr>
        <w:t>Wh)</w:t>
      </w:r>
      <w:r w:rsidR="005D2FFE" w:rsidRPr="00690D98">
        <w:rPr>
          <w:rFonts w:ascii="Arial" w:hAnsi="Arial" w:cs="Arial"/>
          <w:sz w:val="22"/>
          <w:szCs w:val="22"/>
        </w:rPr>
        <w:t xml:space="preserve"> assumption presented below</w:t>
      </w:r>
      <w:r w:rsidR="004D5A40">
        <w:rPr>
          <w:rFonts w:ascii="Arial" w:hAnsi="Arial" w:cs="Arial"/>
          <w:sz w:val="22"/>
          <w:szCs w:val="22"/>
        </w:rPr>
        <w:t>, and the price of oil</w:t>
      </w:r>
      <w:r w:rsidR="005D2FFE" w:rsidRPr="00690D98">
        <w:rPr>
          <w:rFonts w:ascii="Arial" w:hAnsi="Arial" w:cs="Arial"/>
          <w:sz w:val="22"/>
          <w:szCs w:val="22"/>
        </w:rPr>
        <w:t>.</w:t>
      </w:r>
      <w:r w:rsidR="00B632E5">
        <w:rPr>
          <w:rFonts w:ascii="Arial" w:hAnsi="Arial" w:cs="Arial"/>
          <w:sz w:val="22"/>
          <w:szCs w:val="22"/>
        </w:rPr>
        <w:t xml:space="preserve"> The price of oil </w:t>
      </w:r>
      <w:r w:rsidR="0072533D">
        <w:rPr>
          <w:rFonts w:ascii="Arial" w:hAnsi="Arial" w:cs="Arial"/>
          <w:sz w:val="22"/>
          <w:szCs w:val="22"/>
        </w:rPr>
        <w:t xml:space="preserve">projections used </w:t>
      </w:r>
      <w:r w:rsidR="00B632E5">
        <w:rPr>
          <w:rFonts w:ascii="Arial" w:hAnsi="Arial" w:cs="Arial"/>
          <w:sz w:val="22"/>
          <w:szCs w:val="22"/>
        </w:rPr>
        <w:t>will be the one</w:t>
      </w:r>
      <w:r w:rsidR="0072533D">
        <w:rPr>
          <w:rFonts w:ascii="Arial" w:hAnsi="Arial" w:cs="Arial"/>
          <w:sz w:val="22"/>
          <w:szCs w:val="22"/>
        </w:rPr>
        <w:t>s</w:t>
      </w:r>
      <w:r w:rsidR="00B632E5">
        <w:rPr>
          <w:rFonts w:ascii="Arial" w:hAnsi="Arial" w:cs="Arial"/>
          <w:sz w:val="22"/>
          <w:szCs w:val="22"/>
        </w:rPr>
        <w:t xml:space="preserve"> published by the </w:t>
      </w:r>
      <w:r w:rsidR="0072533D">
        <w:rPr>
          <w:rFonts w:ascii="Arial" w:hAnsi="Arial" w:cs="Arial"/>
          <w:sz w:val="22"/>
          <w:szCs w:val="22"/>
        </w:rPr>
        <w:t xml:space="preserve">U.S. Energy Information Administration at the time </w:t>
      </w:r>
      <w:r w:rsidR="00482D7D">
        <w:rPr>
          <w:rFonts w:ascii="Arial" w:hAnsi="Arial" w:cs="Arial"/>
          <w:sz w:val="22"/>
          <w:szCs w:val="22"/>
        </w:rPr>
        <w:t>when the Ex-Post CBA is conducted.</w:t>
      </w:r>
      <w:r w:rsidR="0072533D">
        <w:rPr>
          <w:rFonts w:ascii="Arial" w:hAnsi="Arial" w:cs="Arial"/>
          <w:sz w:val="22"/>
          <w:szCs w:val="22"/>
        </w:rPr>
        <w:t xml:space="preserve">  </w:t>
      </w:r>
    </w:p>
    <w:p w14:paraId="01FC3C22" w14:textId="73CB3655" w:rsidR="005F0CCE" w:rsidRPr="005F0CCE" w:rsidRDefault="005F0CCE" w:rsidP="006E391E">
      <w:pPr>
        <w:pStyle w:val="ListBullet"/>
        <w:numPr>
          <w:ilvl w:val="0"/>
          <w:numId w:val="0"/>
        </w:numPr>
        <w:ind w:left="720"/>
        <w:rPr>
          <w:rFonts w:ascii="Arial" w:hAnsi="Arial" w:cs="Arial"/>
          <w:sz w:val="22"/>
          <w:szCs w:val="22"/>
        </w:rPr>
      </w:pPr>
      <m:oMathPara>
        <m:oMath>
          <m:r>
            <w:rPr>
              <w:rFonts w:ascii="Cambria Math" w:hAnsi="Cambria Math" w:cs="Arial"/>
              <w:sz w:val="22"/>
              <w:szCs w:val="22"/>
            </w:rPr>
            <m:t xml:space="preserve">Total Fuel Cost </m:t>
          </m:r>
          <m:d>
            <m:dPr>
              <m:ctrlPr>
                <w:rPr>
                  <w:rFonts w:ascii="Cambria Math" w:hAnsi="Cambria Math" w:cs="Arial"/>
                  <w:i/>
                  <w:sz w:val="22"/>
                  <w:szCs w:val="22"/>
                </w:rPr>
              </m:ctrlPr>
            </m:dPr>
            <m:e>
              <m:r>
                <w:rPr>
                  <w:rFonts w:ascii="Cambria Math" w:hAnsi="Cambria Math" w:cs="Arial"/>
                  <w:sz w:val="22"/>
                  <w:szCs w:val="22"/>
                </w:rPr>
                <m:t>US$</m:t>
              </m:r>
            </m:e>
          </m:d>
          <m:r>
            <w:rPr>
              <w:rFonts w:ascii="Cambria Math" w:hAnsi="Cambria Math" w:cs="Arial"/>
              <w:sz w:val="22"/>
              <w:szCs w:val="22"/>
            </w:rPr>
            <m:t xml:space="preserve">=Price of Oil </m:t>
          </m:r>
          <m:d>
            <m:dPr>
              <m:ctrlPr>
                <w:rPr>
                  <w:rFonts w:ascii="Cambria Math" w:hAnsi="Cambria Math" w:cs="Arial"/>
                  <w:i/>
                  <w:sz w:val="22"/>
                  <w:szCs w:val="22"/>
                </w:rPr>
              </m:ctrlPr>
            </m:dPr>
            <m:e>
              <m:f>
                <m:fPr>
                  <m:ctrlPr>
                    <w:rPr>
                      <w:rFonts w:ascii="Cambria Math" w:hAnsi="Cambria Math" w:cs="Arial"/>
                      <w:i/>
                      <w:sz w:val="22"/>
                      <w:szCs w:val="22"/>
                    </w:rPr>
                  </m:ctrlPr>
                </m:fPr>
                <m:num>
                  <m:r>
                    <w:rPr>
                      <w:rFonts w:ascii="Cambria Math" w:hAnsi="Cambria Math" w:cs="Arial"/>
                      <w:sz w:val="22"/>
                      <w:szCs w:val="22"/>
                    </w:rPr>
                    <m:t>US$</m:t>
                  </m:r>
                </m:num>
                <m:den>
                  <m:r>
                    <w:rPr>
                      <w:rFonts w:ascii="Cambria Math" w:hAnsi="Cambria Math" w:cs="Arial"/>
                      <w:sz w:val="22"/>
                      <w:szCs w:val="22"/>
                    </w:rPr>
                    <m:t>Barrel</m:t>
                  </m:r>
                </m:den>
              </m:f>
            </m:e>
          </m:d>
          <m:r>
            <w:rPr>
              <w:rFonts w:ascii="Cambria Math" w:hAnsi="Cambria Math" w:cs="Arial"/>
              <w:sz w:val="22"/>
              <w:szCs w:val="22"/>
            </w:rPr>
            <m:t xml:space="preserve">* Total Energy Sold </m:t>
          </m:r>
          <m:d>
            <m:dPr>
              <m:ctrlPr>
                <w:rPr>
                  <w:rFonts w:ascii="Cambria Math" w:hAnsi="Cambria Math" w:cs="Arial"/>
                  <w:i/>
                  <w:sz w:val="22"/>
                  <w:szCs w:val="22"/>
                </w:rPr>
              </m:ctrlPr>
            </m:dPr>
            <m:e>
              <m:r>
                <w:rPr>
                  <w:rFonts w:ascii="Cambria Math" w:hAnsi="Cambria Math" w:cs="Arial"/>
                  <w:sz w:val="22"/>
                  <w:szCs w:val="22"/>
                </w:rPr>
                <m:t>kWh</m:t>
              </m:r>
            </m:e>
          </m:d>
          <m:r>
            <w:rPr>
              <w:rFonts w:ascii="Cambria Math" w:hAnsi="Cambria Math" w:cs="Arial"/>
              <w:sz w:val="22"/>
              <w:szCs w:val="22"/>
            </w:rPr>
            <m:t>*</m:t>
          </m:r>
          <m:r>
            <w:rPr>
              <w:rFonts w:ascii="Cambria Math" w:hAnsi="Cambria Math" w:cs="Arial"/>
              <w:sz w:val="20"/>
              <w:szCs w:val="20"/>
            </w:rPr>
            <m:t xml:space="preserve">Amount of oil used per MWh of power generated </m:t>
          </m:r>
          <m:d>
            <m:dPr>
              <m:ctrlPr>
                <w:rPr>
                  <w:rFonts w:ascii="Cambria Math" w:hAnsi="Cambria Math" w:cs="Arial"/>
                  <w:i/>
                  <w:sz w:val="20"/>
                  <w:szCs w:val="20"/>
                </w:rPr>
              </m:ctrlPr>
            </m:dPr>
            <m:e>
              <m:f>
                <m:fPr>
                  <m:ctrlPr>
                    <w:rPr>
                      <w:rFonts w:ascii="Cambria Math" w:hAnsi="Cambria Math" w:cs="Arial"/>
                      <w:i/>
                      <w:sz w:val="20"/>
                      <w:szCs w:val="20"/>
                    </w:rPr>
                  </m:ctrlPr>
                </m:fPr>
                <m:num>
                  <m:r>
                    <w:rPr>
                      <w:rFonts w:ascii="Cambria Math" w:hAnsi="Cambria Math" w:cs="Arial"/>
                      <w:sz w:val="20"/>
                      <w:szCs w:val="20"/>
                    </w:rPr>
                    <m:t>Barrels</m:t>
                  </m:r>
                </m:num>
                <m:den>
                  <m:r>
                    <w:rPr>
                      <w:rFonts w:ascii="Cambria Math" w:hAnsi="Cambria Math" w:cs="Arial"/>
                      <w:sz w:val="20"/>
                      <w:szCs w:val="20"/>
                    </w:rPr>
                    <m:t>kWh</m:t>
                  </m:r>
                </m:den>
              </m:f>
            </m:e>
          </m:d>
        </m:oMath>
      </m:oMathPara>
    </w:p>
    <w:p w14:paraId="78CBAC5A" w14:textId="77777777" w:rsidR="005F0CCE" w:rsidRDefault="005F0CCE" w:rsidP="006E391E">
      <w:pPr>
        <w:pStyle w:val="ListBullet"/>
        <w:numPr>
          <w:ilvl w:val="0"/>
          <w:numId w:val="0"/>
        </w:numPr>
        <w:ind w:left="720"/>
        <w:rPr>
          <w:rFonts w:ascii="Arial" w:hAnsi="Arial" w:cs="Arial"/>
          <w:sz w:val="22"/>
          <w:szCs w:val="22"/>
        </w:rPr>
      </w:pPr>
    </w:p>
    <w:tbl>
      <w:tblPr>
        <w:tblStyle w:val="TableGrid"/>
        <w:tblW w:w="0" w:type="auto"/>
        <w:tblLook w:val="04A0" w:firstRow="1" w:lastRow="0" w:firstColumn="1" w:lastColumn="0" w:noHBand="0" w:noVBand="1"/>
      </w:tblPr>
      <w:tblGrid>
        <w:gridCol w:w="2640"/>
        <w:gridCol w:w="1320"/>
        <w:gridCol w:w="780"/>
        <w:gridCol w:w="977"/>
        <w:gridCol w:w="977"/>
        <w:gridCol w:w="977"/>
        <w:gridCol w:w="977"/>
      </w:tblGrid>
      <w:tr w:rsidR="00AB4B57" w:rsidRPr="00E003E4" w14:paraId="75861115" w14:textId="77777777" w:rsidTr="00372613">
        <w:trPr>
          <w:trHeight w:val="372"/>
          <w:tblHeader/>
        </w:trPr>
        <w:tc>
          <w:tcPr>
            <w:tcW w:w="2640" w:type="dxa"/>
            <w:shd w:val="clear" w:color="auto" w:fill="BFBFBF" w:themeFill="background1" w:themeFillShade="BF"/>
          </w:tcPr>
          <w:p w14:paraId="2D180A4E" w14:textId="77777777" w:rsidR="00AB4B57" w:rsidRPr="00E003E4" w:rsidRDefault="00AB4B57" w:rsidP="00372613">
            <w:pPr>
              <w:pStyle w:val="TableText"/>
              <w:keepNext/>
              <w:rPr>
                <w:rFonts w:ascii="Arial" w:hAnsi="Arial" w:cs="Arial"/>
                <w:sz w:val="20"/>
                <w:szCs w:val="20"/>
              </w:rPr>
            </w:pPr>
            <w:r w:rsidRPr="00E003E4">
              <w:rPr>
                <w:rFonts w:ascii="Arial" w:hAnsi="Arial" w:cs="Arial"/>
                <w:b/>
                <w:sz w:val="20"/>
                <w:szCs w:val="20"/>
              </w:rPr>
              <w:t>Variable</w:t>
            </w:r>
          </w:p>
        </w:tc>
        <w:tc>
          <w:tcPr>
            <w:tcW w:w="1320" w:type="dxa"/>
            <w:shd w:val="clear" w:color="auto" w:fill="BFBFBF" w:themeFill="background1" w:themeFillShade="BF"/>
          </w:tcPr>
          <w:p w14:paraId="0E5020B7" w14:textId="77777777" w:rsidR="00AB4B57" w:rsidRPr="00E003E4" w:rsidRDefault="00AB4B57" w:rsidP="00372613">
            <w:pPr>
              <w:pStyle w:val="TableText"/>
              <w:keepNext/>
              <w:rPr>
                <w:rFonts w:ascii="Arial" w:hAnsi="Arial" w:cs="Arial"/>
                <w:sz w:val="20"/>
                <w:szCs w:val="20"/>
              </w:rPr>
            </w:pPr>
            <w:r w:rsidRPr="00E003E4">
              <w:rPr>
                <w:rFonts w:ascii="Arial" w:hAnsi="Arial" w:cs="Arial"/>
                <w:b/>
                <w:sz w:val="20"/>
                <w:szCs w:val="20"/>
              </w:rPr>
              <w:t>All Projects</w:t>
            </w:r>
          </w:p>
        </w:tc>
        <w:tc>
          <w:tcPr>
            <w:tcW w:w="780" w:type="dxa"/>
            <w:shd w:val="clear" w:color="auto" w:fill="BFBFBF" w:themeFill="background1" w:themeFillShade="BF"/>
          </w:tcPr>
          <w:p w14:paraId="3303BFCF" w14:textId="77777777" w:rsidR="00AB4B57" w:rsidRPr="00E003E4" w:rsidRDefault="00AB4B57" w:rsidP="00372613">
            <w:pPr>
              <w:pStyle w:val="TableText"/>
              <w:keepNext/>
              <w:rPr>
                <w:rFonts w:ascii="Arial" w:hAnsi="Arial" w:cs="Arial"/>
                <w:b/>
                <w:sz w:val="20"/>
                <w:szCs w:val="20"/>
              </w:rPr>
            </w:pPr>
            <w:r w:rsidRPr="00E003E4">
              <w:rPr>
                <w:rFonts w:ascii="Arial" w:hAnsi="Arial" w:cs="Arial"/>
                <w:b/>
                <w:sz w:val="20"/>
                <w:szCs w:val="20"/>
              </w:rPr>
              <w:t>DOM</w:t>
            </w:r>
          </w:p>
        </w:tc>
        <w:tc>
          <w:tcPr>
            <w:tcW w:w="977" w:type="dxa"/>
            <w:shd w:val="clear" w:color="auto" w:fill="BFBFBF" w:themeFill="background1" w:themeFillShade="BF"/>
          </w:tcPr>
          <w:p w14:paraId="31E22BF0" w14:textId="77777777" w:rsidR="00AB4B57" w:rsidRPr="00E003E4" w:rsidRDefault="00AB4B57" w:rsidP="00372613">
            <w:pPr>
              <w:pStyle w:val="TableText"/>
              <w:keepNext/>
              <w:rPr>
                <w:rFonts w:ascii="Arial" w:hAnsi="Arial" w:cs="Arial"/>
                <w:b/>
                <w:sz w:val="20"/>
                <w:szCs w:val="20"/>
              </w:rPr>
            </w:pPr>
            <w:r w:rsidRPr="00E003E4">
              <w:rPr>
                <w:rFonts w:ascii="Arial" w:hAnsi="Arial" w:cs="Arial"/>
                <w:b/>
                <w:sz w:val="20"/>
                <w:szCs w:val="20"/>
              </w:rPr>
              <w:t>GRE</w:t>
            </w:r>
          </w:p>
        </w:tc>
        <w:tc>
          <w:tcPr>
            <w:tcW w:w="977" w:type="dxa"/>
            <w:shd w:val="clear" w:color="auto" w:fill="BFBFBF" w:themeFill="background1" w:themeFillShade="BF"/>
          </w:tcPr>
          <w:p w14:paraId="4CBC5175" w14:textId="77777777" w:rsidR="00AB4B57" w:rsidRPr="00E003E4" w:rsidRDefault="00AB4B57" w:rsidP="00372613">
            <w:pPr>
              <w:pStyle w:val="TableText"/>
              <w:keepNext/>
              <w:rPr>
                <w:rFonts w:ascii="Arial" w:hAnsi="Arial" w:cs="Arial"/>
                <w:b/>
                <w:sz w:val="20"/>
                <w:szCs w:val="20"/>
              </w:rPr>
            </w:pPr>
            <w:r w:rsidRPr="00E003E4">
              <w:rPr>
                <w:rFonts w:ascii="Arial" w:hAnsi="Arial" w:cs="Arial"/>
                <w:b/>
                <w:sz w:val="20"/>
                <w:szCs w:val="20"/>
              </w:rPr>
              <w:t>Nevis</w:t>
            </w:r>
          </w:p>
        </w:tc>
        <w:tc>
          <w:tcPr>
            <w:tcW w:w="977" w:type="dxa"/>
            <w:shd w:val="clear" w:color="auto" w:fill="BFBFBF" w:themeFill="background1" w:themeFillShade="BF"/>
          </w:tcPr>
          <w:p w14:paraId="6F8DC2FA" w14:textId="77777777" w:rsidR="00AB4B57" w:rsidRPr="00E003E4" w:rsidRDefault="00AB4B57" w:rsidP="00372613">
            <w:pPr>
              <w:pStyle w:val="TableText"/>
              <w:keepNext/>
              <w:rPr>
                <w:rFonts w:ascii="Arial" w:hAnsi="Arial" w:cs="Arial"/>
                <w:b/>
                <w:sz w:val="20"/>
                <w:szCs w:val="20"/>
              </w:rPr>
            </w:pPr>
            <w:r w:rsidRPr="00E003E4">
              <w:rPr>
                <w:rFonts w:ascii="Arial" w:hAnsi="Arial" w:cs="Arial"/>
                <w:b/>
                <w:sz w:val="20"/>
                <w:szCs w:val="20"/>
              </w:rPr>
              <w:t>SL</w:t>
            </w:r>
          </w:p>
        </w:tc>
        <w:tc>
          <w:tcPr>
            <w:tcW w:w="977" w:type="dxa"/>
            <w:shd w:val="clear" w:color="auto" w:fill="BFBFBF" w:themeFill="background1" w:themeFillShade="BF"/>
          </w:tcPr>
          <w:p w14:paraId="2C7DE9FB" w14:textId="77777777" w:rsidR="00AB4B57" w:rsidRPr="00E003E4" w:rsidRDefault="00AB4B57" w:rsidP="00372613">
            <w:pPr>
              <w:pStyle w:val="TableText"/>
              <w:keepNext/>
              <w:rPr>
                <w:rFonts w:ascii="Arial" w:hAnsi="Arial" w:cs="Arial"/>
                <w:b/>
                <w:sz w:val="20"/>
                <w:szCs w:val="20"/>
              </w:rPr>
            </w:pPr>
            <w:r w:rsidRPr="00E003E4">
              <w:rPr>
                <w:rFonts w:ascii="Arial" w:hAnsi="Arial" w:cs="Arial"/>
                <w:b/>
                <w:sz w:val="20"/>
                <w:szCs w:val="20"/>
              </w:rPr>
              <w:t>SVG</w:t>
            </w:r>
          </w:p>
        </w:tc>
      </w:tr>
      <w:tr w:rsidR="00AB4B57" w:rsidRPr="00E003E4" w14:paraId="0DE6E31E" w14:textId="77777777" w:rsidTr="00372613">
        <w:trPr>
          <w:trHeight w:val="372"/>
        </w:trPr>
        <w:tc>
          <w:tcPr>
            <w:tcW w:w="2640" w:type="dxa"/>
          </w:tcPr>
          <w:p w14:paraId="306A377B" w14:textId="624D32E2" w:rsidR="00AB4B57" w:rsidRPr="00E003E4" w:rsidRDefault="00AB4B57" w:rsidP="00372613">
            <w:pPr>
              <w:pStyle w:val="TableText"/>
              <w:rPr>
                <w:rFonts w:ascii="Arial" w:hAnsi="Arial" w:cs="Arial"/>
                <w:sz w:val="20"/>
                <w:szCs w:val="20"/>
              </w:rPr>
            </w:pPr>
            <w:r>
              <w:rPr>
                <w:rFonts w:ascii="Arial" w:hAnsi="Arial" w:cs="Arial"/>
                <w:sz w:val="20"/>
                <w:szCs w:val="20"/>
              </w:rPr>
              <w:t>Amount of oil used per MWh of power generated (Barrels/</w:t>
            </w:r>
            <w:r w:rsidR="00806E25">
              <w:rPr>
                <w:rFonts w:ascii="Arial" w:hAnsi="Arial" w:cs="Arial"/>
                <w:sz w:val="20"/>
                <w:szCs w:val="20"/>
              </w:rPr>
              <w:t>k</w:t>
            </w:r>
            <w:r>
              <w:rPr>
                <w:rFonts w:ascii="Arial" w:hAnsi="Arial" w:cs="Arial"/>
                <w:sz w:val="20"/>
                <w:szCs w:val="20"/>
              </w:rPr>
              <w:t>Wh)</w:t>
            </w:r>
          </w:p>
        </w:tc>
        <w:tc>
          <w:tcPr>
            <w:tcW w:w="6008" w:type="dxa"/>
            <w:gridSpan w:val="6"/>
          </w:tcPr>
          <w:p w14:paraId="75DF2DA4" w14:textId="45B39006" w:rsidR="00AB4B57" w:rsidRPr="00E003E4" w:rsidRDefault="00087E9E" w:rsidP="00372613">
            <w:pPr>
              <w:pStyle w:val="TableText"/>
              <w:jc w:val="center"/>
              <w:rPr>
                <w:rFonts w:ascii="Arial" w:hAnsi="Arial" w:cs="Arial"/>
                <w:sz w:val="20"/>
                <w:szCs w:val="20"/>
              </w:rPr>
            </w:pPr>
            <w:r>
              <w:rPr>
                <w:rFonts w:ascii="Arial" w:hAnsi="Arial" w:cs="Arial"/>
                <w:sz w:val="20"/>
                <w:szCs w:val="20"/>
              </w:rPr>
              <w:t>0.00</w:t>
            </w:r>
            <w:r w:rsidR="00AB4B57">
              <w:rPr>
                <w:rFonts w:ascii="Arial" w:hAnsi="Arial" w:cs="Arial"/>
                <w:sz w:val="20"/>
                <w:szCs w:val="20"/>
              </w:rPr>
              <w:t>16</w:t>
            </w:r>
            <w:r>
              <w:rPr>
                <w:rFonts w:ascii="Arial" w:hAnsi="Arial" w:cs="Arial"/>
                <w:sz w:val="20"/>
                <w:szCs w:val="20"/>
              </w:rPr>
              <w:t>2</w:t>
            </w:r>
            <w:r w:rsidR="00AB4B57">
              <w:rPr>
                <w:rStyle w:val="FootnoteReference"/>
                <w:rFonts w:cs="Arial"/>
              </w:rPr>
              <w:footnoteReference w:id="12"/>
            </w:r>
          </w:p>
        </w:tc>
      </w:tr>
    </w:tbl>
    <w:p w14:paraId="0FEDB3D1" w14:textId="77777777" w:rsidR="00AB4B57" w:rsidRDefault="00AB4B57" w:rsidP="006E391E">
      <w:pPr>
        <w:pStyle w:val="ListBullet"/>
        <w:numPr>
          <w:ilvl w:val="0"/>
          <w:numId w:val="0"/>
        </w:numPr>
        <w:ind w:left="720"/>
        <w:rPr>
          <w:rFonts w:ascii="Arial" w:hAnsi="Arial" w:cs="Arial"/>
          <w:sz w:val="22"/>
          <w:szCs w:val="22"/>
        </w:rPr>
      </w:pPr>
    </w:p>
    <w:p w14:paraId="38E49D51" w14:textId="3BD61F4E" w:rsidR="003B00D0" w:rsidRDefault="003B00D0" w:rsidP="003B00D0">
      <w:pPr>
        <w:pStyle w:val="ListBullet"/>
        <w:numPr>
          <w:ilvl w:val="0"/>
          <w:numId w:val="1"/>
        </w:numPr>
        <w:rPr>
          <w:rFonts w:ascii="Arial" w:hAnsi="Arial" w:cs="Arial"/>
          <w:sz w:val="22"/>
          <w:szCs w:val="22"/>
        </w:rPr>
      </w:pPr>
      <w:r w:rsidRPr="00CF1BB7">
        <w:rPr>
          <w:rFonts w:ascii="Arial" w:hAnsi="Arial" w:cs="Arial"/>
          <w:b/>
          <w:sz w:val="22"/>
          <w:szCs w:val="22"/>
        </w:rPr>
        <w:t>Reduction in CO</w:t>
      </w:r>
      <w:r w:rsidRPr="00CF1BB7">
        <w:rPr>
          <w:rFonts w:ascii="Cambria Math" w:hAnsi="Cambria Math" w:cs="Cambria Math"/>
          <w:b/>
          <w:sz w:val="22"/>
          <w:szCs w:val="22"/>
        </w:rPr>
        <w:t>₂</w:t>
      </w:r>
      <w:r w:rsidRPr="00CF1BB7">
        <w:rPr>
          <w:rFonts w:ascii="Arial" w:hAnsi="Arial" w:cs="Arial"/>
          <w:b/>
          <w:sz w:val="22"/>
          <w:szCs w:val="22"/>
        </w:rPr>
        <w:t xml:space="preserve"> emissions</w:t>
      </w:r>
      <w:r w:rsidRPr="00CF1BB7">
        <w:rPr>
          <w:rFonts w:ascii="Arial" w:hAnsi="Arial" w:cs="Arial"/>
          <w:sz w:val="22"/>
          <w:szCs w:val="22"/>
        </w:rPr>
        <w:t>—the economic benefit of the re</w:t>
      </w:r>
      <w:r w:rsidRPr="00CF1BB7">
        <w:rPr>
          <w:rStyle w:val="BodyTextChar"/>
          <w:rFonts w:ascii="Arial" w:hAnsi="Arial" w:cs="Arial"/>
          <w:sz w:val="22"/>
          <w:szCs w:val="22"/>
        </w:rPr>
        <w:t>duction in CO</w:t>
      </w:r>
      <w:r w:rsidRPr="00CF1BB7">
        <w:rPr>
          <w:rStyle w:val="BodyTextChar"/>
          <w:rFonts w:ascii="Cambria Math" w:hAnsi="Cambria Math" w:cs="Cambria Math"/>
          <w:sz w:val="22"/>
          <w:szCs w:val="22"/>
        </w:rPr>
        <w:t>₂</w:t>
      </w:r>
      <w:r w:rsidRPr="00CF1BB7">
        <w:rPr>
          <w:rFonts w:ascii="Arial" w:hAnsi="Arial" w:cs="Arial"/>
          <w:sz w:val="22"/>
          <w:szCs w:val="22"/>
        </w:rPr>
        <w:t xml:space="preserve"> emissions</w:t>
      </w:r>
      <w:r w:rsidRPr="00CF1BB7">
        <w:rPr>
          <w:rFonts w:ascii="Arial" w:hAnsi="Arial" w:cs="Arial"/>
          <w:b/>
          <w:sz w:val="22"/>
          <w:szCs w:val="22"/>
        </w:rPr>
        <w:t xml:space="preserve"> </w:t>
      </w:r>
      <w:r w:rsidR="00F87B5D" w:rsidRPr="00690D98">
        <w:rPr>
          <w:rFonts w:ascii="Arial" w:hAnsi="Arial" w:cs="Arial"/>
          <w:sz w:val="22"/>
          <w:szCs w:val="22"/>
        </w:rPr>
        <w:t>will be calculated</w:t>
      </w:r>
      <w:r w:rsidR="00F87B5D">
        <w:rPr>
          <w:rFonts w:ascii="Arial" w:hAnsi="Arial" w:cs="Arial"/>
          <w:b/>
          <w:sz w:val="22"/>
          <w:szCs w:val="22"/>
        </w:rPr>
        <w:t xml:space="preserve"> </w:t>
      </w:r>
      <w:r w:rsidRPr="00CF1BB7">
        <w:rPr>
          <w:rFonts w:ascii="Arial" w:hAnsi="Arial" w:cs="Arial"/>
          <w:sz w:val="22"/>
          <w:szCs w:val="22"/>
        </w:rPr>
        <w:t>as the product of the expected reduction in CO</w:t>
      </w:r>
      <w:r w:rsidRPr="00CF1BB7">
        <w:rPr>
          <w:rFonts w:ascii="Cambria Math" w:hAnsi="Cambria Math" w:cs="Cambria Math"/>
          <w:sz w:val="22"/>
          <w:szCs w:val="22"/>
        </w:rPr>
        <w:t>₂</w:t>
      </w:r>
      <w:r w:rsidRPr="00CF1BB7">
        <w:rPr>
          <w:rFonts w:ascii="Arial" w:hAnsi="Arial" w:cs="Arial"/>
          <w:sz w:val="22"/>
          <w:szCs w:val="22"/>
        </w:rPr>
        <w:t xml:space="preserve"> emissions and the social cost of CO</w:t>
      </w:r>
      <w:r w:rsidRPr="00CF1BB7">
        <w:rPr>
          <w:rFonts w:ascii="Cambria Math" w:hAnsi="Cambria Math" w:cs="Cambria Math"/>
          <w:sz w:val="22"/>
          <w:szCs w:val="22"/>
        </w:rPr>
        <w:t>₂</w:t>
      </w:r>
      <w:r w:rsidRPr="00CF1BB7">
        <w:rPr>
          <w:rFonts w:ascii="Arial" w:hAnsi="Arial" w:cs="Arial"/>
          <w:sz w:val="22"/>
          <w:szCs w:val="22"/>
        </w:rPr>
        <w:t xml:space="preserve"> emissions. The expected reduction in CO</w:t>
      </w:r>
      <w:r w:rsidRPr="00CF1BB7">
        <w:rPr>
          <w:rFonts w:ascii="Cambria Math" w:hAnsi="Cambria Math" w:cs="Cambria Math"/>
          <w:sz w:val="22"/>
          <w:szCs w:val="22"/>
        </w:rPr>
        <w:t>₂</w:t>
      </w:r>
      <w:r w:rsidRPr="00CF1BB7">
        <w:rPr>
          <w:rFonts w:ascii="Arial" w:hAnsi="Arial" w:cs="Arial"/>
          <w:sz w:val="22"/>
          <w:szCs w:val="22"/>
        </w:rPr>
        <w:t xml:space="preserve"> emissions is the product of the CO</w:t>
      </w:r>
      <w:r w:rsidRPr="00CF1BB7">
        <w:rPr>
          <w:rFonts w:ascii="Cambria Math" w:hAnsi="Cambria Math" w:cs="Cambria Math"/>
          <w:sz w:val="22"/>
          <w:szCs w:val="22"/>
        </w:rPr>
        <w:t>₂</w:t>
      </w:r>
      <w:r w:rsidRPr="00CF1BB7">
        <w:rPr>
          <w:rFonts w:ascii="Arial" w:hAnsi="Arial" w:cs="Arial"/>
          <w:sz w:val="22"/>
          <w:szCs w:val="22"/>
        </w:rPr>
        <w:t xml:space="preserve"> emissions per unit of electricity produced from fuel oil and the units of electricity produced from geothermal generation.</w:t>
      </w:r>
      <w:r w:rsidR="001B3DB6">
        <w:rPr>
          <w:rFonts w:ascii="Arial" w:hAnsi="Arial" w:cs="Arial"/>
          <w:sz w:val="22"/>
          <w:szCs w:val="22"/>
        </w:rPr>
        <w:t xml:space="preserve"> The same assumptions </w:t>
      </w:r>
      <w:r w:rsidR="00D46A2B">
        <w:rPr>
          <w:rFonts w:ascii="Arial" w:hAnsi="Arial" w:cs="Arial"/>
          <w:sz w:val="22"/>
          <w:szCs w:val="22"/>
        </w:rPr>
        <w:t xml:space="preserve">used for </w:t>
      </w:r>
      <w:r w:rsidR="001B3DB6">
        <w:rPr>
          <w:rFonts w:ascii="Arial" w:hAnsi="Arial" w:cs="Arial"/>
          <w:sz w:val="22"/>
          <w:szCs w:val="22"/>
        </w:rPr>
        <w:t xml:space="preserve">these two inputs </w:t>
      </w:r>
      <w:r w:rsidR="00D46A2B">
        <w:rPr>
          <w:rFonts w:ascii="Arial" w:hAnsi="Arial" w:cs="Arial"/>
          <w:sz w:val="22"/>
          <w:szCs w:val="22"/>
        </w:rPr>
        <w:t>in the Ex-ante CBA will be used in the Ex-post CBA and are presented below.</w:t>
      </w:r>
    </w:p>
    <w:tbl>
      <w:tblPr>
        <w:tblStyle w:val="TableGrid"/>
        <w:tblW w:w="0" w:type="auto"/>
        <w:tblLook w:val="04A0" w:firstRow="1" w:lastRow="0" w:firstColumn="1" w:lastColumn="0" w:noHBand="0" w:noVBand="1"/>
      </w:tblPr>
      <w:tblGrid>
        <w:gridCol w:w="2640"/>
        <w:gridCol w:w="1320"/>
        <w:gridCol w:w="780"/>
        <w:gridCol w:w="977"/>
        <w:gridCol w:w="977"/>
        <w:gridCol w:w="977"/>
        <w:gridCol w:w="977"/>
      </w:tblGrid>
      <w:tr w:rsidR="001B3DB6" w:rsidRPr="00E003E4" w14:paraId="4993E31D" w14:textId="77777777" w:rsidTr="00372613">
        <w:trPr>
          <w:trHeight w:val="372"/>
          <w:tblHeader/>
        </w:trPr>
        <w:tc>
          <w:tcPr>
            <w:tcW w:w="2640" w:type="dxa"/>
            <w:shd w:val="clear" w:color="auto" w:fill="BFBFBF" w:themeFill="background1" w:themeFillShade="BF"/>
          </w:tcPr>
          <w:p w14:paraId="7FCB4E96" w14:textId="77777777" w:rsidR="001B3DB6" w:rsidRPr="00E003E4" w:rsidRDefault="001B3DB6" w:rsidP="00372613">
            <w:pPr>
              <w:pStyle w:val="TableText"/>
              <w:keepNext/>
              <w:rPr>
                <w:rFonts w:ascii="Arial" w:hAnsi="Arial" w:cs="Arial"/>
                <w:sz w:val="20"/>
                <w:szCs w:val="20"/>
              </w:rPr>
            </w:pPr>
            <w:r w:rsidRPr="00E003E4">
              <w:rPr>
                <w:rFonts w:ascii="Arial" w:hAnsi="Arial" w:cs="Arial"/>
                <w:b/>
                <w:sz w:val="20"/>
                <w:szCs w:val="20"/>
              </w:rPr>
              <w:t>Variable</w:t>
            </w:r>
          </w:p>
        </w:tc>
        <w:tc>
          <w:tcPr>
            <w:tcW w:w="1320" w:type="dxa"/>
            <w:shd w:val="clear" w:color="auto" w:fill="BFBFBF" w:themeFill="background1" w:themeFillShade="BF"/>
          </w:tcPr>
          <w:p w14:paraId="3592DD0F" w14:textId="77777777" w:rsidR="001B3DB6" w:rsidRPr="00E003E4" w:rsidRDefault="001B3DB6" w:rsidP="00372613">
            <w:pPr>
              <w:pStyle w:val="TableText"/>
              <w:keepNext/>
              <w:rPr>
                <w:rFonts w:ascii="Arial" w:hAnsi="Arial" w:cs="Arial"/>
                <w:sz w:val="20"/>
                <w:szCs w:val="20"/>
              </w:rPr>
            </w:pPr>
            <w:r w:rsidRPr="00E003E4">
              <w:rPr>
                <w:rFonts w:ascii="Arial" w:hAnsi="Arial" w:cs="Arial"/>
                <w:b/>
                <w:sz w:val="20"/>
                <w:szCs w:val="20"/>
              </w:rPr>
              <w:t>All Projects</w:t>
            </w:r>
          </w:p>
        </w:tc>
        <w:tc>
          <w:tcPr>
            <w:tcW w:w="780" w:type="dxa"/>
            <w:shd w:val="clear" w:color="auto" w:fill="BFBFBF" w:themeFill="background1" w:themeFillShade="BF"/>
          </w:tcPr>
          <w:p w14:paraId="5E3758FF" w14:textId="77777777" w:rsidR="001B3DB6" w:rsidRPr="00E003E4" w:rsidRDefault="001B3DB6" w:rsidP="00372613">
            <w:pPr>
              <w:pStyle w:val="TableText"/>
              <w:keepNext/>
              <w:rPr>
                <w:rFonts w:ascii="Arial" w:hAnsi="Arial" w:cs="Arial"/>
                <w:b/>
                <w:sz w:val="20"/>
                <w:szCs w:val="20"/>
              </w:rPr>
            </w:pPr>
            <w:r w:rsidRPr="00E003E4">
              <w:rPr>
                <w:rFonts w:ascii="Arial" w:hAnsi="Arial" w:cs="Arial"/>
                <w:b/>
                <w:sz w:val="20"/>
                <w:szCs w:val="20"/>
              </w:rPr>
              <w:t>DOM</w:t>
            </w:r>
          </w:p>
        </w:tc>
        <w:tc>
          <w:tcPr>
            <w:tcW w:w="977" w:type="dxa"/>
            <w:shd w:val="clear" w:color="auto" w:fill="BFBFBF" w:themeFill="background1" w:themeFillShade="BF"/>
          </w:tcPr>
          <w:p w14:paraId="0C5E1298" w14:textId="77777777" w:rsidR="001B3DB6" w:rsidRPr="00E003E4" w:rsidRDefault="001B3DB6" w:rsidP="00372613">
            <w:pPr>
              <w:pStyle w:val="TableText"/>
              <w:keepNext/>
              <w:rPr>
                <w:rFonts w:ascii="Arial" w:hAnsi="Arial" w:cs="Arial"/>
                <w:b/>
                <w:sz w:val="20"/>
                <w:szCs w:val="20"/>
              </w:rPr>
            </w:pPr>
            <w:r w:rsidRPr="00E003E4">
              <w:rPr>
                <w:rFonts w:ascii="Arial" w:hAnsi="Arial" w:cs="Arial"/>
                <w:b/>
                <w:sz w:val="20"/>
                <w:szCs w:val="20"/>
              </w:rPr>
              <w:t>GRE</w:t>
            </w:r>
          </w:p>
        </w:tc>
        <w:tc>
          <w:tcPr>
            <w:tcW w:w="977" w:type="dxa"/>
            <w:shd w:val="clear" w:color="auto" w:fill="BFBFBF" w:themeFill="background1" w:themeFillShade="BF"/>
          </w:tcPr>
          <w:p w14:paraId="0FFC1089" w14:textId="77777777" w:rsidR="001B3DB6" w:rsidRPr="00E003E4" w:rsidRDefault="001B3DB6" w:rsidP="00372613">
            <w:pPr>
              <w:pStyle w:val="TableText"/>
              <w:keepNext/>
              <w:rPr>
                <w:rFonts w:ascii="Arial" w:hAnsi="Arial" w:cs="Arial"/>
                <w:b/>
                <w:sz w:val="20"/>
                <w:szCs w:val="20"/>
              </w:rPr>
            </w:pPr>
            <w:r w:rsidRPr="00E003E4">
              <w:rPr>
                <w:rFonts w:ascii="Arial" w:hAnsi="Arial" w:cs="Arial"/>
                <w:b/>
                <w:sz w:val="20"/>
                <w:szCs w:val="20"/>
              </w:rPr>
              <w:t>Nevis</w:t>
            </w:r>
          </w:p>
        </w:tc>
        <w:tc>
          <w:tcPr>
            <w:tcW w:w="977" w:type="dxa"/>
            <w:shd w:val="clear" w:color="auto" w:fill="BFBFBF" w:themeFill="background1" w:themeFillShade="BF"/>
          </w:tcPr>
          <w:p w14:paraId="54131DE7" w14:textId="77777777" w:rsidR="001B3DB6" w:rsidRPr="00E003E4" w:rsidRDefault="001B3DB6" w:rsidP="00372613">
            <w:pPr>
              <w:pStyle w:val="TableText"/>
              <w:keepNext/>
              <w:rPr>
                <w:rFonts w:ascii="Arial" w:hAnsi="Arial" w:cs="Arial"/>
                <w:b/>
                <w:sz w:val="20"/>
                <w:szCs w:val="20"/>
              </w:rPr>
            </w:pPr>
            <w:r w:rsidRPr="00E003E4">
              <w:rPr>
                <w:rFonts w:ascii="Arial" w:hAnsi="Arial" w:cs="Arial"/>
                <w:b/>
                <w:sz w:val="20"/>
                <w:szCs w:val="20"/>
              </w:rPr>
              <w:t>SL</w:t>
            </w:r>
          </w:p>
        </w:tc>
        <w:tc>
          <w:tcPr>
            <w:tcW w:w="977" w:type="dxa"/>
            <w:shd w:val="clear" w:color="auto" w:fill="BFBFBF" w:themeFill="background1" w:themeFillShade="BF"/>
          </w:tcPr>
          <w:p w14:paraId="7C6F015A" w14:textId="77777777" w:rsidR="001B3DB6" w:rsidRPr="00E003E4" w:rsidRDefault="001B3DB6" w:rsidP="00372613">
            <w:pPr>
              <w:pStyle w:val="TableText"/>
              <w:keepNext/>
              <w:rPr>
                <w:rFonts w:ascii="Arial" w:hAnsi="Arial" w:cs="Arial"/>
                <w:b/>
                <w:sz w:val="20"/>
                <w:szCs w:val="20"/>
              </w:rPr>
            </w:pPr>
            <w:r w:rsidRPr="00E003E4">
              <w:rPr>
                <w:rFonts w:ascii="Arial" w:hAnsi="Arial" w:cs="Arial"/>
                <w:b/>
                <w:sz w:val="20"/>
                <w:szCs w:val="20"/>
              </w:rPr>
              <w:t>SVG</w:t>
            </w:r>
          </w:p>
        </w:tc>
      </w:tr>
      <w:tr w:rsidR="001B3DB6" w:rsidRPr="00E003E4" w14:paraId="0393F7D3" w14:textId="77777777" w:rsidTr="00372613">
        <w:trPr>
          <w:trHeight w:val="372"/>
        </w:trPr>
        <w:tc>
          <w:tcPr>
            <w:tcW w:w="2640" w:type="dxa"/>
          </w:tcPr>
          <w:p w14:paraId="2A5D0770" w14:textId="77777777" w:rsidR="001B3DB6" w:rsidRPr="00E003E4" w:rsidRDefault="001B3DB6" w:rsidP="00372613">
            <w:pPr>
              <w:pStyle w:val="TableText"/>
              <w:rPr>
                <w:rFonts w:ascii="Arial" w:hAnsi="Arial" w:cs="Arial"/>
                <w:sz w:val="20"/>
                <w:szCs w:val="20"/>
              </w:rPr>
            </w:pPr>
            <w:r w:rsidRPr="00E003E4">
              <w:rPr>
                <w:rFonts w:ascii="Arial" w:hAnsi="Arial" w:cs="Arial"/>
                <w:sz w:val="20"/>
                <w:szCs w:val="20"/>
              </w:rPr>
              <w:t>Social Cost of one ton of CO</w:t>
            </w:r>
            <w:r w:rsidRPr="00E003E4">
              <w:rPr>
                <w:rFonts w:ascii="Cambria Math" w:hAnsi="Cambria Math" w:cs="Cambria Math"/>
                <w:sz w:val="20"/>
                <w:szCs w:val="20"/>
              </w:rPr>
              <w:t>₂</w:t>
            </w:r>
            <w:r w:rsidRPr="00E003E4">
              <w:rPr>
                <w:rFonts w:ascii="Arial" w:hAnsi="Arial" w:cs="Arial"/>
                <w:sz w:val="20"/>
                <w:szCs w:val="20"/>
              </w:rPr>
              <w:t xml:space="preserve"> emissions (US$/</w:t>
            </w:r>
            <w:proofErr w:type="spellStart"/>
            <w:r w:rsidRPr="00E003E4">
              <w:rPr>
                <w:rFonts w:ascii="Arial" w:hAnsi="Arial" w:cs="Arial"/>
                <w:sz w:val="20"/>
                <w:szCs w:val="20"/>
              </w:rPr>
              <w:t>tCO</w:t>
            </w:r>
            <w:proofErr w:type="spellEnd"/>
            <w:r w:rsidRPr="00E003E4">
              <w:rPr>
                <w:rFonts w:ascii="Cambria Math" w:hAnsi="Cambria Math" w:cs="Cambria Math"/>
                <w:sz w:val="20"/>
                <w:szCs w:val="20"/>
              </w:rPr>
              <w:t>₂</w:t>
            </w:r>
            <w:r w:rsidRPr="00E003E4">
              <w:rPr>
                <w:rFonts w:ascii="Arial" w:hAnsi="Arial" w:cs="Arial"/>
                <w:sz w:val="20"/>
                <w:szCs w:val="20"/>
              </w:rPr>
              <w:t xml:space="preserve">) </w:t>
            </w:r>
          </w:p>
        </w:tc>
        <w:tc>
          <w:tcPr>
            <w:tcW w:w="6008" w:type="dxa"/>
            <w:gridSpan w:val="6"/>
          </w:tcPr>
          <w:p w14:paraId="4DF32309" w14:textId="77777777" w:rsidR="001B3DB6" w:rsidRPr="00E003E4" w:rsidRDefault="001B3DB6" w:rsidP="00372613">
            <w:pPr>
              <w:pStyle w:val="TableText"/>
              <w:jc w:val="center"/>
              <w:rPr>
                <w:rFonts w:ascii="Arial" w:hAnsi="Arial" w:cs="Arial"/>
                <w:sz w:val="20"/>
                <w:szCs w:val="20"/>
              </w:rPr>
            </w:pPr>
            <w:r w:rsidRPr="00E003E4">
              <w:rPr>
                <w:rFonts w:ascii="Arial" w:hAnsi="Arial" w:cs="Arial"/>
                <w:sz w:val="20"/>
                <w:szCs w:val="20"/>
              </w:rPr>
              <w:t>10</w:t>
            </w:r>
            <w:r w:rsidRPr="00E003E4">
              <w:rPr>
                <w:rStyle w:val="FootnoteReference"/>
                <w:rFonts w:ascii="Arial" w:hAnsi="Arial" w:cs="Arial"/>
                <w:sz w:val="20"/>
                <w:szCs w:val="20"/>
              </w:rPr>
              <w:footnoteReference w:id="13"/>
            </w:r>
          </w:p>
        </w:tc>
      </w:tr>
      <w:tr w:rsidR="001B3DB6" w:rsidRPr="00E003E4" w14:paraId="17980342" w14:textId="77777777" w:rsidTr="00372613">
        <w:trPr>
          <w:trHeight w:val="372"/>
        </w:trPr>
        <w:tc>
          <w:tcPr>
            <w:tcW w:w="2640" w:type="dxa"/>
          </w:tcPr>
          <w:p w14:paraId="5E970E2D" w14:textId="77777777" w:rsidR="001B3DB6" w:rsidRPr="00E003E4" w:rsidRDefault="001B3DB6" w:rsidP="00372613">
            <w:pPr>
              <w:pStyle w:val="TableText"/>
              <w:rPr>
                <w:rFonts w:ascii="Arial" w:hAnsi="Arial" w:cs="Arial"/>
                <w:sz w:val="20"/>
                <w:szCs w:val="20"/>
              </w:rPr>
            </w:pPr>
            <w:r w:rsidRPr="00E003E4">
              <w:rPr>
                <w:rFonts w:ascii="Arial" w:hAnsi="Arial" w:cs="Arial"/>
                <w:sz w:val="20"/>
                <w:szCs w:val="20"/>
              </w:rPr>
              <w:t>Pounds of CO</w:t>
            </w:r>
            <w:r w:rsidRPr="00E003E4">
              <w:rPr>
                <w:rFonts w:ascii="Cambria Math" w:hAnsi="Cambria Math" w:cs="Cambria Math"/>
                <w:sz w:val="20"/>
                <w:szCs w:val="20"/>
              </w:rPr>
              <w:t>₂</w:t>
            </w:r>
            <w:r w:rsidRPr="00E003E4">
              <w:rPr>
                <w:rFonts w:ascii="Arial" w:hAnsi="Arial" w:cs="Arial"/>
                <w:sz w:val="20"/>
                <w:szCs w:val="20"/>
              </w:rPr>
              <w:t xml:space="preserve"> emissions per kWh of electricity produced from fuel oil (No.2) (</w:t>
            </w:r>
            <w:proofErr w:type="spellStart"/>
            <w:r w:rsidRPr="00E003E4">
              <w:rPr>
                <w:rFonts w:ascii="Arial" w:hAnsi="Arial" w:cs="Arial"/>
                <w:sz w:val="20"/>
                <w:szCs w:val="20"/>
              </w:rPr>
              <w:t>tCO</w:t>
            </w:r>
            <w:proofErr w:type="spellEnd"/>
            <w:r w:rsidRPr="00E003E4">
              <w:rPr>
                <w:rFonts w:ascii="Cambria Math" w:hAnsi="Cambria Math" w:cs="Cambria Math"/>
                <w:sz w:val="20"/>
                <w:szCs w:val="20"/>
              </w:rPr>
              <w:t>₂</w:t>
            </w:r>
            <w:r w:rsidRPr="00E003E4">
              <w:rPr>
                <w:rFonts w:ascii="Arial" w:hAnsi="Arial" w:cs="Arial"/>
                <w:sz w:val="20"/>
                <w:szCs w:val="20"/>
              </w:rPr>
              <w:t>/MWh)</w:t>
            </w:r>
          </w:p>
        </w:tc>
        <w:tc>
          <w:tcPr>
            <w:tcW w:w="6008" w:type="dxa"/>
            <w:gridSpan w:val="6"/>
          </w:tcPr>
          <w:p w14:paraId="6407BAD9" w14:textId="77777777" w:rsidR="001B3DB6" w:rsidRPr="00E003E4" w:rsidRDefault="001B3DB6" w:rsidP="00372613">
            <w:pPr>
              <w:pStyle w:val="TableText"/>
              <w:jc w:val="center"/>
              <w:rPr>
                <w:rFonts w:ascii="Arial" w:hAnsi="Arial" w:cs="Arial"/>
                <w:sz w:val="20"/>
                <w:szCs w:val="20"/>
              </w:rPr>
            </w:pPr>
            <w:r w:rsidRPr="00E003E4">
              <w:rPr>
                <w:rFonts w:ascii="Arial" w:hAnsi="Arial" w:cs="Arial"/>
                <w:sz w:val="20"/>
                <w:szCs w:val="20"/>
              </w:rPr>
              <w:t>0.76</w:t>
            </w:r>
            <w:r w:rsidRPr="00E003E4">
              <w:rPr>
                <w:rStyle w:val="FootnoteReference"/>
                <w:rFonts w:ascii="Arial" w:hAnsi="Arial" w:cs="Arial"/>
                <w:sz w:val="20"/>
                <w:szCs w:val="20"/>
              </w:rPr>
              <w:footnoteReference w:id="14"/>
            </w:r>
          </w:p>
        </w:tc>
      </w:tr>
    </w:tbl>
    <w:p w14:paraId="54B35B88" w14:textId="77777777" w:rsidR="001B3DB6" w:rsidRPr="00CF1BB7" w:rsidRDefault="001B3DB6" w:rsidP="00690D98">
      <w:pPr>
        <w:pStyle w:val="ListBullet"/>
        <w:numPr>
          <w:ilvl w:val="0"/>
          <w:numId w:val="0"/>
        </w:numPr>
        <w:rPr>
          <w:rFonts w:ascii="Arial" w:hAnsi="Arial" w:cs="Arial"/>
          <w:sz w:val="22"/>
          <w:szCs w:val="22"/>
        </w:rPr>
      </w:pPr>
    </w:p>
    <w:p w14:paraId="357405BE" w14:textId="1C601068" w:rsidR="003B00D0" w:rsidRPr="00CF1BB7" w:rsidRDefault="003B00D0" w:rsidP="003B00D0">
      <w:pPr>
        <w:pStyle w:val="Heading3"/>
        <w:rPr>
          <w:rFonts w:ascii="Arial" w:hAnsi="Arial"/>
          <w:sz w:val="22"/>
          <w:szCs w:val="22"/>
        </w:rPr>
      </w:pPr>
      <w:bookmarkStart w:id="72" w:name="_Toc423341358"/>
      <w:bookmarkStart w:id="73" w:name="_Ref423355941"/>
      <w:bookmarkStart w:id="74" w:name="_Toc423457928"/>
      <w:bookmarkStart w:id="75" w:name="_Ref473021675"/>
      <w:bookmarkStart w:id="76" w:name="_Toc494122617"/>
      <w:bookmarkStart w:id="77" w:name="_Toc531018672"/>
      <w:r w:rsidRPr="00CF1BB7">
        <w:rPr>
          <w:rFonts w:ascii="Arial" w:hAnsi="Arial"/>
          <w:sz w:val="22"/>
          <w:szCs w:val="22"/>
        </w:rPr>
        <w:t>Net Economic Benefits of Geothermal Projects</w:t>
      </w:r>
      <w:bookmarkEnd w:id="72"/>
      <w:bookmarkEnd w:id="73"/>
      <w:bookmarkEnd w:id="74"/>
      <w:bookmarkEnd w:id="75"/>
      <w:bookmarkEnd w:id="76"/>
      <w:bookmarkEnd w:id="77"/>
    </w:p>
    <w:p w14:paraId="3F0D1148" w14:textId="6CB6FE1B" w:rsidR="003B00D0" w:rsidRPr="00CF1BB7" w:rsidRDefault="003B00D0" w:rsidP="003B00D0">
      <w:pPr>
        <w:pStyle w:val="ListBullet"/>
        <w:numPr>
          <w:ilvl w:val="0"/>
          <w:numId w:val="0"/>
        </w:numPr>
        <w:rPr>
          <w:rFonts w:ascii="Arial" w:hAnsi="Arial" w:cs="Arial"/>
          <w:sz w:val="22"/>
          <w:szCs w:val="22"/>
        </w:rPr>
      </w:pPr>
      <w:r w:rsidRPr="00CF1BB7">
        <w:rPr>
          <w:rFonts w:ascii="Arial" w:hAnsi="Arial" w:cs="Arial"/>
          <w:sz w:val="22"/>
          <w:szCs w:val="22"/>
        </w:rPr>
        <w:t>After estimat</w:t>
      </w:r>
      <w:r w:rsidR="003326BF">
        <w:rPr>
          <w:rFonts w:ascii="Arial" w:hAnsi="Arial" w:cs="Arial"/>
          <w:sz w:val="22"/>
          <w:szCs w:val="22"/>
        </w:rPr>
        <w:t>ing</w:t>
      </w:r>
      <w:r w:rsidRPr="00CF1BB7">
        <w:rPr>
          <w:rFonts w:ascii="Arial" w:hAnsi="Arial" w:cs="Arial"/>
          <w:sz w:val="22"/>
          <w:szCs w:val="22"/>
        </w:rPr>
        <w:t xml:space="preserve"> the project’s economic costs and benefits, the next step </w:t>
      </w:r>
      <w:r w:rsidR="003326BF">
        <w:rPr>
          <w:rFonts w:ascii="Arial" w:hAnsi="Arial" w:cs="Arial"/>
          <w:sz w:val="22"/>
          <w:szCs w:val="22"/>
        </w:rPr>
        <w:t>will be</w:t>
      </w:r>
      <w:r w:rsidRPr="00CF1BB7">
        <w:rPr>
          <w:rFonts w:ascii="Arial" w:hAnsi="Arial" w:cs="Arial"/>
          <w:sz w:val="22"/>
          <w:szCs w:val="22"/>
        </w:rPr>
        <w:t xml:space="preserve"> to calculate the PV of the project’s net benefits. To do so, </w:t>
      </w:r>
      <w:r w:rsidR="00C16A51">
        <w:rPr>
          <w:rFonts w:ascii="Arial" w:hAnsi="Arial" w:cs="Arial"/>
          <w:sz w:val="22"/>
          <w:szCs w:val="22"/>
        </w:rPr>
        <w:t>the analyst will</w:t>
      </w:r>
      <w:r w:rsidRPr="00CF1BB7">
        <w:rPr>
          <w:rFonts w:ascii="Arial" w:hAnsi="Arial" w:cs="Arial"/>
          <w:sz w:val="22"/>
          <w:szCs w:val="22"/>
        </w:rPr>
        <w:t xml:space="preserve"> subtract the PV of the project’s costs from the PV of the project’s benefits. To determine the PV of the projects costs and benefits, a social discount rate of 12 percent (in real terms)</w:t>
      </w:r>
      <w:r w:rsidR="00C16A51">
        <w:rPr>
          <w:rFonts w:ascii="Arial" w:hAnsi="Arial" w:cs="Arial"/>
          <w:sz w:val="22"/>
          <w:szCs w:val="22"/>
        </w:rPr>
        <w:t xml:space="preserve"> shall be used</w:t>
      </w:r>
      <w:r w:rsidRPr="00CF1BB7">
        <w:rPr>
          <w:rFonts w:ascii="Arial" w:hAnsi="Arial" w:cs="Arial"/>
          <w:sz w:val="22"/>
          <w:szCs w:val="22"/>
        </w:rPr>
        <w:t xml:space="preserve">. If the PV of the project’s net benefits is greater than zero, the PV of economic benefits is greater than the PV of economic costs. That means that the geothermal project is economically viable.  </w:t>
      </w:r>
    </w:p>
    <w:p w14:paraId="735CC707" w14:textId="1F34A7A6" w:rsidR="003B00D0" w:rsidRPr="00CF1BB7" w:rsidRDefault="002828FD" w:rsidP="003B00D0">
      <w:pPr>
        <w:pStyle w:val="Heading3"/>
        <w:rPr>
          <w:rFonts w:ascii="Arial" w:hAnsi="Arial"/>
          <w:sz w:val="22"/>
          <w:szCs w:val="22"/>
        </w:rPr>
      </w:pPr>
      <w:bookmarkStart w:id="78" w:name="_Toc531018673"/>
      <w:r>
        <w:rPr>
          <w:rFonts w:ascii="Arial" w:hAnsi="Arial"/>
          <w:sz w:val="22"/>
          <w:szCs w:val="22"/>
        </w:rPr>
        <w:t>Data collection</w:t>
      </w:r>
      <w:bookmarkEnd w:id="78"/>
    </w:p>
    <w:p w14:paraId="219B14B7" w14:textId="1F2363BD" w:rsidR="006E3009" w:rsidRDefault="002828FD" w:rsidP="006E3009">
      <w:pPr>
        <w:pStyle w:val="BodyText"/>
        <w:rPr>
          <w:rFonts w:ascii="Arial" w:hAnsi="Arial" w:cs="Arial"/>
          <w:sz w:val="22"/>
          <w:szCs w:val="22"/>
        </w:rPr>
      </w:pPr>
      <w:r>
        <w:rPr>
          <w:rFonts w:ascii="Arial" w:hAnsi="Arial" w:cs="Arial"/>
          <w:sz w:val="22"/>
          <w:szCs w:val="22"/>
        </w:rPr>
        <w:t xml:space="preserve">In addition </w:t>
      </w:r>
      <w:r w:rsidR="003B00D0" w:rsidRPr="00CF1BB7">
        <w:rPr>
          <w:rFonts w:ascii="Arial" w:hAnsi="Arial" w:cs="Arial"/>
          <w:sz w:val="22"/>
          <w:szCs w:val="22"/>
        </w:rPr>
        <w:t>to calculat</w:t>
      </w:r>
      <w:r>
        <w:rPr>
          <w:rFonts w:ascii="Arial" w:hAnsi="Arial" w:cs="Arial"/>
          <w:sz w:val="22"/>
          <w:szCs w:val="22"/>
        </w:rPr>
        <w:t>ing</w:t>
      </w:r>
      <w:r w:rsidR="003B00D0" w:rsidRPr="00CF1BB7">
        <w:rPr>
          <w:rFonts w:ascii="Arial" w:hAnsi="Arial" w:cs="Arial"/>
          <w:sz w:val="22"/>
          <w:szCs w:val="22"/>
        </w:rPr>
        <w:t xml:space="preserve"> the economic costs and benefits of the geothermal projects</w:t>
      </w:r>
      <w:r>
        <w:rPr>
          <w:rFonts w:ascii="Arial" w:hAnsi="Arial" w:cs="Arial"/>
          <w:sz w:val="22"/>
          <w:szCs w:val="22"/>
        </w:rPr>
        <w:t xml:space="preserve">, </w:t>
      </w:r>
      <w:r w:rsidR="00D52292">
        <w:rPr>
          <w:rFonts w:ascii="Arial" w:hAnsi="Arial" w:cs="Arial"/>
          <w:sz w:val="22"/>
          <w:szCs w:val="22"/>
        </w:rPr>
        <w:t>the Ex-post CBA</w:t>
      </w:r>
      <w:r>
        <w:rPr>
          <w:rFonts w:ascii="Arial" w:hAnsi="Arial" w:cs="Arial"/>
          <w:sz w:val="22"/>
          <w:szCs w:val="22"/>
        </w:rPr>
        <w:t xml:space="preserve"> will include data collection for the following </w:t>
      </w:r>
      <w:r w:rsidR="00521B57">
        <w:rPr>
          <w:rFonts w:ascii="Arial" w:hAnsi="Arial" w:cs="Arial"/>
          <w:sz w:val="22"/>
          <w:szCs w:val="22"/>
        </w:rPr>
        <w:t>variables</w:t>
      </w:r>
      <w:r w:rsidR="003B00D0" w:rsidRPr="00CF1BB7">
        <w:rPr>
          <w:rFonts w:ascii="Arial" w:hAnsi="Arial" w:cs="Arial"/>
          <w:sz w:val="22"/>
          <w:szCs w:val="22"/>
        </w:rPr>
        <w:t xml:space="preserve">. </w:t>
      </w:r>
      <w:r w:rsidR="006E3009">
        <w:rPr>
          <w:rFonts w:ascii="Arial" w:hAnsi="Arial" w:cs="Arial"/>
          <w:sz w:val="22"/>
          <w:szCs w:val="22"/>
        </w:rPr>
        <w:t>Data collection for the ex-post CBA</w:t>
      </w:r>
      <w:r w:rsidR="006E3009" w:rsidRPr="006E3009">
        <w:rPr>
          <w:rFonts w:ascii="Arial" w:hAnsi="Arial" w:cs="Arial"/>
          <w:sz w:val="22"/>
          <w:szCs w:val="22"/>
        </w:rPr>
        <w:t xml:space="preserve"> </w:t>
      </w:r>
      <w:r w:rsidR="006E3009">
        <w:rPr>
          <w:rFonts w:ascii="Arial" w:hAnsi="Arial" w:cs="Arial"/>
          <w:sz w:val="22"/>
          <w:szCs w:val="22"/>
        </w:rPr>
        <w:t xml:space="preserve">will </w:t>
      </w:r>
      <w:r w:rsidR="006E3009" w:rsidRPr="006E3009">
        <w:rPr>
          <w:rFonts w:ascii="Arial" w:hAnsi="Arial" w:cs="Arial"/>
          <w:sz w:val="22"/>
          <w:szCs w:val="22"/>
        </w:rPr>
        <w:t>be conducted once 100% of the program is completed, including both SEF-2015 and SEF-Expanded, so no sub-project is left out of the analysis.</w:t>
      </w:r>
    </w:p>
    <w:p w14:paraId="0EACE4B5" w14:textId="6CA8478B" w:rsidR="003B00D0" w:rsidRPr="00CF1BB7" w:rsidRDefault="003B00D0" w:rsidP="003B00D0">
      <w:pPr>
        <w:pStyle w:val="Caption"/>
        <w:keepNext/>
        <w:rPr>
          <w:rFonts w:ascii="Arial" w:hAnsi="Arial" w:cs="Arial"/>
          <w:sz w:val="22"/>
          <w:szCs w:val="22"/>
        </w:rPr>
      </w:pPr>
    </w:p>
    <w:tbl>
      <w:tblPr>
        <w:tblStyle w:val="TableGrid"/>
        <w:tblW w:w="0" w:type="auto"/>
        <w:tblLook w:val="04A0" w:firstRow="1" w:lastRow="0" w:firstColumn="1" w:lastColumn="0" w:noHBand="0" w:noVBand="1"/>
      </w:tblPr>
      <w:tblGrid>
        <w:gridCol w:w="2640"/>
        <w:gridCol w:w="1320"/>
        <w:gridCol w:w="780"/>
        <w:gridCol w:w="977"/>
        <w:gridCol w:w="977"/>
        <w:gridCol w:w="977"/>
        <w:gridCol w:w="977"/>
      </w:tblGrid>
      <w:tr w:rsidR="003B00D0" w:rsidRPr="00E003E4" w14:paraId="632EB868" w14:textId="77777777" w:rsidTr="00372613">
        <w:trPr>
          <w:trHeight w:val="372"/>
          <w:tblHeader/>
        </w:trPr>
        <w:tc>
          <w:tcPr>
            <w:tcW w:w="2640" w:type="dxa"/>
            <w:shd w:val="clear" w:color="auto" w:fill="BFBFBF" w:themeFill="background1" w:themeFillShade="BF"/>
          </w:tcPr>
          <w:p w14:paraId="19CEBD7C" w14:textId="77777777" w:rsidR="003B00D0" w:rsidRPr="00E003E4" w:rsidRDefault="003B00D0" w:rsidP="00372613">
            <w:pPr>
              <w:pStyle w:val="TableText"/>
              <w:keepNext/>
              <w:rPr>
                <w:rFonts w:ascii="Arial" w:hAnsi="Arial" w:cs="Arial"/>
                <w:sz w:val="20"/>
                <w:szCs w:val="20"/>
              </w:rPr>
            </w:pPr>
            <w:r w:rsidRPr="00E003E4">
              <w:rPr>
                <w:rFonts w:ascii="Arial" w:hAnsi="Arial" w:cs="Arial"/>
                <w:b/>
                <w:sz w:val="20"/>
                <w:szCs w:val="20"/>
              </w:rPr>
              <w:t>Variable</w:t>
            </w:r>
          </w:p>
        </w:tc>
        <w:tc>
          <w:tcPr>
            <w:tcW w:w="1320" w:type="dxa"/>
            <w:shd w:val="clear" w:color="auto" w:fill="BFBFBF" w:themeFill="background1" w:themeFillShade="BF"/>
          </w:tcPr>
          <w:p w14:paraId="2B480DB2" w14:textId="77777777" w:rsidR="003B00D0" w:rsidRPr="00E003E4" w:rsidRDefault="003B00D0" w:rsidP="00372613">
            <w:pPr>
              <w:pStyle w:val="TableText"/>
              <w:keepNext/>
              <w:rPr>
                <w:rFonts w:ascii="Arial" w:hAnsi="Arial" w:cs="Arial"/>
                <w:sz w:val="20"/>
                <w:szCs w:val="20"/>
              </w:rPr>
            </w:pPr>
            <w:r w:rsidRPr="00E003E4">
              <w:rPr>
                <w:rFonts w:ascii="Arial" w:hAnsi="Arial" w:cs="Arial"/>
                <w:b/>
                <w:sz w:val="20"/>
                <w:szCs w:val="20"/>
              </w:rPr>
              <w:t>All Projects</w:t>
            </w:r>
          </w:p>
        </w:tc>
        <w:tc>
          <w:tcPr>
            <w:tcW w:w="780" w:type="dxa"/>
            <w:shd w:val="clear" w:color="auto" w:fill="BFBFBF" w:themeFill="background1" w:themeFillShade="BF"/>
          </w:tcPr>
          <w:p w14:paraId="064242BB" w14:textId="77777777" w:rsidR="003B00D0" w:rsidRPr="00E003E4" w:rsidRDefault="003B00D0" w:rsidP="00372613">
            <w:pPr>
              <w:pStyle w:val="TableText"/>
              <w:keepNext/>
              <w:rPr>
                <w:rFonts w:ascii="Arial" w:hAnsi="Arial" w:cs="Arial"/>
                <w:b/>
                <w:sz w:val="20"/>
                <w:szCs w:val="20"/>
              </w:rPr>
            </w:pPr>
            <w:r w:rsidRPr="00E003E4">
              <w:rPr>
                <w:rFonts w:ascii="Arial" w:hAnsi="Arial" w:cs="Arial"/>
                <w:b/>
                <w:sz w:val="20"/>
                <w:szCs w:val="20"/>
              </w:rPr>
              <w:t>DOM</w:t>
            </w:r>
          </w:p>
        </w:tc>
        <w:tc>
          <w:tcPr>
            <w:tcW w:w="977" w:type="dxa"/>
            <w:shd w:val="clear" w:color="auto" w:fill="BFBFBF" w:themeFill="background1" w:themeFillShade="BF"/>
          </w:tcPr>
          <w:p w14:paraId="3706A3FA" w14:textId="77777777" w:rsidR="003B00D0" w:rsidRPr="00E003E4" w:rsidRDefault="003B00D0" w:rsidP="00372613">
            <w:pPr>
              <w:pStyle w:val="TableText"/>
              <w:keepNext/>
              <w:rPr>
                <w:rFonts w:ascii="Arial" w:hAnsi="Arial" w:cs="Arial"/>
                <w:b/>
                <w:sz w:val="20"/>
                <w:szCs w:val="20"/>
              </w:rPr>
            </w:pPr>
            <w:r w:rsidRPr="00E003E4">
              <w:rPr>
                <w:rFonts w:ascii="Arial" w:hAnsi="Arial" w:cs="Arial"/>
                <w:b/>
                <w:sz w:val="20"/>
                <w:szCs w:val="20"/>
              </w:rPr>
              <w:t>GRE</w:t>
            </w:r>
          </w:p>
        </w:tc>
        <w:tc>
          <w:tcPr>
            <w:tcW w:w="977" w:type="dxa"/>
            <w:shd w:val="clear" w:color="auto" w:fill="BFBFBF" w:themeFill="background1" w:themeFillShade="BF"/>
          </w:tcPr>
          <w:p w14:paraId="14CD6F76" w14:textId="77777777" w:rsidR="003B00D0" w:rsidRPr="00E003E4" w:rsidRDefault="003B00D0" w:rsidP="00372613">
            <w:pPr>
              <w:pStyle w:val="TableText"/>
              <w:keepNext/>
              <w:rPr>
                <w:rFonts w:ascii="Arial" w:hAnsi="Arial" w:cs="Arial"/>
                <w:b/>
                <w:sz w:val="20"/>
                <w:szCs w:val="20"/>
              </w:rPr>
            </w:pPr>
            <w:r w:rsidRPr="00E003E4">
              <w:rPr>
                <w:rFonts w:ascii="Arial" w:hAnsi="Arial" w:cs="Arial"/>
                <w:b/>
                <w:sz w:val="20"/>
                <w:szCs w:val="20"/>
              </w:rPr>
              <w:t>Nevis</w:t>
            </w:r>
          </w:p>
        </w:tc>
        <w:tc>
          <w:tcPr>
            <w:tcW w:w="977" w:type="dxa"/>
            <w:shd w:val="clear" w:color="auto" w:fill="BFBFBF" w:themeFill="background1" w:themeFillShade="BF"/>
          </w:tcPr>
          <w:p w14:paraId="2839B9D7" w14:textId="77777777" w:rsidR="003B00D0" w:rsidRPr="00E003E4" w:rsidRDefault="003B00D0" w:rsidP="00372613">
            <w:pPr>
              <w:pStyle w:val="TableText"/>
              <w:keepNext/>
              <w:rPr>
                <w:rFonts w:ascii="Arial" w:hAnsi="Arial" w:cs="Arial"/>
                <w:b/>
                <w:sz w:val="20"/>
                <w:szCs w:val="20"/>
              </w:rPr>
            </w:pPr>
            <w:r w:rsidRPr="00E003E4">
              <w:rPr>
                <w:rFonts w:ascii="Arial" w:hAnsi="Arial" w:cs="Arial"/>
                <w:b/>
                <w:sz w:val="20"/>
                <w:szCs w:val="20"/>
              </w:rPr>
              <w:t>SL</w:t>
            </w:r>
          </w:p>
        </w:tc>
        <w:tc>
          <w:tcPr>
            <w:tcW w:w="977" w:type="dxa"/>
            <w:shd w:val="clear" w:color="auto" w:fill="BFBFBF" w:themeFill="background1" w:themeFillShade="BF"/>
          </w:tcPr>
          <w:p w14:paraId="499B3AE1" w14:textId="77777777" w:rsidR="003B00D0" w:rsidRPr="00E003E4" w:rsidRDefault="003B00D0" w:rsidP="00372613">
            <w:pPr>
              <w:pStyle w:val="TableText"/>
              <w:keepNext/>
              <w:rPr>
                <w:rFonts w:ascii="Arial" w:hAnsi="Arial" w:cs="Arial"/>
                <w:b/>
                <w:sz w:val="20"/>
                <w:szCs w:val="20"/>
              </w:rPr>
            </w:pPr>
            <w:r w:rsidRPr="00E003E4">
              <w:rPr>
                <w:rFonts w:ascii="Arial" w:hAnsi="Arial" w:cs="Arial"/>
                <w:b/>
                <w:sz w:val="20"/>
                <w:szCs w:val="20"/>
              </w:rPr>
              <w:t>SVG</w:t>
            </w:r>
          </w:p>
        </w:tc>
      </w:tr>
      <w:tr w:rsidR="00D354AC" w:rsidRPr="00E003E4" w14:paraId="67BA104C" w14:textId="77777777" w:rsidTr="00372613">
        <w:trPr>
          <w:trHeight w:val="313"/>
        </w:trPr>
        <w:tc>
          <w:tcPr>
            <w:tcW w:w="2640" w:type="dxa"/>
          </w:tcPr>
          <w:p w14:paraId="1265527D" w14:textId="77777777" w:rsidR="00D354AC" w:rsidRPr="00E003E4" w:rsidRDefault="00D354AC" w:rsidP="00372613">
            <w:pPr>
              <w:pStyle w:val="TableText"/>
              <w:keepNext/>
              <w:rPr>
                <w:rFonts w:ascii="Arial" w:hAnsi="Arial" w:cs="Arial"/>
                <w:sz w:val="20"/>
                <w:szCs w:val="20"/>
              </w:rPr>
            </w:pPr>
            <w:r w:rsidRPr="00E003E4">
              <w:rPr>
                <w:rFonts w:ascii="Arial" w:hAnsi="Arial" w:cs="Arial"/>
                <w:sz w:val="20"/>
                <w:szCs w:val="20"/>
              </w:rPr>
              <w:t>Plant size (MW)</w:t>
            </w:r>
          </w:p>
        </w:tc>
        <w:tc>
          <w:tcPr>
            <w:tcW w:w="6008" w:type="dxa"/>
            <w:gridSpan w:val="6"/>
          </w:tcPr>
          <w:p w14:paraId="62440D2B" w14:textId="07FD85CD" w:rsidR="00D354AC" w:rsidRPr="00E003E4" w:rsidRDefault="00D354AC" w:rsidP="00372613">
            <w:pPr>
              <w:pStyle w:val="TableText"/>
              <w:keepNext/>
              <w:jc w:val="right"/>
              <w:rPr>
                <w:rFonts w:ascii="Arial" w:hAnsi="Arial" w:cs="Arial"/>
                <w:sz w:val="20"/>
                <w:szCs w:val="20"/>
              </w:rPr>
            </w:pPr>
            <w:r>
              <w:rPr>
                <w:rFonts w:ascii="Arial" w:hAnsi="Arial" w:cs="Arial"/>
                <w:sz w:val="20"/>
                <w:szCs w:val="20"/>
              </w:rPr>
              <w:t xml:space="preserve">The actual size of the built/planned plant should be used </w:t>
            </w:r>
          </w:p>
        </w:tc>
      </w:tr>
      <w:tr w:rsidR="00521B57" w:rsidRPr="00E003E4" w14:paraId="52864735" w14:textId="77777777" w:rsidTr="00372613">
        <w:trPr>
          <w:trHeight w:val="313"/>
        </w:trPr>
        <w:tc>
          <w:tcPr>
            <w:tcW w:w="2640" w:type="dxa"/>
          </w:tcPr>
          <w:p w14:paraId="036E35C5" w14:textId="77777777" w:rsidR="00521B57" w:rsidRPr="00E003E4" w:rsidRDefault="00521B57" w:rsidP="00372613">
            <w:pPr>
              <w:pStyle w:val="TableText"/>
              <w:keepNext/>
              <w:rPr>
                <w:rFonts w:ascii="Arial" w:hAnsi="Arial" w:cs="Arial"/>
                <w:sz w:val="20"/>
                <w:szCs w:val="20"/>
              </w:rPr>
            </w:pPr>
            <w:r w:rsidRPr="008A49BC">
              <w:rPr>
                <w:rFonts w:ascii="Arial" w:hAnsi="Arial" w:cs="Arial"/>
                <w:bCs/>
                <w:sz w:val="20"/>
                <w:szCs w:val="20"/>
              </w:rPr>
              <w:t>Average electricity tariff for customers in ECC</w:t>
            </w:r>
            <w:r>
              <w:rPr>
                <w:rFonts w:ascii="Arial" w:hAnsi="Arial" w:cs="Arial"/>
                <w:bCs/>
                <w:sz w:val="20"/>
                <w:szCs w:val="20"/>
              </w:rPr>
              <w:t xml:space="preserve"> in 2015 (US$/</w:t>
            </w:r>
            <w:proofErr w:type="spellStart"/>
            <w:r>
              <w:rPr>
                <w:rFonts w:ascii="Arial" w:hAnsi="Arial" w:cs="Arial"/>
                <w:bCs/>
                <w:sz w:val="20"/>
                <w:szCs w:val="20"/>
              </w:rPr>
              <w:t>KWh</w:t>
            </w:r>
            <w:proofErr w:type="spellEnd"/>
            <w:r>
              <w:rPr>
                <w:rFonts w:ascii="Arial" w:hAnsi="Arial" w:cs="Arial"/>
                <w:bCs/>
                <w:sz w:val="20"/>
                <w:szCs w:val="20"/>
              </w:rPr>
              <w:t>)</w:t>
            </w:r>
          </w:p>
        </w:tc>
        <w:tc>
          <w:tcPr>
            <w:tcW w:w="6008" w:type="dxa"/>
            <w:gridSpan w:val="6"/>
          </w:tcPr>
          <w:p w14:paraId="5A06D0D4" w14:textId="70DC4110" w:rsidR="00521B57" w:rsidRPr="00E003E4" w:rsidRDefault="00521B57" w:rsidP="00372613">
            <w:pPr>
              <w:pStyle w:val="TableText"/>
              <w:keepNext/>
              <w:jc w:val="right"/>
              <w:rPr>
                <w:rFonts w:ascii="Arial" w:hAnsi="Arial" w:cs="Arial"/>
                <w:sz w:val="20"/>
                <w:szCs w:val="20"/>
              </w:rPr>
            </w:pPr>
            <w:r>
              <w:rPr>
                <w:rFonts w:ascii="Arial" w:hAnsi="Arial" w:cs="Arial"/>
                <w:sz w:val="20"/>
                <w:szCs w:val="20"/>
              </w:rPr>
              <w:t xml:space="preserve">The actual electricity tariff </w:t>
            </w:r>
            <w:r w:rsidR="00EE3E8B">
              <w:rPr>
                <w:rFonts w:ascii="Arial" w:hAnsi="Arial" w:cs="Arial"/>
                <w:sz w:val="20"/>
                <w:szCs w:val="20"/>
              </w:rPr>
              <w:t xml:space="preserve">when </w:t>
            </w:r>
            <w:r>
              <w:rPr>
                <w:rFonts w:ascii="Arial" w:hAnsi="Arial" w:cs="Arial"/>
                <w:sz w:val="20"/>
                <w:szCs w:val="20"/>
              </w:rPr>
              <w:t>conducting the Ex-post CBA shall be collected from local utilities and regulators</w:t>
            </w:r>
          </w:p>
        </w:tc>
      </w:tr>
      <w:tr w:rsidR="003B00D0" w:rsidRPr="00E003E4" w14:paraId="59CA0FC6" w14:textId="77777777" w:rsidTr="00372613">
        <w:trPr>
          <w:trHeight w:val="372"/>
        </w:trPr>
        <w:tc>
          <w:tcPr>
            <w:tcW w:w="2640" w:type="dxa"/>
          </w:tcPr>
          <w:p w14:paraId="04668F34" w14:textId="77777777" w:rsidR="003B00D0" w:rsidRPr="008A49BC" w:rsidRDefault="003B00D0" w:rsidP="00372613">
            <w:pPr>
              <w:pStyle w:val="TableText"/>
              <w:rPr>
                <w:rFonts w:ascii="Arial" w:hAnsi="Arial" w:cs="Arial"/>
                <w:bCs/>
                <w:sz w:val="20"/>
                <w:szCs w:val="20"/>
              </w:rPr>
            </w:pPr>
            <w:r w:rsidRPr="001D71D7">
              <w:rPr>
                <w:rFonts w:ascii="Arial" w:hAnsi="Arial" w:cs="Arial"/>
                <w:bCs/>
                <w:sz w:val="20"/>
                <w:szCs w:val="20"/>
              </w:rPr>
              <w:t>Regional penetration of indigenous RE sources for power generation within the ECC</w:t>
            </w:r>
            <w:r>
              <w:rPr>
                <w:rFonts w:ascii="Arial" w:hAnsi="Arial" w:cs="Arial"/>
                <w:bCs/>
                <w:sz w:val="20"/>
                <w:szCs w:val="20"/>
              </w:rPr>
              <w:t xml:space="preserve"> (%)</w:t>
            </w:r>
          </w:p>
        </w:tc>
        <w:tc>
          <w:tcPr>
            <w:tcW w:w="6008" w:type="dxa"/>
            <w:gridSpan w:val="6"/>
            <w:vAlign w:val="center"/>
          </w:tcPr>
          <w:p w14:paraId="6D907449" w14:textId="3D65294C" w:rsidR="003B00D0" w:rsidRPr="00E003E4" w:rsidRDefault="00EE3E8B" w:rsidP="00372613">
            <w:pPr>
              <w:pStyle w:val="TableText"/>
              <w:jc w:val="center"/>
              <w:rPr>
                <w:rFonts w:ascii="Arial" w:hAnsi="Arial" w:cs="Arial"/>
                <w:sz w:val="20"/>
                <w:szCs w:val="20"/>
              </w:rPr>
            </w:pPr>
            <w:r>
              <w:rPr>
                <w:rFonts w:ascii="Arial" w:hAnsi="Arial" w:cs="Arial"/>
                <w:sz w:val="20"/>
                <w:szCs w:val="20"/>
              </w:rPr>
              <w:t xml:space="preserve">The composition of the energy matrix in each of the countries must be </w:t>
            </w:r>
            <w:r w:rsidR="006A14CA">
              <w:rPr>
                <w:rFonts w:ascii="Arial" w:hAnsi="Arial" w:cs="Arial"/>
                <w:sz w:val="20"/>
                <w:szCs w:val="20"/>
              </w:rPr>
              <w:t>characterized to estimate the proportion of the mix that is RE</w:t>
            </w:r>
          </w:p>
        </w:tc>
      </w:tr>
      <w:tr w:rsidR="006A14CA" w14:paraId="060B530B" w14:textId="77777777" w:rsidTr="00372613">
        <w:trPr>
          <w:trHeight w:val="313"/>
        </w:trPr>
        <w:tc>
          <w:tcPr>
            <w:tcW w:w="2640" w:type="dxa"/>
            <w:vAlign w:val="center"/>
          </w:tcPr>
          <w:p w14:paraId="37CC177D" w14:textId="77777777" w:rsidR="006A14CA" w:rsidRPr="008A49BC" w:rsidRDefault="006A14CA" w:rsidP="00372613">
            <w:pPr>
              <w:pStyle w:val="TableText"/>
              <w:keepNext/>
              <w:rPr>
                <w:rFonts w:ascii="Arial" w:hAnsi="Arial" w:cs="Arial"/>
                <w:bCs/>
                <w:sz w:val="20"/>
                <w:szCs w:val="20"/>
              </w:rPr>
            </w:pPr>
            <w:r>
              <w:rPr>
                <w:rFonts w:ascii="Arial" w:hAnsi="Arial" w:cs="Arial"/>
                <w:sz w:val="20"/>
                <w:szCs w:val="20"/>
              </w:rPr>
              <w:t>Financing from other sources (e.g. commercial banks, private equity) leveraged by this program (US$ millions)</w:t>
            </w:r>
          </w:p>
        </w:tc>
        <w:tc>
          <w:tcPr>
            <w:tcW w:w="6008" w:type="dxa"/>
            <w:gridSpan w:val="6"/>
            <w:vAlign w:val="center"/>
          </w:tcPr>
          <w:p w14:paraId="327322D0" w14:textId="7543A9F0" w:rsidR="006A14CA" w:rsidRDefault="006A14CA" w:rsidP="00372613">
            <w:pPr>
              <w:pStyle w:val="TableText"/>
              <w:keepNext/>
              <w:jc w:val="center"/>
              <w:rPr>
                <w:rFonts w:ascii="Arial" w:hAnsi="Arial" w:cs="Arial"/>
                <w:sz w:val="20"/>
                <w:szCs w:val="20"/>
              </w:rPr>
            </w:pPr>
            <w:r>
              <w:rPr>
                <w:rFonts w:ascii="Arial" w:hAnsi="Arial" w:cs="Arial"/>
                <w:sz w:val="20"/>
                <w:szCs w:val="20"/>
              </w:rPr>
              <w:t>The additional sources of funding other than SE</w:t>
            </w:r>
            <w:r w:rsidR="00FE4A1C">
              <w:rPr>
                <w:rFonts w:ascii="Arial" w:hAnsi="Arial" w:cs="Arial"/>
                <w:sz w:val="20"/>
                <w:szCs w:val="20"/>
              </w:rPr>
              <w:t>F</w:t>
            </w:r>
            <w:r>
              <w:rPr>
                <w:rFonts w:ascii="Arial" w:hAnsi="Arial" w:cs="Arial"/>
                <w:sz w:val="20"/>
                <w:szCs w:val="20"/>
              </w:rPr>
              <w:t xml:space="preserve"> program resources used to finance GE projects </w:t>
            </w:r>
            <w:r w:rsidR="00FE4A1C">
              <w:rPr>
                <w:rFonts w:ascii="Arial" w:hAnsi="Arial" w:cs="Arial"/>
                <w:sz w:val="20"/>
                <w:szCs w:val="20"/>
              </w:rPr>
              <w:t>must be identified</w:t>
            </w:r>
          </w:p>
        </w:tc>
      </w:tr>
    </w:tbl>
    <w:p w14:paraId="7B7D796D" w14:textId="77777777" w:rsidR="003B00D0" w:rsidRPr="00CF1BB7" w:rsidRDefault="003B00D0" w:rsidP="003B00D0">
      <w:pPr>
        <w:pStyle w:val="TableorFigureEnd"/>
        <w:pBdr>
          <w:top w:val="single" w:sz="4" w:space="9" w:color="auto"/>
        </w:pBdr>
        <w:rPr>
          <w:rFonts w:ascii="Arial" w:hAnsi="Arial" w:cs="Arial"/>
          <w:sz w:val="22"/>
          <w:szCs w:val="22"/>
        </w:rPr>
      </w:pPr>
    </w:p>
    <w:p w14:paraId="1223BE6B" w14:textId="7BC54050" w:rsidR="00F77A26" w:rsidRPr="008E106E" w:rsidRDefault="00375149" w:rsidP="006F72BF">
      <w:pPr>
        <w:pStyle w:val="BodyText"/>
        <w:rPr>
          <w:rFonts w:ascii="Arial" w:hAnsi="Arial" w:cs="Arial"/>
          <w:sz w:val="22"/>
          <w:szCs w:val="22"/>
        </w:rPr>
      </w:pPr>
      <w:r w:rsidRPr="008E106E">
        <w:rPr>
          <w:rFonts w:ascii="Arial" w:hAnsi="Arial" w:cs="Arial"/>
          <w:sz w:val="22"/>
          <w:szCs w:val="22"/>
        </w:rPr>
        <w:t xml:space="preserve">The </w:t>
      </w:r>
      <w:r w:rsidR="00DD0C35" w:rsidRPr="008E106E">
        <w:rPr>
          <w:rFonts w:ascii="Arial" w:hAnsi="Arial" w:cs="Arial"/>
          <w:sz w:val="22"/>
          <w:szCs w:val="22"/>
        </w:rPr>
        <w:t>C</w:t>
      </w:r>
      <w:r w:rsidRPr="008E106E">
        <w:rPr>
          <w:rFonts w:ascii="Arial" w:hAnsi="Arial" w:cs="Arial"/>
          <w:sz w:val="22"/>
          <w:szCs w:val="22"/>
        </w:rPr>
        <w:t xml:space="preserve">DB is responsible for hiring the independent consultant that will prepare the </w:t>
      </w:r>
      <w:r w:rsidR="00D35244" w:rsidRPr="008E106E">
        <w:rPr>
          <w:rFonts w:ascii="Arial" w:hAnsi="Arial" w:cs="Arial"/>
          <w:sz w:val="22"/>
          <w:szCs w:val="22"/>
        </w:rPr>
        <w:t xml:space="preserve">ex-post </w:t>
      </w:r>
      <w:r w:rsidR="00F83DB4" w:rsidRPr="008E106E">
        <w:rPr>
          <w:rFonts w:ascii="Arial" w:hAnsi="Arial" w:cs="Arial"/>
          <w:sz w:val="22"/>
          <w:szCs w:val="22"/>
        </w:rPr>
        <w:t>CBA and</w:t>
      </w:r>
      <w:r w:rsidR="006D7D3B" w:rsidRPr="008E106E">
        <w:rPr>
          <w:rFonts w:ascii="Arial" w:hAnsi="Arial" w:cs="Arial"/>
          <w:sz w:val="22"/>
          <w:szCs w:val="22"/>
        </w:rPr>
        <w:t xml:space="preserve"> reviewing and approving the final draft of the </w:t>
      </w:r>
      <w:r w:rsidR="00D35244" w:rsidRPr="008E106E">
        <w:rPr>
          <w:rFonts w:ascii="Arial" w:hAnsi="Arial" w:cs="Arial"/>
          <w:sz w:val="22"/>
          <w:szCs w:val="22"/>
        </w:rPr>
        <w:t xml:space="preserve">ex-post </w:t>
      </w:r>
      <w:r w:rsidR="006D7D3B" w:rsidRPr="008E106E">
        <w:rPr>
          <w:rFonts w:ascii="Arial" w:hAnsi="Arial" w:cs="Arial"/>
          <w:sz w:val="22"/>
          <w:szCs w:val="22"/>
        </w:rPr>
        <w:t>CBA</w:t>
      </w:r>
      <w:r w:rsidRPr="008E106E">
        <w:rPr>
          <w:rFonts w:ascii="Arial" w:hAnsi="Arial" w:cs="Arial"/>
          <w:sz w:val="22"/>
          <w:szCs w:val="22"/>
        </w:rPr>
        <w:t>. The EA is responsible for providing the independent consultant with the information needed to complete the</w:t>
      </w:r>
      <w:r w:rsidR="00D35244" w:rsidRPr="008E106E">
        <w:rPr>
          <w:rFonts w:ascii="Arial" w:hAnsi="Arial" w:cs="Arial"/>
          <w:sz w:val="22"/>
          <w:szCs w:val="22"/>
        </w:rPr>
        <w:t xml:space="preserve"> ex-post </w:t>
      </w:r>
      <w:r w:rsidRPr="008E106E">
        <w:rPr>
          <w:rFonts w:ascii="Arial" w:hAnsi="Arial" w:cs="Arial"/>
          <w:sz w:val="22"/>
          <w:szCs w:val="22"/>
        </w:rPr>
        <w:t xml:space="preserve">CBA. In addition, the EA will coordinate with local authorities in EC countries to obtain </w:t>
      </w:r>
      <w:r w:rsidR="006D7D3B" w:rsidRPr="008E106E">
        <w:rPr>
          <w:rFonts w:ascii="Arial" w:hAnsi="Arial" w:cs="Arial"/>
          <w:sz w:val="22"/>
          <w:szCs w:val="22"/>
        </w:rPr>
        <w:t xml:space="preserve">any </w:t>
      </w:r>
      <w:r w:rsidRPr="008E106E">
        <w:rPr>
          <w:rFonts w:ascii="Arial" w:hAnsi="Arial" w:cs="Arial"/>
          <w:sz w:val="22"/>
          <w:szCs w:val="22"/>
        </w:rPr>
        <w:t xml:space="preserve">information </w:t>
      </w:r>
      <w:r w:rsidR="006D7D3B" w:rsidRPr="008E106E">
        <w:rPr>
          <w:rFonts w:ascii="Arial" w:hAnsi="Arial" w:cs="Arial"/>
          <w:sz w:val="22"/>
          <w:szCs w:val="22"/>
        </w:rPr>
        <w:t xml:space="preserve">that the external consultant may require </w:t>
      </w:r>
      <w:r w:rsidR="00F83DB4" w:rsidRPr="008E106E">
        <w:rPr>
          <w:rFonts w:ascii="Arial" w:hAnsi="Arial" w:cs="Arial"/>
          <w:sz w:val="22"/>
          <w:szCs w:val="22"/>
        </w:rPr>
        <w:t>completing</w:t>
      </w:r>
      <w:r w:rsidR="006D7D3B" w:rsidRPr="008E106E">
        <w:rPr>
          <w:rFonts w:ascii="Arial" w:hAnsi="Arial" w:cs="Arial"/>
          <w:sz w:val="22"/>
          <w:szCs w:val="22"/>
        </w:rPr>
        <w:t xml:space="preserve"> the </w:t>
      </w:r>
      <w:r w:rsidR="00D35244" w:rsidRPr="008E106E">
        <w:rPr>
          <w:rFonts w:ascii="Arial" w:hAnsi="Arial" w:cs="Arial"/>
          <w:sz w:val="22"/>
          <w:szCs w:val="22"/>
        </w:rPr>
        <w:t xml:space="preserve">ex-post </w:t>
      </w:r>
      <w:r w:rsidR="006D7D3B" w:rsidRPr="008E106E">
        <w:rPr>
          <w:rFonts w:ascii="Arial" w:hAnsi="Arial" w:cs="Arial"/>
          <w:sz w:val="22"/>
          <w:szCs w:val="22"/>
        </w:rPr>
        <w:t xml:space="preserve">CBA. </w:t>
      </w:r>
    </w:p>
    <w:p w14:paraId="0CB45A48" w14:textId="7D12D2C9" w:rsidR="00C46290" w:rsidRPr="008E106E" w:rsidRDefault="00C46290" w:rsidP="006F72BF">
      <w:pPr>
        <w:pStyle w:val="BodyText"/>
        <w:rPr>
          <w:rFonts w:ascii="Arial" w:hAnsi="Arial" w:cs="Arial"/>
          <w:sz w:val="22"/>
          <w:szCs w:val="22"/>
        </w:rPr>
      </w:pPr>
      <w:r w:rsidRPr="008E106E">
        <w:rPr>
          <w:rFonts w:ascii="Arial" w:hAnsi="Arial" w:cs="Arial"/>
          <w:sz w:val="22"/>
          <w:szCs w:val="22"/>
        </w:rPr>
        <w:t>The ex-post CBA will be developed as part of the Project Completion Report completed for the Program.</w:t>
      </w:r>
    </w:p>
    <w:p w14:paraId="4DBB1030" w14:textId="2CFA030E" w:rsidR="00123C6C" w:rsidRPr="008E106E" w:rsidRDefault="00123C6C" w:rsidP="0009381F">
      <w:pPr>
        <w:pStyle w:val="Heading2"/>
        <w:rPr>
          <w:rFonts w:ascii="Arial" w:hAnsi="Arial"/>
          <w:sz w:val="22"/>
          <w:szCs w:val="22"/>
        </w:rPr>
      </w:pPr>
      <w:bookmarkStart w:id="79" w:name="_Toc531018674"/>
      <w:r w:rsidRPr="008E106E">
        <w:rPr>
          <w:rFonts w:ascii="Arial" w:hAnsi="Arial"/>
          <w:sz w:val="22"/>
          <w:szCs w:val="22"/>
        </w:rPr>
        <w:t>Evaluation Coordination, Work Plan, and Budget</w:t>
      </w:r>
      <w:bookmarkEnd w:id="79"/>
    </w:p>
    <w:p w14:paraId="1C68E5D8" w14:textId="0634005A" w:rsidR="00B00213" w:rsidRPr="008E106E" w:rsidRDefault="00CC6087" w:rsidP="00B00213">
      <w:pPr>
        <w:pStyle w:val="BodyText"/>
        <w:rPr>
          <w:rFonts w:ascii="Arial" w:hAnsi="Arial" w:cs="Arial"/>
          <w:sz w:val="22"/>
          <w:szCs w:val="22"/>
          <w:lang w:eastAsia="ja-JP"/>
        </w:rPr>
      </w:pPr>
      <w:r w:rsidRPr="008E106E">
        <w:rPr>
          <w:rFonts w:ascii="Arial" w:hAnsi="Arial" w:cs="Arial"/>
          <w:sz w:val="22"/>
          <w:szCs w:val="22"/>
        </w:rPr>
        <w:t>The budget for completing the Evalu</w:t>
      </w:r>
      <w:r w:rsidR="00517ACC" w:rsidRPr="008E106E">
        <w:rPr>
          <w:rFonts w:ascii="Arial" w:hAnsi="Arial" w:cs="Arial"/>
          <w:sz w:val="22"/>
          <w:szCs w:val="22"/>
        </w:rPr>
        <w:t>ation Plan is US$</w:t>
      </w:r>
      <w:r w:rsidR="00F83DB4" w:rsidRPr="008E106E">
        <w:rPr>
          <w:rFonts w:ascii="Arial" w:hAnsi="Arial" w:cs="Arial"/>
          <w:sz w:val="22"/>
          <w:szCs w:val="22"/>
        </w:rPr>
        <w:t>160</w:t>
      </w:r>
      <w:r w:rsidRPr="008E106E">
        <w:rPr>
          <w:rFonts w:ascii="Arial" w:hAnsi="Arial" w:cs="Arial"/>
          <w:sz w:val="22"/>
          <w:szCs w:val="22"/>
        </w:rPr>
        <w:t>,000</w:t>
      </w:r>
      <w:r w:rsidR="006E5878" w:rsidRPr="008E106E">
        <w:rPr>
          <w:rFonts w:ascii="Arial" w:hAnsi="Arial" w:cs="Arial"/>
          <w:sz w:val="22"/>
          <w:szCs w:val="22"/>
        </w:rPr>
        <w:t xml:space="preserve"> which is contemplated in SEF-2015</w:t>
      </w:r>
      <w:r w:rsidRPr="008E106E">
        <w:rPr>
          <w:rFonts w:ascii="Arial" w:hAnsi="Arial" w:cs="Arial"/>
          <w:sz w:val="22"/>
          <w:szCs w:val="22"/>
        </w:rPr>
        <w:t xml:space="preserve">. The tasks of the Evaluation Plan will be carried out </w:t>
      </w:r>
      <w:r w:rsidR="00837946" w:rsidRPr="008E106E">
        <w:rPr>
          <w:rFonts w:ascii="Arial" w:hAnsi="Arial" w:cs="Arial"/>
          <w:sz w:val="22"/>
          <w:szCs w:val="22"/>
        </w:rPr>
        <w:t xml:space="preserve">at the </w:t>
      </w:r>
      <w:r w:rsidR="00C01173" w:rsidRPr="008E106E">
        <w:rPr>
          <w:rFonts w:ascii="Arial" w:hAnsi="Arial" w:cs="Arial"/>
          <w:sz w:val="22"/>
          <w:szCs w:val="22"/>
        </w:rPr>
        <w:t>start,</w:t>
      </w:r>
      <w:r w:rsidR="00C027C2" w:rsidRPr="008E106E">
        <w:rPr>
          <w:rFonts w:ascii="Arial" w:hAnsi="Arial" w:cs="Arial"/>
          <w:sz w:val="22"/>
          <w:szCs w:val="22"/>
        </w:rPr>
        <w:t xml:space="preserve"> at the h</w:t>
      </w:r>
      <w:r w:rsidR="00F77A26" w:rsidRPr="008E106E">
        <w:rPr>
          <w:rFonts w:ascii="Arial" w:hAnsi="Arial" w:cs="Arial"/>
          <w:sz w:val="22"/>
          <w:szCs w:val="22"/>
        </w:rPr>
        <w:t>alfway point</w:t>
      </w:r>
      <w:r w:rsidR="00C027C2" w:rsidRPr="008E106E">
        <w:rPr>
          <w:rFonts w:ascii="Arial" w:hAnsi="Arial" w:cs="Arial"/>
          <w:sz w:val="22"/>
          <w:szCs w:val="22"/>
        </w:rPr>
        <w:t>,</w:t>
      </w:r>
      <w:r w:rsidRPr="008E106E">
        <w:rPr>
          <w:rFonts w:ascii="Arial" w:hAnsi="Arial" w:cs="Arial"/>
          <w:sz w:val="22"/>
          <w:szCs w:val="22"/>
        </w:rPr>
        <w:t xml:space="preserve"> and </w:t>
      </w:r>
      <w:r w:rsidR="00837946" w:rsidRPr="008E106E">
        <w:rPr>
          <w:rFonts w:ascii="Arial" w:hAnsi="Arial" w:cs="Arial"/>
          <w:sz w:val="22"/>
          <w:szCs w:val="22"/>
        </w:rPr>
        <w:t>at the completion</w:t>
      </w:r>
      <w:r w:rsidR="00C01173" w:rsidRPr="008E106E">
        <w:rPr>
          <w:rFonts w:ascii="Arial" w:hAnsi="Arial" w:cs="Arial"/>
          <w:sz w:val="22"/>
          <w:szCs w:val="22"/>
        </w:rPr>
        <w:t xml:space="preserve"> of the Program</w:t>
      </w:r>
      <w:r w:rsidR="00517ACC" w:rsidRPr="008E106E">
        <w:rPr>
          <w:rFonts w:ascii="Arial" w:hAnsi="Arial" w:cs="Arial"/>
          <w:sz w:val="22"/>
          <w:szCs w:val="22"/>
        </w:rPr>
        <w:t xml:space="preserve">. </w:t>
      </w:r>
      <w:r w:rsidR="00B765C0" w:rsidRPr="008E106E">
        <w:rPr>
          <w:rFonts w:ascii="Arial" w:hAnsi="Arial" w:cs="Arial"/>
          <w:sz w:val="22"/>
          <w:szCs w:val="22"/>
        </w:rPr>
        <w:t xml:space="preserve">For each </w:t>
      </w:r>
      <w:r w:rsidR="007D71CB" w:rsidRPr="008E106E">
        <w:rPr>
          <w:rFonts w:ascii="Arial" w:hAnsi="Arial" w:cs="Arial"/>
          <w:sz w:val="22"/>
          <w:szCs w:val="22"/>
        </w:rPr>
        <w:t xml:space="preserve">evaluation </w:t>
      </w:r>
      <w:r w:rsidR="00B765C0" w:rsidRPr="008E106E">
        <w:rPr>
          <w:rFonts w:ascii="Arial" w:hAnsi="Arial" w:cs="Arial"/>
          <w:sz w:val="22"/>
          <w:szCs w:val="22"/>
        </w:rPr>
        <w:t xml:space="preserve">instrument, the remainder of this </w:t>
      </w:r>
      <w:r w:rsidR="001962AD" w:rsidRPr="008E106E">
        <w:rPr>
          <w:rFonts w:ascii="Arial" w:hAnsi="Arial" w:cs="Arial"/>
          <w:sz w:val="22"/>
          <w:szCs w:val="22"/>
        </w:rPr>
        <w:t xml:space="preserve">section </w:t>
      </w:r>
      <w:r w:rsidR="00C01173" w:rsidRPr="008E106E">
        <w:rPr>
          <w:rFonts w:ascii="Arial" w:hAnsi="Arial" w:cs="Arial"/>
          <w:sz w:val="22"/>
          <w:szCs w:val="22"/>
        </w:rPr>
        <w:t xml:space="preserve">describes </w:t>
      </w:r>
      <w:r w:rsidR="00F31D78" w:rsidRPr="008E106E">
        <w:rPr>
          <w:rFonts w:ascii="Arial" w:hAnsi="Arial" w:cs="Arial"/>
          <w:sz w:val="22"/>
          <w:szCs w:val="22"/>
          <w:lang w:eastAsia="ja-JP"/>
        </w:rPr>
        <w:t xml:space="preserve">when it should </w:t>
      </w:r>
      <w:r w:rsidR="007D71CB" w:rsidRPr="008E106E">
        <w:rPr>
          <w:rFonts w:ascii="Arial" w:hAnsi="Arial" w:cs="Arial"/>
          <w:sz w:val="22"/>
          <w:szCs w:val="22"/>
          <w:lang w:eastAsia="ja-JP"/>
        </w:rPr>
        <w:t xml:space="preserve">be </w:t>
      </w:r>
      <w:r w:rsidR="00517ACC" w:rsidRPr="008E106E">
        <w:rPr>
          <w:rFonts w:ascii="Arial" w:hAnsi="Arial" w:cs="Arial"/>
          <w:sz w:val="22"/>
          <w:szCs w:val="22"/>
          <w:lang w:eastAsia="ja-JP"/>
        </w:rPr>
        <w:t>prepared</w:t>
      </w:r>
      <w:r w:rsidR="007D71CB" w:rsidRPr="008E106E">
        <w:rPr>
          <w:rFonts w:ascii="Arial" w:hAnsi="Arial" w:cs="Arial"/>
          <w:sz w:val="22"/>
          <w:szCs w:val="22"/>
          <w:lang w:eastAsia="ja-JP"/>
        </w:rPr>
        <w:t>, who prepares it,</w:t>
      </w:r>
      <w:r w:rsidR="001962AD" w:rsidRPr="008E106E">
        <w:rPr>
          <w:rFonts w:ascii="Arial" w:hAnsi="Arial" w:cs="Arial"/>
          <w:sz w:val="22"/>
          <w:szCs w:val="22"/>
          <w:lang w:eastAsia="ja-JP"/>
        </w:rPr>
        <w:t xml:space="preserve"> and how it will be funded.</w:t>
      </w:r>
    </w:p>
    <w:p w14:paraId="7F46523A" w14:textId="062A8311" w:rsidR="00B00213" w:rsidRPr="008E106E" w:rsidRDefault="00B00213" w:rsidP="00B00213">
      <w:pPr>
        <w:pStyle w:val="ListBullet"/>
        <w:rPr>
          <w:rFonts w:ascii="Arial" w:hAnsi="Arial" w:cs="Arial"/>
          <w:sz w:val="22"/>
          <w:szCs w:val="22"/>
        </w:rPr>
      </w:pPr>
      <w:r w:rsidRPr="008E106E">
        <w:rPr>
          <w:rFonts w:ascii="Arial" w:hAnsi="Arial" w:cs="Arial"/>
          <w:b/>
          <w:sz w:val="22"/>
          <w:szCs w:val="22"/>
        </w:rPr>
        <w:t>Baseline Values Study</w:t>
      </w:r>
      <w:r w:rsidRPr="008E106E">
        <w:rPr>
          <w:rFonts w:ascii="Arial" w:hAnsi="Arial" w:cs="Arial"/>
          <w:sz w:val="22"/>
          <w:szCs w:val="22"/>
        </w:rPr>
        <w:t>—</w:t>
      </w:r>
      <w:r w:rsidR="000C1BF2" w:rsidRPr="008E106E">
        <w:rPr>
          <w:rFonts w:ascii="Arial" w:hAnsi="Arial" w:cs="Arial"/>
          <w:sz w:val="22"/>
          <w:szCs w:val="22"/>
        </w:rPr>
        <w:t xml:space="preserve"> Already executed. R</w:t>
      </w:r>
      <w:r w:rsidR="007D71CB" w:rsidRPr="008E106E">
        <w:rPr>
          <w:rFonts w:ascii="Arial" w:hAnsi="Arial" w:cs="Arial"/>
          <w:sz w:val="22"/>
          <w:szCs w:val="22"/>
        </w:rPr>
        <w:t xml:space="preserve">esponsibility of </w:t>
      </w:r>
      <w:r w:rsidRPr="008E106E">
        <w:rPr>
          <w:rFonts w:ascii="Arial" w:hAnsi="Arial" w:cs="Arial"/>
          <w:sz w:val="22"/>
          <w:szCs w:val="22"/>
        </w:rPr>
        <w:t xml:space="preserve">the IDB and </w:t>
      </w:r>
      <w:r w:rsidR="007D71CB" w:rsidRPr="008E106E">
        <w:rPr>
          <w:rFonts w:ascii="Arial" w:hAnsi="Arial" w:cs="Arial"/>
          <w:sz w:val="22"/>
          <w:szCs w:val="22"/>
        </w:rPr>
        <w:t xml:space="preserve">procured to </w:t>
      </w:r>
      <w:r w:rsidRPr="008E106E">
        <w:rPr>
          <w:rFonts w:ascii="Arial" w:hAnsi="Arial" w:cs="Arial"/>
          <w:sz w:val="22"/>
          <w:szCs w:val="22"/>
        </w:rPr>
        <w:t>an external consultant</w:t>
      </w:r>
      <w:r w:rsidR="007D71CB" w:rsidRPr="008E106E">
        <w:rPr>
          <w:rFonts w:ascii="Arial" w:hAnsi="Arial" w:cs="Arial"/>
          <w:sz w:val="22"/>
          <w:szCs w:val="22"/>
        </w:rPr>
        <w:t xml:space="preserve">. The Baseline Values Study </w:t>
      </w:r>
      <w:r w:rsidR="000C1BF2" w:rsidRPr="008E106E">
        <w:rPr>
          <w:rFonts w:ascii="Arial" w:hAnsi="Arial" w:cs="Arial"/>
          <w:sz w:val="22"/>
          <w:szCs w:val="22"/>
        </w:rPr>
        <w:t>was</w:t>
      </w:r>
      <w:r w:rsidR="007D71CB" w:rsidRPr="008E106E">
        <w:rPr>
          <w:rFonts w:ascii="Arial" w:hAnsi="Arial" w:cs="Arial"/>
          <w:sz w:val="22"/>
          <w:szCs w:val="22"/>
        </w:rPr>
        <w:t xml:space="preserve"> prepared</w:t>
      </w:r>
      <w:r w:rsidRPr="008E106E">
        <w:rPr>
          <w:rFonts w:ascii="Arial" w:hAnsi="Arial" w:cs="Arial"/>
          <w:sz w:val="22"/>
          <w:szCs w:val="22"/>
        </w:rPr>
        <w:t xml:space="preserve"> before the </w:t>
      </w:r>
      <w:r w:rsidR="000C1BF2" w:rsidRPr="008E106E">
        <w:rPr>
          <w:rFonts w:ascii="Arial" w:hAnsi="Arial" w:cs="Arial"/>
          <w:sz w:val="22"/>
          <w:szCs w:val="22"/>
        </w:rPr>
        <w:t xml:space="preserve">SEF-2015 </w:t>
      </w:r>
      <w:r w:rsidRPr="008E106E">
        <w:rPr>
          <w:rFonts w:ascii="Arial" w:hAnsi="Arial" w:cs="Arial"/>
          <w:sz w:val="22"/>
          <w:szCs w:val="22"/>
        </w:rPr>
        <w:t xml:space="preserve">Program start. </w:t>
      </w:r>
    </w:p>
    <w:p w14:paraId="04C61B04" w14:textId="1E03E4FB" w:rsidR="00B92170" w:rsidRPr="008E106E" w:rsidRDefault="00B92170" w:rsidP="00B92170">
      <w:pPr>
        <w:pStyle w:val="ListBullet"/>
        <w:rPr>
          <w:rFonts w:ascii="Arial" w:hAnsi="Arial" w:cs="Arial"/>
          <w:sz w:val="22"/>
          <w:szCs w:val="22"/>
        </w:rPr>
      </w:pPr>
      <w:r w:rsidRPr="008E106E">
        <w:rPr>
          <w:rFonts w:ascii="Arial" w:hAnsi="Arial" w:cs="Arial"/>
          <w:b/>
          <w:sz w:val="22"/>
          <w:szCs w:val="22"/>
        </w:rPr>
        <w:t>Midterm Evaluation and Terminal evaluation for GEF</w:t>
      </w:r>
      <w:r w:rsidRPr="008E106E">
        <w:rPr>
          <w:rFonts w:ascii="Arial" w:hAnsi="Arial" w:cs="Arial"/>
          <w:sz w:val="22"/>
          <w:szCs w:val="22"/>
        </w:rPr>
        <w:t xml:space="preserve">—will be procured by the IDB and prepared by an external consultant. The Mid-term and Terminal Evaluation will be financed with Program funds (GEF) </w:t>
      </w:r>
      <w:r w:rsidR="006E5878" w:rsidRPr="008E106E">
        <w:rPr>
          <w:rFonts w:ascii="Arial" w:hAnsi="Arial" w:cs="Arial"/>
          <w:sz w:val="22"/>
          <w:szCs w:val="22"/>
        </w:rPr>
        <w:t xml:space="preserve">that are part of SEF-2015 </w:t>
      </w:r>
      <w:r w:rsidRPr="008E106E">
        <w:rPr>
          <w:rFonts w:ascii="Arial" w:hAnsi="Arial" w:cs="Arial"/>
          <w:sz w:val="22"/>
          <w:szCs w:val="22"/>
        </w:rPr>
        <w:t xml:space="preserve">and will cost an estimated value of US$70,000. </w:t>
      </w:r>
    </w:p>
    <w:p w14:paraId="47CD7534" w14:textId="70F1C901" w:rsidR="00B00213" w:rsidRPr="008E106E" w:rsidRDefault="00D06DB4" w:rsidP="00B00213">
      <w:pPr>
        <w:pStyle w:val="ListBullet"/>
        <w:rPr>
          <w:rFonts w:ascii="Arial" w:hAnsi="Arial" w:cs="Arial"/>
          <w:sz w:val="22"/>
          <w:szCs w:val="22"/>
        </w:rPr>
      </w:pPr>
      <w:r w:rsidRPr="00D06DB4">
        <w:rPr>
          <w:rFonts w:ascii="Arial" w:hAnsi="Arial" w:cs="Arial"/>
          <w:b/>
          <w:sz w:val="22"/>
          <w:szCs w:val="22"/>
        </w:rPr>
        <w:t xml:space="preserve">Interim </w:t>
      </w:r>
      <w:r w:rsidR="00246D03">
        <w:rPr>
          <w:rFonts w:ascii="Arial" w:hAnsi="Arial" w:cs="Arial"/>
          <w:b/>
          <w:sz w:val="22"/>
          <w:szCs w:val="22"/>
        </w:rPr>
        <w:t xml:space="preserve">and Final </w:t>
      </w:r>
      <w:r w:rsidRPr="00D06DB4">
        <w:rPr>
          <w:rFonts w:ascii="Arial" w:hAnsi="Arial" w:cs="Arial"/>
          <w:b/>
          <w:sz w:val="22"/>
          <w:szCs w:val="22"/>
        </w:rPr>
        <w:t>Independent Evaluation</w:t>
      </w:r>
      <w:r w:rsidR="00246D03">
        <w:rPr>
          <w:rFonts w:ascii="Arial" w:hAnsi="Arial" w:cs="Arial"/>
          <w:b/>
          <w:sz w:val="22"/>
          <w:szCs w:val="22"/>
        </w:rPr>
        <w:t xml:space="preserve"> </w:t>
      </w:r>
      <w:r w:rsidR="003623F4">
        <w:rPr>
          <w:rFonts w:ascii="Arial" w:hAnsi="Arial" w:cs="Arial"/>
          <w:b/>
          <w:sz w:val="22"/>
          <w:szCs w:val="22"/>
        </w:rPr>
        <w:t>for GCF</w:t>
      </w:r>
      <w:r w:rsidRPr="00D06DB4">
        <w:rPr>
          <w:rFonts w:ascii="Arial" w:hAnsi="Arial" w:cs="Arial"/>
          <w:b/>
          <w:sz w:val="22"/>
          <w:szCs w:val="22"/>
        </w:rPr>
        <w:t xml:space="preserve"> </w:t>
      </w:r>
      <w:r w:rsidR="00B00213" w:rsidRPr="008E106E">
        <w:rPr>
          <w:rFonts w:ascii="Arial" w:hAnsi="Arial" w:cs="Arial"/>
          <w:sz w:val="22"/>
          <w:szCs w:val="22"/>
        </w:rPr>
        <w:t xml:space="preserve">—will be procured by the EA and prepared by an external consultant. </w:t>
      </w:r>
      <w:r w:rsidR="00A90470">
        <w:rPr>
          <w:rFonts w:ascii="Arial" w:hAnsi="Arial" w:cs="Arial"/>
          <w:sz w:val="22"/>
          <w:szCs w:val="22"/>
        </w:rPr>
        <w:t>Each</w:t>
      </w:r>
      <w:r w:rsidR="00B00213" w:rsidRPr="008E106E">
        <w:rPr>
          <w:rFonts w:ascii="Arial" w:hAnsi="Arial" w:cs="Arial"/>
          <w:sz w:val="22"/>
          <w:szCs w:val="22"/>
        </w:rPr>
        <w:t xml:space="preserve"> </w:t>
      </w:r>
      <w:r w:rsidR="003623F4">
        <w:rPr>
          <w:rFonts w:ascii="Arial" w:hAnsi="Arial" w:cs="Arial"/>
          <w:sz w:val="22"/>
          <w:szCs w:val="22"/>
        </w:rPr>
        <w:t>e</w:t>
      </w:r>
      <w:r w:rsidR="00B00213" w:rsidRPr="008E106E">
        <w:rPr>
          <w:rFonts w:ascii="Arial" w:hAnsi="Arial" w:cs="Arial"/>
          <w:sz w:val="22"/>
          <w:szCs w:val="22"/>
        </w:rPr>
        <w:t>valuation will cost a</w:t>
      </w:r>
      <w:r w:rsidR="00C46290" w:rsidRPr="008E106E">
        <w:rPr>
          <w:rFonts w:ascii="Arial" w:hAnsi="Arial" w:cs="Arial"/>
          <w:sz w:val="22"/>
          <w:szCs w:val="22"/>
        </w:rPr>
        <w:t>n</w:t>
      </w:r>
      <w:r w:rsidR="00B00213" w:rsidRPr="008E106E">
        <w:rPr>
          <w:rFonts w:ascii="Arial" w:hAnsi="Arial" w:cs="Arial"/>
          <w:sz w:val="22"/>
          <w:szCs w:val="22"/>
        </w:rPr>
        <w:t xml:space="preserve"> </w:t>
      </w:r>
      <w:r w:rsidR="00C46290" w:rsidRPr="008E106E">
        <w:rPr>
          <w:rFonts w:ascii="Arial" w:hAnsi="Arial" w:cs="Arial"/>
          <w:sz w:val="22"/>
          <w:szCs w:val="22"/>
        </w:rPr>
        <w:t xml:space="preserve">estimated </w:t>
      </w:r>
      <w:r w:rsidR="00B00213" w:rsidRPr="008E106E">
        <w:rPr>
          <w:rFonts w:ascii="Arial" w:hAnsi="Arial" w:cs="Arial"/>
          <w:sz w:val="22"/>
          <w:szCs w:val="22"/>
        </w:rPr>
        <w:t>value of US$</w:t>
      </w:r>
      <w:r w:rsidR="00433A31" w:rsidRPr="008E106E">
        <w:rPr>
          <w:rFonts w:ascii="Arial" w:hAnsi="Arial" w:cs="Arial"/>
          <w:sz w:val="22"/>
          <w:szCs w:val="22"/>
        </w:rPr>
        <w:t>40</w:t>
      </w:r>
      <w:r w:rsidR="00B00213" w:rsidRPr="008E106E">
        <w:rPr>
          <w:rFonts w:ascii="Arial" w:hAnsi="Arial" w:cs="Arial"/>
          <w:sz w:val="22"/>
          <w:szCs w:val="22"/>
        </w:rPr>
        <w:t xml:space="preserve">,000. </w:t>
      </w:r>
    </w:p>
    <w:p w14:paraId="301628BA" w14:textId="24B974F8" w:rsidR="00B00213" w:rsidRPr="008E106E" w:rsidRDefault="00B00213" w:rsidP="00B00213">
      <w:pPr>
        <w:pStyle w:val="ListBullet"/>
        <w:rPr>
          <w:rFonts w:ascii="Arial" w:hAnsi="Arial" w:cs="Arial"/>
          <w:sz w:val="22"/>
          <w:szCs w:val="22"/>
        </w:rPr>
      </w:pPr>
      <w:r w:rsidRPr="008E106E">
        <w:rPr>
          <w:rFonts w:ascii="Arial" w:hAnsi="Arial" w:cs="Arial"/>
          <w:b/>
          <w:sz w:val="22"/>
          <w:szCs w:val="22"/>
        </w:rPr>
        <w:t>Ex post Cost Benefit Analysis</w:t>
      </w:r>
      <w:r w:rsidRPr="008E106E">
        <w:rPr>
          <w:rFonts w:ascii="Arial" w:hAnsi="Arial" w:cs="Arial"/>
          <w:sz w:val="22"/>
          <w:szCs w:val="22"/>
        </w:rPr>
        <w:t xml:space="preserve">—will be procured by the </w:t>
      </w:r>
      <w:r w:rsidR="0094404E" w:rsidRPr="008E106E">
        <w:rPr>
          <w:rFonts w:ascii="Arial" w:hAnsi="Arial" w:cs="Arial"/>
          <w:sz w:val="22"/>
          <w:szCs w:val="22"/>
        </w:rPr>
        <w:t>EA</w:t>
      </w:r>
      <w:r w:rsidRPr="008E106E">
        <w:rPr>
          <w:rFonts w:ascii="Arial" w:hAnsi="Arial" w:cs="Arial"/>
          <w:sz w:val="22"/>
          <w:szCs w:val="22"/>
        </w:rPr>
        <w:t xml:space="preserve"> and prepared by an external consultant. The Ex-post CBA will be financed </w:t>
      </w:r>
      <w:r w:rsidR="00FE60F5" w:rsidRPr="008E106E">
        <w:rPr>
          <w:rFonts w:ascii="Arial" w:hAnsi="Arial" w:cs="Arial"/>
          <w:sz w:val="22"/>
          <w:szCs w:val="22"/>
        </w:rPr>
        <w:t>by the CDB</w:t>
      </w:r>
      <w:r w:rsidRPr="008E106E">
        <w:rPr>
          <w:rFonts w:ascii="Arial" w:hAnsi="Arial" w:cs="Arial"/>
          <w:sz w:val="22"/>
          <w:szCs w:val="22"/>
        </w:rPr>
        <w:t xml:space="preserve"> and will cost </w:t>
      </w:r>
      <w:r w:rsidR="00433A31" w:rsidRPr="008E106E">
        <w:rPr>
          <w:rFonts w:ascii="Arial" w:hAnsi="Arial" w:cs="Arial"/>
          <w:sz w:val="22"/>
          <w:szCs w:val="22"/>
        </w:rPr>
        <w:t xml:space="preserve">approximately </w:t>
      </w:r>
      <w:r w:rsidRPr="008E106E">
        <w:rPr>
          <w:rFonts w:ascii="Arial" w:hAnsi="Arial" w:cs="Arial"/>
          <w:sz w:val="22"/>
          <w:szCs w:val="22"/>
        </w:rPr>
        <w:t>US$</w:t>
      </w:r>
      <w:r w:rsidR="00C46290" w:rsidRPr="008E106E">
        <w:rPr>
          <w:rFonts w:ascii="Arial" w:hAnsi="Arial" w:cs="Arial"/>
          <w:sz w:val="22"/>
          <w:szCs w:val="22"/>
        </w:rPr>
        <w:t>4</w:t>
      </w:r>
      <w:r w:rsidRPr="008E106E">
        <w:rPr>
          <w:rFonts w:ascii="Arial" w:hAnsi="Arial" w:cs="Arial"/>
          <w:sz w:val="22"/>
          <w:szCs w:val="22"/>
        </w:rPr>
        <w:t xml:space="preserve">0,000. The Ex-post CBA will be prepared </w:t>
      </w:r>
      <w:r w:rsidR="00FE60F5" w:rsidRPr="008E106E">
        <w:rPr>
          <w:rFonts w:ascii="Arial" w:hAnsi="Arial" w:cs="Arial"/>
          <w:sz w:val="22"/>
          <w:szCs w:val="22"/>
        </w:rPr>
        <w:t>as part of the PCR</w:t>
      </w:r>
      <w:r w:rsidRPr="008E106E">
        <w:rPr>
          <w:rFonts w:ascii="Arial" w:hAnsi="Arial" w:cs="Arial"/>
          <w:sz w:val="22"/>
          <w:szCs w:val="22"/>
        </w:rPr>
        <w:t>.</w:t>
      </w:r>
      <w:r w:rsidR="00643CD2">
        <w:rPr>
          <w:rFonts w:ascii="Arial" w:hAnsi="Arial" w:cs="Arial"/>
          <w:sz w:val="22"/>
          <w:szCs w:val="22"/>
        </w:rPr>
        <w:t xml:space="preserve"> US$40,000 from </w:t>
      </w:r>
      <w:r w:rsidR="00CE3C4D">
        <w:rPr>
          <w:rFonts w:ascii="Arial" w:hAnsi="Arial" w:cs="Arial"/>
          <w:sz w:val="22"/>
          <w:szCs w:val="22"/>
        </w:rPr>
        <w:t>CDB counterpart resources under RG-L1071 (SEF-2015) have been allocated for conducting the ex-post CBA. Hence, no additional resources are assigned for this under the SEF-Expanded.</w:t>
      </w:r>
    </w:p>
    <w:p w14:paraId="7998C752" w14:textId="2C7395CB" w:rsidR="00B00213" w:rsidRPr="008E106E" w:rsidRDefault="00B00213" w:rsidP="00C46290">
      <w:pPr>
        <w:pStyle w:val="ListBullet"/>
        <w:rPr>
          <w:rFonts w:ascii="Arial" w:hAnsi="Arial" w:cs="Arial"/>
          <w:sz w:val="22"/>
          <w:szCs w:val="22"/>
        </w:rPr>
      </w:pPr>
      <w:r w:rsidRPr="008E106E">
        <w:rPr>
          <w:rFonts w:ascii="Arial" w:hAnsi="Arial" w:cs="Arial"/>
          <w:b/>
          <w:sz w:val="22"/>
          <w:szCs w:val="22"/>
        </w:rPr>
        <w:t>Project Completion Report</w:t>
      </w:r>
      <w:r w:rsidRPr="008E106E">
        <w:rPr>
          <w:rFonts w:ascii="Arial" w:hAnsi="Arial" w:cs="Arial"/>
          <w:sz w:val="22"/>
          <w:szCs w:val="22"/>
        </w:rPr>
        <w:t xml:space="preserve">—will be prepared by the </w:t>
      </w:r>
      <w:r w:rsidR="00433A31" w:rsidRPr="008E106E">
        <w:rPr>
          <w:rFonts w:ascii="Arial" w:hAnsi="Arial" w:cs="Arial"/>
          <w:sz w:val="22"/>
          <w:szCs w:val="22"/>
        </w:rPr>
        <w:t xml:space="preserve">EA and conducted </w:t>
      </w:r>
      <w:r w:rsidR="00C46290" w:rsidRPr="008E106E">
        <w:rPr>
          <w:rFonts w:ascii="Arial" w:hAnsi="Arial" w:cs="Arial"/>
          <w:sz w:val="22"/>
          <w:szCs w:val="22"/>
        </w:rPr>
        <w:t>up to 2 years after the final disbursement of SEF resources to the individual projects.</w:t>
      </w:r>
    </w:p>
    <w:p w14:paraId="7523985C" w14:textId="77777777" w:rsidR="00E53900" w:rsidRPr="008E106E" w:rsidRDefault="00E53900">
      <w:pPr>
        <w:pStyle w:val="Caption"/>
        <w:rPr>
          <w:rFonts w:ascii="Arial" w:hAnsi="Arial" w:cs="Arial"/>
          <w:sz w:val="22"/>
          <w:szCs w:val="22"/>
        </w:rPr>
        <w:sectPr w:rsidR="00E53900" w:rsidRPr="008E106E" w:rsidSect="00810778">
          <w:pgSz w:w="12242" w:h="15842" w:code="1"/>
          <w:pgMar w:top="1440" w:right="1797" w:bottom="1440" w:left="1797" w:header="709" w:footer="709" w:gutter="0"/>
          <w:cols w:space="708"/>
          <w:docGrid w:linePitch="360"/>
        </w:sectPr>
      </w:pPr>
    </w:p>
    <w:p w14:paraId="7199001F" w14:textId="6279285B" w:rsidR="00123C6C" w:rsidRPr="008E106E" w:rsidRDefault="00123C6C">
      <w:pPr>
        <w:pStyle w:val="Caption"/>
        <w:rPr>
          <w:rFonts w:ascii="Arial" w:hAnsi="Arial" w:cs="Arial"/>
          <w:sz w:val="22"/>
          <w:szCs w:val="22"/>
        </w:rPr>
      </w:pPr>
      <w:bookmarkStart w:id="80" w:name="_Toc423458255"/>
      <w:r w:rsidRPr="008E106E">
        <w:rPr>
          <w:rFonts w:ascii="Arial" w:hAnsi="Arial" w:cs="Arial"/>
          <w:sz w:val="22"/>
          <w:szCs w:val="22"/>
        </w:rPr>
        <w:t xml:space="preserve">Table </w:t>
      </w:r>
      <w:r w:rsidR="00B75A47" w:rsidRPr="008E106E">
        <w:rPr>
          <w:rFonts w:ascii="Arial" w:hAnsi="Arial" w:cs="Arial"/>
          <w:sz w:val="22"/>
          <w:szCs w:val="22"/>
        </w:rPr>
        <w:fldChar w:fldCharType="begin"/>
      </w:r>
      <w:r w:rsidR="00B75A47" w:rsidRPr="008E106E">
        <w:rPr>
          <w:rFonts w:ascii="Arial" w:hAnsi="Arial" w:cs="Arial"/>
          <w:sz w:val="22"/>
          <w:szCs w:val="22"/>
        </w:rPr>
        <w:instrText xml:space="preserve"> STYLEREF 1 \s </w:instrText>
      </w:r>
      <w:r w:rsidR="00B75A47" w:rsidRPr="008E106E">
        <w:rPr>
          <w:rFonts w:ascii="Arial" w:hAnsi="Arial" w:cs="Arial"/>
          <w:sz w:val="22"/>
          <w:szCs w:val="22"/>
        </w:rPr>
        <w:fldChar w:fldCharType="separate"/>
      </w:r>
      <w:r w:rsidR="00B75A47" w:rsidRPr="008E106E">
        <w:rPr>
          <w:rFonts w:ascii="Arial" w:hAnsi="Arial" w:cs="Arial"/>
          <w:noProof/>
          <w:sz w:val="22"/>
          <w:szCs w:val="22"/>
        </w:rPr>
        <w:t>3</w:t>
      </w:r>
      <w:r w:rsidR="00B75A47" w:rsidRPr="008E106E">
        <w:rPr>
          <w:rFonts w:ascii="Arial" w:hAnsi="Arial" w:cs="Arial"/>
          <w:noProof/>
          <w:sz w:val="22"/>
          <w:szCs w:val="22"/>
        </w:rPr>
        <w:fldChar w:fldCharType="end"/>
      </w:r>
      <w:r w:rsidRPr="008E106E">
        <w:rPr>
          <w:rFonts w:ascii="Arial" w:hAnsi="Arial" w:cs="Arial"/>
          <w:sz w:val="22"/>
          <w:szCs w:val="22"/>
        </w:rPr>
        <w:t>.</w:t>
      </w:r>
      <w:r w:rsidR="005870B7" w:rsidRPr="008E106E">
        <w:rPr>
          <w:rFonts w:ascii="Arial" w:hAnsi="Arial" w:cs="Arial"/>
          <w:sz w:val="22"/>
          <w:szCs w:val="22"/>
        </w:rPr>
        <w:fldChar w:fldCharType="begin"/>
      </w:r>
      <w:r w:rsidR="005870B7" w:rsidRPr="008E106E">
        <w:rPr>
          <w:rFonts w:ascii="Arial" w:hAnsi="Arial" w:cs="Arial"/>
          <w:sz w:val="22"/>
          <w:szCs w:val="22"/>
        </w:rPr>
        <w:instrText xml:space="preserve"> SEQ Table \* ARABIC \s 1 </w:instrText>
      </w:r>
      <w:r w:rsidR="005870B7" w:rsidRPr="008E106E">
        <w:rPr>
          <w:rFonts w:ascii="Arial" w:hAnsi="Arial" w:cs="Arial"/>
          <w:sz w:val="22"/>
          <w:szCs w:val="22"/>
        </w:rPr>
        <w:fldChar w:fldCharType="separate"/>
      </w:r>
      <w:r w:rsidR="00B75A47" w:rsidRPr="008E106E">
        <w:rPr>
          <w:rFonts w:ascii="Arial" w:hAnsi="Arial" w:cs="Arial"/>
          <w:noProof/>
          <w:sz w:val="22"/>
          <w:szCs w:val="22"/>
        </w:rPr>
        <w:t>3</w:t>
      </w:r>
      <w:r w:rsidR="005870B7" w:rsidRPr="008E106E">
        <w:rPr>
          <w:rFonts w:ascii="Arial" w:hAnsi="Arial" w:cs="Arial"/>
          <w:noProof/>
          <w:sz w:val="22"/>
          <w:szCs w:val="22"/>
        </w:rPr>
        <w:fldChar w:fldCharType="end"/>
      </w:r>
      <w:r w:rsidRPr="008E106E">
        <w:rPr>
          <w:rFonts w:ascii="Arial" w:hAnsi="Arial" w:cs="Arial"/>
          <w:sz w:val="22"/>
          <w:szCs w:val="22"/>
        </w:rPr>
        <w:t>: Evaluation Work Plan</w:t>
      </w:r>
      <w:bookmarkEnd w:id="80"/>
    </w:p>
    <w:tbl>
      <w:tblPr>
        <w:tblW w:w="4966" w:type="pct"/>
        <w:tblLayout w:type="fixed"/>
        <w:tblLook w:val="04A0" w:firstRow="1" w:lastRow="0" w:firstColumn="1" w:lastColumn="0" w:noHBand="0" w:noVBand="1"/>
      </w:tblPr>
      <w:tblGrid>
        <w:gridCol w:w="1620"/>
        <w:gridCol w:w="436"/>
        <w:gridCol w:w="354"/>
        <w:gridCol w:w="364"/>
        <w:gridCol w:w="356"/>
        <w:gridCol w:w="366"/>
        <w:gridCol w:w="361"/>
        <w:gridCol w:w="366"/>
        <w:gridCol w:w="361"/>
        <w:gridCol w:w="369"/>
        <w:gridCol w:w="361"/>
        <w:gridCol w:w="368"/>
        <w:gridCol w:w="360"/>
        <w:gridCol w:w="365"/>
        <w:gridCol w:w="360"/>
        <w:gridCol w:w="368"/>
        <w:gridCol w:w="383"/>
        <w:gridCol w:w="337"/>
        <w:gridCol w:w="360"/>
        <w:gridCol w:w="373"/>
        <w:gridCol w:w="353"/>
        <w:gridCol w:w="394"/>
        <w:gridCol w:w="481"/>
        <w:gridCol w:w="358"/>
        <w:gridCol w:w="767"/>
        <w:gridCol w:w="708"/>
        <w:gridCol w:w="1220"/>
        <w:tblGridChange w:id="81">
          <w:tblGrid>
            <w:gridCol w:w="1620"/>
            <w:gridCol w:w="436"/>
            <w:gridCol w:w="354"/>
            <w:gridCol w:w="364"/>
            <w:gridCol w:w="356"/>
            <w:gridCol w:w="366"/>
            <w:gridCol w:w="361"/>
            <w:gridCol w:w="366"/>
            <w:gridCol w:w="361"/>
            <w:gridCol w:w="369"/>
            <w:gridCol w:w="361"/>
            <w:gridCol w:w="368"/>
            <w:gridCol w:w="360"/>
            <w:gridCol w:w="365"/>
            <w:gridCol w:w="360"/>
            <w:gridCol w:w="368"/>
            <w:gridCol w:w="383"/>
            <w:gridCol w:w="337"/>
            <w:gridCol w:w="360"/>
            <w:gridCol w:w="373"/>
            <w:gridCol w:w="353"/>
            <w:gridCol w:w="394"/>
            <w:gridCol w:w="481"/>
            <w:gridCol w:w="358"/>
            <w:gridCol w:w="767"/>
            <w:gridCol w:w="708"/>
            <w:gridCol w:w="1220"/>
          </w:tblGrid>
        </w:tblGridChange>
      </w:tblGrid>
      <w:tr w:rsidR="00C03D03" w:rsidRPr="008E106E" w14:paraId="6F1A4FB1" w14:textId="77777777" w:rsidTr="00D61AD6">
        <w:trPr>
          <w:trHeight w:val="261"/>
        </w:trPr>
        <w:tc>
          <w:tcPr>
            <w:tcW w:w="629" w:type="pct"/>
            <w:vMerge w:val="restart"/>
            <w:tcBorders>
              <w:bottom w:val="single" w:sz="4" w:space="0" w:color="auto"/>
              <w:right w:val="single" w:sz="4" w:space="0" w:color="auto"/>
            </w:tcBorders>
            <w:shd w:val="clear" w:color="000000" w:fill="D9D9D9"/>
            <w:noWrap/>
            <w:vAlign w:val="center"/>
            <w:hideMark/>
          </w:tcPr>
          <w:p w14:paraId="360C8DA2" w14:textId="77777777" w:rsidR="00780C0A" w:rsidRPr="008E106E" w:rsidRDefault="00780C0A" w:rsidP="003B569F">
            <w:pPr>
              <w:jc w:val="center"/>
              <w:rPr>
                <w:rFonts w:ascii="Arial" w:hAnsi="Arial" w:cs="Arial"/>
                <w:b/>
                <w:bCs/>
                <w:color w:val="000000"/>
                <w:sz w:val="22"/>
                <w:szCs w:val="22"/>
              </w:rPr>
            </w:pPr>
            <w:proofErr w:type="spellStart"/>
            <w:r w:rsidRPr="008E106E">
              <w:rPr>
                <w:rFonts w:ascii="Arial" w:hAnsi="Arial" w:cs="Arial"/>
                <w:b/>
                <w:bCs/>
                <w:color w:val="000000"/>
                <w:sz w:val="22"/>
                <w:szCs w:val="22"/>
                <w:lang w:val="es-AR"/>
              </w:rPr>
              <w:t>Activity</w:t>
            </w:r>
            <w:proofErr w:type="spellEnd"/>
          </w:p>
        </w:tc>
        <w:tc>
          <w:tcPr>
            <w:tcW w:w="169" w:type="pct"/>
            <w:tcBorders>
              <w:left w:val="nil"/>
              <w:bottom w:val="single" w:sz="4" w:space="0" w:color="auto"/>
              <w:right w:val="single" w:sz="4" w:space="0" w:color="auto"/>
            </w:tcBorders>
            <w:shd w:val="clear" w:color="auto" w:fill="D9D9D9" w:themeFill="background1" w:themeFillShade="D9"/>
            <w:vAlign w:val="center"/>
          </w:tcPr>
          <w:p w14:paraId="1AA2496F" w14:textId="77777777" w:rsidR="00780C0A" w:rsidRPr="008E106E" w:rsidRDefault="00780C0A" w:rsidP="006D2DF7">
            <w:pPr>
              <w:jc w:val="center"/>
              <w:rPr>
                <w:rFonts w:ascii="Arial" w:hAnsi="Arial" w:cs="Arial"/>
                <w:b/>
                <w:bCs/>
                <w:color w:val="000000"/>
                <w:sz w:val="22"/>
                <w:szCs w:val="22"/>
              </w:rPr>
            </w:pPr>
            <w:r w:rsidRPr="008E106E">
              <w:rPr>
                <w:rFonts w:ascii="Arial" w:hAnsi="Arial" w:cs="Arial"/>
                <w:b/>
                <w:bCs/>
                <w:color w:val="000000"/>
                <w:sz w:val="22"/>
                <w:szCs w:val="22"/>
              </w:rPr>
              <w:t>2015</w:t>
            </w:r>
          </w:p>
        </w:tc>
        <w:tc>
          <w:tcPr>
            <w:tcW w:w="278" w:type="pct"/>
            <w:gridSpan w:val="2"/>
            <w:tcBorders>
              <w:left w:val="single" w:sz="4" w:space="0" w:color="auto"/>
              <w:bottom w:val="single" w:sz="4" w:space="0" w:color="auto"/>
              <w:right w:val="single" w:sz="4" w:space="0" w:color="auto"/>
            </w:tcBorders>
            <w:shd w:val="clear" w:color="auto" w:fill="D9D9D9" w:themeFill="background1" w:themeFillShade="D9"/>
            <w:noWrap/>
            <w:vAlign w:val="center"/>
          </w:tcPr>
          <w:p w14:paraId="5EE7E909" w14:textId="77777777" w:rsidR="00780C0A" w:rsidRPr="008E106E" w:rsidRDefault="00780C0A" w:rsidP="00E53900">
            <w:pPr>
              <w:jc w:val="center"/>
              <w:rPr>
                <w:rFonts w:ascii="Arial" w:hAnsi="Arial" w:cs="Arial"/>
                <w:b/>
                <w:bCs/>
                <w:color w:val="000000"/>
                <w:sz w:val="22"/>
                <w:szCs w:val="22"/>
              </w:rPr>
            </w:pPr>
            <w:r w:rsidRPr="008E106E">
              <w:rPr>
                <w:rFonts w:ascii="Arial" w:hAnsi="Arial" w:cs="Arial"/>
                <w:b/>
                <w:bCs/>
                <w:color w:val="000000"/>
                <w:sz w:val="22"/>
                <w:szCs w:val="22"/>
              </w:rPr>
              <w:t>2016</w:t>
            </w:r>
          </w:p>
        </w:tc>
        <w:tc>
          <w:tcPr>
            <w:tcW w:w="280" w:type="pct"/>
            <w:gridSpan w:val="2"/>
            <w:tcBorders>
              <w:left w:val="nil"/>
              <w:bottom w:val="single" w:sz="4" w:space="0" w:color="auto"/>
              <w:right w:val="single" w:sz="4" w:space="0" w:color="auto"/>
            </w:tcBorders>
            <w:shd w:val="clear" w:color="auto" w:fill="D9D9D9" w:themeFill="background1" w:themeFillShade="D9"/>
            <w:noWrap/>
            <w:vAlign w:val="center"/>
          </w:tcPr>
          <w:p w14:paraId="01E3E394" w14:textId="77777777" w:rsidR="00780C0A" w:rsidRPr="008E106E" w:rsidRDefault="00780C0A" w:rsidP="00E53900">
            <w:pPr>
              <w:jc w:val="center"/>
              <w:rPr>
                <w:rFonts w:ascii="Arial" w:hAnsi="Arial" w:cs="Arial"/>
                <w:b/>
                <w:bCs/>
                <w:color w:val="000000"/>
                <w:sz w:val="22"/>
                <w:szCs w:val="22"/>
              </w:rPr>
            </w:pPr>
            <w:r w:rsidRPr="008E106E">
              <w:rPr>
                <w:rFonts w:ascii="Arial" w:hAnsi="Arial" w:cs="Arial"/>
                <w:b/>
                <w:bCs/>
                <w:color w:val="000000"/>
                <w:sz w:val="22"/>
                <w:szCs w:val="22"/>
              </w:rPr>
              <w:t>2017</w:t>
            </w:r>
          </w:p>
        </w:tc>
        <w:tc>
          <w:tcPr>
            <w:tcW w:w="282" w:type="pct"/>
            <w:gridSpan w:val="2"/>
            <w:tcBorders>
              <w:left w:val="nil"/>
              <w:bottom w:val="single" w:sz="4" w:space="0" w:color="auto"/>
              <w:right w:val="single" w:sz="4" w:space="0" w:color="auto"/>
            </w:tcBorders>
            <w:shd w:val="clear" w:color="auto" w:fill="D9D9D9" w:themeFill="background1" w:themeFillShade="D9"/>
            <w:vAlign w:val="center"/>
          </w:tcPr>
          <w:p w14:paraId="1E9E480F" w14:textId="77777777" w:rsidR="00780C0A" w:rsidRPr="008E106E" w:rsidRDefault="00780C0A" w:rsidP="00E53900">
            <w:pPr>
              <w:jc w:val="center"/>
              <w:rPr>
                <w:rFonts w:ascii="Arial" w:hAnsi="Arial" w:cs="Arial"/>
                <w:b/>
                <w:bCs/>
                <w:color w:val="000000"/>
                <w:sz w:val="22"/>
                <w:szCs w:val="22"/>
              </w:rPr>
            </w:pPr>
            <w:r w:rsidRPr="008E106E">
              <w:rPr>
                <w:rFonts w:ascii="Arial" w:hAnsi="Arial" w:cs="Arial"/>
                <w:b/>
                <w:bCs/>
                <w:color w:val="000000"/>
                <w:sz w:val="22"/>
                <w:szCs w:val="22"/>
              </w:rPr>
              <w:t>2018</w:t>
            </w:r>
          </w:p>
        </w:tc>
        <w:tc>
          <w:tcPr>
            <w:tcW w:w="283" w:type="pct"/>
            <w:gridSpan w:val="2"/>
            <w:tcBorders>
              <w:left w:val="single" w:sz="4" w:space="0" w:color="auto"/>
              <w:bottom w:val="single" w:sz="4" w:space="0" w:color="auto"/>
              <w:right w:val="single" w:sz="4" w:space="0" w:color="auto"/>
            </w:tcBorders>
            <w:shd w:val="clear" w:color="auto" w:fill="D9D9D9" w:themeFill="background1" w:themeFillShade="D9"/>
            <w:vAlign w:val="center"/>
          </w:tcPr>
          <w:p w14:paraId="393F3022" w14:textId="77777777" w:rsidR="00780C0A" w:rsidRPr="008E106E" w:rsidRDefault="00780C0A" w:rsidP="00E53900">
            <w:pPr>
              <w:jc w:val="center"/>
              <w:rPr>
                <w:rFonts w:ascii="Arial" w:hAnsi="Arial" w:cs="Arial"/>
                <w:b/>
                <w:bCs/>
                <w:color w:val="000000"/>
                <w:sz w:val="22"/>
                <w:szCs w:val="22"/>
              </w:rPr>
            </w:pPr>
            <w:r w:rsidRPr="008E106E">
              <w:rPr>
                <w:rFonts w:ascii="Arial" w:hAnsi="Arial" w:cs="Arial"/>
                <w:b/>
                <w:bCs/>
                <w:color w:val="000000"/>
                <w:sz w:val="22"/>
                <w:szCs w:val="22"/>
              </w:rPr>
              <w:t>2019</w:t>
            </w:r>
          </w:p>
        </w:tc>
        <w:tc>
          <w:tcPr>
            <w:tcW w:w="283" w:type="pct"/>
            <w:gridSpan w:val="2"/>
            <w:tcBorders>
              <w:left w:val="nil"/>
              <w:bottom w:val="single" w:sz="4" w:space="0" w:color="auto"/>
              <w:right w:val="single" w:sz="4" w:space="0" w:color="auto"/>
            </w:tcBorders>
            <w:shd w:val="clear" w:color="auto" w:fill="D9D9D9" w:themeFill="background1" w:themeFillShade="D9"/>
            <w:noWrap/>
            <w:vAlign w:val="center"/>
          </w:tcPr>
          <w:p w14:paraId="48265A2C" w14:textId="77777777" w:rsidR="00780C0A" w:rsidRPr="008E106E" w:rsidRDefault="00780C0A" w:rsidP="00E53900">
            <w:pPr>
              <w:jc w:val="center"/>
              <w:rPr>
                <w:rFonts w:ascii="Arial" w:hAnsi="Arial" w:cs="Arial"/>
                <w:b/>
                <w:bCs/>
                <w:color w:val="000000"/>
                <w:sz w:val="22"/>
                <w:szCs w:val="22"/>
              </w:rPr>
            </w:pPr>
            <w:r w:rsidRPr="008E106E">
              <w:rPr>
                <w:rFonts w:ascii="Arial" w:hAnsi="Arial" w:cs="Arial"/>
                <w:b/>
                <w:bCs/>
                <w:color w:val="000000"/>
                <w:sz w:val="22"/>
                <w:szCs w:val="22"/>
              </w:rPr>
              <w:t>2020</w:t>
            </w:r>
          </w:p>
        </w:tc>
        <w:tc>
          <w:tcPr>
            <w:tcW w:w="282" w:type="pct"/>
            <w:gridSpan w:val="2"/>
            <w:tcBorders>
              <w:left w:val="nil"/>
              <w:bottom w:val="single" w:sz="4" w:space="0" w:color="auto"/>
              <w:right w:val="single" w:sz="4" w:space="0" w:color="auto"/>
            </w:tcBorders>
            <w:shd w:val="clear" w:color="auto" w:fill="D9D9D9" w:themeFill="background1" w:themeFillShade="D9"/>
            <w:noWrap/>
            <w:vAlign w:val="center"/>
          </w:tcPr>
          <w:p w14:paraId="025E3151" w14:textId="77777777" w:rsidR="00780C0A" w:rsidRPr="008E106E" w:rsidRDefault="00780C0A" w:rsidP="00E53900">
            <w:pPr>
              <w:jc w:val="center"/>
              <w:rPr>
                <w:rFonts w:ascii="Arial" w:hAnsi="Arial" w:cs="Arial"/>
                <w:b/>
                <w:bCs/>
                <w:color w:val="000000"/>
                <w:sz w:val="22"/>
                <w:szCs w:val="22"/>
              </w:rPr>
            </w:pPr>
            <w:r w:rsidRPr="008E106E">
              <w:rPr>
                <w:rFonts w:ascii="Arial" w:hAnsi="Arial" w:cs="Arial"/>
                <w:b/>
                <w:bCs/>
                <w:color w:val="000000"/>
                <w:sz w:val="22"/>
                <w:szCs w:val="22"/>
              </w:rPr>
              <w:t>2021</w:t>
            </w:r>
          </w:p>
        </w:tc>
        <w:tc>
          <w:tcPr>
            <w:tcW w:w="283" w:type="pct"/>
            <w:gridSpan w:val="2"/>
            <w:tcBorders>
              <w:left w:val="nil"/>
              <w:bottom w:val="single" w:sz="4" w:space="0" w:color="auto"/>
              <w:right w:val="single" w:sz="4" w:space="0" w:color="auto"/>
            </w:tcBorders>
            <w:shd w:val="clear" w:color="auto" w:fill="D9D9D9" w:themeFill="background1" w:themeFillShade="D9"/>
            <w:noWrap/>
            <w:vAlign w:val="center"/>
          </w:tcPr>
          <w:p w14:paraId="7296900B" w14:textId="77777777" w:rsidR="00780C0A" w:rsidRPr="008E106E" w:rsidRDefault="00780C0A" w:rsidP="00E53900">
            <w:pPr>
              <w:jc w:val="center"/>
              <w:rPr>
                <w:rFonts w:ascii="Arial" w:hAnsi="Arial" w:cs="Arial"/>
                <w:b/>
                <w:bCs/>
                <w:color w:val="000000"/>
                <w:sz w:val="22"/>
                <w:szCs w:val="22"/>
              </w:rPr>
            </w:pPr>
            <w:r w:rsidRPr="008E106E">
              <w:rPr>
                <w:rFonts w:ascii="Arial" w:hAnsi="Arial" w:cs="Arial"/>
                <w:b/>
                <w:bCs/>
                <w:color w:val="000000"/>
                <w:sz w:val="22"/>
                <w:szCs w:val="22"/>
              </w:rPr>
              <w:t>2022</w:t>
            </w:r>
          </w:p>
        </w:tc>
        <w:tc>
          <w:tcPr>
            <w:tcW w:w="280" w:type="pct"/>
            <w:gridSpan w:val="2"/>
            <w:tcBorders>
              <w:left w:val="single" w:sz="4" w:space="0" w:color="auto"/>
              <w:bottom w:val="single" w:sz="4" w:space="0" w:color="auto"/>
              <w:right w:val="single" w:sz="4" w:space="0" w:color="auto"/>
            </w:tcBorders>
            <w:shd w:val="clear" w:color="auto" w:fill="D9D9D9" w:themeFill="background1" w:themeFillShade="D9"/>
            <w:vAlign w:val="center"/>
          </w:tcPr>
          <w:p w14:paraId="1520E8DE" w14:textId="77777777" w:rsidR="00780C0A" w:rsidRPr="008E106E" w:rsidRDefault="00780C0A" w:rsidP="00E53900">
            <w:pPr>
              <w:jc w:val="center"/>
              <w:rPr>
                <w:rFonts w:ascii="Arial" w:hAnsi="Arial" w:cs="Arial"/>
                <w:b/>
                <w:bCs/>
                <w:color w:val="000000"/>
                <w:sz w:val="22"/>
                <w:szCs w:val="22"/>
              </w:rPr>
            </w:pPr>
            <w:r w:rsidRPr="008E106E">
              <w:rPr>
                <w:rFonts w:ascii="Arial" w:hAnsi="Arial" w:cs="Arial"/>
                <w:b/>
                <w:bCs/>
                <w:color w:val="000000"/>
                <w:sz w:val="22"/>
                <w:szCs w:val="22"/>
              </w:rPr>
              <w:t>2023</w:t>
            </w:r>
          </w:p>
        </w:tc>
        <w:tc>
          <w:tcPr>
            <w:tcW w:w="285" w:type="pct"/>
            <w:gridSpan w:val="2"/>
            <w:tcBorders>
              <w:left w:val="single" w:sz="4" w:space="0" w:color="auto"/>
              <w:bottom w:val="single" w:sz="4" w:space="0" w:color="auto"/>
              <w:right w:val="single" w:sz="4" w:space="0" w:color="auto"/>
            </w:tcBorders>
            <w:shd w:val="clear" w:color="auto" w:fill="D9D9D9" w:themeFill="background1" w:themeFillShade="D9"/>
            <w:vAlign w:val="center"/>
          </w:tcPr>
          <w:p w14:paraId="43941AF0" w14:textId="6C6354BB" w:rsidR="00780C0A" w:rsidRPr="008E106E" w:rsidRDefault="00780C0A" w:rsidP="00135421">
            <w:pPr>
              <w:jc w:val="center"/>
              <w:rPr>
                <w:rFonts w:ascii="Arial" w:hAnsi="Arial" w:cs="Arial"/>
                <w:b/>
                <w:bCs/>
                <w:color w:val="000000"/>
                <w:sz w:val="22"/>
                <w:szCs w:val="22"/>
              </w:rPr>
            </w:pPr>
            <w:r w:rsidRPr="008E106E">
              <w:rPr>
                <w:rFonts w:ascii="Arial" w:hAnsi="Arial" w:cs="Arial"/>
                <w:b/>
                <w:bCs/>
                <w:color w:val="000000"/>
                <w:sz w:val="22"/>
                <w:szCs w:val="22"/>
              </w:rPr>
              <w:t>2024</w:t>
            </w:r>
          </w:p>
        </w:tc>
        <w:tc>
          <w:tcPr>
            <w:tcW w:w="290" w:type="pct"/>
            <w:gridSpan w:val="2"/>
            <w:tcBorders>
              <w:left w:val="single" w:sz="4" w:space="0" w:color="auto"/>
              <w:bottom w:val="single" w:sz="4" w:space="0" w:color="auto"/>
              <w:right w:val="single" w:sz="4" w:space="0" w:color="auto"/>
            </w:tcBorders>
            <w:shd w:val="clear" w:color="auto" w:fill="D9D9D9" w:themeFill="background1" w:themeFillShade="D9"/>
            <w:vAlign w:val="center"/>
          </w:tcPr>
          <w:p w14:paraId="1D5FD850" w14:textId="6A0AE9C8" w:rsidR="00780C0A" w:rsidRPr="008E106E" w:rsidRDefault="00780C0A" w:rsidP="00B765C0">
            <w:pPr>
              <w:jc w:val="center"/>
              <w:rPr>
                <w:rFonts w:ascii="Arial" w:hAnsi="Arial" w:cs="Arial"/>
                <w:b/>
                <w:bCs/>
                <w:color w:val="000000"/>
                <w:sz w:val="22"/>
                <w:szCs w:val="22"/>
                <w:lang w:val="es-ES"/>
              </w:rPr>
            </w:pPr>
            <w:r>
              <w:rPr>
                <w:rFonts w:ascii="Arial" w:hAnsi="Arial" w:cs="Arial"/>
                <w:b/>
                <w:bCs/>
                <w:color w:val="000000"/>
                <w:sz w:val="22"/>
                <w:szCs w:val="22"/>
                <w:lang w:val="es-ES"/>
              </w:rPr>
              <w:t>2025</w:t>
            </w:r>
          </w:p>
        </w:tc>
        <w:tc>
          <w:tcPr>
            <w:tcW w:w="326" w:type="pct"/>
            <w:gridSpan w:val="2"/>
            <w:tcBorders>
              <w:left w:val="single" w:sz="4" w:space="0" w:color="auto"/>
              <w:bottom w:val="single" w:sz="4" w:space="0" w:color="auto"/>
              <w:right w:val="single" w:sz="4" w:space="0" w:color="auto"/>
            </w:tcBorders>
            <w:shd w:val="clear" w:color="auto" w:fill="F2F2F2" w:themeFill="background1" w:themeFillShade="F2"/>
          </w:tcPr>
          <w:p w14:paraId="0F150E08" w14:textId="70DAA40F" w:rsidR="00780C0A" w:rsidRPr="008E106E" w:rsidRDefault="00780C0A" w:rsidP="00B765C0">
            <w:pPr>
              <w:jc w:val="center"/>
              <w:rPr>
                <w:rFonts w:ascii="Arial" w:hAnsi="Arial" w:cs="Arial"/>
                <w:b/>
                <w:bCs/>
                <w:color w:val="000000"/>
                <w:sz w:val="22"/>
                <w:szCs w:val="22"/>
                <w:lang w:val="es-ES"/>
              </w:rPr>
            </w:pPr>
          </w:p>
        </w:tc>
        <w:tc>
          <w:tcPr>
            <w:tcW w:w="298" w:type="pct"/>
            <w:tcBorders>
              <w:left w:val="single" w:sz="4" w:space="0" w:color="auto"/>
              <w:bottom w:val="single" w:sz="4" w:space="0" w:color="auto"/>
              <w:right w:val="single" w:sz="4" w:space="0" w:color="auto"/>
            </w:tcBorders>
            <w:shd w:val="clear" w:color="auto" w:fill="D9D9D9" w:themeFill="background1" w:themeFillShade="D9"/>
            <w:noWrap/>
            <w:vAlign w:val="center"/>
            <w:hideMark/>
          </w:tcPr>
          <w:p w14:paraId="23DA41E8" w14:textId="5EE84111" w:rsidR="00780C0A" w:rsidRPr="008E106E" w:rsidRDefault="00780C0A" w:rsidP="00B765C0">
            <w:pPr>
              <w:jc w:val="center"/>
              <w:rPr>
                <w:rFonts w:ascii="Arial" w:hAnsi="Arial" w:cs="Arial"/>
                <w:b/>
                <w:bCs/>
                <w:color w:val="000000"/>
                <w:sz w:val="22"/>
                <w:szCs w:val="22"/>
              </w:rPr>
            </w:pPr>
            <w:r w:rsidRPr="008E106E">
              <w:rPr>
                <w:rFonts w:ascii="Arial" w:hAnsi="Arial" w:cs="Arial"/>
                <w:b/>
                <w:bCs/>
                <w:color w:val="000000"/>
                <w:sz w:val="22"/>
                <w:szCs w:val="22"/>
                <w:lang w:val="es-ES"/>
              </w:rPr>
              <w:t>Res.</w:t>
            </w:r>
          </w:p>
        </w:tc>
        <w:tc>
          <w:tcPr>
            <w:tcW w:w="275" w:type="pct"/>
            <w:tcBorders>
              <w:left w:val="single" w:sz="4" w:space="0" w:color="auto"/>
              <w:bottom w:val="single" w:sz="4" w:space="0" w:color="auto"/>
              <w:right w:val="single" w:sz="4" w:space="0" w:color="auto"/>
            </w:tcBorders>
            <w:shd w:val="clear" w:color="auto" w:fill="D9D9D9" w:themeFill="background1" w:themeFillShade="D9"/>
            <w:noWrap/>
            <w:vAlign w:val="center"/>
            <w:hideMark/>
          </w:tcPr>
          <w:p w14:paraId="071F1729" w14:textId="77777777" w:rsidR="00780C0A" w:rsidRPr="008E106E" w:rsidRDefault="00780C0A" w:rsidP="00B765C0">
            <w:pPr>
              <w:jc w:val="center"/>
              <w:rPr>
                <w:rFonts w:ascii="Arial" w:hAnsi="Arial" w:cs="Arial"/>
                <w:b/>
                <w:bCs/>
                <w:color w:val="000000"/>
                <w:sz w:val="22"/>
                <w:szCs w:val="22"/>
              </w:rPr>
            </w:pPr>
            <w:proofErr w:type="spellStart"/>
            <w:r w:rsidRPr="008E106E">
              <w:rPr>
                <w:rFonts w:ascii="Arial" w:hAnsi="Arial" w:cs="Arial"/>
                <w:b/>
                <w:bCs/>
                <w:color w:val="000000"/>
                <w:sz w:val="22"/>
                <w:szCs w:val="22"/>
                <w:lang w:val="es-AR"/>
              </w:rPr>
              <w:t>Fund</w:t>
            </w:r>
            <w:proofErr w:type="spellEnd"/>
          </w:p>
        </w:tc>
        <w:tc>
          <w:tcPr>
            <w:tcW w:w="474" w:type="pct"/>
            <w:tcBorders>
              <w:left w:val="single" w:sz="4" w:space="0" w:color="auto"/>
              <w:bottom w:val="single" w:sz="4" w:space="0" w:color="auto"/>
              <w:right w:val="single" w:sz="4" w:space="0" w:color="auto"/>
            </w:tcBorders>
            <w:shd w:val="clear" w:color="auto" w:fill="D9D9D9" w:themeFill="background1" w:themeFillShade="D9"/>
            <w:noWrap/>
            <w:vAlign w:val="center"/>
            <w:hideMark/>
          </w:tcPr>
          <w:p w14:paraId="4EC82402" w14:textId="77777777" w:rsidR="00780C0A" w:rsidRPr="008E106E" w:rsidRDefault="00780C0A" w:rsidP="003B569F">
            <w:pPr>
              <w:jc w:val="center"/>
              <w:rPr>
                <w:rFonts w:ascii="Arial" w:hAnsi="Arial" w:cs="Arial"/>
                <w:b/>
                <w:bCs/>
                <w:color w:val="000000"/>
                <w:sz w:val="22"/>
                <w:szCs w:val="22"/>
              </w:rPr>
            </w:pPr>
            <w:r w:rsidRPr="008E106E">
              <w:rPr>
                <w:rFonts w:ascii="Arial" w:hAnsi="Arial" w:cs="Arial"/>
                <w:b/>
                <w:bCs/>
                <w:color w:val="000000"/>
                <w:sz w:val="22"/>
                <w:szCs w:val="22"/>
                <w:lang w:val="es-AR"/>
              </w:rPr>
              <w:t>US$</w:t>
            </w:r>
          </w:p>
        </w:tc>
      </w:tr>
      <w:tr w:rsidR="00C03D03" w:rsidRPr="008E106E" w14:paraId="777673A5" w14:textId="77777777" w:rsidTr="00C03D03">
        <w:trPr>
          <w:trHeight w:val="305"/>
        </w:trPr>
        <w:tc>
          <w:tcPr>
            <w:tcW w:w="629" w:type="pct"/>
            <w:vMerge/>
            <w:tcBorders>
              <w:top w:val="single" w:sz="4" w:space="0" w:color="auto"/>
              <w:bottom w:val="single" w:sz="4" w:space="0" w:color="auto"/>
              <w:right w:val="single" w:sz="4" w:space="0" w:color="auto"/>
            </w:tcBorders>
            <w:vAlign w:val="center"/>
            <w:hideMark/>
          </w:tcPr>
          <w:p w14:paraId="5F7039E0" w14:textId="77777777" w:rsidR="00780C0A" w:rsidRPr="008E106E" w:rsidRDefault="00780C0A" w:rsidP="003B569F">
            <w:pPr>
              <w:rPr>
                <w:rFonts w:ascii="Arial" w:hAnsi="Arial" w:cs="Arial"/>
                <w:b/>
                <w:bCs/>
                <w:color w:val="000000"/>
                <w:sz w:val="22"/>
                <w:szCs w:val="22"/>
              </w:rPr>
            </w:pPr>
          </w:p>
        </w:tc>
        <w:tc>
          <w:tcPr>
            <w:tcW w:w="169" w:type="pct"/>
            <w:tcBorders>
              <w:top w:val="nil"/>
              <w:left w:val="nil"/>
              <w:bottom w:val="single" w:sz="4" w:space="0" w:color="auto"/>
              <w:right w:val="single" w:sz="4" w:space="0" w:color="auto"/>
            </w:tcBorders>
            <w:shd w:val="clear" w:color="auto" w:fill="D9D9D9" w:themeFill="background1" w:themeFillShade="D9"/>
          </w:tcPr>
          <w:p w14:paraId="6F693AE3" w14:textId="77777777" w:rsidR="00780C0A" w:rsidRPr="008E106E" w:rsidRDefault="00780C0A" w:rsidP="003B569F">
            <w:pPr>
              <w:jc w:val="center"/>
              <w:rPr>
                <w:rFonts w:ascii="Arial" w:hAnsi="Arial" w:cs="Arial"/>
                <w:b/>
                <w:bCs/>
                <w:color w:val="000000"/>
                <w:sz w:val="22"/>
                <w:szCs w:val="22"/>
              </w:rPr>
            </w:pPr>
            <w:r w:rsidRPr="008E106E">
              <w:rPr>
                <w:rFonts w:ascii="Arial" w:hAnsi="Arial" w:cs="Arial"/>
                <w:b/>
                <w:bCs/>
                <w:color w:val="000000"/>
                <w:sz w:val="22"/>
                <w:szCs w:val="22"/>
              </w:rPr>
              <w:t>S2</w:t>
            </w:r>
          </w:p>
        </w:tc>
        <w:tc>
          <w:tcPr>
            <w:tcW w:w="137" w:type="pct"/>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305019D" w14:textId="77777777" w:rsidR="00780C0A" w:rsidRPr="008E106E" w:rsidRDefault="00780C0A" w:rsidP="003B569F">
            <w:pPr>
              <w:jc w:val="center"/>
              <w:rPr>
                <w:rFonts w:ascii="Arial" w:hAnsi="Arial" w:cs="Arial"/>
                <w:b/>
                <w:bCs/>
                <w:color w:val="000000"/>
                <w:sz w:val="22"/>
                <w:szCs w:val="22"/>
              </w:rPr>
            </w:pPr>
            <w:r w:rsidRPr="008E106E">
              <w:rPr>
                <w:rFonts w:ascii="Arial" w:hAnsi="Arial" w:cs="Arial"/>
                <w:b/>
                <w:bCs/>
                <w:color w:val="000000"/>
                <w:sz w:val="22"/>
                <w:szCs w:val="22"/>
              </w:rPr>
              <w:t>S1</w:t>
            </w:r>
          </w:p>
        </w:tc>
        <w:tc>
          <w:tcPr>
            <w:tcW w:w="141" w:type="pct"/>
            <w:tcBorders>
              <w:top w:val="nil"/>
              <w:left w:val="nil"/>
              <w:bottom w:val="single" w:sz="4" w:space="0" w:color="auto"/>
              <w:right w:val="single" w:sz="4" w:space="0" w:color="auto"/>
            </w:tcBorders>
            <w:shd w:val="clear" w:color="auto" w:fill="D9D9D9" w:themeFill="background1" w:themeFillShade="D9"/>
            <w:noWrap/>
            <w:vAlign w:val="center"/>
            <w:hideMark/>
          </w:tcPr>
          <w:p w14:paraId="621BB448" w14:textId="77777777" w:rsidR="00780C0A" w:rsidRPr="008E106E" w:rsidRDefault="00780C0A" w:rsidP="00867AF6">
            <w:pPr>
              <w:jc w:val="center"/>
              <w:rPr>
                <w:rFonts w:ascii="Arial" w:hAnsi="Arial" w:cs="Arial"/>
                <w:b/>
                <w:bCs/>
                <w:color w:val="000000"/>
                <w:sz w:val="22"/>
                <w:szCs w:val="22"/>
              </w:rPr>
            </w:pPr>
            <w:r w:rsidRPr="008E106E">
              <w:rPr>
                <w:rFonts w:ascii="Arial" w:hAnsi="Arial" w:cs="Arial"/>
                <w:b/>
                <w:bCs/>
                <w:color w:val="000000"/>
                <w:sz w:val="22"/>
                <w:szCs w:val="22"/>
              </w:rPr>
              <w:t>S2</w:t>
            </w:r>
          </w:p>
        </w:tc>
        <w:tc>
          <w:tcPr>
            <w:tcW w:w="138" w:type="pct"/>
            <w:tcBorders>
              <w:top w:val="nil"/>
              <w:left w:val="nil"/>
              <w:bottom w:val="single" w:sz="4" w:space="0" w:color="auto"/>
              <w:right w:val="single" w:sz="4" w:space="0" w:color="auto"/>
            </w:tcBorders>
            <w:shd w:val="clear" w:color="auto" w:fill="D9D9D9" w:themeFill="background1" w:themeFillShade="D9"/>
            <w:noWrap/>
            <w:vAlign w:val="center"/>
            <w:hideMark/>
          </w:tcPr>
          <w:p w14:paraId="5BE01C99" w14:textId="77777777" w:rsidR="00780C0A" w:rsidRPr="008E106E" w:rsidRDefault="00780C0A" w:rsidP="003B569F">
            <w:pPr>
              <w:jc w:val="center"/>
              <w:rPr>
                <w:rFonts w:ascii="Arial" w:hAnsi="Arial" w:cs="Arial"/>
                <w:b/>
                <w:bCs/>
                <w:color w:val="000000"/>
                <w:sz w:val="22"/>
                <w:szCs w:val="22"/>
              </w:rPr>
            </w:pPr>
            <w:r w:rsidRPr="008E106E">
              <w:rPr>
                <w:rFonts w:ascii="Arial" w:hAnsi="Arial" w:cs="Arial"/>
                <w:b/>
                <w:bCs/>
                <w:color w:val="000000"/>
                <w:sz w:val="22"/>
                <w:szCs w:val="22"/>
              </w:rPr>
              <w:t>S1</w:t>
            </w:r>
          </w:p>
        </w:tc>
        <w:tc>
          <w:tcPr>
            <w:tcW w:w="142" w:type="pct"/>
            <w:tcBorders>
              <w:top w:val="nil"/>
              <w:left w:val="nil"/>
              <w:bottom w:val="single" w:sz="4" w:space="0" w:color="auto"/>
              <w:right w:val="single" w:sz="4" w:space="0" w:color="auto"/>
            </w:tcBorders>
            <w:shd w:val="clear" w:color="auto" w:fill="D9D9D9" w:themeFill="background1" w:themeFillShade="D9"/>
            <w:noWrap/>
            <w:vAlign w:val="center"/>
            <w:hideMark/>
          </w:tcPr>
          <w:p w14:paraId="3FB60FBF" w14:textId="77777777" w:rsidR="00780C0A" w:rsidRPr="008E106E" w:rsidRDefault="00780C0A" w:rsidP="003B569F">
            <w:pPr>
              <w:jc w:val="center"/>
              <w:rPr>
                <w:rFonts w:ascii="Arial" w:hAnsi="Arial" w:cs="Arial"/>
                <w:b/>
                <w:bCs/>
                <w:color w:val="000000"/>
                <w:sz w:val="22"/>
                <w:szCs w:val="22"/>
              </w:rPr>
            </w:pPr>
            <w:r w:rsidRPr="008E106E">
              <w:rPr>
                <w:rFonts w:ascii="Arial" w:hAnsi="Arial" w:cs="Arial"/>
                <w:b/>
                <w:bCs/>
                <w:color w:val="000000"/>
                <w:sz w:val="22"/>
                <w:szCs w:val="22"/>
              </w:rPr>
              <w:t>S2</w:t>
            </w:r>
          </w:p>
        </w:tc>
        <w:tc>
          <w:tcPr>
            <w:tcW w:w="140"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4686D705" w14:textId="77777777" w:rsidR="00780C0A" w:rsidRPr="008E106E" w:rsidRDefault="00780C0A" w:rsidP="003B569F">
            <w:pPr>
              <w:rPr>
                <w:rFonts w:ascii="Arial" w:hAnsi="Arial" w:cs="Arial"/>
                <w:b/>
                <w:bCs/>
                <w:color w:val="000000"/>
                <w:sz w:val="22"/>
                <w:szCs w:val="22"/>
              </w:rPr>
            </w:pPr>
            <w:r w:rsidRPr="008E106E">
              <w:rPr>
                <w:rFonts w:ascii="Arial" w:hAnsi="Arial" w:cs="Arial"/>
                <w:b/>
                <w:bCs/>
                <w:color w:val="000000"/>
                <w:sz w:val="22"/>
                <w:szCs w:val="22"/>
              </w:rPr>
              <w:t>S1</w:t>
            </w:r>
          </w:p>
        </w:tc>
        <w:tc>
          <w:tcPr>
            <w:tcW w:w="142"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3DF3C358" w14:textId="77777777" w:rsidR="00780C0A" w:rsidRPr="008E106E" w:rsidRDefault="00780C0A" w:rsidP="003B569F">
            <w:pPr>
              <w:rPr>
                <w:rFonts w:ascii="Arial" w:hAnsi="Arial" w:cs="Arial"/>
                <w:b/>
                <w:bCs/>
                <w:color w:val="000000"/>
                <w:sz w:val="22"/>
                <w:szCs w:val="22"/>
              </w:rPr>
            </w:pPr>
            <w:r w:rsidRPr="008E106E">
              <w:rPr>
                <w:rFonts w:ascii="Arial" w:hAnsi="Arial" w:cs="Arial"/>
                <w:b/>
                <w:bCs/>
                <w:color w:val="000000"/>
                <w:sz w:val="22"/>
                <w:szCs w:val="22"/>
              </w:rPr>
              <w:t>S2</w:t>
            </w:r>
          </w:p>
        </w:tc>
        <w:tc>
          <w:tcPr>
            <w:tcW w:w="140"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4B99C95B" w14:textId="77777777" w:rsidR="00780C0A" w:rsidRPr="008E106E" w:rsidRDefault="00780C0A" w:rsidP="003B569F">
            <w:pPr>
              <w:rPr>
                <w:rFonts w:ascii="Arial" w:hAnsi="Arial" w:cs="Arial"/>
                <w:b/>
                <w:bCs/>
                <w:color w:val="000000"/>
                <w:sz w:val="22"/>
                <w:szCs w:val="22"/>
              </w:rPr>
            </w:pPr>
            <w:r w:rsidRPr="008E106E">
              <w:rPr>
                <w:rFonts w:ascii="Arial" w:hAnsi="Arial" w:cs="Arial"/>
                <w:b/>
                <w:bCs/>
                <w:color w:val="000000"/>
                <w:sz w:val="22"/>
                <w:szCs w:val="22"/>
              </w:rPr>
              <w:t>S1</w:t>
            </w:r>
          </w:p>
        </w:tc>
        <w:tc>
          <w:tcPr>
            <w:tcW w:w="143"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65CE7F59" w14:textId="77777777" w:rsidR="00780C0A" w:rsidRPr="008E106E" w:rsidRDefault="00780C0A" w:rsidP="003B569F">
            <w:pPr>
              <w:rPr>
                <w:rFonts w:ascii="Arial" w:hAnsi="Arial" w:cs="Arial"/>
                <w:b/>
                <w:bCs/>
                <w:color w:val="000000"/>
                <w:sz w:val="22"/>
                <w:szCs w:val="22"/>
              </w:rPr>
            </w:pPr>
            <w:r w:rsidRPr="008E106E">
              <w:rPr>
                <w:rFonts w:ascii="Arial" w:hAnsi="Arial" w:cs="Arial"/>
                <w:b/>
                <w:bCs/>
                <w:color w:val="000000"/>
                <w:sz w:val="22"/>
                <w:szCs w:val="22"/>
              </w:rPr>
              <w:t>S2</w:t>
            </w:r>
          </w:p>
        </w:tc>
        <w:tc>
          <w:tcPr>
            <w:tcW w:w="140" w:type="pct"/>
            <w:tcBorders>
              <w:top w:val="nil"/>
              <w:left w:val="nil"/>
              <w:bottom w:val="single" w:sz="4" w:space="0" w:color="auto"/>
              <w:right w:val="single" w:sz="4" w:space="0" w:color="auto"/>
            </w:tcBorders>
            <w:shd w:val="clear" w:color="auto" w:fill="D9D9D9" w:themeFill="background1" w:themeFillShade="D9"/>
            <w:noWrap/>
            <w:vAlign w:val="center"/>
            <w:hideMark/>
          </w:tcPr>
          <w:p w14:paraId="3DF86AA0" w14:textId="77777777" w:rsidR="00780C0A" w:rsidRPr="008E106E" w:rsidRDefault="00780C0A" w:rsidP="003B569F">
            <w:pPr>
              <w:jc w:val="center"/>
              <w:rPr>
                <w:rFonts w:ascii="Arial" w:hAnsi="Arial" w:cs="Arial"/>
                <w:b/>
                <w:bCs/>
                <w:color w:val="000000"/>
                <w:sz w:val="22"/>
                <w:szCs w:val="22"/>
              </w:rPr>
            </w:pPr>
            <w:r w:rsidRPr="008E106E">
              <w:rPr>
                <w:rFonts w:ascii="Arial" w:hAnsi="Arial" w:cs="Arial"/>
                <w:b/>
                <w:bCs/>
                <w:color w:val="000000"/>
                <w:sz w:val="22"/>
                <w:szCs w:val="22"/>
              </w:rPr>
              <w:t>S1</w:t>
            </w:r>
          </w:p>
        </w:tc>
        <w:tc>
          <w:tcPr>
            <w:tcW w:w="143" w:type="pct"/>
            <w:tcBorders>
              <w:top w:val="nil"/>
              <w:left w:val="nil"/>
              <w:bottom w:val="single" w:sz="4" w:space="0" w:color="auto"/>
              <w:right w:val="single" w:sz="4" w:space="0" w:color="auto"/>
            </w:tcBorders>
            <w:shd w:val="clear" w:color="auto" w:fill="D9D9D9" w:themeFill="background1" w:themeFillShade="D9"/>
            <w:noWrap/>
            <w:vAlign w:val="center"/>
            <w:hideMark/>
          </w:tcPr>
          <w:p w14:paraId="7E1F482C" w14:textId="77777777" w:rsidR="00780C0A" w:rsidRPr="008E106E" w:rsidRDefault="00780C0A" w:rsidP="003B569F">
            <w:pPr>
              <w:jc w:val="center"/>
              <w:rPr>
                <w:rFonts w:ascii="Arial" w:hAnsi="Arial" w:cs="Arial"/>
                <w:b/>
                <w:bCs/>
                <w:color w:val="000000"/>
                <w:sz w:val="22"/>
                <w:szCs w:val="22"/>
              </w:rPr>
            </w:pPr>
            <w:r w:rsidRPr="008E106E">
              <w:rPr>
                <w:rFonts w:ascii="Arial" w:hAnsi="Arial" w:cs="Arial"/>
                <w:b/>
                <w:bCs/>
                <w:color w:val="000000"/>
                <w:sz w:val="22"/>
                <w:szCs w:val="22"/>
              </w:rPr>
              <w:t>S2</w:t>
            </w:r>
          </w:p>
        </w:tc>
        <w:tc>
          <w:tcPr>
            <w:tcW w:w="140" w:type="pct"/>
            <w:tcBorders>
              <w:top w:val="nil"/>
              <w:left w:val="nil"/>
              <w:bottom w:val="single" w:sz="4" w:space="0" w:color="auto"/>
              <w:right w:val="single" w:sz="4" w:space="0" w:color="auto"/>
            </w:tcBorders>
            <w:shd w:val="clear" w:color="auto" w:fill="D9D9D9" w:themeFill="background1" w:themeFillShade="D9"/>
            <w:noWrap/>
            <w:vAlign w:val="center"/>
            <w:hideMark/>
          </w:tcPr>
          <w:p w14:paraId="1120CE34" w14:textId="77777777" w:rsidR="00780C0A" w:rsidRPr="008E106E" w:rsidRDefault="00780C0A" w:rsidP="003B569F">
            <w:pPr>
              <w:jc w:val="center"/>
              <w:rPr>
                <w:rFonts w:ascii="Arial" w:hAnsi="Arial" w:cs="Arial"/>
                <w:b/>
                <w:bCs/>
                <w:color w:val="000000"/>
                <w:sz w:val="22"/>
                <w:szCs w:val="22"/>
              </w:rPr>
            </w:pPr>
            <w:r w:rsidRPr="008E106E">
              <w:rPr>
                <w:rFonts w:ascii="Arial" w:hAnsi="Arial" w:cs="Arial"/>
                <w:b/>
                <w:bCs/>
                <w:color w:val="000000"/>
                <w:sz w:val="22"/>
                <w:szCs w:val="22"/>
              </w:rPr>
              <w:t>S1</w:t>
            </w:r>
          </w:p>
        </w:tc>
        <w:tc>
          <w:tcPr>
            <w:tcW w:w="142" w:type="pct"/>
            <w:tcBorders>
              <w:top w:val="nil"/>
              <w:left w:val="nil"/>
              <w:bottom w:val="single" w:sz="4" w:space="0" w:color="auto"/>
              <w:right w:val="single" w:sz="4" w:space="0" w:color="auto"/>
            </w:tcBorders>
            <w:shd w:val="clear" w:color="auto" w:fill="D9D9D9" w:themeFill="background1" w:themeFillShade="D9"/>
            <w:noWrap/>
            <w:vAlign w:val="center"/>
            <w:hideMark/>
          </w:tcPr>
          <w:p w14:paraId="32934B14" w14:textId="77777777" w:rsidR="00780C0A" w:rsidRPr="008E106E" w:rsidRDefault="00780C0A" w:rsidP="003B569F">
            <w:pPr>
              <w:jc w:val="center"/>
              <w:rPr>
                <w:rFonts w:ascii="Arial" w:hAnsi="Arial" w:cs="Arial"/>
                <w:b/>
                <w:bCs/>
                <w:color w:val="000000"/>
                <w:sz w:val="22"/>
                <w:szCs w:val="22"/>
              </w:rPr>
            </w:pPr>
            <w:r w:rsidRPr="008E106E">
              <w:rPr>
                <w:rFonts w:ascii="Arial" w:hAnsi="Arial" w:cs="Arial"/>
                <w:b/>
                <w:bCs/>
                <w:color w:val="000000"/>
                <w:sz w:val="22"/>
                <w:szCs w:val="22"/>
              </w:rPr>
              <w:t>S2</w:t>
            </w:r>
          </w:p>
        </w:tc>
        <w:tc>
          <w:tcPr>
            <w:tcW w:w="140" w:type="pct"/>
            <w:tcBorders>
              <w:top w:val="nil"/>
              <w:left w:val="nil"/>
              <w:bottom w:val="single" w:sz="4" w:space="0" w:color="auto"/>
              <w:right w:val="single" w:sz="4" w:space="0" w:color="auto"/>
            </w:tcBorders>
            <w:shd w:val="clear" w:color="auto" w:fill="D9D9D9" w:themeFill="background1" w:themeFillShade="D9"/>
            <w:noWrap/>
            <w:vAlign w:val="center"/>
            <w:hideMark/>
          </w:tcPr>
          <w:p w14:paraId="57B3FBDB" w14:textId="77777777" w:rsidR="00780C0A" w:rsidRPr="008E106E" w:rsidRDefault="00780C0A" w:rsidP="003B569F">
            <w:pPr>
              <w:jc w:val="center"/>
              <w:rPr>
                <w:rFonts w:ascii="Arial" w:hAnsi="Arial" w:cs="Arial"/>
                <w:b/>
                <w:bCs/>
                <w:color w:val="000000"/>
                <w:sz w:val="22"/>
                <w:szCs w:val="22"/>
              </w:rPr>
            </w:pPr>
            <w:r w:rsidRPr="008E106E">
              <w:rPr>
                <w:rFonts w:ascii="Arial" w:hAnsi="Arial" w:cs="Arial"/>
                <w:b/>
                <w:bCs/>
                <w:color w:val="000000"/>
                <w:sz w:val="22"/>
                <w:szCs w:val="22"/>
              </w:rPr>
              <w:t>S1</w:t>
            </w:r>
          </w:p>
        </w:tc>
        <w:tc>
          <w:tcPr>
            <w:tcW w:w="143" w:type="pct"/>
            <w:tcBorders>
              <w:top w:val="nil"/>
              <w:left w:val="nil"/>
              <w:bottom w:val="single" w:sz="4" w:space="0" w:color="auto"/>
              <w:right w:val="single" w:sz="4" w:space="0" w:color="auto"/>
            </w:tcBorders>
            <w:shd w:val="clear" w:color="auto" w:fill="D9D9D9" w:themeFill="background1" w:themeFillShade="D9"/>
            <w:noWrap/>
            <w:vAlign w:val="center"/>
            <w:hideMark/>
          </w:tcPr>
          <w:p w14:paraId="2ED1E63D" w14:textId="77777777" w:rsidR="00780C0A" w:rsidRPr="008E106E" w:rsidRDefault="00780C0A" w:rsidP="003B569F">
            <w:pPr>
              <w:jc w:val="center"/>
              <w:rPr>
                <w:rFonts w:ascii="Arial" w:hAnsi="Arial" w:cs="Arial"/>
                <w:b/>
                <w:bCs/>
                <w:color w:val="000000"/>
                <w:sz w:val="22"/>
                <w:szCs w:val="22"/>
              </w:rPr>
            </w:pPr>
            <w:r w:rsidRPr="008E106E">
              <w:rPr>
                <w:rFonts w:ascii="Arial" w:hAnsi="Arial" w:cs="Arial"/>
                <w:b/>
                <w:bCs/>
                <w:color w:val="000000"/>
                <w:sz w:val="22"/>
                <w:szCs w:val="22"/>
              </w:rPr>
              <w:t>S2</w:t>
            </w:r>
          </w:p>
        </w:tc>
        <w:tc>
          <w:tcPr>
            <w:tcW w:w="14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7A784B" w14:textId="77777777" w:rsidR="00780C0A" w:rsidRPr="008E106E" w:rsidRDefault="00780C0A" w:rsidP="00232BFF">
            <w:pPr>
              <w:jc w:val="center"/>
              <w:rPr>
                <w:rFonts w:ascii="Arial" w:hAnsi="Arial" w:cs="Arial"/>
                <w:b/>
                <w:bCs/>
                <w:color w:val="000000"/>
                <w:sz w:val="22"/>
                <w:szCs w:val="22"/>
              </w:rPr>
            </w:pPr>
            <w:r w:rsidRPr="008E106E">
              <w:rPr>
                <w:rFonts w:ascii="Arial" w:hAnsi="Arial" w:cs="Arial"/>
                <w:b/>
                <w:bCs/>
                <w:color w:val="000000"/>
                <w:sz w:val="22"/>
                <w:szCs w:val="22"/>
              </w:rPr>
              <w:t>S1</w:t>
            </w:r>
          </w:p>
        </w:tc>
        <w:tc>
          <w:tcPr>
            <w:tcW w:w="13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665AFB0" w14:textId="77777777" w:rsidR="00780C0A" w:rsidRPr="008E106E" w:rsidRDefault="00780C0A" w:rsidP="00232BFF">
            <w:pPr>
              <w:jc w:val="center"/>
              <w:rPr>
                <w:rFonts w:ascii="Arial" w:hAnsi="Arial" w:cs="Arial"/>
                <w:b/>
                <w:bCs/>
                <w:color w:val="000000"/>
                <w:sz w:val="22"/>
                <w:szCs w:val="22"/>
              </w:rPr>
            </w:pPr>
            <w:r w:rsidRPr="008E106E">
              <w:rPr>
                <w:rFonts w:ascii="Arial" w:hAnsi="Arial" w:cs="Arial"/>
                <w:b/>
                <w:bCs/>
                <w:color w:val="000000"/>
                <w:sz w:val="22"/>
                <w:szCs w:val="22"/>
              </w:rPr>
              <w:t>S2</w:t>
            </w:r>
          </w:p>
        </w:tc>
        <w:tc>
          <w:tcPr>
            <w:tcW w:w="14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394B9F" w14:textId="77777777" w:rsidR="00780C0A" w:rsidRPr="008E106E" w:rsidRDefault="00780C0A" w:rsidP="003B569F">
            <w:pPr>
              <w:rPr>
                <w:rFonts w:ascii="Arial" w:hAnsi="Arial" w:cs="Arial"/>
                <w:b/>
                <w:bCs/>
                <w:color w:val="000000"/>
                <w:sz w:val="22"/>
                <w:szCs w:val="22"/>
              </w:rPr>
            </w:pPr>
            <w:r w:rsidRPr="008E106E">
              <w:rPr>
                <w:rFonts w:ascii="Arial" w:hAnsi="Arial" w:cs="Arial"/>
                <w:b/>
                <w:bCs/>
                <w:color w:val="000000"/>
                <w:sz w:val="22"/>
                <w:szCs w:val="22"/>
              </w:rPr>
              <w:t>S1</w:t>
            </w:r>
          </w:p>
        </w:tc>
        <w:tc>
          <w:tcPr>
            <w:tcW w:w="14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1702C8" w14:textId="77777777" w:rsidR="00780C0A" w:rsidRPr="008E106E" w:rsidRDefault="00780C0A" w:rsidP="003B569F">
            <w:pPr>
              <w:rPr>
                <w:rFonts w:ascii="Arial" w:hAnsi="Arial" w:cs="Arial"/>
                <w:b/>
                <w:bCs/>
                <w:color w:val="000000"/>
                <w:sz w:val="22"/>
                <w:szCs w:val="22"/>
              </w:rPr>
            </w:pPr>
            <w:r w:rsidRPr="008E106E">
              <w:rPr>
                <w:rFonts w:ascii="Arial" w:hAnsi="Arial" w:cs="Arial"/>
                <w:b/>
                <w:bCs/>
                <w:color w:val="000000"/>
                <w:sz w:val="22"/>
                <w:szCs w:val="22"/>
              </w:rPr>
              <w:t>S2</w:t>
            </w:r>
          </w:p>
        </w:tc>
        <w:tc>
          <w:tcPr>
            <w:tcW w:w="13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7D7200" w14:textId="7A639965" w:rsidR="00780C0A" w:rsidRPr="008E106E" w:rsidRDefault="00780C0A" w:rsidP="003B569F">
            <w:pPr>
              <w:rPr>
                <w:rFonts w:ascii="Arial" w:hAnsi="Arial" w:cs="Arial"/>
                <w:b/>
                <w:bCs/>
                <w:color w:val="000000"/>
                <w:sz w:val="22"/>
                <w:szCs w:val="22"/>
              </w:rPr>
            </w:pPr>
            <w:r>
              <w:rPr>
                <w:rFonts w:ascii="Arial" w:hAnsi="Arial" w:cs="Arial"/>
                <w:b/>
                <w:bCs/>
                <w:color w:val="000000"/>
                <w:sz w:val="22"/>
                <w:szCs w:val="22"/>
              </w:rPr>
              <w:t>S1</w:t>
            </w:r>
          </w:p>
        </w:tc>
        <w:tc>
          <w:tcPr>
            <w:tcW w:w="15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C5CCD1" w14:textId="66797682" w:rsidR="00780C0A" w:rsidRPr="008E106E" w:rsidRDefault="00780C0A" w:rsidP="003B569F">
            <w:pPr>
              <w:rPr>
                <w:rFonts w:ascii="Arial" w:hAnsi="Arial" w:cs="Arial"/>
                <w:b/>
                <w:bCs/>
                <w:color w:val="000000"/>
                <w:sz w:val="22"/>
                <w:szCs w:val="22"/>
              </w:rPr>
            </w:pPr>
            <w:r>
              <w:rPr>
                <w:rFonts w:ascii="Arial" w:hAnsi="Arial" w:cs="Arial"/>
                <w:b/>
                <w:bCs/>
                <w:color w:val="000000"/>
                <w:sz w:val="22"/>
                <w:szCs w:val="22"/>
              </w:rPr>
              <w:t>S2</w:t>
            </w:r>
          </w:p>
        </w:tc>
        <w:tc>
          <w:tcPr>
            <w:tcW w:w="1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ED9C74" w14:textId="2A544122" w:rsidR="00780C0A" w:rsidRPr="008E106E" w:rsidRDefault="00780C0A" w:rsidP="003B569F">
            <w:pPr>
              <w:rPr>
                <w:rFonts w:ascii="Arial" w:hAnsi="Arial" w:cs="Arial"/>
                <w:b/>
                <w:bCs/>
                <w:color w:val="000000"/>
                <w:sz w:val="22"/>
                <w:szCs w:val="22"/>
              </w:rPr>
            </w:pPr>
            <w:r>
              <w:rPr>
                <w:rFonts w:ascii="Arial" w:hAnsi="Arial" w:cs="Arial"/>
                <w:b/>
                <w:bCs/>
                <w:color w:val="000000"/>
                <w:sz w:val="22"/>
                <w:szCs w:val="22"/>
              </w:rPr>
              <w:t>S1</w:t>
            </w:r>
          </w:p>
        </w:tc>
        <w:tc>
          <w:tcPr>
            <w:tcW w:w="13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8E0C34" w14:textId="08EB6503" w:rsidR="00780C0A" w:rsidRPr="008E106E" w:rsidRDefault="00780C0A" w:rsidP="003B569F">
            <w:pPr>
              <w:rPr>
                <w:rFonts w:ascii="Arial" w:hAnsi="Arial" w:cs="Arial"/>
                <w:b/>
                <w:bCs/>
                <w:color w:val="000000"/>
                <w:sz w:val="22"/>
                <w:szCs w:val="22"/>
              </w:rPr>
            </w:pPr>
            <w:r>
              <w:rPr>
                <w:rFonts w:ascii="Arial" w:hAnsi="Arial" w:cs="Arial"/>
                <w:b/>
                <w:bCs/>
                <w:color w:val="000000"/>
                <w:sz w:val="22"/>
                <w:szCs w:val="22"/>
              </w:rPr>
              <w:t>S2</w:t>
            </w:r>
          </w:p>
        </w:tc>
        <w:tc>
          <w:tcPr>
            <w:tcW w:w="29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AD27B57" w14:textId="1D0F787D" w:rsidR="00780C0A" w:rsidRPr="008E106E" w:rsidRDefault="00780C0A" w:rsidP="003B569F">
            <w:pPr>
              <w:rPr>
                <w:rFonts w:ascii="Arial" w:hAnsi="Arial" w:cs="Arial"/>
                <w:b/>
                <w:bCs/>
                <w:color w:val="000000"/>
                <w:sz w:val="22"/>
                <w:szCs w:val="22"/>
              </w:rPr>
            </w:pPr>
          </w:p>
        </w:tc>
        <w:tc>
          <w:tcPr>
            <w:tcW w:w="27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7D2736C" w14:textId="77777777" w:rsidR="00780C0A" w:rsidRPr="008E106E" w:rsidRDefault="00780C0A" w:rsidP="003B569F">
            <w:pPr>
              <w:rPr>
                <w:rFonts w:ascii="Arial" w:hAnsi="Arial" w:cs="Arial"/>
                <w:b/>
                <w:bCs/>
                <w:color w:val="000000"/>
                <w:sz w:val="22"/>
                <w:szCs w:val="22"/>
              </w:rPr>
            </w:pPr>
          </w:p>
        </w:tc>
        <w:tc>
          <w:tcPr>
            <w:tcW w:w="47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FA2E6A1" w14:textId="77777777" w:rsidR="00780C0A" w:rsidRPr="008E106E" w:rsidRDefault="00780C0A" w:rsidP="003B569F">
            <w:pPr>
              <w:rPr>
                <w:rFonts w:ascii="Arial" w:hAnsi="Arial" w:cs="Arial"/>
                <w:b/>
                <w:bCs/>
                <w:color w:val="000000"/>
                <w:sz w:val="22"/>
                <w:szCs w:val="22"/>
              </w:rPr>
            </w:pPr>
          </w:p>
        </w:tc>
      </w:tr>
      <w:tr w:rsidR="00C03D03" w:rsidRPr="008E106E" w14:paraId="248FDCB9" w14:textId="77777777" w:rsidTr="00C03D03">
        <w:trPr>
          <w:trHeight w:val="261"/>
        </w:trPr>
        <w:tc>
          <w:tcPr>
            <w:tcW w:w="629" w:type="pct"/>
            <w:tcBorders>
              <w:top w:val="nil"/>
              <w:bottom w:val="single" w:sz="4" w:space="0" w:color="auto"/>
              <w:right w:val="single" w:sz="4" w:space="0" w:color="auto"/>
            </w:tcBorders>
            <w:shd w:val="clear" w:color="auto" w:fill="auto"/>
            <w:noWrap/>
            <w:vAlign w:val="center"/>
          </w:tcPr>
          <w:p w14:paraId="163F73E2" w14:textId="77777777" w:rsidR="00780C0A" w:rsidRPr="008E106E" w:rsidRDefault="00780C0A" w:rsidP="00232BFF">
            <w:pPr>
              <w:rPr>
                <w:rFonts w:ascii="Arial" w:hAnsi="Arial" w:cs="Arial"/>
                <w:color w:val="000000"/>
                <w:sz w:val="22"/>
                <w:szCs w:val="22"/>
              </w:rPr>
            </w:pPr>
            <w:r w:rsidRPr="008E106E">
              <w:rPr>
                <w:rFonts w:ascii="Arial" w:hAnsi="Arial" w:cs="Arial"/>
                <w:color w:val="000000"/>
                <w:sz w:val="22"/>
                <w:szCs w:val="22"/>
              </w:rPr>
              <w:t>Baseline Values Study</w:t>
            </w:r>
          </w:p>
        </w:tc>
        <w:tc>
          <w:tcPr>
            <w:tcW w:w="169" w:type="pct"/>
            <w:tcBorders>
              <w:top w:val="nil"/>
              <w:left w:val="nil"/>
              <w:bottom w:val="single" w:sz="4" w:space="0" w:color="auto"/>
              <w:right w:val="single" w:sz="4" w:space="0" w:color="auto"/>
            </w:tcBorders>
            <w:shd w:val="clear" w:color="auto" w:fill="A6A6A6" w:themeFill="background1" w:themeFillShade="A6"/>
          </w:tcPr>
          <w:p w14:paraId="1B4D7128" w14:textId="77777777" w:rsidR="00780C0A" w:rsidRPr="008E106E" w:rsidRDefault="00780C0A" w:rsidP="003B569F">
            <w:pPr>
              <w:rPr>
                <w:rFonts w:ascii="Arial" w:hAnsi="Arial" w:cs="Arial"/>
                <w:color w:val="000000"/>
                <w:sz w:val="22"/>
                <w:szCs w:val="22"/>
              </w:rPr>
            </w:pPr>
          </w:p>
        </w:tc>
        <w:tc>
          <w:tcPr>
            <w:tcW w:w="137" w:type="pct"/>
            <w:tcBorders>
              <w:top w:val="nil"/>
              <w:left w:val="single" w:sz="4" w:space="0" w:color="auto"/>
              <w:bottom w:val="single" w:sz="4" w:space="0" w:color="auto"/>
              <w:right w:val="single" w:sz="4" w:space="0" w:color="auto"/>
            </w:tcBorders>
            <w:shd w:val="clear" w:color="auto" w:fill="auto"/>
            <w:noWrap/>
            <w:vAlign w:val="center"/>
          </w:tcPr>
          <w:p w14:paraId="04FACD06" w14:textId="77777777" w:rsidR="00780C0A" w:rsidRPr="008E106E" w:rsidRDefault="00780C0A" w:rsidP="003B569F">
            <w:pPr>
              <w:rPr>
                <w:rFonts w:ascii="Arial" w:hAnsi="Arial" w:cs="Arial"/>
                <w:color w:val="000000"/>
                <w:sz w:val="22"/>
                <w:szCs w:val="22"/>
              </w:rPr>
            </w:pPr>
          </w:p>
        </w:tc>
        <w:tc>
          <w:tcPr>
            <w:tcW w:w="141" w:type="pct"/>
            <w:tcBorders>
              <w:top w:val="nil"/>
              <w:left w:val="nil"/>
              <w:bottom w:val="single" w:sz="4" w:space="0" w:color="auto"/>
              <w:right w:val="single" w:sz="4" w:space="0" w:color="auto"/>
            </w:tcBorders>
            <w:shd w:val="clear" w:color="auto" w:fill="auto"/>
            <w:noWrap/>
            <w:vAlign w:val="center"/>
          </w:tcPr>
          <w:p w14:paraId="24980937" w14:textId="77777777" w:rsidR="00780C0A" w:rsidRPr="008E106E" w:rsidRDefault="00780C0A" w:rsidP="003B569F">
            <w:pPr>
              <w:rPr>
                <w:rFonts w:ascii="Arial" w:hAnsi="Arial" w:cs="Arial"/>
                <w:color w:val="000000"/>
                <w:sz w:val="22"/>
                <w:szCs w:val="22"/>
              </w:rPr>
            </w:pPr>
          </w:p>
        </w:tc>
        <w:tc>
          <w:tcPr>
            <w:tcW w:w="138" w:type="pct"/>
            <w:tcBorders>
              <w:top w:val="nil"/>
              <w:left w:val="nil"/>
              <w:bottom w:val="single" w:sz="4" w:space="0" w:color="auto"/>
              <w:right w:val="single" w:sz="4" w:space="0" w:color="auto"/>
            </w:tcBorders>
            <w:shd w:val="clear" w:color="auto" w:fill="auto"/>
            <w:noWrap/>
            <w:vAlign w:val="center"/>
          </w:tcPr>
          <w:p w14:paraId="77A658FF" w14:textId="77777777" w:rsidR="00780C0A" w:rsidRPr="008E106E" w:rsidRDefault="00780C0A" w:rsidP="003B569F">
            <w:pPr>
              <w:rPr>
                <w:rFonts w:ascii="Arial" w:hAnsi="Arial" w:cs="Arial"/>
                <w:color w:val="000000"/>
                <w:sz w:val="22"/>
                <w:szCs w:val="22"/>
              </w:rPr>
            </w:pPr>
          </w:p>
        </w:tc>
        <w:tc>
          <w:tcPr>
            <w:tcW w:w="142" w:type="pct"/>
            <w:tcBorders>
              <w:top w:val="nil"/>
              <w:left w:val="nil"/>
              <w:bottom w:val="single" w:sz="4" w:space="0" w:color="auto"/>
              <w:right w:val="single" w:sz="4" w:space="0" w:color="auto"/>
            </w:tcBorders>
            <w:shd w:val="clear" w:color="auto" w:fill="auto"/>
            <w:noWrap/>
            <w:vAlign w:val="center"/>
          </w:tcPr>
          <w:p w14:paraId="43B11C8E" w14:textId="77777777" w:rsidR="00780C0A" w:rsidRPr="008E106E" w:rsidRDefault="00780C0A" w:rsidP="003B569F">
            <w:pPr>
              <w:rPr>
                <w:rFonts w:ascii="Arial" w:hAnsi="Arial" w:cs="Arial"/>
                <w:color w:val="000000"/>
                <w:sz w:val="22"/>
                <w:szCs w:val="22"/>
              </w:rPr>
            </w:pPr>
          </w:p>
        </w:tc>
        <w:tc>
          <w:tcPr>
            <w:tcW w:w="140" w:type="pct"/>
            <w:tcBorders>
              <w:top w:val="single" w:sz="4" w:space="0" w:color="auto"/>
              <w:left w:val="nil"/>
              <w:bottom w:val="single" w:sz="4" w:space="0" w:color="auto"/>
              <w:right w:val="single" w:sz="4" w:space="0" w:color="auto"/>
            </w:tcBorders>
            <w:shd w:val="clear" w:color="auto" w:fill="auto"/>
          </w:tcPr>
          <w:p w14:paraId="7CA15F68" w14:textId="77777777" w:rsidR="00780C0A" w:rsidRPr="008E106E" w:rsidRDefault="00780C0A" w:rsidP="003B569F">
            <w:pPr>
              <w:rPr>
                <w:rFonts w:ascii="Arial" w:hAnsi="Arial" w:cs="Arial"/>
                <w:color w:val="000000"/>
                <w:sz w:val="22"/>
                <w:szCs w:val="22"/>
              </w:rPr>
            </w:pPr>
          </w:p>
        </w:tc>
        <w:tc>
          <w:tcPr>
            <w:tcW w:w="142" w:type="pct"/>
            <w:tcBorders>
              <w:top w:val="single" w:sz="4" w:space="0" w:color="auto"/>
              <w:left w:val="nil"/>
              <w:bottom w:val="single" w:sz="4" w:space="0" w:color="auto"/>
              <w:right w:val="single" w:sz="4" w:space="0" w:color="auto"/>
            </w:tcBorders>
            <w:shd w:val="clear" w:color="auto" w:fill="auto"/>
          </w:tcPr>
          <w:p w14:paraId="55D6013B" w14:textId="77777777" w:rsidR="00780C0A" w:rsidRPr="008E106E" w:rsidRDefault="00780C0A" w:rsidP="003B569F">
            <w:pPr>
              <w:rPr>
                <w:rFonts w:ascii="Arial" w:hAnsi="Arial" w:cs="Arial"/>
                <w:color w:val="000000"/>
                <w:sz w:val="22"/>
                <w:szCs w:val="22"/>
              </w:rPr>
            </w:pPr>
          </w:p>
        </w:tc>
        <w:tc>
          <w:tcPr>
            <w:tcW w:w="140" w:type="pct"/>
            <w:tcBorders>
              <w:top w:val="single" w:sz="4" w:space="0" w:color="auto"/>
              <w:left w:val="nil"/>
              <w:bottom w:val="single" w:sz="4" w:space="0" w:color="auto"/>
              <w:right w:val="single" w:sz="4" w:space="0" w:color="auto"/>
            </w:tcBorders>
            <w:shd w:val="clear" w:color="auto" w:fill="auto"/>
          </w:tcPr>
          <w:p w14:paraId="0DFA165E" w14:textId="77777777" w:rsidR="00780C0A" w:rsidRPr="008E106E" w:rsidRDefault="00780C0A" w:rsidP="003B569F">
            <w:pPr>
              <w:rPr>
                <w:rFonts w:ascii="Arial" w:hAnsi="Arial" w:cs="Arial"/>
                <w:color w:val="000000"/>
                <w:sz w:val="22"/>
                <w:szCs w:val="22"/>
              </w:rPr>
            </w:pPr>
          </w:p>
        </w:tc>
        <w:tc>
          <w:tcPr>
            <w:tcW w:w="143" w:type="pct"/>
            <w:tcBorders>
              <w:top w:val="single" w:sz="4" w:space="0" w:color="auto"/>
              <w:left w:val="nil"/>
              <w:bottom w:val="single" w:sz="4" w:space="0" w:color="auto"/>
              <w:right w:val="single" w:sz="4" w:space="0" w:color="auto"/>
            </w:tcBorders>
            <w:shd w:val="clear" w:color="auto" w:fill="auto"/>
          </w:tcPr>
          <w:p w14:paraId="4E38D722" w14:textId="77777777" w:rsidR="00780C0A" w:rsidRPr="008E106E" w:rsidRDefault="00780C0A" w:rsidP="003B569F">
            <w:pPr>
              <w:rPr>
                <w:rFonts w:ascii="Arial" w:hAnsi="Arial" w:cs="Arial"/>
                <w:color w:val="000000"/>
                <w:sz w:val="22"/>
                <w:szCs w:val="22"/>
              </w:rPr>
            </w:pPr>
          </w:p>
        </w:tc>
        <w:tc>
          <w:tcPr>
            <w:tcW w:w="140" w:type="pct"/>
            <w:tcBorders>
              <w:top w:val="nil"/>
              <w:left w:val="nil"/>
              <w:bottom w:val="single" w:sz="4" w:space="0" w:color="auto"/>
              <w:right w:val="single" w:sz="4" w:space="0" w:color="auto"/>
            </w:tcBorders>
            <w:shd w:val="clear" w:color="auto" w:fill="auto"/>
            <w:noWrap/>
            <w:vAlign w:val="center"/>
          </w:tcPr>
          <w:p w14:paraId="75A21C06" w14:textId="77777777" w:rsidR="00780C0A" w:rsidRPr="008E106E" w:rsidRDefault="00780C0A" w:rsidP="003B569F">
            <w:pPr>
              <w:rPr>
                <w:rFonts w:ascii="Arial" w:hAnsi="Arial" w:cs="Arial"/>
                <w:color w:val="000000"/>
                <w:sz w:val="22"/>
                <w:szCs w:val="22"/>
              </w:rPr>
            </w:pPr>
          </w:p>
        </w:tc>
        <w:tc>
          <w:tcPr>
            <w:tcW w:w="143" w:type="pct"/>
            <w:tcBorders>
              <w:top w:val="nil"/>
              <w:left w:val="nil"/>
              <w:bottom w:val="single" w:sz="4" w:space="0" w:color="auto"/>
              <w:right w:val="single" w:sz="4" w:space="0" w:color="auto"/>
            </w:tcBorders>
            <w:shd w:val="clear" w:color="auto" w:fill="auto"/>
            <w:noWrap/>
            <w:vAlign w:val="center"/>
          </w:tcPr>
          <w:p w14:paraId="671A08DD" w14:textId="77777777" w:rsidR="00780C0A" w:rsidRPr="008E106E" w:rsidRDefault="00780C0A" w:rsidP="003B569F">
            <w:pPr>
              <w:rPr>
                <w:rFonts w:ascii="Arial" w:hAnsi="Arial" w:cs="Arial"/>
                <w:color w:val="000000"/>
                <w:sz w:val="22"/>
                <w:szCs w:val="22"/>
              </w:rPr>
            </w:pPr>
          </w:p>
        </w:tc>
        <w:tc>
          <w:tcPr>
            <w:tcW w:w="140" w:type="pct"/>
            <w:tcBorders>
              <w:top w:val="nil"/>
              <w:left w:val="nil"/>
              <w:bottom w:val="single" w:sz="4" w:space="0" w:color="auto"/>
              <w:right w:val="single" w:sz="4" w:space="0" w:color="auto"/>
            </w:tcBorders>
            <w:shd w:val="clear" w:color="auto" w:fill="auto"/>
            <w:noWrap/>
            <w:vAlign w:val="center"/>
          </w:tcPr>
          <w:p w14:paraId="6CD2FBB2" w14:textId="77777777" w:rsidR="00780C0A" w:rsidRPr="008E106E" w:rsidRDefault="00780C0A" w:rsidP="003B569F">
            <w:pPr>
              <w:rPr>
                <w:rFonts w:ascii="Arial" w:hAnsi="Arial" w:cs="Arial"/>
                <w:color w:val="000000"/>
                <w:sz w:val="22"/>
                <w:szCs w:val="22"/>
              </w:rPr>
            </w:pPr>
          </w:p>
        </w:tc>
        <w:tc>
          <w:tcPr>
            <w:tcW w:w="142" w:type="pct"/>
            <w:tcBorders>
              <w:top w:val="nil"/>
              <w:left w:val="nil"/>
              <w:bottom w:val="single" w:sz="4" w:space="0" w:color="auto"/>
              <w:right w:val="single" w:sz="4" w:space="0" w:color="auto"/>
            </w:tcBorders>
            <w:shd w:val="clear" w:color="auto" w:fill="auto"/>
            <w:noWrap/>
            <w:vAlign w:val="center"/>
          </w:tcPr>
          <w:p w14:paraId="750ECDB4" w14:textId="77777777" w:rsidR="00780C0A" w:rsidRPr="008E106E" w:rsidRDefault="00780C0A" w:rsidP="003B569F">
            <w:pPr>
              <w:rPr>
                <w:rFonts w:ascii="Arial" w:hAnsi="Arial" w:cs="Arial"/>
                <w:color w:val="000000"/>
                <w:sz w:val="22"/>
                <w:szCs w:val="22"/>
              </w:rPr>
            </w:pPr>
          </w:p>
        </w:tc>
        <w:tc>
          <w:tcPr>
            <w:tcW w:w="140" w:type="pct"/>
            <w:tcBorders>
              <w:top w:val="nil"/>
              <w:left w:val="nil"/>
              <w:bottom w:val="single" w:sz="4" w:space="0" w:color="auto"/>
              <w:right w:val="single" w:sz="4" w:space="0" w:color="auto"/>
            </w:tcBorders>
            <w:shd w:val="clear" w:color="auto" w:fill="auto"/>
            <w:noWrap/>
            <w:vAlign w:val="center"/>
          </w:tcPr>
          <w:p w14:paraId="53F65DE9" w14:textId="77777777" w:rsidR="00780C0A" w:rsidRPr="008E106E" w:rsidRDefault="00780C0A" w:rsidP="003B569F">
            <w:pPr>
              <w:rPr>
                <w:rFonts w:ascii="Arial" w:hAnsi="Arial" w:cs="Arial"/>
                <w:color w:val="000000"/>
                <w:sz w:val="22"/>
                <w:szCs w:val="22"/>
              </w:rPr>
            </w:pPr>
          </w:p>
        </w:tc>
        <w:tc>
          <w:tcPr>
            <w:tcW w:w="143" w:type="pct"/>
            <w:tcBorders>
              <w:top w:val="nil"/>
              <w:left w:val="nil"/>
              <w:bottom w:val="single" w:sz="4" w:space="0" w:color="auto"/>
              <w:right w:val="single" w:sz="4" w:space="0" w:color="auto"/>
            </w:tcBorders>
            <w:shd w:val="clear" w:color="auto" w:fill="auto"/>
            <w:noWrap/>
            <w:vAlign w:val="center"/>
          </w:tcPr>
          <w:p w14:paraId="2D7DA6A9" w14:textId="77777777" w:rsidR="00780C0A" w:rsidRPr="008E106E" w:rsidRDefault="00780C0A" w:rsidP="00232BFF">
            <w:pPr>
              <w:jc w:val="center"/>
              <w:rPr>
                <w:rFonts w:ascii="Arial" w:hAnsi="Arial" w:cs="Arial"/>
                <w:b/>
                <w:bCs/>
                <w:color w:val="000000"/>
                <w:sz w:val="22"/>
                <w:szCs w:val="22"/>
              </w:rPr>
            </w:pPr>
          </w:p>
        </w:tc>
        <w:tc>
          <w:tcPr>
            <w:tcW w:w="149" w:type="pct"/>
            <w:tcBorders>
              <w:top w:val="single" w:sz="4" w:space="0" w:color="auto"/>
              <w:left w:val="single" w:sz="4" w:space="0" w:color="auto"/>
              <w:bottom w:val="single" w:sz="4" w:space="0" w:color="auto"/>
              <w:right w:val="single" w:sz="4" w:space="0" w:color="auto"/>
            </w:tcBorders>
            <w:shd w:val="clear" w:color="auto" w:fill="FFFFFF" w:themeFill="background1"/>
          </w:tcPr>
          <w:p w14:paraId="486F7444" w14:textId="77777777" w:rsidR="00780C0A" w:rsidRPr="008E106E" w:rsidRDefault="00780C0A" w:rsidP="00232BFF">
            <w:pPr>
              <w:jc w:val="center"/>
              <w:rPr>
                <w:rFonts w:ascii="Arial" w:hAnsi="Arial" w:cs="Arial"/>
                <w:b/>
                <w:bCs/>
                <w:color w:val="000000"/>
                <w:sz w:val="22"/>
                <w:szCs w:val="22"/>
              </w:rPr>
            </w:pPr>
          </w:p>
        </w:tc>
        <w:tc>
          <w:tcPr>
            <w:tcW w:w="131" w:type="pct"/>
            <w:tcBorders>
              <w:top w:val="single" w:sz="4" w:space="0" w:color="auto"/>
              <w:left w:val="single" w:sz="4" w:space="0" w:color="auto"/>
              <w:bottom w:val="single" w:sz="4" w:space="0" w:color="auto"/>
              <w:right w:val="single" w:sz="4" w:space="0" w:color="auto"/>
            </w:tcBorders>
            <w:shd w:val="clear" w:color="auto" w:fill="FFFFFF" w:themeFill="background1"/>
          </w:tcPr>
          <w:p w14:paraId="76CC2A7E" w14:textId="77777777" w:rsidR="00780C0A" w:rsidRPr="008E106E" w:rsidRDefault="00780C0A" w:rsidP="00232BFF">
            <w:pPr>
              <w:jc w:val="center"/>
              <w:rPr>
                <w:rFonts w:ascii="Arial" w:hAnsi="Arial" w:cs="Arial"/>
                <w:b/>
                <w:bCs/>
                <w:color w:val="000000"/>
                <w:sz w:val="22"/>
                <w:szCs w:val="22"/>
              </w:rPr>
            </w:pPr>
          </w:p>
        </w:tc>
        <w:tc>
          <w:tcPr>
            <w:tcW w:w="140" w:type="pct"/>
            <w:tcBorders>
              <w:top w:val="single" w:sz="4" w:space="0" w:color="auto"/>
              <w:left w:val="single" w:sz="4" w:space="0" w:color="auto"/>
              <w:bottom w:val="single" w:sz="4" w:space="0" w:color="auto"/>
              <w:right w:val="single" w:sz="4" w:space="0" w:color="auto"/>
            </w:tcBorders>
            <w:shd w:val="clear" w:color="auto" w:fill="auto"/>
          </w:tcPr>
          <w:p w14:paraId="727902BD" w14:textId="77777777" w:rsidR="00780C0A" w:rsidRPr="008E106E" w:rsidRDefault="00780C0A" w:rsidP="00232BFF">
            <w:pPr>
              <w:jc w:val="center"/>
              <w:rPr>
                <w:rFonts w:ascii="Arial" w:hAnsi="Arial" w:cs="Arial"/>
                <w:b/>
                <w:bCs/>
                <w:color w:val="000000"/>
                <w:sz w:val="22"/>
                <w:szCs w:val="22"/>
              </w:rPr>
            </w:pPr>
          </w:p>
        </w:tc>
        <w:tc>
          <w:tcPr>
            <w:tcW w:w="145" w:type="pct"/>
            <w:tcBorders>
              <w:top w:val="single" w:sz="4" w:space="0" w:color="auto"/>
              <w:left w:val="single" w:sz="4" w:space="0" w:color="auto"/>
              <w:bottom w:val="single" w:sz="4" w:space="0" w:color="auto"/>
              <w:right w:val="single" w:sz="4" w:space="0" w:color="auto"/>
            </w:tcBorders>
            <w:shd w:val="clear" w:color="auto" w:fill="auto"/>
          </w:tcPr>
          <w:p w14:paraId="276AFB7B" w14:textId="77777777" w:rsidR="00780C0A" w:rsidRPr="008E106E" w:rsidRDefault="00780C0A" w:rsidP="00232BFF">
            <w:pPr>
              <w:jc w:val="center"/>
              <w:rPr>
                <w:rFonts w:ascii="Arial" w:hAnsi="Arial" w:cs="Arial"/>
                <w:b/>
                <w:bCs/>
                <w:color w:val="000000"/>
                <w:sz w:val="22"/>
                <w:szCs w:val="22"/>
              </w:rPr>
            </w:pPr>
          </w:p>
        </w:tc>
        <w:tc>
          <w:tcPr>
            <w:tcW w:w="137" w:type="pct"/>
            <w:tcBorders>
              <w:top w:val="nil"/>
              <w:left w:val="single" w:sz="4" w:space="0" w:color="auto"/>
              <w:bottom w:val="single" w:sz="4" w:space="0" w:color="auto"/>
              <w:right w:val="single" w:sz="4" w:space="0" w:color="auto"/>
            </w:tcBorders>
          </w:tcPr>
          <w:p w14:paraId="63C884B2" w14:textId="77777777" w:rsidR="00780C0A" w:rsidRPr="008E106E" w:rsidRDefault="00780C0A" w:rsidP="003B569F">
            <w:pPr>
              <w:jc w:val="center"/>
              <w:rPr>
                <w:rFonts w:ascii="Arial" w:hAnsi="Arial" w:cs="Arial"/>
                <w:color w:val="000000"/>
                <w:sz w:val="22"/>
                <w:szCs w:val="22"/>
              </w:rPr>
            </w:pPr>
          </w:p>
        </w:tc>
        <w:tc>
          <w:tcPr>
            <w:tcW w:w="153" w:type="pct"/>
            <w:tcBorders>
              <w:top w:val="nil"/>
              <w:left w:val="single" w:sz="4" w:space="0" w:color="auto"/>
              <w:bottom w:val="single" w:sz="4" w:space="0" w:color="auto"/>
              <w:right w:val="single" w:sz="4" w:space="0" w:color="auto"/>
            </w:tcBorders>
          </w:tcPr>
          <w:p w14:paraId="1B7DA620" w14:textId="77777777" w:rsidR="00780C0A" w:rsidRPr="008E106E" w:rsidRDefault="00780C0A" w:rsidP="003B569F">
            <w:pPr>
              <w:jc w:val="center"/>
              <w:rPr>
                <w:rFonts w:ascii="Arial" w:hAnsi="Arial" w:cs="Arial"/>
                <w:color w:val="000000"/>
                <w:sz w:val="22"/>
                <w:szCs w:val="22"/>
              </w:rPr>
            </w:pPr>
          </w:p>
        </w:tc>
        <w:tc>
          <w:tcPr>
            <w:tcW w:w="187" w:type="pct"/>
            <w:tcBorders>
              <w:top w:val="nil"/>
              <w:left w:val="single" w:sz="4" w:space="0" w:color="auto"/>
              <w:bottom w:val="single" w:sz="4" w:space="0" w:color="auto"/>
              <w:right w:val="single" w:sz="4" w:space="0" w:color="auto"/>
            </w:tcBorders>
          </w:tcPr>
          <w:p w14:paraId="0D4FE056" w14:textId="77777777" w:rsidR="00780C0A" w:rsidRPr="008E106E" w:rsidRDefault="00780C0A" w:rsidP="003B569F">
            <w:pPr>
              <w:jc w:val="center"/>
              <w:rPr>
                <w:rFonts w:ascii="Arial" w:hAnsi="Arial" w:cs="Arial"/>
                <w:color w:val="000000"/>
                <w:sz w:val="22"/>
                <w:szCs w:val="22"/>
              </w:rPr>
            </w:pPr>
          </w:p>
        </w:tc>
        <w:tc>
          <w:tcPr>
            <w:tcW w:w="139" w:type="pct"/>
            <w:tcBorders>
              <w:top w:val="nil"/>
              <w:left w:val="single" w:sz="4" w:space="0" w:color="auto"/>
              <w:bottom w:val="single" w:sz="4" w:space="0" w:color="auto"/>
              <w:right w:val="single" w:sz="4" w:space="0" w:color="auto"/>
            </w:tcBorders>
          </w:tcPr>
          <w:p w14:paraId="18CF681D" w14:textId="77777777" w:rsidR="00780C0A" w:rsidRPr="008E106E" w:rsidRDefault="00780C0A" w:rsidP="003B569F">
            <w:pPr>
              <w:jc w:val="center"/>
              <w:rPr>
                <w:rFonts w:ascii="Arial" w:hAnsi="Arial" w:cs="Arial"/>
                <w:color w:val="000000"/>
                <w:sz w:val="22"/>
                <w:szCs w:val="22"/>
              </w:rPr>
            </w:pPr>
          </w:p>
        </w:tc>
        <w:tc>
          <w:tcPr>
            <w:tcW w:w="298" w:type="pct"/>
            <w:tcBorders>
              <w:top w:val="nil"/>
              <w:left w:val="single" w:sz="4" w:space="0" w:color="auto"/>
              <w:bottom w:val="single" w:sz="4" w:space="0" w:color="auto"/>
              <w:right w:val="single" w:sz="4" w:space="0" w:color="auto"/>
            </w:tcBorders>
            <w:shd w:val="clear" w:color="auto" w:fill="auto"/>
            <w:noWrap/>
            <w:vAlign w:val="center"/>
          </w:tcPr>
          <w:p w14:paraId="4E3E6A09" w14:textId="529AD44D" w:rsidR="00780C0A" w:rsidRPr="008E106E" w:rsidRDefault="00780C0A" w:rsidP="003B569F">
            <w:pPr>
              <w:jc w:val="center"/>
              <w:rPr>
                <w:rFonts w:ascii="Arial" w:hAnsi="Arial" w:cs="Arial"/>
                <w:color w:val="000000"/>
                <w:sz w:val="22"/>
                <w:szCs w:val="22"/>
              </w:rPr>
            </w:pPr>
            <w:r w:rsidRPr="008E106E">
              <w:rPr>
                <w:rFonts w:ascii="Arial" w:hAnsi="Arial" w:cs="Arial"/>
                <w:color w:val="000000"/>
                <w:sz w:val="22"/>
                <w:szCs w:val="22"/>
              </w:rPr>
              <w:t>IDB</w:t>
            </w:r>
          </w:p>
        </w:tc>
        <w:tc>
          <w:tcPr>
            <w:tcW w:w="275" w:type="pct"/>
            <w:tcBorders>
              <w:top w:val="nil"/>
              <w:left w:val="nil"/>
              <w:bottom w:val="single" w:sz="4" w:space="0" w:color="auto"/>
              <w:right w:val="single" w:sz="4" w:space="0" w:color="auto"/>
            </w:tcBorders>
            <w:shd w:val="clear" w:color="auto" w:fill="auto"/>
            <w:noWrap/>
            <w:vAlign w:val="center"/>
          </w:tcPr>
          <w:p w14:paraId="4B76B8A1" w14:textId="6946447E" w:rsidR="00780C0A" w:rsidRPr="008E106E" w:rsidRDefault="00780C0A" w:rsidP="00BD3FAE">
            <w:pPr>
              <w:jc w:val="center"/>
              <w:rPr>
                <w:rFonts w:ascii="Arial" w:hAnsi="Arial" w:cs="Arial"/>
                <w:color w:val="000000"/>
                <w:sz w:val="22"/>
                <w:szCs w:val="22"/>
              </w:rPr>
            </w:pPr>
            <w:r w:rsidRPr="008E106E">
              <w:rPr>
                <w:rFonts w:ascii="Arial" w:hAnsi="Arial" w:cs="Arial"/>
                <w:color w:val="000000"/>
                <w:sz w:val="22"/>
                <w:szCs w:val="22"/>
              </w:rPr>
              <w:t>IDB</w:t>
            </w:r>
          </w:p>
        </w:tc>
        <w:tc>
          <w:tcPr>
            <w:tcW w:w="474" w:type="pct"/>
            <w:tcBorders>
              <w:top w:val="nil"/>
              <w:left w:val="nil"/>
              <w:bottom w:val="single" w:sz="4" w:space="0" w:color="auto"/>
              <w:right w:val="single" w:sz="4" w:space="0" w:color="auto"/>
            </w:tcBorders>
            <w:shd w:val="clear" w:color="auto" w:fill="auto"/>
            <w:noWrap/>
            <w:vAlign w:val="center"/>
          </w:tcPr>
          <w:p w14:paraId="2495DEC4" w14:textId="77777777" w:rsidR="00780C0A" w:rsidRPr="008E106E" w:rsidRDefault="00780C0A" w:rsidP="00B41D09">
            <w:pPr>
              <w:jc w:val="right"/>
              <w:rPr>
                <w:rFonts w:ascii="Arial" w:hAnsi="Arial" w:cs="Arial"/>
                <w:color w:val="000000"/>
                <w:sz w:val="22"/>
                <w:szCs w:val="22"/>
              </w:rPr>
            </w:pPr>
            <w:r w:rsidRPr="008E106E">
              <w:rPr>
                <w:rFonts w:ascii="Arial" w:hAnsi="Arial" w:cs="Arial"/>
                <w:color w:val="000000"/>
                <w:sz w:val="22"/>
                <w:szCs w:val="22"/>
              </w:rPr>
              <w:t>10,000</w:t>
            </w:r>
          </w:p>
        </w:tc>
      </w:tr>
      <w:tr w:rsidR="00C03D03" w:rsidRPr="008E106E" w14:paraId="591A4F02" w14:textId="77777777" w:rsidTr="00C03D03">
        <w:trPr>
          <w:trHeight w:val="261"/>
        </w:trPr>
        <w:tc>
          <w:tcPr>
            <w:tcW w:w="629" w:type="pct"/>
            <w:tcBorders>
              <w:top w:val="nil"/>
              <w:bottom w:val="single" w:sz="4" w:space="0" w:color="auto"/>
              <w:right w:val="single" w:sz="4" w:space="0" w:color="auto"/>
            </w:tcBorders>
            <w:shd w:val="clear" w:color="auto" w:fill="auto"/>
            <w:noWrap/>
            <w:vAlign w:val="center"/>
          </w:tcPr>
          <w:p w14:paraId="0A1F4537" w14:textId="68CA0369" w:rsidR="00780C0A" w:rsidRPr="008E106E" w:rsidRDefault="00780C0A" w:rsidP="00433A31">
            <w:pPr>
              <w:rPr>
                <w:rFonts w:ascii="Arial" w:hAnsi="Arial" w:cs="Arial"/>
                <w:color w:val="000000"/>
                <w:sz w:val="22"/>
                <w:szCs w:val="22"/>
              </w:rPr>
            </w:pPr>
            <w:r w:rsidRPr="008E106E">
              <w:rPr>
                <w:rFonts w:ascii="Arial" w:hAnsi="Arial" w:cs="Arial"/>
                <w:color w:val="000000"/>
                <w:sz w:val="22"/>
                <w:szCs w:val="22"/>
              </w:rPr>
              <w:t>Mid-term and terminal evaluation - GEF</w:t>
            </w:r>
          </w:p>
        </w:tc>
        <w:tc>
          <w:tcPr>
            <w:tcW w:w="169" w:type="pct"/>
            <w:tcBorders>
              <w:top w:val="nil"/>
              <w:left w:val="nil"/>
              <w:bottom w:val="single" w:sz="4" w:space="0" w:color="auto"/>
              <w:right w:val="single" w:sz="4" w:space="0" w:color="auto"/>
            </w:tcBorders>
            <w:shd w:val="clear" w:color="auto" w:fill="auto"/>
          </w:tcPr>
          <w:p w14:paraId="6CAF0D3E" w14:textId="77777777" w:rsidR="00780C0A" w:rsidRPr="008E106E" w:rsidRDefault="00780C0A" w:rsidP="003B569F">
            <w:pPr>
              <w:rPr>
                <w:rFonts w:ascii="Arial" w:hAnsi="Arial" w:cs="Arial"/>
                <w:color w:val="000000"/>
                <w:sz w:val="22"/>
                <w:szCs w:val="22"/>
              </w:rPr>
            </w:pPr>
          </w:p>
        </w:tc>
        <w:tc>
          <w:tcPr>
            <w:tcW w:w="137" w:type="pct"/>
            <w:tcBorders>
              <w:top w:val="nil"/>
              <w:left w:val="single" w:sz="4" w:space="0" w:color="auto"/>
              <w:bottom w:val="single" w:sz="4" w:space="0" w:color="auto"/>
              <w:right w:val="single" w:sz="4" w:space="0" w:color="auto"/>
            </w:tcBorders>
            <w:shd w:val="clear" w:color="auto" w:fill="auto"/>
            <w:noWrap/>
            <w:vAlign w:val="center"/>
          </w:tcPr>
          <w:p w14:paraId="129C018E" w14:textId="77777777" w:rsidR="00780C0A" w:rsidRPr="008E106E" w:rsidRDefault="00780C0A" w:rsidP="003B569F">
            <w:pPr>
              <w:rPr>
                <w:rFonts w:ascii="Arial" w:hAnsi="Arial" w:cs="Arial"/>
                <w:color w:val="000000"/>
                <w:sz w:val="22"/>
                <w:szCs w:val="22"/>
              </w:rPr>
            </w:pPr>
          </w:p>
        </w:tc>
        <w:tc>
          <w:tcPr>
            <w:tcW w:w="141" w:type="pct"/>
            <w:tcBorders>
              <w:top w:val="nil"/>
              <w:left w:val="nil"/>
              <w:bottom w:val="single" w:sz="4" w:space="0" w:color="auto"/>
              <w:right w:val="single" w:sz="4" w:space="0" w:color="auto"/>
            </w:tcBorders>
            <w:shd w:val="clear" w:color="auto" w:fill="auto"/>
            <w:noWrap/>
            <w:vAlign w:val="center"/>
          </w:tcPr>
          <w:p w14:paraId="05F46BFF" w14:textId="77777777" w:rsidR="00780C0A" w:rsidRPr="008E106E" w:rsidRDefault="00780C0A" w:rsidP="003B569F">
            <w:pPr>
              <w:rPr>
                <w:rFonts w:ascii="Arial" w:hAnsi="Arial" w:cs="Arial"/>
                <w:color w:val="000000"/>
                <w:sz w:val="22"/>
                <w:szCs w:val="22"/>
              </w:rPr>
            </w:pPr>
          </w:p>
        </w:tc>
        <w:tc>
          <w:tcPr>
            <w:tcW w:w="138" w:type="pct"/>
            <w:tcBorders>
              <w:top w:val="nil"/>
              <w:left w:val="nil"/>
              <w:bottom w:val="single" w:sz="4" w:space="0" w:color="auto"/>
              <w:right w:val="single" w:sz="4" w:space="0" w:color="auto"/>
            </w:tcBorders>
            <w:shd w:val="clear" w:color="auto" w:fill="auto"/>
            <w:noWrap/>
            <w:vAlign w:val="center"/>
          </w:tcPr>
          <w:p w14:paraId="0CDFCD16" w14:textId="77777777" w:rsidR="00780C0A" w:rsidRPr="008E106E" w:rsidRDefault="00780C0A" w:rsidP="003B569F">
            <w:pPr>
              <w:rPr>
                <w:rFonts w:ascii="Arial" w:hAnsi="Arial" w:cs="Arial"/>
                <w:color w:val="000000"/>
                <w:sz w:val="22"/>
                <w:szCs w:val="22"/>
              </w:rPr>
            </w:pPr>
          </w:p>
        </w:tc>
        <w:tc>
          <w:tcPr>
            <w:tcW w:w="142" w:type="pct"/>
            <w:tcBorders>
              <w:top w:val="nil"/>
              <w:left w:val="nil"/>
              <w:bottom w:val="single" w:sz="4" w:space="0" w:color="auto"/>
              <w:right w:val="single" w:sz="4" w:space="0" w:color="auto"/>
            </w:tcBorders>
            <w:shd w:val="clear" w:color="auto" w:fill="auto"/>
            <w:noWrap/>
            <w:vAlign w:val="center"/>
          </w:tcPr>
          <w:p w14:paraId="00CB885B" w14:textId="77777777" w:rsidR="00780C0A" w:rsidRPr="008E106E" w:rsidRDefault="00780C0A" w:rsidP="003B569F">
            <w:pPr>
              <w:rPr>
                <w:rFonts w:ascii="Arial" w:hAnsi="Arial" w:cs="Arial"/>
                <w:color w:val="000000"/>
                <w:sz w:val="22"/>
                <w:szCs w:val="22"/>
              </w:rPr>
            </w:pPr>
          </w:p>
        </w:tc>
        <w:tc>
          <w:tcPr>
            <w:tcW w:w="140" w:type="pct"/>
            <w:tcBorders>
              <w:top w:val="single" w:sz="4" w:space="0" w:color="auto"/>
              <w:left w:val="nil"/>
              <w:bottom w:val="single" w:sz="4" w:space="0" w:color="auto"/>
              <w:right w:val="single" w:sz="4" w:space="0" w:color="auto"/>
            </w:tcBorders>
            <w:shd w:val="clear" w:color="auto" w:fill="auto"/>
          </w:tcPr>
          <w:p w14:paraId="1B3AC9DA" w14:textId="77777777" w:rsidR="00780C0A" w:rsidRPr="008E106E" w:rsidRDefault="00780C0A" w:rsidP="003B569F">
            <w:pPr>
              <w:rPr>
                <w:rFonts w:ascii="Arial" w:hAnsi="Arial" w:cs="Arial"/>
                <w:color w:val="000000"/>
                <w:sz w:val="22"/>
                <w:szCs w:val="22"/>
              </w:rPr>
            </w:pPr>
          </w:p>
        </w:tc>
        <w:tc>
          <w:tcPr>
            <w:tcW w:w="142" w:type="pct"/>
            <w:tcBorders>
              <w:top w:val="single" w:sz="4" w:space="0" w:color="auto"/>
              <w:left w:val="nil"/>
              <w:bottom w:val="single" w:sz="4" w:space="0" w:color="auto"/>
              <w:right w:val="single" w:sz="4" w:space="0" w:color="auto"/>
            </w:tcBorders>
            <w:shd w:val="clear" w:color="auto" w:fill="auto"/>
          </w:tcPr>
          <w:p w14:paraId="395E6BEA" w14:textId="77777777" w:rsidR="00780C0A" w:rsidRPr="008E106E" w:rsidRDefault="00780C0A" w:rsidP="003B569F">
            <w:pPr>
              <w:rPr>
                <w:rFonts w:ascii="Arial" w:hAnsi="Arial" w:cs="Arial"/>
                <w:color w:val="000000"/>
                <w:sz w:val="22"/>
                <w:szCs w:val="22"/>
              </w:rPr>
            </w:pPr>
          </w:p>
        </w:tc>
        <w:tc>
          <w:tcPr>
            <w:tcW w:w="140" w:type="pct"/>
            <w:tcBorders>
              <w:top w:val="single" w:sz="4" w:space="0" w:color="auto"/>
              <w:left w:val="nil"/>
              <w:bottom w:val="single" w:sz="4" w:space="0" w:color="auto"/>
              <w:right w:val="single" w:sz="4" w:space="0" w:color="auto"/>
            </w:tcBorders>
            <w:shd w:val="clear" w:color="auto" w:fill="auto"/>
          </w:tcPr>
          <w:p w14:paraId="765ECC6E" w14:textId="77777777" w:rsidR="00780C0A" w:rsidRPr="008E106E" w:rsidRDefault="00780C0A" w:rsidP="003B569F">
            <w:pPr>
              <w:rPr>
                <w:rFonts w:ascii="Arial" w:hAnsi="Arial" w:cs="Arial"/>
                <w:color w:val="000000"/>
                <w:sz w:val="22"/>
                <w:szCs w:val="22"/>
              </w:rPr>
            </w:pPr>
          </w:p>
        </w:tc>
        <w:tc>
          <w:tcPr>
            <w:tcW w:w="143" w:type="pct"/>
            <w:tcBorders>
              <w:top w:val="single" w:sz="4" w:space="0" w:color="auto"/>
              <w:left w:val="nil"/>
              <w:bottom w:val="single" w:sz="4" w:space="0" w:color="auto"/>
              <w:right w:val="single" w:sz="4" w:space="0" w:color="auto"/>
            </w:tcBorders>
            <w:shd w:val="clear" w:color="auto" w:fill="C6D9F1" w:themeFill="text2" w:themeFillTint="33"/>
          </w:tcPr>
          <w:p w14:paraId="2DD58715" w14:textId="77777777" w:rsidR="00780C0A" w:rsidRPr="008E106E" w:rsidRDefault="00780C0A" w:rsidP="003B569F">
            <w:pPr>
              <w:rPr>
                <w:rFonts w:ascii="Arial" w:hAnsi="Arial" w:cs="Arial"/>
                <w:color w:val="000000"/>
                <w:sz w:val="22"/>
                <w:szCs w:val="22"/>
              </w:rPr>
            </w:pPr>
          </w:p>
        </w:tc>
        <w:tc>
          <w:tcPr>
            <w:tcW w:w="140" w:type="pct"/>
            <w:tcBorders>
              <w:top w:val="nil"/>
              <w:left w:val="nil"/>
              <w:bottom w:val="single" w:sz="4" w:space="0" w:color="auto"/>
              <w:right w:val="single" w:sz="4" w:space="0" w:color="auto"/>
            </w:tcBorders>
            <w:shd w:val="clear" w:color="auto" w:fill="auto"/>
            <w:noWrap/>
            <w:vAlign w:val="center"/>
          </w:tcPr>
          <w:p w14:paraId="73ABF27D" w14:textId="77777777" w:rsidR="00780C0A" w:rsidRPr="008E106E" w:rsidRDefault="00780C0A" w:rsidP="003B569F">
            <w:pPr>
              <w:rPr>
                <w:rFonts w:ascii="Arial" w:hAnsi="Arial" w:cs="Arial"/>
                <w:color w:val="000000"/>
                <w:sz w:val="22"/>
                <w:szCs w:val="22"/>
              </w:rPr>
            </w:pPr>
          </w:p>
        </w:tc>
        <w:tc>
          <w:tcPr>
            <w:tcW w:w="143" w:type="pct"/>
            <w:tcBorders>
              <w:top w:val="nil"/>
              <w:left w:val="nil"/>
              <w:bottom w:val="single" w:sz="4" w:space="0" w:color="auto"/>
              <w:right w:val="single" w:sz="4" w:space="0" w:color="auto"/>
            </w:tcBorders>
            <w:shd w:val="clear" w:color="auto" w:fill="auto"/>
            <w:noWrap/>
            <w:vAlign w:val="center"/>
          </w:tcPr>
          <w:p w14:paraId="268298A7" w14:textId="77777777" w:rsidR="00780C0A" w:rsidRPr="008E106E" w:rsidRDefault="00780C0A" w:rsidP="003B569F">
            <w:pPr>
              <w:rPr>
                <w:rFonts w:ascii="Arial" w:hAnsi="Arial" w:cs="Arial"/>
                <w:color w:val="000000"/>
                <w:sz w:val="22"/>
                <w:szCs w:val="22"/>
              </w:rPr>
            </w:pPr>
          </w:p>
        </w:tc>
        <w:tc>
          <w:tcPr>
            <w:tcW w:w="140" w:type="pct"/>
            <w:tcBorders>
              <w:top w:val="nil"/>
              <w:left w:val="nil"/>
              <w:bottom w:val="single" w:sz="4" w:space="0" w:color="auto"/>
              <w:right w:val="single" w:sz="4" w:space="0" w:color="auto"/>
            </w:tcBorders>
            <w:shd w:val="clear" w:color="auto" w:fill="auto"/>
            <w:noWrap/>
            <w:vAlign w:val="center"/>
          </w:tcPr>
          <w:p w14:paraId="7B270014" w14:textId="77777777" w:rsidR="00780C0A" w:rsidRPr="008E106E" w:rsidRDefault="00780C0A" w:rsidP="003B569F">
            <w:pPr>
              <w:rPr>
                <w:rFonts w:ascii="Arial" w:hAnsi="Arial" w:cs="Arial"/>
                <w:color w:val="000000"/>
                <w:sz w:val="22"/>
                <w:szCs w:val="22"/>
              </w:rPr>
            </w:pPr>
          </w:p>
        </w:tc>
        <w:tc>
          <w:tcPr>
            <w:tcW w:w="142" w:type="pct"/>
            <w:tcBorders>
              <w:top w:val="nil"/>
              <w:left w:val="nil"/>
              <w:bottom w:val="single" w:sz="4" w:space="0" w:color="auto"/>
              <w:right w:val="single" w:sz="4" w:space="0" w:color="auto"/>
            </w:tcBorders>
            <w:shd w:val="clear" w:color="auto" w:fill="auto"/>
            <w:noWrap/>
            <w:vAlign w:val="center"/>
          </w:tcPr>
          <w:p w14:paraId="223AEF10" w14:textId="77777777" w:rsidR="00780C0A" w:rsidRPr="008E106E" w:rsidRDefault="00780C0A" w:rsidP="003B569F">
            <w:pPr>
              <w:rPr>
                <w:rFonts w:ascii="Arial" w:hAnsi="Arial" w:cs="Arial"/>
                <w:color w:val="000000"/>
                <w:sz w:val="22"/>
                <w:szCs w:val="22"/>
              </w:rPr>
            </w:pPr>
          </w:p>
        </w:tc>
        <w:tc>
          <w:tcPr>
            <w:tcW w:w="140" w:type="pct"/>
            <w:tcBorders>
              <w:top w:val="nil"/>
              <w:left w:val="nil"/>
              <w:bottom w:val="single" w:sz="4" w:space="0" w:color="auto"/>
              <w:right w:val="single" w:sz="4" w:space="0" w:color="auto"/>
            </w:tcBorders>
            <w:shd w:val="clear" w:color="auto" w:fill="auto"/>
            <w:noWrap/>
            <w:vAlign w:val="center"/>
          </w:tcPr>
          <w:p w14:paraId="49F1EC96" w14:textId="77777777" w:rsidR="00780C0A" w:rsidRPr="008E106E" w:rsidRDefault="00780C0A" w:rsidP="003B569F">
            <w:pPr>
              <w:rPr>
                <w:rFonts w:ascii="Arial" w:hAnsi="Arial" w:cs="Arial"/>
                <w:color w:val="000000"/>
                <w:sz w:val="22"/>
                <w:szCs w:val="22"/>
              </w:rPr>
            </w:pPr>
          </w:p>
        </w:tc>
        <w:tc>
          <w:tcPr>
            <w:tcW w:w="143" w:type="pct"/>
            <w:tcBorders>
              <w:top w:val="nil"/>
              <w:left w:val="nil"/>
              <w:bottom w:val="single" w:sz="4" w:space="0" w:color="auto"/>
              <w:right w:val="single" w:sz="4" w:space="0" w:color="auto"/>
            </w:tcBorders>
            <w:shd w:val="clear" w:color="auto" w:fill="C6D9F1" w:themeFill="text2" w:themeFillTint="33"/>
            <w:noWrap/>
            <w:vAlign w:val="center"/>
          </w:tcPr>
          <w:p w14:paraId="610E2409" w14:textId="77777777" w:rsidR="00780C0A" w:rsidRPr="008E106E" w:rsidRDefault="00780C0A" w:rsidP="00232BFF">
            <w:pPr>
              <w:jc w:val="center"/>
              <w:rPr>
                <w:rFonts w:ascii="Arial" w:hAnsi="Arial" w:cs="Arial"/>
                <w:b/>
                <w:bCs/>
                <w:color w:val="000000"/>
                <w:sz w:val="22"/>
                <w:szCs w:val="22"/>
              </w:rPr>
            </w:pPr>
          </w:p>
        </w:tc>
        <w:tc>
          <w:tcPr>
            <w:tcW w:w="149" w:type="pct"/>
            <w:tcBorders>
              <w:top w:val="single" w:sz="4" w:space="0" w:color="auto"/>
              <w:left w:val="single" w:sz="4" w:space="0" w:color="auto"/>
              <w:bottom w:val="single" w:sz="4" w:space="0" w:color="auto"/>
              <w:right w:val="single" w:sz="4" w:space="0" w:color="auto"/>
            </w:tcBorders>
            <w:shd w:val="clear" w:color="auto" w:fill="auto"/>
          </w:tcPr>
          <w:p w14:paraId="76895C89" w14:textId="77777777" w:rsidR="00780C0A" w:rsidRPr="008E106E" w:rsidRDefault="00780C0A" w:rsidP="00232BFF">
            <w:pPr>
              <w:jc w:val="center"/>
              <w:rPr>
                <w:rFonts w:ascii="Arial" w:hAnsi="Arial" w:cs="Arial"/>
                <w:b/>
                <w:bCs/>
                <w:color w:val="000000"/>
                <w:sz w:val="22"/>
                <w:szCs w:val="22"/>
              </w:rPr>
            </w:pPr>
          </w:p>
        </w:tc>
        <w:tc>
          <w:tcPr>
            <w:tcW w:w="131" w:type="pct"/>
            <w:tcBorders>
              <w:top w:val="single" w:sz="4" w:space="0" w:color="auto"/>
              <w:left w:val="single" w:sz="4" w:space="0" w:color="auto"/>
              <w:bottom w:val="single" w:sz="4" w:space="0" w:color="auto"/>
              <w:right w:val="single" w:sz="4" w:space="0" w:color="auto"/>
            </w:tcBorders>
            <w:shd w:val="clear" w:color="auto" w:fill="auto"/>
          </w:tcPr>
          <w:p w14:paraId="0EAFE9DC" w14:textId="77777777" w:rsidR="00780C0A" w:rsidRPr="008E106E" w:rsidRDefault="00780C0A" w:rsidP="00232BFF">
            <w:pPr>
              <w:jc w:val="center"/>
              <w:rPr>
                <w:rFonts w:ascii="Arial" w:hAnsi="Arial" w:cs="Arial"/>
                <w:b/>
                <w:bCs/>
                <w:color w:val="000000"/>
                <w:sz w:val="22"/>
                <w:szCs w:val="22"/>
              </w:rPr>
            </w:pPr>
          </w:p>
        </w:tc>
        <w:tc>
          <w:tcPr>
            <w:tcW w:w="140" w:type="pct"/>
            <w:tcBorders>
              <w:top w:val="single" w:sz="4" w:space="0" w:color="auto"/>
              <w:left w:val="single" w:sz="4" w:space="0" w:color="auto"/>
              <w:bottom w:val="single" w:sz="4" w:space="0" w:color="auto"/>
              <w:right w:val="single" w:sz="4" w:space="0" w:color="auto"/>
            </w:tcBorders>
            <w:shd w:val="clear" w:color="auto" w:fill="auto"/>
          </w:tcPr>
          <w:p w14:paraId="0DAB5A97" w14:textId="77777777" w:rsidR="00780C0A" w:rsidRPr="008E106E" w:rsidRDefault="00780C0A" w:rsidP="00232BFF">
            <w:pPr>
              <w:jc w:val="center"/>
              <w:rPr>
                <w:rFonts w:ascii="Arial" w:hAnsi="Arial" w:cs="Arial"/>
                <w:b/>
                <w:bCs/>
                <w:color w:val="000000"/>
                <w:sz w:val="22"/>
                <w:szCs w:val="22"/>
              </w:rPr>
            </w:pPr>
          </w:p>
        </w:tc>
        <w:tc>
          <w:tcPr>
            <w:tcW w:w="145" w:type="pct"/>
            <w:tcBorders>
              <w:top w:val="single" w:sz="4" w:space="0" w:color="auto"/>
              <w:left w:val="single" w:sz="4" w:space="0" w:color="auto"/>
              <w:bottom w:val="single" w:sz="4" w:space="0" w:color="auto"/>
              <w:right w:val="single" w:sz="4" w:space="0" w:color="auto"/>
            </w:tcBorders>
            <w:shd w:val="clear" w:color="auto" w:fill="auto"/>
          </w:tcPr>
          <w:p w14:paraId="01BF1924" w14:textId="77777777" w:rsidR="00780C0A" w:rsidRPr="008E106E" w:rsidRDefault="00780C0A" w:rsidP="00232BFF">
            <w:pPr>
              <w:jc w:val="center"/>
              <w:rPr>
                <w:rFonts w:ascii="Arial" w:hAnsi="Arial" w:cs="Arial"/>
                <w:b/>
                <w:bCs/>
                <w:color w:val="000000"/>
                <w:sz w:val="22"/>
                <w:szCs w:val="22"/>
              </w:rPr>
            </w:pPr>
          </w:p>
        </w:tc>
        <w:tc>
          <w:tcPr>
            <w:tcW w:w="137" w:type="pct"/>
            <w:tcBorders>
              <w:top w:val="nil"/>
              <w:left w:val="single" w:sz="4" w:space="0" w:color="auto"/>
              <w:bottom w:val="single" w:sz="4" w:space="0" w:color="auto"/>
              <w:right w:val="single" w:sz="4" w:space="0" w:color="auto"/>
            </w:tcBorders>
          </w:tcPr>
          <w:p w14:paraId="5418AF7E" w14:textId="77777777" w:rsidR="00780C0A" w:rsidRPr="008E106E" w:rsidRDefault="00780C0A" w:rsidP="00B92170">
            <w:pPr>
              <w:rPr>
                <w:rFonts w:ascii="Arial" w:hAnsi="Arial" w:cs="Arial"/>
                <w:color w:val="000000"/>
                <w:sz w:val="22"/>
                <w:szCs w:val="22"/>
              </w:rPr>
            </w:pPr>
          </w:p>
        </w:tc>
        <w:tc>
          <w:tcPr>
            <w:tcW w:w="153" w:type="pct"/>
            <w:tcBorders>
              <w:top w:val="nil"/>
              <w:left w:val="single" w:sz="4" w:space="0" w:color="auto"/>
              <w:bottom w:val="single" w:sz="4" w:space="0" w:color="auto"/>
              <w:right w:val="single" w:sz="4" w:space="0" w:color="auto"/>
            </w:tcBorders>
          </w:tcPr>
          <w:p w14:paraId="130581CB" w14:textId="77777777" w:rsidR="00780C0A" w:rsidRPr="008E106E" w:rsidRDefault="00780C0A" w:rsidP="00B92170">
            <w:pPr>
              <w:rPr>
                <w:rFonts w:ascii="Arial" w:hAnsi="Arial" w:cs="Arial"/>
                <w:color w:val="000000"/>
                <w:sz w:val="22"/>
                <w:szCs w:val="22"/>
              </w:rPr>
            </w:pPr>
          </w:p>
        </w:tc>
        <w:tc>
          <w:tcPr>
            <w:tcW w:w="187" w:type="pct"/>
            <w:tcBorders>
              <w:top w:val="nil"/>
              <w:left w:val="single" w:sz="4" w:space="0" w:color="auto"/>
              <w:bottom w:val="single" w:sz="4" w:space="0" w:color="auto"/>
              <w:right w:val="single" w:sz="4" w:space="0" w:color="auto"/>
            </w:tcBorders>
          </w:tcPr>
          <w:p w14:paraId="4648264D" w14:textId="77777777" w:rsidR="00780C0A" w:rsidRPr="008E106E" w:rsidRDefault="00780C0A" w:rsidP="00B92170">
            <w:pPr>
              <w:rPr>
                <w:rFonts w:ascii="Arial" w:hAnsi="Arial" w:cs="Arial"/>
                <w:color w:val="000000"/>
                <w:sz w:val="22"/>
                <w:szCs w:val="22"/>
              </w:rPr>
            </w:pPr>
          </w:p>
        </w:tc>
        <w:tc>
          <w:tcPr>
            <w:tcW w:w="139" w:type="pct"/>
            <w:tcBorders>
              <w:top w:val="nil"/>
              <w:left w:val="single" w:sz="4" w:space="0" w:color="auto"/>
              <w:bottom w:val="single" w:sz="4" w:space="0" w:color="auto"/>
              <w:right w:val="single" w:sz="4" w:space="0" w:color="auto"/>
            </w:tcBorders>
          </w:tcPr>
          <w:p w14:paraId="50F01CFC" w14:textId="77777777" w:rsidR="00780C0A" w:rsidRPr="008E106E" w:rsidRDefault="00780C0A" w:rsidP="00B92170">
            <w:pPr>
              <w:rPr>
                <w:rFonts w:ascii="Arial" w:hAnsi="Arial" w:cs="Arial"/>
                <w:color w:val="000000"/>
                <w:sz w:val="22"/>
                <w:szCs w:val="22"/>
              </w:rPr>
            </w:pPr>
          </w:p>
        </w:tc>
        <w:tc>
          <w:tcPr>
            <w:tcW w:w="298" w:type="pct"/>
            <w:tcBorders>
              <w:top w:val="nil"/>
              <w:left w:val="single" w:sz="4" w:space="0" w:color="auto"/>
              <w:bottom w:val="single" w:sz="4" w:space="0" w:color="auto"/>
              <w:right w:val="single" w:sz="4" w:space="0" w:color="auto"/>
            </w:tcBorders>
            <w:shd w:val="clear" w:color="auto" w:fill="auto"/>
            <w:noWrap/>
            <w:vAlign w:val="center"/>
          </w:tcPr>
          <w:p w14:paraId="1B343C18" w14:textId="38F60379" w:rsidR="00780C0A" w:rsidRPr="008E106E" w:rsidRDefault="00780C0A" w:rsidP="00B92170">
            <w:pPr>
              <w:rPr>
                <w:rFonts w:ascii="Arial" w:hAnsi="Arial" w:cs="Arial"/>
                <w:color w:val="000000"/>
                <w:sz w:val="22"/>
                <w:szCs w:val="22"/>
              </w:rPr>
            </w:pPr>
            <w:r w:rsidRPr="008E106E">
              <w:rPr>
                <w:rFonts w:ascii="Arial" w:hAnsi="Arial" w:cs="Arial"/>
                <w:color w:val="000000"/>
                <w:sz w:val="22"/>
                <w:szCs w:val="22"/>
              </w:rPr>
              <w:t>IDB</w:t>
            </w:r>
          </w:p>
        </w:tc>
        <w:tc>
          <w:tcPr>
            <w:tcW w:w="275" w:type="pct"/>
            <w:tcBorders>
              <w:top w:val="nil"/>
              <w:left w:val="nil"/>
              <w:bottom w:val="single" w:sz="4" w:space="0" w:color="auto"/>
              <w:right w:val="single" w:sz="4" w:space="0" w:color="auto"/>
            </w:tcBorders>
            <w:shd w:val="clear" w:color="auto" w:fill="auto"/>
            <w:noWrap/>
            <w:vAlign w:val="center"/>
          </w:tcPr>
          <w:p w14:paraId="3DF2192C" w14:textId="59451449" w:rsidR="00780C0A" w:rsidRPr="008E106E" w:rsidRDefault="00780C0A" w:rsidP="00BD3FAE">
            <w:pPr>
              <w:jc w:val="center"/>
              <w:rPr>
                <w:rFonts w:ascii="Arial" w:hAnsi="Arial" w:cs="Arial"/>
                <w:color w:val="000000"/>
                <w:sz w:val="22"/>
                <w:szCs w:val="22"/>
              </w:rPr>
            </w:pPr>
            <w:r w:rsidRPr="008E106E">
              <w:rPr>
                <w:rFonts w:ascii="Arial" w:hAnsi="Arial" w:cs="Arial"/>
                <w:color w:val="000000"/>
                <w:sz w:val="22"/>
                <w:szCs w:val="22"/>
              </w:rPr>
              <w:t>GEF</w:t>
            </w:r>
          </w:p>
        </w:tc>
        <w:tc>
          <w:tcPr>
            <w:tcW w:w="474" w:type="pct"/>
            <w:tcBorders>
              <w:top w:val="nil"/>
              <w:left w:val="nil"/>
              <w:bottom w:val="single" w:sz="4" w:space="0" w:color="auto"/>
              <w:right w:val="single" w:sz="4" w:space="0" w:color="auto"/>
            </w:tcBorders>
            <w:shd w:val="clear" w:color="auto" w:fill="auto"/>
            <w:noWrap/>
            <w:vAlign w:val="center"/>
          </w:tcPr>
          <w:p w14:paraId="0BBC7D29" w14:textId="4A280C56" w:rsidR="00780C0A" w:rsidRPr="008E106E" w:rsidRDefault="00780C0A" w:rsidP="003B569F">
            <w:pPr>
              <w:jc w:val="right"/>
              <w:rPr>
                <w:rFonts w:ascii="Arial" w:hAnsi="Arial" w:cs="Arial"/>
                <w:color w:val="000000"/>
                <w:sz w:val="22"/>
                <w:szCs w:val="22"/>
              </w:rPr>
            </w:pPr>
            <w:r w:rsidRPr="008E106E">
              <w:rPr>
                <w:rFonts w:ascii="Arial" w:hAnsi="Arial" w:cs="Arial"/>
                <w:color w:val="000000"/>
                <w:sz w:val="22"/>
                <w:szCs w:val="22"/>
              </w:rPr>
              <w:t>70,000</w:t>
            </w:r>
          </w:p>
        </w:tc>
      </w:tr>
      <w:tr w:rsidR="00C03D03" w:rsidRPr="008E106E" w14:paraId="1A1DFD58" w14:textId="77777777" w:rsidTr="00C03D03">
        <w:trPr>
          <w:trHeight w:val="261"/>
        </w:trPr>
        <w:tc>
          <w:tcPr>
            <w:tcW w:w="629" w:type="pct"/>
            <w:tcBorders>
              <w:top w:val="nil"/>
              <w:bottom w:val="single" w:sz="4" w:space="0" w:color="auto"/>
              <w:right w:val="single" w:sz="4" w:space="0" w:color="auto"/>
            </w:tcBorders>
            <w:shd w:val="clear" w:color="auto" w:fill="auto"/>
            <w:noWrap/>
            <w:vAlign w:val="center"/>
            <w:hideMark/>
          </w:tcPr>
          <w:p w14:paraId="3E135EAD" w14:textId="06B91970" w:rsidR="00780C0A" w:rsidRPr="008E106E" w:rsidRDefault="00780C0A" w:rsidP="00433A31">
            <w:pPr>
              <w:rPr>
                <w:rFonts w:ascii="Arial" w:hAnsi="Arial" w:cs="Arial"/>
                <w:color w:val="000000"/>
                <w:sz w:val="22"/>
                <w:szCs w:val="22"/>
              </w:rPr>
            </w:pPr>
            <w:r w:rsidRPr="008E106E">
              <w:rPr>
                <w:rFonts w:ascii="Arial" w:hAnsi="Arial" w:cs="Arial"/>
                <w:color w:val="000000"/>
                <w:sz w:val="22"/>
                <w:szCs w:val="22"/>
              </w:rPr>
              <w:t xml:space="preserve">Mid-term </w:t>
            </w:r>
            <w:r>
              <w:rPr>
                <w:rFonts w:ascii="Arial" w:hAnsi="Arial" w:cs="Arial"/>
                <w:color w:val="000000"/>
                <w:sz w:val="22"/>
                <w:szCs w:val="22"/>
              </w:rPr>
              <w:t xml:space="preserve">and final independent </w:t>
            </w:r>
            <w:proofErr w:type="gramStart"/>
            <w:r w:rsidRPr="008E106E">
              <w:rPr>
                <w:rFonts w:ascii="Arial" w:hAnsi="Arial" w:cs="Arial"/>
                <w:color w:val="000000"/>
                <w:sz w:val="22"/>
                <w:szCs w:val="22"/>
              </w:rPr>
              <w:t>Eval</w:t>
            </w:r>
            <w:r>
              <w:rPr>
                <w:rFonts w:ascii="Arial" w:hAnsi="Arial" w:cs="Arial"/>
                <w:color w:val="000000"/>
                <w:sz w:val="22"/>
                <w:szCs w:val="22"/>
              </w:rPr>
              <w:t xml:space="preserve">  -</w:t>
            </w:r>
            <w:proofErr w:type="gramEnd"/>
            <w:r>
              <w:rPr>
                <w:rFonts w:ascii="Arial" w:hAnsi="Arial" w:cs="Arial"/>
                <w:color w:val="000000"/>
                <w:sz w:val="22"/>
                <w:szCs w:val="22"/>
              </w:rPr>
              <w:t xml:space="preserve"> GCF</w:t>
            </w:r>
          </w:p>
        </w:tc>
        <w:tc>
          <w:tcPr>
            <w:tcW w:w="169" w:type="pct"/>
            <w:tcBorders>
              <w:top w:val="nil"/>
              <w:left w:val="nil"/>
              <w:bottom w:val="single" w:sz="4" w:space="0" w:color="auto"/>
              <w:right w:val="single" w:sz="4" w:space="0" w:color="auto"/>
            </w:tcBorders>
          </w:tcPr>
          <w:p w14:paraId="0823F8E7" w14:textId="77777777" w:rsidR="00780C0A" w:rsidRPr="008E106E" w:rsidRDefault="00780C0A" w:rsidP="003B569F">
            <w:pPr>
              <w:rPr>
                <w:rFonts w:ascii="Arial" w:hAnsi="Arial" w:cs="Arial"/>
                <w:color w:val="000000"/>
                <w:sz w:val="22"/>
                <w:szCs w:val="22"/>
              </w:rPr>
            </w:pPr>
          </w:p>
        </w:tc>
        <w:tc>
          <w:tcPr>
            <w:tcW w:w="137" w:type="pct"/>
            <w:tcBorders>
              <w:top w:val="nil"/>
              <w:left w:val="single" w:sz="4" w:space="0" w:color="auto"/>
              <w:bottom w:val="single" w:sz="4" w:space="0" w:color="auto"/>
              <w:right w:val="single" w:sz="4" w:space="0" w:color="auto"/>
            </w:tcBorders>
            <w:shd w:val="clear" w:color="auto" w:fill="auto"/>
            <w:noWrap/>
            <w:vAlign w:val="center"/>
            <w:hideMark/>
          </w:tcPr>
          <w:p w14:paraId="67107887" w14:textId="77777777" w:rsidR="00780C0A" w:rsidRPr="008E106E" w:rsidRDefault="00780C0A" w:rsidP="003B569F">
            <w:pPr>
              <w:rPr>
                <w:rFonts w:ascii="Arial" w:hAnsi="Arial" w:cs="Arial"/>
                <w:color w:val="000000"/>
                <w:sz w:val="22"/>
                <w:szCs w:val="22"/>
              </w:rPr>
            </w:pPr>
            <w:r w:rsidRPr="008E106E">
              <w:rPr>
                <w:rFonts w:ascii="Arial" w:hAnsi="Arial" w:cs="Arial"/>
                <w:color w:val="000000"/>
                <w:sz w:val="22"/>
                <w:szCs w:val="22"/>
              </w:rPr>
              <w:t> </w:t>
            </w:r>
          </w:p>
        </w:tc>
        <w:tc>
          <w:tcPr>
            <w:tcW w:w="141" w:type="pct"/>
            <w:tcBorders>
              <w:top w:val="nil"/>
              <w:left w:val="nil"/>
              <w:bottom w:val="single" w:sz="4" w:space="0" w:color="auto"/>
              <w:right w:val="single" w:sz="4" w:space="0" w:color="auto"/>
            </w:tcBorders>
            <w:shd w:val="clear" w:color="auto" w:fill="auto"/>
            <w:noWrap/>
            <w:vAlign w:val="center"/>
            <w:hideMark/>
          </w:tcPr>
          <w:p w14:paraId="7DECBF3C" w14:textId="77777777" w:rsidR="00780C0A" w:rsidRPr="008E106E" w:rsidRDefault="00780C0A" w:rsidP="003B569F">
            <w:pPr>
              <w:rPr>
                <w:rFonts w:ascii="Arial" w:hAnsi="Arial" w:cs="Arial"/>
                <w:color w:val="000000"/>
                <w:sz w:val="22"/>
                <w:szCs w:val="22"/>
              </w:rPr>
            </w:pPr>
            <w:r w:rsidRPr="008E106E">
              <w:rPr>
                <w:rFonts w:ascii="Arial" w:hAnsi="Arial" w:cs="Arial"/>
                <w:color w:val="000000"/>
                <w:sz w:val="22"/>
                <w:szCs w:val="22"/>
              </w:rPr>
              <w:t> </w:t>
            </w:r>
          </w:p>
        </w:tc>
        <w:tc>
          <w:tcPr>
            <w:tcW w:w="138" w:type="pct"/>
            <w:tcBorders>
              <w:top w:val="nil"/>
              <w:left w:val="nil"/>
              <w:bottom w:val="single" w:sz="4" w:space="0" w:color="auto"/>
              <w:right w:val="single" w:sz="4" w:space="0" w:color="auto"/>
            </w:tcBorders>
            <w:shd w:val="clear" w:color="auto" w:fill="auto"/>
            <w:noWrap/>
            <w:vAlign w:val="center"/>
            <w:hideMark/>
          </w:tcPr>
          <w:p w14:paraId="7E716C16" w14:textId="77777777" w:rsidR="00780C0A" w:rsidRPr="008E106E" w:rsidRDefault="00780C0A" w:rsidP="003B569F">
            <w:pPr>
              <w:rPr>
                <w:rFonts w:ascii="Arial" w:hAnsi="Arial" w:cs="Arial"/>
                <w:color w:val="000000"/>
                <w:sz w:val="22"/>
                <w:szCs w:val="22"/>
              </w:rPr>
            </w:pPr>
            <w:r w:rsidRPr="008E106E">
              <w:rPr>
                <w:rFonts w:ascii="Arial" w:hAnsi="Arial" w:cs="Arial"/>
                <w:color w:val="000000"/>
                <w:sz w:val="22"/>
                <w:szCs w:val="22"/>
              </w:rPr>
              <w:t> </w:t>
            </w:r>
          </w:p>
        </w:tc>
        <w:tc>
          <w:tcPr>
            <w:tcW w:w="142" w:type="pct"/>
            <w:tcBorders>
              <w:top w:val="nil"/>
              <w:left w:val="nil"/>
              <w:bottom w:val="single" w:sz="4" w:space="0" w:color="auto"/>
              <w:right w:val="single" w:sz="4" w:space="0" w:color="auto"/>
            </w:tcBorders>
            <w:shd w:val="clear" w:color="auto" w:fill="auto"/>
            <w:noWrap/>
            <w:vAlign w:val="center"/>
            <w:hideMark/>
          </w:tcPr>
          <w:p w14:paraId="604C7B9B" w14:textId="77777777" w:rsidR="00780C0A" w:rsidRPr="008E106E" w:rsidRDefault="00780C0A" w:rsidP="003B569F">
            <w:pPr>
              <w:rPr>
                <w:rFonts w:ascii="Arial" w:hAnsi="Arial" w:cs="Arial"/>
                <w:color w:val="000000"/>
                <w:sz w:val="22"/>
                <w:szCs w:val="22"/>
              </w:rPr>
            </w:pPr>
            <w:r w:rsidRPr="008E106E">
              <w:rPr>
                <w:rFonts w:ascii="Arial" w:hAnsi="Arial" w:cs="Arial"/>
                <w:color w:val="000000"/>
                <w:sz w:val="22"/>
                <w:szCs w:val="22"/>
              </w:rPr>
              <w:t> </w:t>
            </w:r>
          </w:p>
        </w:tc>
        <w:tc>
          <w:tcPr>
            <w:tcW w:w="140" w:type="pct"/>
            <w:tcBorders>
              <w:top w:val="single" w:sz="4" w:space="0" w:color="auto"/>
              <w:left w:val="nil"/>
              <w:bottom w:val="single" w:sz="4" w:space="0" w:color="auto"/>
              <w:right w:val="single" w:sz="4" w:space="0" w:color="auto"/>
            </w:tcBorders>
            <w:shd w:val="clear" w:color="auto" w:fill="FFFFFF" w:themeFill="background1"/>
          </w:tcPr>
          <w:p w14:paraId="712ECDA3" w14:textId="77777777" w:rsidR="00780C0A" w:rsidRPr="008E106E" w:rsidRDefault="00780C0A" w:rsidP="003B569F">
            <w:pPr>
              <w:rPr>
                <w:rFonts w:ascii="Arial" w:hAnsi="Arial" w:cs="Arial"/>
                <w:color w:val="000000"/>
                <w:sz w:val="22"/>
                <w:szCs w:val="22"/>
              </w:rPr>
            </w:pPr>
          </w:p>
        </w:tc>
        <w:tc>
          <w:tcPr>
            <w:tcW w:w="142" w:type="pct"/>
            <w:tcBorders>
              <w:top w:val="single" w:sz="4" w:space="0" w:color="auto"/>
              <w:left w:val="nil"/>
              <w:bottom w:val="single" w:sz="4" w:space="0" w:color="auto"/>
              <w:right w:val="single" w:sz="4" w:space="0" w:color="auto"/>
            </w:tcBorders>
            <w:shd w:val="clear" w:color="auto" w:fill="FFFFFF" w:themeFill="background1"/>
          </w:tcPr>
          <w:p w14:paraId="2B93C85F" w14:textId="77777777" w:rsidR="00780C0A" w:rsidRPr="008E106E" w:rsidRDefault="00780C0A" w:rsidP="003B569F">
            <w:pPr>
              <w:rPr>
                <w:rFonts w:ascii="Arial" w:hAnsi="Arial" w:cs="Arial"/>
                <w:color w:val="000000"/>
                <w:sz w:val="22"/>
                <w:szCs w:val="22"/>
              </w:rPr>
            </w:pPr>
          </w:p>
        </w:tc>
        <w:tc>
          <w:tcPr>
            <w:tcW w:w="140" w:type="pct"/>
            <w:tcBorders>
              <w:top w:val="single" w:sz="4" w:space="0" w:color="auto"/>
              <w:left w:val="nil"/>
              <w:bottom w:val="single" w:sz="4" w:space="0" w:color="auto"/>
              <w:right w:val="single" w:sz="4" w:space="0" w:color="auto"/>
            </w:tcBorders>
            <w:shd w:val="clear" w:color="auto" w:fill="FFFFFF" w:themeFill="background1"/>
          </w:tcPr>
          <w:p w14:paraId="5F7ABC8D" w14:textId="77777777" w:rsidR="00780C0A" w:rsidRPr="008E106E" w:rsidRDefault="00780C0A" w:rsidP="003B569F">
            <w:pPr>
              <w:rPr>
                <w:rFonts w:ascii="Arial" w:hAnsi="Arial" w:cs="Arial"/>
                <w:color w:val="000000"/>
                <w:sz w:val="22"/>
                <w:szCs w:val="22"/>
              </w:rPr>
            </w:pPr>
          </w:p>
        </w:tc>
        <w:tc>
          <w:tcPr>
            <w:tcW w:w="143" w:type="pct"/>
            <w:tcBorders>
              <w:top w:val="single" w:sz="4" w:space="0" w:color="auto"/>
              <w:left w:val="nil"/>
              <w:bottom w:val="single" w:sz="4" w:space="0" w:color="auto"/>
              <w:right w:val="single" w:sz="4" w:space="0" w:color="auto"/>
            </w:tcBorders>
            <w:shd w:val="clear" w:color="auto" w:fill="FFFFFF" w:themeFill="background1"/>
          </w:tcPr>
          <w:p w14:paraId="02A0577A" w14:textId="77777777" w:rsidR="00780C0A" w:rsidRPr="008E106E" w:rsidRDefault="00780C0A" w:rsidP="003B569F">
            <w:pPr>
              <w:rPr>
                <w:rFonts w:ascii="Arial" w:hAnsi="Arial" w:cs="Arial"/>
                <w:color w:val="000000"/>
                <w:sz w:val="22"/>
                <w:szCs w:val="22"/>
              </w:rPr>
            </w:pPr>
          </w:p>
        </w:tc>
        <w:tc>
          <w:tcPr>
            <w:tcW w:w="140" w:type="pct"/>
            <w:tcBorders>
              <w:top w:val="nil"/>
              <w:left w:val="nil"/>
              <w:bottom w:val="single" w:sz="4" w:space="0" w:color="auto"/>
              <w:right w:val="single" w:sz="4" w:space="0" w:color="auto"/>
            </w:tcBorders>
            <w:shd w:val="clear" w:color="auto" w:fill="FFFFFF" w:themeFill="background1"/>
            <w:noWrap/>
            <w:vAlign w:val="center"/>
            <w:hideMark/>
          </w:tcPr>
          <w:p w14:paraId="5C488629" w14:textId="77777777" w:rsidR="00780C0A" w:rsidRPr="008E106E" w:rsidRDefault="00780C0A" w:rsidP="003B569F">
            <w:pPr>
              <w:rPr>
                <w:rFonts w:ascii="Arial" w:hAnsi="Arial" w:cs="Arial"/>
                <w:color w:val="000000"/>
                <w:sz w:val="22"/>
                <w:szCs w:val="22"/>
              </w:rPr>
            </w:pPr>
            <w:r w:rsidRPr="008E106E">
              <w:rPr>
                <w:rFonts w:ascii="Arial" w:hAnsi="Arial" w:cs="Arial"/>
                <w:color w:val="000000"/>
                <w:sz w:val="22"/>
                <w:szCs w:val="22"/>
              </w:rPr>
              <w:t> </w:t>
            </w:r>
          </w:p>
        </w:tc>
        <w:tc>
          <w:tcPr>
            <w:tcW w:w="143" w:type="pct"/>
            <w:tcBorders>
              <w:top w:val="nil"/>
              <w:left w:val="nil"/>
              <w:bottom w:val="single" w:sz="4" w:space="0" w:color="auto"/>
              <w:right w:val="single" w:sz="4" w:space="0" w:color="auto"/>
            </w:tcBorders>
            <w:shd w:val="clear" w:color="auto" w:fill="FFFFFF" w:themeFill="background1"/>
            <w:noWrap/>
            <w:vAlign w:val="center"/>
            <w:hideMark/>
          </w:tcPr>
          <w:p w14:paraId="654FBE7E" w14:textId="77777777" w:rsidR="00780C0A" w:rsidRPr="008E106E" w:rsidRDefault="00780C0A" w:rsidP="003B569F">
            <w:pPr>
              <w:rPr>
                <w:rFonts w:ascii="Arial" w:hAnsi="Arial" w:cs="Arial"/>
                <w:color w:val="000000"/>
                <w:sz w:val="22"/>
                <w:szCs w:val="22"/>
              </w:rPr>
            </w:pPr>
            <w:r w:rsidRPr="008E106E">
              <w:rPr>
                <w:rFonts w:ascii="Arial" w:hAnsi="Arial" w:cs="Arial"/>
                <w:color w:val="000000"/>
                <w:sz w:val="22"/>
                <w:szCs w:val="22"/>
              </w:rPr>
              <w:t> </w:t>
            </w:r>
          </w:p>
        </w:tc>
        <w:tc>
          <w:tcPr>
            <w:tcW w:w="140" w:type="pct"/>
            <w:tcBorders>
              <w:top w:val="nil"/>
              <w:left w:val="nil"/>
              <w:bottom w:val="single" w:sz="4" w:space="0" w:color="auto"/>
              <w:right w:val="single" w:sz="4" w:space="0" w:color="auto"/>
            </w:tcBorders>
            <w:shd w:val="clear" w:color="auto" w:fill="auto"/>
            <w:noWrap/>
            <w:vAlign w:val="center"/>
            <w:hideMark/>
          </w:tcPr>
          <w:p w14:paraId="3F4BD252" w14:textId="77777777" w:rsidR="00780C0A" w:rsidRPr="008E106E" w:rsidRDefault="00780C0A" w:rsidP="003B569F">
            <w:pPr>
              <w:rPr>
                <w:rFonts w:ascii="Arial" w:hAnsi="Arial" w:cs="Arial"/>
                <w:color w:val="000000"/>
                <w:sz w:val="22"/>
                <w:szCs w:val="22"/>
              </w:rPr>
            </w:pPr>
            <w:r w:rsidRPr="008E106E">
              <w:rPr>
                <w:rFonts w:ascii="Arial" w:hAnsi="Arial" w:cs="Arial"/>
                <w:color w:val="000000"/>
                <w:sz w:val="22"/>
                <w:szCs w:val="22"/>
              </w:rPr>
              <w:t> </w:t>
            </w:r>
          </w:p>
        </w:tc>
        <w:tc>
          <w:tcPr>
            <w:tcW w:w="142" w:type="pct"/>
            <w:tcBorders>
              <w:top w:val="nil"/>
              <w:left w:val="nil"/>
              <w:bottom w:val="single" w:sz="4" w:space="0" w:color="auto"/>
              <w:right w:val="single" w:sz="4" w:space="0" w:color="auto"/>
            </w:tcBorders>
            <w:shd w:val="clear" w:color="auto" w:fill="auto"/>
            <w:noWrap/>
            <w:vAlign w:val="center"/>
            <w:hideMark/>
          </w:tcPr>
          <w:p w14:paraId="5AD078DE" w14:textId="77777777" w:rsidR="00780C0A" w:rsidRPr="008E106E" w:rsidRDefault="00780C0A" w:rsidP="003B569F">
            <w:pPr>
              <w:rPr>
                <w:rFonts w:ascii="Arial" w:hAnsi="Arial" w:cs="Arial"/>
                <w:color w:val="000000"/>
                <w:sz w:val="22"/>
                <w:szCs w:val="22"/>
              </w:rPr>
            </w:pPr>
            <w:r w:rsidRPr="008E106E">
              <w:rPr>
                <w:rFonts w:ascii="Arial" w:hAnsi="Arial" w:cs="Arial"/>
                <w:color w:val="000000"/>
                <w:sz w:val="22"/>
                <w:szCs w:val="22"/>
              </w:rPr>
              <w:t> </w:t>
            </w:r>
          </w:p>
        </w:tc>
        <w:tc>
          <w:tcPr>
            <w:tcW w:w="140" w:type="pct"/>
            <w:tcBorders>
              <w:top w:val="nil"/>
              <w:left w:val="nil"/>
              <w:bottom w:val="single" w:sz="4" w:space="0" w:color="auto"/>
              <w:right w:val="single" w:sz="4" w:space="0" w:color="auto"/>
            </w:tcBorders>
            <w:shd w:val="clear" w:color="auto" w:fill="auto"/>
            <w:noWrap/>
            <w:vAlign w:val="center"/>
            <w:hideMark/>
          </w:tcPr>
          <w:p w14:paraId="0AB9B7C4" w14:textId="77777777" w:rsidR="00780C0A" w:rsidRPr="008E106E" w:rsidRDefault="00780C0A" w:rsidP="003B569F">
            <w:pPr>
              <w:rPr>
                <w:rFonts w:ascii="Arial" w:hAnsi="Arial" w:cs="Arial"/>
                <w:color w:val="000000"/>
                <w:sz w:val="22"/>
                <w:szCs w:val="22"/>
              </w:rPr>
            </w:pPr>
            <w:r w:rsidRPr="008E106E">
              <w:rPr>
                <w:rFonts w:ascii="Arial" w:hAnsi="Arial" w:cs="Arial"/>
                <w:color w:val="000000"/>
                <w:sz w:val="22"/>
                <w:szCs w:val="22"/>
              </w:rPr>
              <w:t> </w:t>
            </w:r>
          </w:p>
        </w:tc>
        <w:tc>
          <w:tcPr>
            <w:tcW w:w="143" w:type="pct"/>
            <w:tcBorders>
              <w:top w:val="nil"/>
              <w:left w:val="nil"/>
              <w:bottom w:val="single" w:sz="4" w:space="0" w:color="auto"/>
              <w:right w:val="single" w:sz="4" w:space="0" w:color="auto"/>
            </w:tcBorders>
            <w:shd w:val="clear" w:color="auto" w:fill="BFBFBF" w:themeFill="background1" w:themeFillShade="BF"/>
            <w:noWrap/>
            <w:vAlign w:val="center"/>
            <w:hideMark/>
          </w:tcPr>
          <w:p w14:paraId="11CB88E3" w14:textId="77777777" w:rsidR="00780C0A" w:rsidRPr="008E106E" w:rsidRDefault="00780C0A" w:rsidP="00232BFF">
            <w:pPr>
              <w:jc w:val="center"/>
              <w:rPr>
                <w:rFonts w:ascii="Arial" w:hAnsi="Arial" w:cs="Arial"/>
                <w:b/>
                <w:bCs/>
                <w:color w:val="000000"/>
                <w:sz w:val="22"/>
                <w:szCs w:val="22"/>
              </w:rPr>
            </w:pPr>
            <w:r w:rsidRPr="008E106E">
              <w:rPr>
                <w:rFonts w:ascii="Arial" w:hAnsi="Arial" w:cs="Arial"/>
                <w:b/>
                <w:bCs/>
                <w:color w:val="000000"/>
                <w:sz w:val="22"/>
                <w:szCs w:val="22"/>
              </w:rPr>
              <w:t> </w:t>
            </w:r>
          </w:p>
          <w:p w14:paraId="484F2629" w14:textId="77777777" w:rsidR="00780C0A" w:rsidRPr="008E106E" w:rsidRDefault="00780C0A" w:rsidP="00232BFF">
            <w:pPr>
              <w:rPr>
                <w:rFonts w:ascii="Arial" w:hAnsi="Arial" w:cs="Arial"/>
                <w:sz w:val="22"/>
                <w:szCs w:val="22"/>
              </w:rPr>
            </w:pPr>
          </w:p>
          <w:p w14:paraId="1F77C77E" w14:textId="77777777" w:rsidR="00780C0A" w:rsidRPr="008E106E" w:rsidRDefault="00780C0A" w:rsidP="00232BFF">
            <w:pPr>
              <w:rPr>
                <w:rFonts w:ascii="Arial" w:hAnsi="Arial" w:cs="Arial"/>
                <w:sz w:val="22"/>
                <w:szCs w:val="22"/>
              </w:rPr>
            </w:pPr>
          </w:p>
        </w:tc>
        <w:tc>
          <w:tcPr>
            <w:tcW w:w="149" w:type="pct"/>
            <w:tcBorders>
              <w:top w:val="single" w:sz="4" w:space="0" w:color="auto"/>
              <w:left w:val="single" w:sz="4" w:space="0" w:color="auto"/>
              <w:bottom w:val="single" w:sz="4" w:space="0" w:color="auto"/>
              <w:right w:val="single" w:sz="4" w:space="0" w:color="auto"/>
            </w:tcBorders>
            <w:shd w:val="clear" w:color="auto" w:fill="FFFFFF" w:themeFill="background1"/>
          </w:tcPr>
          <w:p w14:paraId="512CE305" w14:textId="77777777" w:rsidR="00780C0A" w:rsidRPr="008E106E" w:rsidRDefault="00780C0A" w:rsidP="00232BFF">
            <w:pPr>
              <w:jc w:val="center"/>
              <w:rPr>
                <w:rFonts w:ascii="Arial" w:hAnsi="Arial" w:cs="Arial"/>
                <w:b/>
                <w:bCs/>
                <w:color w:val="000000"/>
                <w:sz w:val="22"/>
                <w:szCs w:val="22"/>
              </w:rPr>
            </w:pPr>
          </w:p>
        </w:tc>
        <w:tc>
          <w:tcPr>
            <w:tcW w:w="131" w:type="pct"/>
            <w:tcBorders>
              <w:top w:val="single" w:sz="4" w:space="0" w:color="auto"/>
              <w:left w:val="single" w:sz="4" w:space="0" w:color="auto"/>
              <w:bottom w:val="single" w:sz="4" w:space="0" w:color="auto"/>
              <w:right w:val="single" w:sz="4" w:space="0" w:color="auto"/>
            </w:tcBorders>
            <w:shd w:val="clear" w:color="auto" w:fill="FFFFFF" w:themeFill="background1"/>
          </w:tcPr>
          <w:p w14:paraId="420E2423" w14:textId="77777777" w:rsidR="00780C0A" w:rsidRPr="008E106E" w:rsidRDefault="00780C0A" w:rsidP="00232BFF">
            <w:pPr>
              <w:jc w:val="center"/>
              <w:rPr>
                <w:rFonts w:ascii="Arial" w:hAnsi="Arial" w:cs="Arial"/>
                <w:b/>
                <w:bCs/>
                <w:color w:val="000000"/>
                <w:sz w:val="22"/>
                <w:szCs w:val="22"/>
              </w:rPr>
            </w:pPr>
          </w:p>
        </w:tc>
        <w:tc>
          <w:tcPr>
            <w:tcW w:w="140" w:type="pct"/>
            <w:tcBorders>
              <w:top w:val="single" w:sz="4" w:space="0" w:color="auto"/>
              <w:left w:val="single" w:sz="4" w:space="0" w:color="auto"/>
              <w:bottom w:val="single" w:sz="4" w:space="0" w:color="auto"/>
              <w:right w:val="single" w:sz="4" w:space="0" w:color="auto"/>
            </w:tcBorders>
            <w:shd w:val="clear" w:color="auto" w:fill="auto"/>
          </w:tcPr>
          <w:p w14:paraId="5AA8B436" w14:textId="77777777" w:rsidR="00780C0A" w:rsidRPr="008E106E" w:rsidRDefault="00780C0A" w:rsidP="00232BFF">
            <w:pPr>
              <w:jc w:val="center"/>
              <w:rPr>
                <w:rFonts w:ascii="Arial" w:hAnsi="Arial" w:cs="Arial"/>
                <w:b/>
                <w:bCs/>
                <w:color w:val="000000"/>
                <w:sz w:val="22"/>
                <w:szCs w:val="22"/>
              </w:rPr>
            </w:pPr>
          </w:p>
        </w:tc>
        <w:tc>
          <w:tcPr>
            <w:tcW w:w="145" w:type="pct"/>
            <w:tcBorders>
              <w:top w:val="single" w:sz="4" w:space="0" w:color="auto"/>
              <w:left w:val="single" w:sz="4" w:space="0" w:color="auto"/>
              <w:bottom w:val="single" w:sz="4" w:space="0" w:color="auto"/>
              <w:right w:val="single" w:sz="4" w:space="0" w:color="auto"/>
            </w:tcBorders>
            <w:shd w:val="clear" w:color="auto" w:fill="FFFFFF" w:themeFill="background1"/>
          </w:tcPr>
          <w:p w14:paraId="151650D0" w14:textId="77777777" w:rsidR="00780C0A" w:rsidRPr="008E106E" w:rsidRDefault="00780C0A" w:rsidP="00232BFF">
            <w:pPr>
              <w:jc w:val="center"/>
              <w:rPr>
                <w:rFonts w:ascii="Arial" w:hAnsi="Arial" w:cs="Arial"/>
                <w:b/>
                <w:bCs/>
                <w:color w:val="000000"/>
                <w:sz w:val="22"/>
                <w:szCs w:val="22"/>
              </w:rPr>
            </w:pPr>
          </w:p>
        </w:tc>
        <w:tc>
          <w:tcPr>
            <w:tcW w:w="137" w:type="pct"/>
            <w:tcBorders>
              <w:top w:val="nil"/>
              <w:left w:val="single" w:sz="4" w:space="0" w:color="auto"/>
              <w:bottom w:val="single" w:sz="4" w:space="0" w:color="auto"/>
              <w:right w:val="single" w:sz="4" w:space="0" w:color="auto"/>
            </w:tcBorders>
          </w:tcPr>
          <w:p w14:paraId="3A38CDFF" w14:textId="77777777" w:rsidR="00780C0A" w:rsidRPr="008E106E" w:rsidRDefault="00780C0A" w:rsidP="00B92170">
            <w:pPr>
              <w:rPr>
                <w:rFonts w:ascii="Arial" w:hAnsi="Arial" w:cs="Arial"/>
                <w:color w:val="000000"/>
                <w:sz w:val="22"/>
                <w:szCs w:val="22"/>
              </w:rPr>
            </w:pPr>
          </w:p>
        </w:tc>
        <w:tc>
          <w:tcPr>
            <w:tcW w:w="153" w:type="pct"/>
            <w:tcBorders>
              <w:top w:val="nil"/>
              <w:left w:val="single" w:sz="4" w:space="0" w:color="auto"/>
              <w:bottom w:val="single" w:sz="4" w:space="0" w:color="auto"/>
              <w:right w:val="single" w:sz="4" w:space="0" w:color="auto"/>
            </w:tcBorders>
          </w:tcPr>
          <w:p w14:paraId="1BECECB3" w14:textId="77777777" w:rsidR="00780C0A" w:rsidRPr="008E106E" w:rsidRDefault="00780C0A" w:rsidP="00B92170">
            <w:pPr>
              <w:rPr>
                <w:rFonts w:ascii="Arial" w:hAnsi="Arial" w:cs="Arial"/>
                <w:color w:val="000000"/>
                <w:sz w:val="22"/>
                <w:szCs w:val="22"/>
              </w:rPr>
            </w:pPr>
          </w:p>
        </w:tc>
        <w:tc>
          <w:tcPr>
            <w:tcW w:w="187" w:type="pct"/>
            <w:tcBorders>
              <w:top w:val="nil"/>
              <w:left w:val="single" w:sz="4" w:space="0" w:color="auto"/>
              <w:bottom w:val="single" w:sz="4" w:space="0" w:color="auto"/>
              <w:right w:val="single" w:sz="4" w:space="0" w:color="auto"/>
            </w:tcBorders>
            <w:shd w:val="clear" w:color="auto" w:fill="BFBFBF" w:themeFill="background1" w:themeFillShade="BF"/>
          </w:tcPr>
          <w:p w14:paraId="78B33B1C" w14:textId="77777777" w:rsidR="00780C0A" w:rsidRPr="008E106E" w:rsidRDefault="00780C0A" w:rsidP="00B92170">
            <w:pPr>
              <w:rPr>
                <w:rFonts w:ascii="Arial" w:hAnsi="Arial" w:cs="Arial"/>
                <w:color w:val="000000"/>
                <w:sz w:val="22"/>
                <w:szCs w:val="22"/>
              </w:rPr>
            </w:pPr>
          </w:p>
        </w:tc>
        <w:tc>
          <w:tcPr>
            <w:tcW w:w="139" w:type="pct"/>
            <w:tcBorders>
              <w:top w:val="nil"/>
              <w:left w:val="single" w:sz="4" w:space="0" w:color="auto"/>
              <w:bottom w:val="single" w:sz="4" w:space="0" w:color="auto"/>
              <w:right w:val="single" w:sz="4" w:space="0" w:color="auto"/>
            </w:tcBorders>
          </w:tcPr>
          <w:p w14:paraId="30D6256E" w14:textId="77777777" w:rsidR="00780C0A" w:rsidRPr="008E106E" w:rsidRDefault="00780C0A" w:rsidP="00B92170">
            <w:pPr>
              <w:rPr>
                <w:rFonts w:ascii="Arial" w:hAnsi="Arial" w:cs="Arial"/>
                <w:color w:val="000000"/>
                <w:sz w:val="22"/>
                <w:szCs w:val="22"/>
              </w:rPr>
            </w:pPr>
          </w:p>
        </w:tc>
        <w:tc>
          <w:tcPr>
            <w:tcW w:w="298" w:type="pct"/>
            <w:tcBorders>
              <w:top w:val="nil"/>
              <w:left w:val="single" w:sz="4" w:space="0" w:color="auto"/>
              <w:bottom w:val="single" w:sz="4" w:space="0" w:color="auto"/>
              <w:right w:val="single" w:sz="4" w:space="0" w:color="auto"/>
            </w:tcBorders>
            <w:shd w:val="clear" w:color="auto" w:fill="auto"/>
            <w:noWrap/>
            <w:vAlign w:val="center"/>
          </w:tcPr>
          <w:p w14:paraId="14270332" w14:textId="483B9529" w:rsidR="00780C0A" w:rsidRPr="008E106E" w:rsidRDefault="00780C0A" w:rsidP="00B92170">
            <w:pPr>
              <w:rPr>
                <w:rFonts w:ascii="Arial" w:hAnsi="Arial" w:cs="Arial"/>
                <w:color w:val="000000"/>
                <w:sz w:val="22"/>
                <w:szCs w:val="22"/>
              </w:rPr>
            </w:pPr>
            <w:r w:rsidRPr="008E106E">
              <w:rPr>
                <w:rFonts w:ascii="Arial" w:hAnsi="Arial" w:cs="Arial"/>
                <w:color w:val="000000"/>
                <w:sz w:val="22"/>
                <w:szCs w:val="22"/>
              </w:rPr>
              <w:t xml:space="preserve"> EA</w:t>
            </w:r>
          </w:p>
        </w:tc>
        <w:tc>
          <w:tcPr>
            <w:tcW w:w="275" w:type="pct"/>
            <w:tcBorders>
              <w:top w:val="nil"/>
              <w:left w:val="nil"/>
              <w:bottom w:val="single" w:sz="4" w:space="0" w:color="auto"/>
              <w:right w:val="single" w:sz="4" w:space="0" w:color="auto"/>
            </w:tcBorders>
            <w:shd w:val="clear" w:color="auto" w:fill="auto"/>
            <w:noWrap/>
            <w:vAlign w:val="center"/>
          </w:tcPr>
          <w:p w14:paraId="37B26184" w14:textId="709BA265" w:rsidR="00780C0A" w:rsidRPr="008E106E" w:rsidRDefault="00780C0A" w:rsidP="00BD3FAE">
            <w:pPr>
              <w:jc w:val="center"/>
              <w:rPr>
                <w:rFonts w:ascii="Arial" w:hAnsi="Arial" w:cs="Arial"/>
                <w:color w:val="000000"/>
                <w:sz w:val="22"/>
                <w:szCs w:val="22"/>
              </w:rPr>
            </w:pPr>
            <w:r w:rsidRPr="008E106E">
              <w:rPr>
                <w:rFonts w:ascii="Arial" w:hAnsi="Arial" w:cs="Arial"/>
                <w:color w:val="000000"/>
                <w:sz w:val="22"/>
                <w:szCs w:val="22"/>
              </w:rPr>
              <w:t>IDB</w:t>
            </w:r>
          </w:p>
        </w:tc>
        <w:tc>
          <w:tcPr>
            <w:tcW w:w="474" w:type="pct"/>
            <w:tcBorders>
              <w:top w:val="nil"/>
              <w:left w:val="nil"/>
              <w:bottom w:val="single" w:sz="4" w:space="0" w:color="auto"/>
              <w:right w:val="single" w:sz="4" w:space="0" w:color="auto"/>
            </w:tcBorders>
            <w:shd w:val="clear" w:color="auto" w:fill="auto"/>
            <w:noWrap/>
            <w:vAlign w:val="center"/>
          </w:tcPr>
          <w:p w14:paraId="5153E250" w14:textId="28AE021E" w:rsidR="00780C0A" w:rsidRPr="008E106E" w:rsidRDefault="00C03D03" w:rsidP="003B569F">
            <w:pPr>
              <w:jc w:val="right"/>
              <w:rPr>
                <w:rFonts w:ascii="Arial" w:hAnsi="Arial" w:cs="Arial"/>
                <w:color w:val="000000"/>
                <w:sz w:val="22"/>
                <w:szCs w:val="22"/>
              </w:rPr>
            </w:pPr>
            <w:r>
              <w:rPr>
                <w:rFonts w:ascii="Arial" w:hAnsi="Arial" w:cs="Arial"/>
                <w:color w:val="000000"/>
                <w:sz w:val="22"/>
                <w:szCs w:val="22"/>
              </w:rPr>
              <w:t>8</w:t>
            </w:r>
            <w:r w:rsidRPr="008E106E">
              <w:rPr>
                <w:rFonts w:ascii="Arial" w:hAnsi="Arial" w:cs="Arial"/>
                <w:color w:val="000000"/>
                <w:sz w:val="22"/>
                <w:szCs w:val="22"/>
              </w:rPr>
              <w:t>0</w:t>
            </w:r>
            <w:r w:rsidR="00780C0A" w:rsidRPr="008E106E">
              <w:rPr>
                <w:rFonts w:ascii="Arial" w:hAnsi="Arial" w:cs="Arial"/>
                <w:color w:val="000000"/>
                <w:sz w:val="22"/>
                <w:szCs w:val="22"/>
              </w:rPr>
              <w:t>,000</w:t>
            </w:r>
          </w:p>
        </w:tc>
      </w:tr>
      <w:tr w:rsidR="00C03D03" w:rsidRPr="008E106E" w14:paraId="6B10DE5E" w14:textId="77777777" w:rsidTr="00C03D03">
        <w:trPr>
          <w:trHeight w:val="261"/>
        </w:trPr>
        <w:tc>
          <w:tcPr>
            <w:tcW w:w="629" w:type="pct"/>
            <w:tcBorders>
              <w:top w:val="nil"/>
              <w:bottom w:val="single" w:sz="4" w:space="0" w:color="auto"/>
              <w:right w:val="single" w:sz="4" w:space="0" w:color="auto"/>
            </w:tcBorders>
            <w:shd w:val="clear" w:color="auto" w:fill="auto"/>
            <w:noWrap/>
            <w:vAlign w:val="center"/>
            <w:hideMark/>
          </w:tcPr>
          <w:p w14:paraId="6C6F196E" w14:textId="77777777" w:rsidR="00780C0A" w:rsidRPr="008E106E" w:rsidRDefault="00780C0A" w:rsidP="003B569F">
            <w:pPr>
              <w:rPr>
                <w:rFonts w:ascii="Arial" w:hAnsi="Arial" w:cs="Arial"/>
                <w:color w:val="000000"/>
                <w:sz w:val="22"/>
                <w:szCs w:val="22"/>
              </w:rPr>
            </w:pPr>
            <w:r w:rsidRPr="008E106E">
              <w:rPr>
                <w:rFonts w:ascii="Arial" w:hAnsi="Arial" w:cs="Arial"/>
                <w:color w:val="000000"/>
                <w:sz w:val="22"/>
                <w:szCs w:val="22"/>
              </w:rPr>
              <w:t>Ex-post CBA</w:t>
            </w:r>
          </w:p>
        </w:tc>
        <w:tc>
          <w:tcPr>
            <w:tcW w:w="169" w:type="pct"/>
            <w:tcBorders>
              <w:top w:val="nil"/>
              <w:left w:val="nil"/>
              <w:bottom w:val="single" w:sz="4" w:space="0" w:color="auto"/>
              <w:right w:val="single" w:sz="4" w:space="0" w:color="auto"/>
            </w:tcBorders>
          </w:tcPr>
          <w:p w14:paraId="7D2F822D" w14:textId="77777777" w:rsidR="00780C0A" w:rsidRPr="008E106E" w:rsidRDefault="00780C0A" w:rsidP="003B569F">
            <w:pPr>
              <w:rPr>
                <w:rFonts w:ascii="Arial" w:hAnsi="Arial" w:cs="Arial"/>
                <w:color w:val="000000"/>
                <w:sz w:val="22"/>
                <w:szCs w:val="22"/>
              </w:rPr>
            </w:pPr>
          </w:p>
        </w:tc>
        <w:tc>
          <w:tcPr>
            <w:tcW w:w="137" w:type="pct"/>
            <w:tcBorders>
              <w:top w:val="nil"/>
              <w:left w:val="single" w:sz="4" w:space="0" w:color="auto"/>
              <w:bottom w:val="single" w:sz="4" w:space="0" w:color="auto"/>
              <w:right w:val="single" w:sz="4" w:space="0" w:color="auto"/>
            </w:tcBorders>
            <w:shd w:val="clear" w:color="auto" w:fill="auto"/>
            <w:noWrap/>
            <w:vAlign w:val="center"/>
            <w:hideMark/>
          </w:tcPr>
          <w:p w14:paraId="22A1E3DF" w14:textId="77777777" w:rsidR="00780C0A" w:rsidRPr="008E106E" w:rsidRDefault="00780C0A" w:rsidP="003B569F">
            <w:pPr>
              <w:rPr>
                <w:rFonts w:ascii="Arial" w:hAnsi="Arial" w:cs="Arial"/>
                <w:color w:val="000000"/>
                <w:sz w:val="22"/>
                <w:szCs w:val="22"/>
              </w:rPr>
            </w:pPr>
            <w:r w:rsidRPr="008E106E">
              <w:rPr>
                <w:rFonts w:ascii="Arial" w:hAnsi="Arial" w:cs="Arial"/>
                <w:color w:val="000000"/>
                <w:sz w:val="22"/>
                <w:szCs w:val="22"/>
              </w:rPr>
              <w:t> </w:t>
            </w:r>
          </w:p>
        </w:tc>
        <w:tc>
          <w:tcPr>
            <w:tcW w:w="141" w:type="pct"/>
            <w:tcBorders>
              <w:top w:val="nil"/>
              <w:left w:val="nil"/>
              <w:bottom w:val="single" w:sz="4" w:space="0" w:color="auto"/>
              <w:right w:val="single" w:sz="4" w:space="0" w:color="auto"/>
            </w:tcBorders>
            <w:shd w:val="clear" w:color="auto" w:fill="auto"/>
            <w:noWrap/>
            <w:vAlign w:val="center"/>
            <w:hideMark/>
          </w:tcPr>
          <w:p w14:paraId="37AFAEAA" w14:textId="77777777" w:rsidR="00780C0A" w:rsidRPr="008E106E" w:rsidRDefault="00780C0A" w:rsidP="003B569F">
            <w:pPr>
              <w:rPr>
                <w:rFonts w:ascii="Arial" w:hAnsi="Arial" w:cs="Arial"/>
                <w:color w:val="000000"/>
                <w:sz w:val="22"/>
                <w:szCs w:val="22"/>
              </w:rPr>
            </w:pPr>
            <w:r w:rsidRPr="008E106E">
              <w:rPr>
                <w:rFonts w:ascii="Arial" w:hAnsi="Arial" w:cs="Arial"/>
                <w:color w:val="000000"/>
                <w:sz w:val="22"/>
                <w:szCs w:val="22"/>
              </w:rPr>
              <w:t> </w:t>
            </w:r>
          </w:p>
        </w:tc>
        <w:tc>
          <w:tcPr>
            <w:tcW w:w="138" w:type="pct"/>
            <w:tcBorders>
              <w:top w:val="nil"/>
              <w:left w:val="nil"/>
              <w:bottom w:val="single" w:sz="4" w:space="0" w:color="auto"/>
              <w:right w:val="single" w:sz="4" w:space="0" w:color="auto"/>
            </w:tcBorders>
            <w:shd w:val="clear" w:color="auto" w:fill="auto"/>
            <w:noWrap/>
            <w:vAlign w:val="center"/>
            <w:hideMark/>
          </w:tcPr>
          <w:p w14:paraId="69CC82A0" w14:textId="77777777" w:rsidR="00780C0A" w:rsidRPr="008E106E" w:rsidRDefault="00780C0A" w:rsidP="003B569F">
            <w:pPr>
              <w:rPr>
                <w:rFonts w:ascii="Arial" w:hAnsi="Arial" w:cs="Arial"/>
                <w:color w:val="000000"/>
                <w:sz w:val="22"/>
                <w:szCs w:val="22"/>
              </w:rPr>
            </w:pPr>
            <w:r w:rsidRPr="008E106E">
              <w:rPr>
                <w:rFonts w:ascii="Arial" w:hAnsi="Arial" w:cs="Arial"/>
                <w:color w:val="000000"/>
                <w:sz w:val="22"/>
                <w:szCs w:val="22"/>
              </w:rPr>
              <w:t> </w:t>
            </w:r>
          </w:p>
        </w:tc>
        <w:tc>
          <w:tcPr>
            <w:tcW w:w="142" w:type="pct"/>
            <w:tcBorders>
              <w:top w:val="nil"/>
              <w:left w:val="nil"/>
              <w:bottom w:val="single" w:sz="4" w:space="0" w:color="auto"/>
              <w:right w:val="single" w:sz="4" w:space="0" w:color="auto"/>
            </w:tcBorders>
            <w:shd w:val="clear" w:color="auto" w:fill="auto"/>
            <w:noWrap/>
            <w:vAlign w:val="center"/>
            <w:hideMark/>
          </w:tcPr>
          <w:p w14:paraId="65BC3047" w14:textId="77777777" w:rsidR="00780C0A" w:rsidRPr="008E106E" w:rsidRDefault="00780C0A" w:rsidP="003B569F">
            <w:pPr>
              <w:rPr>
                <w:rFonts w:ascii="Arial" w:hAnsi="Arial" w:cs="Arial"/>
                <w:color w:val="000000"/>
                <w:sz w:val="22"/>
                <w:szCs w:val="22"/>
              </w:rPr>
            </w:pPr>
            <w:r w:rsidRPr="008E106E">
              <w:rPr>
                <w:rFonts w:ascii="Arial" w:hAnsi="Arial" w:cs="Arial"/>
                <w:color w:val="000000"/>
                <w:sz w:val="22"/>
                <w:szCs w:val="22"/>
              </w:rPr>
              <w:t> </w:t>
            </w:r>
          </w:p>
        </w:tc>
        <w:tc>
          <w:tcPr>
            <w:tcW w:w="140" w:type="pct"/>
            <w:tcBorders>
              <w:top w:val="single" w:sz="4" w:space="0" w:color="auto"/>
              <w:left w:val="nil"/>
              <w:bottom w:val="single" w:sz="4" w:space="0" w:color="auto"/>
              <w:right w:val="single" w:sz="4" w:space="0" w:color="auto"/>
            </w:tcBorders>
            <w:shd w:val="clear" w:color="auto" w:fill="FFFFFF" w:themeFill="background1"/>
          </w:tcPr>
          <w:p w14:paraId="7F95132B" w14:textId="77777777" w:rsidR="00780C0A" w:rsidRPr="008E106E" w:rsidRDefault="00780C0A" w:rsidP="003B569F">
            <w:pPr>
              <w:rPr>
                <w:rFonts w:ascii="Arial" w:hAnsi="Arial" w:cs="Arial"/>
                <w:color w:val="000000"/>
                <w:sz w:val="22"/>
                <w:szCs w:val="22"/>
              </w:rPr>
            </w:pPr>
          </w:p>
        </w:tc>
        <w:tc>
          <w:tcPr>
            <w:tcW w:w="142" w:type="pct"/>
            <w:tcBorders>
              <w:top w:val="single" w:sz="4" w:space="0" w:color="auto"/>
              <w:left w:val="nil"/>
              <w:bottom w:val="single" w:sz="4" w:space="0" w:color="auto"/>
              <w:right w:val="single" w:sz="4" w:space="0" w:color="auto"/>
            </w:tcBorders>
            <w:shd w:val="clear" w:color="auto" w:fill="FFFFFF" w:themeFill="background1"/>
          </w:tcPr>
          <w:p w14:paraId="150D50BC" w14:textId="77777777" w:rsidR="00780C0A" w:rsidRPr="008E106E" w:rsidRDefault="00780C0A" w:rsidP="003B569F">
            <w:pPr>
              <w:rPr>
                <w:rFonts w:ascii="Arial" w:hAnsi="Arial" w:cs="Arial"/>
                <w:color w:val="000000"/>
                <w:sz w:val="22"/>
                <w:szCs w:val="22"/>
              </w:rPr>
            </w:pPr>
          </w:p>
        </w:tc>
        <w:tc>
          <w:tcPr>
            <w:tcW w:w="140" w:type="pct"/>
            <w:tcBorders>
              <w:top w:val="single" w:sz="4" w:space="0" w:color="auto"/>
              <w:left w:val="nil"/>
              <w:bottom w:val="single" w:sz="4" w:space="0" w:color="auto"/>
              <w:right w:val="single" w:sz="4" w:space="0" w:color="auto"/>
            </w:tcBorders>
            <w:shd w:val="clear" w:color="auto" w:fill="FFFFFF" w:themeFill="background1"/>
          </w:tcPr>
          <w:p w14:paraId="3ADEF65E" w14:textId="77777777" w:rsidR="00780C0A" w:rsidRPr="008E106E" w:rsidRDefault="00780C0A" w:rsidP="003B569F">
            <w:pPr>
              <w:rPr>
                <w:rFonts w:ascii="Arial" w:hAnsi="Arial" w:cs="Arial"/>
                <w:color w:val="000000"/>
                <w:sz w:val="22"/>
                <w:szCs w:val="22"/>
              </w:rPr>
            </w:pPr>
          </w:p>
        </w:tc>
        <w:tc>
          <w:tcPr>
            <w:tcW w:w="143" w:type="pct"/>
            <w:tcBorders>
              <w:top w:val="single" w:sz="4" w:space="0" w:color="auto"/>
              <w:left w:val="nil"/>
              <w:bottom w:val="single" w:sz="4" w:space="0" w:color="auto"/>
              <w:right w:val="single" w:sz="4" w:space="0" w:color="auto"/>
            </w:tcBorders>
            <w:shd w:val="clear" w:color="auto" w:fill="FFFFFF" w:themeFill="background1"/>
          </w:tcPr>
          <w:p w14:paraId="169E4539" w14:textId="77777777" w:rsidR="00780C0A" w:rsidRPr="008E106E" w:rsidRDefault="00780C0A" w:rsidP="003B569F">
            <w:pPr>
              <w:rPr>
                <w:rFonts w:ascii="Arial" w:hAnsi="Arial" w:cs="Arial"/>
                <w:color w:val="000000"/>
                <w:sz w:val="22"/>
                <w:szCs w:val="22"/>
              </w:rPr>
            </w:pPr>
          </w:p>
        </w:tc>
        <w:tc>
          <w:tcPr>
            <w:tcW w:w="140" w:type="pct"/>
            <w:tcBorders>
              <w:top w:val="nil"/>
              <w:left w:val="nil"/>
              <w:bottom w:val="single" w:sz="4" w:space="0" w:color="auto"/>
              <w:right w:val="single" w:sz="4" w:space="0" w:color="auto"/>
            </w:tcBorders>
            <w:shd w:val="clear" w:color="auto" w:fill="FFFFFF" w:themeFill="background1"/>
            <w:noWrap/>
            <w:vAlign w:val="center"/>
            <w:hideMark/>
          </w:tcPr>
          <w:p w14:paraId="50D263B6" w14:textId="77777777" w:rsidR="00780C0A" w:rsidRPr="008E106E" w:rsidRDefault="00780C0A" w:rsidP="003B569F">
            <w:pPr>
              <w:rPr>
                <w:rFonts w:ascii="Arial" w:hAnsi="Arial" w:cs="Arial"/>
                <w:color w:val="000000"/>
                <w:sz w:val="22"/>
                <w:szCs w:val="22"/>
              </w:rPr>
            </w:pPr>
            <w:r w:rsidRPr="008E106E">
              <w:rPr>
                <w:rFonts w:ascii="Arial" w:hAnsi="Arial" w:cs="Arial"/>
                <w:color w:val="000000"/>
                <w:sz w:val="22"/>
                <w:szCs w:val="22"/>
              </w:rPr>
              <w:t> </w:t>
            </w:r>
          </w:p>
        </w:tc>
        <w:tc>
          <w:tcPr>
            <w:tcW w:w="143" w:type="pct"/>
            <w:tcBorders>
              <w:top w:val="nil"/>
              <w:left w:val="nil"/>
              <w:bottom w:val="single" w:sz="4" w:space="0" w:color="auto"/>
              <w:right w:val="single" w:sz="4" w:space="0" w:color="auto"/>
            </w:tcBorders>
            <w:shd w:val="clear" w:color="auto" w:fill="FFFFFF" w:themeFill="background1"/>
            <w:noWrap/>
            <w:vAlign w:val="center"/>
            <w:hideMark/>
          </w:tcPr>
          <w:p w14:paraId="32482C50" w14:textId="77777777" w:rsidR="00780C0A" w:rsidRPr="008E106E" w:rsidRDefault="00780C0A" w:rsidP="003B569F">
            <w:pPr>
              <w:rPr>
                <w:rFonts w:ascii="Arial" w:hAnsi="Arial" w:cs="Arial"/>
                <w:color w:val="000000"/>
                <w:sz w:val="22"/>
                <w:szCs w:val="22"/>
              </w:rPr>
            </w:pPr>
            <w:r w:rsidRPr="008E106E">
              <w:rPr>
                <w:rFonts w:ascii="Arial" w:hAnsi="Arial" w:cs="Arial"/>
                <w:color w:val="000000"/>
                <w:sz w:val="22"/>
                <w:szCs w:val="22"/>
              </w:rPr>
              <w:t> </w:t>
            </w:r>
          </w:p>
        </w:tc>
        <w:tc>
          <w:tcPr>
            <w:tcW w:w="140" w:type="pct"/>
            <w:tcBorders>
              <w:top w:val="nil"/>
              <w:left w:val="nil"/>
              <w:bottom w:val="single" w:sz="4" w:space="0" w:color="auto"/>
              <w:right w:val="single" w:sz="4" w:space="0" w:color="auto"/>
            </w:tcBorders>
            <w:shd w:val="clear" w:color="auto" w:fill="auto"/>
            <w:noWrap/>
            <w:vAlign w:val="center"/>
            <w:hideMark/>
          </w:tcPr>
          <w:p w14:paraId="15D8C1D2" w14:textId="77777777" w:rsidR="00780C0A" w:rsidRPr="008E106E" w:rsidRDefault="00780C0A" w:rsidP="003B569F">
            <w:pPr>
              <w:rPr>
                <w:rFonts w:ascii="Arial" w:hAnsi="Arial" w:cs="Arial"/>
                <w:color w:val="000000"/>
                <w:sz w:val="22"/>
                <w:szCs w:val="22"/>
              </w:rPr>
            </w:pPr>
            <w:r w:rsidRPr="008E106E">
              <w:rPr>
                <w:rFonts w:ascii="Arial" w:hAnsi="Arial" w:cs="Arial"/>
                <w:color w:val="000000"/>
                <w:sz w:val="22"/>
                <w:szCs w:val="22"/>
              </w:rPr>
              <w:t> </w:t>
            </w:r>
          </w:p>
        </w:tc>
        <w:tc>
          <w:tcPr>
            <w:tcW w:w="142" w:type="pct"/>
            <w:tcBorders>
              <w:top w:val="nil"/>
              <w:left w:val="nil"/>
              <w:bottom w:val="single" w:sz="4" w:space="0" w:color="auto"/>
              <w:right w:val="single" w:sz="4" w:space="0" w:color="auto"/>
            </w:tcBorders>
            <w:shd w:val="clear" w:color="auto" w:fill="auto"/>
            <w:noWrap/>
            <w:vAlign w:val="center"/>
            <w:hideMark/>
          </w:tcPr>
          <w:p w14:paraId="37905714" w14:textId="77777777" w:rsidR="00780C0A" w:rsidRPr="008E106E" w:rsidRDefault="00780C0A" w:rsidP="003B569F">
            <w:pPr>
              <w:rPr>
                <w:rFonts w:ascii="Arial" w:hAnsi="Arial" w:cs="Arial"/>
                <w:color w:val="000000"/>
                <w:sz w:val="22"/>
                <w:szCs w:val="22"/>
              </w:rPr>
            </w:pPr>
            <w:r w:rsidRPr="008E106E">
              <w:rPr>
                <w:rFonts w:ascii="Arial" w:hAnsi="Arial" w:cs="Arial"/>
                <w:color w:val="000000"/>
                <w:sz w:val="22"/>
                <w:szCs w:val="22"/>
              </w:rPr>
              <w:t> </w:t>
            </w:r>
          </w:p>
        </w:tc>
        <w:tc>
          <w:tcPr>
            <w:tcW w:w="140" w:type="pct"/>
            <w:tcBorders>
              <w:top w:val="nil"/>
              <w:left w:val="nil"/>
              <w:bottom w:val="single" w:sz="4" w:space="0" w:color="auto"/>
              <w:right w:val="single" w:sz="4" w:space="0" w:color="auto"/>
            </w:tcBorders>
            <w:shd w:val="clear" w:color="auto" w:fill="auto"/>
            <w:noWrap/>
            <w:vAlign w:val="center"/>
            <w:hideMark/>
          </w:tcPr>
          <w:p w14:paraId="3769602D" w14:textId="77777777" w:rsidR="00780C0A" w:rsidRPr="008E106E" w:rsidRDefault="00780C0A" w:rsidP="003B569F">
            <w:pPr>
              <w:rPr>
                <w:rFonts w:ascii="Arial" w:hAnsi="Arial" w:cs="Arial"/>
                <w:color w:val="000000"/>
                <w:sz w:val="22"/>
                <w:szCs w:val="22"/>
              </w:rPr>
            </w:pPr>
            <w:r w:rsidRPr="008E106E">
              <w:rPr>
                <w:rFonts w:ascii="Arial" w:hAnsi="Arial" w:cs="Arial"/>
                <w:color w:val="000000"/>
                <w:sz w:val="22"/>
                <w:szCs w:val="22"/>
              </w:rPr>
              <w:t> </w:t>
            </w:r>
          </w:p>
        </w:tc>
        <w:tc>
          <w:tcPr>
            <w:tcW w:w="143" w:type="pct"/>
            <w:tcBorders>
              <w:top w:val="nil"/>
              <w:left w:val="nil"/>
              <w:bottom w:val="single" w:sz="4" w:space="0" w:color="auto"/>
              <w:right w:val="single" w:sz="4" w:space="0" w:color="auto"/>
            </w:tcBorders>
            <w:shd w:val="clear" w:color="auto" w:fill="FFFFFF" w:themeFill="background1"/>
            <w:noWrap/>
            <w:vAlign w:val="center"/>
            <w:hideMark/>
          </w:tcPr>
          <w:p w14:paraId="609B63E1" w14:textId="77777777" w:rsidR="00780C0A" w:rsidRPr="008E106E" w:rsidRDefault="00780C0A" w:rsidP="00232BFF">
            <w:pPr>
              <w:jc w:val="center"/>
              <w:rPr>
                <w:rFonts w:ascii="Arial" w:hAnsi="Arial" w:cs="Arial"/>
                <w:b/>
                <w:bCs/>
                <w:color w:val="000000"/>
                <w:sz w:val="22"/>
                <w:szCs w:val="22"/>
              </w:rPr>
            </w:pPr>
            <w:r w:rsidRPr="008E106E">
              <w:rPr>
                <w:rFonts w:ascii="Arial" w:hAnsi="Arial" w:cs="Arial"/>
                <w:b/>
                <w:bCs/>
                <w:color w:val="000000"/>
                <w:sz w:val="22"/>
                <w:szCs w:val="22"/>
              </w:rPr>
              <w:t> </w:t>
            </w:r>
          </w:p>
        </w:tc>
        <w:tc>
          <w:tcPr>
            <w:tcW w:w="149" w:type="pct"/>
            <w:tcBorders>
              <w:top w:val="single" w:sz="4" w:space="0" w:color="auto"/>
              <w:left w:val="single" w:sz="4" w:space="0" w:color="auto"/>
              <w:bottom w:val="single" w:sz="4" w:space="0" w:color="auto"/>
              <w:right w:val="single" w:sz="4" w:space="0" w:color="auto"/>
            </w:tcBorders>
            <w:shd w:val="clear" w:color="auto" w:fill="FFFFFF" w:themeFill="background1"/>
          </w:tcPr>
          <w:p w14:paraId="44539E28" w14:textId="77777777" w:rsidR="00780C0A" w:rsidRPr="008E106E" w:rsidRDefault="00780C0A" w:rsidP="00232BFF">
            <w:pPr>
              <w:jc w:val="center"/>
              <w:rPr>
                <w:rFonts w:ascii="Arial" w:hAnsi="Arial" w:cs="Arial"/>
                <w:b/>
                <w:bCs/>
                <w:color w:val="000000"/>
                <w:sz w:val="22"/>
                <w:szCs w:val="22"/>
              </w:rPr>
            </w:pPr>
          </w:p>
        </w:tc>
        <w:tc>
          <w:tcPr>
            <w:tcW w:w="131" w:type="pct"/>
            <w:tcBorders>
              <w:top w:val="single" w:sz="4" w:space="0" w:color="auto"/>
              <w:left w:val="single" w:sz="4" w:space="0" w:color="auto"/>
              <w:bottom w:val="single" w:sz="4" w:space="0" w:color="auto"/>
              <w:right w:val="single" w:sz="4" w:space="0" w:color="auto"/>
            </w:tcBorders>
            <w:shd w:val="clear" w:color="auto" w:fill="auto"/>
          </w:tcPr>
          <w:p w14:paraId="56E74231" w14:textId="77777777" w:rsidR="00780C0A" w:rsidRPr="008E106E" w:rsidRDefault="00780C0A" w:rsidP="00232BFF">
            <w:pPr>
              <w:jc w:val="center"/>
              <w:rPr>
                <w:rFonts w:ascii="Arial" w:hAnsi="Arial" w:cs="Arial"/>
                <w:b/>
                <w:bCs/>
                <w:color w:val="000000"/>
                <w:sz w:val="22"/>
                <w:szCs w:val="22"/>
              </w:rPr>
            </w:pPr>
          </w:p>
        </w:tc>
        <w:tc>
          <w:tcPr>
            <w:tcW w:w="140" w:type="pct"/>
            <w:tcBorders>
              <w:top w:val="single" w:sz="4" w:space="0" w:color="auto"/>
              <w:left w:val="single" w:sz="4" w:space="0" w:color="auto"/>
              <w:bottom w:val="single" w:sz="4" w:space="0" w:color="auto"/>
              <w:right w:val="single" w:sz="4" w:space="0" w:color="auto"/>
            </w:tcBorders>
            <w:shd w:val="clear" w:color="auto" w:fill="auto"/>
          </w:tcPr>
          <w:p w14:paraId="14E9074C" w14:textId="77777777" w:rsidR="00780C0A" w:rsidRPr="008E106E" w:rsidRDefault="00780C0A" w:rsidP="00232BFF">
            <w:pPr>
              <w:jc w:val="center"/>
              <w:rPr>
                <w:rFonts w:ascii="Arial" w:hAnsi="Arial" w:cs="Arial"/>
                <w:b/>
                <w:bCs/>
                <w:color w:val="000000"/>
                <w:sz w:val="22"/>
                <w:szCs w:val="22"/>
              </w:rPr>
            </w:pPr>
          </w:p>
        </w:tc>
        <w:tc>
          <w:tcPr>
            <w:tcW w:w="145" w:type="pct"/>
            <w:tcBorders>
              <w:top w:val="single" w:sz="4" w:space="0" w:color="auto"/>
              <w:left w:val="single" w:sz="4" w:space="0" w:color="auto"/>
              <w:bottom w:val="single" w:sz="4" w:space="0" w:color="auto"/>
              <w:right w:val="single" w:sz="4" w:space="0" w:color="auto"/>
            </w:tcBorders>
            <w:shd w:val="clear" w:color="auto" w:fill="auto"/>
          </w:tcPr>
          <w:p w14:paraId="4AC9A5AE" w14:textId="77777777" w:rsidR="00780C0A" w:rsidRPr="008E106E" w:rsidRDefault="00780C0A" w:rsidP="00232BFF">
            <w:pPr>
              <w:jc w:val="center"/>
              <w:rPr>
                <w:rFonts w:ascii="Arial" w:hAnsi="Arial" w:cs="Arial"/>
                <w:b/>
                <w:bCs/>
                <w:color w:val="000000"/>
                <w:sz w:val="22"/>
                <w:szCs w:val="22"/>
              </w:rPr>
            </w:pPr>
          </w:p>
        </w:tc>
        <w:tc>
          <w:tcPr>
            <w:tcW w:w="137" w:type="pct"/>
            <w:tcBorders>
              <w:top w:val="nil"/>
              <w:left w:val="single" w:sz="4" w:space="0" w:color="auto"/>
              <w:bottom w:val="single" w:sz="4" w:space="0" w:color="auto"/>
              <w:right w:val="single" w:sz="4" w:space="0" w:color="auto"/>
            </w:tcBorders>
            <w:shd w:val="clear" w:color="auto" w:fill="auto"/>
          </w:tcPr>
          <w:p w14:paraId="7CC9B20A" w14:textId="77777777" w:rsidR="00780C0A" w:rsidRPr="008E106E" w:rsidRDefault="00780C0A" w:rsidP="003B569F">
            <w:pPr>
              <w:jc w:val="center"/>
              <w:rPr>
                <w:rFonts w:ascii="Arial" w:hAnsi="Arial" w:cs="Arial"/>
                <w:color w:val="000000"/>
                <w:sz w:val="22"/>
                <w:szCs w:val="22"/>
              </w:rPr>
            </w:pPr>
          </w:p>
        </w:tc>
        <w:tc>
          <w:tcPr>
            <w:tcW w:w="153" w:type="pct"/>
            <w:tcBorders>
              <w:top w:val="nil"/>
              <w:left w:val="single" w:sz="4" w:space="0" w:color="auto"/>
              <w:bottom w:val="single" w:sz="4" w:space="0" w:color="auto"/>
              <w:right w:val="single" w:sz="4" w:space="0" w:color="auto"/>
            </w:tcBorders>
          </w:tcPr>
          <w:p w14:paraId="0B5DAC79" w14:textId="77777777" w:rsidR="00780C0A" w:rsidRPr="008E106E" w:rsidRDefault="00780C0A" w:rsidP="003B569F">
            <w:pPr>
              <w:jc w:val="center"/>
              <w:rPr>
                <w:rFonts w:ascii="Arial" w:hAnsi="Arial" w:cs="Arial"/>
                <w:color w:val="000000"/>
                <w:sz w:val="22"/>
                <w:szCs w:val="22"/>
              </w:rPr>
            </w:pPr>
          </w:p>
        </w:tc>
        <w:tc>
          <w:tcPr>
            <w:tcW w:w="187" w:type="pct"/>
            <w:tcBorders>
              <w:top w:val="nil"/>
              <w:left w:val="single" w:sz="4" w:space="0" w:color="auto"/>
              <w:bottom w:val="single" w:sz="4" w:space="0" w:color="auto"/>
              <w:right w:val="single" w:sz="4" w:space="0" w:color="auto"/>
            </w:tcBorders>
            <w:shd w:val="clear" w:color="auto" w:fill="BFBFBF" w:themeFill="background1" w:themeFillShade="BF"/>
          </w:tcPr>
          <w:p w14:paraId="1E556175" w14:textId="77777777" w:rsidR="00780C0A" w:rsidRPr="008E106E" w:rsidRDefault="00780C0A" w:rsidP="003B569F">
            <w:pPr>
              <w:jc w:val="center"/>
              <w:rPr>
                <w:rFonts w:ascii="Arial" w:hAnsi="Arial" w:cs="Arial"/>
                <w:color w:val="000000"/>
                <w:sz w:val="22"/>
                <w:szCs w:val="22"/>
              </w:rPr>
            </w:pPr>
          </w:p>
        </w:tc>
        <w:tc>
          <w:tcPr>
            <w:tcW w:w="139" w:type="pct"/>
            <w:tcBorders>
              <w:top w:val="nil"/>
              <w:left w:val="single" w:sz="4" w:space="0" w:color="auto"/>
              <w:bottom w:val="single" w:sz="4" w:space="0" w:color="auto"/>
              <w:right w:val="single" w:sz="4" w:space="0" w:color="auto"/>
            </w:tcBorders>
          </w:tcPr>
          <w:p w14:paraId="1328CB3B" w14:textId="77777777" w:rsidR="00780C0A" w:rsidRPr="008E106E" w:rsidRDefault="00780C0A" w:rsidP="003B569F">
            <w:pPr>
              <w:jc w:val="center"/>
              <w:rPr>
                <w:rFonts w:ascii="Arial" w:hAnsi="Arial" w:cs="Arial"/>
                <w:color w:val="000000"/>
                <w:sz w:val="22"/>
                <w:szCs w:val="22"/>
              </w:rPr>
            </w:pPr>
          </w:p>
        </w:tc>
        <w:tc>
          <w:tcPr>
            <w:tcW w:w="298" w:type="pct"/>
            <w:tcBorders>
              <w:top w:val="nil"/>
              <w:left w:val="single" w:sz="4" w:space="0" w:color="auto"/>
              <w:bottom w:val="single" w:sz="4" w:space="0" w:color="auto"/>
              <w:right w:val="single" w:sz="4" w:space="0" w:color="auto"/>
            </w:tcBorders>
            <w:shd w:val="clear" w:color="auto" w:fill="auto"/>
            <w:noWrap/>
            <w:vAlign w:val="center"/>
          </w:tcPr>
          <w:p w14:paraId="34E5F175" w14:textId="05C289B0" w:rsidR="00780C0A" w:rsidRPr="008E106E" w:rsidRDefault="00780C0A" w:rsidP="003B569F">
            <w:pPr>
              <w:jc w:val="center"/>
              <w:rPr>
                <w:rFonts w:ascii="Arial" w:hAnsi="Arial" w:cs="Arial"/>
                <w:color w:val="000000"/>
                <w:sz w:val="22"/>
                <w:szCs w:val="22"/>
              </w:rPr>
            </w:pPr>
            <w:r w:rsidRPr="008E106E">
              <w:rPr>
                <w:rFonts w:ascii="Arial" w:hAnsi="Arial" w:cs="Arial"/>
                <w:color w:val="000000"/>
                <w:sz w:val="22"/>
                <w:szCs w:val="22"/>
              </w:rPr>
              <w:t>EA</w:t>
            </w:r>
          </w:p>
        </w:tc>
        <w:tc>
          <w:tcPr>
            <w:tcW w:w="275" w:type="pct"/>
            <w:tcBorders>
              <w:top w:val="nil"/>
              <w:left w:val="nil"/>
              <w:bottom w:val="single" w:sz="4" w:space="0" w:color="auto"/>
              <w:right w:val="single" w:sz="4" w:space="0" w:color="auto"/>
            </w:tcBorders>
            <w:shd w:val="clear" w:color="auto" w:fill="auto"/>
            <w:noWrap/>
            <w:vAlign w:val="center"/>
          </w:tcPr>
          <w:p w14:paraId="746CE8E5" w14:textId="4BF5A057" w:rsidR="00780C0A" w:rsidRPr="008E106E" w:rsidRDefault="00780C0A" w:rsidP="00BD3FAE">
            <w:pPr>
              <w:jc w:val="center"/>
              <w:rPr>
                <w:rFonts w:ascii="Arial" w:hAnsi="Arial" w:cs="Arial"/>
                <w:color w:val="000000"/>
                <w:sz w:val="22"/>
                <w:szCs w:val="22"/>
              </w:rPr>
            </w:pPr>
            <w:r w:rsidRPr="008E106E">
              <w:rPr>
                <w:rFonts w:ascii="Arial" w:hAnsi="Arial" w:cs="Arial"/>
                <w:color w:val="000000"/>
                <w:sz w:val="22"/>
                <w:szCs w:val="22"/>
              </w:rPr>
              <w:t>EA</w:t>
            </w:r>
          </w:p>
        </w:tc>
        <w:tc>
          <w:tcPr>
            <w:tcW w:w="474" w:type="pct"/>
            <w:tcBorders>
              <w:top w:val="nil"/>
              <w:left w:val="nil"/>
              <w:bottom w:val="single" w:sz="4" w:space="0" w:color="auto"/>
              <w:right w:val="single" w:sz="4" w:space="0" w:color="auto"/>
            </w:tcBorders>
            <w:shd w:val="clear" w:color="auto" w:fill="auto"/>
            <w:noWrap/>
            <w:vAlign w:val="center"/>
          </w:tcPr>
          <w:p w14:paraId="112F9FC4" w14:textId="29150B50" w:rsidR="00780C0A" w:rsidRPr="008E106E" w:rsidRDefault="00780C0A" w:rsidP="003B569F">
            <w:pPr>
              <w:jc w:val="right"/>
              <w:rPr>
                <w:rFonts w:ascii="Arial" w:hAnsi="Arial" w:cs="Arial"/>
                <w:color w:val="000000"/>
                <w:sz w:val="22"/>
                <w:szCs w:val="22"/>
              </w:rPr>
            </w:pPr>
            <w:r w:rsidRPr="008E106E">
              <w:rPr>
                <w:rFonts w:ascii="Arial" w:hAnsi="Arial" w:cs="Arial"/>
                <w:color w:val="000000"/>
                <w:sz w:val="22"/>
                <w:szCs w:val="22"/>
              </w:rPr>
              <w:t>40,000</w:t>
            </w:r>
          </w:p>
        </w:tc>
      </w:tr>
      <w:tr w:rsidR="00C03D03" w:rsidRPr="008E106E" w14:paraId="2A168283" w14:textId="77777777" w:rsidTr="00C03D03">
        <w:trPr>
          <w:trHeight w:val="261"/>
        </w:trPr>
        <w:tc>
          <w:tcPr>
            <w:tcW w:w="629" w:type="pct"/>
            <w:tcBorders>
              <w:top w:val="nil"/>
              <w:bottom w:val="single" w:sz="4" w:space="0" w:color="auto"/>
              <w:right w:val="single" w:sz="4" w:space="0" w:color="auto"/>
            </w:tcBorders>
            <w:shd w:val="clear" w:color="auto" w:fill="auto"/>
            <w:noWrap/>
            <w:vAlign w:val="center"/>
            <w:hideMark/>
          </w:tcPr>
          <w:p w14:paraId="012FB6E3" w14:textId="77777777" w:rsidR="00780C0A" w:rsidRPr="008E106E" w:rsidRDefault="00780C0A" w:rsidP="003B569F">
            <w:pPr>
              <w:rPr>
                <w:rFonts w:ascii="Arial" w:hAnsi="Arial" w:cs="Arial"/>
                <w:color w:val="000000"/>
                <w:sz w:val="22"/>
                <w:szCs w:val="22"/>
              </w:rPr>
            </w:pPr>
            <w:r w:rsidRPr="008E106E">
              <w:rPr>
                <w:rFonts w:ascii="Arial" w:hAnsi="Arial" w:cs="Arial"/>
                <w:color w:val="000000"/>
                <w:sz w:val="22"/>
                <w:szCs w:val="22"/>
                <w:lang w:val="es-ES_tradnl"/>
              </w:rPr>
              <w:t xml:space="preserve">PCR </w:t>
            </w:r>
          </w:p>
        </w:tc>
        <w:tc>
          <w:tcPr>
            <w:tcW w:w="169" w:type="pct"/>
            <w:tcBorders>
              <w:top w:val="nil"/>
              <w:left w:val="nil"/>
              <w:bottom w:val="single" w:sz="4" w:space="0" w:color="auto"/>
              <w:right w:val="single" w:sz="4" w:space="0" w:color="auto"/>
            </w:tcBorders>
          </w:tcPr>
          <w:p w14:paraId="1E87C3F6" w14:textId="77777777" w:rsidR="00780C0A" w:rsidRPr="008E106E" w:rsidRDefault="00780C0A" w:rsidP="003B569F">
            <w:pPr>
              <w:rPr>
                <w:rFonts w:ascii="Arial" w:hAnsi="Arial" w:cs="Arial"/>
                <w:color w:val="000000"/>
                <w:sz w:val="22"/>
                <w:szCs w:val="22"/>
                <w:lang w:val="es-ES_tradnl"/>
              </w:rPr>
            </w:pPr>
          </w:p>
        </w:tc>
        <w:tc>
          <w:tcPr>
            <w:tcW w:w="137" w:type="pct"/>
            <w:tcBorders>
              <w:top w:val="nil"/>
              <w:left w:val="single" w:sz="4" w:space="0" w:color="auto"/>
              <w:bottom w:val="single" w:sz="4" w:space="0" w:color="auto"/>
              <w:right w:val="single" w:sz="4" w:space="0" w:color="auto"/>
            </w:tcBorders>
            <w:shd w:val="clear" w:color="auto" w:fill="auto"/>
            <w:noWrap/>
            <w:vAlign w:val="center"/>
            <w:hideMark/>
          </w:tcPr>
          <w:p w14:paraId="59756F43" w14:textId="77777777" w:rsidR="00780C0A" w:rsidRPr="008E106E" w:rsidRDefault="00780C0A" w:rsidP="003B569F">
            <w:pPr>
              <w:rPr>
                <w:rFonts w:ascii="Arial" w:hAnsi="Arial" w:cs="Arial"/>
                <w:color w:val="000000"/>
                <w:sz w:val="22"/>
                <w:szCs w:val="22"/>
              </w:rPr>
            </w:pPr>
            <w:r w:rsidRPr="008E106E">
              <w:rPr>
                <w:rFonts w:ascii="Arial" w:hAnsi="Arial" w:cs="Arial"/>
                <w:color w:val="000000"/>
                <w:sz w:val="22"/>
                <w:szCs w:val="22"/>
                <w:lang w:val="es-ES_tradnl"/>
              </w:rPr>
              <w:t> </w:t>
            </w:r>
          </w:p>
        </w:tc>
        <w:tc>
          <w:tcPr>
            <w:tcW w:w="141" w:type="pct"/>
            <w:tcBorders>
              <w:top w:val="nil"/>
              <w:left w:val="nil"/>
              <w:bottom w:val="single" w:sz="4" w:space="0" w:color="auto"/>
              <w:right w:val="single" w:sz="4" w:space="0" w:color="auto"/>
            </w:tcBorders>
            <w:shd w:val="clear" w:color="auto" w:fill="auto"/>
            <w:noWrap/>
            <w:vAlign w:val="center"/>
            <w:hideMark/>
          </w:tcPr>
          <w:p w14:paraId="093A39D8" w14:textId="77777777" w:rsidR="00780C0A" w:rsidRPr="008E106E" w:rsidRDefault="00780C0A" w:rsidP="003B569F">
            <w:pPr>
              <w:rPr>
                <w:rFonts w:ascii="Arial" w:hAnsi="Arial" w:cs="Arial"/>
                <w:color w:val="000000"/>
                <w:sz w:val="22"/>
                <w:szCs w:val="22"/>
              </w:rPr>
            </w:pPr>
            <w:r w:rsidRPr="008E106E">
              <w:rPr>
                <w:rFonts w:ascii="Arial" w:hAnsi="Arial" w:cs="Arial"/>
                <w:color w:val="000000"/>
                <w:sz w:val="22"/>
                <w:szCs w:val="22"/>
                <w:lang w:val="es-ES_tradnl"/>
              </w:rPr>
              <w:t> </w:t>
            </w:r>
          </w:p>
        </w:tc>
        <w:tc>
          <w:tcPr>
            <w:tcW w:w="138" w:type="pct"/>
            <w:tcBorders>
              <w:top w:val="nil"/>
              <w:left w:val="nil"/>
              <w:bottom w:val="single" w:sz="4" w:space="0" w:color="auto"/>
              <w:right w:val="single" w:sz="4" w:space="0" w:color="auto"/>
            </w:tcBorders>
            <w:shd w:val="clear" w:color="auto" w:fill="auto"/>
            <w:noWrap/>
            <w:vAlign w:val="center"/>
            <w:hideMark/>
          </w:tcPr>
          <w:p w14:paraId="19C9BCD5" w14:textId="77777777" w:rsidR="00780C0A" w:rsidRPr="008E106E" w:rsidRDefault="00780C0A" w:rsidP="003B569F">
            <w:pPr>
              <w:rPr>
                <w:rFonts w:ascii="Arial" w:hAnsi="Arial" w:cs="Arial"/>
                <w:color w:val="000000"/>
                <w:sz w:val="22"/>
                <w:szCs w:val="22"/>
              </w:rPr>
            </w:pPr>
            <w:r w:rsidRPr="008E106E">
              <w:rPr>
                <w:rFonts w:ascii="Arial" w:hAnsi="Arial" w:cs="Arial"/>
                <w:color w:val="000000"/>
                <w:sz w:val="22"/>
                <w:szCs w:val="22"/>
                <w:lang w:val="es-ES_tradnl"/>
              </w:rPr>
              <w:t> </w:t>
            </w:r>
          </w:p>
        </w:tc>
        <w:tc>
          <w:tcPr>
            <w:tcW w:w="142" w:type="pct"/>
            <w:tcBorders>
              <w:top w:val="nil"/>
              <w:left w:val="nil"/>
              <w:bottom w:val="single" w:sz="4" w:space="0" w:color="auto"/>
              <w:right w:val="single" w:sz="4" w:space="0" w:color="auto"/>
            </w:tcBorders>
            <w:shd w:val="clear" w:color="auto" w:fill="auto"/>
            <w:noWrap/>
            <w:vAlign w:val="center"/>
            <w:hideMark/>
          </w:tcPr>
          <w:p w14:paraId="6B5DF50B" w14:textId="77777777" w:rsidR="00780C0A" w:rsidRPr="008E106E" w:rsidRDefault="00780C0A" w:rsidP="003B569F">
            <w:pPr>
              <w:rPr>
                <w:rFonts w:ascii="Arial" w:hAnsi="Arial" w:cs="Arial"/>
                <w:color w:val="000000"/>
                <w:sz w:val="22"/>
                <w:szCs w:val="22"/>
              </w:rPr>
            </w:pPr>
            <w:r w:rsidRPr="008E106E">
              <w:rPr>
                <w:rFonts w:ascii="Arial" w:hAnsi="Arial" w:cs="Arial"/>
                <w:color w:val="000000"/>
                <w:sz w:val="22"/>
                <w:szCs w:val="22"/>
                <w:lang w:val="es-ES_tradnl"/>
              </w:rPr>
              <w:t> </w:t>
            </w:r>
          </w:p>
        </w:tc>
        <w:tc>
          <w:tcPr>
            <w:tcW w:w="140" w:type="pct"/>
            <w:tcBorders>
              <w:top w:val="single" w:sz="4" w:space="0" w:color="auto"/>
              <w:left w:val="nil"/>
              <w:bottom w:val="single" w:sz="4" w:space="0" w:color="auto"/>
              <w:right w:val="single" w:sz="4" w:space="0" w:color="auto"/>
            </w:tcBorders>
            <w:shd w:val="clear" w:color="auto" w:fill="FFFFFF" w:themeFill="background1"/>
          </w:tcPr>
          <w:p w14:paraId="0E8E93A5" w14:textId="77777777" w:rsidR="00780C0A" w:rsidRPr="008E106E" w:rsidRDefault="00780C0A" w:rsidP="003B569F">
            <w:pPr>
              <w:rPr>
                <w:rFonts w:ascii="Arial" w:hAnsi="Arial" w:cs="Arial"/>
                <w:color w:val="000000"/>
                <w:sz w:val="22"/>
                <w:szCs w:val="22"/>
                <w:lang w:val="es-ES_tradnl"/>
              </w:rPr>
            </w:pPr>
          </w:p>
        </w:tc>
        <w:tc>
          <w:tcPr>
            <w:tcW w:w="142" w:type="pct"/>
            <w:tcBorders>
              <w:top w:val="single" w:sz="4" w:space="0" w:color="auto"/>
              <w:left w:val="nil"/>
              <w:bottom w:val="single" w:sz="4" w:space="0" w:color="auto"/>
              <w:right w:val="single" w:sz="4" w:space="0" w:color="auto"/>
            </w:tcBorders>
            <w:shd w:val="clear" w:color="auto" w:fill="FFFFFF" w:themeFill="background1"/>
          </w:tcPr>
          <w:p w14:paraId="0EC2E31B" w14:textId="77777777" w:rsidR="00780C0A" w:rsidRPr="008E106E" w:rsidRDefault="00780C0A" w:rsidP="003B569F">
            <w:pPr>
              <w:rPr>
                <w:rFonts w:ascii="Arial" w:hAnsi="Arial" w:cs="Arial"/>
                <w:color w:val="000000"/>
                <w:sz w:val="22"/>
                <w:szCs w:val="22"/>
                <w:lang w:val="es-ES_tradnl"/>
              </w:rPr>
            </w:pPr>
          </w:p>
        </w:tc>
        <w:tc>
          <w:tcPr>
            <w:tcW w:w="140" w:type="pct"/>
            <w:tcBorders>
              <w:top w:val="single" w:sz="4" w:space="0" w:color="auto"/>
              <w:left w:val="nil"/>
              <w:bottom w:val="single" w:sz="4" w:space="0" w:color="auto"/>
              <w:right w:val="single" w:sz="4" w:space="0" w:color="auto"/>
            </w:tcBorders>
            <w:shd w:val="clear" w:color="auto" w:fill="FFFFFF" w:themeFill="background1"/>
          </w:tcPr>
          <w:p w14:paraId="658F4531" w14:textId="77777777" w:rsidR="00780C0A" w:rsidRPr="008E106E" w:rsidRDefault="00780C0A" w:rsidP="003B569F">
            <w:pPr>
              <w:rPr>
                <w:rFonts w:ascii="Arial" w:hAnsi="Arial" w:cs="Arial"/>
                <w:color w:val="000000"/>
                <w:sz w:val="22"/>
                <w:szCs w:val="22"/>
                <w:lang w:val="es-ES_tradnl"/>
              </w:rPr>
            </w:pPr>
          </w:p>
        </w:tc>
        <w:tc>
          <w:tcPr>
            <w:tcW w:w="143" w:type="pct"/>
            <w:tcBorders>
              <w:top w:val="single" w:sz="4" w:space="0" w:color="auto"/>
              <w:left w:val="nil"/>
              <w:bottom w:val="single" w:sz="4" w:space="0" w:color="auto"/>
              <w:right w:val="single" w:sz="4" w:space="0" w:color="auto"/>
            </w:tcBorders>
            <w:shd w:val="clear" w:color="auto" w:fill="FFFFFF" w:themeFill="background1"/>
          </w:tcPr>
          <w:p w14:paraId="445E6675" w14:textId="77777777" w:rsidR="00780C0A" w:rsidRPr="008E106E" w:rsidRDefault="00780C0A" w:rsidP="003B569F">
            <w:pPr>
              <w:rPr>
                <w:rFonts w:ascii="Arial" w:hAnsi="Arial" w:cs="Arial"/>
                <w:color w:val="000000"/>
                <w:sz w:val="22"/>
                <w:szCs w:val="22"/>
                <w:lang w:val="es-ES_tradnl"/>
              </w:rPr>
            </w:pPr>
          </w:p>
        </w:tc>
        <w:tc>
          <w:tcPr>
            <w:tcW w:w="140" w:type="pct"/>
            <w:tcBorders>
              <w:top w:val="nil"/>
              <w:left w:val="nil"/>
              <w:bottom w:val="single" w:sz="4" w:space="0" w:color="auto"/>
              <w:right w:val="single" w:sz="4" w:space="0" w:color="auto"/>
            </w:tcBorders>
            <w:shd w:val="clear" w:color="auto" w:fill="FFFFFF" w:themeFill="background1"/>
            <w:noWrap/>
            <w:vAlign w:val="center"/>
            <w:hideMark/>
          </w:tcPr>
          <w:p w14:paraId="748D616E" w14:textId="77777777" w:rsidR="00780C0A" w:rsidRPr="008E106E" w:rsidRDefault="00780C0A" w:rsidP="003B569F">
            <w:pPr>
              <w:rPr>
                <w:rFonts w:ascii="Arial" w:hAnsi="Arial" w:cs="Arial"/>
                <w:color w:val="000000"/>
                <w:sz w:val="22"/>
                <w:szCs w:val="22"/>
              </w:rPr>
            </w:pPr>
            <w:r w:rsidRPr="008E106E">
              <w:rPr>
                <w:rFonts w:ascii="Arial" w:hAnsi="Arial" w:cs="Arial"/>
                <w:color w:val="000000"/>
                <w:sz w:val="22"/>
                <w:szCs w:val="22"/>
                <w:lang w:val="es-ES_tradnl"/>
              </w:rPr>
              <w:t> </w:t>
            </w:r>
          </w:p>
        </w:tc>
        <w:tc>
          <w:tcPr>
            <w:tcW w:w="143" w:type="pct"/>
            <w:tcBorders>
              <w:top w:val="nil"/>
              <w:left w:val="nil"/>
              <w:bottom w:val="single" w:sz="4" w:space="0" w:color="auto"/>
              <w:right w:val="single" w:sz="4" w:space="0" w:color="auto"/>
            </w:tcBorders>
            <w:shd w:val="clear" w:color="auto" w:fill="FFFFFF" w:themeFill="background1"/>
            <w:noWrap/>
            <w:vAlign w:val="center"/>
            <w:hideMark/>
          </w:tcPr>
          <w:p w14:paraId="6EDFAB60" w14:textId="77777777" w:rsidR="00780C0A" w:rsidRPr="008E106E" w:rsidRDefault="00780C0A" w:rsidP="003B569F">
            <w:pPr>
              <w:rPr>
                <w:rFonts w:ascii="Arial" w:hAnsi="Arial" w:cs="Arial"/>
                <w:color w:val="000000"/>
                <w:sz w:val="22"/>
                <w:szCs w:val="22"/>
              </w:rPr>
            </w:pPr>
            <w:r w:rsidRPr="008E106E">
              <w:rPr>
                <w:rFonts w:ascii="Arial" w:hAnsi="Arial" w:cs="Arial"/>
                <w:color w:val="000000"/>
                <w:sz w:val="22"/>
                <w:szCs w:val="22"/>
                <w:lang w:val="es-ES_tradnl"/>
              </w:rPr>
              <w:t> </w:t>
            </w:r>
          </w:p>
        </w:tc>
        <w:tc>
          <w:tcPr>
            <w:tcW w:w="140" w:type="pct"/>
            <w:tcBorders>
              <w:top w:val="nil"/>
              <w:left w:val="nil"/>
              <w:bottom w:val="single" w:sz="4" w:space="0" w:color="auto"/>
              <w:right w:val="single" w:sz="4" w:space="0" w:color="auto"/>
            </w:tcBorders>
            <w:shd w:val="clear" w:color="auto" w:fill="auto"/>
            <w:noWrap/>
            <w:vAlign w:val="center"/>
            <w:hideMark/>
          </w:tcPr>
          <w:p w14:paraId="15BE69CE" w14:textId="77777777" w:rsidR="00780C0A" w:rsidRPr="008E106E" w:rsidRDefault="00780C0A" w:rsidP="003B569F">
            <w:pPr>
              <w:rPr>
                <w:rFonts w:ascii="Arial" w:hAnsi="Arial" w:cs="Arial"/>
                <w:color w:val="000000"/>
                <w:sz w:val="22"/>
                <w:szCs w:val="22"/>
              </w:rPr>
            </w:pPr>
            <w:r w:rsidRPr="008E106E">
              <w:rPr>
                <w:rFonts w:ascii="Arial" w:hAnsi="Arial" w:cs="Arial"/>
                <w:color w:val="000000"/>
                <w:sz w:val="22"/>
                <w:szCs w:val="22"/>
                <w:lang w:val="es-ES_tradnl"/>
              </w:rPr>
              <w:t> </w:t>
            </w:r>
          </w:p>
        </w:tc>
        <w:tc>
          <w:tcPr>
            <w:tcW w:w="142" w:type="pct"/>
            <w:tcBorders>
              <w:top w:val="nil"/>
              <w:left w:val="nil"/>
              <w:bottom w:val="single" w:sz="4" w:space="0" w:color="auto"/>
              <w:right w:val="single" w:sz="4" w:space="0" w:color="auto"/>
            </w:tcBorders>
            <w:shd w:val="clear" w:color="auto" w:fill="auto"/>
            <w:noWrap/>
            <w:vAlign w:val="center"/>
            <w:hideMark/>
          </w:tcPr>
          <w:p w14:paraId="44EDB4EA" w14:textId="77777777" w:rsidR="00780C0A" w:rsidRPr="008E106E" w:rsidRDefault="00780C0A" w:rsidP="003B569F">
            <w:pPr>
              <w:rPr>
                <w:rFonts w:ascii="Arial" w:hAnsi="Arial" w:cs="Arial"/>
                <w:color w:val="000000"/>
                <w:sz w:val="22"/>
                <w:szCs w:val="22"/>
              </w:rPr>
            </w:pPr>
            <w:r w:rsidRPr="008E106E">
              <w:rPr>
                <w:rFonts w:ascii="Arial" w:hAnsi="Arial" w:cs="Arial"/>
                <w:color w:val="000000"/>
                <w:sz w:val="22"/>
                <w:szCs w:val="22"/>
                <w:lang w:val="es-ES_tradnl"/>
              </w:rPr>
              <w:t> </w:t>
            </w:r>
          </w:p>
        </w:tc>
        <w:tc>
          <w:tcPr>
            <w:tcW w:w="140" w:type="pct"/>
            <w:tcBorders>
              <w:top w:val="nil"/>
              <w:left w:val="nil"/>
              <w:bottom w:val="single" w:sz="4" w:space="0" w:color="auto"/>
              <w:right w:val="single" w:sz="4" w:space="0" w:color="auto"/>
            </w:tcBorders>
            <w:shd w:val="clear" w:color="auto" w:fill="auto"/>
            <w:noWrap/>
            <w:vAlign w:val="center"/>
            <w:hideMark/>
          </w:tcPr>
          <w:p w14:paraId="6E424DDF" w14:textId="77777777" w:rsidR="00780C0A" w:rsidRPr="008E106E" w:rsidRDefault="00780C0A" w:rsidP="003B569F">
            <w:pPr>
              <w:rPr>
                <w:rFonts w:ascii="Arial" w:hAnsi="Arial" w:cs="Arial"/>
                <w:color w:val="000000"/>
                <w:sz w:val="22"/>
                <w:szCs w:val="22"/>
              </w:rPr>
            </w:pPr>
            <w:r w:rsidRPr="008E106E">
              <w:rPr>
                <w:rFonts w:ascii="Arial" w:hAnsi="Arial" w:cs="Arial"/>
                <w:color w:val="000000"/>
                <w:sz w:val="22"/>
                <w:szCs w:val="22"/>
                <w:lang w:val="es-ES_tradnl"/>
              </w:rPr>
              <w:t> </w:t>
            </w:r>
          </w:p>
        </w:tc>
        <w:tc>
          <w:tcPr>
            <w:tcW w:w="143" w:type="pct"/>
            <w:tcBorders>
              <w:top w:val="nil"/>
              <w:left w:val="nil"/>
              <w:bottom w:val="single" w:sz="4" w:space="0" w:color="auto"/>
              <w:right w:val="single" w:sz="4" w:space="0" w:color="auto"/>
            </w:tcBorders>
            <w:shd w:val="clear" w:color="auto" w:fill="FFFFFF" w:themeFill="background1"/>
            <w:noWrap/>
            <w:vAlign w:val="center"/>
            <w:hideMark/>
          </w:tcPr>
          <w:p w14:paraId="00B24E30" w14:textId="77777777" w:rsidR="00780C0A" w:rsidRPr="008E106E" w:rsidRDefault="00780C0A" w:rsidP="00232BFF">
            <w:pPr>
              <w:jc w:val="center"/>
              <w:rPr>
                <w:rFonts w:ascii="Arial" w:hAnsi="Arial" w:cs="Arial"/>
                <w:b/>
                <w:bCs/>
                <w:color w:val="000000"/>
                <w:sz w:val="22"/>
                <w:szCs w:val="22"/>
              </w:rPr>
            </w:pPr>
            <w:r w:rsidRPr="008E106E">
              <w:rPr>
                <w:rFonts w:ascii="Arial" w:hAnsi="Arial" w:cs="Arial"/>
                <w:b/>
                <w:bCs/>
                <w:color w:val="000000"/>
                <w:sz w:val="22"/>
                <w:szCs w:val="22"/>
              </w:rPr>
              <w:t> </w:t>
            </w:r>
          </w:p>
        </w:tc>
        <w:tc>
          <w:tcPr>
            <w:tcW w:w="149" w:type="pct"/>
            <w:tcBorders>
              <w:top w:val="single" w:sz="4" w:space="0" w:color="auto"/>
              <w:left w:val="single" w:sz="4" w:space="0" w:color="auto"/>
              <w:bottom w:val="single" w:sz="4" w:space="0" w:color="auto"/>
              <w:right w:val="single" w:sz="4" w:space="0" w:color="auto"/>
            </w:tcBorders>
            <w:shd w:val="clear" w:color="auto" w:fill="FFFFFF" w:themeFill="background1"/>
          </w:tcPr>
          <w:p w14:paraId="536E49C0" w14:textId="77777777" w:rsidR="00780C0A" w:rsidRPr="008E106E" w:rsidRDefault="00780C0A" w:rsidP="00232BFF">
            <w:pPr>
              <w:jc w:val="center"/>
              <w:rPr>
                <w:rFonts w:ascii="Arial" w:hAnsi="Arial" w:cs="Arial"/>
                <w:b/>
                <w:bCs/>
                <w:color w:val="000000"/>
                <w:sz w:val="22"/>
                <w:szCs w:val="22"/>
              </w:rPr>
            </w:pPr>
          </w:p>
        </w:tc>
        <w:tc>
          <w:tcPr>
            <w:tcW w:w="131" w:type="pct"/>
            <w:tcBorders>
              <w:top w:val="single" w:sz="4" w:space="0" w:color="auto"/>
              <w:left w:val="single" w:sz="4" w:space="0" w:color="auto"/>
              <w:bottom w:val="single" w:sz="4" w:space="0" w:color="auto"/>
              <w:right w:val="single" w:sz="4" w:space="0" w:color="auto"/>
            </w:tcBorders>
            <w:shd w:val="clear" w:color="auto" w:fill="auto"/>
          </w:tcPr>
          <w:p w14:paraId="49101B13" w14:textId="77777777" w:rsidR="00780C0A" w:rsidRPr="008E106E" w:rsidRDefault="00780C0A" w:rsidP="00232BFF">
            <w:pPr>
              <w:jc w:val="center"/>
              <w:rPr>
                <w:rFonts w:ascii="Arial" w:hAnsi="Arial" w:cs="Arial"/>
                <w:b/>
                <w:bCs/>
                <w:color w:val="000000"/>
                <w:sz w:val="22"/>
                <w:szCs w:val="22"/>
              </w:rPr>
            </w:pPr>
          </w:p>
        </w:tc>
        <w:tc>
          <w:tcPr>
            <w:tcW w:w="140" w:type="pct"/>
            <w:tcBorders>
              <w:top w:val="single" w:sz="4" w:space="0" w:color="auto"/>
              <w:left w:val="single" w:sz="4" w:space="0" w:color="auto"/>
              <w:bottom w:val="single" w:sz="4" w:space="0" w:color="auto"/>
              <w:right w:val="single" w:sz="4" w:space="0" w:color="auto"/>
            </w:tcBorders>
            <w:shd w:val="clear" w:color="auto" w:fill="auto"/>
          </w:tcPr>
          <w:p w14:paraId="1D343F23" w14:textId="77777777" w:rsidR="00780C0A" w:rsidRPr="008E106E" w:rsidRDefault="00780C0A" w:rsidP="00232BFF">
            <w:pPr>
              <w:jc w:val="center"/>
              <w:rPr>
                <w:rFonts w:ascii="Arial" w:hAnsi="Arial" w:cs="Arial"/>
                <w:b/>
                <w:bCs/>
                <w:color w:val="000000"/>
                <w:sz w:val="22"/>
                <w:szCs w:val="22"/>
              </w:rPr>
            </w:pPr>
          </w:p>
        </w:tc>
        <w:tc>
          <w:tcPr>
            <w:tcW w:w="145" w:type="pct"/>
            <w:tcBorders>
              <w:top w:val="single" w:sz="4" w:space="0" w:color="auto"/>
              <w:left w:val="single" w:sz="4" w:space="0" w:color="auto"/>
              <w:bottom w:val="single" w:sz="4" w:space="0" w:color="auto"/>
              <w:right w:val="single" w:sz="4" w:space="0" w:color="auto"/>
            </w:tcBorders>
            <w:shd w:val="clear" w:color="auto" w:fill="auto"/>
          </w:tcPr>
          <w:p w14:paraId="7866F40F" w14:textId="77777777" w:rsidR="00780C0A" w:rsidRPr="008E106E" w:rsidRDefault="00780C0A" w:rsidP="00232BFF">
            <w:pPr>
              <w:jc w:val="center"/>
              <w:rPr>
                <w:rFonts w:ascii="Arial" w:hAnsi="Arial" w:cs="Arial"/>
                <w:b/>
                <w:bCs/>
                <w:color w:val="000000"/>
                <w:sz w:val="22"/>
                <w:szCs w:val="22"/>
              </w:rPr>
            </w:pPr>
          </w:p>
        </w:tc>
        <w:tc>
          <w:tcPr>
            <w:tcW w:w="137" w:type="pct"/>
            <w:tcBorders>
              <w:top w:val="nil"/>
              <w:left w:val="single" w:sz="4" w:space="0" w:color="auto"/>
              <w:bottom w:val="single" w:sz="4" w:space="0" w:color="auto"/>
              <w:right w:val="single" w:sz="4" w:space="0" w:color="auto"/>
            </w:tcBorders>
            <w:shd w:val="clear" w:color="auto" w:fill="auto"/>
          </w:tcPr>
          <w:p w14:paraId="5D5F04DF" w14:textId="77777777" w:rsidR="00780C0A" w:rsidRPr="008E106E" w:rsidRDefault="00780C0A" w:rsidP="003B569F">
            <w:pPr>
              <w:jc w:val="center"/>
              <w:rPr>
                <w:rFonts w:ascii="Arial" w:hAnsi="Arial" w:cs="Arial"/>
                <w:color w:val="000000"/>
                <w:sz w:val="22"/>
                <w:szCs w:val="22"/>
              </w:rPr>
            </w:pPr>
          </w:p>
        </w:tc>
        <w:tc>
          <w:tcPr>
            <w:tcW w:w="153" w:type="pct"/>
            <w:tcBorders>
              <w:top w:val="nil"/>
              <w:left w:val="single" w:sz="4" w:space="0" w:color="auto"/>
              <w:bottom w:val="single" w:sz="4" w:space="0" w:color="auto"/>
              <w:right w:val="single" w:sz="4" w:space="0" w:color="auto"/>
            </w:tcBorders>
          </w:tcPr>
          <w:p w14:paraId="6C364872" w14:textId="77777777" w:rsidR="00780C0A" w:rsidRPr="008E106E" w:rsidRDefault="00780C0A" w:rsidP="003B569F">
            <w:pPr>
              <w:jc w:val="center"/>
              <w:rPr>
                <w:rFonts w:ascii="Arial" w:hAnsi="Arial" w:cs="Arial"/>
                <w:color w:val="000000"/>
                <w:sz w:val="22"/>
                <w:szCs w:val="22"/>
              </w:rPr>
            </w:pPr>
          </w:p>
        </w:tc>
        <w:tc>
          <w:tcPr>
            <w:tcW w:w="187" w:type="pct"/>
            <w:tcBorders>
              <w:top w:val="nil"/>
              <w:left w:val="single" w:sz="4" w:space="0" w:color="auto"/>
              <w:bottom w:val="single" w:sz="4" w:space="0" w:color="auto"/>
              <w:right w:val="single" w:sz="4" w:space="0" w:color="auto"/>
            </w:tcBorders>
            <w:shd w:val="clear" w:color="auto" w:fill="BFBFBF" w:themeFill="background1" w:themeFillShade="BF"/>
          </w:tcPr>
          <w:p w14:paraId="0FD80A71" w14:textId="77777777" w:rsidR="00780C0A" w:rsidRPr="008E106E" w:rsidRDefault="00780C0A" w:rsidP="003B569F">
            <w:pPr>
              <w:jc w:val="center"/>
              <w:rPr>
                <w:rFonts w:ascii="Arial" w:hAnsi="Arial" w:cs="Arial"/>
                <w:color w:val="000000"/>
                <w:sz w:val="22"/>
                <w:szCs w:val="22"/>
              </w:rPr>
            </w:pPr>
          </w:p>
        </w:tc>
        <w:tc>
          <w:tcPr>
            <w:tcW w:w="139" w:type="pct"/>
            <w:tcBorders>
              <w:top w:val="nil"/>
              <w:left w:val="single" w:sz="4" w:space="0" w:color="auto"/>
              <w:bottom w:val="single" w:sz="4" w:space="0" w:color="auto"/>
              <w:right w:val="single" w:sz="4" w:space="0" w:color="auto"/>
            </w:tcBorders>
          </w:tcPr>
          <w:p w14:paraId="576B924B" w14:textId="77777777" w:rsidR="00780C0A" w:rsidRPr="008E106E" w:rsidRDefault="00780C0A" w:rsidP="003B569F">
            <w:pPr>
              <w:jc w:val="center"/>
              <w:rPr>
                <w:rFonts w:ascii="Arial" w:hAnsi="Arial" w:cs="Arial"/>
                <w:color w:val="000000"/>
                <w:sz w:val="22"/>
                <w:szCs w:val="22"/>
              </w:rPr>
            </w:pPr>
          </w:p>
        </w:tc>
        <w:tc>
          <w:tcPr>
            <w:tcW w:w="298" w:type="pct"/>
            <w:tcBorders>
              <w:top w:val="nil"/>
              <w:left w:val="single" w:sz="4" w:space="0" w:color="auto"/>
              <w:bottom w:val="single" w:sz="4" w:space="0" w:color="auto"/>
              <w:right w:val="single" w:sz="4" w:space="0" w:color="auto"/>
            </w:tcBorders>
            <w:shd w:val="clear" w:color="auto" w:fill="auto"/>
            <w:noWrap/>
            <w:vAlign w:val="center"/>
          </w:tcPr>
          <w:p w14:paraId="20ADD531" w14:textId="31F321FC" w:rsidR="00780C0A" w:rsidRPr="008E106E" w:rsidRDefault="00780C0A" w:rsidP="003B569F">
            <w:pPr>
              <w:jc w:val="center"/>
              <w:rPr>
                <w:rFonts w:ascii="Arial" w:hAnsi="Arial" w:cs="Arial"/>
                <w:color w:val="000000"/>
                <w:sz w:val="22"/>
                <w:szCs w:val="22"/>
              </w:rPr>
            </w:pPr>
            <w:r w:rsidRPr="008E106E">
              <w:rPr>
                <w:rFonts w:ascii="Arial" w:hAnsi="Arial" w:cs="Arial"/>
                <w:color w:val="000000"/>
                <w:sz w:val="22"/>
                <w:szCs w:val="22"/>
              </w:rPr>
              <w:t>EA</w:t>
            </w:r>
          </w:p>
        </w:tc>
        <w:tc>
          <w:tcPr>
            <w:tcW w:w="275" w:type="pct"/>
            <w:tcBorders>
              <w:top w:val="nil"/>
              <w:left w:val="nil"/>
              <w:bottom w:val="single" w:sz="4" w:space="0" w:color="auto"/>
              <w:right w:val="single" w:sz="4" w:space="0" w:color="auto"/>
            </w:tcBorders>
            <w:shd w:val="clear" w:color="auto" w:fill="auto"/>
            <w:noWrap/>
            <w:vAlign w:val="center"/>
          </w:tcPr>
          <w:p w14:paraId="47D88873" w14:textId="77777777" w:rsidR="00780C0A" w:rsidRPr="008E106E" w:rsidRDefault="00780C0A" w:rsidP="003B569F">
            <w:pPr>
              <w:jc w:val="center"/>
              <w:rPr>
                <w:rFonts w:ascii="Arial" w:hAnsi="Arial" w:cs="Arial"/>
                <w:color w:val="000000"/>
                <w:sz w:val="22"/>
                <w:szCs w:val="22"/>
              </w:rPr>
            </w:pPr>
            <w:r w:rsidRPr="008E106E">
              <w:rPr>
                <w:rFonts w:ascii="Arial" w:hAnsi="Arial" w:cs="Arial"/>
                <w:color w:val="000000"/>
                <w:sz w:val="22"/>
                <w:szCs w:val="22"/>
              </w:rPr>
              <w:t>IDB</w:t>
            </w:r>
          </w:p>
        </w:tc>
        <w:tc>
          <w:tcPr>
            <w:tcW w:w="474" w:type="pct"/>
            <w:tcBorders>
              <w:top w:val="nil"/>
              <w:left w:val="nil"/>
              <w:bottom w:val="single" w:sz="4" w:space="0" w:color="auto"/>
              <w:right w:val="single" w:sz="4" w:space="0" w:color="auto"/>
            </w:tcBorders>
            <w:shd w:val="clear" w:color="auto" w:fill="auto"/>
            <w:noWrap/>
            <w:vAlign w:val="center"/>
          </w:tcPr>
          <w:p w14:paraId="58F780D6" w14:textId="77777777" w:rsidR="00780C0A" w:rsidRPr="008E106E" w:rsidRDefault="00780C0A" w:rsidP="003B569F">
            <w:pPr>
              <w:jc w:val="right"/>
              <w:rPr>
                <w:rFonts w:ascii="Arial" w:hAnsi="Arial" w:cs="Arial"/>
                <w:color w:val="000000"/>
                <w:sz w:val="22"/>
                <w:szCs w:val="22"/>
              </w:rPr>
            </w:pPr>
            <w:r w:rsidRPr="008E106E">
              <w:rPr>
                <w:rFonts w:ascii="Arial" w:hAnsi="Arial" w:cs="Arial"/>
                <w:color w:val="000000"/>
                <w:sz w:val="22"/>
                <w:szCs w:val="22"/>
              </w:rPr>
              <w:t>0</w:t>
            </w:r>
          </w:p>
        </w:tc>
      </w:tr>
      <w:tr w:rsidR="00C03D03" w:rsidRPr="008E106E" w14:paraId="3621B44B" w14:textId="77777777" w:rsidTr="00C03D03">
        <w:trPr>
          <w:trHeight w:val="261"/>
        </w:trPr>
        <w:tc>
          <w:tcPr>
            <w:tcW w:w="629" w:type="pct"/>
            <w:tcBorders>
              <w:top w:val="nil"/>
              <w:bottom w:val="single" w:sz="4" w:space="0" w:color="auto"/>
              <w:right w:val="single" w:sz="4" w:space="0" w:color="auto"/>
            </w:tcBorders>
            <w:shd w:val="clear" w:color="auto" w:fill="auto"/>
            <w:noWrap/>
            <w:vAlign w:val="center"/>
          </w:tcPr>
          <w:p w14:paraId="3F6DCD8F" w14:textId="4B7C0613" w:rsidR="00780C0A" w:rsidRPr="008E106E" w:rsidRDefault="00780C0A" w:rsidP="003B569F">
            <w:pPr>
              <w:rPr>
                <w:rFonts w:ascii="Arial" w:hAnsi="Arial" w:cs="Arial"/>
                <w:color w:val="000000"/>
                <w:sz w:val="22"/>
                <w:szCs w:val="22"/>
                <w:lang w:val="es-ES_tradnl"/>
              </w:rPr>
            </w:pPr>
            <w:r w:rsidRPr="008E106E">
              <w:rPr>
                <w:rFonts w:ascii="Arial" w:hAnsi="Arial" w:cs="Arial"/>
                <w:b/>
                <w:bCs/>
                <w:color w:val="000000"/>
                <w:sz w:val="22"/>
                <w:szCs w:val="22"/>
              </w:rPr>
              <w:t>Total</w:t>
            </w:r>
          </w:p>
        </w:tc>
        <w:tc>
          <w:tcPr>
            <w:tcW w:w="169" w:type="pct"/>
            <w:tcBorders>
              <w:top w:val="nil"/>
              <w:left w:val="nil"/>
              <w:bottom w:val="single" w:sz="4" w:space="0" w:color="auto"/>
              <w:right w:val="single" w:sz="4" w:space="0" w:color="auto"/>
            </w:tcBorders>
          </w:tcPr>
          <w:p w14:paraId="7273C5BB" w14:textId="77777777" w:rsidR="00780C0A" w:rsidRPr="008E106E" w:rsidRDefault="00780C0A" w:rsidP="003B569F">
            <w:pPr>
              <w:rPr>
                <w:rFonts w:ascii="Arial" w:hAnsi="Arial" w:cs="Arial"/>
                <w:color w:val="000000"/>
                <w:sz w:val="22"/>
                <w:szCs w:val="22"/>
                <w:lang w:val="es-ES_tradnl"/>
              </w:rPr>
            </w:pPr>
          </w:p>
        </w:tc>
        <w:tc>
          <w:tcPr>
            <w:tcW w:w="137" w:type="pct"/>
            <w:tcBorders>
              <w:top w:val="nil"/>
              <w:left w:val="single" w:sz="4" w:space="0" w:color="auto"/>
              <w:bottom w:val="single" w:sz="4" w:space="0" w:color="auto"/>
              <w:right w:val="single" w:sz="4" w:space="0" w:color="auto"/>
            </w:tcBorders>
            <w:shd w:val="clear" w:color="auto" w:fill="auto"/>
            <w:noWrap/>
            <w:vAlign w:val="center"/>
          </w:tcPr>
          <w:p w14:paraId="5E758E85" w14:textId="77777777" w:rsidR="00780C0A" w:rsidRPr="008E106E" w:rsidRDefault="00780C0A" w:rsidP="003B569F">
            <w:pPr>
              <w:rPr>
                <w:rFonts w:ascii="Arial" w:hAnsi="Arial" w:cs="Arial"/>
                <w:color w:val="000000"/>
                <w:sz w:val="22"/>
                <w:szCs w:val="22"/>
                <w:lang w:val="es-ES_tradnl"/>
              </w:rPr>
            </w:pPr>
          </w:p>
        </w:tc>
        <w:tc>
          <w:tcPr>
            <w:tcW w:w="141" w:type="pct"/>
            <w:tcBorders>
              <w:top w:val="nil"/>
              <w:left w:val="nil"/>
              <w:bottom w:val="single" w:sz="4" w:space="0" w:color="auto"/>
              <w:right w:val="single" w:sz="4" w:space="0" w:color="auto"/>
            </w:tcBorders>
            <w:shd w:val="clear" w:color="auto" w:fill="auto"/>
            <w:noWrap/>
            <w:vAlign w:val="center"/>
          </w:tcPr>
          <w:p w14:paraId="5EE95A42" w14:textId="77777777" w:rsidR="00780C0A" w:rsidRPr="008E106E" w:rsidRDefault="00780C0A" w:rsidP="003B569F">
            <w:pPr>
              <w:rPr>
                <w:rFonts w:ascii="Arial" w:hAnsi="Arial" w:cs="Arial"/>
                <w:color w:val="000000"/>
                <w:sz w:val="22"/>
                <w:szCs w:val="22"/>
                <w:lang w:val="es-ES_tradnl"/>
              </w:rPr>
            </w:pPr>
          </w:p>
        </w:tc>
        <w:tc>
          <w:tcPr>
            <w:tcW w:w="138" w:type="pct"/>
            <w:tcBorders>
              <w:top w:val="nil"/>
              <w:left w:val="nil"/>
              <w:bottom w:val="single" w:sz="4" w:space="0" w:color="auto"/>
              <w:right w:val="single" w:sz="4" w:space="0" w:color="auto"/>
            </w:tcBorders>
            <w:shd w:val="clear" w:color="auto" w:fill="auto"/>
            <w:noWrap/>
            <w:vAlign w:val="center"/>
          </w:tcPr>
          <w:p w14:paraId="39387CEE" w14:textId="77777777" w:rsidR="00780C0A" w:rsidRPr="008E106E" w:rsidRDefault="00780C0A" w:rsidP="003B569F">
            <w:pPr>
              <w:rPr>
                <w:rFonts w:ascii="Arial" w:hAnsi="Arial" w:cs="Arial"/>
                <w:color w:val="000000"/>
                <w:sz w:val="22"/>
                <w:szCs w:val="22"/>
                <w:lang w:val="es-ES_tradnl"/>
              </w:rPr>
            </w:pPr>
          </w:p>
        </w:tc>
        <w:tc>
          <w:tcPr>
            <w:tcW w:w="142" w:type="pct"/>
            <w:tcBorders>
              <w:top w:val="nil"/>
              <w:left w:val="nil"/>
              <w:bottom w:val="single" w:sz="4" w:space="0" w:color="auto"/>
              <w:right w:val="single" w:sz="4" w:space="0" w:color="auto"/>
            </w:tcBorders>
            <w:shd w:val="clear" w:color="auto" w:fill="auto"/>
            <w:noWrap/>
            <w:vAlign w:val="center"/>
          </w:tcPr>
          <w:p w14:paraId="471D7FF7" w14:textId="77777777" w:rsidR="00780C0A" w:rsidRPr="008E106E" w:rsidRDefault="00780C0A" w:rsidP="003B569F">
            <w:pPr>
              <w:rPr>
                <w:rFonts w:ascii="Arial" w:hAnsi="Arial" w:cs="Arial"/>
                <w:color w:val="000000"/>
                <w:sz w:val="22"/>
                <w:szCs w:val="22"/>
                <w:lang w:val="es-ES_tradnl"/>
              </w:rPr>
            </w:pPr>
          </w:p>
        </w:tc>
        <w:tc>
          <w:tcPr>
            <w:tcW w:w="140" w:type="pct"/>
            <w:tcBorders>
              <w:top w:val="single" w:sz="4" w:space="0" w:color="auto"/>
              <w:left w:val="nil"/>
              <w:bottom w:val="single" w:sz="4" w:space="0" w:color="auto"/>
              <w:right w:val="single" w:sz="4" w:space="0" w:color="auto"/>
            </w:tcBorders>
            <w:shd w:val="clear" w:color="auto" w:fill="FFFFFF" w:themeFill="background1"/>
          </w:tcPr>
          <w:p w14:paraId="51C307D6" w14:textId="77777777" w:rsidR="00780C0A" w:rsidRPr="008E106E" w:rsidRDefault="00780C0A" w:rsidP="003B569F">
            <w:pPr>
              <w:rPr>
                <w:rFonts w:ascii="Arial" w:hAnsi="Arial" w:cs="Arial"/>
                <w:color w:val="000000"/>
                <w:sz w:val="22"/>
                <w:szCs w:val="22"/>
                <w:lang w:val="es-ES_tradnl"/>
              </w:rPr>
            </w:pPr>
          </w:p>
        </w:tc>
        <w:tc>
          <w:tcPr>
            <w:tcW w:w="142" w:type="pct"/>
            <w:tcBorders>
              <w:top w:val="single" w:sz="4" w:space="0" w:color="auto"/>
              <w:left w:val="nil"/>
              <w:bottom w:val="single" w:sz="4" w:space="0" w:color="auto"/>
              <w:right w:val="single" w:sz="4" w:space="0" w:color="auto"/>
            </w:tcBorders>
            <w:shd w:val="clear" w:color="auto" w:fill="FFFFFF" w:themeFill="background1"/>
          </w:tcPr>
          <w:p w14:paraId="4210862B" w14:textId="77777777" w:rsidR="00780C0A" w:rsidRPr="008E106E" w:rsidRDefault="00780C0A" w:rsidP="003B569F">
            <w:pPr>
              <w:rPr>
                <w:rFonts w:ascii="Arial" w:hAnsi="Arial" w:cs="Arial"/>
                <w:color w:val="000000"/>
                <w:sz w:val="22"/>
                <w:szCs w:val="22"/>
                <w:lang w:val="es-ES_tradnl"/>
              </w:rPr>
            </w:pPr>
          </w:p>
        </w:tc>
        <w:tc>
          <w:tcPr>
            <w:tcW w:w="140" w:type="pct"/>
            <w:tcBorders>
              <w:top w:val="single" w:sz="4" w:space="0" w:color="auto"/>
              <w:left w:val="nil"/>
              <w:bottom w:val="single" w:sz="4" w:space="0" w:color="auto"/>
              <w:right w:val="single" w:sz="4" w:space="0" w:color="auto"/>
            </w:tcBorders>
            <w:shd w:val="clear" w:color="auto" w:fill="FFFFFF" w:themeFill="background1"/>
          </w:tcPr>
          <w:p w14:paraId="0EF7E8E7" w14:textId="77777777" w:rsidR="00780C0A" w:rsidRPr="008E106E" w:rsidRDefault="00780C0A" w:rsidP="003B569F">
            <w:pPr>
              <w:rPr>
                <w:rFonts w:ascii="Arial" w:hAnsi="Arial" w:cs="Arial"/>
                <w:color w:val="000000"/>
                <w:sz w:val="22"/>
                <w:szCs w:val="22"/>
                <w:lang w:val="es-ES_tradnl"/>
              </w:rPr>
            </w:pPr>
          </w:p>
        </w:tc>
        <w:tc>
          <w:tcPr>
            <w:tcW w:w="143" w:type="pct"/>
            <w:tcBorders>
              <w:top w:val="single" w:sz="4" w:space="0" w:color="auto"/>
              <w:left w:val="nil"/>
              <w:bottom w:val="single" w:sz="4" w:space="0" w:color="auto"/>
              <w:right w:val="single" w:sz="4" w:space="0" w:color="auto"/>
            </w:tcBorders>
            <w:shd w:val="clear" w:color="auto" w:fill="FFFFFF" w:themeFill="background1"/>
          </w:tcPr>
          <w:p w14:paraId="57AEB21E" w14:textId="77777777" w:rsidR="00780C0A" w:rsidRPr="008E106E" w:rsidRDefault="00780C0A" w:rsidP="003B569F">
            <w:pPr>
              <w:rPr>
                <w:rFonts w:ascii="Arial" w:hAnsi="Arial" w:cs="Arial"/>
                <w:color w:val="000000"/>
                <w:sz w:val="22"/>
                <w:szCs w:val="22"/>
                <w:lang w:val="es-ES_tradnl"/>
              </w:rPr>
            </w:pPr>
          </w:p>
        </w:tc>
        <w:tc>
          <w:tcPr>
            <w:tcW w:w="140" w:type="pct"/>
            <w:tcBorders>
              <w:top w:val="nil"/>
              <w:left w:val="nil"/>
              <w:bottom w:val="single" w:sz="4" w:space="0" w:color="auto"/>
              <w:right w:val="single" w:sz="4" w:space="0" w:color="auto"/>
            </w:tcBorders>
            <w:shd w:val="clear" w:color="auto" w:fill="FFFFFF" w:themeFill="background1"/>
            <w:noWrap/>
            <w:vAlign w:val="center"/>
          </w:tcPr>
          <w:p w14:paraId="63F41EAF" w14:textId="77777777" w:rsidR="00780C0A" w:rsidRPr="008E106E" w:rsidRDefault="00780C0A" w:rsidP="003B569F">
            <w:pPr>
              <w:rPr>
                <w:rFonts w:ascii="Arial" w:hAnsi="Arial" w:cs="Arial"/>
                <w:color w:val="000000"/>
                <w:sz w:val="22"/>
                <w:szCs w:val="22"/>
                <w:lang w:val="es-ES_tradnl"/>
              </w:rPr>
            </w:pPr>
          </w:p>
        </w:tc>
        <w:tc>
          <w:tcPr>
            <w:tcW w:w="143" w:type="pct"/>
            <w:tcBorders>
              <w:top w:val="nil"/>
              <w:left w:val="nil"/>
              <w:bottom w:val="single" w:sz="4" w:space="0" w:color="auto"/>
              <w:right w:val="single" w:sz="4" w:space="0" w:color="auto"/>
            </w:tcBorders>
            <w:shd w:val="clear" w:color="auto" w:fill="FFFFFF" w:themeFill="background1"/>
            <w:noWrap/>
            <w:vAlign w:val="center"/>
          </w:tcPr>
          <w:p w14:paraId="274A0E18" w14:textId="77777777" w:rsidR="00780C0A" w:rsidRPr="008E106E" w:rsidRDefault="00780C0A" w:rsidP="003B569F">
            <w:pPr>
              <w:rPr>
                <w:rFonts w:ascii="Arial" w:hAnsi="Arial" w:cs="Arial"/>
                <w:color w:val="000000"/>
                <w:sz w:val="22"/>
                <w:szCs w:val="22"/>
                <w:lang w:val="es-ES_tradnl"/>
              </w:rPr>
            </w:pPr>
          </w:p>
        </w:tc>
        <w:tc>
          <w:tcPr>
            <w:tcW w:w="140" w:type="pct"/>
            <w:tcBorders>
              <w:top w:val="nil"/>
              <w:left w:val="nil"/>
              <w:bottom w:val="single" w:sz="4" w:space="0" w:color="auto"/>
              <w:right w:val="single" w:sz="4" w:space="0" w:color="auto"/>
            </w:tcBorders>
            <w:shd w:val="clear" w:color="auto" w:fill="auto"/>
            <w:noWrap/>
            <w:vAlign w:val="center"/>
          </w:tcPr>
          <w:p w14:paraId="5F0B857C" w14:textId="77777777" w:rsidR="00780C0A" w:rsidRPr="008E106E" w:rsidRDefault="00780C0A" w:rsidP="003B569F">
            <w:pPr>
              <w:rPr>
                <w:rFonts w:ascii="Arial" w:hAnsi="Arial" w:cs="Arial"/>
                <w:color w:val="000000"/>
                <w:sz w:val="22"/>
                <w:szCs w:val="22"/>
                <w:lang w:val="es-ES_tradnl"/>
              </w:rPr>
            </w:pPr>
          </w:p>
        </w:tc>
        <w:tc>
          <w:tcPr>
            <w:tcW w:w="142" w:type="pct"/>
            <w:tcBorders>
              <w:top w:val="nil"/>
              <w:left w:val="nil"/>
              <w:bottom w:val="single" w:sz="4" w:space="0" w:color="auto"/>
              <w:right w:val="single" w:sz="4" w:space="0" w:color="auto"/>
            </w:tcBorders>
            <w:shd w:val="clear" w:color="auto" w:fill="auto"/>
            <w:noWrap/>
            <w:vAlign w:val="center"/>
          </w:tcPr>
          <w:p w14:paraId="580CCCEC" w14:textId="77777777" w:rsidR="00780C0A" w:rsidRPr="008E106E" w:rsidRDefault="00780C0A" w:rsidP="003B569F">
            <w:pPr>
              <w:rPr>
                <w:rFonts w:ascii="Arial" w:hAnsi="Arial" w:cs="Arial"/>
                <w:color w:val="000000"/>
                <w:sz w:val="22"/>
                <w:szCs w:val="22"/>
                <w:lang w:val="es-ES_tradnl"/>
              </w:rPr>
            </w:pPr>
          </w:p>
        </w:tc>
        <w:tc>
          <w:tcPr>
            <w:tcW w:w="140" w:type="pct"/>
            <w:tcBorders>
              <w:top w:val="nil"/>
              <w:left w:val="nil"/>
              <w:bottom w:val="single" w:sz="4" w:space="0" w:color="auto"/>
              <w:right w:val="single" w:sz="4" w:space="0" w:color="auto"/>
            </w:tcBorders>
            <w:shd w:val="clear" w:color="auto" w:fill="auto"/>
            <w:noWrap/>
            <w:vAlign w:val="center"/>
          </w:tcPr>
          <w:p w14:paraId="7E1E62A1" w14:textId="77777777" w:rsidR="00780C0A" w:rsidRPr="008E106E" w:rsidRDefault="00780C0A" w:rsidP="003B569F">
            <w:pPr>
              <w:rPr>
                <w:rFonts w:ascii="Arial" w:hAnsi="Arial" w:cs="Arial"/>
                <w:color w:val="000000"/>
                <w:sz w:val="22"/>
                <w:szCs w:val="22"/>
                <w:lang w:val="es-ES_tradnl"/>
              </w:rPr>
            </w:pPr>
          </w:p>
        </w:tc>
        <w:tc>
          <w:tcPr>
            <w:tcW w:w="143" w:type="pct"/>
            <w:tcBorders>
              <w:top w:val="nil"/>
              <w:left w:val="nil"/>
              <w:bottom w:val="single" w:sz="4" w:space="0" w:color="auto"/>
              <w:right w:val="single" w:sz="4" w:space="0" w:color="auto"/>
            </w:tcBorders>
            <w:shd w:val="clear" w:color="auto" w:fill="FFFFFF" w:themeFill="background1"/>
            <w:noWrap/>
            <w:vAlign w:val="center"/>
          </w:tcPr>
          <w:p w14:paraId="6EBAC614" w14:textId="77777777" w:rsidR="00780C0A" w:rsidRPr="008E106E" w:rsidRDefault="00780C0A" w:rsidP="00232BFF">
            <w:pPr>
              <w:jc w:val="center"/>
              <w:rPr>
                <w:rFonts w:ascii="Arial" w:hAnsi="Arial" w:cs="Arial"/>
                <w:b/>
                <w:bCs/>
                <w:color w:val="000000"/>
                <w:sz w:val="22"/>
                <w:szCs w:val="22"/>
              </w:rPr>
            </w:pPr>
          </w:p>
        </w:tc>
        <w:tc>
          <w:tcPr>
            <w:tcW w:w="149" w:type="pct"/>
            <w:tcBorders>
              <w:top w:val="single" w:sz="4" w:space="0" w:color="auto"/>
              <w:left w:val="single" w:sz="4" w:space="0" w:color="auto"/>
              <w:bottom w:val="single" w:sz="4" w:space="0" w:color="auto"/>
              <w:right w:val="single" w:sz="4" w:space="0" w:color="auto"/>
            </w:tcBorders>
            <w:shd w:val="clear" w:color="auto" w:fill="FFFFFF" w:themeFill="background1"/>
          </w:tcPr>
          <w:p w14:paraId="0E4DD665" w14:textId="77777777" w:rsidR="00780C0A" w:rsidRPr="008E106E" w:rsidRDefault="00780C0A" w:rsidP="00232BFF">
            <w:pPr>
              <w:jc w:val="center"/>
              <w:rPr>
                <w:rFonts w:ascii="Arial" w:hAnsi="Arial" w:cs="Arial"/>
                <w:b/>
                <w:bCs/>
                <w:color w:val="000000"/>
                <w:sz w:val="22"/>
                <w:szCs w:val="22"/>
              </w:rPr>
            </w:pPr>
          </w:p>
        </w:tc>
        <w:tc>
          <w:tcPr>
            <w:tcW w:w="131" w:type="pct"/>
            <w:tcBorders>
              <w:top w:val="single" w:sz="4" w:space="0" w:color="auto"/>
              <w:left w:val="single" w:sz="4" w:space="0" w:color="auto"/>
              <w:bottom w:val="single" w:sz="4" w:space="0" w:color="auto"/>
              <w:right w:val="single" w:sz="4" w:space="0" w:color="auto"/>
            </w:tcBorders>
            <w:shd w:val="clear" w:color="auto" w:fill="auto"/>
          </w:tcPr>
          <w:p w14:paraId="5B268E2C" w14:textId="77777777" w:rsidR="00780C0A" w:rsidRPr="008E106E" w:rsidRDefault="00780C0A" w:rsidP="00232BFF">
            <w:pPr>
              <w:jc w:val="center"/>
              <w:rPr>
                <w:rFonts w:ascii="Arial" w:hAnsi="Arial" w:cs="Arial"/>
                <w:b/>
                <w:bCs/>
                <w:color w:val="000000"/>
                <w:sz w:val="22"/>
                <w:szCs w:val="22"/>
              </w:rPr>
            </w:pPr>
          </w:p>
        </w:tc>
        <w:tc>
          <w:tcPr>
            <w:tcW w:w="140" w:type="pct"/>
            <w:tcBorders>
              <w:top w:val="single" w:sz="4" w:space="0" w:color="auto"/>
              <w:left w:val="single" w:sz="4" w:space="0" w:color="auto"/>
              <w:bottom w:val="single" w:sz="4" w:space="0" w:color="auto"/>
              <w:right w:val="single" w:sz="4" w:space="0" w:color="auto"/>
            </w:tcBorders>
            <w:shd w:val="clear" w:color="auto" w:fill="auto"/>
            <w:vAlign w:val="center"/>
          </w:tcPr>
          <w:p w14:paraId="712911A3" w14:textId="77777777" w:rsidR="00780C0A" w:rsidRPr="008E106E" w:rsidRDefault="00780C0A" w:rsidP="00232BFF">
            <w:pPr>
              <w:jc w:val="center"/>
              <w:rPr>
                <w:rFonts w:ascii="Arial" w:hAnsi="Arial" w:cs="Arial"/>
                <w:b/>
                <w:bCs/>
                <w:color w:val="000000"/>
                <w:sz w:val="22"/>
                <w:szCs w:val="22"/>
              </w:rPr>
            </w:pPr>
          </w:p>
        </w:tc>
        <w:tc>
          <w:tcPr>
            <w:tcW w:w="145" w:type="pct"/>
            <w:tcBorders>
              <w:top w:val="single" w:sz="4" w:space="0" w:color="auto"/>
              <w:left w:val="single" w:sz="4" w:space="0" w:color="auto"/>
              <w:bottom w:val="single" w:sz="4" w:space="0" w:color="auto"/>
              <w:right w:val="single" w:sz="4" w:space="0" w:color="auto"/>
            </w:tcBorders>
            <w:shd w:val="clear" w:color="auto" w:fill="auto"/>
          </w:tcPr>
          <w:p w14:paraId="4F968A62" w14:textId="77777777" w:rsidR="00780C0A" w:rsidRPr="008E106E" w:rsidRDefault="00780C0A" w:rsidP="00232BFF">
            <w:pPr>
              <w:jc w:val="center"/>
              <w:rPr>
                <w:rFonts w:ascii="Arial" w:hAnsi="Arial" w:cs="Arial"/>
                <w:b/>
                <w:bCs/>
                <w:color w:val="000000"/>
                <w:sz w:val="22"/>
                <w:szCs w:val="22"/>
              </w:rPr>
            </w:pPr>
          </w:p>
        </w:tc>
        <w:tc>
          <w:tcPr>
            <w:tcW w:w="137" w:type="pct"/>
            <w:tcBorders>
              <w:top w:val="nil"/>
              <w:left w:val="single" w:sz="4" w:space="0" w:color="auto"/>
              <w:bottom w:val="single" w:sz="4" w:space="0" w:color="auto"/>
              <w:right w:val="single" w:sz="4" w:space="0" w:color="auto"/>
            </w:tcBorders>
            <w:shd w:val="clear" w:color="auto" w:fill="auto"/>
          </w:tcPr>
          <w:p w14:paraId="58394DF5" w14:textId="77777777" w:rsidR="00780C0A" w:rsidRPr="008E106E" w:rsidRDefault="00780C0A" w:rsidP="003B569F">
            <w:pPr>
              <w:jc w:val="center"/>
              <w:rPr>
                <w:rFonts w:ascii="Arial" w:hAnsi="Arial" w:cs="Arial"/>
                <w:color w:val="000000"/>
                <w:sz w:val="22"/>
                <w:szCs w:val="22"/>
              </w:rPr>
            </w:pPr>
          </w:p>
        </w:tc>
        <w:tc>
          <w:tcPr>
            <w:tcW w:w="153" w:type="pct"/>
            <w:tcBorders>
              <w:top w:val="nil"/>
              <w:left w:val="single" w:sz="4" w:space="0" w:color="auto"/>
              <w:bottom w:val="single" w:sz="4" w:space="0" w:color="auto"/>
              <w:right w:val="single" w:sz="4" w:space="0" w:color="auto"/>
            </w:tcBorders>
          </w:tcPr>
          <w:p w14:paraId="42FF464E" w14:textId="77777777" w:rsidR="00780C0A" w:rsidRPr="008E106E" w:rsidRDefault="00780C0A" w:rsidP="003B569F">
            <w:pPr>
              <w:jc w:val="center"/>
              <w:rPr>
                <w:rFonts w:ascii="Arial" w:hAnsi="Arial" w:cs="Arial"/>
                <w:color w:val="000000"/>
                <w:sz w:val="22"/>
                <w:szCs w:val="22"/>
              </w:rPr>
            </w:pPr>
          </w:p>
        </w:tc>
        <w:tc>
          <w:tcPr>
            <w:tcW w:w="187" w:type="pct"/>
            <w:tcBorders>
              <w:top w:val="nil"/>
              <w:left w:val="single" w:sz="4" w:space="0" w:color="auto"/>
              <w:bottom w:val="single" w:sz="4" w:space="0" w:color="auto"/>
              <w:right w:val="single" w:sz="4" w:space="0" w:color="auto"/>
            </w:tcBorders>
          </w:tcPr>
          <w:p w14:paraId="5043F86E" w14:textId="77777777" w:rsidR="00780C0A" w:rsidRPr="008E106E" w:rsidRDefault="00780C0A" w:rsidP="003B569F">
            <w:pPr>
              <w:jc w:val="center"/>
              <w:rPr>
                <w:rFonts w:ascii="Arial" w:hAnsi="Arial" w:cs="Arial"/>
                <w:color w:val="000000"/>
                <w:sz w:val="22"/>
                <w:szCs w:val="22"/>
              </w:rPr>
            </w:pPr>
          </w:p>
        </w:tc>
        <w:tc>
          <w:tcPr>
            <w:tcW w:w="139" w:type="pct"/>
            <w:tcBorders>
              <w:top w:val="nil"/>
              <w:left w:val="single" w:sz="4" w:space="0" w:color="auto"/>
              <w:bottom w:val="single" w:sz="4" w:space="0" w:color="auto"/>
              <w:right w:val="single" w:sz="4" w:space="0" w:color="auto"/>
            </w:tcBorders>
          </w:tcPr>
          <w:p w14:paraId="445052AC" w14:textId="77777777" w:rsidR="00780C0A" w:rsidRPr="008E106E" w:rsidRDefault="00780C0A" w:rsidP="003B569F">
            <w:pPr>
              <w:jc w:val="center"/>
              <w:rPr>
                <w:rFonts w:ascii="Arial" w:hAnsi="Arial" w:cs="Arial"/>
                <w:color w:val="000000"/>
                <w:sz w:val="22"/>
                <w:szCs w:val="22"/>
              </w:rPr>
            </w:pPr>
          </w:p>
        </w:tc>
        <w:tc>
          <w:tcPr>
            <w:tcW w:w="298" w:type="pct"/>
            <w:tcBorders>
              <w:top w:val="nil"/>
              <w:left w:val="single" w:sz="4" w:space="0" w:color="auto"/>
              <w:bottom w:val="single" w:sz="4" w:space="0" w:color="auto"/>
              <w:right w:val="single" w:sz="4" w:space="0" w:color="auto"/>
            </w:tcBorders>
            <w:shd w:val="clear" w:color="auto" w:fill="auto"/>
            <w:noWrap/>
            <w:vAlign w:val="center"/>
          </w:tcPr>
          <w:p w14:paraId="5D47A84B" w14:textId="1B4BC1A3" w:rsidR="00780C0A" w:rsidRPr="008E106E" w:rsidRDefault="00780C0A" w:rsidP="003B569F">
            <w:pPr>
              <w:jc w:val="center"/>
              <w:rPr>
                <w:rFonts w:ascii="Arial" w:hAnsi="Arial" w:cs="Arial"/>
                <w:color w:val="000000"/>
                <w:sz w:val="22"/>
                <w:szCs w:val="22"/>
              </w:rPr>
            </w:pPr>
          </w:p>
        </w:tc>
        <w:tc>
          <w:tcPr>
            <w:tcW w:w="275" w:type="pct"/>
            <w:tcBorders>
              <w:top w:val="nil"/>
              <w:left w:val="nil"/>
              <w:bottom w:val="single" w:sz="4" w:space="0" w:color="auto"/>
              <w:right w:val="single" w:sz="4" w:space="0" w:color="auto"/>
            </w:tcBorders>
            <w:shd w:val="clear" w:color="auto" w:fill="auto"/>
            <w:noWrap/>
            <w:vAlign w:val="center"/>
          </w:tcPr>
          <w:p w14:paraId="21102528" w14:textId="77777777" w:rsidR="00780C0A" w:rsidRPr="008E106E" w:rsidRDefault="00780C0A" w:rsidP="003B569F">
            <w:pPr>
              <w:jc w:val="center"/>
              <w:rPr>
                <w:rFonts w:ascii="Arial" w:hAnsi="Arial" w:cs="Arial"/>
                <w:color w:val="000000"/>
                <w:sz w:val="22"/>
                <w:szCs w:val="22"/>
              </w:rPr>
            </w:pPr>
          </w:p>
        </w:tc>
        <w:tc>
          <w:tcPr>
            <w:tcW w:w="474" w:type="pct"/>
            <w:tcBorders>
              <w:top w:val="nil"/>
              <w:left w:val="nil"/>
              <w:bottom w:val="single" w:sz="4" w:space="0" w:color="auto"/>
              <w:right w:val="single" w:sz="4" w:space="0" w:color="auto"/>
            </w:tcBorders>
            <w:shd w:val="clear" w:color="auto" w:fill="auto"/>
            <w:noWrap/>
            <w:vAlign w:val="center"/>
          </w:tcPr>
          <w:p w14:paraId="036E3631" w14:textId="64306CED" w:rsidR="00780C0A" w:rsidRPr="008E106E" w:rsidRDefault="00C03D03" w:rsidP="003B569F">
            <w:pPr>
              <w:jc w:val="right"/>
              <w:rPr>
                <w:rFonts w:ascii="Arial" w:hAnsi="Arial" w:cs="Arial"/>
                <w:color w:val="000000"/>
                <w:sz w:val="22"/>
                <w:szCs w:val="22"/>
              </w:rPr>
            </w:pPr>
            <w:r>
              <w:rPr>
                <w:rFonts w:ascii="Arial" w:hAnsi="Arial" w:cs="Arial"/>
                <w:color w:val="000000"/>
                <w:sz w:val="22"/>
                <w:szCs w:val="22"/>
              </w:rPr>
              <w:t>20</w:t>
            </w:r>
            <w:r w:rsidRPr="008E106E">
              <w:rPr>
                <w:rFonts w:ascii="Arial" w:hAnsi="Arial" w:cs="Arial"/>
                <w:color w:val="000000"/>
                <w:sz w:val="22"/>
                <w:szCs w:val="22"/>
              </w:rPr>
              <w:t>0</w:t>
            </w:r>
            <w:r w:rsidR="00780C0A" w:rsidRPr="008E106E">
              <w:rPr>
                <w:rFonts w:ascii="Arial" w:hAnsi="Arial" w:cs="Arial"/>
                <w:color w:val="000000"/>
                <w:sz w:val="22"/>
                <w:szCs w:val="22"/>
              </w:rPr>
              <w:t>,000</w:t>
            </w:r>
          </w:p>
        </w:tc>
      </w:tr>
    </w:tbl>
    <w:p w14:paraId="1CF5BE4A" w14:textId="77777777" w:rsidR="00123C6C" w:rsidRPr="008E106E" w:rsidRDefault="00123C6C">
      <w:pPr>
        <w:pStyle w:val="TableorFigureEnd"/>
        <w:rPr>
          <w:rFonts w:ascii="Arial" w:hAnsi="Arial" w:cs="Arial"/>
          <w:b/>
          <w:sz w:val="22"/>
          <w:szCs w:val="22"/>
        </w:rPr>
      </w:pPr>
    </w:p>
    <w:p w14:paraId="7B95935C" w14:textId="77777777" w:rsidR="00282B8B" w:rsidRPr="008E106E" w:rsidRDefault="00282B8B">
      <w:pPr>
        <w:pStyle w:val="BodyText"/>
        <w:rPr>
          <w:rFonts w:ascii="Arial" w:hAnsi="Arial" w:cs="Arial"/>
          <w:sz w:val="22"/>
          <w:szCs w:val="22"/>
        </w:rPr>
      </w:pPr>
    </w:p>
    <w:sectPr w:rsidR="00282B8B" w:rsidRPr="008E106E" w:rsidSect="000179A4">
      <w:headerReference w:type="default" r:id="rId21"/>
      <w:footerReference w:type="default" r:id="rId22"/>
      <w:pgSz w:w="15842" w:h="12242" w:orient="landscape" w:code="1"/>
      <w:pgMar w:top="1800" w:right="1440" w:bottom="1800" w:left="1440" w:header="706" w:footer="706"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46" w:author="Correa Poseiro, Cecilia" w:date="2018-05-01T20:15:00Z" w:initials="CPC">
    <w:p w14:paraId="0E6CA234" w14:textId="4C56BCC0" w:rsidR="00372613" w:rsidRPr="00C154FC" w:rsidRDefault="00372613">
      <w:pPr>
        <w:pStyle w:val="CommentText"/>
        <w:rPr>
          <w:lang w:val="es-UY"/>
        </w:rPr>
      </w:pPr>
      <w:r>
        <w:rPr>
          <w:rStyle w:val="CommentReference"/>
        </w:rPr>
        <w:annotationRef/>
      </w:r>
      <w:proofErr w:type="gramStart"/>
      <w:r w:rsidRPr="00C154FC">
        <w:rPr>
          <w:lang w:val="es-UY"/>
        </w:rPr>
        <w:t xml:space="preserve">Sería el </w:t>
      </w:r>
      <w:proofErr w:type="spellStart"/>
      <w:r>
        <w:rPr>
          <w:lang w:val="es-UY"/>
        </w:rPr>
        <w:t>evaluation</w:t>
      </w:r>
      <w:proofErr w:type="spellEnd"/>
      <w:r>
        <w:rPr>
          <w:lang w:val="es-UY"/>
        </w:rPr>
        <w:t xml:space="preserve"> </w:t>
      </w:r>
      <w:proofErr w:type="spellStart"/>
      <w:r>
        <w:rPr>
          <w:lang w:val="es-UY"/>
        </w:rPr>
        <w:t>analysis</w:t>
      </w:r>
      <w:proofErr w:type="spellEnd"/>
      <w:r>
        <w:rPr>
          <w:lang w:val="es-UY"/>
        </w:rPr>
        <w:t>?</w:t>
      </w:r>
      <w:proofErr w:type="gramEnd"/>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E6CA234"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E6CA234" w16cid:durableId="1E93495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FF83C4" w14:textId="77777777" w:rsidR="00372613" w:rsidRDefault="00372613">
      <w:r>
        <w:separator/>
      </w:r>
    </w:p>
  </w:endnote>
  <w:endnote w:type="continuationSeparator" w:id="0">
    <w:p w14:paraId="6C273C8B" w14:textId="77777777" w:rsidR="00372613" w:rsidRDefault="00372613">
      <w:r>
        <w:continuationSeparator/>
      </w:r>
    </w:p>
  </w:endnote>
  <w:endnote w:type="continuationNotice" w:id="1">
    <w:p w14:paraId="2093D554" w14:textId="77777777" w:rsidR="00372613" w:rsidRDefault="003726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 New Roman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49DAE4" w14:textId="77777777" w:rsidR="00372613" w:rsidRDefault="00372613" w:rsidP="00A308B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65F0F1A" w14:textId="77777777" w:rsidR="00372613" w:rsidRDefault="003726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59749475"/>
      <w:docPartObj>
        <w:docPartGallery w:val="Page Numbers (Bottom of Page)"/>
        <w:docPartUnique/>
      </w:docPartObj>
    </w:sdtPr>
    <w:sdtEndPr>
      <w:rPr>
        <w:noProof/>
      </w:rPr>
    </w:sdtEndPr>
    <w:sdtContent>
      <w:p w14:paraId="4D376427" w14:textId="4D03555F" w:rsidR="00372613" w:rsidRDefault="00372613">
        <w:pPr>
          <w:pStyle w:val="Footer"/>
          <w:jc w:val="center"/>
        </w:pPr>
        <w:r>
          <w:fldChar w:fldCharType="begin"/>
        </w:r>
        <w:r>
          <w:instrText xml:space="preserve"> PAGE   \* MERGEFORMAT </w:instrText>
        </w:r>
        <w:r>
          <w:fldChar w:fldCharType="separate"/>
        </w:r>
        <w:r>
          <w:rPr>
            <w:noProof/>
          </w:rPr>
          <w:t>20</w:t>
        </w:r>
        <w:r>
          <w:rPr>
            <w:noProof/>
          </w:rPr>
          <w:fldChar w:fldCharType="end"/>
        </w:r>
      </w:p>
    </w:sdtContent>
  </w:sdt>
  <w:p w14:paraId="6109F825" w14:textId="77777777" w:rsidR="00372613" w:rsidRDefault="0037261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CAC8F1" w14:textId="391B15FF" w:rsidR="00372613" w:rsidRDefault="003726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4415DA" w14:textId="77777777" w:rsidR="00372613" w:rsidRDefault="00372613">
      <w:r>
        <w:separator/>
      </w:r>
    </w:p>
  </w:footnote>
  <w:footnote w:type="continuationSeparator" w:id="0">
    <w:p w14:paraId="7E145B65" w14:textId="77777777" w:rsidR="00372613" w:rsidRDefault="00372613">
      <w:r>
        <w:continuationSeparator/>
      </w:r>
    </w:p>
  </w:footnote>
  <w:footnote w:type="continuationNotice" w:id="1">
    <w:p w14:paraId="0BC90E14" w14:textId="77777777" w:rsidR="00372613" w:rsidRDefault="00372613"/>
  </w:footnote>
  <w:footnote w:id="2">
    <w:p w14:paraId="6D2133EC" w14:textId="77777777" w:rsidR="00372613" w:rsidRPr="00342171" w:rsidRDefault="00372613" w:rsidP="00907270">
      <w:pPr>
        <w:pStyle w:val="FootnoteText"/>
        <w:spacing w:after="0"/>
        <w:rPr>
          <w:rFonts w:ascii="Arial" w:hAnsi="Arial" w:cs="Arial"/>
          <w:szCs w:val="18"/>
        </w:rPr>
      </w:pPr>
      <w:r w:rsidRPr="00342171">
        <w:rPr>
          <w:rStyle w:val="FootnoteReference"/>
          <w:rFonts w:ascii="Arial" w:hAnsi="Arial" w:cs="Arial"/>
        </w:rPr>
        <w:footnoteRef/>
      </w:r>
      <w:r w:rsidRPr="00342171">
        <w:rPr>
          <w:rFonts w:ascii="Arial" w:hAnsi="Arial" w:cs="Arial"/>
          <w:szCs w:val="18"/>
        </w:rPr>
        <w:t xml:space="preserve"> </w:t>
      </w:r>
      <w:r w:rsidRPr="00342171">
        <w:rPr>
          <w:rFonts w:ascii="Arial" w:hAnsi="Arial" w:cs="Arial"/>
          <w:szCs w:val="18"/>
        </w:rPr>
        <w:tab/>
        <w:t xml:space="preserve">The CDB will develop and use grant agreements to provide technical assistance under Component 2 to ECC governments. </w:t>
      </w:r>
    </w:p>
  </w:footnote>
  <w:footnote w:id="3">
    <w:p w14:paraId="2DD1E829" w14:textId="77777777" w:rsidR="00372613" w:rsidRPr="00342171" w:rsidRDefault="00372613" w:rsidP="00907270">
      <w:pPr>
        <w:pStyle w:val="FootnoteText"/>
        <w:spacing w:after="0"/>
        <w:rPr>
          <w:rFonts w:ascii="Arial" w:hAnsi="Arial" w:cs="Arial"/>
          <w:szCs w:val="18"/>
        </w:rPr>
      </w:pPr>
      <w:r w:rsidRPr="00342171">
        <w:rPr>
          <w:rStyle w:val="FootnoteReference"/>
          <w:rFonts w:ascii="Arial" w:hAnsi="Arial" w:cs="Arial"/>
        </w:rPr>
        <w:footnoteRef/>
      </w:r>
      <w:r w:rsidRPr="00342171">
        <w:rPr>
          <w:rFonts w:ascii="Arial" w:hAnsi="Arial" w:cs="Arial"/>
          <w:szCs w:val="18"/>
        </w:rPr>
        <w:t xml:space="preserve"> </w:t>
      </w:r>
      <w:r w:rsidRPr="00342171">
        <w:rPr>
          <w:rFonts w:ascii="Arial" w:hAnsi="Arial" w:cs="Arial"/>
          <w:szCs w:val="18"/>
        </w:rPr>
        <w:tab/>
        <w:t xml:space="preserve">Including a framework for establishing PPP arrangements. </w:t>
      </w:r>
    </w:p>
  </w:footnote>
  <w:footnote w:id="4">
    <w:p w14:paraId="5452339C" w14:textId="1B8A8E8A" w:rsidR="00372613" w:rsidRDefault="00372613">
      <w:pPr>
        <w:pStyle w:val="FootnoteText"/>
      </w:pPr>
      <w:r>
        <w:rPr>
          <w:rStyle w:val="FootnoteReference"/>
        </w:rPr>
        <w:footnoteRef/>
      </w:r>
      <w:r>
        <w:t xml:space="preserve"> The projects in the indicative pipeline were identified in the mission to the six EC countries in June 2015 based on conversations with government officials and utilities. The indicative pipeline is included in a separate document.</w:t>
      </w:r>
    </w:p>
  </w:footnote>
  <w:footnote w:id="5">
    <w:p w14:paraId="73BEA48D" w14:textId="77777777" w:rsidR="00372613" w:rsidRPr="00D61AD6" w:rsidRDefault="00372613" w:rsidP="00D61AD6">
      <w:pPr>
        <w:pStyle w:val="FootnoteText"/>
        <w:tabs>
          <w:tab w:val="clear" w:pos="187"/>
        </w:tabs>
        <w:ind w:left="180" w:hanging="180"/>
        <w:rPr>
          <w:rFonts w:ascii="Arial" w:hAnsi="Arial" w:cs="Arial"/>
        </w:rPr>
      </w:pPr>
      <w:r w:rsidRPr="00D61AD6">
        <w:rPr>
          <w:rStyle w:val="FootnoteReference"/>
          <w:rFonts w:ascii="Arial" w:hAnsi="Arial" w:cs="Arial"/>
        </w:rPr>
        <w:footnoteRef/>
      </w:r>
      <w:r w:rsidRPr="00D61AD6">
        <w:rPr>
          <w:rFonts w:ascii="Arial" w:hAnsi="Arial" w:cs="Arial"/>
        </w:rPr>
        <w:t xml:space="preserve"> According to the latest revision of the Indicative Pipeline, no resources have been indicatively allocated for this output. However, due to the on-demand nature of the program and because this output is considered within the Broader SEF program, it is important to keep it as part of the Results Matrix.</w:t>
      </w:r>
    </w:p>
  </w:footnote>
  <w:footnote w:id="6">
    <w:p w14:paraId="69574872" w14:textId="77777777" w:rsidR="00372613" w:rsidRDefault="00372613" w:rsidP="00FC670E">
      <w:pPr>
        <w:pStyle w:val="FootnoteText"/>
      </w:pPr>
      <w:r>
        <w:rPr>
          <w:rStyle w:val="FootnoteReference"/>
        </w:rPr>
        <w:footnoteRef/>
      </w:r>
      <w:r>
        <w:t xml:space="preserve"> The Department of Energy assigns a range for the social cost of </w:t>
      </w:r>
      <w:r w:rsidRPr="007B409B">
        <w:t>CO</w:t>
      </w:r>
      <w:r w:rsidRPr="007B409B">
        <w:rPr>
          <w:rFonts w:ascii="Cambria Math" w:hAnsi="Cambria Math" w:cs="Cambria Math"/>
        </w:rPr>
        <w:t>₂</w:t>
      </w:r>
      <w:r w:rsidRPr="007B409B">
        <w:t xml:space="preserve"> </w:t>
      </w:r>
      <w:r>
        <w:t xml:space="preserve">from $0 to $20 per ton of </w:t>
      </w:r>
      <w:r w:rsidRPr="007B409B">
        <w:t>CO</w:t>
      </w:r>
      <w:r w:rsidRPr="007B409B">
        <w:rPr>
          <w:rFonts w:ascii="Cambria Math" w:hAnsi="Cambria Math" w:cs="Cambria Math"/>
        </w:rPr>
        <w:t>₂</w:t>
      </w:r>
      <w:r>
        <w:t>. We use the median value of this range. See following source:</w:t>
      </w:r>
    </w:p>
    <w:p w14:paraId="5483268A" w14:textId="77777777" w:rsidR="00372613" w:rsidRPr="005D0E39" w:rsidRDefault="00372613" w:rsidP="00FC670E">
      <w:pPr>
        <w:pStyle w:val="FootnoteText"/>
        <w:jc w:val="left"/>
      </w:pPr>
      <w:r>
        <w:tab/>
      </w:r>
      <w:r w:rsidRPr="00C43C90">
        <w:t xml:space="preserve">Department of Energy.  Chapter 9: Emissions Monetization. Pg. 2 </w:t>
      </w:r>
      <w:hyperlink r:id="rId1" w:history="1">
        <w:r w:rsidRPr="00C43C90">
          <w:rPr>
            <w:rStyle w:val="Hyperlink"/>
          </w:rPr>
          <w:t>https://www1.eere.energy.gov/buildings/appliance_standards/commercial/pdfs/ch_9_ashrae_nopr_tsd.pdf</w:t>
        </w:r>
      </w:hyperlink>
      <w:r w:rsidRPr="00C43C90">
        <w:t>. (accessed on 4 December 2014)</w:t>
      </w:r>
      <w:r>
        <w:t xml:space="preserve"> </w:t>
      </w:r>
    </w:p>
  </w:footnote>
  <w:footnote w:id="7">
    <w:p w14:paraId="466A4FE7" w14:textId="77777777" w:rsidR="00372613" w:rsidRDefault="00372613" w:rsidP="00FC670E">
      <w:pPr>
        <w:pStyle w:val="FootnoteText"/>
      </w:pPr>
      <w:r>
        <w:rPr>
          <w:rStyle w:val="FootnoteReference"/>
        </w:rPr>
        <w:footnoteRef/>
      </w:r>
      <w:r>
        <w:t xml:space="preserve"> U.S. Energy Information Administration. “Frequently Asked Questions: How much carbon dioxide is produced per kilowatt-hour when generating electricity with fossil fuels?” </w:t>
      </w:r>
      <w:hyperlink r:id="rId2" w:history="1">
        <w:r w:rsidRPr="00961500">
          <w:rPr>
            <w:rStyle w:val="Hyperlink"/>
          </w:rPr>
          <w:t>http://www.eia.gov/tools/faqs/faq.cfm?id=74&amp;t=11</w:t>
        </w:r>
      </w:hyperlink>
      <w:r>
        <w:t xml:space="preserve">. Accessed on 4 December 2014. </w:t>
      </w:r>
    </w:p>
  </w:footnote>
  <w:footnote w:id="8">
    <w:p w14:paraId="77882D9A" w14:textId="77777777" w:rsidR="00372613" w:rsidRDefault="00372613" w:rsidP="00FC670E">
      <w:pPr>
        <w:pStyle w:val="FootnoteText"/>
      </w:pPr>
      <w:r>
        <w:rPr>
          <w:rStyle w:val="FootnoteReference"/>
        </w:rPr>
        <w:footnoteRef/>
      </w:r>
      <w:r>
        <w:t xml:space="preserve"> Office of Energy Efficiency &amp; Renewable Energy. U.S. Department of Energy. “Geothermal FAQS.” </w:t>
      </w:r>
      <w:hyperlink r:id="rId3" w:history="1">
        <w:r w:rsidRPr="00516B15">
          <w:rPr>
            <w:rStyle w:val="Hyperlink"/>
          </w:rPr>
          <w:t>http://www1.eere.energy.gov/geothermal/faqs.html</w:t>
        </w:r>
      </w:hyperlink>
      <w:r>
        <w:t xml:space="preserve"> (accessed on 9 December 2014). </w:t>
      </w:r>
    </w:p>
  </w:footnote>
  <w:footnote w:id="9">
    <w:p w14:paraId="3E4A613C" w14:textId="77777777" w:rsidR="00372613" w:rsidRDefault="00372613" w:rsidP="00FC670E">
      <w:pPr>
        <w:pStyle w:val="FootnoteText"/>
      </w:pPr>
      <w:r>
        <w:rPr>
          <w:rStyle w:val="FootnoteReference"/>
        </w:rPr>
        <w:footnoteRef/>
      </w:r>
      <w:r>
        <w:t xml:space="preserve"> 2014 Dominica Street Lighting Tariff (71 cents per unit converted to US dollars). Source: DOMLEC. “DOMLEC Tariff Sheet effective as of September 2007” </w:t>
      </w:r>
      <w:hyperlink r:id="rId4" w:history="1">
        <w:r w:rsidRPr="00EA11A2">
          <w:rPr>
            <w:rStyle w:val="Hyperlink"/>
          </w:rPr>
          <w:t>http://www.domlec.dm/index.php/our-company/news/24-domlec-tariff-sheet</w:t>
        </w:r>
      </w:hyperlink>
      <w:r>
        <w:t>. Accessed on 28 June 2015.</w:t>
      </w:r>
    </w:p>
  </w:footnote>
  <w:footnote w:id="10">
    <w:p w14:paraId="4681110A" w14:textId="77777777" w:rsidR="00372613" w:rsidRDefault="00372613" w:rsidP="00FC670E">
      <w:pPr>
        <w:pStyle w:val="FootnoteText"/>
      </w:pPr>
      <w:r>
        <w:rPr>
          <w:rStyle w:val="FootnoteReference"/>
        </w:rPr>
        <w:footnoteRef/>
      </w:r>
      <w:r>
        <w:t xml:space="preserve"> 2014 St. Lucia Basic Energy Rate for Street Lighting converted to US Dollar. Source: LUCELEC "Basic Energy Rates" </w:t>
      </w:r>
      <w:hyperlink r:id="rId5" w:history="1">
        <w:r w:rsidRPr="00EA11A2">
          <w:rPr>
            <w:rStyle w:val="Hyperlink"/>
          </w:rPr>
          <w:t>https://www.lucelec.com/content/energy-rates</w:t>
        </w:r>
      </w:hyperlink>
      <w:r>
        <w:t>. Accessed on 28 June 2015.</w:t>
      </w:r>
    </w:p>
  </w:footnote>
  <w:footnote w:id="11">
    <w:p w14:paraId="0A325F58" w14:textId="77777777" w:rsidR="00372613" w:rsidRPr="00EE608A" w:rsidRDefault="00372613" w:rsidP="00FE4A1C">
      <w:pPr>
        <w:pStyle w:val="SourceNoteText"/>
        <w:keepNext/>
        <w:ind w:left="0" w:firstLine="0"/>
        <w:jc w:val="both"/>
        <w:rPr>
          <w:rFonts w:ascii="Arial" w:hAnsi="Arial" w:cs="Arial"/>
          <w:sz w:val="18"/>
          <w:szCs w:val="18"/>
        </w:rPr>
      </w:pPr>
      <w:r w:rsidRPr="00BE2CA4">
        <w:rPr>
          <w:rStyle w:val="FootnoteReference"/>
          <w:rFonts w:ascii="Arial" w:hAnsi="Arial" w:cs="Arial"/>
        </w:rPr>
        <w:footnoteRef/>
      </w:r>
      <w:r w:rsidRPr="00BE2CA4">
        <w:rPr>
          <w:rFonts w:ascii="Arial" w:hAnsi="Arial" w:cs="Arial"/>
          <w:sz w:val="18"/>
          <w:szCs w:val="18"/>
        </w:rPr>
        <w:t xml:space="preserve"> The Energy Sector Management Assistance Program (ESMAP). “Geothermal Handbook: Planning and Financing Power Generation.” June 2012 and West Japan Engineering Consultants, Inc., “Study on Current Status of Geothermal Development in the Eastern Caribbean Islands.” March 2014.</w:t>
      </w:r>
    </w:p>
  </w:footnote>
  <w:footnote w:id="12">
    <w:p w14:paraId="3CB681C0" w14:textId="77777777" w:rsidR="00372613" w:rsidRDefault="00372613" w:rsidP="00AB4B57">
      <w:pPr>
        <w:pStyle w:val="FootnoteText"/>
      </w:pPr>
      <w:r>
        <w:rPr>
          <w:rStyle w:val="FootnoteReference"/>
        </w:rPr>
        <w:footnoteRef/>
      </w:r>
      <w:r>
        <w:t xml:space="preserve"> </w:t>
      </w:r>
      <w:r w:rsidRPr="000860D7">
        <w:rPr>
          <w:rFonts w:ascii="Arial" w:hAnsi="Arial" w:cs="Arial"/>
          <w:szCs w:val="18"/>
        </w:rPr>
        <w:t>Based on a heat rate of 10200 Btu per kWh and 5.8 million BTU per barrel of oil</w:t>
      </w:r>
    </w:p>
  </w:footnote>
  <w:footnote w:id="13">
    <w:p w14:paraId="287E28D8" w14:textId="77777777" w:rsidR="00372613" w:rsidRPr="00BE2CA4" w:rsidRDefault="00372613" w:rsidP="001B3DB6">
      <w:pPr>
        <w:pStyle w:val="FootnoteText"/>
        <w:rPr>
          <w:rFonts w:ascii="Arial" w:hAnsi="Arial" w:cs="Arial"/>
          <w:szCs w:val="18"/>
        </w:rPr>
      </w:pPr>
      <w:r w:rsidRPr="00BE2CA4">
        <w:rPr>
          <w:rStyle w:val="FootnoteReference"/>
          <w:rFonts w:ascii="Arial" w:hAnsi="Arial" w:cs="Arial"/>
        </w:rPr>
        <w:footnoteRef/>
      </w:r>
      <w:r w:rsidRPr="00BE2CA4">
        <w:rPr>
          <w:rFonts w:ascii="Arial" w:hAnsi="Arial" w:cs="Arial"/>
          <w:szCs w:val="18"/>
        </w:rPr>
        <w:t xml:space="preserve"> The Department of Energy assigns a range for the social cost of CO</w:t>
      </w:r>
      <w:r w:rsidRPr="00BE2CA4">
        <w:rPr>
          <w:rFonts w:ascii="Cambria Math" w:hAnsi="Cambria Math" w:cs="Cambria Math"/>
          <w:szCs w:val="18"/>
        </w:rPr>
        <w:t>₂</w:t>
      </w:r>
      <w:r w:rsidRPr="00BE2CA4">
        <w:rPr>
          <w:rFonts w:ascii="Arial" w:hAnsi="Arial" w:cs="Arial"/>
          <w:szCs w:val="18"/>
        </w:rPr>
        <w:t xml:space="preserve"> from $0 to $20 per ton of CO</w:t>
      </w:r>
      <w:r w:rsidRPr="00BE2CA4">
        <w:rPr>
          <w:rFonts w:ascii="Cambria Math" w:hAnsi="Cambria Math" w:cs="Cambria Math"/>
          <w:szCs w:val="18"/>
        </w:rPr>
        <w:t>₂</w:t>
      </w:r>
      <w:r w:rsidRPr="00BE2CA4">
        <w:rPr>
          <w:rFonts w:ascii="Arial" w:hAnsi="Arial" w:cs="Arial"/>
          <w:szCs w:val="18"/>
        </w:rPr>
        <w:t xml:space="preserve">. We use </w:t>
      </w:r>
      <w:r>
        <w:rPr>
          <w:rFonts w:ascii="Arial" w:hAnsi="Arial" w:cs="Arial"/>
          <w:szCs w:val="18"/>
        </w:rPr>
        <w:t xml:space="preserve">the median value of this range and perform a sensitivity analysis on it. </w:t>
      </w:r>
      <w:r w:rsidRPr="00BE2CA4">
        <w:rPr>
          <w:rFonts w:ascii="Arial" w:hAnsi="Arial" w:cs="Arial"/>
          <w:szCs w:val="18"/>
        </w:rPr>
        <w:t>See following source:</w:t>
      </w:r>
    </w:p>
    <w:p w14:paraId="0AF1B512" w14:textId="77777777" w:rsidR="00372613" w:rsidRPr="00BE2CA4" w:rsidRDefault="00372613" w:rsidP="001B3DB6">
      <w:pPr>
        <w:pStyle w:val="FootnoteText"/>
        <w:jc w:val="left"/>
        <w:rPr>
          <w:rFonts w:ascii="Arial" w:hAnsi="Arial" w:cs="Arial"/>
          <w:szCs w:val="18"/>
        </w:rPr>
      </w:pPr>
      <w:r w:rsidRPr="00BE2CA4">
        <w:rPr>
          <w:rFonts w:ascii="Arial" w:hAnsi="Arial" w:cs="Arial"/>
          <w:szCs w:val="18"/>
        </w:rPr>
        <w:tab/>
        <w:t xml:space="preserve">Department of Energy.  Chapter 9: Emissions Monetization. Pg. 2 </w:t>
      </w:r>
      <w:hyperlink r:id="rId6" w:history="1">
        <w:r w:rsidRPr="00BE2CA4">
          <w:rPr>
            <w:rStyle w:val="Hyperlink"/>
            <w:rFonts w:ascii="Arial" w:hAnsi="Arial" w:cs="Arial"/>
            <w:szCs w:val="18"/>
          </w:rPr>
          <w:t>https://www1.eere.energy.gov/buildings/appliance_standards/commercial/pdfs/ch_9_ashrae_nopr_tsd.pdf</w:t>
        </w:r>
      </w:hyperlink>
      <w:r w:rsidRPr="00BE2CA4">
        <w:rPr>
          <w:rFonts w:ascii="Arial" w:hAnsi="Arial" w:cs="Arial"/>
          <w:szCs w:val="18"/>
        </w:rPr>
        <w:t xml:space="preserve">. (accessed on 4 December 2014) </w:t>
      </w:r>
    </w:p>
  </w:footnote>
  <w:footnote w:id="14">
    <w:p w14:paraId="75BC3BC4" w14:textId="77777777" w:rsidR="00372613" w:rsidRPr="00BE2CA4" w:rsidRDefault="00372613" w:rsidP="001B3DB6">
      <w:pPr>
        <w:pStyle w:val="FootnoteText"/>
        <w:rPr>
          <w:rFonts w:ascii="Arial" w:hAnsi="Arial" w:cs="Arial"/>
          <w:szCs w:val="18"/>
        </w:rPr>
      </w:pPr>
      <w:r w:rsidRPr="00BE2CA4">
        <w:rPr>
          <w:rStyle w:val="FootnoteReference"/>
          <w:rFonts w:ascii="Arial" w:hAnsi="Arial" w:cs="Arial"/>
        </w:rPr>
        <w:footnoteRef/>
      </w:r>
      <w:r w:rsidRPr="00BE2CA4">
        <w:rPr>
          <w:rFonts w:ascii="Arial" w:hAnsi="Arial" w:cs="Arial"/>
          <w:szCs w:val="18"/>
        </w:rPr>
        <w:t xml:space="preserve"> U.S. Energy Information Administration. “Frequently Asked Questions: How much carbon dioxide is produced per kilowatt-hour when generating electricity with fossil fuels?” </w:t>
      </w:r>
      <w:hyperlink r:id="rId7" w:history="1">
        <w:r w:rsidRPr="00BE2CA4">
          <w:rPr>
            <w:rStyle w:val="Hyperlink"/>
            <w:rFonts w:ascii="Arial" w:hAnsi="Arial" w:cs="Arial"/>
            <w:szCs w:val="18"/>
          </w:rPr>
          <w:t>http://www.eia.gov/tools/faqs/faq.cfm?id=74&amp;t=11</w:t>
        </w:r>
      </w:hyperlink>
      <w:r w:rsidRPr="00BE2CA4">
        <w:rPr>
          <w:rFonts w:ascii="Arial" w:hAnsi="Arial" w:cs="Arial"/>
          <w:szCs w:val="18"/>
        </w:rPr>
        <w:t xml:space="preserve">. Accessed on 4 December 2014.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5FF676" w14:textId="5F279CDE" w:rsidR="00372613" w:rsidRPr="00A308BC" w:rsidRDefault="00372613">
    <w:pPr>
      <w:pStyle w:val="Header"/>
      <w:rPr>
        <w:b/>
        <w:i/>
        <w:lang w:val="en-N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974824D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D06A54"/>
    <w:multiLevelType w:val="hybridMultilevel"/>
    <w:tmpl w:val="32D6CD34"/>
    <w:lvl w:ilvl="0" w:tplc="51DCFE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3E311C"/>
    <w:multiLevelType w:val="multilevel"/>
    <w:tmpl w:val="3926D21C"/>
    <w:lvl w:ilvl="0">
      <w:start w:val="1"/>
      <w:numFmt w:val="bullet"/>
      <w:pStyle w:val="ListBullet"/>
      <w:lvlText w:val=""/>
      <w:lvlJc w:val="left"/>
      <w:pPr>
        <w:tabs>
          <w:tab w:val="num" w:pos="1004"/>
        </w:tabs>
        <w:ind w:left="1004" w:hanging="284"/>
      </w:pPr>
      <w:rPr>
        <w:rFonts w:ascii="Wingdings" w:hAnsi="Wingdings" w:hint="default"/>
      </w:rPr>
    </w:lvl>
    <w:lvl w:ilvl="1">
      <w:start w:val="1"/>
      <w:numFmt w:val="bullet"/>
      <w:pStyle w:val="ListBullet2"/>
      <w:lvlText w:val="–"/>
      <w:lvlJc w:val="left"/>
      <w:pPr>
        <w:tabs>
          <w:tab w:val="num" w:pos="1287"/>
        </w:tabs>
        <w:ind w:left="1287" w:hanging="283"/>
      </w:pPr>
      <w:rPr>
        <w:rFonts w:ascii="Times New Roman" w:hAnsi="Times New Roman" w:cs="Times New Roman" w:hint="default"/>
      </w:rPr>
    </w:lvl>
    <w:lvl w:ilvl="2">
      <w:start w:val="1"/>
      <w:numFmt w:val="bullet"/>
      <w:pStyle w:val="ListBullet3"/>
      <w:lvlText w:val=""/>
      <w:lvlJc w:val="left"/>
      <w:pPr>
        <w:tabs>
          <w:tab w:val="num" w:pos="1571"/>
        </w:tabs>
        <w:ind w:left="1571" w:hanging="284"/>
      </w:pPr>
      <w:rPr>
        <w:rFonts w:ascii="Wingdings 2" w:hAnsi="Wingdings 2" w:hint="default"/>
      </w:rPr>
    </w:lvl>
    <w:lvl w:ilvl="3">
      <w:start w:val="1"/>
      <w:numFmt w:val="none"/>
      <w:pStyle w:val="ListBullet4"/>
      <w:suff w:val="nothing"/>
      <w:lvlText w:val=""/>
      <w:lvlJc w:val="left"/>
      <w:pPr>
        <w:ind w:left="1571" w:firstLine="0"/>
      </w:pPr>
      <w:rPr>
        <w:rFonts w:hint="default"/>
      </w:rPr>
    </w:lvl>
    <w:lvl w:ilvl="4">
      <w:start w:val="1"/>
      <w:numFmt w:val="none"/>
      <w:suff w:val="nothing"/>
      <w:lvlText w:val=""/>
      <w:lvlJc w:val="left"/>
      <w:pPr>
        <w:ind w:left="1571" w:firstLine="0"/>
      </w:pPr>
      <w:rPr>
        <w:rFonts w:hint="default"/>
      </w:rPr>
    </w:lvl>
    <w:lvl w:ilvl="5">
      <w:start w:val="1"/>
      <w:numFmt w:val="none"/>
      <w:suff w:val="nothing"/>
      <w:lvlText w:val=""/>
      <w:lvlJc w:val="left"/>
      <w:pPr>
        <w:ind w:left="1571" w:firstLine="0"/>
      </w:pPr>
      <w:rPr>
        <w:rFonts w:hint="default"/>
      </w:rPr>
    </w:lvl>
    <w:lvl w:ilvl="6">
      <w:start w:val="1"/>
      <w:numFmt w:val="none"/>
      <w:suff w:val="nothing"/>
      <w:lvlText w:val=""/>
      <w:lvlJc w:val="left"/>
      <w:pPr>
        <w:ind w:left="1571" w:firstLine="0"/>
      </w:pPr>
      <w:rPr>
        <w:rFonts w:hint="default"/>
      </w:rPr>
    </w:lvl>
    <w:lvl w:ilvl="7">
      <w:start w:val="1"/>
      <w:numFmt w:val="none"/>
      <w:suff w:val="nothing"/>
      <w:lvlText w:val=""/>
      <w:lvlJc w:val="left"/>
      <w:pPr>
        <w:ind w:left="1571" w:firstLine="0"/>
      </w:pPr>
      <w:rPr>
        <w:rFonts w:hint="default"/>
      </w:rPr>
    </w:lvl>
    <w:lvl w:ilvl="8">
      <w:start w:val="1"/>
      <w:numFmt w:val="none"/>
      <w:suff w:val="nothing"/>
      <w:lvlText w:val=""/>
      <w:lvlJc w:val="left"/>
      <w:pPr>
        <w:ind w:left="1571" w:firstLine="0"/>
      </w:pPr>
      <w:rPr>
        <w:rFonts w:hint="default"/>
      </w:rPr>
    </w:lvl>
  </w:abstractNum>
  <w:abstractNum w:abstractNumId="3" w15:restartNumberingAfterBreak="0">
    <w:nsid w:val="0CFD7EA3"/>
    <w:multiLevelType w:val="hybridMultilevel"/>
    <w:tmpl w:val="0FA0D4DC"/>
    <w:lvl w:ilvl="0" w:tplc="6A4C7F8E">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7A2B35"/>
    <w:multiLevelType w:val="multilevel"/>
    <w:tmpl w:val="932C8D7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b w:val="0"/>
        <w:sz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5" w15:restartNumberingAfterBreak="0">
    <w:nsid w:val="0DAB7FC9"/>
    <w:multiLevelType w:val="multilevel"/>
    <w:tmpl w:val="11740D12"/>
    <w:lvl w:ilvl="0">
      <w:start w:val="1"/>
      <w:numFmt w:val="decimal"/>
      <w:lvlText w:val="%1"/>
      <w:lvlJc w:val="left"/>
      <w:pPr>
        <w:ind w:left="1872" w:hanging="432"/>
      </w:pPr>
      <w:rPr>
        <w:b/>
        <w:i w:val="0"/>
      </w:rPr>
    </w:lvl>
    <w:lvl w:ilvl="1">
      <w:start w:val="1"/>
      <w:numFmt w:val="decimal"/>
      <w:lvlText w:val="%1.%2"/>
      <w:lvlJc w:val="left"/>
      <w:pPr>
        <w:ind w:left="2016" w:hanging="576"/>
      </w:pPr>
      <w:rPr>
        <w:i w:val="0"/>
      </w:rPr>
    </w:lvl>
    <w:lvl w:ilvl="2">
      <w:start w:val="1"/>
      <w:numFmt w:val="decimal"/>
      <w:lvlText w:val="%1.%2.%3"/>
      <w:lvlJc w:val="left"/>
      <w:pPr>
        <w:ind w:left="2160" w:hanging="720"/>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6" w15:restartNumberingAfterBreak="0">
    <w:nsid w:val="15A934DC"/>
    <w:multiLevelType w:val="multilevel"/>
    <w:tmpl w:val="6B6A1E22"/>
    <w:lvl w:ilvl="0">
      <w:start w:val="1"/>
      <w:numFmt w:val="decimal"/>
      <w:pStyle w:val="BoxNumberedText"/>
      <w:lvlText w:val="%1."/>
      <w:lvlJc w:val="left"/>
      <w:pPr>
        <w:tabs>
          <w:tab w:val="num" w:pos="284"/>
        </w:tabs>
        <w:ind w:left="284" w:hanging="284"/>
      </w:pPr>
      <w:rPr>
        <w:rFonts w:hint="default"/>
      </w:rPr>
    </w:lvl>
    <w:lvl w:ilvl="1">
      <w:start w:val="1"/>
      <w:numFmt w:val="lowerLetter"/>
      <w:lvlText w:val="%2."/>
      <w:lvlJc w:val="left"/>
      <w:pPr>
        <w:tabs>
          <w:tab w:val="num" w:pos="567"/>
        </w:tabs>
        <w:ind w:left="567" w:hanging="283"/>
      </w:pPr>
      <w:rPr>
        <w:rFonts w:hint="default"/>
      </w:rPr>
    </w:lvl>
    <w:lvl w:ilvl="2">
      <w:start w:val="1"/>
      <w:numFmt w:val="none"/>
      <w:suff w:val="nothing"/>
      <w:lvlText w:val=""/>
      <w:lvlJc w:val="left"/>
      <w:pPr>
        <w:ind w:left="567" w:firstLine="0"/>
      </w:pPr>
      <w:rPr>
        <w:rFonts w:hint="default"/>
      </w:rPr>
    </w:lvl>
    <w:lvl w:ilvl="3">
      <w:start w:val="1"/>
      <w:numFmt w:val="none"/>
      <w:suff w:val="nothing"/>
      <w:lvlText w:val=""/>
      <w:lvlJc w:val="left"/>
      <w:pPr>
        <w:ind w:left="567" w:firstLine="0"/>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abstractNum w:abstractNumId="7" w15:restartNumberingAfterBreak="0">
    <w:nsid w:val="1D79533A"/>
    <w:multiLevelType w:val="multilevel"/>
    <w:tmpl w:val="1A603B5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15:restartNumberingAfterBreak="0">
    <w:nsid w:val="24E802CD"/>
    <w:multiLevelType w:val="hybridMultilevel"/>
    <w:tmpl w:val="DD7EE8A6"/>
    <w:lvl w:ilvl="0" w:tplc="A40A9E4E">
      <w:start w:val="1"/>
      <w:numFmt w:val="lowerRoman"/>
      <w:lvlText w:val="%1)"/>
      <w:lvlJc w:val="left"/>
      <w:pPr>
        <w:ind w:left="1296" w:hanging="720"/>
      </w:pPr>
      <w:rPr>
        <w:rFonts w:hint="default"/>
      </w:rPr>
    </w:lvl>
    <w:lvl w:ilvl="1" w:tplc="04090019">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9" w15:restartNumberingAfterBreak="0">
    <w:nsid w:val="2A8A3BA7"/>
    <w:multiLevelType w:val="hybridMultilevel"/>
    <w:tmpl w:val="614AC58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355E3A"/>
    <w:multiLevelType w:val="hybridMultilevel"/>
    <w:tmpl w:val="4962C6D4"/>
    <w:lvl w:ilvl="0" w:tplc="3A842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EA6B17"/>
    <w:multiLevelType w:val="hybridMultilevel"/>
    <w:tmpl w:val="EC3C78BE"/>
    <w:lvl w:ilvl="0" w:tplc="9B6616EE">
      <w:start w:val="1"/>
      <w:numFmt w:val="upperRoman"/>
      <w:pStyle w:val="PartHeading"/>
      <w:lvlText w:val="Part %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37DC27CA"/>
    <w:multiLevelType w:val="multilevel"/>
    <w:tmpl w:val="07A473D0"/>
    <w:lvl w:ilvl="0">
      <w:start w:val="1"/>
      <w:numFmt w:val="bullet"/>
      <w:pStyle w:val="TableBullet1"/>
      <w:lvlText w:val=""/>
      <w:lvlJc w:val="left"/>
      <w:pPr>
        <w:tabs>
          <w:tab w:val="num" w:pos="284"/>
        </w:tabs>
        <w:ind w:left="284" w:hanging="284"/>
      </w:pPr>
      <w:rPr>
        <w:rFonts w:ascii="Wingdings" w:hAnsi="Wingdings" w:hint="default"/>
      </w:rPr>
    </w:lvl>
    <w:lvl w:ilvl="1">
      <w:start w:val="1"/>
      <w:numFmt w:val="bullet"/>
      <w:pStyle w:val="TableBullet2"/>
      <w:lvlText w:val="–"/>
      <w:lvlJc w:val="left"/>
      <w:pPr>
        <w:tabs>
          <w:tab w:val="num" w:pos="567"/>
        </w:tabs>
        <w:ind w:left="567" w:hanging="283"/>
      </w:pPr>
      <w:rPr>
        <w:rFonts w:ascii="Times New Roman" w:hAnsi="Times New Roman" w:cs="Times New Roman" w:hint="default"/>
      </w:rPr>
    </w:lvl>
    <w:lvl w:ilvl="2">
      <w:start w:val="1"/>
      <w:numFmt w:val="none"/>
      <w:suff w:val="nothing"/>
      <w:lvlText w:val=""/>
      <w:lvlJc w:val="left"/>
      <w:pPr>
        <w:ind w:left="567" w:firstLine="0"/>
      </w:pPr>
      <w:rPr>
        <w:rFonts w:hint="default"/>
      </w:rPr>
    </w:lvl>
    <w:lvl w:ilvl="3">
      <w:start w:val="1"/>
      <w:numFmt w:val="none"/>
      <w:suff w:val="nothing"/>
      <w:lvlText w:val=""/>
      <w:lvlJc w:val="left"/>
      <w:pPr>
        <w:ind w:left="567" w:firstLine="0"/>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abstractNum w:abstractNumId="13" w15:restartNumberingAfterBreak="0">
    <w:nsid w:val="39356B94"/>
    <w:multiLevelType w:val="hybridMultilevel"/>
    <w:tmpl w:val="5A4813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33D3935"/>
    <w:multiLevelType w:val="hybridMultilevel"/>
    <w:tmpl w:val="80E2025C"/>
    <w:lvl w:ilvl="0" w:tplc="0512D2BE">
      <w:start w:val="1"/>
      <w:numFmt w:val="lowerRoman"/>
      <w:lvlText w:val="(%1)"/>
      <w:lvlJc w:val="left"/>
      <w:pPr>
        <w:ind w:left="1440" w:hanging="720"/>
      </w:pPr>
      <w:rPr>
        <w:rFonts w:hint="default"/>
        <w:b/>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15" w15:restartNumberingAfterBreak="0">
    <w:nsid w:val="49534186"/>
    <w:multiLevelType w:val="multilevel"/>
    <w:tmpl w:val="880EEB1C"/>
    <w:lvl w:ilvl="0">
      <w:start w:val="1"/>
      <w:numFmt w:val="decimal"/>
      <w:lvlText w:val="%1."/>
      <w:lvlJc w:val="left"/>
      <w:pPr>
        <w:ind w:left="644" w:hanging="360"/>
      </w:pPr>
      <w:rPr>
        <w:rFonts w:hint="default"/>
      </w:rPr>
    </w:lvl>
    <w:lvl w:ilvl="1">
      <w:start w:val="1"/>
      <w:numFmt w:val="decimal"/>
      <w:pStyle w:val="11Paragraph"/>
      <w:isLgl/>
      <w:lvlText w:val="%1.%2"/>
      <w:lvlJc w:val="left"/>
      <w:pPr>
        <w:ind w:left="862" w:hanging="720"/>
      </w:pPr>
      <w:rPr>
        <w:rFonts w:hint="default"/>
        <w:b w:val="0"/>
      </w:rPr>
    </w:lvl>
    <w:lvl w:ilvl="2">
      <w:start w:val="1"/>
      <w:numFmt w:val="lowerLetter"/>
      <w:lvlText w:val="%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lowerLetter"/>
      <w:lvlText w:val="%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6" w15:restartNumberingAfterBreak="0">
    <w:nsid w:val="53331407"/>
    <w:multiLevelType w:val="multilevel"/>
    <w:tmpl w:val="495E2B9C"/>
    <w:lvl w:ilvl="0">
      <w:start w:val="1"/>
      <w:numFmt w:val="decimal"/>
      <w:pStyle w:val="Heading1"/>
      <w:lvlText w:val="%1"/>
      <w:lvlJc w:val="left"/>
      <w:pPr>
        <w:tabs>
          <w:tab w:val="num" w:pos="720"/>
        </w:tabs>
        <w:ind w:left="720" w:hanging="72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720"/>
        </w:tabs>
        <w:ind w:left="720" w:hanging="720"/>
      </w:pPr>
      <w:rPr>
        <w:rFonts w:hint="default"/>
        <w:b/>
      </w:rPr>
    </w:lvl>
    <w:lvl w:ilvl="3">
      <w:start w:val="1"/>
      <w:numFmt w:val="upperLetter"/>
      <w:pStyle w:val="Heading4"/>
      <w:suff w:val="nothing"/>
      <w:lvlText w:val="Appendix %4"/>
      <w:lvlJc w:val="left"/>
      <w:pPr>
        <w:ind w:left="720" w:hanging="720"/>
      </w:pPr>
      <w:rPr>
        <w:rFonts w:hint="default"/>
      </w:rPr>
    </w:lvl>
    <w:lvl w:ilvl="4">
      <w:start w:val="1"/>
      <w:numFmt w:val="decimal"/>
      <w:pStyle w:val="Heading5"/>
      <w:lvlText w:val="%4.%5"/>
      <w:lvlJc w:val="left"/>
      <w:pPr>
        <w:tabs>
          <w:tab w:val="num" w:pos="720"/>
        </w:tabs>
        <w:ind w:left="720" w:hanging="720"/>
      </w:pPr>
      <w:rPr>
        <w:rFonts w:hint="default"/>
      </w:rPr>
    </w:lvl>
    <w:lvl w:ilvl="5">
      <w:start w:val="1"/>
      <w:numFmt w:val="decimal"/>
      <w:pStyle w:val="Heading6"/>
      <w:lvlText w:val="%4.%5.%6"/>
      <w:lvlJc w:val="left"/>
      <w:pPr>
        <w:tabs>
          <w:tab w:val="num" w:pos="720"/>
        </w:tabs>
        <w:ind w:left="720" w:hanging="720"/>
      </w:pPr>
      <w:rPr>
        <w:rFonts w:hint="default"/>
      </w:rPr>
    </w:lvl>
    <w:lvl w:ilvl="6">
      <w:start w:val="1"/>
      <w:numFmt w:val="none"/>
      <w:suff w:val="nothing"/>
      <w:lvlText w:val=""/>
      <w:lvlJc w:val="left"/>
      <w:pPr>
        <w:ind w:left="0" w:firstLine="0"/>
      </w:pPr>
      <w:rPr>
        <w:rFonts w:ascii="Garamond" w:hAnsi="Garamond" w:hint="default"/>
        <w:b/>
        <w:i w:val="0"/>
        <w:sz w:val="24"/>
        <w:szCs w:val="24"/>
      </w:rPr>
    </w:lvl>
    <w:lvl w:ilvl="7">
      <w:start w:val="1"/>
      <w:numFmt w:val="none"/>
      <w:suff w:val="nothing"/>
      <w:lvlText w:val=""/>
      <w:lvlJc w:val="left"/>
      <w:pPr>
        <w:ind w:left="0" w:firstLine="0"/>
      </w:pPr>
      <w:rPr>
        <w:rFonts w:ascii="Garamond" w:hAnsi="Garamond" w:hint="default"/>
        <w:b/>
        <w:i w:val="0"/>
        <w:sz w:val="24"/>
        <w:szCs w:val="24"/>
      </w:rPr>
    </w:lvl>
    <w:lvl w:ilvl="8">
      <w:start w:val="1"/>
      <w:numFmt w:val="none"/>
      <w:suff w:val="nothing"/>
      <w:lvlText w:val=""/>
      <w:lvlJc w:val="left"/>
      <w:pPr>
        <w:ind w:left="0" w:firstLine="0"/>
      </w:pPr>
      <w:rPr>
        <w:rFonts w:ascii="Garamond" w:hAnsi="Garamond" w:hint="default"/>
        <w:b/>
        <w:i w:val="0"/>
        <w:sz w:val="24"/>
        <w:szCs w:val="24"/>
      </w:rPr>
    </w:lvl>
  </w:abstractNum>
  <w:abstractNum w:abstractNumId="17" w15:restartNumberingAfterBreak="0">
    <w:nsid w:val="55BE2649"/>
    <w:multiLevelType w:val="hybridMultilevel"/>
    <w:tmpl w:val="000E86BE"/>
    <w:lvl w:ilvl="0" w:tplc="4372DD3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8E556A"/>
    <w:multiLevelType w:val="multilevel"/>
    <w:tmpl w:val="2C7ABA90"/>
    <w:lvl w:ilvl="0">
      <w:start w:val="1"/>
      <w:numFmt w:val="bullet"/>
      <w:pStyle w:val="BoxBullet1"/>
      <w:lvlText w:val=""/>
      <w:lvlJc w:val="left"/>
      <w:pPr>
        <w:tabs>
          <w:tab w:val="num" w:pos="284"/>
        </w:tabs>
        <w:ind w:left="284" w:hanging="284"/>
      </w:pPr>
      <w:rPr>
        <w:rFonts w:ascii="Wingdings" w:hAnsi="Wingdings" w:hint="default"/>
      </w:rPr>
    </w:lvl>
    <w:lvl w:ilvl="1">
      <w:start w:val="1"/>
      <w:numFmt w:val="bullet"/>
      <w:pStyle w:val="BoxBullet2"/>
      <w:lvlText w:val="–"/>
      <w:lvlJc w:val="left"/>
      <w:pPr>
        <w:tabs>
          <w:tab w:val="num" w:pos="567"/>
        </w:tabs>
        <w:ind w:left="567" w:hanging="283"/>
      </w:pPr>
      <w:rPr>
        <w:rFonts w:ascii="Times New Roman" w:hAnsi="Times New Roman" w:cs="Times New Roman" w:hint="default"/>
      </w:rPr>
    </w:lvl>
    <w:lvl w:ilvl="2">
      <w:start w:val="1"/>
      <w:numFmt w:val="none"/>
      <w:suff w:val="nothing"/>
      <w:lvlText w:val=""/>
      <w:lvlJc w:val="left"/>
      <w:pPr>
        <w:ind w:left="567" w:firstLine="0"/>
      </w:pPr>
      <w:rPr>
        <w:rFonts w:hint="default"/>
      </w:rPr>
    </w:lvl>
    <w:lvl w:ilvl="3">
      <w:start w:val="1"/>
      <w:numFmt w:val="none"/>
      <w:suff w:val="nothing"/>
      <w:lvlText w:val=""/>
      <w:lvlJc w:val="left"/>
      <w:pPr>
        <w:ind w:left="567" w:firstLine="0"/>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lvlRestart w:val="2"/>
      <w:suff w:val="nothing"/>
      <w:lvlText w:val=""/>
      <w:lvlJc w:val="left"/>
      <w:pPr>
        <w:ind w:left="567" w:firstLine="0"/>
      </w:pPr>
      <w:rPr>
        <w:rFonts w:hint="default"/>
      </w:rPr>
    </w:lvl>
  </w:abstractNum>
  <w:abstractNum w:abstractNumId="19" w15:restartNumberingAfterBreak="0">
    <w:nsid w:val="58F744C1"/>
    <w:multiLevelType w:val="hybridMultilevel"/>
    <w:tmpl w:val="DA244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4A6EA8"/>
    <w:multiLevelType w:val="multilevel"/>
    <w:tmpl w:val="4BB02B4E"/>
    <w:lvl w:ilvl="0">
      <w:start w:val="1"/>
      <w:numFmt w:val="decimal"/>
      <w:pStyle w:val="Numberedtext"/>
      <w:lvlText w:val="%1."/>
      <w:lvlJc w:val="left"/>
      <w:pPr>
        <w:tabs>
          <w:tab w:val="num" w:pos="1004"/>
        </w:tabs>
        <w:ind w:left="1004" w:hanging="284"/>
      </w:pPr>
      <w:rPr>
        <w:rFonts w:hint="default"/>
      </w:rPr>
    </w:lvl>
    <w:lvl w:ilvl="1">
      <w:start w:val="1"/>
      <w:numFmt w:val="lowerLetter"/>
      <w:lvlText w:val="%2."/>
      <w:lvlJc w:val="left"/>
      <w:pPr>
        <w:tabs>
          <w:tab w:val="num" w:pos="1287"/>
        </w:tabs>
        <w:ind w:left="1287" w:hanging="283"/>
      </w:pPr>
      <w:rPr>
        <w:rFonts w:hint="default"/>
      </w:rPr>
    </w:lvl>
    <w:lvl w:ilvl="2">
      <w:start w:val="1"/>
      <w:numFmt w:val="lowerRoman"/>
      <w:lvlText w:val="%3."/>
      <w:lvlJc w:val="left"/>
      <w:pPr>
        <w:tabs>
          <w:tab w:val="num" w:pos="1571"/>
        </w:tabs>
        <w:ind w:left="1571" w:hanging="284"/>
      </w:pPr>
      <w:rPr>
        <w:rFonts w:hint="default"/>
      </w:rPr>
    </w:lvl>
    <w:lvl w:ilvl="3">
      <w:start w:val="1"/>
      <w:numFmt w:val="none"/>
      <w:lvlText w:val=""/>
      <w:lvlJc w:val="left"/>
      <w:pPr>
        <w:tabs>
          <w:tab w:val="num" w:pos="1571"/>
        </w:tabs>
        <w:ind w:left="1571" w:firstLine="0"/>
      </w:pPr>
      <w:rPr>
        <w:rFonts w:hint="default"/>
      </w:rPr>
    </w:lvl>
    <w:lvl w:ilvl="4">
      <w:start w:val="1"/>
      <w:numFmt w:val="none"/>
      <w:lvlText w:val=""/>
      <w:lvlJc w:val="left"/>
      <w:pPr>
        <w:tabs>
          <w:tab w:val="num" w:pos="1571"/>
        </w:tabs>
        <w:ind w:left="1571" w:firstLine="0"/>
      </w:pPr>
      <w:rPr>
        <w:rFonts w:hint="default"/>
      </w:rPr>
    </w:lvl>
    <w:lvl w:ilvl="5">
      <w:start w:val="1"/>
      <w:numFmt w:val="none"/>
      <w:lvlText w:val=""/>
      <w:lvlJc w:val="left"/>
      <w:pPr>
        <w:tabs>
          <w:tab w:val="num" w:pos="1571"/>
        </w:tabs>
        <w:ind w:left="1571" w:firstLine="0"/>
      </w:pPr>
      <w:rPr>
        <w:rFonts w:hint="default"/>
      </w:rPr>
    </w:lvl>
    <w:lvl w:ilvl="6">
      <w:start w:val="1"/>
      <w:numFmt w:val="none"/>
      <w:lvlText w:val=""/>
      <w:lvlJc w:val="left"/>
      <w:pPr>
        <w:tabs>
          <w:tab w:val="num" w:pos="1571"/>
        </w:tabs>
        <w:ind w:left="1571" w:firstLine="0"/>
      </w:pPr>
      <w:rPr>
        <w:rFonts w:hint="default"/>
      </w:rPr>
    </w:lvl>
    <w:lvl w:ilvl="7">
      <w:start w:val="1"/>
      <w:numFmt w:val="none"/>
      <w:lvlText w:val=""/>
      <w:lvlJc w:val="left"/>
      <w:pPr>
        <w:tabs>
          <w:tab w:val="num" w:pos="1571"/>
        </w:tabs>
        <w:ind w:left="1571" w:firstLine="0"/>
      </w:pPr>
      <w:rPr>
        <w:rFonts w:hint="default"/>
      </w:rPr>
    </w:lvl>
    <w:lvl w:ilvl="8">
      <w:start w:val="1"/>
      <w:numFmt w:val="none"/>
      <w:lvlRestart w:val="3"/>
      <w:lvlText w:val=""/>
      <w:lvlJc w:val="left"/>
      <w:pPr>
        <w:tabs>
          <w:tab w:val="num" w:pos="1571"/>
        </w:tabs>
        <w:ind w:left="1571" w:firstLine="0"/>
      </w:pPr>
      <w:rPr>
        <w:rFonts w:hint="default"/>
      </w:rPr>
    </w:lvl>
  </w:abstractNum>
  <w:abstractNum w:abstractNumId="21" w15:restartNumberingAfterBreak="0">
    <w:nsid w:val="5E49733E"/>
    <w:multiLevelType w:val="multilevel"/>
    <w:tmpl w:val="8DF204F0"/>
    <w:lvl w:ilvl="0">
      <w:start w:val="1"/>
      <w:numFmt w:val="decimal"/>
      <w:pStyle w:val="TableNumberedText"/>
      <w:lvlText w:val="%1."/>
      <w:lvlJc w:val="left"/>
      <w:pPr>
        <w:tabs>
          <w:tab w:val="num" w:pos="284"/>
        </w:tabs>
        <w:ind w:left="284" w:hanging="284"/>
      </w:pPr>
      <w:rPr>
        <w:rFonts w:hint="default"/>
      </w:rPr>
    </w:lvl>
    <w:lvl w:ilvl="1">
      <w:start w:val="1"/>
      <w:numFmt w:val="lowerLetter"/>
      <w:lvlText w:val="%2."/>
      <w:lvlJc w:val="left"/>
      <w:pPr>
        <w:tabs>
          <w:tab w:val="num" w:pos="567"/>
        </w:tabs>
        <w:ind w:left="567" w:hanging="283"/>
      </w:pPr>
      <w:rPr>
        <w:rFonts w:hint="default"/>
      </w:rPr>
    </w:lvl>
    <w:lvl w:ilvl="2">
      <w:start w:val="1"/>
      <w:numFmt w:val="none"/>
      <w:suff w:val="nothing"/>
      <w:lvlText w:val=""/>
      <w:lvlJc w:val="left"/>
      <w:pPr>
        <w:ind w:left="567" w:firstLine="0"/>
      </w:pPr>
      <w:rPr>
        <w:rFonts w:hint="default"/>
      </w:rPr>
    </w:lvl>
    <w:lvl w:ilvl="3">
      <w:start w:val="1"/>
      <w:numFmt w:val="none"/>
      <w:suff w:val="nothing"/>
      <w:lvlText w:val=""/>
      <w:lvlJc w:val="left"/>
      <w:pPr>
        <w:ind w:left="567" w:firstLine="0"/>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abstractNum w:abstractNumId="22" w15:restartNumberingAfterBreak="0">
    <w:nsid w:val="609923C8"/>
    <w:multiLevelType w:val="multilevel"/>
    <w:tmpl w:val="FFF87884"/>
    <w:lvl w:ilvl="0">
      <w:start w:val="1"/>
      <w:numFmt w:val="upperRoman"/>
      <w:lvlText w:val="%1."/>
      <w:lvlJc w:val="center"/>
      <w:pPr>
        <w:tabs>
          <w:tab w:val="num" w:pos="360"/>
        </w:tabs>
        <w:ind w:left="28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rPr>
    </w:lvl>
    <w:lvl w:ilvl="2">
      <w:start w:val="1"/>
      <w:numFmt w:val="lowerLetter"/>
      <w:lvlRestart w:val="0"/>
      <w:lvlText w:val="%3."/>
      <w:lvlJc w:val="left"/>
      <w:pPr>
        <w:tabs>
          <w:tab w:val="num" w:pos="1800"/>
        </w:tabs>
        <w:ind w:left="1800" w:hanging="360"/>
      </w:pPr>
      <w:rPr>
        <w:rFonts w:ascii="Times New Roman Bold" w:hAnsi="Times New Roman Bold" w:hint="default"/>
        <w:b w:val="0"/>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3" w15:restartNumberingAfterBreak="0">
    <w:nsid w:val="78AE03E8"/>
    <w:multiLevelType w:val="hybridMultilevel"/>
    <w:tmpl w:val="36525AEA"/>
    <w:lvl w:ilvl="0" w:tplc="1FB82734">
      <w:start w:val="1"/>
      <w:numFmt w:val="bullet"/>
      <w:lvlText w:val=""/>
      <w:lvlJc w:val="left"/>
      <w:pPr>
        <w:ind w:left="360" w:hanging="360"/>
      </w:pPr>
      <w:rPr>
        <w:rFonts w:ascii="Symbol" w:hAnsi="Symbol" w:hint="default"/>
      </w:rPr>
    </w:lvl>
    <w:lvl w:ilvl="1" w:tplc="522A8564" w:tentative="1">
      <w:start w:val="1"/>
      <w:numFmt w:val="bullet"/>
      <w:lvlText w:val="o"/>
      <w:lvlJc w:val="left"/>
      <w:pPr>
        <w:ind w:left="1080" w:hanging="360"/>
      </w:pPr>
      <w:rPr>
        <w:rFonts w:ascii="Courier New" w:hAnsi="Courier New" w:hint="default"/>
      </w:rPr>
    </w:lvl>
    <w:lvl w:ilvl="2" w:tplc="BA9A49A2" w:tentative="1">
      <w:start w:val="1"/>
      <w:numFmt w:val="bullet"/>
      <w:lvlText w:val=""/>
      <w:lvlJc w:val="left"/>
      <w:pPr>
        <w:ind w:left="1800" w:hanging="360"/>
      </w:pPr>
      <w:rPr>
        <w:rFonts w:ascii="Wingdings" w:hAnsi="Wingdings" w:hint="default"/>
      </w:rPr>
    </w:lvl>
    <w:lvl w:ilvl="3" w:tplc="2BAA7FD2" w:tentative="1">
      <w:start w:val="1"/>
      <w:numFmt w:val="bullet"/>
      <w:lvlText w:val=""/>
      <w:lvlJc w:val="left"/>
      <w:pPr>
        <w:ind w:left="2520" w:hanging="360"/>
      </w:pPr>
      <w:rPr>
        <w:rFonts w:ascii="Symbol" w:hAnsi="Symbol" w:hint="default"/>
      </w:rPr>
    </w:lvl>
    <w:lvl w:ilvl="4" w:tplc="FB626982" w:tentative="1">
      <w:start w:val="1"/>
      <w:numFmt w:val="bullet"/>
      <w:lvlText w:val="o"/>
      <w:lvlJc w:val="left"/>
      <w:pPr>
        <w:ind w:left="3240" w:hanging="360"/>
      </w:pPr>
      <w:rPr>
        <w:rFonts w:ascii="Courier New" w:hAnsi="Courier New" w:hint="default"/>
      </w:rPr>
    </w:lvl>
    <w:lvl w:ilvl="5" w:tplc="3E4C4D5E" w:tentative="1">
      <w:start w:val="1"/>
      <w:numFmt w:val="bullet"/>
      <w:lvlText w:val=""/>
      <w:lvlJc w:val="left"/>
      <w:pPr>
        <w:ind w:left="3960" w:hanging="360"/>
      </w:pPr>
      <w:rPr>
        <w:rFonts w:ascii="Wingdings" w:hAnsi="Wingdings" w:hint="default"/>
      </w:rPr>
    </w:lvl>
    <w:lvl w:ilvl="6" w:tplc="6EAE92DE" w:tentative="1">
      <w:start w:val="1"/>
      <w:numFmt w:val="bullet"/>
      <w:lvlText w:val=""/>
      <w:lvlJc w:val="left"/>
      <w:pPr>
        <w:ind w:left="4680" w:hanging="360"/>
      </w:pPr>
      <w:rPr>
        <w:rFonts w:ascii="Symbol" w:hAnsi="Symbol" w:hint="default"/>
      </w:rPr>
    </w:lvl>
    <w:lvl w:ilvl="7" w:tplc="D3C497A0" w:tentative="1">
      <w:start w:val="1"/>
      <w:numFmt w:val="bullet"/>
      <w:lvlText w:val="o"/>
      <w:lvlJc w:val="left"/>
      <w:pPr>
        <w:ind w:left="5400" w:hanging="360"/>
      </w:pPr>
      <w:rPr>
        <w:rFonts w:ascii="Courier New" w:hAnsi="Courier New" w:hint="default"/>
      </w:rPr>
    </w:lvl>
    <w:lvl w:ilvl="8" w:tplc="4BD0D0A8" w:tentative="1">
      <w:start w:val="1"/>
      <w:numFmt w:val="bullet"/>
      <w:lvlText w:val=""/>
      <w:lvlJc w:val="left"/>
      <w:pPr>
        <w:ind w:left="6120" w:hanging="360"/>
      </w:pPr>
      <w:rPr>
        <w:rFonts w:ascii="Wingdings" w:hAnsi="Wingdings" w:hint="default"/>
      </w:rPr>
    </w:lvl>
  </w:abstractNum>
  <w:abstractNum w:abstractNumId="24" w15:restartNumberingAfterBreak="0">
    <w:nsid w:val="79E05CB3"/>
    <w:multiLevelType w:val="hybridMultilevel"/>
    <w:tmpl w:val="81180636"/>
    <w:lvl w:ilvl="0" w:tplc="B770D05E">
      <w:start w:val="1"/>
      <w:numFmt w:val="lowerRoman"/>
      <w:lvlText w:val="%1."/>
      <w:lvlJc w:val="right"/>
      <w:pPr>
        <w:ind w:left="1440" w:hanging="360"/>
      </w:pPr>
      <w:rPr>
        <w:rFonts w:ascii="Times New Roman" w:hAnsi="Times New Roman" w:cs="Times New Roman" w:hint="default"/>
        <w:b/>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1B">
      <w:start w:val="1"/>
      <w:numFmt w:val="lowerRoman"/>
      <w:lvlText w:val="%4."/>
      <w:lvlJc w:val="righ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5" w15:restartNumberingAfterBreak="0">
    <w:nsid w:val="79FB74E6"/>
    <w:multiLevelType w:val="multilevel"/>
    <w:tmpl w:val="DCCC0122"/>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6" w15:restartNumberingAfterBreak="0">
    <w:nsid w:val="7DD41381"/>
    <w:multiLevelType w:val="hybridMultilevel"/>
    <w:tmpl w:val="27AA27EA"/>
    <w:lvl w:ilvl="0" w:tplc="B3D455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1"/>
  </w:num>
  <w:num w:numId="3">
    <w:abstractNumId w:val="18"/>
  </w:num>
  <w:num w:numId="4">
    <w:abstractNumId w:val="6"/>
  </w:num>
  <w:num w:numId="5">
    <w:abstractNumId w:val="16"/>
  </w:num>
  <w:num w:numId="6">
    <w:abstractNumId w:val="2"/>
  </w:num>
  <w:num w:numId="7">
    <w:abstractNumId w:val="20"/>
  </w:num>
  <w:num w:numId="8">
    <w:abstractNumId w:val="12"/>
  </w:num>
  <w:num w:numId="9">
    <w:abstractNumId w:val="21"/>
  </w:num>
  <w:num w:numId="10">
    <w:abstractNumId w:val="1"/>
  </w:num>
  <w:num w:numId="11">
    <w:abstractNumId w:val="26"/>
  </w:num>
  <w:num w:numId="12">
    <w:abstractNumId w:val="22"/>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8"/>
  </w:num>
  <w:num w:numId="16">
    <w:abstractNumId w:val="24"/>
  </w:num>
  <w:num w:numId="17">
    <w:abstractNumId w:val="9"/>
  </w:num>
  <w:num w:numId="18">
    <w:abstractNumId w:val="13"/>
  </w:num>
  <w:num w:numId="19">
    <w:abstractNumId w:val="10"/>
  </w:num>
  <w:num w:numId="20">
    <w:abstractNumId w:val="0"/>
  </w:num>
  <w:num w:numId="21">
    <w:abstractNumId w:val="23"/>
  </w:num>
  <w:num w:numId="22">
    <w:abstractNumId w:val="5"/>
  </w:num>
  <w:num w:numId="23">
    <w:abstractNumId w:val="7"/>
  </w:num>
  <w:num w:numId="24">
    <w:abstractNumId w:val="4"/>
  </w:num>
  <w:num w:numId="25">
    <w:abstractNumId w:val="14"/>
  </w:num>
  <w:num w:numId="26">
    <w:abstractNumId w:val="25"/>
  </w:num>
  <w:num w:numId="27">
    <w:abstractNumId w:val="17"/>
  </w:num>
  <w:num w:numId="28">
    <w:abstractNumId w:val="3"/>
  </w:num>
  <w:num w:numId="29">
    <w:abstractNumId w:val="19"/>
  </w:num>
  <w:num w:numId="30">
    <w:abstractNumId w:val="16"/>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orrea Poseiro, Cecilia">
    <w15:presenceInfo w15:providerId="AD" w15:userId="S-1-5-21-3560232635-1406422398-2702866923-1251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8B7"/>
    <w:rsid w:val="000003EC"/>
    <w:rsid w:val="00000869"/>
    <w:rsid w:val="00002207"/>
    <w:rsid w:val="00002B0C"/>
    <w:rsid w:val="00003A1E"/>
    <w:rsid w:val="0000737F"/>
    <w:rsid w:val="00007A61"/>
    <w:rsid w:val="000114AD"/>
    <w:rsid w:val="00014C83"/>
    <w:rsid w:val="00016909"/>
    <w:rsid w:val="0001712B"/>
    <w:rsid w:val="000179A4"/>
    <w:rsid w:val="0002044E"/>
    <w:rsid w:val="00020FBA"/>
    <w:rsid w:val="00021A4F"/>
    <w:rsid w:val="0002441B"/>
    <w:rsid w:val="00024C12"/>
    <w:rsid w:val="000261EE"/>
    <w:rsid w:val="00030536"/>
    <w:rsid w:val="00033CC1"/>
    <w:rsid w:val="000446BC"/>
    <w:rsid w:val="00045837"/>
    <w:rsid w:val="00046B33"/>
    <w:rsid w:val="000510F2"/>
    <w:rsid w:val="00051134"/>
    <w:rsid w:val="00052EF2"/>
    <w:rsid w:val="0005357C"/>
    <w:rsid w:val="00054D66"/>
    <w:rsid w:val="000647E6"/>
    <w:rsid w:val="00064B9B"/>
    <w:rsid w:val="00064C93"/>
    <w:rsid w:val="0006770C"/>
    <w:rsid w:val="00067D49"/>
    <w:rsid w:val="00070CB8"/>
    <w:rsid w:val="00072353"/>
    <w:rsid w:val="00072EFB"/>
    <w:rsid w:val="000755C0"/>
    <w:rsid w:val="00077DA7"/>
    <w:rsid w:val="00082532"/>
    <w:rsid w:val="00083283"/>
    <w:rsid w:val="00083A37"/>
    <w:rsid w:val="00083EBB"/>
    <w:rsid w:val="00084A92"/>
    <w:rsid w:val="00085113"/>
    <w:rsid w:val="000866E9"/>
    <w:rsid w:val="00086FAF"/>
    <w:rsid w:val="00087E9E"/>
    <w:rsid w:val="00087F70"/>
    <w:rsid w:val="00090446"/>
    <w:rsid w:val="00092854"/>
    <w:rsid w:val="0009381F"/>
    <w:rsid w:val="000979EE"/>
    <w:rsid w:val="000A39E4"/>
    <w:rsid w:val="000A4CBE"/>
    <w:rsid w:val="000A568B"/>
    <w:rsid w:val="000A71BF"/>
    <w:rsid w:val="000B0D4D"/>
    <w:rsid w:val="000B188D"/>
    <w:rsid w:val="000B1E80"/>
    <w:rsid w:val="000B28D5"/>
    <w:rsid w:val="000B4482"/>
    <w:rsid w:val="000B53A1"/>
    <w:rsid w:val="000B6878"/>
    <w:rsid w:val="000B6945"/>
    <w:rsid w:val="000B6C0D"/>
    <w:rsid w:val="000B71CD"/>
    <w:rsid w:val="000C073D"/>
    <w:rsid w:val="000C0D68"/>
    <w:rsid w:val="000C1BF2"/>
    <w:rsid w:val="000C2418"/>
    <w:rsid w:val="000C29BE"/>
    <w:rsid w:val="000C4B2F"/>
    <w:rsid w:val="000C4EFD"/>
    <w:rsid w:val="000C4F45"/>
    <w:rsid w:val="000C6056"/>
    <w:rsid w:val="000C6D8C"/>
    <w:rsid w:val="000C7DEB"/>
    <w:rsid w:val="000D05D1"/>
    <w:rsid w:val="000D0C6F"/>
    <w:rsid w:val="000D1AB1"/>
    <w:rsid w:val="000D1CA8"/>
    <w:rsid w:val="000D2062"/>
    <w:rsid w:val="000D2350"/>
    <w:rsid w:val="000D374D"/>
    <w:rsid w:val="000D4FAD"/>
    <w:rsid w:val="000D5F87"/>
    <w:rsid w:val="000D749F"/>
    <w:rsid w:val="000E1DBD"/>
    <w:rsid w:val="000E1E52"/>
    <w:rsid w:val="000E2B4F"/>
    <w:rsid w:val="000E2FF7"/>
    <w:rsid w:val="000E36BC"/>
    <w:rsid w:val="000E440F"/>
    <w:rsid w:val="000E4CCC"/>
    <w:rsid w:val="000E53FD"/>
    <w:rsid w:val="000E5FE2"/>
    <w:rsid w:val="000F08EE"/>
    <w:rsid w:val="000F1B5D"/>
    <w:rsid w:val="000F310B"/>
    <w:rsid w:val="000F3940"/>
    <w:rsid w:val="000F43F5"/>
    <w:rsid w:val="000F4D08"/>
    <w:rsid w:val="000F70E7"/>
    <w:rsid w:val="001002B5"/>
    <w:rsid w:val="00100F8F"/>
    <w:rsid w:val="00101EFF"/>
    <w:rsid w:val="001041E6"/>
    <w:rsid w:val="00106275"/>
    <w:rsid w:val="00110DFD"/>
    <w:rsid w:val="00111AC0"/>
    <w:rsid w:val="00112487"/>
    <w:rsid w:val="0011625F"/>
    <w:rsid w:val="001179B3"/>
    <w:rsid w:val="00121603"/>
    <w:rsid w:val="001228ED"/>
    <w:rsid w:val="00123C6C"/>
    <w:rsid w:val="00123F1C"/>
    <w:rsid w:val="00124742"/>
    <w:rsid w:val="001253AB"/>
    <w:rsid w:val="0012581E"/>
    <w:rsid w:val="00130064"/>
    <w:rsid w:val="00132E1A"/>
    <w:rsid w:val="00133C61"/>
    <w:rsid w:val="00134AF8"/>
    <w:rsid w:val="00135421"/>
    <w:rsid w:val="001362A5"/>
    <w:rsid w:val="00136927"/>
    <w:rsid w:val="001408B7"/>
    <w:rsid w:val="00144808"/>
    <w:rsid w:val="001471CB"/>
    <w:rsid w:val="00150DB9"/>
    <w:rsid w:val="00152C26"/>
    <w:rsid w:val="00153943"/>
    <w:rsid w:val="00155162"/>
    <w:rsid w:val="00155973"/>
    <w:rsid w:val="00155A1F"/>
    <w:rsid w:val="0015625E"/>
    <w:rsid w:val="001567E7"/>
    <w:rsid w:val="001607BF"/>
    <w:rsid w:val="00161274"/>
    <w:rsid w:val="00162A0A"/>
    <w:rsid w:val="00164759"/>
    <w:rsid w:val="00166E8C"/>
    <w:rsid w:val="001718F2"/>
    <w:rsid w:val="00176BF1"/>
    <w:rsid w:val="0017724D"/>
    <w:rsid w:val="0018001B"/>
    <w:rsid w:val="001808A1"/>
    <w:rsid w:val="00182B49"/>
    <w:rsid w:val="00183E1F"/>
    <w:rsid w:val="0018556D"/>
    <w:rsid w:val="00186192"/>
    <w:rsid w:val="001905BD"/>
    <w:rsid w:val="0019210A"/>
    <w:rsid w:val="001927B2"/>
    <w:rsid w:val="00193E36"/>
    <w:rsid w:val="001952F6"/>
    <w:rsid w:val="001962AD"/>
    <w:rsid w:val="00196C58"/>
    <w:rsid w:val="00197AC4"/>
    <w:rsid w:val="001A0027"/>
    <w:rsid w:val="001A20CC"/>
    <w:rsid w:val="001A3A74"/>
    <w:rsid w:val="001A56C1"/>
    <w:rsid w:val="001A5C3E"/>
    <w:rsid w:val="001A76A1"/>
    <w:rsid w:val="001A7BF8"/>
    <w:rsid w:val="001B3DB6"/>
    <w:rsid w:val="001B6B76"/>
    <w:rsid w:val="001B777E"/>
    <w:rsid w:val="001C0117"/>
    <w:rsid w:val="001C0243"/>
    <w:rsid w:val="001C423C"/>
    <w:rsid w:val="001C77BB"/>
    <w:rsid w:val="001D234D"/>
    <w:rsid w:val="001D3275"/>
    <w:rsid w:val="001D48D0"/>
    <w:rsid w:val="001D4CC5"/>
    <w:rsid w:val="001D57C7"/>
    <w:rsid w:val="001D6C39"/>
    <w:rsid w:val="001D6F80"/>
    <w:rsid w:val="001E04CC"/>
    <w:rsid w:val="001E3C45"/>
    <w:rsid w:val="001E74C2"/>
    <w:rsid w:val="001F34C0"/>
    <w:rsid w:val="00200D2A"/>
    <w:rsid w:val="00201E46"/>
    <w:rsid w:val="00203BF3"/>
    <w:rsid w:val="00204324"/>
    <w:rsid w:val="0020484B"/>
    <w:rsid w:val="002048CD"/>
    <w:rsid w:val="0020723E"/>
    <w:rsid w:val="00207528"/>
    <w:rsid w:val="0020789A"/>
    <w:rsid w:val="00211BA0"/>
    <w:rsid w:val="0021282D"/>
    <w:rsid w:val="00213D35"/>
    <w:rsid w:val="00214A82"/>
    <w:rsid w:val="00216E71"/>
    <w:rsid w:val="00222E9C"/>
    <w:rsid w:val="002259F0"/>
    <w:rsid w:val="00231DB9"/>
    <w:rsid w:val="00232BFF"/>
    <w:rsid w:val="002333C5"/>
    <w:rsid w:val="00234232"/>
    <w:rsid w:val="00237C42"/>
    <w:rsid w:val="002409E6"/>
    <w:rsid w:val="00240F45"/>
    <w:rsid w:val="00241317"/>
    <w:rsid w:val="00243032"/>
    <w:rsid w:val="0024309B"/>
    <w:rsid w:val="002446CD"/>
    <w:rsid w:val="00244924"/>
    <w:rsid w:val="00244F38"/>
    <w:rsid w:val="002467FB"/>
    <w:rsid w:val="00246D03"/>
    <w:rsid w:val="002476F0"/>
    <w:rsid w:val="00247EB7"/>
    <w:rsid w:val="00250D76"/>
    <w:rsid w:val="00252054"/>
    <w:rsid w:val="0025233B"/>
    <w:rsid w:val="00252BE8"/>
    <w:rsid w:val="00254B14"/>
    <w:rsid w:val="00255056"/>
    <w:rsid w:val="0025633F"/>
    <w:rsid w:val="002606D8"/>
    <w:rsid w:val="00260FD2"/>
    <w:rsid w:val="00261A1C"/>
    <w:rsid w:val="00261FBD"/>
    <w:rsid w:val="00262516"/>
    <w:rsid w:val="00263F92"/>
    <w:rsid w:val="002677CA"/>
    <w:rsid w:val="00267B8F"/>
    <w:rsid w:val="00267D0C"/>
    <w:rsid w:val="00267FE2"/>
    <w:rsid w:val="002700F1"/>
    <w:rsid w:val="00271173"/>
    <w:rsid w:val="0027271C"/>
    <w:rsid w:val="00273841"/>
    <w:rsid w:val="00274A85"/>
    <w:rsid w:val="002772EC"/>
    <w:rsid w:val="00280572"/>
    <w:rsid w:val="00280A64"/>
    <w:rsid w:val="002828FD"/>
    <w:rsid w:val="00282B8B"/>
    <w:rsid w:val="00283026"/>
    <w:rsid w:val="00283445"/>
    <w:rsid w:val="002848E6"/>
    <w:rsid w:val="00286AF5"/>
    <w:rsid w:val="00286CBA"/>
    <w:rsid w:val="00290BFC"/>
    <w:rsid w:val="00290DF6"/>
    <w:rsid w:val="00291086"/>
    <w:rsid w:val="00291373"/>
    <w:rsid w:val="00291FDA"/>
    <w:rsid w:val="002925E3"/>
    <w:rsid w:val="0029586D"/>
    <w:rsid w:val="00296D1F"/>
    <w:rsid w:val="00296D3F"/>
    <w:rsid w:val="002A04AA"/>
    <w:rsid w:val="002A0A01"/>
    <w:rsid w:val="002A3D9A"/>
    <w:rsid w:val="002A4FDD"/>
    <w:rsid w:val="002A5742"/>
    <w:rsid w:val="002A6A9C"/>
    <w:rsid w:val="002B0352"/>
    <w:rsid w:val="002B0F4D"/>
    <w:rsid w:val="002B4C6A"/>
    <w:rsid w:val="002B7681"/>
    <w:rsid w:val="002B7F7E"/>
    <w:rsid w:val="002C0407"/>
    <w:rsid w:val="002C0A0C"/>
    <w:rsid w:val="002C0C87"/>
    <w:rsid w:val="002C3948"/>
    <w:rsid w:val="002C478A"/>
    <w:rsid w:val="002C55FC"/>
    <w:rsid w:val="002C68F0"/>
    <w:rsid w:val="002C71F6"/>
    <w:rsid w:val="002D3482"/>
    <w:rsid w:val="002D348B"/>
    <w:rsid w:val="002D43B6"/>
    <w:rsid w:val="002D594F"/>
    <w:rsid w:val="002D639B"/>
    <w:rsid w:val="002D6B7A"/>
    <w:rsid w:val="002E0056"/>
    <w:rsid w:val="002E2B0F"/>
    <w:rsid w:val="002E2D5F"/>
    <w:rsid w:val="002E533B"/>
    <w:rsid w:val="002E65F2"/>
    <w:rsid w:val="002E70CA"/>
    <w:rsid w:val="002E7D7E"/>
    <w:rsid w:val="002F0BF1"/>
    <w:rsid w:val="002F1290"/>
    <w:rsid w:val="002F37DA"/>
    <w:rsid w:val="002F3BD5"/>
    <w:rsid w:val="002F709C"/>
    <w:rsid w:val="002F71E8"/>
    <w:rsid w:val="003015DA"/>
    <w:rsid w:val="003017C4"/>
    <w:rsid w:val="00301E42"/>
    <w:rsid w:val="00304F3D"/>
    <w:rsid w:val="00306B0C"/>
    <w:rsid w:val="00306F33"/>
    <w:rsid w:val="0031373C"/>
    <w:rsid w:val="003174FF"/>
    <w:rsid w:val="00317BD4"/>
    <w:rsid w:val="00320901"/>
    <w:rsid w:val="00322BF6"/>
    <w:rsid w:val="00323830"/>
    <w:rsid w:val="00326EB1"/>
    <w:rsid w:val="003326BF"/>
    <w:rsid w:val="00335670"/>
    <w:rsid w:val="00337DB9"/>
    <w:rsid w:val="00340293"/>
    <w:rsid w:val="0034029A"/>
    <w:rsid w:val="003414A0"/>
    <w:rsid w:val="0034311E"/>
    <w:rsid w:val="0034353F"/>
    <w:rsid w:val="00343A3C"/>
    <w:rsid w:val="00343D30"/>
    <w:rsid w:val="00345FFB"/>
    <w:rsid w:val="00346E4F"/>
    <w:rsid w:val="003475B9"/>
    <w:rsid w:val="00351F42"/>
    <w:rsid w:val="00353B82"/>
    <w:rsid w:val="003556C1"/>
    <w:rsid w:val="003564AD"/>
    <w:rsid w:val="0035663F"/>
    <w:rsid w:val="0036024E"/>
    <w:rsid w:val="00361719"/>
    <w:rsid w:val="003623F4"/>
    <w:rsid w:val="00363D2F"/>
    <w:rsid w:val="00363F08"/>
    <w:rsid w:val="00366B0D"/>
    <w:rsid w:val="00366DC7"/>
    <w:rsid w:val="003676CA"/>
    <w:rsid w:val="00367818"/>
    <w:rsid w:val="00370779"/>
    <w:rsid w:val="00372613"/>
    <w:rsid w:val="00373867"/>
    <w:rsid w:val="00373FA8"/>
    <w:rsid w:val="00374984"/>
    <w:rsid w:val="00375149"/>
    <w:rsid w:val="00376811"/>
    <w:rsid w:val="003770AF"/>
    <w:rsid w:val="00377174"/>
    <w:rsid w:val="003775DE"/>
    <w:rsid w:val="00382490"/>
    <w:rsid w:val="00387194"/>
    <w:rsid w:val="0038719B"/>
    <w:rsid w:val="003928CA"/>
    <w:rsid w:val="00392D33"/>
    <w:rsid w:val="003934C7"/>
    <w:rsid w:val="003939A0"/>
    <w:rsid w:val="003956F5"/>
    <w:rsid w:val="003A04F3"/>
    <w:rsid w:val="003A2673"/>
    <w:rsid w:val="003A5F2B"/>
    <w:rsid w:val="003B00D0"/>
    <w:rsid w:val="003B063D"/>
    <w:rsid w:val="003B569F"/>
    <w:rsid w:val="003B5844"/>
    <w:rsid w:val="003B743B"/>
    <w:rsid w:val="003C03B3"/>
    <w:rsid w:val="003C28D1"/>
    <w:rsid w:val="003C38A0"/>
    <w:rsid w:val="003C48E9"/>
    <w:rsid w:val="003C54B2"/>
    <w:rsid w:val="003D360C"/>
    <w:rsid w:val="003D4329"/>
    <w:rsid w:val="003D4464"/>
    <w:rsid w:val="003D4732"/>
    <w:rsid w:val="003D47C5"/>
    <w:rsid w:val="003D50FB"/>
    <w:rsid w:val="003D63CA"/>
    <w:rsid w:val="003D6519"/>
    <w:rsid w:val="003D707D"/>
    <w:rsid w:val="003E47DB"/>
    <w:rsid w:val="003E736F"/>
    <w:rsid w:val="003E7751"/>
    <w:rsid w:val="003F0208"/>
    <w:rsid w:val="003F0315"/>
    <w:rsid w:val="003F06DD"/>
    <w:rsid w:val="003F28B7"/>
    <w:rsid w:val="003F2BDB"/>
    <w:rsid w:val="003F4C5F"/>
    <w:rsid w:val="003F6497"/>
    <w:rsid w:val="00402FEA"/>
    <w:rsid w:val="00403807"/>
    <w:rsid w:val="004058D7"/>
    <w:rsid w:val="00410B99"/>
    <w:rsid w:val="0041102A"/>
    <w:rsid w:val="00411465"/>
    <w:rsid w:val="004118CF"/>
    <w:rsid w:val="00411E53"/>
    <w:rsid w:val="00415EF9"/>
    <w:rsid w:val="00415FD8"/>
    <w:rsid w:val="00420208"/>
    <w:rsid w:val="004202A1"/>
    <w:rsid w:val="004203BE"/>
    <w:rsid w:val="00420858"/>
    <w:rsid w:val="00423C00"/>
    <w:rsid w:val="00424BDB"/>
    <w:rsid w:val="00426B9D"/>
    <w:rsid w:val="00427610"/>
    <w:rsid w:val="00427F30"/>
    <w:rsid w:val="0043204B"/>
    <w:rsid w:val="0043218C"/>
    <w:rsid w:val="00432C0C"/>
    <w:rsid w:val="00433A31"/>
    <w:rsid w:val="00435554"/>
    <w:rsid w:val="00435A21"/>
    <w:rsid w:val="00436F54"/>
    <w:rsid w:val="004405F5"/>
    <w:rsid w:val="0044270C"/>
    <w:rsid w:val="00442881"/>
    <w:rsid w:val="00442ADA"/>
    <w:rsid w:val="004430E8"/>
    <w:rsid w:val="00443A9D"/>
    <w:rsid w:val="00444A78"/>
    <w:rsid w:val="004455AA"/>
    <w:rsid w:val="00450274"/>
    <w:rsid w:val="00450F13"/>
    <w:rsid w:val="0045260E"/>
    <w:rsid w:val="00452D37"/>
    <w:rsid w:val="00452FC7"/>
    <w:rsid w:val="00453D14"/>
    <w:rsid w:val="00460003"/>
    <w:rsid w:val="0046084D"/>
    <w:rsid w:val="00460DC4"/>
    <w:rsid w:val="00462D0C"/>
    <w:rsid w:val="00463D30"/>
    <w:rsid w:val="00463F41"/>
    <w:rsid w:val="00464296"/>
    <w:rsid w:val="004653F6"/>
    <w:rsid w:val="00465919"/>
    <w:rsid w:val="00465E86"/>
    <w:rsid w:val="00466478"/>
    <w:rsid w:val="0046774B"/>
    <w:rsid w:val="00470C94"/>
    <w:rsid w:val="00471143"/>
    <w:rsid w:val="0047172A"/>
    <w:rsid w:val="00471FEE"/>
    <w:rsid w:val="00472431"/>
    <w:rsid w:val="00474088"/>
    <w:rsid w:val="00480550"/>
    <w:rsid w:val="00480760"/>
    <w:rsid w:val="00482B2B"/>
    <w:rsid w:val="00482D7D"/>
    <w:rsid w:val="004850CF"/>
    <w:rsid w:val="0049035F"/>
    <w:rsid w:val="00495DE0"/>
    <w:rsid w:val="0049609C"/>
    <w:rsid w:val="00496C17"/>
    <w:rsid w:val="004A0D10"/>
    <w:rsid w:val="004A209A"/>
    <w:rsid w:val="004A3F53"/>
    <w:rsid w:val="004A47BE"/>
    <w:rsid w:val="004A601B"/>
    <w:rsid w:val="004B0759"/>
    <w:rsid w:val="004B6B7F"/>
    <w:rsid w:val="004C07AF"/>
    <w:rsid w:val="004C0E4D"/>
    <w:rsid w:val="004C29D2"/>
    <w:rsid w:val="004C3D15"/>
    <w:rsid w:val="004C49D5"/>
    <w:rsid w:val="004D0B16"/>
    <w:rsid w:val="004D1A0D"/>
    <w:rsid w:val="004D2268"/>
    <w:rsid w:val="004D3567"/>
    <w:rsid w:val="004D3633"/>
    <w:rsid w:val="004D5A40"/>
    <w:rsid w:val="004D708A"/>
    <w:rsid w:val="004E006F"/>
    <w:rsid w:val="004E020D"/>
    <w:rsid w:val="004E36F1"/>
    <w:rsid w:val="004E3D57"/>
    <w:rsid w:val="004E4BE2"/>
    <w:rsid w:val="004E7C58"/>
    <w:rsid w:val="004F10AE"/>
    <w:rsid w:val="004F5B18"/>
    <w:rsid w:val="004F72BF"/>
    <w:rsid w:val="004F78C7"/>
    <w:rsid w:val="004F7B5C"/>
    <w:rsid w:val="004F7F83"/>
    <w:rsid w:val="00500A5F"/>
    <w:rsid w:val="005019BC"/>
    <w:rsid w:val="00503215"/>
    <w:rsid w:val="005034D9"/>
    <w:rsid w:val="00503ECC"/>
    <w:rsid w:val="005047DD"/>
    <w:rsid w:val="005053CA"/>
    <w:rsid w:val="005123B4"/>
    <w:rsid w:val="00512FA9"/>
    <w:rsid w:val="0051459F"/>
    <w:rsid w:val="005145CF"/>
    <w:rsid w:val="00515A57"/>
    <w:rsid w:val="00517ACC"/>
    <w:rsid w:val="00517CCB"/>
    <w:rsid w:val="005204BB"/>
    <w:rsid w:val="00520757"/>
    <w:rsid w:val="00521B57"/>
    <w:rsid w:val="0052214A"/>
    <w:rsid w:val="005237A3"/>
    <w:rsid w:val="00524536"/>
    <w:rsid w:val="0052757F"/>
    <w:rsid w:val="00527F0C"/>
    <w:rsid w:val="005338FA"/>
    <w:rsid w:val="00534E7D"/>
    <w:rsid w:val="005350C5"/>
    <w:rsid w:val="00537303"/>
    <w:rsid w:val="0054038B"/>
    <w:rsid w:val="00540A47"/>
    <w:rsid w:val="00541C17"/>
    <w:rsid w:val="00542143"/>
    <w:rsid w:val="00542227"/>
    <w:rsid w:val="00543012"/>
    <w:rsid w:val="005460B4"/>
    <w:rsid w:val="005476FE"/>
    <w:rsid w:val="0055003C"/>
    <w:rsid w:val="00551147"/>
    <w:rsid w:val="005527D0"/>
    <w:rsid w:val="00552D3E"/>
    <w:rsid w:val="0055371A"/>
    <w:rsid w:val="00553E36"/>
    <w:rsid w:val="005646D4"/>
    <w:rsid w:val="005679DD"/>
    <w:rsid w:val="00570091"/>
    <w:rsid w:val="00570367"/>
    <w:rsid w:val="0057082B"/>
    <w:rsid w:val="005710EC"/>
    <w:rsid w:val="00572BAB"/>
    <w:rsid w:val="00574369"/>
    <w:rsid w:val="00574719"/>
    <w:rsid w:val="005757F7"/>
    <w:rsid w:val="00577188"/>
    <w:rsid w:val="005771F4"/>
    <w:rsid w:val="00577866"/>
    <w:rsid w:val="005800D0"/>
    <w:rsid w:val="005833B3"/>
    <w:rsid w:val="00583DEA"/>
    <w:rsid w:val="005850F0"/>
    <w:rsid w:val="005870B7"/>
    <w:rsid w:val="0058748D"/>
    <w:rsid w:val="00587614"/>
    <w:rsid w:val="0059002C"/>
    <w:rsid w:val="005928E8"/>
    <w:rsid w:val="00592CF2"/>
    <w:rsid w:val="005952AA"/>
    <w:rsid w:val="005979DA"/>
    <w:rsid w:val="005A13B8"/>
    <w:rsid w:val="005A1C6F"/>
    <w:rsid w:val="005A27AC"/>
    <w:rsid w:val="005A2908"/>
    <w:rsid w:val="005A3564"/>
    <w:rsid w:val="005A74EB"/>
    <w:rsid w:val="005B0F6B"/>
    <w:rsid w:val="005B32B4"/>
    <w:rsid w:val="005B4B4F"/>
    <w:rsid w:val="005B4BBB"/>
    <w:rsid w:val="005B689B"/>
    <w:rsid w:val="005C08C9"/>
    <w:rsid w:val="005C1248"/>
    <w:rsid w:val="005C23E2"/>
    <w:rsid w:val="005D1503"/>
    <w:rsid w:val="005D27A4"/>
    <w:rsid w:val="005D2FFE"/>
    <w:rsid w:val="005D7060"/>
    <w:rsid w:val="005D73C5"/>
    <w:rsid w:val="005D7BA2"/>
    <w:rsid w:val="005E56EF"/>
    <w:rsid w:val="005F07DE"/>
    <w:rsid w:val="005F0CCE"/>
    <w:rsid w:val="005F0DC9"/>
    <w:rsid w:val="005F2AEC"/>
    <w:rsid w:val="005F698F"/>
    <w:rsid w:val="005F713E"/>
    <w:rsid w:val="006004F6"/>
    <w:rsid w:val="00600F15"/>
    <w:rsid w:val="00601D40"/>
    <w:rsid w:val="006049CD"/>
    <w:rsid w:val="006110D9"/>
    <w:rsid w:val="006160A7"/>
    <w:rsid w:val="00616B9B"/>
    <w:rsid w:val="006172A4"/>
    <w:rsid w:val="00620F11"/>
    <w:rsid w:val="0062270A"/>
    <w:rsid w:val="00622FD7"/>
    <w:rsid w:val="00623377"/>
    <w:rsid w:val="00624034"/>
    <w:rsid w:val="0062720C"/>
    <w:rsid w:val="00627B10"/>
    <w:rsid w:val="00630B90"/>
    <w:rsid w:val="00630CA6"/>
    <w:rsid w:val="00631494"/>
    <w:rsid w:val="00634640"/>
    <w:rsid w:val="006358C8"/>
    <w:rsid w:val="006360ED"/>
    <w:rsid w:val="0063682A"/>
    <w:rsid w:val="006368BA"/>
    <w:rsid w:val="00637A9A"/>
    <w:rsid w:val="00642594"/>
    <w:rsid w:val="00643A33"/>
    <w:rsid w:val="00643CD2"/>
    <w:rsid w:val="0064511C"/>
    <w:rsid w:val="006459CB"/>
    <w:rsid w:val="006470DF"/>
    <w:rsid w:val="00651237"/>
    <w:rsid w:val="0065227E"/>
    <w:rsid w:val="00652B91"/>
    <w:rsid w:val="00652C93"/>
    <w:rsid w:val="006531CC"/>
    <w:rsid w:val="0065329E"/>
    <w:rsid w:val="00653F66"/>
    <w:rsid w:val="0065415D"/>
    <w:rsid w:val="00654577"/>
    <w:rsid w:val="00656364"/>
    <w:rsid w:val="0065659F"/>
    <w:rsid w:val="00660482"/>
    <w:rsid w:val="00661B04"/>
    <w:rsid w:val="00662E71"/>
    <w:rsid w:val="006708D3"/>
    <w:rsid w:val="00671367"/>
    <w:rsid w:val="00673137"/>
    <w:rsid w:val="006745B9"/>
    <w:rsid w:val="006756F8"/>
    <w:rsid w:val="0067679E"/>
    <w:rsid w:val="00681A35"/>
    <w:rsid w:val="00682655"/>
    <w:rsid w:val="0068353C"/>
    <w:rsid w:val="00684308"/>
    <w:rsid w:val="00690D98"/>
    <w:rsid w:val="006939B7"/>
    <w:rsid w:val="006A0723"/>
    <w:rsid w:val="006A14CA"/>
    <w:rsid w:val="006A2F8F"/>
    <w:rsid w:val="006A42B2"/>
    <w:rsid w:val="006A4890"/>
    <w:rsid w:val="006A4B25"/>
    <w:rsid w:val="006A5BB7"/>
    <w:rsid w:val="006B1367"/>
    <w:rsid w:val="006B62DA"/>
    <w:rsid w:val="006B6B26"/>
    <w:rsid w:val="006C1689"/>
    <w:rsid w:val="006C2FE9"/>
    <w:rsid w:val="006C31E8"/>
    <w:rsid w:val="006C47C4"/>
    <w:rsid w:val="006C4CE7"/>
    <w:rsid w:val="006C57BE"/>
    <w:rsid w:val="006C5BD6"/>
    <w:rsid w:val="006C72B4"/>
    <w:rsid w:val="006C7DCA"/>
    <w:rsid w:val="006D2AB2"/>
    <w:rsid w:val="006D2DF7"/>
    <w:rsid w:val="006D4AA4"/>
    <w:rsid w:val="006D53B5"/>
    <w:rsid w:val="006D6717"/>
    <w:rsid w:val="006D76B7"/>
    <w:rsid w:val="006D7D3B"/>
    <w:rsid w:val="006E0DE3"/>
    <w:rsid w:val="006E181A"/>
    <w:rsid w:val="006E3009"/>
    <w:rsid w:val="006E365E"/>
    <w:rsid w:val="006E391E"/>
    <w:rsid w:val="006E3FA9"/>
    <w:rsid w:val="006E5878"/>
    <w:rsid w:val="006E5F57"/>
    <w:rsid w:val="006E75B2"/>
    <w:rsid w:val="006F4482"/>
    <w:rsid w:val="006F4B7F"/>
    <w:rsid w:val="006F61F0"/>
    <w:rsid w:val="006F72BF"/>
    <w:rsid w:val="006F7C4D"/>
    <w:rsid w:val="0070119E"/>
    <w:rsid w:val="00702DB0"/>
    <w:rsid w:val="00702E29"/>
    <w:rsid w:val="00703995"/>
    <w:rsid w:val="00704FC6"/>
    <w:rsid w:val="007103C3"/>
    <w:rsid w:val="0071687E"/>
    <w:rsid w:val="00717A04"/>
    <w:rsid w:val="00721808"/>
    <w:rsid w:val="00722403"/>
    <w:rsid w:val="00723FB6"/>
    <w:rsid w:val="0072409D"/>
    <w:rsid w:val="00724B75"/>
    <w:rsid w:val="0072533D"/>
    <w:rsid w:val="00726657"/>
    <w:rsid w:val="00730F7C"/>
    <w:rsid w:val="0073235B"/>
    <w:rsid w:val="00735E3E"/>
    <w:rsid w:val="00740020"/>
    <w:rsid w:val="007408FE"/>
    <w:rsid w:val="00741706"/>
    <w:rsid w:val="007421BA"/>
    <w:rsid w:val="007428EB"/>
    <w:rsid w:val="0074369A"/>
    <w:rsid w:val="00745421"/>
    <w:rsid w:val="007456A9"/>
    <w:rsid w:val="00745C67"/>
    <w:rsid w:val="00745E8F"/>
    <w:rsid w:val="007464A6"/>
    <w:rsid w:val="007466C8"/>
    <w:rsid w:val="007467E2"/>
    <w:rsid w:val="00746D60"/>
    <w:rsid w:val="0074736F"/>
    <w:rsid w:val="00750AFD"/>
    <w:rsid w:val="007516F1"/>
    <w:rsid w:val="007549F3"/>
    <w:rsid w:val="00757CA9"/>
    <w:rsid w:val="00757EC0"/>
    <w:rsid w:val="007627B3"/>
    <w:rsid w:val="00762990"/>
    <w:rsid w:val="007646ED"/>
    <w:rsid w:val="007666BA"/>
    <w:rsid w:val="00766E90"/>
    <w:rsid w:val="00770B3C"/>
    <w:rsid w:val="007728FC"/>
    <w:rsid w:val="0077521E"/>
    <w:rsid w:val="00776E59"/>
    <w:rsid w:val="007772D3"/>
    <w:rsid w:val="00777960"/>
    <w:rsid w:val="007801A2"/>
    <w:rsid w:val="00780C0A"/>
    <w:rsid w:val="00781152"/>
    <w:rsid w:val="007813B8"/>
    <w:rsid w:val="007838C5"/>
    <w:rsid w:val="00784FD1"/>
    <w:rsid w:val="00787470"/>
    <w:rsid w:val="007926E1"/>
    <w:rsid w:val="00792874"/>
    <w:rsid w:val="007939BD"/>
    <w:rsid w:val="00794FEB"/>
    <w:rsid w:val="00795616"/>
    <w:rsid w:val="00797059"/>
    <w:rsid w:val="00797C86"/>
    <w:rsid w:val="00797CC5"/>
    <w:rsid w:val="007A04D5"/>
    <w:rsid w:val="007A0B66"/>
    <w:rsid w:val="007A1127"/>
    <w:rsid w:val="007A28E8"/>
    <w:rsid w:val="007A4640"/>
    <w:rsid w:val="007A4954"/>
    <w:rsid w:val="007A4AF5"/>
    <w:rsid w:val="007A7168"/>
    <w:rsid w:val="007A7F6F"/>
    <w:rsid w:val="007B0C73"/>
    <w:rsid w:val="007B1034"/>
    <w:rsid w:val="007B1C77"/>
    <w:rsid w:val="007B2319"/>
    <w:rsid w:val="007B4AC4"/>
    <w:rsid w:val="007B5A0E"/>
    <w:rsid w:val="007B5CC4"/>
    <w:rsid w:val="007B6A25"/>
    <w:rsid w:val="007B771D"/>
    <w:rsid w:val="007B7C7C"/>
    <w:rsid w:val="007C010B"/>
    <w:rsid w:val="007C35C5"/>
    <w:rsid w:val="007C386C"/>
    <w:rsid w:val="007C3902"/>
    <w:rsid w:val="007C48EE"/>
    <w:rsid w:val="007C621C"/>
    <w:rsid w:val="007D1494"/>
    <w:rsid w:val="007D273B"/>
    <w:rsid w:val="007D2EBF"/>
    <w:rsid w:val="007D43B7"/>
    <w:rsid w:val="007D63C9"/>
    <w:rsid w:val="007D71CB"/>
    <w:rsid w:val="007D7981"/>
    <w:rsid w:val="007D7BB9"/>
    <w:rsid w:val="007E0437"/>
    <w:rsid w:val="007E4086"/>
    <w:rsid w:val="007E448B"/>
    <w:rsid w:val="007E49BC"/>
    <w:rsid w:val="007E5134"/>
    <w:rsid w:val="007E7DB5"/>
    <w:rsid w:val="007F0988"/>
    <w:rsid w:val="007F282F"/>
    <w:rsid w:val="007F396C"/>
    <w:rsid w:val="007F4249"/>
    <w:rsid w:val="007F4372"/>
    <w:rsid w:val="007F4C5C"/>
    <w:rsid w:val="007F6CA7"/>
    <w:rsid w:val="007F70B8"/>
    <w:rsid w:val="0080041A"/>
    <w:rsid w:val="00800432"/>
    <w:rsid w:val="00801CF2"/>
    <w:rsid w:val="00801E90"/>
    <w:rsid w:val="00802CC3"/>
    <w:rsid w:val="00804970"/>
    <w:rsid w:val="00805285"/>
    <w:rsid w:val="00806C97"/>
    <w:rsid w:val="00806E25"/>
    <w:rsid w:val="00810778"/>
    <w:rsid w:val="00811977"/>
    <w:rsid w:val="00812960"/>
    <w:rsid w:val="00812C96"/>
    <w:rsid w:val="00815656"/>
    <w:rsid w:val="008202C3"/>
    <w:rsid w:val="00820A46"/>
    <w:rsid w:val="0082179B"/>
    <w:rsid w:val="008242C4"/>
    <w:rsid w:val="008256C7"/>
    <w:rsid w:val="00826246"/>
    <w:rsid w:val="00827204"/>
    <w:rsid w:val="00832820"/>
    <w:rsid w:val="008329AD"/>
    <w:rsid w:val="00835296"/>
    <w:rsid w:val="00835CA6"/>
    <w:rsid w:val="00836B1A"/>
    <w:rsid w:val="00837946"/>
    <w:rsid w:val="00840A88"/>
    <w:rsid w:val="00841EAB"/>
    <w:rsid w:val="00843449"/>
    <w:rsid w:val="00847DE6"/>
    <w:rsid w:val="00850341"/>
    <w:rsid w:val="008506AC"/>
    <w:rsid w:val="0085166F"/>
    <w:rsid w:val="00852EEE"/>
    <w:rsid w:val="008539BC"/>
    <w:rsid w:val="0085686E"/>
    <w:rsid w:val="00860A25"/>
    <w:rsid w:val="00860BD1"/>
    <w:rsid w:val="00861444"/>
    <w:rsid w:val="00863193"/>
    <w:rsid w:val="00864FD0"/>
    <w:rsid w:val="008675D5"/>
    <w:rsid w:val="00867AF6"/>
    <w:rsid w:val="00871DEF"/>
    <w:rsid w:val="00872098"/>
    <w:rsid w:val="00872691"/>
    <w:rsid w:val="0087503D"/>
    <w:rsid w:val="00880E79"/>
    <w:rsid w:val="0088229C"/>
    <w:rsid w:val="008826D6"/>
    <w:rsid w:val="00882800"/>
    <w:rsid w:val="0088494F"/>
    <w:rsid w:val="00885E57"/>
    <w:rsid w:val="00887F9C"/>
    <w:rsid w:val="008937EF"/>
    <w:rsid w:val="00893EEE"/>
    <w:rsid w:val="00894794"/>
    <w:rsid w:val="008949B8"/>
    <w:rsid w:val="00894A42"/>
    <w:rsid w:val="008A1381"/>
    <w:rsid w:val="008A2B7D"/>
    <w:rsid w:val="008A3457"/>
    <w:rsid w:val="008A4B5A"/>
    <w:rsid w:val="008A52F1"/>
    <w:rsid w:val="008B106A"/>
    <w:rsid w:val="008B1119"/>
    <w:rsid w:val="008B154C"/>
    <w:rsid w:val="008B2A82"/>
    <w:rsid w:val="008B4B36"/>
    <w:rsid w:val="008B563B"/>
    <w:rsid w:val="008B570B"/>
    <w:rsid w:val="008C01E9"/>
    <w:rsid w:val="008C0306"/>
    <w:rsid w:val="008C058D"/>
    <w:rsid w:val="008C0A0E"/>
    <w:rsid w:val="008C1772"/>
    <w:rsid w:val="008C3142"/>
    <w:rsid w:val="008C59BB"/>
    <w:rsid w:val="008C6462"/>
    <w:rsid w:val="008C6630"/>
    <w:rsid w:val="008C726C"/>
    <w:rsid w:val="008D0902"/>
    <w:rsid w:val="008D1057"/>
    <w:rsid w:val="008D1551"/>
    <w:rsid w:val="008D1DE2"/>
    <w:rsid w:val="008D3AA1"/>
    <w:rsid w:val="008D5791"/>
    <w:rsid w:val="008D747F"/>
    <w:rsid w:val="008D78C7"/>
    <w:rsid w:val="008D7EAC"/>
    <w:rsid w:val="008E0838"/>
    <w:rsid w:val="008E106E"/>
    <w:rsid w:val="008E221E"/>
    <w:rsid w:val="008E330C"/>
    <w:rsid w:val="008E480C"/>
    <w:rsid w:val="008E488C"/>
    <w:rsid w:val="008E50C9"/>
    <w:rsid w:val="008E586F"/>
    <w:rsid w:val="008E63B5"/>
    <w:rsid w:val="008E63BE"/>
    <w:rsid w:val="008E684D"/>
    <w:rsid w:val="008F0B3C"/>
    <w:rsid w:val="008F3B52"/>
    <w:rsid w:val="008F56AB"/>
    <w:rsid w:val="008F56D4"/>
    <w:rsid w:val="008F76E6"/>
    <w:rsid w:val="008F7B5A"/>
    <w:rsid w:val="0090345F"/>
    <w:rsid w:val="0090389C"/>
    <w:rsid w:val="0090408E"/>
    <w:rsid w:val="00907270"/>
    <w:rsid w:val="00910F52"/>
    <w:rsid w:val="00911864"/>
    <w:rsid w:val="00912FD5"/>
    <w:rsid w:val="00914260"/>
    <w:rsid w:val="00915138"/>
    <w:rsid w:val="009178FE"/>
    <w:rsid w:val="009206BF"/>
    <w:rsid w:val="009206C6"/>
    <w:rsid w:val="0093137E"/>
    <w:rsid w:val="009331CE"/>
    <w:rsid w:val="0093336F"/>
    <w:rsid w:val="0093481A"/>
    <w:rsid w:val="009348E0"/>
    <w:rsid w:val="009352FD"/>
    <w:rsid w:val="00940238"/>
    <w:rsid w:val="00942A2D"/>
    <w:rsid w:val="0094404E"/>
    <w:rsid w:val="00946601"/>
    <w:rsid w:val="0095374C"/>
    <w:rsid w:val="00953A02"/>
    <w:rsid w:val="00954660"/>
    <w:rsid w:val="009546D6"/>
    <w:rsid w:val="0095727A"/>
    <w:rsid w:val="00960BC3"/>
    <w:rsid w:val="009619F1"/>
    <w:rsid w:val="009638DE"/>
    <w:rsid w:val="00964326"/>
    <w:rsid w:val="00964335"/>
    <w:rsid w:val="009643C8"/>
    <w:rsid w:val="00965961"/>
    <w:rsid w:val="0096782A"/>
    <w:rsid w:val="00970213"/>
    <w:rsid w:val="00970A39"/>
    <w:rsid w:val="00970AFF"/>
    <w:rsid w:val="009741BC"/>
    <w:rsid w:val="00974951"/>
    <w:rsid w:val="00974BA0"/>
    <w:rsid w:val="00976335"/>
    <w:rsid w:val="0098137A"/>
    <w:rsid w:val="0098306A"/>
    <w:rsid w:val="009876B4"/>
    <w:rsid w:val="00990672"/>
    <w:rsid w:val="00991906"/>
    <w:rsid w:val="00992D0D"/>
    <w:rsid w:val="00992D25"/>
    <w:rsid w:val="00992D2C"/>
    <w:rsid w:val="00994282"/>
    <w:rsid w:val="00994FCD"/>
    <w:rsid w:val="00995B73"/>
    <w:rsid w:val="00995E3A"/>
    <w:rsid w:val="0099667B"/>
    <w:rsid w:val="009974F5"/>
    <w:rsid w:val="009A2D02"/>
    <w:rsid w:val="009A4189"/>
    <w:rsid w:val="009A4A76"/>
    <w:rsid w:val="009A699D"/>
    <w:rsid w:val="009B02C2"/>
    <w:rsid w:val="009B15E1"/>
    <w:rsid w:val="009B5A6A"/>
    <w:rsid w:val="009B5BFB"/>
    <w:rsid w:val="009B7441"/>
    <w:rsid w:val="009C0BC4"/>
    <w:rsid w:val="009C4D62"/>
    <w:rsid w:val="009C4FE9"/>
    <w:rsid w:val="009C70C8"/>
    <w:rsid w:val="009D1B66"/>
    <w:rsid w:val="009D290E"/>
    <w:rsid w:val="009D7800"/>
    <w:rsid w:val="009D7969"/>
    <w:rsid w:val="009E1A3C"/>
    <w:rsid w:val="009E1A3E"/>
    <w:rsid w:val="009E47E1"/>
    <w:rsid w:val="009E647E"/>
    <w:rsid w:val="009F11AD"/>
    <w:rsid w:val="009F1F82"/>
    <w:rsid w:val="009F2295"/>
    <w:rsid w:val="009F2C48"/>
    <w:rsid w:val="009F3118"/>
    <w:rsid w:val="009F3925"/>
    <w:rsid w:val="009F4265"/>
    <w:rsid w:val="009F4B36"/>
    <w:rsid w:val="00A012A6"/>
    <w:rsid w:val="00A01839"/>
    <w:rsid w:val="00A073CC"/>
    <w:rsid w:val="00A10964"/>
    <w:rsid w:val="00A10AF3"/>
    <w:rsid w:val="00A11CDC"/>
    <w:rsid w:val="00A12859"/>
    <w:rsid w:val="00A14140"/>
    <w:rsid w:val="00A14923"/>
    <w:rsid w:val="00A14C7B"/>
    <w:rsid w:val="00A1526B"/>
    <w:rsid w:val="00A15E4D"/>
    <w:rsid w:val="00A22D32"/>
    <w:rsid w:val="00A30185"/>
    <w:rsid w:val="00A308BC"/>
    <w:rsid w:val="00A3093D"/>
    <w:rsid w:val="00A32CC4"/>
    <w:rsid w:val="00A377A6"/>
    <w:rsid w:val="00A40643"/>
    <w:rsid w:val="00A40EA5"/>
    <w:rsid w:val="00A437D1"/>
    <w:rsid w:val="00A458E4"/>
    <w:rsid w:val="00A45CBA"/>
    <w:rsid w:val="00A47A52"/>
    <w:rsid w:val="00A505F8"/>
    <w:rsid w:val="00A51292"/>
    <w:rsid w:val="00A51314"/>
    <w:rsid w:val="00A52815"/>
    <w:rsid w:val="00A5323B"/>
    <w:rsid w:val="00A5473E"/>
    <w:rsid w:val="00A57E08"/>
    <w:rsid w:val="00A60DBD"/>
    <w:rsid w:val="00A63168"/>
    <w:rsid w:val="00A64DC7"/>
    <w:rsid w:val="00A679D5"/>
    <w:rsid w:val="00A7184B"/>
    <w:rsid w:val="00A74465"/>
    <w:rsid w:val="00A758DE"/>
    <w:rsid w:val="00A76F36"/>
    <w:rsid w:val="00A77173"/>
    <w:rsid w:val="00A81CF1"/>
    <w:rsid w:val="00A81D74"/>
    <w:rsid w:val="00A832DD"/>
    <w:rsid w:val="00A836B5"/>
    <w:rsid w:val="00A83C80"/>
    <w:rsid w:val="00A841DE"/>
    <w:rsid w:val="00A848AA"/>
    <w:rsid w:val="00A87924"/>
    <w:rsid w:val="00A900D5"/>
    <w:rsid w:val="00A90101"/>
    <w:rsid w:val="00A90470"/>
    <w:rsid w:val="00A9060F"/>
    <w:rsid w:val="00A93C21"/>
    <w:rsid w:val="00A946AE"/>
    <w:rsid w:val="00A965B2"/>
    <w:rsid w:val="00A969D1"/>
    <w:rsid w:val="00AA07CC"/>
    <w:rsid w:val="00AA13C8"/>
    <w:rsid w:val="00AA4899"/>
    <w:rsid w:val="00AA489F"/>
    <w:rsid w:val="00AB0AAF"/>
    <w:rsid w:val="00AB338A"/>
    <w:rsid w:val="00AB38FE"/>
    <w:rsid w:val="00AB3CEF"/>
    <w:rsid w:val="00AB4B57"/>
    <w:rsid w:val="00AB6CAC"/>
    <w:rsid w:val="00AC066A"/>
    <w:rsid w:val="00AC1BCA"/>
    <w:rsid w:val="00AC6F76"/>
    <w:rsid w:val="00AC7641"/>
    <w:rsid w:val="00AD2D17"/>
    <w:rsid w:val="00AE237B"/>
    <w:rsid w:val="00AE3686"/>
    <w:rsid w:val="00AE3B7E"/>
    <w:rsid w:val="00AE5568"/>
    <w:rsid w:val="00AE62A1"/>
    <w:rsid w:val="00AE6341"/>
    <w:rsid w:val="00AE7C20"/>
    <w:rsid w:val="00AF0B13"/>
    <w:rsid w:val="00AF1047"/>
    <w:rsid w:val="00AF15CD"/>
    <w:rsid w:val="00AF2936"/>
    <w:rsid w:val="00AF44F4"/>
    <w:rsid w:val="00AF4CA4"/>
    <w:rsid w:val="00AF6540"/>
    <w:rsid w:val="00AF6AF8"/>
    <w:rsid w:val="00B00213"/>
    <w:rsid w:val="00B04770"/>
    <w:rsid w:val="00B04953"/>
    <w:rsid w:val="00B100A8"/>
    <w:rsid w:val="00B1076D"/>
    <w:rsid w:val="00B14691"/>
    <w:rsid w:val="00B146B5"/>
    <w:rsid w:val="00B15E94"/>
    <w:rsid w:val="00B173DC"/>
    <w:rsid w:val="00B1769E"/>
    <w:rsid w:val="00B17A56"/>
    <w:rsid w:val="00B17E10"/>
    <w:rsid w:val="00B203F1"/>
    <w:rsid w:val="00B204E2"/>
    <w:rsid w:val="00B205FD"/>
    <w:rsid w:val="00B218BC"/>
    <w:rsid w:val="00B22BAB"/>
    <w:rsid w:val="00B22F3A"/>
    <w:rsid w:val="00B23086"/>
    <w:rsid w:val="00B26877"/>
    <w:rsid w:val="00B33CCD"/>
    <w:rsid w:val="00B37232"/>
    <w:rsid w:val="00B37E43"/>
    <w:rsid w:val="00B4034B"/>
    <w:rsid w:val="00B41D09"/>
    <w:rsid w:val="00B42FB1"/>
    <w:rsid w:val="00B43617"/>
    <w:rsid w:val="00B436F6"/>
    <w:rsid w:val="00B43AB2"/>
    <w:rsid w:val="00B453AD"/>
    <w:rsid w:val="00B46AE7"/>
    <w:rsid w:val="00B476DA"/>
    <w:rsid w:val="00B519A9"/>
    <w:rsid w:val="00B519F2"/>
    <w:rsid w:val="00B54527"/>
    <w:rsid w:val="00B55044"/>
    <w:rsid w:val="00B61051"/>
    <w:rsid w:val="00B616BB"/>
    <w:rsid w:val="00B61C4A"/>
    <w:rsid w:val="00B6204E"/>
    <w:rsid w:val="00B62D9A"/>
    <w:rsid w:val="00B632E5"/>
    <w:rsid w:val="00B641B8"/>
    <w:rsid w:val="00B650F4"/>
    <w:rsid w:val="00B6611F"/>
    <w:rsid w:val="00B66139"/>
    <w:rsid w:val="00B678F3"/>
    <w:rsid w:val="00B70E07"/>
    <w:rsid w:val="00B755BF"/>
    <w:rsid w:val="00B75A47"/>
    <w:rsid w:val="00B764B8"/>
    <w:rsid w:val="00B765C0"/>
    <w:rsid w:val="00B8090B"/>
    <w:rsid w:val="00B82CCA"/>
    <w:rsid w:val="00B83633"/>
    <w:rsid w:val="00B84468"/>
    <w:rsid w:val="00B8544A"/>
    <w:rsid w:val="00B8593D"/>
    <w:rsid w:val="00B87249"/>
    <w:rsid w:val="00B87849"/>
    <w:rsid w:val="00B87BBA"/>
    <w:rsid w:val="00B92170"/>
    <w:rsid w:val="00B924DD"/>
    <w:rsid w:val="00B94B3D"/>
    <w:rsid w:val="00B95BBA"/>
    <w:rsid w:val="00B963D7"/>
    <w:rsid w:val="00B9689E"/>
    <w:rsid w:val="00B973B1"/>
    <w:rsid w:val="00BA0200"/>
    <w:rsid w:val="00BA3DCA"/>
    <w:rsid w:val="00BA6F43"/>
    <w:rsid w:val="00BB17F5"/>
    <w:rsid w:val="00BB3094"/>
    <w:rsid w:val="00BB4017"/>
    <w:rsid w:val="00BB432D"/>
    <w:rsid w:val="00BC22A3"/>
    <w:rsid w:val="00BC298A"/>
    <w:rsid w:val="00BC4807"/>
    <w:rsid w:val="00BC5E7C"/>
    <w:rsid w:val="00BC6A5C"/>
    <w:rsid w:val="00BC6B53"/>
    <w:rsid w:val="00BC6F49"/>
    <w:rsid w:val="00BD0925"/>
    <w:rsid w:val="00BD1360"/>
    <w:rsid w:val="00BD2658"/>
    <w:rsid w:val="00BD3E8F"/>
    <w:rsid w:val="00BD3FAE"/>
    <w:rsid w:val="00BE0CCF"/>
    <w:rsid w:val="00BE48BC"/>
    <w:rsid w:val="00BE586C"/>
    <w:rsid w:val="00BE63F7"/>
    <w:rsid w:val="00BF130B"/>
    <w:rsid w:val="00BF60D8"/>
    <w:rsid w:val="00BF79E8"/>
    <w:rsid w:val="00C00EDC"/>
    <w:rsid w:val="00C01173"/>
    <w:rsid w:val="00C027C2"/>
    <w:rsid w:val="00C03B24"/>
    <w:rsid w:val="00C03D03"/>
    <w:rsid w:val="00C03E3C"/>
    <w:rsid w:val="00C045EF"/>
    <w:rsid w:val="00C04A11"/>
    <w:rsid w:val="00C05306"/>
    <w:rsid w:val="00C057B1"/>
    <w:rsid w:val="00C1154A"/>
    <w:rsid w:val="00C11796"/>
    <w:rsid w:val="00C12CCE"/>
    <w:rsid w:val="00C135CB"/>
    <w:rsid w:val="00C137FB"/>
    <w:rsid w:val="00C140E2"/>
    <w:rsid w:val="00C154FC"/>
    <w:rsid w:val="00C16A51"/>
    <w:rsid w:val="00C176A3"/>
    <w:rsid w:val="00C20209"/>
    <w:rsid w:val="00C21E05"/>
    <w:rsid w:val="00C22F36"/>
    <w:rsid w:val="00C23F08"/>
    <w:rsid w:val="00C272FA"/>
    <w:rsid w:val="00C272FC"/>
    <w:rsid w:val="00C27A53"/>
    <w:rsid w:val="00C32D47"/>
    <w:rsid w:val="00C352D4"/>
    <w:rsid w:val="00C3650A"/>
    <w:rsid w:val="00C3725C"/>
    <w:rsid w:val="00C41239"/>
    <w:rsid w:val="00C42398"/>
    <w:rsid w:val="00C46290"/>
    <w:rsid w:val="00C467C1"/>
    <w:rsid w:val="00C50804"/>
    <w:rsid w:val="00C529BA"/>
    <w:rsid w:val="00C54443"/>
    <w:rsid w:val="00C5467D"/>
    <w:rsid w:val="00C550F8"/>
    <w:rsid w:val="00C56E19"/>
    <w:rsid w:val="00C5708A"/>
    <w:rsid w:val="00C575D2"/>
    <w:rsid w:val="00C578BF"/>
    <w:rsid w:val="00C64F81"/>
    <w:rsid w:val="00C66188"/>
    <w:rsid w:val="00C66FFC"/>
    <w:rsid w:val="00C67D03"/>
    <w:rsid w:val="00C73539"/>
    <w:rsid w:val="00C749ED"/>
    <w:rsid w:val="00C757E8"/>
    <w:rsid w:val="00C761D6"/>
    <w:rsid w:val="00C809BC"/>
    <w:rsid w:val="00C80A3F"/>
    <w:rsid w:val="00C82B05"/>
    <w:rsid w:val="00C8395B"/>
    <w:rsid w:val="00C8512A"/>
    <w:rsid w:val="00C87662"/>
    <w:rsid w:val="00C90575"/>
    <w:rsid w:val="00C91F48"/>
    <w:rsid w:val="00C9217E"/>
    <w:rsid w:val="00C92613"/>
    <w:rsid w:val="00C96A45"/>
    <w:rsid w:val="00C96D90"/>
    <w:rsid w:val="00C970CF"/>
    <w:rsid w:val="00C97298"/>
    <w:rsid w:val="00C9762E"/>
    <w:rsid w:val="00C977C3"/>
    <w:rsid w:val="00CA0032"/>
    <w:rsid w:val="00CA168A"/>
    <w:rsid w:val="00CA2BCF"/>
    <w:rsid w:val="00CA2E87"/>
    <w:rsid w:val="00CA48C3"/>
    <w:rsid w:val="00CA5D54"/>
    <w:rsid w:val="00CA7017"/>
    <w:rsid w:val="00CA7295"/>
    <w:rsid w:val="00CA736B"/>
    <w:rsid w:val="00CB0644"/>
    <w:rsid w:val="00CB15F1"/>
    <w:rsid w:val="00CB1731"/>
    <w:rsid w:val="00CB3F2F"/>
    <w:rsid w:val="00CB5D21"/>
    <w:rsid w:val="00CC10A7"/>
    <w:rsid w:val="00CC50EB"/>
    <w:rsid w:val="00CC6087"/>
    <w:rsid w:val="00CC6AD0"/>
    <w:rsid w:val="00CD0C14"/>
    <w:rsid w:val="00CD0DDB"/>
    <w:rsid w:val="00CD26E1"/>
    <w:rsid w:val="00CD30CA"/>
    <w:rsid w:val="00CD454D"/>
    <w:rsid w:val="00CD5C4E"/>
    <w:rsid w:val="00CD68B6"/>
    <w:rsid w:val="00CE2BE7"/>
    <w:rsid w:val="00CE3C4D"/>
    <w:rsid w:val="00CE3DC8"/>
    <w:rsid w:val="00CE50C5"/>
    <w:rsid w:val="00CE5C89"/>
    <w:rsid w:val="00CE6669"/>
    <w:rsid w:val="00CF03BE"/>
    <w:rsid w:val="00CF04BC"/>
    <w:rsid w:val="00CF094B"/>
    <w:rsid w:val="00CF2968"/>
    <w:rsid w:val="00CF6B66"/>
    <w:rsid w:val="00D04399"/>
    <w:rsid w:val="00D0452F"/>
    <w:rsid w:val="00D06DB4"/>
    <w:rsid w:val="00D07C5B"/>
    <w:rsid w:val="00D14DCC"/>
    <w:rsid w:val="00D16A12"/>
    <w:rsid w:val="00D17782"/>
    <w:rsid w:val="00D17D8C"/>
    <w:rsid w:val="00D2023F"/>
    <w:rsid w:val="00D22AD1"/>
    <w:rsid w:val="00D23737"/>
    <w:rsid w:val="00D23924"/>
    <w:rsid w:val="00D24DA3"/>
    <w:rsid w:val="00D25E19"/>
    <w:rsid w:val="00D31A6E"/>
    <w:rsid w:val="00D325C0"/>
    <w:rsid w:val="00D34880"/>
    <w:rsid w:val="00D35244"/>
    <w:rsid w:val="00D354AC"/>
    <w:rsid w:val="00D363BC"/>
    <w:rsid w:val="00D365D7"/>
    <w:rsid w:val="00D4078B"/>
    <w:rsid w:val="00D4269A"/>
    <w:rsid w:val="00D42815"/>
    <w:rsid w:val="00D4289D"/>
    <w:rsid w:val="00D43102"/>
    <w:rsid w:val="00D4322C"/>
    <w:rsid w:val="00D458DC"/>
    <w:rsid w:val="00D459AA"/>
    <w:rsid w:val="00D45AC7"/>
    <w:rsid w:val="00D46033"/>
    <w:rsid w:val="00D46A2B"/>
    <w:rsid w:val="00D47570"/>
    <w:rsid w:val="00D52292"/>
    <w:rsid w:val="00D52D76"/>
    <w:rsid w:val="00D564E4"/>
    <w:rsid w:val="00D614CD"/>
    <w:rsid w:val="00D61AD6"/>
    <w:rsid w:val="00D62076"/>
    <w:rsid w:val="00D621F9"/>
    <w:rsid w:val="00D64561"/>
    <w:rsid w:val="00D66500"/>
    <w:rsid w:val="00D70B74"/>
    <w:rsid w:val="00D713EA"/>
    <w:rsid w:val="00D71B41"/>
    <w:rsid w:val="00D73591"/>
    <w:rsid w:val="00D73C4A"/>
    <w:rsid w:val="00D767A6"/>
    <w:rsid w:val="00D77920"/>
    <w:rsid w:val="00D77A6A"/>
    <w:rsid w:val="00D80C90"/>
    <w:rsid w:val="00D82A9F"/>
    <w:rsid w:val="00D83FEE"/>
    <w:rsid w:val="00D85490"/>
    <w:rsid w:val="00D85A4A"/>
    <w:rsid w:val="00D925FF"/>
    <w:rsid w:val="00D94579"/>
    <w:rsid w:val="00D97E11"/>
    <w:rsid w:val="00DA03F1"/>
    <w:rsid w:val="00DA08C0"/>
    <w:rsid w:val="00DA307D"/>
    <w:rsid w:val="00DA4127"/>
    <w:rsid w:val="00DB24D1"/>
    <w:rsid w:val="00DB2FB9"/>
    <w:rsid w:val="00DB366C"/>
    <w:rsid w:val="00DB52D0"/>
    <w:rsid w:val="00DB7248"/>
    <w:rsid w:val="00DC143F"/>
    <w:rsid w:val="00DC2611"/>
    <w:rsid w:val="00DC2682"/>
    <w:rsid w:val="00DC2A62"/>
    <w:rsid w:val="00DC71D5"/>
    <w:rsid w:val="00DD0C35"/>
    <w:rsid w:val="00DD19AC"/>
    <w:rsid w:val="00DD26BB"/>
    <w:rsid w:val="00DD2771"/>
    <w:rsid w:val="00DD4ABF"/>
    <w:rsid w:val="00DD4E3E"/>
    <w:rsid w:val="00DD5225"/>
    <w:rsid w:val="00DD5AB7"/>
    <w:rsid w:val="00DD6C16"/>
    <w:rsid w:val="00DE0B06"/>
    <w:rsid w:val="00DE0D5C"/>
    <w:rsid w:val="00DE1F9D"/>
    <w:rsid w:val="00DE20B8"/>
    <w:rsid w:val="00DE2526"/>
    <w:rsid w:val="00DE5BDE"/>
    <w:rsid w:val="00DE698E"/>
    <w:rsid w:val="00DF0DC3"/>
    <w:rsid w:val="00DF2B0A"/>
    <w:rsid w:val="00DF6649"/>
    <w:rsid w:val="00DF6AAE"/>
    <w:rsid w:val="00DF72CA"/>
    <w:rsid w:val="00E01036"/>
    <w:rsid w:val="00E012DE"/>
    <w:rsid w:val="00E068F6"/>
    <w:rsid w:val="00E0760C"/>
    <w:rsid w:val="00E103E7"/>
    <w:rsid w:val="00E106E9"/>
    <w:rsid w:val="00E131BF"/>
    <w:rsid w:val="00E135D3"/>
    <w:rsid w:val="00E1386D"/>
    <w:rsid w:val="00E165CD"/>
    <w:rsid w:val="00E1796F"/>
    <w:rsid w:val="00E205AE"/>
    <w:rsid w:val="00E2079C"/>
    <w:rsid w:val="00E20810"/>
    <w:rsid w:val="00E256FE"/>
    <w:rsid w:val="00E310BB"/>
    <w:rsid w:val="00E31EC1"/>
    <w:rsid w:val="00E32CF0"/>
    <w:rsid w:val="00E359F6"/>
    <w:rsid w:val="00E35EC2"/>
    <w:rsid w:val="00E41272"/>
    <w:rsid w:val="00E44CF2"/>
    <w:rsid w:val="00E4627E"/>
    <w:rsid w:val="00E50C5E"/>
    <w:rsid w:val="00E51416"/>
    <w:rsid w:val="00E51814"/>
    <w:rsid w:val="00E51A16"/>
    <w:rsid w:val="00E53900"/>
    <w:rsid w:val="00E56598"/>
    <w:rsid w:val="00E579ED"/>
    <w:rsid w:val="00E614A4"/>
    <w:rsid w:val="00E62159"/>
    <w:rsid w:val="00E62689"/>
    <w:rsid w:val="00E659F7"/>
    <w:rsid w:val="00E65FB4"/>
    <w:rsid w:val="00E66A1B"/>
    <w:rsid w:val="00E70A4A"/>
    <w:rsid w:val="00E71297"/>
    <w:rsid w:val="00E761D5"/>
    <w:rsid w:val="00E77B12"/>
    <w:rsid w:val="00E82017"/>
    <w:rsid w:val="00E826BA"/>
    <w:rsid w:val="00E8362F"/>
    <w:rsid w:val="00E83CBA"/>
    <w:rsid w:val="00E84B45"/>
    <w:rsid w:val="00E86096"/>
    <w:rsid w:val="00E90FEE"/>
    <w:rsid w:val="00E943DD"/>
    <w:rsid w:val="00E94449"/>
    <w:rsid w:val="00E94A46"/>
    <w:rsid w:val="00E94B6F"/>
    <w:rsid w:val="00E9739C"/>
    <w:rsid w:val="00E97C27"/>
    <w:rsid w:val="00E97F8E"/>
    <w:rsid w:val="00EA16A5"/>
    <w:rsid w:val="00EA18F4"/>
    <w:rsid w:val="00EA2B06"/>
    <w:rsid w:val="00EA3B4B"/>
    <w:rsid w:val="00EA4351"/>
    <w:rsid w:val="00EA4832"/>
    <w:rsid w:val="00EA5079"/>
    <w:rsid w:val="00EA7256"/>
    <w:rsid w:val="00EB1B04"/>
    <w:rsid w:val="00EB407B"/>
    <w:rsid w:val="00EB42EA"/>
    <w:rsid w:val="00EB4A5D"/>
    <w:rsid w:val="00EB4B26"/>
    <w:rsid w:val="00EB69F1"/>
    <w:rsid w:val="00EC11B2"/>
    <w:rsid w:val="00EC25A2"/>
    <w:rsid w:val="00EC367A"/>
    <w:rsid w:val="00EC4243"/>
    <w:rsid w:val="00EC468B"/>
    <w:rsid w:val="00EC476F"/>
    <w:rsid w:val="00EC4B95"/>
    <w:rsid w:val="00EC4C5B"/>
    <w:rsid w:val="00EC57DB"/>
    <w:rsid w:val="00ED0739"/>
    <w:rsid w:val="00ED0CBE"/>
    <w:rsid w:val="00ED10BE"/>
    <w:rsid w:val="00ED14F8"/>
    <w:rsid w:val="00ED2432"/>
    <w:rsid w:val="00ED2F5B"/>
    <w:rsid w:val="00ED4CE7"/>
    <w:rsid w:val="00ED6844"/>
    <w:rsid w:val="00ED755E"/>
    <w:rsid w:val="00ED7955"/>
    <w:rsid w:val="00EE0647"/>
    <w:rsid w:val="00EE1B64"/>
    <w:rsid w:val="00EE2625"/>
    <w:rsid w:val="00EE2D12"/>
    <w:rsid w:val="00EE39F8"/>
    <w:rsid w:val="00EE3E8B"/>
    <w:rsid w:val="00EE4100"/>
    <w:rsid w:val="00EE78E3"/>
    <w:rsid w:val="00EF18DC"/>
    <w:rsid w:val="00EF32E9"/>
    <w:rsid w:val="00EF5BD5"/>
    <w:rsid w:val="00EF5D0F"/>
    <w:rsid w:val="00F0382E"/>
    <w:rsid w:val="00F04717"/>
    <w:rsid w:val="00F05954"/>
    <w:rsid w:val="00F06A2B"/>
    <w:rsid w:val="00F12113"/>
    <w:rsid w:val="00F129E5"/>
    <w:rsid w:val="00F1379F"/>
    <w:rsid w:val="00F1430B"/>
    <w:rsid w:val="00F14340"/>
    <w:rsid w:val="00F14FFA"/>
    <w:rsid w:val="00F177D2"/>
    <w:rsid w:val="00F177DE"/>
    <w:rsid w:val="00F2108F"/>
    <w:rsid w:val="00F236AA"/>
    <w:rsid w:val="00F23C0A"/>
    <w:rsid w:val="00F26B38"/>
    <w:rsid w:val="00F277AF"/>
    <w:rsid w:val="00F30C1E"/>
    <w:rsid w:val="00F31D78"/>
    <w:rsid w:val="00F32DBF"/>
    <w:rsid w:val="00F34585"/>
    <w:rsid w:val="00F36C03"/>
    <w:rsid w:val="00F44D7D"/>
    <w:rsid w:val="00F459B9"/>
    <w:rsid w:val="00F46E91"/>
    <w:rsid w:val="00F478A3"/>
    <w:rsid w:val="00F51466"/>
    <w:rsid w:val="00F529A8"/>
    <w:rsid w:val="00F5338E"/>
    <w:rsid w:val="00F533F7"/>
    <w:rsid w:val="00F5478A"/>
    <w:rsid w:val="00F5562D"/>
    <w:rsid w:val="00F57026"/>
    <w:rsid w:val="00F57BC8"/>
    <w:rsid w:val="00F6087D"/>
    <w:rsid w:val="00F60902"/>
    <w:rsid w:val="00F64334"/>
    <w:rsid w:val="00F65027"/>
    <w:rsid w:val="00F668CF"/>
    <w:rsid w:val="00F70EF5"/>
    <w:rsid w:val="00F710F3"/>
    <w:rsid w:val="00F76226"/>
    <w:rsid w:val="00F76DE7"/>
    <w:rsid w:val="00F77A26"/>
    <w:rsid w:val="00F81151"/>
    <w:rsid w:val="00F812AE"/>
    <w:rsid w:val="00F8281D"/>
    <w:rsid w:val="00F83DB4"/>
    <w:rsid w:val="00F84070"/>
    <w:rsid w:val="00F8705E"/>
    <w:rsid w:val="00F87B5D"/>
    <w:rsid w:val="00F95A05"/>
    <w:rsid w:val="00F9625F"/>
    <w:rsid w:val="00F9794C"/>
    <w:rsid w:val="00F97E14"/>
    <w:rsid w:val="00FA196E"/>
    <w:rsid w:val="00FA2CA6"/>
    <w:rsid w:val="00FA36F5"/>
    <w:rsid w:val="00FA582B"/>
    <w:rsid w:val="00FA5A26"/>
    <w:rsid w:val="00FB119A"/>
    <w:rsid w:val="00FB12ED"/>
    <w:rsid w:val="00FB278E"/>
    <w:rsid w:val="00FB477E"/>
    <w:rsid w:val="00FB4914"/>
    <w:rsid w:val="00FB5FCB"/>
    <w:rsid w:val="00FB7020"/>
    <w:rsid w:val="00FC38DF"/>
    <w:rsid w:val="00FC4F00"/>
    <w:rsid w:val="00FC59E7"/>
    <w:rsid w:val="00FC6141"/>
    <w:rsid w:val="00FC668C"/>
    <w:rsid w:val="00FC670E"/>
    <w:rsid w:val="00FD0F42"/>
    <w:rsid w:val="00FD1609"/>
    <w:rsid w:val="00FD1640"/>
    <w:rsid w:val="00FD414A"/>
    <w:rsid w:val="00FD45C3"/>
    <w:rsid w:val="00FD5211"/>
    <w:rsid w:val="00FD53B2"/>
    <w:rsid w:val="00FD571E"/>
    <w:rsid w:val="00FD71BD"/>
    <w:rsid w:val="00FE0DEF"/>
    <w:rsid w:val="00FE0E31"/>
    <w:rsid w:val="00FE293B"/>
    <w:rsid w:val="00FE3713"/>
    <w:rsid w:val="00FE4A1C"/>
    <w:rsid w:val="00FE5AB3"/>
    <w:rsid w:val="00FE60F5"/>
    <w:rsid w:val="00FE6C01"/>
    <w:rsid w:val="00FF246B"/>
    <w:rsid w:val="00FF59B2"/>
    <w:rsid w:val="00FF654C"/>
    <w:rsid w:val="00FF6D8F"/>
    <w:rsid w:val="00FF6FF0"/>
    <w:rsid w:val="00FF7858"/>
    <w:rsid w:val="00FF7D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689B2DF"/>
  <w15:docId w15:val="{CF5C6F5D-64A8-44C9-A3AD-903B5B124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277AF"/>
    <w:pPr>
      <w:jc w:val="both"/>
    </w:pPr>
    <w:rPr>
      <w:rFonts w:ascii="Garamond" w:hAnsi="Garamond"/>
      <w:sz w:val="24"/>
      <w:szCs w:val="24"/>
      <w:lang w:eastAsia="en-NZ"/>
    </w:rPr>
  </w:style>
  <w:style w:type="paragraph" w:styleId="Heading1">
    <w:name w:val="heading 1"/>
    <w:aliases w:val="Heading 1.I"/>
    <w:basedOn w:val="Normal"/>
    <w:next w:val="BodyText"/>
    <w:qFormat/>
    <w:rsid w:val="00652B91"/>
    <w:pPr>
      <w:keepNext/>
      <w:numPr>
        <w:numId w:val="5"/>
      </w:numPr>
      <w:spacing w:before="240" w:after="120"/>
      <w:jc w:val="left"/>
      <w:outlineLvl w:val="0"/>
    </w:pPr>
    <w:rPr>
      <w:rFonts w:cs="Arial"/>
      <w:b/>
      <w:bCs/>
      <w:kern w:val="28"/>
      <w:sz w:val="36"/>
      <w:szCs w:val="36"/>
    </w:rPr>
  </w:style>
  <w:style w:type="paragraph" w:styleId="Heading2">
    <w:name w:val="heading 2"/>
    <w:basedOn w:val="Normal"/>
    <w:next w:val="BodyText"/>
    <w:qFormat/>
    <w:rsid w:val="00652B91"/>
    <w:pPr>
      <w:keepNext/>
      <w:numPr>
        <w:ilvl w:val="1"/>
        <w:numId w:val="5"/>
      </w:numPr>
      <w:spacing w:before="120" w:after="80"/>
      <w:jc w:val="left"/>
      <w:outlineLvl w:val="1"/>
    </w:pPr>
    <w:rPr>
      <w:rFonts w:cs="Arial"/>
      <w:b/>
      <w:bCs/>
      <w:iCs/>
      <w:kern w:val="28"/>
      <w:sz w:val="28"/>
      <w:szCs w:val="28"/>
    </w:rPr>
  </w:style>
  <w:style w:type="paragraph" w:styleId="Heading3">
    <w:name w:val="heading 3"/>
    <w:basedOn w:val="Normal"/>
    <w:next w:val="BodyText"/>
    <w:qFormat/>
    <w:rsid w:val="00652B91"/>
    <w:pPr>
      <w:keepNext/>
      <w:numPr>
        <w:ilvl w:val="2"/>
        <w:numId w:val="5"/>
      </w:numPr>
      <w:spacing w:after="80"/>
      <w:jc w:val="left"/>
      <w:outlineLvl w:val="2"/>
    </w:pPr>
    <w:rPr>
      <w:rFonts w:cs="Arial"/>
      <w:b/>
      <w:bCs/>
      <w:szCs w:val="26"/>
    </w:rPr>
  </w:style>
  <w:style w:type="paragraph" w:styleId="Heading4">
    <w:name w:val="heading 4"/>
    <w:aliases w:val="Heading 4.a"/>
    <w:basedOn w:val="Heading1"/>
    <w:next w:val="BodyText"/>
    <w:link w:val="Heading4Char"/>
    <w:qFormat/>
    <w:rsid w:val="0088229C"/>
    <w:pPr>
      <w:numPr>
        <w:ilvl w:val="3"/>
      </w:numPr>
      <w:ind w:left="0" w:firstLine="0"/>
      <w:outlineLvl w:val="3"/>
    </w:pPr>
    <w:rPr>
      <w:bCs w:val="0"/>
    </w:rPr>
  </w:style>
  <w:style w:type="paragraph" w:styleId="Heading5">
    <w:name w:val="heading 5"/>
    <w:aliases w:val="Heading 5.(i)"/>
    <w:basedOn w:val="Heading2"/>
    <w:next w:val="BodyText"/>
    <w:qFormat/>
    <w:rsid w:val="00652B91"/>
    <w:pPr>
      <w:numPr>
        <w:ilvl w:val="4"/>
      </w:numPr>
      <w:outlineLvl w:val="4"/>
    </w:pPr>
    <w:rPr>
      <w:bCs w:val="0"/>
      <w:iCs w:val="0"/>
    </w:rPr>
  </w:style>
  <w:style w:type="paragraph" w:styleId="Heading6">
    <w:name w:val="heading 6"/>
    <w:basedOn w:val="Heading3"/>
    <w:next w:val="BodyText"/>
    <w:qFormat/>
    <w:rsid w:val="00652B91"/>
    <w:pPr>
      <w:numPr>
        <w:ilvl w:val="5"/>
      </w:numPr>
      <w:outlineLvl w:val="5"/>
    </w:pPr>
    <w:rPr>
      <w:bCs w:val="0"/>
      <w:kern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sub,Body Tex,Body Text Char Char Char,Body Text Char Char,1body,BodText,bt,body text,Body Txt,heading3,3 indent,heading31,body text1,3 indent1,heading32,body text2,3 indent2,heading33,body text3,3 indent3,heading34,body text4 Char,b,body ...,B"/>
    <w:basedOn w:val="Normal"/>
    <w:link w:val="BodyTextChar"/>
    <w:rsid w:val="00F277AF"/>
    <w:pPr>
      <w:spacing w:after="120"/>
    </w:pPr>
  </w:style>
  <w:style w:type="paragraph" w:customStyle="1" w:styleId="BlockQuotation">
    <w:name w:val="Block Quotation"/>
    <w:basedOn w:val="BodyText"/>
    <w:next w:val="BodyText"/>
    <w:rsid w:val="00F277AF"/>
    <w:pPr>
      <w:keepLines/>
      <w:spacing w:line="280" w:lineRule="atLeast"/>
      <w:ind w:left="720" w:right="720"/>
    </w:pPr>
    <w:rPr>
      <w:i/>
    </w:rPr>
  </w:style>
  <w:style w:type="paragraph" w:customStyle="1" w:styleId="Subheading">
    <w:name w:val="Subheading"/>
    <w:basedOn w:val="BodyText"/>
    <w:next w:val="BodyText"/>
    <w:link w:val="SubheadingChar"/>
    <w:rsid w:val="008C1772"/>
    <w:pPr>
      <w:keepNext/>
      <w:spacing w:after="80"/>
      <w:jc w:val="left"/>
    </w:pPr>
    <w:rPr>
      <w:b/>
      <w:kern w:val="28"/>
    </w:rPr>
  </w:style>
  <w:style w:type="paragraph" w:styleId="ListBullet">
    <w:name w:val="List Bullet"/>
    <w:aliases w:val="List Bullet Title,List Bullet Title Char Char Char,List Bullet Title Char Char Char Char,List Bullet1 Char,List Bullet Char Char Char Char Char Char Char,List Bullet Char Char Char Char,List Bullet Char Char Char Char Char,List Bullet2,Char"/>
    <w:basedOn w:val="BodyText"/>
    <w:link w:val="ListBulletChar"/>
    <w:rsid w:val="00F277AF"/>
    <w:pPr>
      <w:numPr>
        <w:numId w:val="6"/>
      </w:numPr>
    </w:pPr>
  </w:style>
  <w:style w:type="paragraph" w:styleId="ListContinue">
    <w:name w:val="List Continue"/>
    <w:basedOn w:val="BodyText"/>
    <w:rsid w:val="00F277AF"/>
    <w:pPr>
      <w:ind w:left="1004"/>
    </w:pPr>
  </w:style>
  <w:style w:type="paragraph" w:styleId="ListBullet2">
    <w:name w:val="List Bullet 2"/>
    <w:aliases w:val="List Bullet 2 Char Char Char"/>
    <w:basedOn w:val="BodyText"/>
    <w:link w:val="ListBullet2Char"/>
    <w:rsid w:val="00F277AF"/>
    <w:pPr>
      <w:numPr>
        <w:ilvl w:val="1"/>
        <w:numId w:val="6"/>
      </w:numPr>
    </w:pPr>
  </w:style>
  <w:style w:type="paragraph" w:styleId="ListBullet3">
    <w:name w:val="List Bullet 3"/>
    <w:basedOn w:val="BodyText"/>
    <w:rsid w:val="00F277AF"/>
    <w:pPr>
      <w:numPr>
        <w:ilvl w:val="2"/>
        <w:numId w:val="6"/>
      </w:numPr>
    </w:pPr>
  </w:style>
  <w:style w:type="paragraph" w:styleId="ListBullet4">
    <w:name w:val="List Bullet 4"/>
    <w:basedOn w:val="BodyText"/>
    <w:rsid w:val="00F277AF"/>
    <w:pPr>
      <w:numPr>
        <w:ilvl w:val="3"/>
        <w:numId w:val="6"/>
      </w:numPr>
    </w:pPr>
  </w:style>
  <w:style w:type="paragraph" w:styleId="ListContinue2">
    <w:name w:val="List Continue 2"/>
    <w:basedOn w:val="BodyText"/>
    <w:rsid w:val="00F277AF"/>
    <w:pPr>
      <w:ind w:left="1287"/>
    </w:pPr>
  </w:style>
  <w:style w:type="paragraph" w:customStyle="1" w:styleId="Numberedtext">
    <w:name w:val="Numbered text"/>
    <w:basedOn w:val="BodyText"/>
    <w:rsid w:val="00F277AF"/>
    <w:pPr>
      <w:numPr>
        <w:numId w:val="7"/>
      </w:numPr>
    </w:pPr>
  </w:style>
  <w:style w:type="paragraph" w:customStyle="1" w:styleId="BoxText">
    <w:name w:val="Box Text"/>
    <w:basedOn w:val="Normal"/>
    <w:rsid w:val="00F277AF"/>
    <w:pPr>
      <w:spacing w:before="30" w:after="30"/>
    </w:pPr>
    <w:rPr>
      <w:sz w:val="22"/>
    </w:rPr>
  </w:style>
  <w:style w:type="paragraph" w:customStyle="1" w:styleId="BoxBullet1">
    <w:name w:val="Box Bullet 1"/>
    <w:basedOn w:val="BoxText"/>
    <w:rsid w:val="00F277AF"/>
    <w:pPr>
      <w:numPr>
        <w:numId w:val="3"/>
      </w:numPr>
    </w:pPr>
  </w:style>
  <w:style w:type="paragraph" w:customStyle="1" w:styleId="BoxBullet2">
    <w:name w:val="Box Bullet 2"/>
    <w:basedOn w:val="BoxText"/>
    <w:rsid w:val="00F277AF"/>
    <w:pPr>
      <w:numPr>
        <w:ilvl w:val="1"/>
        <w:numId w:val="3"/>
      </w:numPr>
    </w:pPr>
  </w:style>
  <w:style w:type="paragraph" w:customStyle="1" w:styleId="TableText">
    <w:name w:val="Table Text"/>
    <w:basedOn w:val="Normal"/>
    <w:link w:val="TableTextChar"/>
    <w:rsid w:val="00F277AF"/>
    <w:pPr>
      <w:spacing w:before="30" w:after="30"/>
      <w:jc w:val="left"/>
    </w:pPr>
    <w:rPr>
      <w:sz w:val="22"/>
    </w:rPr>
  </w:style>
  <w:style w:type="paragraph" w:customStyle="1" w:styleId="TableBullet1">
    <w:name w:val="Table Bullet 1"/>
    <w:basedOn w:val="TableText"/>
    <w:rsid w:val="00F277AF"/>
    <w:pPr>
      <w:numPr>
        <w:numId w:val="8"/>
      </w:numPr>
    </w:pPr>
  </w:style>
  <w:style w:type="paragraph" w:customStyle="1" w:styleId="TableBullet2">
    <w:name w:val="Table Bullet 2"/>
    <w:basedOn w:val="TableText"/>
    <w:rsid w:val="00F277AF"/>
    <w:pPr>
      <w:numPr>
        <w:ilvl w:val="1"/>
        <w:numId w:val="8"/>
      </w:numPr>
    </w:pPr>
  </w:style>
  <w:style w:type="paragraph" w:customStyle="1" w:styleId="BoldHeading">
    <w:name w:val="Bold Heading"/>
    <w:basedOn w:val="Heading1"/>
    <w:next w:val="BodyText"/>
    <w:rsid w:val="008C1772"/>
    <w:pPr>
      <w:numPr>
        <w:numId w:val="0"/>
      </w:numPr>
      <w:outlineLvl w:val="9"/>
    </w:pPr>
  </w:style>
  <w:style w:type="paragraph" w:styleId="Caption">
    <w:name w:val="caption"/>
    <w:basedOn w:val="Normal"/>
    <w:next w:val="TableText"/>
    <w:link w:val="CaptionChar"/>
    <w:qFormat/>
    <w:rsid w:val="007A7F6F"/>
    <w:pPr>
      <w:pBdr>
        <w:bottom w:val="single" w:sz="4" w:space="1" w:color="auto"/>
      </w:pBdr>
      <w:spacing w:after="120" w:line="240" w:lineRule="atLeast"/>
      <w:ind w:left="-57" w:right="-57"/>
      <w:jc w:val="left"/>
    </w:pPr>
    <w:rPr>
      <w:b/>
      <w:bCs/>
      <w:szCs w:val="20"/>
    </w:rPr>
  </w:style>
  <w:style w:type="paragraph" w:customStyle="1" w:styleId="BoxNumberedText">
    <w:name w:val="Box Numbered Text"/>
    <w:basedOn w:val="BoxText"/>
    <w:rsid w:val="00F277AF"/>
    <w:pPr>
      <w:numPr>
        <w:numId w:val="4"/>
      </w:numPr>
    </w:pPr>
  </w:style>
  <w:style w:type="paragraph" w:styleId="Footer">
    <w:name w:val="footer"/>
    <w:basedOn w:val="Normal"/>
    <w:link w:val="FooterChar"/>
    <w:uiPriority w:val="99"/>
    <w:rsid w:val="00F277AF"/>
    <w:pPr>
      <w:tabs>
        <w:tab w:val="right" w:pos="8505"/>
      </w:tabs>
    </w:pPr>
    <w:rPr>
      <w:sz w:val="20"/>
    </w:rPr>
  </w:style>
  <w:style w:type="character" w:styleId="CommentReference">
    <w:name w:val="annotation reference"/>
    <w:basedOn w:val="DefaultParagraphFont"/>
    <w:uiPriority w:val="99"/>
    <w:semiHidden/>
    <w:rsid w:val="00F277AF"/>
    <w:rPr>
      <w:sz w:val="16"/>
      <w:szCs w:val="16"/>
    </w:rPr>
  </w:style>
  <w:style w:type="paragraph" w:styleId="FootnoteText">
    <w:name w:val="footnote text"/>
    <w:aliases w:val="fn,FOOTNOTES,single space,ALTS FOOTNOTE,Footnote Text Char1,Footnote Text Char Char,Note de bas de page Car,footnote text,Fodnotetekst Tegn,Fodnotetekst Tegn Char,footnote text Char Char Char,footnote,ADB,f,ft,Geneva 9,Font: Geneva 9,F"/>
    <w:basedOn w:val="Normal"/>
    <w:link w:val="FootnoteTextChar"/>
    <w:qFormat/>
    <w:rsid w:val="000D2350"/>
    <w:pPr>
      <w:tabs>
        <w:tab w:val="left" w:pos="187"/>
      </w:tabs>
      <w:spacing w:after="120"/>
      <w:ind w:left="187" w:hanging="187"/>
    </w:pPr>
    <w:rPr>
      <w:sz w:val="18"/>
      <w:szCs w:val="20"/>
    </w:rPr>
  </w:style>
  <w:style w:type="character" w:styleId="FootnoteReference">
    <w:name w:val="footnote reference"/>
    <w:aliases w:val="ftref,16 Point,Superscript 6 Point,Fußnotenzeichen DISS,BVI fnr,Знак сноски 1,referencia nota al pie,FC, BVI fnr,Comment Text Char1,Footnote Reference1,Referência a notas de rodapé,(NECG) Footnote Reference,Ref,de nota al pie"/>
    <w:basedOn w:val="DefaultParagraphFont"/>
    <w:rsid w:val="00F277AF"/>
    <w:rPr>
      <w:rFonts w:ascii="Times New Roman" w:hAnsi="Times New Roman"/>
      <w:sz w:val="18"/>
      <w:szCs w:val="18"/>
      <w:vertAlign w:val="superscript"/>
      <w:lang w:val="en-US"/>
    </w:rPr>
  </w:style>
  <w:style w:type="paragraph" w:styleId="CommentText">
    <w:name w:val="annotation text"/>
    <w:basedOn w:val="Normal"/>
    <w:link w:val="CommentTextChar"/>
    <w:uiPriority w:val="99"/>
    <w:rsid w:val="00F277AF"/>
    <w:rPr>
      <w:sz w:val="20"/>
      <w:szCs w:val="20"/>
    </w:rPr>
  </w:style>
  <w:style w:type="paragraph" w:styleId="CommentSubject">
    <w:name w:val="annotation subject"/>
    <w:basedOn w:val="CommentText"/>
    <w:next w:val="CommentText"/>
    <w:semiHidden/>
    <w:rsid w:val="00F277AF"/>
    <w:rPr>
      <w:b/>
      <w:bCs/>
    </w:rPr>
  </w:style>
  <w:style w:type="paragraph" w:styleId="BalloonText">
    <w:name w:val="Balloon Text"/>
    <w:basedOn w:val="Normal"/>
    <w:rsid w:val="008C1772"/>
    <w:rPr>
      <w:rFonts w:cs="Tahoma"/>
      <w:sz w:val="16"/>
      <w:szCs w:val="16"/>
    </w:rPr>
  </w:style>
  <w:style w:type="paragraph" w:styleId="Header">
    <w:name w:val="header"/>
    <w:basedOn w:val="Normal"/>
    <w:rsid w:val="000D2350"/>
    <w:pPr>
      <w:keepLines/>
      <w:tabs>
        <w:tab w:val="center" w:pos="4156"/>
        <w:tab w:val="right" w:pos="8312"/>
      </w:tabs>
      <w:jc w:val="center"/>
    </w:pPr>
    <w:rPr>
      <w:sz w:val="20"/>
    </w:rPr>
  </w:style>
  <w:style w:type="character" w:styleId="PageNumber">
    <w:name w:val="page number"/>
    <w:basedOn w:val="DefaultParagraphFont"/>
    <w:rsid w:val="00F277AF"/>
    <w:rPr>
      <w:rFonts w:ascii="Garamond" w:hAnsi="Garamond"/>
      <w:sz w:val="18"/>
      <w:lang w:val="en-US"/>
    </w:rPr>
  </w:style>
  <w:style w:type="paragraph" w:customStyle="1" w:styleId="SourceNoteText">
    <w:name w:val="Source/Note Text"/>
    <w:basedOn w:val="Normal"/>
    <w:link w:val="SourceNoteTextChar"/>
    <w:rsid w:val="00F277AF"/>
    <w:pPr>
      <w:tabs>
        <w:tab w:val="left" w:pos="743"/>
        <w:tab w:val="left" w:pos="1168"/>
      </w:tabs>
      <w:spacing w:before="120" w:after="30"/>
      <w:ind w:left="743" w:hanging="743"/>
      <w:jc w:val="left"/>
    </w:pPr>
    <w:rPr>
      <w:sz w:val="20"/>
    </w:rPr>
  </w:style>
  <w:style w:type="table" w:styleId="TableGrid">
    <w:name w:val="Table Grid"/>
    <w:basedOn w:val="TableNormal"/>
    <w:rsid w:val="00F277AF"/>
    <w:pPr>
      <w:tabs>
        <w:tab w:val="left" w:pos="284"/>
        <w:tab w:val="left" w:pos="567"/>
      </w:tabs>
      <w:spacing w:before="30" w:after="30"/>
    </w:pPr>
    <w:rPr>
      <w:rFonts w:ascii="Garamond" w:hAnsi="Garamond"/>
      <w:sz w:val="22"/>
      <w:szCs w:val="22"/>
    </w:rPr>
    <w:tblPr>
      <w:jc w:val="center"/>
      <w:tblBorders>
        <w:insideH w:val="single" w:sz="4" w:space="0" w:color="auto"/>
        <w:insideV w:val="single" w:sz="4" w:space="0" w:color="auto"/>
      </w:tblBorders>
      <w:tblCellMar>
        <w:top w:w="28" w:type="dxa"/>
        <w:left w:w="85" w:type="dxa"/>
        <w:bottom w:w="28" w:type="dxa"/>
        <w:right w:w="85" w:type="dxa"/>
      </w:tblCellMar>
    </w:tblPr>
    <w:trPr>
      <w:jc w:val="center"/>
    </w:trPr>
    <w:tcPr>
      <w:noWrap/>
    </w:tcPr>
  </w:style>
  <w:style w:type="paragraph" w:customStyle="1" w:styleId="TableNumberedText">
    <w:name w:val="Table Numbered Text"/>
    <w:basedOn w:val="TableText"/>
    <w:rsid w:val="00F277AF"/>
    <w:pPr>
      <w:numPr>
        <w:numId w:val="9"/>
      </w:numPr>
    </w:pPr>
  </w:style>
  <w:style w:type="paragraph" w:styleId="TOC1">
    <w:name w:val="toc 1"/>
    <w:basedOn w:val="Normal"/>
    <w:next w:val="Normal"/>
    <w:uiPriority w:val="39"/>
    <w:rsid w:val="00267B8F"/>
    <w:pPr>
      <w:tabs>
        <w:tab w:val="right" w:pos="7655"/>
      </w:tabs>
      <w:spacing w:before="60" w:after="120"/>
      <w:ind w:left="720" w:right="1588" w:hanging="720"/>
      <w:jc w:val="left"/>
    </w:pPr>
    <w:rPr>
      <w:b/>
    </w:rPr>
  </w:style>
  <w:style w:type="paragraph" w:styleId="TOC2">
    <w:name w:val="toc 2"/>
    <w:basedOn w:val="Normal"/>
    <w:next w:val="Normal"/>
    <w:uiPriority w:val="39"/>
    <w:rsid w:val="000D2350"/>
    <w:pPr>
      <w:tabs>
        <w:tab w:val="right" w:pos="7655"/>
      </w:tabs>
      <w:spacing w:after="120"/>
      <w:ind w:left="1440" w:right="1588" w:hanging="720"/>
      <w:jc w:val="left"/>
    </w:pPr>
  </w:style>
  <w:style w:type="paragraph" w:styleId="TOC3">
    <w:name w:val="toc 3"/>
    <w:basedOn w:val="Normal"/>
    <w:next w:val="Normal"/>
    <w:uiPriority w:val="39"/>
    <w:rsid w:val="000D2350"/>
    <w:pPr>
      <w:tabs>
        <w:tab w:val="right" w:pos="7655"/>
      </w:tabs>
      <w:spacing w:after="120"/>
      <w:ind w:left="2160" w:right="1588" w:hanging="720"/>
      <w:jc w:val="left"/>
    </w:pPr>
  </w:style>
  <w:style w:type="paragraph" w:styleId="TableofFigures">
    <w:name w:val="table of figures"/>
    <w:basedOn w:val="TOC1"/>
    <w:next w:val="Normal"/>
    <w:uiPriority w:val="99"/>
    <w:rsid w:val="00267B8F"/>
    <w:pPr>
      <w:ind w:left="0" w:firstLine="0"/>
    </w:pPr>
  </w:style>
  <w:style w:type="character" w:styleId="Hyperlink">
    <w:name w:val="Hyperlink"/>
    <w:basedOn w:val="DefaultParagraphFont"/>
    <w:uiPriority w:val="99"/>
    <w:rsid w:val="000D2350"/>
    <w:rPr>
      <w:color w:val="0000FF"/>
      <w:u w:val="single"/>
      <w:lang w:val="en-US"/>
    </w:rPr>
  </w:style>
  <w:style w:type="paragraph" w:customStyle="1" w:styleId="TableorFigureEnd">
    <w:name w:val="Table or Figure End"/>
    <w:basedOn w:val="Normal"/>
    <w:next w:val="BodyText"/>
    <w:rsid w:val="00F277AF"/>
    <w:pPr>
      <w:pBdr>
        <w:top w:val="single" w:sz="4" w:space="1" w:color="auto"/>
      </w:pBdr>
      <w:tabs>
        <w:tab w:val="right" w:leader="dot" w:pos="8296"/>
      </w:tabs>
      <w:spacing w:before="90"/>
      <w:ind w:left="-57" w:right="-57"/>
    </w:pPr>
  </w:style>
  <w:style w:type="paragraph" w:styleId="Title">
    <w:name w:val="Title"/>
    <w:basedOn w:val="Normal"/>
    <w:link w:val="TitleChar"/>
    <w:uiPriority w:val="10"/>
    <w:qFormat/>
    <w:rsid w:val="00F277AF"/>
    <w:pPr>
      <w:spacing w:after="240"/>
      <w:ind w:left="1134" w:right="1134"/>
      <w:jc w:val="center"/>
    </w:pPr>
    <w:rPr>
      <w:rFonts w:cs="Arial"/>
      <w:b/>
      <w:bCs/>
      <w:kern w:val="28"/>
      <w:sz w:val="48"/>
      <w:szCs w:val="48"/>
    </w:rPr>
  </w:style>
  <w:style w:type="paragraph" w:customStyle="1" w:styleId="PartHeading">
    <w:name w:val="Part Heading"/>
    <w:basedOn w:val="Normal"/>
    <w:next w:val="BodyText"/>
    <w:rsid w:val="008F7B5A"/>
    <w:pPr>
      <w:keepNext/>
      <w:numPr>
        <w:numId w:val="2"/>
      </w:numPr>
      <w:spacing w:before="240" w:after="120"/>
      <w:jc w:val="left"/>
    </w:pPr>
    <w:rPr>
      <w:b/>
      <w:kern w:val="28"/>
      <w:sz w:val="44"/>
    </w:rPr>
  </w:style>
  <w:style w:type="paragraph" w:styleId="TOC4">
    <w:name w:val="toc 4"/>
    <w:basedOn w:val="TOC3"/>
    <w:next w:val="Normal"/>
    <w:rsid w:val="002F1290"/>
    <w:pPr>
      <w:spacing w:before="60"/>
      <w:ind w:left="0" w:firstLine="0"/>
    </w:pPr>
    <w:rPr>
      <w:b/>
    </w:rPr>
  </w:style>
  <w:style w:type="character" w:customStyle="1" w:styleId="CommentTextChar">
    <w:name w:val="Comment Text Char"/>
    <w:basedOn w:val="DefaultParagraphFont"/>
    <w:link w:val="CommentText"/>
    <w:uiPriority w:val="99"/>
    <w:rsid w:val="001408B7"/>
    <w:rPr>
      <w:rFonts w:ascii="Garamond" w:hAnsi="Garamond"/>
      <w:lang w:eastAsia="en-NZ"/>
    </w:rPr>
  </w:style>
  <w:style w:type="character" w:customStyle="1" w:styleId="ListBulletChar">
    <w:name w:val="List Bullet Char"/>
    <w:aliases w:val="List Bullet Title Char,List Bullet Title Char Char Char Char1,List Bullet Title Char Char Char Char Char,List Bullet1 Char Char,List Bullet Char Char Char Char Char Char Char Char,List Bullet Char Char Char Char Char1,List Bullet2 Char"/>
    <w:basedOn w:val="DefaultParagraphFont"/>
    <w:link w:val="ListBullet"/>
    <w:locked/>
    <w:rsid w:val="001408B7"/>
    <w:rPr>
      <w:rFonts w:ascii="Garamond" w:hAnsi="Garamond"/>
      <w:sz w:val="24"/>
      <w:szCs w:val="24"/>
      <w:lang w:eastAsia="en-NZ"/>
    </w:rPr>
  </w:style>
  <w:style w:type="character" w:customStyle="1" w:styleId="TitleChar">
    <w:name w:val="Title Char"/>
    <w:basedOn w:val="DefaultParagraphFont"/>
    <w:link w:val="Title"/>
    <w:uiPriority w:val="10"/>
    <w:rsid w:val="001408B7"/>
    <w:rPr>
      <w:rFonts w:ascii="Garamond" w:hAnsi="Garamond" w:cs="Arial"/>
      <w:b/>
      <w:bCs/>
      <w:kern w:val="28"/>
      <w:sz w:val="48"/>
      <w:szCs w:val="48"/>
      <w:lang w:eastAsia="en-NZ"/>
    </w:rPr>
  </w:style>
  <w:style w:type="character" w:styleId="SubtleEmphasis">
    <w:name w:val="Subtle Emphasis"/>
    <w:basedOn w:val="DefaultParagraphFont"/>
    <w:uiPriority w:val="19"/>
    <w:qFormat/>
    <w:rsid w:val="001408B7"/>
    <w:rPr>
      <w:i/>
      <w:iCs/>
      <w:color w:val="808080" w:themeColor="text1" w:themeTint="7F"/>
    </w:rPr>
  </w:style>
  <w:style w:type="paragraph" w:styleId="ListParagraph">
    <w:name w:val="List Paragraph"/>
    <w:basedOn w:val="Normal"/>
    <w:uiPriority w:val="34"/>
    <w:qFormat/>
    <w:rsid w:val="001408B7"/>
    <w:pPr>
      <w:spacing w:after="200" w:line="276" w:lineRule="auto"/>
      <w:ind w:left="720"/>
      <w:contextualSpacing/>
      <w:jc w:val="left"/>
    </w:pPr>
    <w:rPr>
      <w:rFonts w:ascii="Times New Roman" w:eastAsia="Calibri" w:hAnsi="Times New Roman"/>
      <w:szCs w:val="22"/>
      <w:lang w:eastAsia="en-US"/>
    </w:rPr>
  </w:style>
  <w:style w:type="character" w:customStyle="1" w:styleId="BodyTextChar">
    <w:name w:val="Body Text Char"/>
    <w:aliases w:val="sub Char,Body Tex Char,Body Text Char Char Char Char,Body Text Char Char Char1,1body Char,BodText Char,bt Char,body text Char,Body Txt Char,heading3 Char,3 indent Char,heading31 Char,body text1 Char,3 indent1 Char,heading32 Char,b Char"/>
    <w:link w:val="BodyText"/>
    <w:rsid w:val="00DE20B8"/>
    <w:rPr>
      <w:rFonts w:ascii="Garamond" w:hAnsi="Garamond"/>
      <w:sz w:val="24"/>
      <w:szCs w:val="24"/>
      <w:lang w:eastAsia="en-NZ"/>
    </w:rPr>
  </w:style>
  <w:style w:type="character" w:customStyle="1" w:styleId="SubheadingChar">
    <w:name w:val="Subheading Char"/>
    <w:link w:val="Subheading"/>
    <w:locked/>
    <w:rsid w:val="00DE20B8"/>
    <w:rPr>
      <w:rFonts w:ascii="Garamond" w:hAnsi="Garamond"/>
      <w:b/>
      <w:kern w:val="28"/>
      <w:sz w:val="24"/>
      <w:szCs w:val="24"/>
      <w:lang w:eastAsia="en-NZ"/>
    </w:rPr>
  </w:style>
  <w:style w:type="character" w:customStyle="1" w:styleId="ListBullet2Char">
    <w:name w:val="List Bullet 2 Char"/>
    <w:aliases w:val="List Bullet 2 Char Char Char Char"/>
    <w:link w:val="ListBullet2"/>
    <w:rsid w:val="009741BC"/>
    <w:rPr>
      <w:rFonts w:ascii="Garamond" w:hAnsi="Garamond"/>
      <w:sz w:val="24"/>
      <w:szCs w:val="24"/>
      <w:lang w:eastAsia="en-NZ"/>
    </w:rPr>
  </w:style>
  <w:style w:type="character" w:styleId="PlaceholderText">
    <w:name w:val="Placeholder Text"/>
    <w:basedOn w:val="DefaultParagraphFont"/>
    <w:uiPriority w:val="99"/>
    <w:semiHidden/>
    <w:rsid w:val="007456A9"/>
    <w:rPr>
      <w:color w:val="808080"/>
    </w:rPr>
  </w:style>
  <w:style w:type="character" w:customStyle="1" w:styleId="FootnoteTextChar">
    <w:name w:val="Footnote Text Char"/>
    <w:aliases w:val="fn Char,FOOTNOTES Char,single space Char,ALTS FOOTNOTE Char,Footnote Text Char1 Char,Footnote Text Char Char Char,Note de bas de page Car Char,footnote text Char,Fodnotetekst Tegn Char1,Fodnotetekst Tegn Char Char,footnote Char,f Char"/>
    <w:link w:val="FootnoteText"/>
    <w:rsid w:val="00AE7C20"/>
    <w:rPr>
      <w:rFonts w:ascii="Garamond" w:hAnsi="Garamond"/>
      <w:sz w:val="18"/>
      <w:lang w:eastAsia="en-NZ"/>
    </w:rPr>
  </w:style>
  <w:style w:type="paragraph" w:customStyle="1" w:styleId="Paragraph">
    <w:name w:val="Paragraph"/>
    <w:aliases w:val="paragraph,p,PARAGRAPH,PG,pa,at"/>
    <w:basedOn w:val="BodyTextIndent"/>
    <w:link w:val="ParagraphChar"/>
    <w:qFormat/>
    <w:rsid w:val="004202A1"/>
    <w:pPr>
      <w:tabs>
        <w:tab w:val="num" w:pos="720"/>
      </w:tabs>
      <w:spacing w:before="120"/>
      <w:ind w:hanging="720"/>
      <w:outlineLvl w:val="1"/>
    </w:pPr>
    <w:rPr>
      <w:rFonts w:ascii="Times New Roman" w:eastAsia="Calibri" w:hAnsi="Times New Roman"/>
      <w:szCs w:val="22"/>
      <w:lang w:val="x-none" w:eastAsia="x-none"/>
    </w:rPr>
  </w:style>
  <w:style w:type="character" w:customStyle="1" w:styleId="ParagraphChar">
    <w:name w:val="Paragraph Char"/>
    <w:link w:val="Paragraph"/>
    <w:rsid w:val="004202A1"/>
    <w:rPr>
      <w:rFonts w:eastAsia="Calibri"/>
      <w:sz w:val="24"/>
      <w:szCs w:val="22"/>
      <w:lang w:val="x-none" w:eastAsia="x-none"/>
    </w:rPr>
  </w:style>
  <w:style w:type="paragraph" w:customStyle="1" w:styleId="AbbrDesc">
    <w:name w:val="AbbrDesc"/>
    <w:basedOn w:val="Normal"/>
    <w:rsid w:val="004202A1"/>
    <w:pPr>
      <w:tabs>
        <w:tab w:val="left" w:pos="3060"/>
      </w:tabs>
    </w:pPr>
    <w:rPr>
      <w:rFonts w:ascii="Times New Roman" w:eastAsia="MS Mincho" w:hAnsi="Times New Roman"/>
      <w:lang w:eastAsia="en-US"/>
    </w:rPr>
  </w:style>
  <w:style w:type="paragraph" w:styleId="BodyTextIndent">
    <w:name w:val="Body Text Indent"/>
    <w:basedOn w:val="Normal"/>
    <w:link w:val="BodyTextIndentChar"/>
    <w:rsid w:val="004202A1"/>
    <w:pPr>
      <w:spacing w:after="120"/>
      <w:ind w:left="360"/>
    </w:pPr>
  </w:style>
  <w:style w:type="character" w:customStyle="1" w:styleId="BodyTextIndentChar">
    <w:name w:val="Body Text Indent Char"/>
    <w:basedOn w:val="DefaultParagraphFont"/>
    <w:link w:val="BodyTextIndent"/>
    <w:rsid w:val="004202A1"/>
    <w:rPr>
      <w:rFonts w:ascii="Garamond" w:hAnsi="Garamond"/>
      <w:sz w:val="24"/>
      <w:szCs w:val="24"/>
      <w:lang w:eastAsia="en-NZ"/>
    </w:rPr>
  </w:style>
  <w:style w:type="character" w:customStyle="1" w:styleId="Heading4Char">
    <w:name w:val="Heading 4 Char"/>
    <w:aliases w:val="Heading 4.a Char"/>
    <w:basedOn w:val="DefaultParagraphFont"/>
    <w:link w:val="Heading4"/>
    <w:rsid w:val="0074369A"/>
    <w:rPr>
      <w:rFonts w:ascii="Garamond" w:hAnsi="Garamond" w:cs="Arial"/>
      <w:b/>
      <w:kern w:val="28"/>
      <w:sz w:val="36"/>
      <w:szCs w:val="36"/>
      <w:lang w:eastAsia="en-NZ"/>
    </w:rPr>
  </w:style>
  <w:style w:type="paragraph" w:customStyle="1" w:styleId="AutoNumpara">
    <w:name w:val="AutoNumpara"/>
    <w:basedOn w:val="BodyTextIndent"/>
    <w:uiPriority w:val="99"/>
    <w:rsid w:val="0074369A"/>
    <w:pPr>
      <w:tabs>
        <w:tab w:val="num" w:pos="720"/>
      </w:tabs>
      <w:spacing w:before="120"/>
      <w:ind w:left="720" w:hanging="720"/>
    </w:pPr>
    <w:rPr>
      <w:rFonts w:ascii="Times New Roman" w:hAnsi="Times New Roman"/>
      <w:noProof/>
      <w:spacing w:val="-2"/>
      <w:szCs w:val="20"/>
      <w:lang w:val="es-ES_tradnl" w:eastAsia="x-none"/>
    </w:rPr>
  </w:style>
  <w:style w:type="paragraph" w:customStyle="1" w:styleId="11Paragraph">
    <w:name w:val="1.1 Paragraph"/>
    <w:basedOn w:val="Normal"/>
    <w:qFormat/>
    <w:rsid w:val="005034D9"/>
    <w:pPr>
      <w:numPr>
        <w:ilvl w:val="1"/>
        <w:numId w:val="14"/>
      </w:numPr>
      <w:spacing w:before="120" w:after="120"/>
    </w:pPr>
    <w:rPr>
      <w:rFonts w:ascii="Times New Roman" w:eastAsia="MS Mincho" w:hAnsi="Times New Roman"/>
      <w:lang w:val="es-ES_tradnl" w:eastAsia="en-US"/>
    </w:rPr>
  </w:style>
  <w:style w:type="paragraph" w:customStyle="1" w:styleId="Default">
    <w:name w:val="Default"/>
    <w:rsid w:val="00ED10BE"/>
    <w:pPr>
      <w:autoSpaceDE w:val="0"/>
      <w:autoSpaceDN w:val="0"/>
      <w:adjustRightInd w:val="0"/>
    </w:pPr>
    <w:rPr>
      <w:color w:val="000000"/>
      <w:sz w:val="24"/>
      <w:szCs w:val="24"/>
    </w:rPr>
  </w:style>
  <w:style w:type="paragraph" w:styleId="Revision">
    <w:name w:val="Revision"/>
    <w:hidden/>
    <w:uiPriority w:val="99"/>
    <w:semiHidden/>
    <w:rsid w:val="003D4329"/>
    <w:rPr>
      <w:rFonts w:ascii="Garamond" w:hAnsi="Garamond"/>
      <w:sz w:val="24"/>
      <w:szCs w:val="24"/>
      <w:lang w:eastAsia="en-NZ"/>
    </w:rPr>
  </w:style>
  <w:style w:type="paragraph" w:customStyle="1" w:styleId="Newpage">
    <w:name w:val="Newpage"/>
    <w:basedOn w:val="Normal"/>
    <w:link w:val="NewpageChar"/>
    <w:rsid w:val="005F713E"/>
    <w:pPr>
      <w:keepNext/>
      <w:tabs>
        <w:tab w:val="left" w:pos="1440"/>
        <w:tab w:val="left" w:pos="3060"/>
      </w:tabs>
      <w:spacing w:before="240"/>
      <w:jc w:val="center"/>
    </w:pPr>
    <w:rPr>
      <w:rFonts w:ascii="Times New Roman" w:hAnsi="Times New Roman"/>
      <w:b/>
      <w:smallCaps/>
      <w:szCs w:val="20"/>
      <w:lang w:eastAsia="en-US"/>
    </w:rPr>
  </w:style>
  <w:style w:type="character" w:customStyle="1" w:styleId="NewpageChar">
    <w:name w:val="Newpage Char"/>
    <w:link w:val="Newpage"/>
    <w:rsid w:val="005F713E"/>
    <w:rPr>
      <w:b/>
      <w:smallCaps/>
      <w:sz w:val="24"/>
    </w:rPr>
  </w:style>
  <w:style w:type="character" w:customStyle="1" w:styleId="FooterChar">
    <w:name w:val="Footer Char"/>
    <w:basedOn w:val="DefaultParagraphFont"/>
    <w:link w:val="Footer"/>
    <w:uiPriority w:val="99"/>
    <w:rsid w:val="0057082B"/>
    <w:rPr>
      <w:rFonts w:ascii="Garamond" w:hAnsi="Garamond"/>
      <w:szCs w:val="24"/>
      <w:lang w:eastAsia="en-NZ"/>
    </w:rPr>
  </w:style>
  <w:style w:type="character" w:customStyle="1" w:styleId="TableTextChar">
    <w:name w:val="Table Text Char"/>
    <w:basedOn w:val="DefaultParagraphFont"/>
    <w:link w:val="TableText"/>
    <w:locked/>
    <w:rsid w:val="003E736F"/>
    <w:rPr>
      <w:rFonts w:ascii="Garamond" w:hAnsi="Garamond"/>
      <w:sz w:val="22"/>
      <w:szCs w:val="24"/>
      <w:lang w:eastAsia="en-NZ"/>
    </w:rPr>
  </w:style>
  <w:style w:type="paragraph" w:customStyle="1" w:styleId="Chapter">
    <w:name w:val="Chapter"/>
    <w:basedOn w:val="Normal"/>
    <w:next w:val="Normal"/>
    <w:rsid w:val="00616B9B"/>
    <w:pPr>
      <w:keepNext/>
      <w:tabs>
        <w:tab w:val="num" w:pos="648"/>
        <w:tab w:val="left" w:pos="1440"/>
      </w:tabs>
      <w:spacing w:before="240" w:after="240"/>
      <w:ind w:firstLine="288"/>
      <w:jc w:val="center"/>
    </w:pPr>
    <w:rPr>
      <w:rFonts w:ascii="Times New Roman" w:hAnsi="Times New Roman"/>
      <w:b/>
      <w:smallCaps/>
      <w:szCs w:val="20"/>
      <w:lang w:val="es-ES_tradnl" w:eastAsia="en-US"/>
    </w:rPr>
  </w:style>
  <w:style w:type="paragraph" w:customStyle="1" w:styleId="subpar">
    <w:name w:val="subpar"/>
    <w:basedOn w:val="BodyTextIndent3"/>
    <w:rsid w:val="00616B9B"/>
    <w:pPr>
      <w:tabs>
        <w:tab w:val="num" w:pos="360"/>
        <w:tab w:val="num" w:pos="1152"/>
      </w:tabs>
      <w:spacing w:before="120"/>
      <w:ind w:left="1152"/>
      <w:outlineLvl w:val="2"/>
    </w:pPr>
    <w:rPr>
      <w:rFonts w:ascii="Times New Roman" w:hAnsi="Times New Roman"/>
      <w:sz w:val="24"/>
      <w:szCs w:val="20"/>
      <w:lang w:val="es-ES_tradnl" w:eastAsia="en-US"/>
    </w:rPr>
  </w:style>
  <w:style w:type="paragraph" w:customStyle="1" w:styleId="SubSubPar">
    <w:name w:val="SubSubPar"/>
    <w:basedOn w:val="subpar"/>
    <w:rsid w:val="00616B9B"/>
    <w:pPr>
      <w:tabs>
        <w:tab w:val="left" w:pos="0"/>
        <w:tab w:val="num" w:pos="1296"/>
      </w:tabs>
      <w:ind w:left="1296"/>
    </w:pPr>
  </w:style>
  <w:style w:type="paragraph" w:styleId="BodyTextIndent3">
    <w:name w:val="Body Text Indent 3"/>
    <w:basedOn w:val="Normal"/>
    <w:link w:val="BodyTextIndent3Char"/>
    <w:semiHidden/>
    <w:unhideWhenUsed/>
    <w:rsid w:val="00616B9B"/>
    <w:pPr>
      <w:spacing w:after="120"/>
      <w:ind w:left="360"/>
    </w:pPr>
    <w:rPr>
      <w:sz w:val="16"/>
      <w:szCs w:val="16"/>
    </w:rPr>
  </w:style>
  <w:style w:type="character" w:customStyle="1" w:styleId="BodyTextIndent3Char">
    <w:name w:val="Body Text Indent 3 Char"/>
    <w:basedOn w:val="DefaultParagraphFont"/>
    <w:link w:val="BodyTextIndent3"/>
    <w:semiHidden/>
    <w:rsid w:val="00616B9B"/>
    <w:rPr>
      <w:rFonts w:ascii="Garamond" w:hAnsi="Garamond"/>
      <w:sz w:val="16"/>
      <w:szCs w:val="16"/>
      <w:lang w:eastAsia="en-NZ"/>
    </w:rPr>
  </w:style>
  <w:style w:type="table" w:styleId="TableGridLight">
    <w:name w:val="Grid Table Light"/>
    <w:basedOn w:val="TableNormal"/>
    <w:uiPriority w:val="40"/>
    <w:rsid w:val="006049CD"/>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CaptionChar">
    <w:name w:val="Caption Char"/>
    <w:link w:val="Caption"/>
    <w:locked/>
    <w:rsid w:val="003B00D0"/>
    <w:rPr>
      <w:rFonts w:ascii="Garamond" w:hAnsi="Garamond"/>
      <w:b/>
      <w:bCs/>
      <w:sz w:val="24"/>
      <w:lang w:eastAsia="en-NZ"/>
    </w:rPr>
  </w:style>
  <w:style w:type="character" w:customStyle="1" w:styleId="SourceNoteTextChar">
    <w:name w:val="Source/Note Text Char"/>
    <w:basedOn w:val="DefaultParagraphFont"/>
    <w:link w:val="SourceNoteText"/>
    <w:locked/>
    <w:rsid w:val="003B00D0"/>
    <w:rPr>
      <w:rFonts w:ascii="Garamond" w:hAnsi="Garamond"/>
      <w:szCs w:val="24"/>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79356">
      <w:bodyDiv w:val="1"/>
      <w:marLeft w:val="0"/>
      <w:marRight w:val="0"/>
      <w:marTop w:val="0"/>
      <w:marBottom w:val="0"/>
      <w:divBdr>
        <w:top w:val="none" w:sz="0" w:space="0" w:color="auto"/>
        <w:left w:val="none" w:sz="0" w:space="0" w:color="auto"/>
        <w:bottom w:val="none" w:sz="0" w:space="0" w:color="auto"/>
        <w:right w:val="none" w:sz="0" w:space="0" w:color="auto"/>
      </w:divBdr>
    </w:div>
    <w:div w:id="65959409">
      <w:bodyDiv w:val="1"/>
      <w:marLeft w:val="0"/>
      <w:marRight w:val="0"/>
      <w:marTop w:val="0"/>
      <w:marBottom w:val="0"/>
      <w:divBdr>
        <w:top w:val="none" w:sz="0" w:space="0" w:color="auto"/>
        <w:left w:val="none" w:sz="0" w:space="0" w:color="auto"/>
        <w:bottom w:val="none" w:sz="0" w:space="0" w:color="auto"/>
        <w:right w:val="none" w:sz="0" w:space="0" w:color="auto"/>
      </w:divBdr>
    </w:div>
    <w:div w:id="189296695">
      <w:bodyDiv w:val="1"/>
      <w:marLeft w:val="0"/>
      <w:marRight w:val="0"/>
      <w:marTop w:val="0"/>
      <w:marBottom w:val="0"/>
      <w:divBdr>
        <w:top w:val="none" w:sz="0" w:space="0" w:color="auto"/>
        <w:left w:val="none" w:sz="0" w:space="0" w:color="auto"/>
        <w:bottom w:val="none" w:sz="0" w:space="0" w:color="auto"/>
        <w:right w:val="none" w:sz="0" w:space="0" w:color="auto"/>
      </w:divBdr>
    </w:div>
    <w:div w:id="504514684">
      <w:bodyDiv w:val="1"/>
      <w:marLeft w:val="0"/>
      <w:marRight w:val="0"/>
      <w:marTop w:val="0"/>
      <w:marBottom w:val="0"/>
      <w:divBdr>
        <w:top w:val="none" w:sz="0" w:space="0" w:color="auto"/>
        <w:left w:val="none" w:sz="0" w:space="0" w:color="auto"/>
        <w:bottom w:val="none" w:sz="0" w:space="0" w:color="auto"/>
        <w:right w:val="none" w:sz="0" w:space="0" w:color="auto"/>
      </w:divBdr>
    </w:div>
    <w:div w:id="604460413">
      <w:bodyDiv w:val="1"/>
      <w:marLeft w:val="0"/>
      <w:marRight w:val="0"/>
      <w:marTop w:val="0"/>
      <w:marBottom w:val="0"/>
      <w:divBdr>
        <w:top w:val="none" w:sz="0" w:space="0" w:color="auto"/>
        <w:left w:val="none" w:sz="0" w:space="0" w:color="auto"/>
        <w:bottom w:val="none" w:sz="0" w:space="0" w:color="auto"/>
        <w:right w:val="none" w:sz="0" w:space="0" w:color="auto"/>
      </w:divBdr>
    </w:div>
    <w:div w:id="719862807">
      <w:bodyDiv w:val="1"/>
      <w:marLeft w:val="0"/>
      <w:marRight w:val="0"/>
      <w:marTop w:val="0"/>
      <w:marBottom w:val="0"/>
      <w:divBdr>
        <w:top w:val="none" w:sz="0" w:space="0" w:color="auto"/>
        <w:left w:val="none" w:sz="0" w:space="0" w:color="auto"/>
        <w:bottom w:val="none" w:sz="0" w:space="0" w:color="auto"/>
        <w:right w:val="none" w:sz="0" w:space="0" w:color="auto"/>
      </w:divBdr>
    </w:div>
    <w:div w:id="890381331">
      <w:bodyDiv w:val="1"/>
      <w:marLeft w:val="0"/>
      <w:marRight w:val="0"/>
      <w:marTop w:val="0"/>
      <w:marBottom w:val="0"/>
      <w:divBdr>
        <w:top w:val="none" w:sz="0" w:space="0" w:color="auto"/>
        <w:left w:val="none" w:sz="0" w:space="0" w:color="auto"/>
        <w:bottom w:val="none" w:sz="0" w:space="0" w:color="auto"/>
        <w:right w:val="none" w:sz="0" w:space="0" w:color="auto"/>
      </w:divBdr>
    </w:div>
    <w:div w:id="914315442">
      <w:bodyDiv w:val="1"/>
      <w:marLeft w:val="0"/>
      <w:marRight w:val="0"/>
      <w:marTop w:val="0"/>
      <w:marBottom w:val="0"/>
      <w:divBdr>
        <w:top w:val="none" w:sz="0" w:space="0" w:color="auto"/>
        <w:left w:val="none" w:sz="0" w:space="0" w:color="auto"/>
        <w:bottom w:val="none" w:sz="0" w:space="0" w:color="auto"/>
        <w:right w:val="none" w:sz="0" w:space="0" w:color="auto"/>
      </w:divBdr>
    </w:div>
    <w:div w:id="960649331">
      <w:bodyDiv w:val="1"/>
      <w:marLeft w:val="0"/>
      <w:marRight w:val="0"/>
      <w:marTop w:val="0"/>
      <w:marBottom w:val="0"/>
      <w:divBdr>
        <w:top w:val="none" w:sz="0" w:space="0" w:color="auto"/>
        <w:left w:val="none" w:sz="0" w:space="0" w:color="auto"/>
        <w:bottom w:val="none" w:sz="0" w:space="0" w:color="auto"/>
        <w:right w:val="none" w:sz="0" w:space="0" w:color="auto"/>
      </w:divBdr>
    </w:div>
    <w:div w:id="1033925563">
      <w:bodyDiv w:val="1"/>
      <w:marLeft w:val="0"/>
      <w:marRight w:val="0"/>
      <w:marTop w:val="0"/>
      <w:marBottom w:val="0"/>
      <w:divBdr>
        <w:top w:val="none" w:sz="0" w:space="0" w:color="auto"/>
        <w:left w:val="none" w:sz="0" w:space="0" w:color="auto"/>
        <w:bottom w:val="none" w:sz="0" w:space="0" w:color="auto"/>
        <w:right w:val="none" w:sz="0" w:space="0" w:color="auto"/>
      </w:divBdr>
    </w:div>
    <w:div w:id="1128626075">
      <w:bodyDiv w:val="1"/>
      <w:marLeft w:val="0"/>
      <w:marRight w:val="0"/>
      <w:marTop w:val="0"/>
      <w:marBottom w:val="0"/>
      <w:divBdr>
        <w:top w:val="none" w:sz="0" w:space="0" w:color="auto"/>
        <w:left w:val="none" w:sz="0" w:space="0" w:color="auto"/>
        <w:bottom w:val="none" w:sz="0" w:space="0" w:color="auto"/>
        <w:right w:val="none" w:sz="0" w:space="0" w:color="auto"/>
      </w:divBdr>
    </w:div>
    <w:div w:id="1165587698">
      <w:bodyDiv w:val="1"/>
      <w:marLeft w:val="0"/>
      <w:marRight w:val="0"/>
      <w:marTop w:val="0"/>
      <w:marBottom w:val="0"/>
      <w:divBdr>
        <w:top w:val="none" w:sz="0" w:space="0" w:color="auto"/>
        <w:left w:val="none" w:sz="0" w:space="0" w:color="auto"/>
        <w:bottom w:val="none" w:sz="0" w:space="0" w:color="auto"/>
        <w:right w:val="none" w:sz="0" w:space="0" w:color="auto"/>
      </w:divBdr>
    </w:div>
    <w:div w:id="1558782996">
      <w:bodyDiv w:val="1"/>
      <w:marLeft w:val="0"/>
      <w:marRight w:val="0"/>
      <w:marTop w:val="0"/>
      <w:marBottom w:val="0"/>
      <w:divBdr>
        <w:top w:val="none" w:sz="0" w:space="0" w:color="auto"/>
        <w:left w:val="none" w:sz="0" w:space="0" w:color="auto"/>
        <w:bottom w:val="none" w:sz="0" w:space="0" w:color="auto"/>
        <w:right w:val="none" w:sz="0" w:space="0" w:color="auto"/>
      </w:divBdr>
    </w:div>
    <w:div w:id="1749225506">
      <w:bodyDiv w:val="1"/>
      <w:marLeft w:val="0"/>
      <w:marRight w:val="0"/>
      <w:marTop w:val="0"/>
      <w:marBottom w:val="0"/>
      <w:divBdr>
        <w:top w:val="none" w:sz="0" w:space="0" w:color="auto"/>
        <w:left w:val="none" w:sz="0" w:space="0" w:color="auto"/>
        <w:bottom w:val="none" w:sz="0" w:space="0" w:color="auto"/>
        <w:right w:val="none" w:sz="0" w:space="0" w:color="auto"/>
      </w:divBdr>
    </w:div>
    <w:div w:id="2046170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footnotes" Target="footnotes.xml"/><Relationship Id="rId17" Type="http://schemas.microsoft.com/office/2011/relationships/commentsExtended" Target="commentsExtended.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yperlink" Target="http://idbdocs.iadb.org/wsdocs/getDocument.aspx?DOCNUM=39683421"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microsoft.com/office/2011/relationships/people" Target="peop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yperlink" Target="http://idbdocs.iadb.org/wsdocs/getDocument.aspx?DOCNUM=39683421"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oter" Target="footer1.xml"/><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www1.eere.energy.gov/geothermal/faqs.html" TargetMode="External"/><Relationship Id="rId7" Type="http://schemas.openxmlformats.org/officeDocument/2006/relationships/hyperlink" Target="http://www.eia.gov/tools/faqs/faq.cfm?id=74&amp;t=11" TargetMode="External"/><Relationship Id="rId2" Type="http://schemas.openxmlformats.org/officeDocument/2006/relationships/hyperlink" Target="http://www.eia.gov/tools/faqs/faq.cfm?id=74&amp;t=11" TargetMode="External"/><Relationship Id="rId1" Type="http://schemas.openxmlformats.org/officeDocument/2006/relationships/hyperlink" Target="https://www1.eere.energy.gov/buildings/appliance_standards/commercial/pdfs/ch_9_ashrae_nopr_tsd.pdf" TargetMode="External"/><Relationship Id="rId6" Type="http://schemas.openxmlformats.org/officeDocument/2006/relationships/hyperlink" Target="https://www1.eere.energy.gov/buildings/appliance_standards/commercial/pdfs/ch_9_ashrae_nopr_tsd.pdf" TargetMode="External"/><Relationship Id="rId5" Type="http://schemas.openxmlformats.org/officeDocument/2006/relationships/hyperlink" Target="https://www.lucelec.com/content/energy-rates" TargetMode="External"/><Relationship Id="rId4" Type="http://schemas.openxmlformats.org/officeDocument/2006/relationships/hyperlink" Target="http://www.domlec.dm/index.php/our-company/news/24-domlec-tariff-shee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s\Castalia%20report%20US\Castalia%20Large%20Reports%20U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 xsi:nil="true"/>
    <TaxCatchAll xmlns="cdc7663a-08f0-4737-9e8c-148ce897a09c">
      <Value>20</Value>
      <Value>26</Value>
      <Value>86</Value>
      <Value>85</Value>
      <Value>7</Value>
    </TaxCatchAll>
    <Phase xmlns="cdc7663a-08f0-4737-9e8c-148ce897a09c" xsi:nil="true"/>
    <SISCOR_x0020_Number xmlns="cdc7663a-08f0-4737-9e8c-148ce897a09c" xsi:nil="true"/>
    <Division_x0020_or_x0020_Unit xmlns="cdc7663a-08f0-4737-9e8c-148ce897a09c">INE/ENE</Division_x0020_or_x0020_Unit>
    <Approval_x0020_Number xmlns="cdc7663a-08f0-4737-9e8c-148ce897a09c" xsi:nil="true"/>
    <Document_x0020_Author xmlns="cdc7663a-08f0-4737-9e8c-148ce897a09c">Bonifaz Urquizu, Jeanette</Document_x0020_Author>
    <Fiscal_x0020_Year_x0020_IDB xmlns="cdc7663a-08f0-4737-9e8c-148ce897a09c">2018</Fiscal_x0020_Year_x0020_IDB>
    <Other_x0020_Author xmlns="cdc7663a-08f0-4737-9e8c-148ce897a09c" xsi:nil="true"/>
    <Project_x0020_Number xmlns="cdc7663a-08f0-4737-9e8c-148ce897a09c">RG-L1112</Project_x0020_Number>
    <Package_x0020_Code xmlns="cdc7663a-08f0-4737-9e8c-148ce897a09c" xsi:nil="true"/>
    <Key_x0020_Document xmlns="cdc7663a-08f0-4737-9e8c-148ce897a09c" xsi:nil="true"/>
    <Migration_x0020_Info xmlns="cdc7663a-08f0-4737-9e8c-148ce897a09c" xsi:nil="true"/>
    <Operation_x0020_Type xmlns="cdc7663a-08f0-4737-9e8c-148ce897a09c">Loan Operation</Operation_x0020_Type>
    <Document_x0020_Language_x0020_IDB xmlns="cdc7663a-08f0-4737-9e8c-148ce897a09c">English</Document_x0020_Language_x0020_IDB>
    <Identifier xmlns="cdc7663a-08f0-4737-9e8c-148ce897a09c" xsi:nil="true"/>
    <Access_x0020_to_x0020_Information_x00a0_Policy xmlns="cdc7663a-08f0-4737-9e8c-148ce897a09c">Public - Simultaneous Disclosure</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75689d2d-7a16-471d-b709-fbca189b4de2</TermId>
        </TermInfo>
      </Terms>
    </b2ec7cfb18674cb8803df6b262e8b107>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GRN</TermName>
          <TermId xmlns="http://schemas.microsoft.com/office/infopath/2007/PartnerControls">d0f1dc7f-e162-4a9c-9421-b7d8c382a710</TermId>
        </TermInfo>
      </Terms>
    </g511464f9e53401d84b16fa9b379a574>
    <Related_x0020_SisCor_x0020_Number xmlns="cdc7663a-08f0-4737-9e8c-148ce897a09c" xsi:nil="true"/>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R0001328574</Record_x0020_Number>
    <_dlc_DocId xmlns="cdc7663a-08f0-4737-9e8c-148ce897a09c">EZSHARE-272729925-38</_dlc_DocId>
    <_dlc_DocIdUrl xmlns="cdc7663a-08f0-4737-9e8c-148ce897a09c">
      <Url>https://idbg.sharepoint.com/teams/EZ-RG-LON/RG-L1112/_layouts/15/DocIdRedir.aspx?ID=EZSHARE-272729925-38</Url>
      <Description>EZSHARE-272729925-38</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CDC7C1DE0E17643823C94CEB3B7E6C7" ma:contentTypeVersion="516" ma:contentTypeDescription="A content type to manage public (operations) IDB documents" ma:contentTypeScope="" ma:versionID="837e8e783c2d4cc2fc8fbdfde4ed12bb">
  <xsd:schema xmlns:xsd="http://www.w3.org/2001/XMLSchema" xmlns:xs="http://www.w3.org/2001/XMLSchema" xmlns:p="http://schemas.microsoft.com/office/2006/metadata/properties" xmlns:ns2="cdc7663a-08f0-4737-9e8c-148ce897a09c" targetNamespace="http://schemas.microsoft.com/office/2006/metadata/properties" ma:root="true" ma:fieldsID="833c980aec3a9032a337da1ebef40df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L1112"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UBR Contact"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8C7D07-BC26-496B-958E-96F32EE52A59}">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cdc7663a-08f0-4737-9e8c-148ce897a09c"/>
    <ds:schemaRef ds:uri="http://www.w3.org/XML/1998/namespace"/>
    <ds:schemaRef ds:uri="http://purl.org/dc/dcmitype/"/>
  </ds:schemaRefs>
</ds:datastoreItem>
</file>

<file path=customXml/itemProps2.xml><?xml version="1.0" encoding="utf-8"?>
<ds:datastoreItem xmlns:ds="http://schemas.openxmlformats.org/officeDocument/2006/customXml" ds:itemID="{D4004592-079A-4E69-BB2E-031A9698724B}"/>
</file>

<file path=customXml/itemProps3.xml><?xml version="1.0" encoding="utf-8"?>
<ds:datastoreItem xmlns:ds="http://schemas.openxmlformats.org/officeDocument/2006/customXml" ds:itemID="{41DCF61F-32D2-4EC5-8D32-E3ECBF1D092D}">
  <ds:schemaRefs>
    <ds:schemaRef ds:uri="http://schemas.microsoft.com/sharepoint/events"/>
  </ds:schemaRefs>
</ds:datastoreItem>
</file>

<file path=customXml/itemProps4.xml><?xml version="1.0" encoding="utf-8"?>
<ds:datastoreItem xmlns:ds="http://schemas.openxmlformats.org/officeDocument/2006/customXml" ds:itemID="{AB786962-1193-4479-B866-5E6A6377DC0F}"/>
</file>

<file path=customXml/itemProps5.xml><?xml version="1.0" encoding="utf-8"?>
<ds:datastoreItem xmlns:ds="http://schemas.openxmlformats.org/officeDocument/2006/customXml" ds:itemID="{9CD21FBF-A415-48B3-B071-849407C3ED7E}"/>
</file>

<file path=customXml/itemProps6.xml><?xml version="1.0" encoding="utf-8"?>
<ds:datastoreItem xmlns:ds="http://schemas.openxmlformats.org/officeDocument/2006/customXml" ds:itemID="{58AB0E3D-17C2-470C-B393-A3EB8444D715}">
  <ds:schemaRefs>
    <ds:schemaRef ds:uri="http://schemas.microsoft.com/sharepoint/v3/contenttype/forms"/>
  </ds:schemaRefs>
</ds:datastoreItem>
</file>

<file path=customXml/itemProps7.xml><?xml version="1.0" encoding="utf-8"?>
<ds:datastoreItem xmlns:ds="http://schemas.openxmlformats.org/officeDocument/2006/customXml" ds:itemID="{D2B3365B-AFD3-4004-A7D1-93CC26445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Castalia Large Reports US.dotm</Template>
  <TotalTime>371</TotalTime>
  <Pages>30</Pages>
  <Words>9943</Words>
  <Characters>58809</Characters>
  <Application>Microsoft Office Word</Application>
  <DocSecurity>0</DocSecurity>
  <Lines>490</Lines>
  <Paragraphs>137</Paragraphs>
  <ScaleCrop>false</ScaleCrop>
  <HeadingPairs>
    <vt:vector size="2" baseType="variant">
      <vt:variant>
        <vt:lpstr>Title</vt:lpstr>
      </vt:variant>
      <vt:variant>
        <vt:i4>1</vt:i4>
      </vt:variant>
    </vt:vector>
  </HeadingPairs>
  <TitlesOfParts>
    <vt:vector size="1" baseType="lpstr">
      <vt:lpstr>Required E-Link M_E Arrangements</vt:lpstr>
    </vt:vector>
  </TitlesOfParts>
  <Company>Castalia Limited</Company>
  <LinksUpToDate>false</LinksUpToDate>
  <CharactersWithSpaces>68615</CharactersWithSpaces>
  <SharedDoc>false</SharedDoc>
  <HLinks>
    <vt:vector size="12" baseType="variant">
      <vt:variant>
        <vt:i4>1310777</vt:i4>
      </vt:variant>
      <vt:variant>
        <vt:i4>19</vt:i4>
      </vt:variant>
      <vt:variant>
        <vt:i4>0</vt:i4>
      </vt:variant>
      <vt:variant>
        <vt:i4>5</vt:i4>
      </vt:variant>
      <vt:variant>
        <vt:lpwstr/>
      </vt:variant>
      <vt:variant>
        <vt:lpwstr>_Toc250731801</vt:lpwstr>
      </vt:variant>
      <vt:variant>
        <vt:i4>1310777</vt:i4>
      </vt:variant>
      <vt:variant>
        <vt:i4>10</vt:i4>
      </vt:variant>
      <vt:variant>
        <vt:i4>0</vt:i4>
      </vt:variant>
      <vt:variant>
        <vt:i4>5</vt:i4>
      </vt:variant>
      <vt:variant>
        <vt:lpwstr/>
      </vt:variant>
      <vt:variant>
        <vt:lpwstr>_Toc250731800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Required E-Link M_E Arrangements</dc:title>
  <dc:creator>Scarlett Santana</dc:creator>
  <cp:keywords/>
  <dc:description>Release date:  13 July 2010</dc:description>
  <cp:lastModifiedBy>Gonzalez Torres, Camila</cp:lastModifiedBy>
  <cp:revision>210</cp:revision>
  <cp:lastPrinted>2017-09-26T22:34:00Z</cp:lastPrinted>
  <dcterms:created xsi:type="dcterms:W3CDTF">2018-05-02T22:49:00Z</dcterms:created>
  <dcterms:modified xsi:type="dcterms:W3CDTF">2018-11-26T23:03:00Z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Disclosure Activity">
    <vt:lpwstr>Loan Proposal</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6;#Unclassified|a6dff32e-d477-44cd-a56b-85efe9e0a56c</vt:lpwstr>
  </property>
  <property fmtid="{D5CDD505-2E9C-101B-9397-08002B2CF9AE}" pid="8" name="Sub-Sector">
    <vt:lpwstr>85;#ENERGY|75689d2d-7a16-471d-b709-fbca189b4de2</vt:lpwstr>
  </property>
  <property fmtid="{D5CDD505-2E9C-101B-9397-08002B2CF9AE}" pid="9" name="Country">
    <vt:lpwstr>20;#Regional|2537a5b7-6d8e-482c-94dc-32c3cc44ff65</vt:lpwstr>
  </property>
  <property fmtid="{D5CDD505-2E9C-101B-9397-08002B2CF9AE}" pid="10" name="Fund IDB">
    <vt:lpwstr>86;#GRN|d0f1dc7f-e162-4a9c-9421-b7d8c382a710</vt:lpwstr>
  </property>
  <property fmtid="{D5CDD505-2E9C-101B-9397-08002B2CF9AE}" pid="11" name="Series_x0020_Operations_x0020_IDB">
    <vt:lpwstr>6;#Unclassified|a6dff32e-d477-44cd-a56b-85efe9e0a56c</vt:lpwstr>
  </property>
  <property fmtid="{D5CDD505-2E9C-101B-9397-08002B2CF9AE}" pid="12" name="Webtopic">
    <vt:lpwstr>EN-ALT</vt:lpwstr>
  </property>
  <property fmtid="{D5CDD505-2E9C-101B-9397-08002B2CF9AE}" pid="13" name="Sector IDB">
    <vt:lpwstr>26;#ENERGY|4fed196a-cd0b-4970-87de-42da17f9b203</vt:lpwstr>
  </property>
  <property fmtid="{D5CDD505-2E9C-101B-9397-08002B2CF9AE}" pid="14" name="Function Operations IDB">
    <vt:lpwstr>7;#Goods and Services|5bfebf1b-9f1f-4411-b1dd-4c19b807b799</vt:lpwstr>
  </property>
  <property fmtid="{D5CDD505-2E9C-101B-9397-08002B2CF9AE}" pid="15" name="RecordStorageActiveId">
    <vt:lpwstr>02034f4c-41e6-40a9-a154-f4cb4bb925f9</vt:lpwstr>
  </property>
  <property fmtid="{D5CDD505-2E9C-101B-9397-08002B2CF9AE}" pid="16" name="_dlc_DocIdItemGuid">
    <vt:lpwstr>93463b77-02a7-401e-8816-70084ef66029</vt:lpwstr>
  </property>
  <property fmtid="{D5CDD505-2E9C-101B-9397-08002B2CF9AE}" pid="17" name="ContentTypeId">
    <vt:lpwstr>0x0101001A458A224826124E8B45B1D613300CFC00BCDC7C1DE0E17643823C94CEB3B7E6C7</vt:lpwstr>
  </property>
</Properties>
</file>