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0156" w:rsidRPr="00E666A5" w:rsidRDefault="00041F29" w:rsidP="00D80156">
      <w:pPr>
        <w:jc w:val="center"/>
        <w:rPr>
          <w:rFonts w:ascii="Arial" w:hAnsi="Arial" w:cs="Arial"/>
          <w:b/>
          <w:smallCaps/>
          <w:lang w:val="es-ES_tradnl"/>
        </w:rPr>
      </w:pP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r w:rsidRPr="00E666A5">
        <w:rPr>
          <w:rFonts w:ascii="Arial" w:hAnsi="Arial" w:cs="Arial"/>
          <w:b/>
          <w:lang w:val="es-ES_tradnl"/>
        </w:rPr>
        <w:tab/>
      </w:r>
    </w:p>
    <w:p w:rsidR="00D80156" w:rsidRPr="00E666A5" w:rsidRDefault="00D80156" w:rsidP="00D80156">
      <w:pPr>
        <w:spacing w:before="120"/>
        <w:jc w:val="center"/>
        <w:rPr>
          <w:rFonts w:ascii="Arial" w:hAnsi="Arial" w:cs="Arial"/>
          <w:b/>
          <w:i/>
          <w:smallCaps/>
          <w:lang w:val="es-ES_tradnl"/>
        </w:rPr>
      </w:pPr>
    </w:p>
    <w:p w:rsidR="00C444D9" w:rsidRPr="00E666A5" w:rsidRDefault="00C444D9" w:rsidP="00D80156">
      <w:pPr>
        <w:spacing w:before="120"/>
        <w:jc w:val="center"/>
        <w:rPr>
          <w:rFonts w:ascii="Arial" w:hAnsi="Arial" w:cs="Arial"/>
          <w:b/>
          <w:smallCaps/>
          <w:u w:val="single"/>
          <w:lang w:val="es-ES_tradnl"/>
        </w:rPr>
      </w:pPr>
      <w:r w:rsidRPr="00E666A5">
        <w:rPr>
          <w:rFonts w:ascii="Arial" w:hAnsi="Arial" w:cs="Arial"/>
          <w:b/>
          <w:smallCaps/>
          <w:u w:val="single"/>
          <w:lang w:val="es-ES_tradnl"/>
        </w:rPr>
        <w:t xml:space="preserve">BORRADOR </w:t>
      </w:r>
    </w:p>
    <w:p w:rsidR="00C444D9" w:rsidRPr="00E666A5" w:rsidRDefault="00C444D9"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r w:rsidRPr="00E666A5">
        <w:rPr>
          <w:rFonts w:ascii="Arial" w:hAnsi="Arial" w:cs="Arial"/>
          <w:b/>
          <w:smallCaps/>
          <w:lang w:val="es-ES_tradnl"/>
        </w:rPr>
        <w:t>Ecuador</w:t>
      </w:r>
    </w:p>
    <w:p w:rsidR="00D80156" w:rsidRPr="00E666A5" w:rsidRDefault="00D80156" w:rsidP="00D80156">
      <w:pPr>
        <w:jc w:val="center"/>
        <w:rPr>
          <w:rFonts w:ascii="Arial" w:hAnsi="Arial" w:cs="Arial"/>
          <w:b/>
          <w:smallCaps/>
          <w:lang w:val="es-ES_tradnl"/>
        </w:rPr>
      </w:pPr>
    </w:p>
    <w:p w:rsidR="00D80156" w:rsidRPr="00E666A5" w:rsidRDefault="00D80156" w:rsidP="00D80156">
      <w:pPr>
        <w:jc w:val="center"/>
        <w:rPr>
          <w:rFonts w:ascii="Arial" w:hAnsi="Arial" w:cs="Arial"/>
          <w:b/>
          <w:smallCaps/>
          <w:lang w:val="es-ES_tradnl"/>
        </w:rPr>
      </w:pPr>
    </w:p>
    <w:p w:rsidR="00D80156" w:rsidRPr="00E666A5" w:rsidRDefault="00D80156" w:rsidP="00D80156">
      <w:pPr>
        <w:jc w:val="center"/>
        <w:rPr>
          <w:rFonts w:ascii="Arial" w:hAnsi="Arial" w:cs="Arial"/>
          <w:b/>
          <w:smallCaps/>
          <w:lang w:val="es-ES_tradnl"/>
        </w:rPr>
      </w:pPr>
    </w:p>
    <w:p w:rsidR="00D80156" w:rsidRPr="00E666A5" w:rsidRDefault="00D80156" w:rsidP="00D80156">
      <w:pPr>
        <w:jc w:val="center"/>
        <w:rPr>
          <w:rFonts w:ascii="Arial" w:hAnsi="Arial" w:cs="Arial"/>
          <w:b/>
          <w:smallCaps/>
          <w:lang w:val="es-ES_tradnl"/>
        </w:rPr>
      </w:pPr>
    </w:p>
    <w:p w:rsidR="00D80156" w:rsidRPr="00E666A5" w:rsidRDefault="00D80156" w:rsidP="00D80156">
      <w:pPr>
        <w:tabs>
          <w:tab w:val="left" w:pos="1350"/>
        </w:tabs>
        <w:spacing w:before="120"/>
        <w:jc w:val="center"/>
        <w:rPr>
          <w:rFonts w:ascii="Arial" w:hAnsi="Arial" w:cs="Arial"/>
          <w:b/>
          <w:smallCaps/>
          <w:lang w:val="es-ES_tradnl"/>
        </w:rPr>
      </w:pPr>
      <w:bookmarkStart w:id="0" w:name="Text7"/>
      <w:r w:rsidRPr="00E666A5">
        <w:rPr>
          <w:rFonts w:ascii="Arial" w:hAnsi="Arial" w:cs="Arial"/>
          <w:b/>
          <w:smallCaps/>
          <w:lang w:val="es-ES_tradnl"/>
        </w:rPr>
        <w:t xml:space="preserve">FINANCIAMIENTO DE VIVIENDA SOCIAL EN ECUADOR </w:t>
      </w:r>
    </w:p>
    <w:p w:rsidR="00D80156" w:rsidRPr="00E666A5" w:rsidRDefault="00D80156" w:rsidP="00D80156">
      <w:pPr>
        <w:tabs>
          <w:tab w:val="left" w:pos="1350"/>
        </w:tabs>
        <w:spacing w:before="120"/>
        <w:jc w:val="center"/>
        <w:rPr>
          <w:rFonts w:ascii="Arial" w:hAnsi="Arial" w:cs="Arial"/>
          <w:b/>
          <w:smallCaps/>
          <w:lang w:val="es-ES_tradnl"/>
        </w:rPr>
      </w:pPr>
      <w:r w:rsidRPr="00E666A5">
        <w:rPr>
          <w:rFonts w:ascii="Arial" w:hAnsi="Arial" w:cs="Arial"/>
          <w:b/>
          <w:smallCaps/>
          <w:lang w:val="es-ES_tradnl"/>
        </w:rPr>
        <w:t>(</w:t>
      </w:r>
      <w:bookmarkEnd w:id="0"/>
      <w:r w:rsidRPr="00E666A5">
        <w:rPr>
          <w:rFonts w:ascii="Arial" w:hAnsi="Arial" w:cs="Arial"/>
          <w:b/>
          <w:smallCaps/>
          <w:lang w:val="es-ES_tradnl"/>
        </w:rPr>
        <w:t>EC-U0001)</w:t>
      </w: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r w:rsidRPr="00E666A5">
        <w:rPr>
          <w:rFonts w:ascii="Arial" w:hAnsi="Arial" w:cs="Arial"/>
          <w:b/>
          <w:smallCaps/>
          <w:lang w:val="es-ES_tradnl"/>
        </w:rPr>
        <w:t>Reglamento Operativo</w:t>
      </w:r>
    </w:p>
    <w:p w:rsidR="00D80156" w:rsidRPr="00E666A5" w:rsidRDefault="00D80156" w:rsidP="00D80156">
      <w:pPr>
        <w:spacing w:before="120"/>
        <w:jc w:val="center"/>
        <w:rPr>
          <w:rFonts w:ascii="Arial" w:hAnsi="Arial" w:cs="Arial"/>
          <w:b/>
          <w:smallCaps/>
          <w:lang w:val="es-ES_tradnl"/>
        </w:rPr>
      </w:pPr>
      <w:r w:rsidRPr="00E666A5">
        <w:rPr>
          <w:rFonts w:ascii="Arial" w:hAnsi="Arial" w:cs="Arial"/>
          <w:b/>
          <w:smallCaps/>
          <w:lang w:val="es-ES_tradnl"/>
        </w:rPr>
        <w:t xml:space="preserve">Borrador </w:t>
      </w: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p>
    <w:p w:rsidR="00D80156" w:rsidRPr="00E666A5" w:rsidRDefault="00D80156" w:rsidP="00D80156">
      <w:pPr>
        <w:spacing w:before="120"/>
        <w:jc w:val="center"/>
        <w:rPr>
          <w:rFonts w:ascii="Arial" w:hAnsi="Arial" w:cs="Arial"/>
          <w:b/>
          <w:smallCaps/>
          <w:lang w:val="es-ES_tradnl"/>
        </w:rPr>
      </w:pPr>
      <w:r w:rsidRPr="00E666A5">
        <w:rPr>
          <w:rFonts w:ascii="Arial" w:hAnsi="Arial" w:cs="Arial"/>
          <w:b/>
          <w:smallCaps/>
          <w:lang w:val="es-ES_tradnl"/>
        </w:rPr>
        <w:t>Octubre 2018</w:t>
      </w:r>
    </w:p>
    <w:p w:rsidR="00D80156" w:rsidRPr="00E666A5" w:rsidRDefault="00D80156">
      <w:pPr>
        <w:rPr>
          <w:rFonts w:ascii="Arial" w:hAnsi="Arial" w:cs="Arial"/>
          <w:b/>
          <w:smallCaps/>
          <w:lang w:val="es-ES_tradnl"/>
        </w:rPr>
      </w:pPr>
      <w:r w:rsidRPr="00E666A5">
        <w:rPr>
          <w:rFonts w:ascii="Arial" w:hAnsi="Arial" w:cs="Arial"/>
          <w:b/>
          <w:smallCaps/>
          <w:lang w:val="es-ES_tradnl"/>
        </w:rPr>
        <w:br w:type="page"/>
      </w:r>
    </w:p>
    <w:p w:rsidR="00D80156" w:rsidRPr="00E666A5" w:rsidRDefault="000434CA" w:rsidP="00D80156">
      <w:pPr>
        <w:spacing w:before="120"/>
        <w:jc w:val="center"/>
        <w:rPr>
          <w:rFonts w:ascii="Arial" w:hAnsi="Arial" w:cs="Arial"/>
          <w:b/>
          <w:smallCaps/>
          <w:lang w:val="es-ES_tradnl"/>
        </w:rPr>
      </w:pPr>
      <w:r w:rsidRPr="00E666A5">
        <w:rPr>
          <w:rFonts w:ascii="Arial" w:hAnsi="Arial" w:cs="Arial"/>
          <w:b/>
          <w:smallCaps/>
          <w:lang w:val="es-ES_tradnl"/>
        </w:rPr>
        <w:lastRenderedPageBreak/>
        <w:t>INDICE</w:t>
      </w:r>
    </w:p>
    <w:p w:rsidR="00D80156" w:rsidRPr="00E666A5" w:rsidRDefault="00D80156" w:rsidP="00D80156">
      <w:pPr>
        <w:spacing w:before="120"/>
        <w:jc w:val="center"/>
        <w:rPr>
          <w:rFonts w:ascii="Arial" w:hAnsi="Arial" w:cs="Arial"/>
          <w:highlight w:val="yellow"/>
          <w:lang w:val="es-ES_tradnl"/>
        </w:rPr>
      </w:pPr>
    </w:p>
    <w:sdt>
      <w:sdtPr>
        <w:rPr>
          <w:rFonts w:ascii="Arial" w:eastAsiaTheme="minorHAnsi" w:hAnsi="Arial" w:cs="Arial"/>
          <w:sz w:val="22"/>
          <w:szCs w:val="22"/>
          <w:lang w:val="es-ES_tradnl"/>
        </w:rPr>
        <w:id w:val="-1829356348"/>
        <w:docPartObj>
          <w:docPartGallery w:val="Table of Contents"/>
          <w:docPartUnique/>
        </w:docPartObj>
      </w:sdtPr>
      <w:sdtEndPr>
        <w:rPr>
          <w:b/>
          <w:bCs/>
        </w:rPr>
      </w:sdtEndPr>
      <w:sdtContent>
        <w:p w:rsidR="00C7682D" w:rsidRPr="00E666A5" w:rsidRDefault="00C7682D" w:rsidP="00C7682D">
          <w:pPr>
            <w:pStyle w:val="TOCHeading"/>
            <w:ind w:left="450" w:hanging="540"/>
            <w:rPr>
              <w:rFonts w:ascii="Arial" w:hAnsi="Arial" w:cs="Arial"/>
              <w:sz w:val="22"/>
              <w:szCs w:val="22"/>
              <w:lang w:val="es-ES_tradnl"/>
            </w:rPr>
          </w:pPr>
        </w:p>
        <w:p w:rsidR="00A9495A" w:rsidRPr="00E666A5" w:rsidRDefault="00C7682D">
          <w:pPr>
            <w:pStyle w:val="TOC1"/>
            <w:rPr>
              <w:rFonts w:eastAsiaTheme="minorEastAsia"/>
              <w:lang w:val="es-ES_tradnl"/>
            </w:rPr>
          </w:pPr>
          <w:r w:rsidRPr="00E666A5">
            <w:rPr>
              <w:bCs/>
              <w:lang w:val="es-ES_tradnl"/>
            </w:rPr>
            <w:fldChar w:fldCharType="begin"/>
          </w:r>
          <w:r w:rsidRPr="00E666A5">
            <w:rPr>
              <w:bCs/>
              <w:lang w:val="es-ES_tradnl"/>
            </w:rPr>
            <w:instrText xml:space="preserve"> TOC \o "1-3" \h \z \u </w:instrText>
          </w:r>
          <w:r w:rsidRPr="00E666A5">
            <w:rPr>
              <w:bCs/>
              <w:lang w:val="es-ES_tradnl"/>
            </w:rPr>
            <w:fldChar w:fldCharType="separate"/>
          </w:r>
          <w:hyperlink w:anchor="_Toc528941810" w:history="1">
            <w:r w:rsidR="00A9495A" w:rsidRPr="00E666A5">
              <w:rPr>
                <w:rStyle w:val="Hyperlink"/>
                <w:rFonts w:ascii="Arial" w:hAnsi="Arial" w:cs="Arial"/>
                <w:b/>
                <w:smallCaps/>
                <w:lang w:val="es-ES_tradnl"/>
              </w:rPr>
              <w:t>I.</w:t>
            </w:r>
            <w:r w:rsidR="00A9495A" w:rsidRPr="00E666A5">
              <w:rPr>
                <w:rFonts w:eastAsiaTheme="minorEastAsia"/>
                <w:lang w:val="es-ES_tradnl"/>
              </w:rPr>
              <w:tab/>
            </w:r>
            <w:r w:rsidR="00A9495A" w:rsidRPr="00E666A5">
              <w:rPr>
                <w:rStyle w:val="Hyperlink"/>
                <w:rFonts w:ascii="Arial" w:hAnsi="Arial" w:cs="Arial"/>
                <w:b/>
                <w:smallCaps/>
                <w:lang w:val="es-ES_tradnl"/>
              </w:rPr>
              <w:t>Introducción</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_Toc528941810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3</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1" w:history="1">
            <w:r w:rsidR="00A9495A" w:rsidRPr="00E666A5">
              <w:rPr>
                <w:rStyle w:val="Hyperlink"/>
                <w:rFonts w:ascii="Arial" w:hAnsi="Arial" w:cs="Arial"/>
                <w:b/>
                <w:smallCaps/>
                <w:lang w:val="es-ES_tradnl"/>
              </w:rPr>
              <w:t>II.</w:t>
            </w:r>
            <w:r w:rsidR="00A9495A" w:rsidRPr="00E666A5">
              <w:rPr>
                <w:rFonts w:eastAsiaTheme="minorEastAsia"/>
                <w:lang w:val="es-ES_tradnl"/>
              </w:rPr>
              <w:tab/>
            </w:r>
            <w:r w:rsidR="00A9495A" w:rsidRPr="00E666A5">
              <w:rPr>
                <w:rStyle w:val="Hyperlink"/>
                <w:rFonts w:ascii="Arial" w:hAnsi="Arial" w:cs="Arial"/>
                <w:b/>
                <w:smallCaps/>
                <w:lang w:val="es-ES_tradnl"/>
              </w:rPr>
              <w:t>Definiciones y Actores</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_Toc528941811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3</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2" w:history="1">
            <w:r w:rsidR="00A9495A" w:rsidRPr="00E666A5">
              <w:rPr>
                <w:rStyle w:val="Hyperlink"/>
                <w:rFonts w:ascii="Arial" w:hAnsi="Arial" w:cs="Arial"/>
                <w:b/>
                <w:lang w:val="es-ES_tradnl"/>
              </w:rPr>
              <w:t>III.</w:t>
            </w:r>
            <w:r w:rsidR="00A9495A" w:rsidRPr="00E666A5">
              <w:rPr>
                <w:rFonts w:eastAsiaTheme="minorEastAsia"/>
                <w:lang w:val="es-ES_tradnl"/>
              </w:rPr>
              <w:tab/>
            </w:r>
            <w:r w:rsidR="00A9495A" w:rsidRPr="00E666A5">
              <w:rPr>
                <w:rStyle w:val="Hyperlink"/>
                <w:rFonts w:ascii="Arial" w:hAnsi="Arial" w:cs="Arial"/>
                <w:b/>
                <w:smallCaps/>
                <w:lang w:val="es-ES_tradnl"/>
              </w:rPr>
              <w:t>Responsabilidades para la Ejecución y Administración del Programa</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_Toc528941812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4</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3" w:history="1">
            <w:r w:rsidR="00A9495A" w:rsidRPr="00E666A5">
              <w:rPr>
                <w:rStyle w:val="Hyperlink"/>
                <w:rFonts w:ascii="Arial" w:hAnsi="Arial" w:cs="Arial"/>
                <w:b/>
                <w:smallCaps/>
                <w:lang w:val="es-ES_tradnl"/>
              </w:rPr>
              <w:t>IV.</w:t>
            </w:r>
            <w:r w:rsidR="00A9495A" w:rsidRPr="00E666A5">
              <w:rPr>
                <w:rFonts w:eastAsiaTheme="minorEastAsia"/>
                <w:lang w:val="es-ES_tradnl"/>
              </w:rPr>
              <w:tab/>
            </w:r>
            <w:r w:rsidR="00A9495A" w:rsidRPr="00E666A5">
              <w:rPr>
                <w:rStyle w:val="Hyperlink"/>
                <w:rFonts w:ascii="Arial" w:hAnsi="Arial" w:cs="Arial"/>
                <w:b/>
                <w:smallCaps/>
                <w:lang w:val="es-ES_tradnl"/>
              </w:rPr>
              <w:t>Descripción General del Programa</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_Toc528941813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5</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4" w:history="1">
            <w:r w:rsidR="00A9495A" w:rsidRPr="00E666A5">
              <w:rPr>
                <w:rStyle w:val="Hyperlink"/>
                <w:rFonts w:ascii="Arial" w:hAnsi="Arial" w:cs="Arial"/>
                <w:b/>
                <w:lang w:val="es-ES_tradnl"/>
              </w:rPr>
              <w:t>V.</w:t>
            </w:r>
            <w:r w:rsidR="00A9495A" w:rsidRPr="00E666A5">
              <w:rPr>
                <w:rFonts w:eastAsiaTheme="minorEastAsia"/>
                <w:lang w:val="es-ES_tradnl"/>
              </w:rPr>
              <w:tab/>
            </w:r>
            <w:r w:rsidR="00A9495A" w:rsidRPr="00E666A5">
              <w:rPr>
                <w:rStyle w:val="Hyperlink"/>
                <w:rFonts w:ascii="Arial" w:hAnsi="Arial" w:cs="Arial"/>
                <w:b/>
                <w:smallCaps/>
                <w:lang w:val="es-ES_tradnl"/>
              </w:rPr>
              <w:t>Uso de Recursos: Modalidades y Descripción de la Inversión</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_Toc528941814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5</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5" w:history="1">
            <w:r w:rsidR="00A9495A" w:rsidRPr="00E666A5">
              <w:rPr>
                <w:rStyle w:val="Hyperlink"/>
                <w:rFonts w:ascii="Arial" w:hAnsi="Arial" w:cs="Arial"/>
                <w:b/>
                <w:lang w:val="es-ES_tradnl"/>
              </w:rPr>
              <w:t>6</w:t>
            </w:r>
            <w:r w:rsidR="00A9495A" w:rsidRPr="00E666A5">
              <w:rPr>
                <w:rFonts w:eastAsiaTheme="minorEastAsia"/>
                <w:lang w:val="es-ES_tradnl"/>
              </w:rPr>
              <w:tab/>
            </w:r>
            <w:r w:rsidR="00A9495A" w:rsidRPr="00E666A5">
              <w:rPr>
                <w:rStyle w:val="Hyperlink"/>
                <w:rFonts w:ascii="Arial" w:hAnsi="Arial" w:cs="Arial"/>
                <w:b/>
                <w:smallCaps/>
                <w:lang w:val="es-ES_tradnl"/>
              </w:rPr>
              <w:t>Condiciones de elegibilidad e información de las IFI</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_Toc528941815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8</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6" w:history="1">
            <w:r w:rsidR="00A9495A" w:rsidRPr="00E666A5">
              <w:rPr>
                <w:rStyle w:val="Hyperlink"/>
                <w:rFonts w:ascii="Arial" w:hAnsi="Arial" w:cs="Arial"/>
                <w:b/>
                <w:smallCaps/>
                <w:lang w:val="es-ES_tradnl"/>
              </w:rPr>
              <w:t>7</w:t>
            </w:r>
            <w:r w:rsidR="00A9495A" w:rsidRPr="00E666A5">
              <w:rPr>
                <w:rFonts w:eastAsiaTheme="minorEastAsia"/>
                <w:lang w:val="es-ES_tradnl"/>
              </w:rPr>
              <w:tab/>
            </w:r>
            <w:r w:rsidR="00A9495A" w:rsidRPr="00E666A5">
              <w:rPr>
                <w:rStyle w:val="Hyperlink"/>
                <w:rFonts w:ascii="Arial" w:hAnsi="Arial" w:cs="Arial"/>
                <w:b/>
                <w:smallCaps/>
                <w:lang w:val="es-ES_tradnl"/>
              </w:rPr>
              <w:t>Características de la Cartera Sujeta a Financiación del Programa</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_Toc528941816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9</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7" w:history="1">
            <w:r w:rsidR="00A9495A" w:rsidRPr="00E666A5">
              <w:rPr>
                <w:rStyle w:val="Hyperlink"/>
                <w:rFonts w:ascii="Arial" w:hAnsi="Arial" w:cs="Arial"/>
                <w:lang w:val="es-ES_tradnl"/>
              </w:rPr>
              <w:t>8</w:t>
            </w:r>
            <w:r w:rsidR="00A9495A" w:rsidRPr="00E666A5">
              <w:rPr>
                <w:rFonts w:eastAsiaTheme="minorEastAsia"/>
                <w:lang w:val="es-ES_tradnl"/>
              </w:rPr>
              <w:tab/>
            </w:r>
            <w:r w:rsidR="00A9495A" w:rsidRPr="00E666A5">
              <w:rPr>
                <w:rStyle w:val="Hyperlink"/>
                <w:rFonts w:ascii="Arial" w:hAnsi="Arial" w:cs="Arial"/>
                <w:b/>
                <w:smallCaps/>
                <w:lang w:val="es-ES_tradnl"/>
              </w:rPr>
              <w:t>Supervisión, Control e Informes</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_Toc528941817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10</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8" w:history="1">
            <w:r w:rsidR="00A9495A" w:rsidRPr="00E666A5">
              <w:rPr>
                <w:rStyle w:val="Hyperlink"/>
                <w:rFonts w:ascii="Arial" w:hAnsi="Arial" w:cs="Arial"/>
                <w:b/>
                <w:smallCaps/>
                <w:lang w:val="es-ES_tradnl"/>
              </w:rPr>
              <w:t>9</w:t>
            </w:r>
            <w:r w:rsidR="00A9495A" w:rsidRPr="00E666A5">
              <w:rPr>
                <w:rFonts w:eastAsiaTheme="minorEastAsia"/>
                <w:lang w:val="es-ES_tradnl"/>
              </w:rPr>
              <w:tab/>
            </w:r>
            <w:r w:rsidR="00A9495A" w:rsidRPr="00E666A5">
              <w:rPr>
                <w:rStyle w:val="Hyperlink"/>
                <w:rFonts w:ascii="Arial" w:hAnsi="Arial" w:cs="Arial"/>
                <w:b/>
                <w:smallCaps/>
                <w:lang w:val="es-ES_tradnl"/>
              </w:rPr>
              <w:t>Auditorías: Sistema de administración de riesgos ambientales y sociales (SARAS)</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_Toc528941818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11</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19" w:history="1">
            <w:r w:rsidR="00A9495A" w:rsidRPr="00E666A5">
              <w:rPr>
                <w:rStyle w:val="Hyperlink"/>
                <w:rFonts w:ascii="Arial" w:hAnsi="Arial" w:cs="Arial"/>
                <w:b/>
                <w:smallCaps/>
                <w:lang w:val="es-ES_tradnl"/>
              </w:rPr>
              <w:t>10</w:t>
            </w:r>
            <w:r w:rsidR="00A9495A" w:rsidRPr="00E666A5">
              <w:rPr>
                <w:rFonts w:eastAsiaTheme="minorEastAsia"/>
                <w:lang w:val="es-ES_tradnl"/>
              </w:rPr>
              <w:tab/>
            </w:r>
            <w:r w:rsidR="00A9495A" w:rsidRPr="00E666A5">
              <w:rPr>
                <w:rStyle w:val="Hyperlink"/>
                <w:rFonts w:ascii="Arial" w:hAnsi="Arial" w:cs="Arial"/>
                <w:b/>
                <w:smallCaps/>
                <w:lang w:val="es-ES_tradnl"/>
              </w:rPr>
              <w:t>Modificaciones al Reglamento</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_Toc528941819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11</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20" w:history="1">
            <w:r w:rsidR="00A9495A" w:rsidRPr="00E666A5">
              <w:rPr>
                <w:rStyle w:val="Hyperlink"/>
                <w:rFonts w:ascii="Arial" w:hAnsi="Arial" w:cs="Arial"/>
                <w:b/>
                <w:lang w:val="es-ES_tradnl"/>
              </w:rPr>
              <w:t xml:space="preserve">ANEXO 1. </w:t>
            </w:r>
            <w:r w:rsidR="00A9495A" w:rsidRPr="00E666A5">
              <w:rPr>
                <w:rStyle w:val="Hyperlink"/>
                <w:rFonts w:ascii="Arial Bold" w:hAnsi="Arial Bold" w:cs="Arial"/>
                <w:b/>
                <w:smallCaps/>
                <w:lang w:val="es-ES_tradnl"/>
              </w:rPr>
              <w:t>Lista de Exclusión</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_Toc528941820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12</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21" w:history="1">
            <w:r w:rsidR="00A9495A" w:rsidRPr="00E666A5">
              <w:rPr>
                <w:rStyle w:val="Hyperlink"/>
                <w:rFonts w:ascii="Arial" w:hAnsi="Arial" w:cs="Arial"/>
                <w:b/>
                <w:lang w:val="es-ES_tradnl"/>
              </w:rPr>
              <w:t xml:space="preserve">ANEXO 2: </w:t>
            </w:r>
            <w:r w:rsidR="00A9495A" w:rsidRPr="00E666A5">
              <w:rPr>
                <w:rStyle w:val="Hyperlink"/>
                <w:rFonts w:ascii="Arial Bold" w:hAnsi="Arial Bold" w:cs="Arial"/>
                <w:b/>
                <w:smallCaps/>
                <w:lang w:val="es-ES_tradnl"/>
              </w:rPr>
              <w:t>Matriz de Indicadores</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_Toc528941821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13</w:t>
            </w:r>
            <w:r w:rsidR="00A9495A" w:rsidRPr="00E666A5">
              <w:rPr>
                <w:webHidden/>
                <w:lang w:val="es-ES_tradnl"/>
              </w:rPr>
              <w:fldChar w:fldCharType="end"/>
            </w:r>
          </w:hyperlink>
        </w:p>
        <w:p w:rsidR="00A9495A" w:rsidRPr="00E666A5" w:rsidRDefault="009E1297">
          <w:pPr>
            <w:pStyle w:val="TOC1"/>
            <w:rPr>
              <w:rFonts w:eastAsiaTheme="minorEastAsia"/>
              <w:lang w:val="es-ES_tradnl"/>
            </w:rPr>
          </w:pPr>
          <w:hyperlink w:anchor="_Toc528941822" w:history="1">
            <w:r w:rsidR="00A9495A" w:rsidRPr="00E666A5">
              <w:rPr>
                <w:rStyle w:val="Hyperlink"/>
                <w:rFonts w:ascii="Arial" w:hAnsi="Arial" w:cs="Arial"/>
                <w:b/>
                <w:lang w:val="es-ES_tradnl"/>
              </w:rPr>
              <w:t xml:space="preserve">ANEXO 3: </w:t>
            </w:r>
            <w:r w:rsidR="00A9495A" w:rsidRPr="00E666A5">
              <w:rPr>
                <w:rStyle w:val="Hyperlink"/>
                <w:rFonts w:ascii="Arial Bold" w:hAnsi="Arial Bold" w:cs="Arial"/>
                <w:b/>
                <w:smallCaps/>
                <w:lang w:val="es-ES_tradnl"/>
              </w:rPr>
              <w:t>Modelos de contrato</w:t>
            </w:r>
            <w:r w:rsidR="00A9495A" w:rsidRPr="00E666A5">
              <w:rPr>
                <w:webHidden/>
                <w:lang w:val="es-ES_tradnl"/>
              </w:rPr>
              <w:tab/>
            </w:r>
            <w:r w:rsidR="00A9495A" w:rsidRPr="00E666A5">
              <w:rPr>
                <w:webHidden/>
                <w:lang w:val="es-ES_tradnl"/>
              </w:rPr>
              <w:fldChar w:fldCharType="begin"/>
            </w:r>
            <w:r w:rsidR="00A9495A" w:rsidRPr="00E666A5">
              <w:rPr>
                <w:webHidden/>
                <w:lang w:val="es-ES_tradnl"/>
              </w:rPr>
              <w:instrText xml:space="preserve"> PAGEREF _Toc528941822 \h </w:instrText>
            </w:r>
            <w:r w:rsidR="00A9495A" w:rsidRPr="00E666A5">
              <w:rPr>
                <w:webHidden/>
                <w:lang w:val="es-ES_tradnl"/>
              </w:rPr>
            </w:r>
            <w:r w:rsidR="00A9495A" w:rsidRPr="00E666A5">
              <w:rPr>
                <w:webHidden/>
                <w:lang w:val="es-ES_tradnl"/>
              </w:rPr>
              <w:fldChar w:fldCharType="separate"/>
            </w:r>
            <w:r w:rsidR="00A9495A" w:rsidRPr="00E666A5">
              <w:rPr>
                <w:webHidden/>
                <w:lang w:val="es-ES_tradnl"/>
              </w:rPr>
              <w:t>14</w:t>
            </w:r>
            <w:r w:rsidR="00A9495A" w:rsidRPr="00E666A5">
              <w:rPr>
                <w:webHidden/>
                <w:lang w:val="es-ES_tradnl"/>
              </w:rPr>
              <w:fldChar w:fldCharType="end"/>
            </w:r>
          </w:hyperlink>
        </w:p>
        <w:p w:rsidR="00C7682D" w:rsidRPr="00E666A5" w:rsidRDefault="00C7682D" w:rsidP="00C7682D">
          <w:pPr>
            <w:ind w:left="450" w:hanging="540"/>
            <w:rPr>
              <w:rFonts w:ascii="Arial" w:hAnsi="Arial" w:cs="Arial"/>
              <w:lang w:val="es-ES_tradnl"/>
            </w:rPr>
          </w:pPr>
          <w:r w:rsidRPr="00E666A5">
            <w:rPr>
              <w:rFonts w:ascii="Arial" w:hAnsi="Arial" w:cs="Arial"/>
              <w:b/>
              <w:bCs/>
              <w:lang w:val="es-ES_tradnl"/>
            </w:rPr>
            <w:fldChar w:fldCharType="end"/>
          </w:r>
        </w:p>
      </w:sdtContent>
    </w:sdt>
    <w:p w:rsidR="000434CA" w:rsidRPr="00E666A5" w:rsidRDefault="000434CA">
      <w:pPr>
        <w:rPr>
          <w:rFonts w:ascii="Arial" w:hAnsi="Arial" w:cs="Arial"/>
          <w:b/>
          <w:lang w:val="es-ES_tradnl"/>
        </w:rPr>
      </w:pPr>
    </w:p>
    <w:p w:rsidR="00C7682D" w:rsidRPr="00E666A5" w:rsidRDefault="00C7682D">
      <w:pPr>
        <w:rPr>
          <w:rFonts w:ascii="Arial" w:eastAsiaTheme="majorEastAsia" w:hAnsi="Arial" w:cs="Arial"/>
          <w:b/>
          <w:lang w:val="es-ES_tradnl"/>
        </w:rPr>
      </w:pPr>
      <w:r w:rsidRPr="00E666A5">
        <w:rPr>
          <w:rFonts w:ascii="Arial" w:hAnsi="Arial" w:cs="Arial"/>
          <w:b/>
          <w:lang w:val="es-ES_tradnl"/>
        </w:rPr>
        <w:br w:type="page"/>
      </w:r>
    </w:p>
    <w:p w:rsidR="007C0780" w:rsidRPr="00E666A5" w:rsidRDefault="00024A11" w:rsidP="00073F74">
      <w:pPr>
        <w:pStyle w:val="Heading1"/>
        <w:numPr>
          <w:ilvl w:val="0"/>
          <w:numId w:val="5"/>
        </w:numPr>
        <w:spacing w:after="240" w:line="240" w:lineRule="auto"/>
        <w:ind w:left="720" w:hanging="727"/>
        <w:jc w:val="both"/>
        <w:rPr>
          <w:rFonts w:ascii="Arial" w:hAnsi="Arial" w:cs="Arial"/>
          <w:b/>
          <w:smallCaps/>
          <w:sz w:val="22"/>
          <w:szCs w:val="22"/>
          <w:lang w:val="es-ES_tradnl"/>
        </w:rPr>
      </w:pPr>
      <w:bookmarkStart w:id="1" w:name="_Toc528941810"/>
      <w:r w:rsidRPr="00E666A5">
        <w:rPr>
          <w:rFonts w:ascii="Arial" w:hAnsi="Arial" w:cs="Arial"/>
          <w:b/>
          <w:smallCaps/>
          <w:sz w:val="22"/>
          <w:szCs w:val="22"/>
          <w:lang w:val="es-ES_tradnl"/>
        </w:rPr>
        <w:lastRenderedPageBreak/>
        <w:t>Introducción</w:t>
      </w:r>
      <w:bookmarkEnd w:id="1"/>
    </w:p>
    <w:p w:rsidR="000434CA" w:rsidRPr="00E666A5" w:rsidRDefault="000434CA"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presente </w:t>
      </w:r>
      <w:r w:rsidR="007C0780" w:rsidRPr="00E666A5">
        <w:rPr>
          <w:rFonts w:ascii="Arial" w:hAnsi="Arial" w:cs="Arial"/>
          <w:lang w:val="es-ES_tradnl"/>
        </w:rPr>
        <w:t xml:space="preserve">Reglamento </w:t>
      </w:r>
      <w:r w:rsidRPr="00E666A5">
        <w:rPr>
          <w:rFonts w:ascii="Arial" w:hAnsi="Arial" w:cs="Arial"/>
          <w:lang w:val="es-ES_tradnl"/>
        </w:rPr>
        <w:t xml:space="preserve">Operativo de Programa (ROP) </w:t>
      </w:r>
      <w:r w:rsidR="007C0780" w:rsidRPr="00E666A5">
        <w:rPr>
          <w:rFonts w:ascii="Arial" w:hAnsi="Arial" w:cs="Arial"/>
          <w:lang w:val="es-ES_tradnl"/>
        </w:rPr>
        <w:t xml:space="preserve">establece los términos y condiciones que normarán la ejecución del </w:t>
      </w:r>
      <w:r w:rsidR="00852D14" w:rsidRPr="00E666A5">
        <w:rPr>
          <w:rFonts w:ascii="Arial" w:hAnsi="Arial" w:cs="Arial"/>
          <w:lang w:val="es-ES_tradnl"/>
        </w:rPr>
        <w:t>P</w:t>
      </w:r>
      <w:r w:rsidR="007C0780" w:rsidRPr="00E666A5">
        <w:rPr>
          <w:rFonts w:ascii="Arial" w:hAnsi="Arial" w:cs="Arial"/>
          <w:lang w:val="es-ES_tradnl"/>
        </w:rPr>
        <w:t xml:space="preserve">rograma de Financiamiento de </w:t>
      </w:r>
      <w:r w:rsidR="00852D14" w:rsidRPr="00E666A5">
        <w:rPr>
          <w:rFonts w:ascii="Arial" w:hAnsi="Arial" w:cs="Arial"/>
          <w:lang w:val="es-ES_tradnl"/>
        </w:rPr>
        <w:t xml:space="preserve">la </w:t>
      </w:r>
      <w:r w:rsidR="007C0780" w:rsidRPr="00E666A5">
        <w:rPr>
          <w:rFonts w:ascii="Arial" w:hAnsi="Arial" w:cs="Arial"/>
          <w:lang w:val="es-ES_tradnl"/>
        </w:rPr>
        <w:t xml:space="preserve">Vivienda Social, </w:t>
      </w:r>
      <w:r w:rsidR="004D6F1B" w:rsidRPr="00E666A5">
        <w:rPr>
          <w:rFonts w:ascii="Arial" w:hAnsi="Arial" w:cs="Arial"/>
          <w:lang w:val="es-ES_tradnl"/>
        </w:rPr>
        <w:t>mediante la Emis</w:t>
      </w:r>
      <w:r w:rsidR="00E47144" w:rsidRPr="00E666A5">
        <w:rPr>
          <w:rFonts w:ascii="Arial" w:hAnsi="Arial" w:cs="Arial"/>
          <w:lang w:val="es-ES_tradnl"/>
        </w:rPr>
        <w:t xml:space="preserve">ión de un </w:t>
      </w:r>
      <w:r w:rsidR="00EE100A" w:rsidRPr="00E666A5">
        <w:rPr>
          <w:rFonts w:ascii="Arial" w:hAnsi="Arial" w:cs="Arial"/>
          <w:lang w:val="es-ES_tradnl"/>
        </w:rPr>
        <w:t xml:space="preserve">Bono Social </w:t>
      </w:r>
      <w:r w:rsidR="00E47144" w:rsidRPr="00E666A5">
        <w:rPr>
          <w:rFonts w:ascii="Arial" w:hAnsi="Arial" w:cs="Arial"/>
          <w:lang w:val="es-ES_tradnl"/>
        </w:rPr>
        <w:t>con el res</w:t>
      </w:r>
      <w:r w:rsidR="004D6F1B" w:rsidRPr="00E666A5">
        <w:rPr>
          <w:rFonts w:ascii="Arial" w:hAnsi="Arial" w:cs="Arial"/>
          <w:lang w:val="es-ES_tradnl"/>
        </w:rPr>
        <w:t>p</w:t>
      </w:r>
      <w:r w:rsidR="00E47144" w:rsidRPr="00E666A5">
        <w:rPr>
          <w:rFonts w:ascii="Arial" w:hAnsi="Arial" w:cs="Arial"/>
          <w:lang w:val="es-ES_tradnl"/>
        </w:rPr>
        <w:t>aldo</w:t>
      </w:r>
      <w:r w:rsidR="004D6F1B" w:rsidRPr="00E666A5">
        <w:rPr>
          <w:rFonts w:ascii="Arial" w:hAnsi="Arial" w:cs="Arial"/>
          <w:lang w:val="es-ES_tradnl"/>
        </w:rPr>
        <w:t xml:space="preserve"> </w:t>
      </w:r>
      <w:r w:rsidR="00E47144" w:rsidRPr="00E666A5">
        <w:rPr>
          <w:rFonts w:ascii="Arial" w:hAnsi="Arial" w:cs="Arial"/>
          <w:lang w:val="es-ES_tradnl"/>
        </w:rPr>
        <w:t>d</w:t>
      </w:r>
      <w:r w:rsidR="004D6F1B" w:rsidRPr="00E666A5">
        <w:rPr>
          <w:rFonts w:ascii="Arial" w:hAnsi="Arial" w:cs="Arial"/>
          <w:lang w:val="es-ES_tradnl"/>
        </w:rPr>
        <w:t xml:space="preserve">e una </w:t>
      </w:r>
      <w:r w:rsidR="00E47144" w:rsidRPr="00E666A5">
        <w:rPr>
          <w:rFonts w:ascii="Arial" w:hAnsi="Arial" w:cs="Arial"/>
          <w:lang w:val="es-ES_tradnl"/>
        </w:rPr>
        <w:t>Garantía</w:t>
      </w:r>
      <w:r w:rsidR="004D6F1B" w:rsidRPr="00E666A5">
        <w:rPr>
          <w:rFonts w:ascii="Arial" w:hAnsi="Arial" w:cs="Arial"/>
          <w:lang w:val="es-ES_tradnl"/>
        </w:rPr>
        <w:t xml:space="preserve"> </w:t>
      </w:r>
      <w:r w:rsidR="00AD734B" w:rsidRPr="00E666A5">
        <w:rPr>
          <w:rFonts w:ascii="Arial" w:hAnsi="Arial" w:cs="Arial"/>
          <w:lang w:val="es-ES_tradnl"/>
        </w:rPr>
        <w:t>del BID</w:t>
      </w:r>
      <w:r w:rsidR="004D6F1B" w:rsidRPr="00E666A5">
        <w:rPr>
          <w:rFonts w:ascii="Arial" w:hAnsi="Arial" w:cs="Arial"/>
          <w:lang w:val="es-ES_tradnl"/>
        </w:rPr>
        <w:t xml:space="preserve">. </w:t>
      </w:r>
      <w:r w:rsidR="007C0780" w:rsidRPr="00E666A5">
        <w:rPr>
          <w:rFonts w:ascii="Arial" w:hAnsi="Arial" w:cs="Arial"/>
          <w:lang w:val="es-ES_tradnl"/>
        </w:rPr>
        <w:t xml:space="preserve"> </w:t>
      </w:r>
      <w:r w:rsidR="004D6F1B" w:rsidRPr="00E666A5">
        <w:rPr>
          <w:rFonts w:ascii="Arial" w:hAnsi="Arial" w:cs="Arial"/>
          <w:lang w:val="es-ES_tradnl"/>
        </w:rPr>
        <w:t xml:space="preserve">Este </w:t>
      </w:r>
      <w:r w:rsidR="007C0780" w:rsidRPr="00E666A5">
        <w:rPr>
          <w:rFonts w:ascii="Arial" w:hAnsi="Arial" w:cs="Arial"/>
          <w:lang w:val="es-ES_tradnl"/>
        </w:rPr>
        <w:t xml:space="preserve">financiamiento se efectuará de conformidad con el Contrato de </w:t>
      </w:r>
      <w:r w:rsidR="009D2AC5" w:rsidRPr="00E666A5">
        <w:rPr>
          <w:rFonts w:ascii="Arial" w:hAnsi="Arial" w:cs="Arial"/>
          <w:lang w:val="es-ES_tradnl"/>
        </w:rPr>
        <w:t>Garantía</w:t>
      </w:r>
      <w:r w:rsidR="007C0780" w:rsidRPr="00E666A5">
        <w:rPr>
          <w:rFonts w:ascii="Arial" w:hAnsi="Arial" w:cs="Arial"/>
          <w:lang w:val="es-ES_tradnl"/>
        </w:rPr>
        <w:t xml:space="preserve"> </w:t>
      </w:r>
      <w:r w:rsidR="007C0780" w:rsidRPr="00E666A5">
        <w:rPr>
          <w:rFonts w:ascii="Arial" w:hAnsi="Arial" w:cs="Arial"/>
          <w:highlight w:val="yellow"/>
          <w:lang w:val="es-ES_tradnl"/>
        </w:rPr>
        <w:t>No. /,</w:t>
      </w:r>
      <w:r w:rsidR="007C0780" w:rsidRPr="00E666A5">
        <w:rPr>
          <w:rFonts w:ascii="Arial" w:hAnsi="Arial" w:cs="Arial"/>
          <w:lang w:val="es-ES_tradnl"/>
        </w:rPr>
        <w:t xml:space="preserve"> celebrado entre </w:t>
      </w:r>
      <w:r w:rsidR="003B0645" w:rsidRPr="00E666A5">
        <w:rPr>
          <w:rFonts w:ascii="Arial" w:hAnsi="Arial" w:cs="Arial"/>
          <w:lang w:val="es-ES_tradnl"/>
        </w:rPr>
        <w:t>e</w:t>
      </w:r>
      <w:r w:rsidR="007C0780" w:rsidRPr="00E666A5">
        <w:rPr>
          <w:rFonts w:ascii="Arial" w:hAnsi="Arial" w:cs="Arial"/>
          <w:lang w:val="es-ES_tradnl"/>
        </w:rPr>
        <w:t>l Gobierno de la República del Ecuador</w:t>
      </w:r>
      <w:r w:rsidR="003B0645" w:rsidRPr="00E666A5">
        <w:rPr>
          <w:rFonts w:ascii="Arial" w:hAnsi="Arial" w:cs="Arial"/>
          <w:lang w:val="es-ES_tradnl"/>
        </w:rPr>
        <w:t xml:space="preserve"> </w:t>
      </w:r>
      <w:r w:rsidR="007C0780" w:rsidRPr="00E666A5">
        <w:rPr>
          <w:rFonts w:ascii="Arial" w:hAnsi="Arial" w:cs="Arial"/>
          <w:lang w:val="es-ES_tradnl"/>
        </w:rPr>
        <w:t>y el Banco Interamericano de Desarrollo</w:t>
      </w:r>
      <w:r w:rsidRPr="00E666A5">
        <w:rPr>
          <w:rFonts w:ascii="Arial" w:hAnsi="Arial" w:cs="Arial"/>
          <w:lang w:val="es-ES_tradnl"/>
        </w:rPr>
        <w:t xml:space="preserve"> (BID, “el Banco”)</w:t>
      </w:r>
      <w:r w:rsidR="007C0780" w:rsidRPr="00E666A5">
        <w:rPr>
          <w:rFonts w:ascii="Arial" w:hAnsi="Arial" w:cs="Arial"/>
          <w:lang w:val="es-ES_tradnl"/>
        </w:rPr>
        <w:t>.</w:t>
      </w:r>
    </w:p>
    <w:p w:rsidR="000434CA" w:rsidRPr="00E666A5" w:rsidRDefault="000434CA" w:rsidP="00852D1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ROP </w:t>
      </w:r>
      <w:r w:rsidR="007C0780" w:rsidRPr="00E666A5">
        <w:rPr>
          <w:rFonts w:ascii="Arial" w:hAnsi="Arial" w:cs="Arial"/>
          <w:lang w:val="es-ES_tradnl"/>
        </w:rPr>
        <w:t xml:space="preserve">tendrá vigencia para todas las actividades realizadas </w:t>
      </w:r>
      <w:r w:rsidR="004D6F1B" w:rsidRPr="00E666A5">
        <w:rPr>
          <w:rFonts w:ascii="Arial" w:hAnsi="Arial" w:cs="Arial"/>
          <w:lang w:val="es-ES_tradnl"/>
        </w:rPr>
        <w:t xml:space="preserve">para el uso de los recursos generados por </w:t>
      </w:r>
      <w:r w:rsidR="00AD734B" w:rsidRPr="00E666A5">
        <w:rPr>
          <w:rFonts w:ascii="Arial" w:hAnsi="Arial" w:cs="Arial"/>
          <w:lang w:val="es-ES_tradnl"/>
        </w:rPr>
        <w:t>la emisión</w:t>
      </w:r>
      <w:r w:rsidR="004D6F1B" w:rsidRPr="00E666A5">
        <w:rPr>
          <w:rFonts w:ascii="Arial" w:hAnsi="Arial" w:cs="Arial"/>
          <w:lang w:val="es-ES_tradnl"/>
        </w:rPr>
        <w:t xml:space="preserve"> del </w:t>
      </w:r>
      <w:r w:rsidR="00EE100A" w:rsidRPr="00E666A5">
        <w:rPr>
          <w:rFonts w:ascii="Arial" w:hAnsi="Arial" w:cs="Arial"/>
          <w:lang w:val="es-ES_tradnl"/>
        </w:rPr>
        <w:t>Bono Social</w:t>
      </w:r>
      <w:r w:rsidR="007C0780" w:rsidRPr="00E666A5">
        <w:rPr>
          <w:rFonts w:ascii="Arial" w:hAnsi="Arial" w:cs="Arial"/>
          <w:lang w:val="es-ES_tradnl"/>
        </w:rPr>
        <w:t xml:space="preserve">. Las partes podrán acordar modificaciones al mismo, siempre que no contradigan el Contrato de </w:t>
      </w:r>
      <w:r w:rsidR="00852D14" w:rsidRPr="00E666A5">
        <w:rPr>
          <w:rFonts w:ascii="Arial" w:hAnsi="Arial" w:cs="Arial"/>
          <w:lang w:val="es-ES_tradnl"/>
        </w:rPr>
        <w:t xml:space="preserve">Contra-Garantía </w:t>
      </w:r>
      <w:r w:rsidR="007C0780" w:rsidRPr="00E666A5">
        <w:rPr>
          <w:rFonts w:ascii="Arial" w:hAnsi="Arial" w:cs="Arial"/>
          <w:lang w:val="es-ES_tradnl"/>
        </w:rPr>
        <w:t>vigente o las leyes y políticas exigibles a cada una de las instituciones.</w:t>
      </w:r>
    </w:p>
    <w:p w:rsidR="00E344A5" w:rsidRPr="00E666A5" w:rsidRDefault="00E344A5"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En caso de cualquier inconsistencia o discrepancia entre los términos del ROP y del Contrato de </w:t>
      </w:r>
      <w:r w:rsidR="001A6AF0" w:rsidRPr="00E666A5">
        <w:rPr>
          <w:rFonts w:ascii="Arial" w:hAnsi="Arial" w:cs="Arial"/>
          <w:lang w:val="es-ES_tradnl"/>
        </w:rPr>
        <w:t>Contra-</w:t>
      </w:r>
      <w:r w:rsidRPr="00E666A5">
        <w:rPr>
          <w:rFonts w:ascii="Arial" w:hAnsi="Arial" w:cs="Arial"/>
          <w:lang w:val="es-ES_tradnl"/>
        </w:rPr>
        <w:t xml:space="preserve">Garantía, prevalecerá el Contrato de </w:t>
      </w:r>
      <w:r w:rsidR="001A6AF0" w:rsidRPr="00E666A5">
        <w:rPr>
          <w:rFonts w:ascii="Arial" w:hAnsi="Arial" w:cs="Arial"/>
          <w:lang w:val="es-ES_tradnl"/>
        </w:rPr>
        <w:t>Contra-</w:t>
      </w:r>
      <w:r w:rsidRPr="00E666A5">
        <w:rPr>
          <w:rFonts w:ascii="Arial" w:hAnsi="Arial" w:cs="Arial"/>
          <w:lang w:val="es-ES_tradnl"/>
        </w:rPr>
        <w:t>Garantía. El presente ROP no podrá ser modificado sin el consentimiento previo y por escrito de un funcionario autorizado del BID. El ROP se mantendrá vigente mientras se mantenga vigente el Contrato de Garantía.</w:t>
      </w:r>
    </w:p>
    <w:p w:rsidR="004D6F1B" w:rsidRPr="00E666A5" w:rsidRDefault="00024A11" w:rsidP="00073F74">
      <w:pPr>
        <w:pStyle w:val="Heading1"/>
        <w:numPr>
          <w:ilvl w:val="0"/>
          <w:numId w:val="5"/>
        </w:numPr>
        <w:spacing w:after="240" w:line="240" w:lineRule="auto"/>
        <w:ind w:left="720" w:hanging="727"/>
        <w:jc w:val="both"/>
        <w:rPr>
          <w:rFonts w:ascii="Arial" w:hAnsi="Arial" w:cs="Arial"/>
          <w:b/>
          <w:smallCaps/>
          <w:sz w:val="22"/>
          <w:szCs w:val="22"/>
          <w:lang w:val="es-ES_tradnl"/>
        </w:rPr>
      </w:pPr>
      <w:bookmarkStart w:id="2" w:name="_Toc528941811"/>
      <w:r w:rsidRPr="00E666A5">
        <w:rPr>
          <w:rFonts w:ascii="Arial" w:hAnsi="Arial" w:cs="Arial"/>
          <w:b/>
          <w:smallCaps/>
          <w:sz w:val="22"/>
          <w:szCs w:val="22"/>
          <w:lang w:val="es-ES_tradnl"/>
        </w:rPr>
        <w:t>Definiciones y Actores</w:t>
      </w:r>
      <w:bookmarkEnd w:id="2"/>
    </w:p>
    <w:p w:rsidR="000434CA" w:rsidRPr="00E666A5" w:rsidRDefault="004D6F1B" w:rsidP="00073F74">
      <w:pPr>
        <w:ind w:left="720"/>
        <w:jc w:val="both"/>
        <w:rPr>
          <w:rFonts w:ascii="Arial" w:hAnsi="Arial" w:cs="Arial"/>
          <w:lang w:val="es-ES_tradnl"/>
        </w:rPr>
      </w:pPr>
      <w:r w:rsidRPr="00E666A5">
        <w:rPr>
          <w:rFonts w:ascii="Arial" w:hAnsi="Arial" w:cs="Arial"/>
          <w:lang w:val="es-ES_tradnl"/>
        </w:rPr>
        <w:t xml:space="preserve">Se </w:t>
      </w:r>
      <w:r w:rsidR="00AD734B" w:rsidRPr="00E666A5">
        <w:rPr>
          <w:rFonts w:ascii="Arial" w:hAnsi="Arial" w:cs="Arial"/>
          <w:lang w:val="es-ES_tradnl"/>
        </w:rPr>
        <w:t>aplicarán</w:t>
      </w:r>
      <w:r w:rsidRPr="00E666A5">
        <w:rPr>
          <w:rFonts w:ascii="Arial" w:hAnsi="Arial" w:cs="Arial"/>
          <w:lang w:val="es-ES_tradnl"/>
        </w:rPr>
        <w:t xml:space="preserve"> las siguientes definiciones:</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AF:</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Administrador Fiduciario</w:t>
      </w:r>
    </w:p>
    <w:p w:rsidR="00576DA8" w:rsidRPr="00E666A5" w:rsidRDefault="00576DA8"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 xml:space="preserve">FA </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 xml:space="preserve">Fideicomiso de Administración </w:t>
      </w:r>
    </w:p>
    <w:p w:rsidR="0081724A" w:rsidRPr="00E666A5" w:rsidRDefault="0081724A"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FTC</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Fideicomisos de Titularización de Cartera</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BID o Banco:</w:t>
      </w:r>
      <w:r w:rsidRPr="00E666A5">
        <w:rPr>
          <w:rFonts w:ascii="Arial" w:hAnsi="Arial" w:cs="Arial"/>
          <w:lang w:val="es-ES_tradnl"/>
        </w:rPr>
        <w:tab/>
      </w:r>
      <w:r w:rsidRPr="00E666A5">
        <w:rPr>
          <w:rFonts w:ascii="Arial" w:hAnsi="Arial" w:cs="Arial"/>
          <w:lang w:val="es-ES_tradnl"/>
        </w:rPr>
        <w:tab/>
        <w:t>Banco Interamericano de Desarrollo</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GOE:</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Gobierno de Ecuador</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IFI</w:t>
      </w:r>
      <w:r w:rsidR="003A2DEF" w:rsidRPr="00E666A5">
        <w:rPr>
          <w:rFonts w:ascii="Arial" w:hAnsi="Arial" w:cs="Arial"/>
          <w:lang w:val="es-ES_tradnl"/>
        </w:rPr>
        <w:t>S</w:t>
      </w:r>
      <w:r w:rsidRPr="00E666A5">
        <w:rPr>
          <w:rFonts w:ascii="Arial" w:hAnsi="Arial" w:cs="Arial"/>
          <w:lang w:val="es-ES_tradnl"/>
        </w:rPr>
        <w:t>:</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Instituciones Financieras Intermediarias</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 xml:space="preserve">MEF: </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Ministerio de Economía y Finanzas</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OE:</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Organismo Ejecutor del Programa</w:t>
      </w:r>
    </w:p>
    <w:p w:rsidR="00CE0B63" w:rsidRPr="00E666A5" w:rsidRDefault="00CE0B63" w:rsidP="00CE0B63">
      <w:pPr>
        <w:spacing w:beforeLines="25" w:before="60" w:afterLines="25" w:after="60" w:line="240" w:lineRule="auto"/>
        <w:ind w:left="2832" w:hanging="2112"/>
        <w:rPr>
          <w:rFonts w:ascii="Arial" w:hAnsi="Arial" w:cs="Arial"/>
          <w:lang w:val="es-ES_tradnl"/>
        </w:rPr>
      </w:pPr>
      <w:r w:rsidRPr="00E666A5">
        <w:rPr>
          <w:rFonts w:ascii="Arial" w:hAnsi="Arial" w:cs="Arial"/>
          <w:lang w:val="es-ES_tradnl"/>
        </w:rPr>
        <w:t>PROVIS:</w:t>
      </w:r>
      <w:r w:rsidRPr="00E666A5">
        <w:rPr>
          <w:rFonts w:ascii="Arial" w:hAnsi="Arial" w:cs="Arial"/>
          <w:lang w:val="es-ES_tradnl"/>
        </w:rPr>
        <w:tab/>
        <w:t>Programa para el Financiamiento de la Vivienda Social en Ecuador</w:t>
      </w:r>
    </w:p>
    <w:p w:rsidR="00E91DF2" w:rsidRPr="00E666A5" w:rsidRDefault="00E91DF2" w:rsidP="00E91DF2">
      <w:pPr>
        <w:spacing w:beforeLines="25" w:before="60" w:afterLines="25" w:after="60" w:line="240" w:lineRule="auto"/>
        <w:ind w:left="2832" w:hanging="2112"/>
        <w:rPr>
          <w:rFonts w:ascii="Arial" w:hAnsi="Arial" w:cs="Arial"/>
          <w:lang w:val="es-ES_tradnl"/>
        </w:rPr>
      </w:pPr>
      <w:r w:rsidRPr="00E666A5">
        <w:rPr>
          <w:rFonts w:ascii="Arial" w:hAnsi="Arial" w:cs="Arial"/>
          <w:lang w:val="es-ES_tradnl"/>
        </w:rPr>
        <w:t>Programa</w:t>
      </w:r>
      <w:r w:rsidRPr="00E666A5">
        <w:rPr>
          <w:rFonts w:ascii="Arial" w:hAnsi="Arial" w:cs="Arial"/>
          <w:lang w:val="es-ES_tradnl"/>
        </w:rPr>
        <w:tab/>
        <w:t>Programa para el Financiamiento de la Vivienda Social en Ecuador</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ROP:</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Reglamento Operativo del Programa</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SB</w:t>
      </w:r>
      <w:r w:rsidR="00613A80" w:rsidRPr="00E666A5">
        <w:rPr>
          <w:rFonts w:ascii="Arial" w:hAnsi="Arial" w:cs="Arial"/>
          <w:lang w:val="es-ES_tradnl"/>
        </w:rPr>
        <w:t>S</w:t>
      </w:r>
      <w:r w:rsidRPr="00E666A5">
        <w:rPr>
          <w:rFonts w:ascii="Arial" w:hAnsi="Arial" w:cs="Arial"/>
          <w:lang w:val="es-ES_tradnl"/>
        </w:rPr>
        <w:t>:</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Superintendencia de Bancos</w:t>
      </w:r>
      <w:r w:rsidR="00613A80" w:rsidRPr="00E666A5">
        <w:rPr>
          <w:rFonts w:ascii="Arial" w:hAnsi="Arial" w:cs="Arial"/>
          <w:lang w:val="es-ES_tradnl"/>
        </w:rPr>
        <w:t xml:space="preserve"> y Seguros</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SEPS:</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Superintendencia de Economía Popular y Solidaria</w:t>
      </w:r>
    </w:p>
    <w:p w:rsidR="004D6F1B" w:rsidRPr="00E666A5" w:rsidRDefault="004D6F1B" w:rsidP="00EB3613">
      <w:pPr>
        <w:spacing w:beforeLines="25" w:before="60" w:afterLines="25" w:after="60" w:line="240" w:lineRule="auto"/>
        <w:ind w:left="2832" w:right="-72" w:hanging="2112"/>
        <w:rPr>
          <w:rFonts w:ascii="Arial" w:hAnsi="Arial" w:cs="Arial"/>
          <w:lang w:val="es-ES_tradnl"/>
        </w:rPr>
      </w:pPr>
      <w:r w:rsidRPr="00E666A5">
        <w:rPr>
          <w:rFonts w:ascii="Arial" w:hAnsi="Arial" w:cs="Arial"/>
          <w:lang w:val="es-ES_tradnl"/>
        </w:rPr>
        <w:t>SUBPRÉSTAMOS:</w:t>
      </w:r>
      <w:r w:rsidR="00C76827" w:rsidRPr="00E666A5">
        <w:rPr>
          <w:rFonts w:ascii="Arial" w:hAnsi="Arial" w:cs="Arial"/>
          <w:lang w:val="es-ES_tradnl"/>
        </w:rPr>
        <w:tab/>
      </w:r>
      <w:r w:rsidRPr="00E666A5">
        <w:rPr>
          <w:rFonts w:ascii="Arial" w:hAnsi="Arial" w:cs="Arial"/>
          <w:spacing w:val="-6"/>
          <w:lang w:val="es-ES_tradnl"/>
        </w:rPr>
        <w:t>Créditos</w:t>
      </w:r>
      <w:r w:rsidR="0010757C" w:rsidRPr="00E666A5">
        <w:rPr>
          <w:rFonts w:ascii="Arial" w:hAnsi="Arial" w:cs="Arial"/>
          <w:spacing w:val="-6"/>
          <w:lang w:val="es-ES_tradnl"/>
        </w:rPr>
        <w:t xml:space="preserve"> hipotecarios VIP</w:t>
      </w:r>
      <w:r w:rsidR="00CE0B63" w:rsidRPr="00E666A5">
        <w:rPr>
          <w:rFonts w:ascii="Arial" w:hAnsi="Arial" w:cs="Arial"/>
          <w:spacing w:val="-6"/>
          <w:lang w:val="es-ES_tradnl"/>
        </w:rPr>
        <w:t>.</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 xml:space="preserve">UCP: </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Unidad Coordinadora del Programa de Financiamie</w:t>
      </w:r>
      <w:r w:rsidR="001B784A" w:rsidRPr="00E666A5">
        <w:rPr>
          <w:rFonts w:ascii="Arial" w:hAnsi="Arial" w:cs="Arial"/>
          <w:lang w:val="es-ES_tradnl"/>
        </w:rPr>
        <w:t xml:space="preserve">nto de </w:t>
      </w:r>
      <w:r w:rsidR="00C76827" w:rsidRPr="00E666A5">
        <w:rPr>
          <w:rFonts w:ascii="Arial" w:hAnsi="Arial" w:cs="Arial"/>
          <w:lang w:val="es-ES_tradnl"/>
        </w:rPr>
        <w:tab/>
      </w:r>
      <w:r w:rsidR="001B784A" w:rsidRPr="00E666A5">
        <w:rPr>
          <w:rFonts w:ascii="Arial" w:hAnsi="Arial" w:cs="Arial"/>
          <w:lang w:val="es-ES_tradnl"/>
        </w:rPr>
        <w:tab/>
      </w:r>
      <w:r w:rsidR="001B784A" w:rsidRPr="00E666A5">
        <w:rPr>
          <w:rFonts w:ascii="Arial" w:hAnsi="Arial" w:cs="Arial"/>
          <w:lang w:val="es-ES_tradnl"/>
        </w:rPr>
        <w:tab/>
        <w:t>Vivienda Social (U</w:t>
      </w:r>
      <w:r w:rsidRPr="00E666A5">
        <w:rPr>
          <w:rFonts w:ascii="Arial" w:hAnsi="Arial" w:cs="Arial"/>
          <w:lang w:val="es-ES_tradnl"/>
        </w:rPr>
        <w:t>C</w:t>
      </w:r>
      <w:r w:rsidR="001B784A" w:rsidRPr="00E666A5">
        <w:rPr>
          <w:rFonts w:ascii="Arial" w:hAnsi="Arial" w:cs="Arial"/>
          <w:lang w:val="es-ES_tradnl"/>
        </w:rPr>
        <w:t>P</w:t>
      </w:r>
      <w:r w:rsidRPr="00E666A5">
        <w:rPr>
          <w:rFonts w:ascii="Arial" w:hAnsi="Arial" w:cs="Arial"/>
          <w:lang w:val="es-ES_tradnl"/>
        </w:rPr>
        <w:t xml:space="preserve">) </w:t>
      </w:r>
    </w:p>
    <w:p w:rsidR="004D6F1B" w:rsidRPr="00E666A5" w:rsidRDefault="004D6F1B" w:rsidP="00073F74">
      <w:pPr>
        <w:spacing w:beforeLines="25" w:before="60" w:afterLines="25" w:after="60" w:line="240" w:lineRule="auto"/>
        <w:ind w:left="720"/>
        <w:rPr>
          <w:rFonts w:ascii="Arial" w:hAnsi="Arial" w:cs="Arial"/>
          <w:lang w:val="es-ES_tradnl"/>
        </w:rPr>
      </w:pPr>
      <w:r w:rsidRPr="00E666A5">
        <w:rPr>
          <w:rFonts w:ascii="Arial" w:hAnsi="Arial" w:cs="Arial"/>
          <w:lang w:val="es-ES_tradnl"/>
        </w:rPr>
        <w:t>VIP:</w:t>
      </w:r>
      <w:r w:rsidRPr="00E666A5">
        <w:rPr>
          <w:rFonts w:ascii="Arial" w:hAnsi="Arial" w:cs="Arial"/>
          <w:lang w:val="es-ES_tradnl"/>
        </w:rPr>
        <w:tab/>
      </w:r>
      <w:r w:rsidRPr="00E666A5">
        <w:rPr>
          <w:rFonts w:ascii="Arial" w:hAnsi="Arial" w:cs="Arial"/>
          <w:lang w:val="es-ES_tradnl"/>
        </w:rPr>
        <w:tab/>
      </w:r>
      <w:r w:rsidRPr="00E666A5">
        <w:rPr>
          <w:rFonts w:ascii="Arial" w:hAnsi="Arial" w:cs="Arial"/>
          <w:lang w:val="es-ES_tradnl"/>
        </w:rPr>
        <w:tab/>
        <w:t>Vivienda de Interés Público</w:t>
      </w:r>
      <w:r w:rsidR="0010757C" w:rsidRPr="00E666A5">
        <w:rPr>
          <w:rFonts w:ascii="Arial" w:hAnsi="Arial" w:cs="Arial"/>
          <w:lang w:val="es-ES_tradnl"/>
        </w:rPr>
        <w:t>.</w:t>
      </w:r>
    </w:p>
    <w:p w:rsidR="004D6F1B" w:rsidRPr="00E666A5" w:rsidRDefault="004D6F1B" w:rsidP="00073F74">
      <w:pPr>
        <w:spacing w:beforeLines="60" w:before="144" w:afterLines="60" w:after="144" w:line="240" w:lineRule="auto"/>
        <w:jc w:val="both"/>
        <w:rPr>
          <w:rFonts w:ascii="Arial" w:hAnsi="Arial" w:cs="Arial"/>
          <w:lang w:val="es-ES_tradnl"/>
        </w:rPr>
      </w:pPr>
    </w:p>
    <w:p w:rsidR="00773877" w:rsidRPr="00E666A5" w:rsidRDefault="000434CA"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Además de los términos </w:t>
      </w:r>
      <w:r w:rsidR="004D6F1B" w:rsidRPr="00E666A5">
        <w:rPr>
          <w:rFonts w:ascii="Arial" w:hAnsi="Arial" w:cs="Arial"/>
          <w:lang w:val="es-ES_tradnl"/>
        </w:rPr>
        <w:t xml:space="preserve">arriba definidos y de </w:t>
      </w:r>
      <w:r w:rsidRPr="00E666A5">
        <w:rPr>
          <w:rFonts w:ascii="Arial" w:hAnsi="Arial" w:cs="Arial"/>
          <w:lang w:val="es-ES_tradnl"/>
        </w:rPr>
        <w:t xml:space="preserve">las definiciones que aparecen en el Contrato de </w:t>
      </w:r>
      <w:r w:rsidR="001A6AF0" w:rsidRPr="00E666A5">
        <w:rPr>
          <w:rFonts w:ascii="Arial" w:hAnsi="Arial" w:cs="Arial"/>
          <w:lang w:val="es-ES_tradnl"/>
        </w:rPr>
        <w:t>Contra-</w:t>
      </w:r>
      <w:r w:rsidRPr="00E666A5">
        <w:rPr>
          <w:rFonts w:ascii="Arial" w:hAnsi="Arial" w:cs="Arial"/>
          <w:lang w:val="es-ES_tradnl"/>
        </w:rPr>
        <w:t>Garantía, se aplicarán también al presente ROP las definiciones</w:t>
      </w:r>
      <w:r w:rsidR="00B474CB" w:rsidRPr="00E666A5">
        <w:rPr>
          <w:rFonts w:ascii="Arial" w:hAnsi="Arial" w:cs="Arial"/>
          <w:lang w:val="es-ES_tradnl"/>
        </w:rPr>
        <w:t xml:space="preserve"> de este </w:t>
      </w:r>
      <w:r w:rsidR="00EE100A" w:rsidRPr="00E666A5">
        <w:rPr>
          <w:rFonts w:ascii="Arial" w:hAnsi="Arial" w:cs="Arial"/>
          <w:lang w:val="es-ES_tradnl"/>
        </w:rPr>
        <w:t>capítulo</w:t>
      </w:r>
      <w:r w:rsidR="00C76827" w:rsidRPr="00E666A5">
        <w:rPr>
          <w:rFonts w:ascii="Arial" w:hAnsi="Arial" w:cs="Arial"/>
          <w:lang w:val="es-ES_tradnl"/>
        </w:rPr>
        <w:t>.</w:t>
      </w:r>
    </w:p>
    <w:p w:rsidR="007B1B35" w:rsidRPr="00E666A5" w:rsidRDefault="000434CA"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lastRenderedPageBreak/>
        <w:t xml:space="preserve">El Ministerio de Economía y Finanzas (MEF) será el Prestatario y el Organismo Ejecutor (OE) del </w:t>
      </w:r>
      <w:r w:rsidR="00EE100A" w:rsidRPr="00E666A5">
        <w:rPr>
          <w:rFonts w:ascii="Arial" w:hAnsi="Arial" w:cs="Arial"/>
          <w:lang w:val="es-ES_tradnl"/>
        </w:rPr>
        <w:t>p</w:t>
      </w:r>
      <w:r w:rsidRPr="00E666A5">
        <w:rPr>
          <w:rFonts w:ascii="Arial" w:hAnsi="Arial" w:cs="Arial"/>
          <w:lang w:val="es-ES_tradnl"/>
        </w:rPr>
        <w:t xml:space="preserve">rograma. El Contrato de </w:t>
      </w:r>
      <w:r w:rsidR="001A6AF0" w:rsidRPr="00E666A5">
        <w:rPr>
          <w:rFonts w:ascii="Arial" w:hAnsi="Arial" w:cs="Arial"/>
          <w:lang w:val="es-ES_tradnl"/>
        </w:rPr>
        <w:t>Contra-</w:t>
      </w:r>
      <w:r w:rsidRPr="00E666A5">
        <w:rPr>
          <w:rFonts w:ascii="Arial" w:hAnsi="Arial" w:cs="Arial"/>
          <w:lang w:val="es-ES_tradnl"/>
        </w:rPr>
        <w:t>Garantía y el ROP establecen las obligaciones del MEF como prestatario del BID,</w:t>
      </w:r>
      <w:r w:rsidR="004D6F1B" w:rsidRPr="00E666A5">
        <w:rPr>
          <w:rFonts w:ascii="Arial" w:hAnsi="Arial" w:cs="Arial"/>
          <w:lang w:val="es-ES_tradnl"/>
        </w:rPr>
        <w:t xml:space="preserve"> y como </w:t>
      </w:r>
      <w:r w:rsidRPr="00E666A5">
        <w:rPr>
          <w:rFonts w:ascii="Arial" w:hAnsi="Arial" w:cs="Arial"/>
          <w:lang w:val="es-ES_tradnl"/>
        </w:rPr>
        <w:t xml:space="preserve">OE del </w:t>
      </w:r>
      <w:r w:rsidR="005803C7" w:rsidRPr="00E666A5">
        <w:rPr>
          <w:rFonts w:ascii="Arial" w:hAnsi="Arial" w:cs="Arial"/>
          <w:lang w:val="es-ES_tradnl"/>
        </w:rPr>
        <w:t>p</w:t>
      </w:r>
      <w:r w:rsidRPr="00E666A5">
        <w:rPr>
          <w:rFonts w:ascii="Arial" w:hAnsi="Arial" w:cs="Arial"/>
          <w:lang w:val="es-ES_tradnl"/>
        </w:rPr>
        <w:t>rograma, responsable de la emisión del Bono Social y responsable de la implementación y seguimiento del Fideicomiso de Administración, que canalizará los fondos obtenidos de la emisión del Bono Social. En el ROP también se detallan obligaciones fiduciarias del MEF derivadas del Contrato de Garantía.</w:t>
      </w:r>
    </w:p>
    <w:p w:rsidR="00E7341C" w:rsidRPr="00E666A5" w:rsidRDefault="009D2AC5"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El Fideicomiso de Administración (FA)</w:t>
      </w:r>
      <w:r w:rsidRPr="00E666A5">
        <w:rPr>
          <w:rFonts w:ascii="Arial" w:hAnsi="Arial" w:cs="Arial"/>
          <w:lang w:val="es-ES_tradnl"/>
        </w:rPr>
        <w:t xml:space="preserve"> será creado por el OE para gestionar </w:t>
      </w:r>
      <w:r w:rsidR="007624DA" w:rsidRPr="00E666A5">
        <w:rPr>
          <w:rFonts w:ascii="Arial" w:hAnsi="Arial" w:cs="Arial"/>
          <w:lang w:val="es-ES_tradnl"/>
        </w:rPr>
        <w:t xml:space="preserve">e invertir </w:t>
      </w:r>
      <w:r w:rsidRPr="00E666A5">
        <w:rPr>
          <w:rFonts w:ascii="Arial" w:hAnsi="Arial" w:cs="Arial"/>
          <w:lang w:val="es-ES_tradnl"/>
        </w:rPr>
        <w:t>los recursos provenientes de</w:t>
      </w:r>
      <w:r w:rsidR="00576DA8" w:rsidRPr="00E666A5">
        <w:rPr>
          <w:rFonts w:ascii="Arial" w:hAnsi="Arial" w:cs="Arial"/>
          <w:lang w:val="es-ES_tradnl"/>
        </w:rPr>
        <w:t xml:space="preserve"> </w:t>
      </w:r>
      <w:r w:rsidRPr="00E666A5">
        <w:rPr>
          <w:rFonts w:ascii="Arial" w:hAnsi="Arial" w:cs="Arial"/>
          <w:lang w:val="es-ES_tradnl"/>
        </w:rPr>
        <w:t>l</w:t>
      </w:r>
      <w:r w:rsidR="00576DA8" w:rsidRPr="00E666A5">
        <w:rPr>
          <w:rFonts w:ascii="Arial" w:hAnsi="Arial" w:cs="Arial"/>
          <w:lang w:val="es-ES_tradnl"/>
        </w:rPr>
        <w:t>a emisión del</w:t>
      </w:r>
      <w:r w:rsidRPr="00E666A5">
        <w:rPr>
          <w:rFonts w:ascii="Arial" w:hAnsi="Arial" w:cs="Arial"/>
          <w:lang w:val="es-ES_tradnl"/>
        </w:rPr>
        <w:t xml:space="preserve"> Bono Social. Dichos recursos serán transferidos por el Gobierno de Ecuador a la cuenta del </w:t>
      </w:r>
      <w:r w:rsidR="003A2DEF" w:rsidRPr="00E666A5">
        <w:rPr>
          <w:rFonts w:ascii="Arial" w:hAnsi="Arial" w:cs="Arial"/>
          <w:lang w:val="es-ES_tradnl"/>
        </w:rPr>
        <w:t xml:space="preserve">FA </w:t>
      </w:r>
      <w:r w:rsidRPr="00E666A5">
        <w:rPr>
          <w:rFonts w:ascii="Arial" w:hAnsi="Arial" w:cs="Arial"/>
          <w:lang w:val="es-ES_tradnl"/>
        </w:rPr>
        <w:t xml:space="preserve">en el Banco Central. El </w:t>
      </w:r>
      <w:r w:rsidR="007624DA" w:rsidRPr="00E666A5">
        <w:rPr>
          <w:rFonts w:ascii="Arial" w:hAnsi="Arial" w:cs="Arial"/>
          <w:lang w:val="es-ES_tradnl"/>
        </w:rPr>
        <w:t xml:space="preserve">FA será un fideicomiso </w:t>
      </w:r>
      <w:r w:rsidR="0081724A" w:rsidRPr="00E666A5">
        <w:rPr>
          <w:rFonts w:ascii="Arial" w:hAnsi="Arial" w:cs="Arial"/>
          <w:lang w:val="es-ES_tradnl"/>
        </w:rPr>
        <w:t xml:space="preserve">Mercantil </w:t>
      </w:r>
      <w:r w:rsidR="007624DA" w:rsidRPr="00E666A5">
        <w:rPr>
          <w:rFonts w:ascii="Arial" w:hAnsi="Arial" w:cs="Arial"/>
          <w:lang w:val="es-ES_tradnl"/>
        </w:rPr>
        <w:t>de T</w:t>
      </w:r>
      <w:r w:rsidR="00EE100A" w:rsidRPr="00E666A5">
        <w:rPr>
          <w:rFonts w:ascii="Arial" w:hAnsi="Arial" w:cs="Arial"/>
          <w:lang w:val="es-ES_tradnl"/>
        </w:rPr>
        <w:t xml:space="preserve">itularización </w:t>
      </w:r>
      <w:r w:rsidR="007624DA" w:rsidRPr="00E666A5">
        <w:rPr>
          <w:rFonts w:ascii="Arial" w:hAnsi="Arial" w:cs="Arial"/>
          <w:lang w:val="es-ES_tradnl"/>
        </w:rPr>
        <w:t xml:space="preserve">que podrá </w:t>
      </w:r>
      <w:r w:rsidR="0081724A" w:rsidRPr="00E666A5">
        <w:rPr>
          <w:rFonts w:ascii="Arial" w:hAnsi="Arial" w:cs="Arial"/>
          <w:lang w:val="es-ES_tradnl"/>
        </w:rPr>
        <w:t xml:space="preserve">recibir el aporte en efectivo procedente </w:t>
      </w:r>
      <w:r w:rsidR="00521F94" w:rsidRPr="00E666A5">
        <w:rPr>
          <w:rFonts w:ascii="Arial" w:hAnsi="Arial" w:cs="Arial"/>
          <w:lang w:val="es-ES_tradnl"/>
        </w:rPr>
        <w:t>de</w:t>
      </w:r>
      <w:r w:rsidR="005C69A4" w:rsidRPr="00E666A5">
        <w:rPr>
          <w:rFonts w:ascii="Arial" w:hAnsi="Arial" w:cs="Arial"/>
          <w:lang w:val="es-ES_tradnl"/>
        </w:rPr>
        <w:t xml:space="preserve"> </w:t>
      </w:r>
      <w:r w:rsidR="00521F94" w:rsidRPr="00E666A5">
        <w:rPr>
          <w:rFonts w:ascii="Arial" w:hAnsi="Arial" w:cs="Arial"/>
          <w:lang w:val="es-ES_tradnl"/>
        </w:rPr>
        <w:t>l</w:t>
      </w:r>
      <w:r w:rsidR="005C69A4" w:rsidRPr="00E666A5">
        <w:rPr>
          <w:rFonts w:ascii="Arial" w:hAnsi="Arial" w:cs="Arial"/>
          <w:lang w:val="es-ES_tradnl"/>
        </w:rPr>
        <w:t xml:space="preserve">a emisión del </w:t>
      </w:r>
      <w:r w:rsidR="0081724A" w:rsidRPr="00E666A5">
        <w:rPr>
          <w:rFonts w:ascii="Arial" w:hAnsi="Arial" w:cs="Arial"/>
          <w:lang w:val="es-ES_tradnl"/>
        </w:rPr>
        <w:t>B</w:t>
      </w:r>
      <w:r w:rsidR="00EE100A" w:rsidRPr="00E666A5">
        <w:rPr>
          <w:rFonts w:ascii="Arial" w:hAnsi="Arial" w:cs="Arial"/>
          <w:lang w:val="es-ES_tradnl"/>
        </w:rPr>
        <w:t>ono</w:t>
      </w:r>
      <w:r w:rsidR="003A2DEF" w:rsidRPr="00E666A5">
        <w:rPr>
          <w:rFonts w:ascii="Arial" w:hAnsi="Arial" w:cs="Arial"/>
          <w:lang w:val="es-ES_tradnl"/>
        </w:rPr>
        <w:t>.</w:t>
      </w:r>
      <w:r w:rsidR="0081724A" w:rsidRPr="00E666A5">
        <w:rPr>
          <w:rFonts w:ascii="Arial" w:hAnsi="Arial" w:cs="Arial"/>
          <w:lang w:val="es-ES_tradnl"/>
        </w:rPr>
        <w:t xml:space="preserve"> El FA </w:t>
      </w:r>
      <w:r w:rsidR="00937332" w:rsidRPr="00E666A5">
        <w:rPr>
          <w:rFonts w:ascii="Arial" w:hAnsi="Arial" w:cs="Arial"/>
          <w:lang w:val="es-ES_tradnl"/>
        </w:rPr>
        <w:t>s</w:t>
      </w:r>
      <w:r w:rsidRPr="00E666A5">
        <w:rPr>
          <w:rFonts w:ascii="Arial" w:hAnsi="Arial" w:cs="Arial"/>
          <w:lang w:val="es-ES_tradnl"/>
        </w:rPr>
        <w:t xml:space="preserve">erá administrado por una entidad </w:t>
      </w:r>
      <w:r w:rsidR="00576DA8" w:rsidRPr="00E666A5">
        <w:rPr>
          <w:rFonts w:ascii="Arial" w:hAnsi="Arial" w:cs="Arial"/>
          <w:lang w:val="es-ES_tradnl"/>
        </w:rPr>
        <w:t xml:space="preserve">fiduciaria </w:t>
      </w:r>
      <w:r w:rsidRPr="00E666A5">
        <w:rPr>
          <w:rFonts w:ascii="Arial" w:hAnsi="Arial" w:cs="Arial"/>
          <w:lang w:val="es-ES_tradnl"/>
        </w:rPr>
        <w:t>pública o privada</w:t>
      </w:r>
      <w:r w:rsidR="00576DA8" w:rsidRPr="00E666A5">
        <w:rPr>
          <w:rFonts w:ascii="Arial" w:hAnsi="Arial" w:cs="Arial"/>
          <w:lang w:val="es-ES_tradnl"/>
        </w:rPr>
        <w:t>, en adelante Administrador Fiduciario</w:t>
      </w:r>
      <w:r w:rsidR="003A2DEF" w:rsidRPr="00E666A5">
        <w:rPr>
          <w:rFonts w:ascii="Arial" w:hAnsi="Arial" w:cs="Arial"/>
          <w:lang w:val="es-ES_tradnl"/>
        </w:rPr>
        <w:t xml:space="preserve"> (</w:t>
      </w:r>
      <w:r w:rsidR="00576DA8" w:rsidRPr="00E666A5">
        <w:rPr>
          <w:rFonts w:ascii="Arial" w:hAnsi="Arial" w:cs="Arial"/>
          <w:lang w:val="es-ES_tradnl"/>
        </w:rPr>
        <w:t>AF</w:t>
      </w:r>
      <w:r w:rsidR="003A2DEF" w:rsidRPr="00E666A5">
        <w:rPr>
          <w:rFonts w:ascii="Arial" w:hAnsi="Arial" w:cs="Arial"/>
          <w:lang w:val="es-ES_tradnl"/>
        </w:rPr>
        <w:t>)</w:t>
      </w:r>
      <w:r w:rsidR="00576DA8" w:rsidRPr="00E666A5">
        <w:rPr>
          <w:rFonts w:ascii="Arial" w:hAnsi="Arial" w:cs="Arial"/>
          <w:lang w:val="es-ES_tradnl"/>
        </w:rPr>
        <w:t xml:space="preserve">, </w:t>
      </w:r>
      <w:r w:rsidRPr="00E666A5">
        <w:rPr>
          <w:rFonts w:ascii="Arial" w:hAnsi="Arial" w:cs="Arial"/>
          <w:lang w:val="es-ES_tradnl"/>
        </w:rPr>
        <w:t>de reconocida solvencia, capacidad, experiencia y conocimiento de manejo de líneas de financiamiento para el mercado de la vivienda</w:t>
      </w:r>
      <w:r w:rsidR="00576DA8" w:rsidRPr="00E666A5">
        <w:rPr>
          <w:rFonts w:ascii="Arial" w:hAnsi="Arial" w:cs="Arial"/>
          <w:lang w:val="es-ES_tradnl"/>
        </w:rPr>
        <w:t>,</w:t>
      </w:r>
      <w:r w:rsidRPr="00E666A5">
        <w:rPr>
          <w:rFonts w:ascii="Arial" w:hAnsi="Arial" w:cs="Arial"/>
          <w:lang w:val="es-ES_tradnl"/>
        </w:rPr>
        <w:t xml:space="preserve"> que será contratado por el OE, y que deberá contar con la no objeción del Banco. El fideicomiso se estructurará observando el Código Orgánico Monetario y Financiero, la Ley de Mercado de Valores y la legislación vigente aplicable</w:t>
      </w:r>
      <w:r w:rsidR="00B93DE9" w:rsidRPr="00E666A5">
        <w:rPr>
          <w:rFonts w:ascii="Arial" w:hAnsi="Arial" w:cs="Arial"/>
          <w:lang w:val="es-ES_tradnl"/>
        </w:rPr>
        <w:t xml:space="preserve"> y en particular las Resoluciones 045-2015-F, 046</w:t>
      </w:r>
      <w:r w:rsidR="00DA7893" w:rsidRPr="00E666A5">
        <w:rPr>
          <w:rFonts w:ascii="Arial" w:hAnsi="Arial" w:cs="Arial"/>
          <w:lang w:val="es-ES_tradnl"/>
        </w:rPr>
        <w:t>˗</w:t>
      </w:r>
      <w:r w:rsidR="00B93DE9" w:rsidRPr="00E666A5">
        <w:rPr>
          <w:rFonts w:ascii="Arial" w:hAnsi="Arial" w:cs="Arial"/>
          <w:lang w:val="es-ES_tradnl"/>
        </w:rPr>
        <w:t>2015F, y sus reformas, de la Junta de Regulación de Política Monetaria y Financiera</w:t>
      </w:r>
      <w:r w:rsidR="00DA7893" w:rsidRPr="00E666A5">
        <w:rPr>
          <w:rFonts w:ascii="Arial" w:hAnsi="Arial" w:cs="Arial"/>
          <w:lang w:val="es-ES_tradnl"/>
        </w:rPr>
        <w:t>.</w:t>
      </w:r>
    </w:p>
    <w:p w:rsidR="00E7341C" w:rsidRPr="00E666A5" w:rsidRDefault="0081724A"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Fideicomisos de Titularización de Cartera </w:t>
      </w:r>
      <w:r w:rsidR="00341E42" w:rsidRPr="00E666A5">
        <w:rPr>
          <w:rFonts w:ascii="Arial" w:hAnsi="Arial" w:cs="Arial"/>
          <w:b/>
          <w:lang w:val="es-ES_tradnl"/>
        </w:rPr>
        <w:t>(FTC)</w:t>
      </w:r>
      <w:r w:rsidR="00EA06FA" w:rsidRPr="00E666A5">
        <w:rPr>
          <w:rFonts w:ascii="Arial" w:hAnsi="Arial" w:cs="Arial"/>
          <w:b/>
          <w:lang w:val="es-ES_tradnl"/>
        </w:rPr>
        <w:t>.</w:t>
      </w:r>
      <w:r w:rsidR="00341E42" w:rsidRPr="00E666A5">
        <w:rPr>
          <w:rFonts w:ascii="Arial" w:hAnsi="Arial" w:cs="Arial"/>
          <w:lang w:val="es-ES_tradnl"/>
        </w:rPr>
        <w:t xml:space="preserve"> </w:t>
      </w:r>
      <w:r w:rsidR="00EA06FA" w:rsidRPr="00E666A5">
        <w:rPr>
          <w:rFonts w:ascii="Arial" w:hAnsi="Arial" w:cs="Arial"/>
          <w:lang w:val="es-ES_tradnl"/>
        </w:rPr>
        <w:t xml:space="preserve">Los FTC </w:t>
      </w:r>
      <w:r w:rsidR="00341E42" w:rsidRPr="00E666A5">
        <w:rPr>
          <w:rFonts w:ascii="Arial" w:hAnsi="Arial" w:cs="Arial"/>
          <w:lang w:val="es-ES_tradnl"/>
        </w:rPr>
        <w:t xml:space="preserve">serán </w:t>
      </w:r>
      <w:r w:rsidR="006B5A57" w:rsidRPr="00E666A5">
        <w:rPr>
          <w:rFonts w:ascii="Arial" w:hAnsi="Arial" w:cs="Arial"/>
          <w:lang w:val="es-ES_tradnl"/>
        </w:rPr>
        <w:t xml:space="preserve">fideicomisos </w:t>
      </w:r>
      <w:r w:rsidRPr="00E666A5">
        <w:rPr>
          <w:rFonts w:ascii="Arial" w:hAnsi="Arial" w:cs="Arial"/>
          <w:lang w:val="es-ES_tradnl"/>
        </w:rPr>
        <w:t xml:space="preserve">constituidos por las </w:t>
      </w:r>
      <w:r w:rsidR="00341E42" w:rsidRPr="00E666A5">
        <w:rPr>
          <w:rFonts w:ascii="Arial" w:hAnsi="Arial" w:cs="Arial"/>
          <w:lang w:val="es-ES_tradnl"/>
        </w:rPr>
        <w:t>IFI</w:t>
      </w:r>
      <w:r w:rsidR="003A2DEF" w:rsidRPr="00E666A5">
        <w:rPr>
          <w:rFonts w:ascii="Arial" w:hAnsi="Arial" w:cs="Arial"/>
          <w:lang w:val="es-ES_tradnl"/>
        </w:rPr>
        <w:t>S</w:t>
      </w:r>
      <w:r w:rsidR="00341E42" w:rsidRPr="00E666A5">
        <w:rPr>
          <w:rFonts w:ascii="Arial" w:hAnsi="Arial" w:cs="Arial"/>
          <w:lang w:val="es-ES_tradnl"/>
        </w:rPr>
        <w:t xml:space="preserve"> </w:t>
      </w:r>
      <w:r w:rsidRPr="00E666A5">
        <w:rPr>
          <w:rFonts w:ascii="Arial" w:hAnsi="Arial" w:cs="Arial"/>
          <w:lang w:val="es-ES_tradnl"/>
        </w:rPr>
        <w:t>de los Sectores Financiero Privado y Popular y Solidario</w:t>
      </w:r>
      <w:r w:rsidR="00852D14" w:rsidRPr="00E666A5">
        <w:rPr>
          <w:rFonts w:ascii="Arial" w:hAnsi="Arial" w:cs="Arial"/>
          <w:lang w:val="es-ES_tradnl"/>
        </w:rPr>
        <w:t xml:space="preserve"> bajo el Programa de Financiamiento de la Vivienda Social </w:t>
      </w:r>
      <w:r w:rsidR="00CE0B63" w:rsidRPr="00E666A5">
        <w:rPr>
          <w:rFonts w:ascii="Arial" w:hAnsi="Arial" w:cs="Arial"/>
          <w:lang w:val="es-ES_tradnl"/>
        </w:rPr>
        <w:t xml:space="preserve">en Ecuador </w:t>
      </w:r>
      <w:r w:rsidR="00404BD5" w:rsidRPr="00E666A5">
        <w:rPr>
          <w:rFonts w:ascii="Arial" w:hAnsi="Arial" w:cs="Arial"/>
          <w:lang w:val="es-ES_tradnl"/>
        </w:rPr>
        <w:t>(P</w:t>
      </w:r>
      <w:r w:rsidR="00CE0B63" w:rsidRPr="00E666A5">
        <w:rPr>
          <w:rFonts w:ascii="Arial" w:hAnsi="Arial" w:cs="Arial"/>
          <w:lang w:val="es-ES_tradnl"/>
        </w:rPr>
        <w:t>ROVIS</w:t>
      </w:r>
      <w:r w:rsidR="00404BD5" w:rsidRPr="00E666A5">
        <w:rPr>
          <w:rFonts w:ascii="Arial" w:hAnsi="Arial" w:cs="Arial"/>
          <w:lang w:val="es-ES_tradnl"/>
        </w:rPr>
        <w:t xml:space="preserve">) </w:t>
      </w:r>
      <w:r w:rsidR="00852D14" w:rsidRPr="00E666A5">
        <w:rPr>
          <w:rFonts w:ascii="Arial" w:hAnsi="Arial" w:cs="Arial"/>
          <w:lang w:val="es-ES_tradnl"/>
        </w:rPr>
        <w:t xml:space="preserve">con la finalidad </w:t>
      </w:r>
      <w:r w:rsidR="00341E42" w:rsidRPr="00E666A5">
        <w:rPr>
          <w:rFonts w:ascii="Arial" w:hAnsi="Arial" w:cs="Arial"/>
          <w:lang w:val="es-ES_tradnl"/>
        </w:rPr>
        <w:t>de adquirir y titularizar la cartera generada por las IFI</w:t>
      </w:r>
      <w:r w:rsidR="00521F94" w:rsidRPr="00E666A5">
        <w:rPr>
          <w:rFonts w:ascii="Arial" w:hAnsi="Arial" w:cs="Arial"/>
          <w:lang w:val="es-ES_tradnl"/>
        </w:rPr>
        <w:t xml:space="preserve"> que se integren al programa.</w:t>
      </w:r>
      <w:r w:rsidR="00341E42" w:rsidRPr="00E666A5">
        <w:rPr>
          <w:rFonts w:ascii="Arial" w:hAnsi="Arial" w:cs="Arial"/>
          <w:lang w:val="es-ES_tradnl"/>
        </w:rPr>
        <w:t xml:space="preserve"> L</w:t>
      </w:r>
      <w:r w:rsidRPr="00E666A5">
        <w:rPr>
          <w:rFonts w:ascii="Arial" w:hAnsi="Arial" w:cs="Arial"/>
          <w:lang w:val="es-ES_tradnl"/>
        </w:rPr>
        <w:t xml:space="preserve">os recursos necesarios para la compra de la cartera de vivienda de interés </w:t>
      </w:r>
      <w:r w:rsidR="006E2FF0" w:rsidRPr="00E666A5">
        <w:rPr>
          <w:rFonts w:ascii="Arial" w:hAnsi="Arial" w:cs="Arial"/>
          <w:lang w:val="es-ES_tradnl"/>
        </w:rPr>
        <w:t>público</w:t>
      </w:r>
      <w:r w:rsidR="00341E42" w:rsidRPr="00E666A5">
        <w:rPr>
          <w:rFonts w:ascii="Arial" w:hAnsi="Arial" w:cs="Arial"/>
          <w:lang w:val="es-ES_tradnl"/>
        </w:rPr>
        <w:t xml:space="preserve"> serán aportados por el FA</w:t>
      </w:r>
      <w:r w:rsidRPr="00E666A5">
        <w:rPr>
          <w:rFonts w:ascii="Arial" w:hAnsi="Arial" w:cs="Arial"/>
          <w:lang w:val="es-ES_tradnl"/>
        </w:rPr>
        <w:t xml:space="preserve"> </w:t>
      </w:r>
      <w:r w:rsidR="00341E42" w:rsidRPr="00E666A5">
        <w:rPr>
          <w:rFonts w:ascii="Arial" w:hAnsi="Arial" w:cs="Arial"/>
          <w:lang w:val="es-ES_tradnl"/>
        </w:rPr>
        <w:t>a los FTC según la proporción establecida</w:t>
      </w:r>
      <w:r w:rsidRPr="00E666A5">
        <w:rPr>
          <w:rFonts w:ascii="Arial" w:hAnsi="Arial" w:cs="Arial"/>
          <w:lang w:val="es-ES_tradnl"/>
        </w:rPr>
        <w:t xml:space="preserve"> </w:t>
      </w:r>
      <w:r w:rsidR="00341E42" w:rsidRPr="00E666A5">
        <w:rPr>
          <w:rFonts w:ascii="Arial" w:hAnsi="Arial" w:cs="Arial"/>
          <w:lang w:val="es-ES_tradnl"/>
        </w:rPr>
        <w:t xml:space="preserve">en </w:t>
      </w:r>
      <w:r w:rsidRPr="00E666A5">
        <w:rPr>
          <w:rFonts w:ascii="Arial" w:hAnsi="Arial" w:cs="Arial"/>
          <w:lang w:val="es-ES_tradnl"/>
        </w:rPr>
        <w:t>la estructura financiera de cada titularización</w:t>
      </w:r>
      <w:r w:rsidR="0059586D" w:rsidRPr="00E666A5">
        <w:rPr>
          <w:rFonts w:ascii="Arial" w:hAnsi="Arial" w:cs="Arial"/>
          <w:lang w:val="es-ES_tradnl"/>
        </w:rPr>
        <w:t xml:space="preserve"> y a la normativa que para el efecto estuviere vigente</w:t>
      </w:r>
      <w:r w:rsidR="00DA7893" w:rsidRPr="00E666A5">
        <w:rPr>
          <w:rFonts w:ascii="Arial" w:hAnsi="Arial" w:cs="Arial"/>
          <w:lang w:val="es-ES_tradnl"/>
        </w:rPr>
        <w:t>.</w:t>
      </w:r>
    </w:p>
    <w:p w:rsidR="00C7682D" w:rsidRPr="00E666A5" w:rsidRDefault="006864F0"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Cartera de Portafolio (CP). </w:t>
      </w:r>
      <w:r w:rsidR="00EE100A" w:rsidRPr="00E666A5">
        <w:rPr>
          <w:rFonts w:ascii="Arial" w:hAnsi="Arial" w:cs="Arial"/>
          <w:lang w:val="es-ES_tradnl"/>
        </w:rPr>
        <w:t xml:space="preserve">Se denomina </w:t>
      </w:r>
      <w:r w:rsidRPr="00E666A5">
        <w:rPr>
          <w:rFonts w:ascii="Arial" w:hAnsi="Arial" w:cs="Arial"/>
          <w:lang w:val="es-ES_tradnl"/>
        </w:rPr>
        <w:t>c</w:t>
      </w:r>
      <w:r w:rsidR="00EE100A" w:rsidRPr="00E666A5">
        <w:rPr>
          <w:rFonts w:ascii="Arial" w:hAnsi="Arial" w:cs="Arial"/>
          <w:lang w:val="es-ES_tradnl"/>
        </w:rPr>
        <w:t xml:space="preserve">artera </w:t>
      </w:r>
      <w:r w:rsidR="007F6A52" w:rsidRPr="00E666A5">
        <w:rPr>
          <w:rFonts w:ascii="Arial" w:hAnsi="Arial" w:cs="Arial"/>
          <w:lang w:val="es-ES_tradnl"/>
        </w:rPr>
        <w:t xml:space="preserve">de </w:t>
      </w:r>
      <w:r w:rsidRPr="00E666A5">
        <w:rPr>
          <w:rFonts w:ascii="Arial" w:hAnsi="Arial" w:cs="Arial"/>
          <w:lang w:val="es-ES_tradnl"/>
        </w:rPr>
        <w:t>p</w:t>
      </w:r>
      <w:r w:rsidR="007F6A52" w:rsidRPr="00E666A5">
        <w:rPr>
          <w:rFonts w:ascii="Arial" w:hAnsi="Arial" w:cs="Arial"/>
          <w:lang w:val="es-ES_tradnl"/>
        </w:rPr>
        <w:t xml:space="preserve">ortafolio </w:t>
      </w:r>
      <w:r w:rsidR="00EE100A" w:rsidRPr="00E666A5">
        <w:rPr>
          <w:rFonts w:ascii="Arial" w:hAnsi="Arial" w:cs="Arial"/>
          <w:lang w:val="es-ES_tradnl"/>
        </w:rPr>
        <w:t xml:space="preserve">a los portafolios de operaciones hipotecarias que hubieren sido otorgados a los beneficiarios finales con recursos del </w:t>
      </w:r>
      <w:r w:rsidR="00EA06FA" w:rsidRPr="00E666A5">
        <w:rPr>
          <w:rFonts w:ascii="Arial" w:hAnsi="Arial" w:cs="Arial"/>
          <w:lang w:val="es-ES_tradnl"/>
        </w:rPr>
        <w:t>p</w:t>
      </w:r>
      <w:r w:rsidR="00EE100A" w:rsidRPr="00E666A5">
        <w:rPr>
          <w:rFonts w:ascii="Arial" w:hAnsi="Arial" w:cs="Arial"/>
          <w:lang w:val="es-ES_tradnl"/>
        </w:rPr>
        <w:t>rograma a través de las IFI</w:t>
      </w:r>
      <w:r w:rsidRPr="00E666A5">
        <w:rPr>
          <w:rFonts w:ascii="Arial" w:hAnsi="Arial" w:cs="Arial"/>
          <w:lang w:val="es-ES_tradnl"/>
        </w:rPr>
        <w:t>S</w:t>
      </w:r>
      <w:r w:rsidR="00EE100A" w:rsidRPr="00E666A5">
        <w:rPr>
          <w:rFonts w:ascii="Arial" w:hAnsi="Arial" w:cs="Arial"/>
          <w:lang w:val="es-ES_tradnl"/>
        </w:rPr>
        <w:t xml:space="preserve"> elegibles. </w:t>
      </w:r>
    </w:p>
    <w:p w:rsidR="007E4C3D" w:rsidRPr="00E666A5" w:rsidRDefault="00024A11" w:rsidP="00073F74">
      <w:pPr>
        <w:pStyle w:val="Heading1"/>
        <w:numPr>
          <w:ilvl w:val="0"/>
          <w:numId w:val="5"/>
        </w:numPr>
        <w:ind w:left="720"/>
        <w:jc w:val="both"/>
        <w:rPr>
          <w:rFonts w:ascii="Arial" w:hAnsi="Arial" w:cs="Arial"/>
          <w:sz w:val="22"/>
          <w:szCs w:val="22"/>
          <w:lang w:val="es-ES_tradnl"/>
        </w:rPr>
      </w:pPr>
      <w:bookmarkStart w:id="3" w:name="_Toc528941812"/>
      <w:r w:rsidRPr="00E666A5">
        <w:rPr>
          <w:rFonts w:ascii="Arial" w:hAnsi="Arial" w:cs="Arial"/>
          <w:b/>
          <w:smallCaps/>
          <w:sz w:val="22"/>
          <w:szCs w:val="22"/>
          <w:lang w:val="es-ES_tradnl"/>
        </w:rPr>
        <w:t>Responsabilidades para la Ejecuci</w:t>
      </w:r>
      <w:r w:rsidR="000242E0" w:rsidRPr="00E666A5">
        <w:rPr>
          <w:rFonts w:ascii="Arial" w:hAnsi="Arial" w:cs="Arial"/>
          <w:b/>
          <w:smallCaps/>
          <w:sz w:val="22"/>
          <w:szCs w:val="22"/>
          <w:lang w:val="es-ES_tradnl"/>
        </w:rPr>
        <w:t>ó</w:t>
      </w:r>
      <w:r w:rsidRPr="00E666A5">
        <w:rPr>
          <w:rFonts w:ascii="Arial" w:hAnsi="Arial" w:cs="Arial"/>
          <w:b/>
          <w:smallCaps/>
          <w:sz w:val="22"/>
          <w:szCs w:val="22"/>
          <w:lang w:val="es-ES_tradnl"/>
        </w:rPr>
        <w:t>n y Administración del Programa</w:t>
      </w:r>
      <w:bookmarkEnd w:id="3"/>
    </w:p>
    <w:p w:rsidR="00612A1F" w:rsidRPr="00E666A5" w:rsidRDefault="00612A1F"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El Organismo Ejecutor del Programa (OE) es el MEF quien es además el emisor y colocador del B</w:t>
      </w:r>
      <w:r w:rsidR="006E2FF0" w:rsidRPr="00E666A5">
        <w:rPr>
          <w:rFonts w:ascii="Arial" w:hAnsi="Arial" w:cs="Arial"/>
          <w:lang w:val="es-ES_tradnl"/>
        </w:rPr>
        <w:t>ono</w:t>
      </w:r>
      <w:r w:rsidRPr="00E666A5">
        <w:rPr>
          <w:rFonts w:ascii="Arial" w:hAnsi="Arial" w:cs="Arial"/>
          <w:lang w:val="es-ES_tradnl"/>
        </w:rPr>
        <w:t xml:space="preserve"> S</w:t>
      </w:r>
      <w:r w:rsidR="006E2FF0" w:rsidRPr="00E666A5">
        <w:rPr>
          <w:rFonts w:ascii="Arial" w:hAnsi="Arial" w:cs="Arial"/>
          <w:lang w:val="es-ES_tradnl"/>
        </w:rPr>
        <w:t>ocial</w:t>
      </w:r>
      <w:r w:rsidRPr="00E666A5">
        <w:rPr>
          <w:rFonts w:ascii="Arial" w:hAnsi="Arial" w:cs="Arial"/>
          <w:lang w:val="es-ES_tradnl"/>
        </w:rPr>
        <w:t xml:space="preserve">. El OE </w:t>
      </w:r>
      <w:r w:rsidR="006B12BF" w:rsidRPr="00E666A5">
        <w:rPr>
          <w:rFonts w:ascii="Arial" w:hAnsi="Arial" w:cs="Arial"/>
          <w:lang w:val="es-ES_tradnl"/>
        </w:rPr>
        <w:t>ejecutará</w:t>
      </w:r>
      <w:r w:rsidRPr="00E666A5">
        <w:rPr>
          <w:rFonts w:ascii="Arial" w:hAnsi="Arial" w:cs="Arial"/>
          <w:lang w:val="es-ES_tradnl"/>
        </w:rPr>
        <w:t xml:space="preserve"> el programa a través de la Unidad Coordinadora del Programa </w:t>
      </w:r>
      <w:r w:rsidR="006E2FF0" w:rsidRPr="00E666A5">
        <w:rPr>
          <w:rFonts w:ascii="Arial" w:hAnsi="Arial" w:cs="Arial"/>
          <w:lang w:val="es-ES_tradnl"/>
        </w:rPr>
        <w:t>(</w:t>
      </w:r>
      <w:r w:rsidRPr="00E666A5">
        <w:rPr>
          <w:rFonts w:ascii="Arial" w:hAnsi="Arial" w:cs="Arial"/>
          <w:lang w:val="es-ES_tradnl"/>
        </w:rPr>
        <w:t>UCP</w:t>
      </w:r>
      <w:r w:rsidR="006E2FF0" w:rsidRPr="00E666A5">
        <w:rPr>
          <w:rFonts w:ascii="Arial" w:hAnsi="Arial" w:cs="Arial"/>
          <w:lang w:val="es-ES_tradnl"/>
        </w:rPr>
        <w:t>)</w:t>
      </w:r>
      <w:r w:rsidRPr="00E666A5">
        <w:rPr>
          <w:rFonts w:ascii="Arial" w:hAnsi="Arial" w:cs="Arial"/>
          <w:lang w:val="es-ES_tradnl"/>
        </w:rPr>
        <w:t>, misma que tendrá responsabilidades tanto para la emisión del B</w:t>
      </w:r>
      <w:r w:rsidR="006E2FF0" w:rsidRPr="00E666A5">
        <w:rPr>
          <w:rFonts w:ascii="Arial" w:hAnsi="Arial" w:cs="Arial"/>
          <w:lang w:val="es-ES_tradnl"/>
        </w:rPr>
        <w:t>ono</w:t>
      </w:r>
      <w:r w:rsidRPr="00E666A5">
        <w:rPr>
          <w:rFonts w:ascii="Arial" w:hAnsi="Arial" w:cs="Arial"/>
          <w:lang w:val="es-ES_tradnl"/>
        </w:rPr>
        <w:t xml:space="preserve"> S</w:t>
      </w:r>
      <w:r w:rsidR="006E2FF0" w:rsidRPr="00E666A5">
        <w:rPr>
          <w:rFonts w:ascii="Arial" w:hAnsi="Arial" w:cs="Arial"/>
          <w:lang w:val="es-ES_tradnl"/>
        </w:rPr>
        <w:t>ocial</w:t>
      </w:r>
      <w:r w:rsidRPr="00E666A5">
        <w:rPr>
          <w:rFonts w:ascii="Arial" w:hAnsi="Arial" w:cs="Arial"/>
          <w:lang w:val="es-ES_tradnl"/>
        </w:rPr>
        <w:t xml:space="preserve"> cuanto sobr</w:t>
      </w:r>
      <w:r w:rsidR="006E2FF0" w:rsidRPr="00E666A5">
        <w:rPr>
          <w:rFonts w:ascii="Arial" w:hAnsi="Arial" w:cs="Arial"/>
          <w:lang w:val="es-ES_tradnl"/>
        </w:rPr>
        <w:t>e</w:t>
      </w:r>
      <w:r w:rsidRPr="00E666A5">
        <w:rPr>
          <w:rFonts w:ascii="Arial" w:hAnsi="Arial" w:cs="Arial"/>
          <w:lang w:val="es-ES_tradnl"/>
        </w:rPr>
        <w:t xml:space="preserve"> el manejo de los recursos obtenidos por la colocación de dicho bono en el mercado</w:t>
      </w:r>
      <w:r w:rsidR="000242E0" w:rsidRPr="00E666A5">
        <w:rPr>
          <w:rFonts w:ascii="Arial" w:hAnsi="Arial" w:cs="Arial"/>
          <w:lang w:val="es-ES_tradnl"/>
        </w:rPr>
        <w:t>.</w:t>
      </w:r>
    </w:p>
    <w:p w:rsidR="007E4C3D" w:rsidRPr="00E666A5" w:rsidRDefault="00F524FD"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Composición UCP.</w:t>
      </w:r>
      <w:r w:rsidRPr="00E666A5">
        <w:rPr>
          <w:rFonts w:ascii="Arial" w:hAnsi="Arial" w:cs="Arial"/>
          <w:lang w:val="es-ES_tradnl"/>
        </w:rPr>
        <w:t xml:space="preserve"> </w:t>
      </w:r>
      <w:r w:rsidR="007E4C3D" w:rsidRPr="00E666A5">
        <w:rPr>
          <w:rFonts w:ascii="Arial" w:hAnsi="Arial" w:cs="Arial"/>
          <w:lang w:val="es-ES_tradnl"/>
        </w:rPr>
        <w:t xml:space="preserve">La UCP estará compuesta </w:t>
      </w:r>
      <w:r w:rsidR="005C69A4" w:rsidRPr="00E666A5">
        <w:rPr>
          <w:rFonts w:ascii="Arial" w:hAnsi="Arial" w:cs="Arial"/>
          <w:lang w:val="es-ES_tradnl"/>
        </w:rPr>
        <w:t xml:space="preserve">al menos </w:t>
      </w:r>
      <w:r w:rsidR="007E4C3D" w:rsidRPr="00E666A5">
        <w:rPr>
          <w:rFonts w:ascii="Arial" w:hAnsi="Arial" w:cs="Arial"/>
          <w:lang w:val="es-ES_tradnl"/>
        </w:rPr>
        <w:t>por: (i) un(a) Coordinador(a) General; y (ii) un(a) Coordinador(a) Administrativa; (iii) un experto legal;</w:t>
      </w:r>
      <w:r w:rsidR="006E2FF0" w:rsidRPr="00E666A5">
        <w:rPr>
          <w:rFonts w:ascii="Arial" w:hAnsi="Arial" w:cs="Arial"/>
          <w:lang w:val="es-ES_tradnl"/>
        </w:rPr>
        <w:t xml:space="preserve"> y</w:t>
      </w:r>
      <w:r w:rsidR="007E4C3D" w:rsidRPr="00E666A5">
        <w:rPr>
          <w:rFonts w:ascii="Arial" w:hAnsi="Arial" w:cs="Arial"/>
          <w:lang w:val="es-ES_tradnl"/>
        </w:rPr>
        <w:t xml:space="preserve"> (iv) un experto en manejo financiero.</w:t>
      </w:r>
      <w:r w:rsidR="000242E0" w:rsidRPr="00E666A5">
        <w:rPr>
          <w:rFonts w:ascii="Arial" w:hAnsi="Arial" w:cs="Arial"/>
          <w:lang w:val="es-ES_tradnl"/>
        </w:rPr>
        <w:t xml:space="preserve"> Estos expertos deberán estar formalmente nombrados y comunicados al Banco antes de la entrada en vigor de este ROP. </w:t>
      </w:r>
    </w:p>
    <w:p w:rsidR="007E4C3D" w:rsidRPr="00E666A5" w:rsidRDefault="00F524FD"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Funciones UCP</w:t>
      </w:r>
      <w:r w:rsidR="00A9495A" w:rsidRPr="00E666A5">
        <w:rPr>
          <w:rFonts w:ascii="Arial" w:hAnsi="Arial" w:cs="Arial"/>
          <w:b/>
          <w:lang w:val="es-ES_tradnl"/>
        </w:rPr>
        <w:t xml:space="preserve"> I</w:t>
      </w:r>
      <w:r w:rsidRPr="00E666A5">
        <w:rPr>
          <w:rFonts w:ascii="Arial" w:hAnsi="Arial" w:cs="Arial"/>
          <w:b/>
          <w:lang w:val="es-ES_tradnl"/>
        </w:rPr>
        <w:t xml:space="preserve">. </w:t>
      </w:r>
      <w:r w:rsidR="007E4C3D" w:rsidRPr="00E666A5">
        <w:rPr>
          <w:rFonts w:ascii="Arial" w:hAnsi="Arial" w:cs="Arial"/>
          <w:lang w:val="es-ES_tradnl"/>
        </w:rPr>
        <w:t xml:space="preserve">En relación con la emisión del Bono Social, la UCP será responsable de: (i) definir la hoja de ruta para la emisión del Bono Social, incluyendo el presupuesto detallado y origen de recursos; (ii) realizar la contratación y coordinar con el Banco de Inversión la estructuración (elaboración de cartas de compromiso, de la documentación legal y financiera necesaria, entre </w:t>
      </w:r>
      <w:r w:rsidR="007E4C3D" w:rsidRPr="00E666A5">
        <w:rPr>
          <w:rFonts w:ascii="Arial" w:hAnsi="Arial" w:cs="Arial"/>
          <w:lang w:val="es-ES_tradnl"/>
        </w:rPr>
        <w:lastRenderedPageBreak/>
        <w:t xml:space="preserve">otros); (iii) coordinar con el equipo técnico del BID la estructura de la Garantía asociada a la emisión, y la documentación legal y financiera requerida de apoyo; (iv) preparar el </w:t>
      </w:r>
      <w:r w:rsidR="007E4C3D" w:rsidRPr="00E666A5">
        <w:rPr>
          <w:rFonts w:ascii="Arial" w:hAnsi="Arial" w:cs="Arial"/>
          <w:i/>
          <w:lang w:val="es-ES_tradnl"/>
        </w:rPr>
        <w:t>Roadshow</w:t>
      </w:r>
      <w:r w:rsidR="007E4C3D" w:rsidRPr="00E666A5">
        <w:rPr>
          <w:rFonts w:ascii="Arial" w:hAnsi="Arial" w:cs="Arial"/>
          <w:lang w:val="es-ES_tradnl"/>
        </w:rPr>
        <w:t xml:space="preserve"> en coordinación con el Banco y el Banco de Inversión, y apoyar la relación con los inversionistas internacionales; (v)</w:t>
      </w:r>
      <w:r w:rsidR="006E2FF0" w:rsidRPr="00E666A5">
        <w:rPr>
          <w:rFonts w:ascii="Arial" w:hAnsi="Arial" w:cs="Arial"/>
          <w:lang w:val="es-ES_tradnl"/>
        </w:rPr>
        <w:t> </w:t>
      </w:r>
      <w:r w:rsidR="007E4C3D" w:rsidRPr="00E666A5">
        <w:rPr>
          <w:rFonts w:ascii="Arial" w:hAnsi="Arial" w:cs="Arial"/>
          <w:lang w:val="es-ES_tradnl"/>
        </w:rPr>
        <w:t xml:space="preserve">coordinar con el equipo legal y de crédito público del MEF y otras instancias del Gobierno en las materias que lo requieran; </w:t>
      </w:r>
      <w:r w:rsidR="00DA7893" w:rsidRPr="00E666A5">
        <w:rPr>
          <w:rFonts w:ascii="Arial" w:hAnsi="Arial" w:cs="Arial"/>
          <w:lang w:val="es-ES_tradnl"/>
        </w:rPr>
        <w:t xml:space="preserve">y </w:t>
      </w:r>
      <w:r w:rsidR="007E4C3D" w:rsidRPr="00E666A5">
        <w:rPr>
          <w:rFonts w:ascii="Arial" w:hAnsi="Arial" w:cs="Arial"/>
          <w:lang w:val="es-ES_tradnl"/>
        </w:rPr>
        <w:t xml:space="preserve">(vi) coordinar con la empresa encargada de la validación social del Bono emitido (preparación de la documentación básica, recopilación de indicadores y sistema de reporte). </w:t>
      </w:r>
    </w:p>
    <w:p w:rsidR="00224BEE" w:rsidRPr="00E666A5" w:rsidRDefault="00F524FD"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Funciones UC</w:t>
      </w:r>
      <w:r w:rsidR="00A9495A" w:rsidRPr="00E666A5">
        <w:rPr>
          <w:rFonts w:ascii="Arial" w:hAnsi="Arial" w:cs="Arial"/>
          <w:b/>
          <w:lang w:val="es-ES_tradnl"/>
        </w:rPr>
        <w:t>P II</w:t>
      </w:r>
      <w:r w:rsidRPr="00E666A5">
        <w:rPr>
          <w:rFonts w:ascii="Arial" w:hAnsi="Arial" w:cs="Arial"/>
          <w:b/>
          <w:lang w:val="es-ES_tradnl"/>
        </w:rPr>
        <w:t xml:space="preserve">. </w:t>
      </w:r>
      <w:r w:rsidR="007E4C3D" w:rsidRPr="00E666A5">
        <w:rPr>
          <w:rFonts w:ascii="Arial" w:hAnsi="Arial" w:cs="Arial"/>
          <w:lang w:val="es-ES_tradnl"/>
        </w:rPr>
        <w:t>En relación con la administración de</w:t>
      </w:r>
      <w:r w:rsidR="00613A80" w:rsidRPr="00E666A5">
        <w:rPr>
          <w:rFonts w:ascii="Arial" w:hAnsi="Arial" w:cs="Arial"/>
          <w:lang w:val="es-ES_tradnl"/>
        </w:rPr>
        <w:t xml:space="preserve"> </w:t>
      </w:r>
      <w:r w:rsidR="007E4C3D" w:rsidRPr="00E666A5">
        <w:rPr>
          <w:rFonts w:ascii="Arial" w:hAnsi="Arial" w:cs="Arial"/>
          <w:lang w:val="es-ES_tradnl"/>
        </w:rPr>
        <w:t>l</w:t>
      </w:r>
      <w:r w:rsidR="00613A80" w:rsidRPr="00E666A5">
        <w:rPr>
          <w:rFonts w:ascii="Arial" w:hAnsi="Arial" w:cs="Arial"/>
          <w:lang w:val="es-ES_tradnl"/>
        </w:rPr>
        <w:t xml:space="preserve">os recursos del </w:t>
      </w:r>
      <w:r w:rsidR="00DA7893" w:rsidRPr="00E666A5">
        <w:rPr>
          <w:rFonts w:ascii="Arial" w:hAnsi="Arial" w:cs="Arial"/>
          <w:lang w:val="es-ES_tradnl"/>
        </w:rPr>
        <w:t>p</w:t>
      </w:r>
      <w:r w:rsidR="007E4C3D" w:rsidRPr="00E666A5">
        <w:rPr>
          <w:rFonts w:ascii="Arial" w:hAnsi="Arial" w:cs="Arial"/>
          <w:lang w:val="es-ES_tradnl"/>
        </w:rPr>
        <w:t>rograma</w:t>
      </w:r>
      <w:r w:rsidR="00613A80" w:rsidRPr="00E666A5">
        <w:rPr>
          <w:rFonts w:ascii="Arial" w:hAnsi="Arial" w:cs="Arial"/>
          <w:lang w:val="es-ES_tradnl"/>
        </w:rPr>
        <w:t xml:space="preserve">, </w:t>
      </w:r>
      <w:r w:rsidR="007E4C3D" w:rsidRPr="00E666A5">
        <w:rPr>
          <w:rFonts w:ascii="Arial" w:hAnsi="Arial" w:cs="Arial"/>
          <w:lang w:val="es-ES_tradnl"/>
        </w:rPr>
        <w:t xml:space="preserve">la UCP será responsable de: (i) constituir el Fideicomiso de Administración </w:t>
      </w:r>
      <w:r w:rsidR="00613A80" w:rsidRPr="00E666A5">
        <w:rPr>
          <w:rFonts w:ascii="Arial" w:hAnsi="Arial" w:cs="Arial"/>
          <w:lang w:val="es-ES_tradnl"/>
        </w:rPr>
        <w:t xml:space="preserve">FA como receptor </w:t>
      </w:r>
      <w:r w:rsidR="007E4C3D" w:rsidRPr="00E666A5">
        <w:rPr>
          <w:rFonts w:ascii="Arial" w:hAnsi="Arial" w:cs="Arial"/>
          <w:lang w:val="es-ES_tradnl"/>
        </w:rPr>
        <w:t xml:space="preserve">de los fondos del </w:t>
      </w:r>
      <w:r w:rsidR="00EA06FA" w:rsidRPr="00E666A5">
        <w:rPr>
          <w:rFonts w:ascii="Arial" w:hAnsi="Arial" w:cs="Arial"/>
          <w:lang w:val="es-ES_tradnl"/>
        </w:rPr>
        <w:t>p</w:t>
      </w:r>
      <w:r w:rsidR="007E4C3D" w:rsidRPr="00E666A5">
        <w:rPr>
          <w:rFonts w:ascii="Arial" w:hAnsi="Arial" w:cs="Arial"/>
          <w:lang w:val="es-ES_tradnl"/>
        </w:rPr>
        <w:t xml:space="preserve">rograma, </w:t>
      </w:r>
      <w:r w:rsidR="00613A80" w:rsidRPr="00E666A5">
        <w:rPr>
          <w:rFonts w:ascii="Arial" w:hAnsi="Arial" w:cs="Arial"/>
          <w:lang w:val="es-ES_tradnl"/>
        </w:rPr>
        <w:t xml:space="preserve">a través de </w:t>
      </w:r>
      <w:r w:rsidR="007E4C3D" w:rsidRPr="00E666A5">
        <w:rPr>
          <w:rFonts w:ascii="Arial" w:hAnsi="Arial" w:cs="Arial"/>
          <w:lang w:val="es-ES_tradnl"/>
        </w:rPr>
        <w:t xml:space="preserve"> una cuenta en el Banco Central de la República del Ecuador; </w:t>
      </w:r>
      <w:r w:rsidR="00613A80" w:rsidRPr="00E666A5">
        <w:rPr>
          <w:rFonts w:ascii="Arial" w:hAnsi="Arial" w:cs="Arial"/>
          <w:lang w:val="es-ES_tradnl"/>
        </w:rPr>
        <w:t>(ii)</w:t>
      </w:r>
      <w:r w:rsidR="006B12BF" w:rsidRPr="00E666A5">
        <w:rPr>
          <w:rFonts w:ascii="Arial" w:hAnsi="Arial" w:cs="Arial"/>
          <w:lang w:val="es-ES_tradnl"/>
        </w:rPr>
        <w:t xml:space="preserve"> </w:t>
      </w:r>
      <w:r w:rsidR="00613A80" w:rsidRPr="00E666A5">
        <w:rPr>
          <w:rFonts w:ascii="Arial" w:hAnsi="Arial" w:cs="Arial"/>
          <w:lang w:val="es-ES_tradnl"/>
        </w:rPr>
        <w:t>ordenar el aporte de recursos del FA en los FTC, que hubieren sido creados por las IFIS solicitantes,</w:t>
      </w:r>
      <w:r w:rsidR="000242E0" w:rsidRPr="00E666A5">
        <w:rPr>
          <w:rFonts w:ascii="Arial" w:hAnsi="Arial" w:cs="Arial"/>
          <w:lang w:val="es-ES_tradnl"/>
        </w:rPr>
        <w:t xml:space="preserve"> </w:t>
      </w:r>
      <w:r w:rsidR="00613A80" w:rsidRPr="00E666A5">
        <w:rPr>
          <w:rFonts w:ascii="Arial" w:hAnsi="Arial" w:cs="Arial"/>
          <w:lang w:val="es-ES_tradnl"/>
        </w:rPr>
        <w:t xml:space="preserve">y previamente calificadas por la SBS </w:t>
      </w:r>
      <w:r w:rsidR="00E40B8A" w:rsidRPr="00E666A5">
        <w:rPr>
          <w:rFonts w:ascii="Arial" w:hAnsi="Arial" w:cs="Arial"/>
          <w:lang w:val="es-ES_tradnl"/>
        </w:rPr>
        <w:t>y la</w:t>
      </w:r>
      <w:r w:rsidR="00613A80" w:rsidRPr="00E666A5">
        <w:rPr>
          <w:rFonts w:ascii="Arial" w:hAnsi="Arial" w:cs="Arial"/>
          <w:lang w:val="es-ES_tradnl"/>
        </w:rPr>
        <w:t xml:space="preserve"> SEPS</w:t>
      </w:r>
      <w:r w:rsidR="000242E0" w:rsidRPr="00E666A5">
        <w:rPr>
          <w:rFonts w:ascii="Arial" w:hAnsi="Arial" w:cs="Arial"/>
          <w:lang w:val="es-ES_tradnl"/>
        </w:rPr>
        <w:t xml:space="preserve">; </w:t>
      </w:r>
      <w:r w:rsidR="007E4C3D" w:rsidRPr="00E666A5">
        <w:rPr>
          <w:rFonts w:ascii="Arial" w:hAnsi="Arial" w:cs="Arial"/>
          <w:lang w:val="es-ES_tradnl"/>
        </w:rPr>
        <w:t>(</w:t>
      </w:r>
      <w:r w:rsidR="00613A80" w:rsidRPr="00E666A5">
        <w:rPr>
          <w:rFonts w:ascii="Arial" w:hAnsi="Arial" w:cs="Arial"/>
          <w:lang w:val="es-ES_tradnl"/>
        </w:rPr>
        <w:t>i</w:t>
      </w:r>
      <w:r w:rsidR="007E4C3D" w:rsidRPr="00E666A5">
        <w:rPr>
          <w:rFonts w:ascii="Arial" w:hAnsi="Arial" w:cs="Arial"/>
          <w:lang w:val="es-ES_tradnl"/>
        </w:rPr>
        <w:t xml:space="preserve">ii) monitorear y reportar </w:t>
      </w:r>
      <w:r w:rsidR="005354D4" w:rsidRPr="00E666A5">
        <w:rPr>
          <w:rFonts w:ascii="Arial" w:hAnsi="Arial" w:cs="Arial"/>
          <w:lang w:val="es-ES_tradnl"/>
        </w:rPr>
        <w:t xml:space="preserve">semestralmente </w:t>
      </w:r>
      <w:r w:rsidR="007E4C3D" w:rsidRPr="00E666A5">
        <w:rPr>
          <w:rFonts w:ascii="Arial" w:hAnsi="Arial" w:cs="Arial"/>
          <w:lang w:val="es-ES_tradnl"/>
        </w:rPr>
        <w:t xml:space="preserve">al Banco la actividad del </w:t>
      </w:r>
      <w:r w:rsidR="000242E0" w:rsidRPr="00E666A5">
        <w:rPr>
          <w:rFonts w:ascii="Arial" w:hAnsi="Arial" w:cs="Arial"/>
          <w:lang w:val="es-ES_tradnl"/>
        </w:rPr>
        <w:t xml:space="preserve">FA </w:t>
      </w:r>
      <w:r w:rsidR="00613A80" w:rsidRPr="00E666A5">
        <w:rPr>
          <w:rFonts w:ascii="Arial" w:hAnsi="Arial" w:cs="Arial"/>
          <w:lang w:val="es-ES_tradnl"/>
        </w:rPr>
        <w:t xml:space="preserve">y de los FTC </w:t>
      </w:r>
      <w:r w:rsidR="007E4C3D" w:rsidRPr="00E666A5">
        <w:rPr>
          <w:rFonts w:ascii="Arial" w:hAnsi="Arial" w:cs="Arial"/>
          <w:lang w:val="es-ES_tradnl"/>
        </w:rPr>
        <w:t>siguiendo lo establecido en el ROP; (i</w:t>
      </w:r>
      <w:r w:rsidR="00613A80" w:rsidRPr="00E666A5">
        <w:rPr>
          <w:rFonts w:ascii="Arial" w:hAnsi="Arial" w:cs="Arial"/>
          <w:lang w:val="es-ES_tradnl"/>
        </w:rPr>
        <w:t>v</w:t>
      </w:r>
      <w:r w:rsidR="007E4C3D" w:rsidRPr="00E666A5">
        <w:rPr>
          <w:rFonts w:ascii="Arial" w:hAnsi="Arial" w:cs="Arial"/>
          <w:lang w:val="es-ES_tradnl"/>
        </w:rPr>
        <w:t>) coordinar el seguimiento de los requerimientos de monitoreo y evaluación del programa;</w:t>
      </w:r>
      <w:r w:rsidR="000242E0" w:rsidRPr="00E666A5">
        <w:rPr>
          <w:rFonts w:ascii="Arial" w:hAnsi="Arial" w:cs="Arial"/>
          <w:lang w:val="es-ES_tradnl"/>
        </w:rPr>
        <w:t xml:space="preserve"> </w:t>
      </w:r>
      <w:r w:rsidR="00DA7893" w:rsidRPr="00E666A5">
        <w:rPr>
          <w:rFonts w:ascii="Arial" w:hAnsi="Arial" w:cs="Arial"/>
          <w:lang w:val="es-ES_tradnl"/>
        </w:rPr>
        <w:t xml:space="preserve">y </w:t>
      </w:r>
      <w:r w:rsidR="00613A80" w:rsidRPr="00E666A5">
        <w:rPr>
          <w:rFonts w:ascii="Arial" w:hAnsi="Arial" w:cs="Arial"/>
          <w:lang w:val="es-ES_tradnl"/>
        </w:rPr>
        <w:t>(v)</w:t>
      </w:r>
      <w:r w:rsidR="007E4C3D" w:rsidRPr="00E666A5">
        <w:rPr>
          <w:rFonts w:ascii="Arial" w:hAnsi="Arial" w:cs="Arial"/>
          <w:lang w:val="es-ES_tradnl"/>
        </w:rPr>
        <w:t xml:space="preserve"> </w:t>
      </w:r>
      <w:r w:rsidR="000242E0" w:rsidRPr="00E666A5">
        <w:rPr>
          <w:rFonts w:ascii="Arial" w:hAnsi="Arial" w:cs="Arial"/>
          <w:lang w:val="es-ES_tradnl"/>
        </w:rPr>
        <w:t xml:space="preserve">ordenar, </w:t>
      </w:r>
      <w:r w:rsidR="00613A80" w:rsidRPr="00E666A5">
        <w:rPr>
          <w:rFonts w:ascii="Arial" w:hAnsi="Arial" w:cs="Arial"/>
          <w:lang w:val="es-ES_tradnl"/>
        </w:rPr>
        <w:t xml:space="preserve">recibir y </w:t>
      </w:r>
      <w:r w:rsidR="000242E0" w:rsidRPr="00E666A5">
        <w:rPr>
          <w:rFonts w:ascii="Arial" w:hAnsi="Arial" w:cs="Arial"/>
          <w:lang w:val="es-ES_tradnl"/>
        </w:rPr>
        <w:t xml:space="preserve">presentar al Banco </w:t>
      </w:r>
      <w:r w:rsidR="007E4C3D" w:rsidRPr="00E666A5">
        <w:rPr>
          <w:rFonts w:ascii="Arial" w:hAnsi="Arial" w:cs="Arial"/>
          <w:lang w:val="es-ES_tradnl"/>
        </w:rPr>
        <w:t>los estados financieros auditados de</w:t>
      </w:r>
      <w:r w:rsidR="00613A80" w:rsidRPr="00E666A5">
        <w:rPr>
          <w:rFonts w:ascii="Arial" w:hAnsi="Arial" w:cs="Arial"/>
          <w:lang w:val="es-ES_tradnl"/>
        </w:rPr>
        <w:t xml:space="preserve"> </w:t>
      </w:r>
      <w:r w:rsidR="007E4C3D" w:rsidRPr="00E666A5">
        <w:rPr>
          <w:rFonts w:ascii="Arial" w:hAnsi="Arial" w:cs="Arial"/>
          <w:lang w:val="es-ES_tradnl"/>
        </w:rPr>
        <w:t>l</w:t>
      </w:r>
      <w:r w:rsidR="00613A80" w:rsidRPr="00E666A5">
        <w:rPr>
          <w:rFonts w:ascii="Arial" w:hAnsi="Arial" w:cs="Arial"/>
          <w:lang w:val="es-ES_tradnl"/>
        </w:rPr>
        <w:t>os</w:t>
      </w:r>
      <w:r w:rsidR="007E4C3D" w:rsidRPr="00E666A5">
        <w:rPr>
          <w:rFonts w:ascii="Arial" w:hAnsi="Arial" w:cs="Arial"/>
          <w:lang w:val="es-ES_tradnl"/>
        </w:rPr>
        <w:t xml:space="preserve"> Fideicomiso de Administración</w:t>
      </w:r>
      <w:r w:rsidR="00613A80" w:rsidRPr="00E666A5">
        <w:rPr>
          <w:rFonts w:ascii="Arial" w:hAnsi="Arial" w:cs="Arial"/>
          <w:lang w:val="es-ES_tradnl"/>
        </w:rPr>
        <w:t xml:space="preserve"> </w:t>
      </w:r>
      <w:r w:rsidR="000242E0" w:rsidRPr="00E666A5">
        <w:rPr>
          <w:rFonts w:ascii="Arial" w:hAnsi="Arial" w:cs="Arial"/>
          <w:lang w:val="es-ES_tradnl"/>
        </w:rPr>
        <w:t>por parte de un auditor externo independiente, así como de</w:t>
      </w:r>
      <w:r w:rsidR="00E40B8A" w:rsidRPr="00E666A5">
        <w:rPr>
          <w:rFonts w:ascii="Arial" w:hAnsi="Arial" w:cs="Arial"/>
          <w:lang w:val="es-ES_tradnl"/>
        </w:rPr>
        <w:t xml:space="preserve"> los </w:t>
      </w:r>
      <w:r w:rsidR="00613A80" w:rsidRPr="00E666A5">
        <w:rPr>
          <w:rFonts w:ascii="Arial" w:hAnsi="Arial" w:cs="Arial"/>
          <w:lang w:val="es-ES_tradnl"/>
        </w:rPr>
        <w:t xml:space="preserve">FTC debidamente preparados por su respectivos administradores fiduciarios y por los auditores externos de dichos  fideicomisos </w:t>
      </w:r>
      <w:r w:rsidR="007E4C3D" w:rsidRPr="00E666A5">
        <w:rPr>
          <w:rFonts w:ascii="Arial" w:hAnsi="Arial" w:cs="Arial"/>
          <w:lang w:val="es-ES_tradnl"/>
        </w:rPr>
        <w:t>.</w:t>
      </w:r>
    </w:p>
    <w:p w:rsidR="00C37298" w:rsidRPr="00E666A5" w:rsidRDefault="00F524FD"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Funciones IFIS. </w:t>
      </w:r>
      <w:r w:rsidR="0014011D" w:rsidRPr="00E666A5">
        <w:rPr>
          <w:rFonts w:ascii="Arial" w:hAnsi="Arial" w:cs="Arial"/>
          <w:lang w:val="es-ES_tradnl"/>
        </w:rPr>
        <w:t xml:space="preserve">Será responsabilidad de las </w:t>
      </w:r>
      <w:r w:rsidR="00C37298" w:rsidRPr="00E666A5">
        <w:rPr>
          <w:rFonts w:ascii="Arial" w:hAnsi="Arial" w:cs="Arial"/>
          <w:lang w:val="es-ES_tradnl"/>
        </w:rPr>
        <w:t>IFI</w:t>
      </w:r>
      <w:r w:rsidR="0014011D" w:rsidRPr="00E666A5">
        <w:rPr>
          <w:rFonts w:ascii="Arial" w:hAnsi="Arial" w:cs="Arial"/>
          <w:lang w:val="es-ES_tradnl"/>
        </w:rPr>
        <w:t xml:space="preserve">S </w:t>
      </w:r>
      <w:r w:rsidR="005354D4" w:rsidRPr="00E666A5">
        <w:rPr>
          <w:rFonts w:ascii="Arial" w:hAnsi="Arial" w:cs="Arial"/>
          <w:lang w:val="es-ES_tradnl"/>
        </w:rPr>
        <w:t>elegibles</w:t>
      </w:r>
      <w:r w:rsidR="0014011D" w:rsidRPr="00E666A5">
        <w:rPr>
          <w:rFonts w:ascii="Arial" w:hAnsi="Arial" w:cs="Arial"/>
          <w:lang w:val="es-ES_tradnl"/>
        </w:rPr>
        <w:t xml:space="preserve"> </w:t>
      </w:r>
      <w:r w:rsidRPr="00E666A5">
        <w:rPr>
          <w:rFonts w:ascii="Arial" w:hAnsi="Arial" w:cs="Arial"/>
          <w:lang w:val="es-ES_tradnl"/>
        </w:rPr>
        <w:t>la generación de las carteras hipotecarias del programa según el ROP</w:t>
      </w:r>
      <w:r w:rsidR="003012E1" w:rsidRPr="00E666A5">
        <w:rPr>
          <w:rFonts w:ascii="Arial" w:hAnsi="Arial" w:cs="Arial"/>
          <w:lang w:val="es-ES_tradnl"/>
        </w:rPr>
        <w:t>,</w:t>
      </w:r>
      <w:r w:rsidRPr="00E666A5">
        <w:rPr>
          <w:rFonts w:ascii="Arial" w:hAnsi="Arial" w:cs="Arial"/>
          <w:lang w:val="es-ES_tradnl"/>
        </w:rPr>
        <w:t xml:space="preserve"> la </w:t>
      </w:r>
      <w:r w:rsidR="0014011D" w:rsidRPr="00E666A5">
        <w:rPr>
          <w:rFonts w:ascii="Arial" w:hAnsi="Arial" w:cs="Arial"/>
          <w:lang w:val="es-ES_tradnl"/>
        </w:rPr>
        <w:t xml:space="preserve">creación </w:t>
      </w:r>
      <w:r w:rsidR="0006002C" w:rsidRPr="00E666A5">
        <w:rPr>
          <w:rFonts w:ascii="Arial" w:hAnsi="Arial" w:cs="Arial"/>
          <w:lang w:val="es-ES_tradnl"/>
        </w:rPr>
        <w:t xml:space="preserve">de los </w:t>
      </w:r>
      <w:r w:rsidR="0014011D" w:rsidRPr="00E666A5">
        <w:rPr>
          <w:rFonts w:ascii="Arial" w:hAnsi="Arial" w:cs="Arial"/>
          <w:lang w:val="es-ES_tradnl"/>
        </w:rPr>
        <w:t>FTC</w:t>
      </w:r>
      <w:r w:rsidR="003012E1" w:rsidRPr="00E666A5">
        <w:rPr>
          <w:rFonts w:ascii="Arial" w:hAnsi="Arial" w:cs="Arial"/>
          <w:lang w:val="es-ES_tradnl"/>
        </w:rPr>
        <w:t xml:space="preserve"> y el reporte de la información al FA según lo reflejado en los contratos correspondientes.</w:t>
      </w:r>
      <w:r w:rsidR="00A718C2" w:rsidRPr="00E666A5">
        <w:rPr>
          <w:rFonts w:ascii="Arial" w:hAnsi="Arial" w:cs="Arial"/>
          <w:lang w:val="es-ES_tradnl"/>
        </w:rPr>
        <w:t xml:space="preserve"> </w:t>
      </w:r>
    </w:p>
    <w:p w:rsidR="00150FFA" w:rsidRPr="00E666A5" w:rsidRDefault="006B12BF" w:rsidP="00073F74">
      <w:pPr>
        <w:pStyle w:val="Heading1"/>
        <w:numPr>
          <w:ilvl w:val="0"/>
          <w:numId w:val="5"/>
        </w:numPr>
        <w:spacing w:after="240" w:line="240" w:lineRule="auto"/>
        <w:ind w:left="720" w:hanging="727"/>
        <w:jc w:val="both"/>
        <w:rPr>
          <w:rFonts w:ascii="Arial" w:hAnsi="Arial" w:cs="Arial"/>
          <w:b/>
          <w:smallCaps/>
          <w:sz w:val="22"/>
          <w:szCs w:val="22"/>
          <w:lang w:val="es-ES_tradnl"/>
        </w:rPr>
      </w:pPr>
      <w:bookmarkStart w:id="4" w:name="_Toc528941813"/>
      <w:r w:rsidRPr="00E666A5">
        <w:rPr>
          <w:rFonts w:ascii="Arial" w:hAnsi="Arial" w:cs="Arial"/>
          <w:b/>
          <w:smallCaps/>
          <w:sz w:val="22"/>
          <w:szCs w:val="22"/>
          <w:lang w:val="es-ES_tradnl"/>
        </w:rPr>
        <w:t>Descripción General del Programa</w:t>
      </w:r>
      <w:bookmarkEnd w:id="4"/>
    </w:p>
    <w:p w:rsidR="007F6026" w:rsidRPr="00E666A5" w:rsidRDefault="007F6026"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objetivo general del programa es contribuir </w:t>
      </w:r>
      <w:r w:rsidR="00ED744D" w:rsidRPr="00E666A5">
        <w:rPr>
          <w:rFonts w:ascii="Arial" w:hAnsi="Arial" w:cs="Arial"/>
          <w:lang w:val="es-ES_tradnl"/>
        </w:rPr>
        <w:t xml:space="preserve">a mitigar la ausencia de </w:t>
      </w:r>
      <w:r w:rsidR="00CC324A" w:rsidRPr="00E666A5">
        <w:rPr>
          <w:rFonts w:ascii="Arial" w:hAnsi="Arial" w:cs="Arial"/>
          <w:lang w:val="es-ES_tradnl"/>
        </w:rPr>
        <w:t xml:space="preserve">recursos </w:t>
      </w:r>
      <w:r w:rsidR="00ED744D" w:rsidRPr="00E666A5">
        <w:rPr>
          <w:rFonts w:ascii="Arial" w:hAnsi="Arial" w:cs="Arial"/>
          <w:lang w:val="es-ES_tradnl"/>
        </w:rPr>
        <w:t xml:space="preserve">financieros </w:t>
      </w:r>
      <w:r w:rsidR="00CC324A" w:rsidRPr="00E666A5">
        <w:rPr>
          <w:rFonts w:ascii="Arial" w:hAnsi="Arial" w:cs="Arial"/>
          <w:lang w:val="es-ES_tradnl"/>
        </w:rPr>
        <w:t xml:space="preserve">de largo plazo </w:t>
      </w:r>
      <w:r w:rsidR="00B474CB" w:rsidRPr="00E666A5">
        <w:rPr>
          <w:rFonts w:ascii="Arial" w:hAnsi="Arial" w:cs="Arial"/>
          <w:lang w:val="es-ES_tradnl"/>
        </w:rPr>
        <w:t xml:space="preserve">en el sector financiero del Ecuador y de esta </w:t>
      </w:r>
      <w:r w:rsidR="006B12BF" w:rsidRPr="00E666A5">
        <w:rPr>
          <w:rFonts w:ascii="Arial" w:hAnsi="Arial" w:cs="Arial"/>
          <w:lang w:val="es-ES_tradnl"/>
        </w:rPr>
        <w:t>manera permitir</w:t>
      </w:r>
      <w:r w:rsidR="00B474CB" w:rsidRPr="00E666A5">
        <w:rPr>
          <w:rFonts w:ascii="Arial" w:hAnsi="Arial" w:cs="Arial"/>
          <w:lang w:val="es-ES_tradnl"/>
        </w:rPr>
        <w:t xml:space="preserve"> </w:t>
      </w:r>
      <w:r w:rsidR="00CC324A" w:rsidRPr="00E666A5">
        <w:rPr>
          <w:rFonts w:ascii="Arial" w:hAnsi="Arial" w:cs="Arial"/>
          <w:lang w:val="es-ES_tradnl"/>
        </w:rPr>
        <w:t xml:space="preserve">el acceso de un mayor </w:t>
      </w:r>
      <w:r w:rsidR="006B12BF" w:rsidRPr="00E666A5">
        <w:rPr>
          <w:rFonts w:ascii="Arial" w:hAnsi="Arial" w:cs="Arial"/>
          <w:lang w:val="es-ES_tradnl"/>
        </w:rPr>
        <w:t>número</w:t>
      </w:r>
      <w:r w:rsidR="00CC324A" w:rsidRPr="00E666A5">
        <w:rPr>
          <w:rFonts w:ascii="Arial" w:hAnsi="Arial" w:cs="Arial"/>
          <w:lang w:val="es-ES_tradnl"/>
        </w:rPr>
        <w:t xml:space="preserve"> de familias a mecanismos de </w:t>
      </w:r>
      <w:r w:rsidR="006B12BF" w:rsidRPr="00E666A5">
        <w:rPr>
          <w:rFonts w:ascii="Arial" w:hAnsi="Arial" w:cs="Arial"/>
          <w:lang w:val="es-ES_tradnl"/>
        </w:rPr>
        <w:t>financiamiento habitacional</w:t>
      </w:r>
      <w:r w:rsidR="00E40B8A" w:rsidRPr="00E666A5">
        <w:rPr>
          <w:rFonts w:ascii="Arial" w:hAnsi="Arial" w:cs="Arial"/>
          <w:lang w:val="es-ES_tradnl"/>
        </w:rPr>
        <w:t xml:space="preserve"> f</w:t>
      </w:r>
      <w:r w:rsidR="00CC324A" w:rsidRPr="00E666A5">
        <w:rPr>
          <w:rFonts w:ascii="Arial" w:hAnsi="Arial" w:cs="Arial"/>
          <w:lang w:val="es-ES_tradnl"/>
        </w:rPr>
        <w:t>ormal a través de las IFI</w:t>
      </w:r>
      <w:r w:rsidR="00DE0B0E" w:rsidRPr="00E666A5">
        <w:rPr>
          <w:rFonts w:ascii="Arial" w:hAnsi="Arial" w:cs="Arial"/>
          <w:lang w:val="es-ES_tradnl"/>
        </w:rPr>
        <w:t>S</w:t>
      </w:r>
      <w:r w:rsidR="00CC324A" w:rsidRPr="00E666A5">
        <w:rPr>
          <w:rFonts w:ascii="Arial" w:hAnsi="Arial" w:cs="Arial"/>
          <w:lang w:val="es-ES_tradnl"/>
        </w:rPr>
        <w:t xml:space="preserve"> </w:t>
      </w:r>
      <w:r w:rsidR="00B474CB" w:rsidRPr="00E666A5">
        <w:rPr>
          <w:rFonts w:ascii="Arial" w:hAnsi="Arial" w:cs="Arial"/>
          <w:lang w:val="es-ES_tradnl"/>
        </w:rPr>
        <w:t xml:space="preserve">al tiempo </w:t>
      </w:r>
      <w:r w:rsidR="00F5622A" w:rsidRPr="00E666A5">
        <w:rPr>
          <w:rFonts w:ascii="Arial" w:hAnsi="Arial" w:cs="Arial"/>
          <w:lang w:val="es-ES_tradnl"/>
        </w:rPr>
        <w:t xml:space="preserve">que </w:t>
      </w:r>
      <w:r w:rsidR="00E40B8A" w:rsidRPr="00E666A5">
        <w:rPr>
          <w:rFonts w:ascii="Arial" w:hAnsi="Arial" w:cs="Arial"/>
          <w:lang w:val="es-ES_tradnl"/>
        </w:rPr>
        <w:t>contribuir</w:t>
      </w:r>
      <w:r w:rsidR="00CC324A" w:rsidRPr="00E666A5">
        <w:rPr>
          <w:rFonts w:ascii="Arial" w:hAnsi="Arial" w:cs="Arial"/>
          <w:lang w:val="es-ES_tradnl"/>
        </w:rPr>
        <w:t xml:space="preserve"> a </w:t>
      </w:r>
      <w:r w:rsidRPr="00E666A5">
        <w:rPr>
          <w:rFonts w:ascii="Arial" w:hAnsi="Arial" w:cs="Arial"/>
          <w:lang w:val="es-ES_tradnl"/>
        </w:rPr>
        <w:t xml:space="preserve">la reducción del déficit habitacional en Ecuador. El objetivo específico del programa es aumentar </w:t>
      </w:r>
      <w:r w:rsidR="00CC324A" w:rsidRPr="00E666A5">
        <w:rPr>
          <w:rFonts w:ascii="Arial" w:hAnsi="Arial" w:cs="Arial"/>
          <w:lang w:val="es-ES_tradnl"/>
        </w:rPr>
        <w:t xml:space="preserve">la disponibilidad de recursos para créditos VIP </w:t>
      </w:r>
      <w:r w:rsidR="005A232F" w:rsidRPr="00E666A5">
        <w:rPr>
          <w:rFonts w:ascii="Arial" w:hAnsi="Arial" w:cs="Arial"/>
          <w:lang w:val="es-ES_tradnl"/>
        </w:rPr>
        <w:t xml:space="preserve">destinado a </w:t>
      </w:r>
      <w:r w:rsidRPr="00E666A5">
        <w:rPr>
          <w:rFonts w:ascii="Arial" w:hAnsi="Arial" w:cs="Arial"/>
          <w:lang w:val="es-ES_tradnl"/>
        </w:rPr>
        <w:t xml:space="preserve">familias con </w:t>
      </w:r>
      <w:r w:rsidR="00B474CB" w:rsidRPr="00E666A5">
        <w:rPr>
          <w:rFonts w:ascii="Arial" w:hAnsi="Arial" w:cs="Arial"/>
          <w:lang w:val="es-ES_tradnl"/>
        </w:rPr>
        <w:t xml:space="preserve">reducida o mediana </w:t>
      </w:r>
      <w:r w:rsidRPr="00E666A5">
        <w:rPr>
          <w:rFonts w:ascii="Arial" w:hAnsi="Arial" w:cs="Arial"/>
          <w:lang w:val="es-ES_tradnl"/>
        </w:rPr>
        <w:t>capacidad de pago</w:t>
      </w:r>
      <w:r w:rsidR="00B474CB" w:rsidRPr="00E666A5">
        <w:rPr>
          <w:rFonts w:ascii="Arial" w:hAnsi="Arial" w:cs="Arial"/>
          <w:lang w:val="es-ES_tradnl"/>
        </w:rPr>
        <w:t xml:space="preserve">, </w:t>
      </w:r>
      <w:r w:rsidRPr="00E666A5">
        <w:rPr>
          <w:rFonts w:ascii="Arial" w:hAnsi="Arial" w:cs="Arial"/>
          <w:lang w:val="es-ES_tradnl"/>
        </w:rPr>
        <w:t>mediante la provisión de soluciones de crédito hipotecario</w:t>
      </w:r>
      <w:r w:rsidR="00CC324A" w:rsidRPr="00E666A5">
        <w:rPr>
          <w:rFonts w:ascii="Arial" w:hAnsi="Arial" w:cs="Arial"/>
          <w:lang w:val="es-ES_tradnl"/>
        </w:rPr>
        <w:t xml:space="preserve"> </w:t>
      </w:r>
      <w:r w:rsidR="00F93130" w:rsidRPr="00E666A5">
        <w:rPr>
          <w:rFonts w:ascii="Arial" w:hAnsi="Arial" w:cs="Arial"/>
          <w:lang w:val="es-ES_tradnl"/>
        </w:rPr>
        <w:t>VIP</w:t>
      </w:r>
      <w:r w:rsidRPr="00E666A5">
        <w:rPr>
          <w:rFonts w:ascii="Arial" w:hAnsi="Arial" w:cs="Arial"/>
          <w:lang w:val="es-ES_tradnl"/>
        </w:rPr>
        <w:t>.</w:t>
      </w:r>
    </w:p>
    <w:p w:rsidR="004C541A" w:rsidRPr="00E666A5" w:rsidRDefault="006B12BF" w:rsidP="00073F74">
      <w:pPr>
        <w:pStyle w:val="Heading1"/>
        <w:numPr>
          <w:ilvl w:val="0"/>
          <w:numId w:val="5"/>
        </w:numPr>
        <w:spacing w:after="240" w:line="240" w:lineRule="auto"/>
        <w:ind w:left="540" w:hanging="547"/>
        <w:jc w:val="both"/>
        <w:rPr>
          <w:rFonts w:ascii="Arial" w:hAnsi="Arial" w:cs="Arial"/>
          <w:b/>
          <w:sz w:val="22"/>
          <w:szCs w:val="22"/>
          <w:lang w:val="es-ES_tradnl"/>
        </w:rPr>
      </w:pPr>
      <w:bookmarkStart w:id="5" w:name="_Toc528941814"/>
      <w:r w:rsidRPr="00E666A5">
        <w:rPr>
          <w:rFonts w:ascii="Arial" w:hAnsi="Arial" w:cs="Arial"/>
          <w:b/>
          <w:smallCaps/>
          <w:sz w:val="22"/>
          <w:szCs w:val="22"/>
          <w:lang w:val="es-ES_tradnl"/>
        </w:rPr>
        <w:t>Uso de Recursos</w:t>
      </w:r>
      <w:r w:rsidR="00E33910" w:rsidRPr="00E666A5">
        <w:rPr>
          <w:rFonts w:ascii="Arial" w:hAnsi="Arial" w:cs="Arial"/>
          <w:b/>
          <w:smallCaps/>
          <w:sz w:val="22"/>
          <w:szCs w:val="22"/>
          <w:lang w:val="es-ES_tradnl"/>
        </w:rPr>
        <w:t>:</w:t>
      </w:r>
      <w:r w:rsidRPr="00E666A5">
        <w:rPr>
          <w:rFonts w:ascii="Arial" w:hAnsi="Arial" w:cs="Arial"/>
          <w:b/>
          <w:smallCaps/>
          <w:sz w:val="22"/>
          <w:szCs w:val="22"/>
          <w:lang w:val="es-ES_tradnl"/>
        </w:rPr>
        <w:t xml:space="preserve"> Modalidades y Descripción de la Inversión</w:t>
      </w:r>
      <w:bookmarkEnd w:id="5"/>
    </w:p>
    <w:p w:rsidR="007B1B35" w:rsidRPr="00E666A5" w:rsidRDefault="004A2677" w:rsidP="00073F74">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Periodo de desembolso. </w:t>
      </w:r>
      <w:r w:rsidR="007B1B35" w:rsidRPr="00E666A5">
        <w:rPr>
          <w:rFonts w:ascii="Arial" w:hAnsi="Arial" w:cs="Arial"/>
          <w:lang w:val="es-ES_tradnl"/>
        </w:rPr>
        <w:t>Los recursos obtenidos con la emisión del Bono serán comprometidos y desembolsados en un plazo máximo de 60 meses a partir de la vigencia de la emisión del Bono.</w:t>
      </w:r>
    </w:p>
    <w:p w:rsidR="004A2677" w:rsidRPr="00E666A5" w:rsidRDefault="004A2677" w:rsidP="00073F74">
      <w:pPr>
        <w:pStyle w:val="ListParagraph"/>
        <w:numPr>
          <w:ilvl w:val="1"/>
          <w:numId w:val="5"/>
        </w:numPr>
        <w:spacing w:before="120" w:after="120" w:line="240" w:lineRule="auto"/>
        <w:ind w:left="720" w:hanging="720"/>
        <w:contextualSpacing w:val="0"/>
        <w:jc w:val="both"/>
        <w:rPr>
          <w:rFonts w:ascii="Arial" w:hAnsi="Arial" w:cs="Arial"/>
          <w:b/>
          <w:lang w:val="es-ES_tradnl"/>
        </w:rPr>
      </w:pPr>
      <w:r w:rsidRPr="00E666A5">
        <w:rPr>
          <w:rFonts w:ascii="Arial" w:hAnsi="Arial" w:cs="Arial"/>
          <w:b/>
          <w:lang w:val="es-ES_tradnl"/>
        </w:rPr>
        <w:t xml:space="preserve">Plan de </w:t>
      </w:r>
      <w:r w:rsidR="00BE25B3" w:rsidRPr="00E666A5">
        <w:rPr>
          <w:rFonts w:ascii="Arial" w:hAnsi="Arial" w:cs="Arial"/>
          <w:b/>
          <w:lang w:val="es-ES_tradnl"/>
        </w:rPr>
        <w:t>C</w:t>
      </w:r>
      <w:r w:rsidRPr="00E666A5">
        <w:rPr>
          <w:rFonts w:ascii="Arial" w:hAnsi="Arial" w:cs="Arial"/>
          <w:b/>
          <w:lang w:val="es-ES_tradnl"/>
        </w:rPr>
        <w:t xml:space="preserve">olocaciones. </w:t>
      </w:r>
      <w:r w:rsidRPr="00E666A5">
        <w:rPr>
          <w:rFonts w:ascii="Arial" w:hAnsi="Arial" w:cs="Arial"/>
          <w:lang w:val="es-ES_tradnl"/>
        </w:rPr>
        <w:t xml:space="preserve">Este plan </w:t>
      </w:r>
      <w:r w:rsidR="00BE25B3" w:rsidRPr="00E666A5">
        <w:rPr>
          <w:rFonts w:ascii="Arial" w:hAnsi="Arial" w:cs="Arial"/>
          <w:lang w:val="es-ES_tradnl"/>
        </w:rPr>
        <w:t xml:space="preserve">será elaborado por la UCP y </w:t>
      </w:r>
      <w:r w:rsidRPr="00E666A5">
        <w:rPr>
          <w:rFonts w:ascii="Arial" w:hAnsi="Arial" w:cs="Arial"/>
          <w:lang w:val="es-ES_tradnl"/>
        </w:rPr>
        <w:t xml:space="preserve">definirá el monto total destinado a cada mecanismo disponible cada año por tipo de institución. </w:t>
      </w:r>
      <w:r w:rsidR="00E666A5" w:rsidRPr="00E666A5">
        <w:rPr>
          <w:rFonts w:ascii="Arial" w:hAnsi="Arial" w:cs="Arial"/>
          <w:lang w:val="es-ES_tradnl"/>
        </w:rPr>
        <w:t>Para cada</w:t>
      </w:r>
      <w:r w:rsidR="00476051" w:rsidRPr="00E666A5">
        <w:rPr>
          <w:rFonts w:ascii="Arial" w:hAnsi="Arial" w:cs="Arial"/>
          <w:lang w:val="es-ES_tradnl"/>
        </w:rPr>
        <w:t xml:space="preserve"> mecanismo, el plan definirá también la colocación </w:t>
      </w:r>
      <w:r w:rsidR="00E666A5" w:rsidRPr="00E666A5">
        <w:rPr>
          <w:rFonts w:ascii="Arial" w:hAnsi="Arial" w:cs="Arial"/>
          <w:lang w:val="es-ES_tradnl"/>
        </w:rPr>
        <w:t>para cada</w:t>
      </w:r>
      <w:r w:rsidR="00C71F0E" w:rsidRPr="00E666A5">
        <w:rPr>
          <w:rFonts w:ascii="Arial" w:hAnsi="Arial" w:cs="Arial"/>
          <w:lang w:val="es-ES_tradnl"/>
        </w:rPr>
        <w:t xml:space="preserve"> institución participante. </w:t>
      </w:r>
      <w:r w:rsidR="00AD6232" w:rsidRPr="00E666A5">
        <w:rPr>
          <w:rFonts w:ascii="Arial" w:hAnsi="Arial" w:cs="Arial"/>
          <w:lang w:val="es-ES_tradnl"/>
        </w:rPr>
        <w:t xml:space="preserve">Para la elaboración del Plan de Colocaciones la UCP se basará en las demandas de las IFIS beneficiarias del programa, así como en </w:t>
      </w:r>
      <w:r w:rsidR="001C54D8" w:rsidRPr="00E666A5">
        <w:rPr>
          <w:rFonts w:ascii="Arial" w:hAnsi="Arial" w:cs="Arial"/>
          <w:lang w:val="es-ES_tradnl"/>
        </w:rPr>
        <w:t xml:space="preserve">la estrategia de política pública definida con el MEF. </w:t>
      </w:r>
      <w:r w:rsidR="00AD6232" w:rsidRPr="00E666A5">
        <w:rPr>
          <w:rFonts w:ascii="Arial" w:hAnsi="Arial" w:cs="Arial"/>
          <w:lang w:val="es-ES_tradnl"/>
        </w:rPr>
        <w:t xml:space="preserve"> </w:t>
      </w:r>
    </w:p>
    <w:p w:rsidR="00D01C09" w:rsidRPr="00E666A5" w:rsidRDefault="004A2677" w:rsidP="00D01C09">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lastRenderedPageBreak/>
        <w:t>Inversiones de</w:t>
      </w:r>
      <w:r w:rsidR="00E51F54" w:rsidRPr="00E666A5">
        <w:rPr>
          <w:rFonts w:ascii="Arial" w:hAnsi="Arial" w:cs="Arial"/>
          <w:b/>
          <w:lang w:val="es-ES_tradnl"/>
        </w:rPr>
        <w:t>l</w:t>
      </w:r>
      <w:r w:rsidRPr="00E666A5">
        <w:rPr>
          <w:rFonts w:ascii="Arial" w:hAnsi="Arial" w:cs="Arial"/>
          <w:b/>
          <w:lang w:val="es-ES_tradnl"/>
        </w:rPr>
        <w:t xml:space="preserve"> FA. </w:t>
      </w:r>
      <w:r w:rsidR="00773877" w:rsidRPr="00E666A5">
        <w:rPr>
          <w:rFonts w:ascii="Arial" w:hAnsi="Arial" w:cs="Arial"/>
          <w:lang w:val="es-ES_tradnl"/>
        </w:rPr>
        <w:t xml:space="preserve">Los recursos no desembolsados </w:t>
      </w:r>
      <w:r w:rsidR="00BE25B3" w:rsidRPr="00E666A5">
        <w:rPr>
          <w:rFonts w:ascii="Arial" w:hAnsi="Arial" w:cs="Arial"/>
          <w:lang w:val="es-ES_tradnl"/>
        </w:rPr>
        <w:t xml:space="preserve">por el FA </w:t>
      </w:r>
      <w:r w:rsidR="00773877" w:rsidRPr="00E666A5">
        <w:rPr>
          <w:rFonts w:ascii="Arial" w:hAnsi="Arial" w:cs="Arial"/>
          <w:lang w:val="es-ES_tradnl"/>
        </w:rPr>
        <w:t xml:space="preserve">que permanezcan en el FA podrán ser </w:t>
      </w:r>
      <w:r w:rsidR="005A1CEA" w:rsidRPr="00E666A5">
        <w:rPr>
          <w:rFonts w:ascii="Arial" w:hAnsi="Arial" w:cs="Arial"/>
          <w:lang w:val="es-ES_tradnl"/>
        </w:rPr>
        <w:t>invertidos en valores de corto plazo con una calificación de</w:t>
      </w:r>
      <w:r w:rsidR="003012E1" w:rsidRPr="00E666A5">
        <w:rPr>
          <w:rFonts w:ascii="Arial" w:hAnsi="Arial" w:cs="Arial"/>
          <w:lang w:val="es-ES_tradnl"/>
        </w:rPr>
        <w:t>,</w:t>
      </w:r>
      <w:r w:rsidR="005A1CEA" w:rsidRPr="00E666A5">
        <w:rPr>
          <w:rFonts w:ascii="Arial" w:hAnsi="Arial" w:cs="Arial"/>
          <w:lang w:val="es-ES_tradnl"/>
        </w:rPr>
        <w:t xml:space="preserve"> como mínimo</w:t>
      </w:r>
      <w:r w:rsidR="003012E1" w:rsidRPr="00E666A5">
        <w:rPr>
          <w:rFonts w:ascii="Arial" w:hAnsi="Arial" w:cs="Arial"/>
          <w:lang w:val="es-ES_tradnl"/>
        </w:rPr>
        <w:t>,</w:t>
      </w:r>
      <w:r w:rsidR="005A1CEA" w:rsidRPr="00E666A5">
        <w:rPr>
          <w:rFonts w:ascii="Arial" w:hAnsi="Arial" w:cs="Arial"/>
          <w:lang w:val="es-ES_tradnl"/>
        </w:rPr>
        <w:t xml:space="preserve"> AA</w:t>
      </w:r>
      <w:r w:rsidR="00C936CC" w:rsidRPr="00E666A5">
        <w:rPr>
          <w:rFonts w:ascii="Arial" w:hAnsi="Arial" w:cs="Arial"/>
          <w:lang w:val="es-ES_tradnl"/>
        </w:rPr>
        <w:t>A</w:t>
      </w:r>
      <w:r w:rsidR="005A1CEA" w:rsidRPr="00E666A5">
        <w:rPr>
          <w:rFonts w:ascii="Arial" w:hAnsi="Arial" w:cs="Arial"/>
          <w:lang w:val="es-ES_tradnl"/>
        </w:rPr>
        <w:t xml:space="preserve"> </w:t>
      </w:r>
      <w:r w:rsidR="003012E1" w:rsidRPr="00E666A5">
        <w:rPr>
          <w:rFonts w:ascii="Arial" w:hAnsi="Arial" w:cs="Arial"/>
          <w:lang w:val="es-ES_tradnl"/>
        </w:rPr>
        <w:t>L</w:t>
      </w:r>
      <w:r w:rsidR="005A1CEA" w:rsidRPr="00E666A5">
        <w:rPr>
          <w:rFonts w:ascii="Arial" w:hAnsi="Arial" w:cs="Arial"/>
          <w:lang w:val="es-ES_tradnl"/>
        </w:rPr>
        <w:t>ocal</w:t>
      </w:r>
      <w:r w:rsidR="003012E1" w:rsidRPr="00E666A5">
        <w:rPr>
          <w:rFonts w:ascii="Arial" w:hAnsi="Arial" w:cs="Arial"/>
          <w:lang w:val="es-ES_tradnl"/>
        </w:rPr>
        <w:t xml:space="preserve"> por dos agencias de riesgo de reconocido prestigio. </w:t>
      </w:r>
      <w:r w:rsidR="00BE25B3" w:rsidRPr="00E666A5">
        <w:rPr>
          <w:rFonts w:ascii="Arial" w:hAnsi="Arial" w:cs="Arial"/>
          <w:lang w:val="es-ES_tradnl"/>
        </w:rPr>
        <w:t>Estas operaciones tendrán una subcuenta específica a nombre del FA en el Banco Central del Ecuador.</w:t>
      </w:r>
    </w:p>
    <w:p w:rsidR="00D01C09" w:rsidRPr="00E666A5" w:rsidRDefault="00D01C09" w:rsidP="00D01C09">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Debida diligencia de la Cartera hipotecaria VIP.</w:t>
      </w:r>
      <w:r w:rsidRPr="00E666A5">
        <w:rPr>
          <w:rFonts w:ascii="Arial" w:hAnsi="Arial" w:cs="Arial"/>
          <w:lang w:val="es-ES_tradnl"/>
        </w:rPr>
        <w:t xml:space="preserve"> La cartera generada por la IFI no requerirá aprobación previa por parte del AF para su originación. Sin embrago, previa su compra el AF del FA y la UCP podrán realizar un seguimiento y evaluación del portafolio, en la ocasión, forma y lugar en que lo consideren conveniente.</w:t>
      </w:r>
    </w:p>
    <w:p w:rsidR="000D6C2C" w:rsidRPr="00E666A5" w:rsidRDefault="009B15DE" w:rsidP="007E23BB">
      <w:pPr>
        <w:pStyle w:val="ListParagraph"/>
        <w:numPr>
          <w:ilvl w:val="1"/>
          <w:numId w:val="5"/>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Mecanismos de inversión. </w:t>
      </w:r>
      <w:r w:rsidR="007E23BB" w:rsidRPr="00E666A5">
        <w:rPr>
          <w:rFonts w:ascii="Arial" w:hAnsi="Arial" w:cs="Arial"/>
          <w:lang w:val="es-ES_tradnl"/>
        </w:rPr>
        <w:t xml:space="preserve">Los recursos del programa se colocarán a través de dos mecanismos: (i) redescuento de cartera hipotecaria; y (ii) </w:t>
      </w:r>
      <w:r w:rsidR="00ED12CD" w:rsidRPr="00E666A5">
        <w:rPr>
          <w:rFonts w:ascii="Arial" w:hAnsi="Arial" w:cs="Arial"/>
          <w:lang w:val="es-ES_tradnl"/>
        </w:rPr>
        <w:t>i</w:t>
      </w:r>
      <w:r w:rsidR="007E23BB" w:rsidRPr="00E666A5">
        <w:rPr>
          <w:rFonts w:ascii="Arial" w:hAnsi="Arial" w:cs="Arial"/>
          <w:lang w:val="es-ES_tradnl"/>
        </w:rPr>
        <w:t xml:space="preserve">nversión </w:t>
      </w:r>
      <w:r w:rsidR="00ED12CD" w:rsidRPr="00E666A5">
        <w:rPr>
          <w:rFonts w:ascii="Arial" w:hAnsi="Arial" w:cs="Arial"/>
          <w:lang w:val="es-ES_tradnl"/>
        </w:rPr>
        <w:t>en c</w:t>
      </w:r>
      <w:r w:rsidR="007E23BB" w:rsidRPr="00E666A5">
        <w:rPr>
          <w:rFonts w:ascii="Arial" w:hAnsi="Arial" w:cs="Arial"/>
          <w:lang w:val="es-ES_tradnl"/>
        </w:rPr>
        <w:t xml:space="preserve">arteras </w:t>
      </w:r>
      <w:r w:rsidR="00ED12CD" w:rsidRPr="00E666A5">
        <w:rPr>
          <w:rFonts w:ascii="Arial" w:hAnsi="Arial" w:cs="Arial"/>
          <w:lang w:val="es-ES_tradnl"/>
        </w:rPr>
        <w:t>h</w:t>
      </w:r>
      <w:r w:rsidR="007E23BB" w:rsidRPr="00E666A5">
        <w:rPr>
          <w:rFonts w:ascii="Arial" w:hAnsi="Arial" w:cs="Arial"/>
          <w:lang w:val="es-ES_tradnl"/>
        </w:rPr>
        <w:t>ipotecarias de las IFI</w:t>
      </w:r>
      <w:r w:rsidR="00D8116C" w:rsidRPr="00E666A5">
        <w:rPr>
          <w:rFonts w:ascii="Arial" w:hAnsi="Arial" w:cs="Arial"/>
          <w:lang w:val="es-ES_tradnl"/>
        </w:rPr>
        <w:t>S</w:t>
      </w:r>
      <w:r w:rsidR="00ED12CD" w:rsidRPr="00E666A5">
        <w:rPr>
          <w:rFonts w:ascii="Arial" w:hAnsi="Arial" w:cs="Arial"/>
          <w:lang w:val="es-ES_tradnl"/>
        </w:rPr>
        <w:t>.</w:t>
      </w:r>
    </w:p>
    <w:p w:rsidR="00C04FA9" w:rsidRPr="00E666A5" w:rsidRDefault="00A35EAA" w:rsidP="00073F74">
      <w:pPr>
        <w:pStyle w:val="ListParagraph"/>
        <w:numPr>
          <w:ilvl w:val="0"/>
          <w:numId w:val="24"/>
        </w:numPr>
        <w:spacing w:before="240" w:after="240" w:line="240" w:lineRule="auto"/>
        <w:ind w:hanging="720"/>
        <w:contextualSpacing w:val="0"/>
        <w:rPr>
          <w:rFonts w:ascii="Arial" w:hAnsi="Arial" w:cs="Arial"/>
          <w:b/>
          <w:u w:val="single"/>
          <w:lang w:val="es-ES_tradnl"/>
        </w:rPr>
      </w:pPr>
      <w:r w:rsidRPr="00E666A5">
        <w:rPr>
          <w:rFonts w:ascii="Arial" w:hAnsi="Arial" w:cs="Arial"/>
          <w:b/>
          <w:lang w:val="es-ES_tradnl"/>
        </w:rPr>
        <w:t>Redescuento de cartera por parte de la IFI ante FA</w:t>
      </w:r>
      <w:r w:rsidRPr="00E666A5" w:rsidDel="00A35EAA">
        <w:rPr>
          <w:rFonts w:ascii="Arial" w:hAnsi="Arial" w:cs="Arial"/>
          <w:b/>
          <w:u w:val="single"/>
          <w:lang w:val="es-ES_tradnl"/>
        </w:rPr>
        <w:t xml:space="preserve"> </w:t>
      </w:r>
      <w:r w:rsidR="000D0F60" w:rsidRPr="00E666A5">
        <w:rPr>
          <w:rFonts w:ascii="Arial" w:hAnsi="Arial" w:cs="Arial"/>
          <w:b/>
          <w:u w:val="single"/>
          <w:lang w:val="es-ES_tradnl"/>
        </w:rPr>
        <w:t xml:space="preserve"> </w:t>
      </w:r>
    </w:p>
    <w:p w:rsidR="00A35EAA" w:rsidRPr="00E666A5" w:rsidRDefault="00A35EAA"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En esta modalidad la IFI podrá obtener </w:t>
      </w:r>
      <w:r w:rsidR="0010757C" w:rsidRPr="00E666A5">
        <w:rPr>
          <w:rFonts w:ascii="Arial" w:hAnsi="Arial" w:cs="Arial"/>
          <w:lang w:val="es-ES_tradnl"/>
        </w:rPr>
        <w:t>c</w:t>
      </w:r>
      <w:r w:rsidRPr="00E666A5">
        <w:rPr>
          <w:rFonts w:ascii="Arial" w:hAnsi="Arial" w:cs="Arial"/>
          <w:lang w:val="es-ES_tradnl"/>
        </w:rPr>
        <w:t xml:space="preserve">rédito del FA (Redescuento) con garantía de la cartera de </w:t>
      </w:r>
      <w:r w:rsidR="0010757C" w:rsidRPr="00E666A5">
        <w:rPr>
          <w:rFonts w:ascii="Arial" w:hAnsi="Arial" w:cs="Arial"/>
          <w:lang w:val="es-ES_tradnl"/>
        </w:rPr>
        <w:t>C</w:t>
      </w:r>
      <w:r w:rsidRPr="00E666A5">
        <w:rPr>
          <w:rFonts w:ascii="Arial" w:hAnsi="Arial" w:cs="Arial"/>
          <w:lang w:val="es-ES_tradnl"/>
        </w:rPr>
        <w:t xml:space="preserve">réditos </w:t>
      </w:r>
      <w:r w:rsidR="0010757C" w:rsidRPr="00E666A5">
        <w:rPr>
          <w:rFonts w:ascii="Arial" w:hAnsi="Arial" w:cs="Arial"/>
          <w:lang w:val="es-ES_tradnl"/>
        </w:rPr>
        <w:t>H</w:t>
      </w:r>
      <w:r w:rsidRPr="00E666A5">
        <w:rPr>
          <w:rFonts w:ascii="Arial" w:hAnsi="Arial" w:cs="Arial"/>
          <w:lang w:val="es-ES_tradnl"/>
        </w:rPr>
        <w:t xml:space="preserve">ipotecarios </w:t>
      </w:r>
      <w:r w:rsidR="0010757C" w:rsidRPr="00E666A5">
        <w:rPr>
          <w:rFonts w:ascii="Arial" w:hAnsi="Arial" w:cs="Arial"/>
          <w:lang w:val="es-ES_tradnl"/>
        </w:rPr>
        <w:t xml:space="preserve">VIP </w:t>
      </w:r>
      <w:r w:rsidRPr="00E666A5">
        <w:rPr>
          <w:rFonts w:ascii="Arial" w:hAnsi="Arial" w:cs="Arial"/>
          <w:lang w:val="es-ES_tradnl"/>
        </w:rPr>
        <w:t>que la IFI hubiere generado.</w:t>
      </w:r>
    </w:p>
    <w:p w:rsidR="0081519E" w:rsidRPr="00E666A5" w:rsidRDefault="0081519E"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FA se reservará además el derecho de revisar cada operación de crédito para constatar su idoneidad y el cumplimiento de las especificaciones VIP pertinentes a cada segmento.  </w:t>
      </w:r>
    </w:p>
    <w:p w:rsidR="003012E1" w:rsidRPr="00E666A5" w:rsidRDefault="0081519E"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Contrato de Redescuento.</w:t>
      </w:r>
      <w:r w:rsidRPr="00E666A5">
        <w:rPr>
          <w:rFonts w:ascii="Arial" w:hAnsi="Arial" w:cs="Arial"/>
          <w:lang w:val="es-ES_tradnl"/>
        </w:rPr>
        <w:t xml:space="preserve"> </w:t>
      </w:r>
      <w:r w:rsidR="0029506F" w:rsidRPr="00E666A5">
        <w:rPr>
          <w:rFonts w:ascii="Arial" w:hAnsi="Arial" w:cs="Arial"/>
          <w:lang w:val="es-ES_tradnl"/>
        </w:rPr>
        <w:t xml:space="preserve">El </w:t>
      </w:r>
      <w:r w:rsidR="003012E1" w:rsidRPr="00E666A5">
        <w:rPr>
          <w:rFonts w:ascii="Arial" w:hAnsi="Arial" w:cs="Arial"/>
          <w:lang w:val="es-ES_tradnl"/>
        </w:rPr>
        <w:t>C</w:t>
      </w:r>
      <w:r w:rsidR="0029506F" w:rsidRPr="00E666A5">
        <w:rPr>
          <w:rFonts w:ascii="Arial" w:hAnsi="Arial" w:cs="Arial"/>
          <w:lang w:val="es-ES_tradnl"/>
        </w:rPr>
        <w:t xml:space="preserve">ontrato de Redescuento será un instrumento </w:t>
      </w:r>
      <w:r w:rsidR="003012E1" w:rsidRPr="00E666A5">
        <w:rPr>
          <w:rFonts w:ascii="Arial" w:hAnsi="Arial" w:cs="Arial"/>
          <w:lang w:val="es-ES_tradnl"/>
        </w:rPr>
        <w:t xml:space="preserve">estandarizado </w:t>
      </w:r>
      <w:r w:rsidR="0029506F" w:rsidRPr="00E666A5">
        <w:rPr>
          <w:rFonts w:ascii="Arial" w:hAnsi="Arial" w:cs="Arial"/>
          <w:lang w:val="es-ES_tradnl"/>
        </w:rPr>
        <w:t>emitido por la U</w:t>
      </w:r>
      <w:r w:rsidR="003012E1" w:rsidRPr="00E666A5">
        <w:rPr>
          <w:rFonts w:ascii="Arial" w:hAnsi="Arial" w:cs="Arial"/>
          <w:lang w:val="es-ES_tradnl"/>
        </w:rPr>
        <w:t>CP</w:t>
      </w:r>
      <w:r w:rsidR="0029506F" w:rsidRPr="00E666A5">
        <w:rPr>
          <w:rFonts w:ascii="Arial" w:hAnsi="Arial" w:cs="Arial"/>
          <w:lang w:val="es-ES_tradnl"/>
        </w:rPr>
        <w:t xml:space="preserve"> para uso del FA y todas las IFI</w:t>
      </w:r>
      <w:r w:rsidR="003012E1" w:rsidRPr="00E666A5">
        <w:rPr>
          <w:rFonts w:ascii="Arial" w:hAnsi="Arial" w:cs="Arial"/>
          <w:lang w:val="es-ES_tradnl"/>
        </w:rPr>
        <w:t>S</w:t>
      </w:r>
      <w:r w:rsidR="0029506F" w:rsidRPr="00E666A5">
        <w:rPr>
          <w:rFonts w:ascii="Arial" w:hAnsi="Arial" w:cs="Arial"/>
          <w:lang w:val="es-ES_tradnl"/>
        </w:rPr>
        <w:t xml:space="preserve"> participantes</w:t>
      </w:r>
      <w:r w:rsidR="0009232B" w:rsidRPr="00E666A5">
        <w:rPr>
          <w:rFonts w:ascii="Arial" w:hAnsi="Arial" w:cs="Arial"/>
          <w:lang w:val="es-ES_tradnl"/>
        </w:rPr>
        <w:t>.</w:t>
      </w:r>
      <w:r w:rsidR="003012E1" w:rsidRPr="00E666A5">
        <w:rPr>
          <w:lang w:val="es-ES_tradnl"/>
        </w:rPr>
        <w:t xml:space="preserve"> </w:t>
      </w:r>
      <w:r w:rsidR="003012E1" w:rsidRPr="00E666A5">
        <w:rPr>
          <w:rFonts w:ascii="Arial" w:hAnsi="Arial" w:cs="Arial"/>
          <w:lang w:val="es-ES_tradnl"/>
        </w:rPr>
        <w:t>El contrato de redescuento establecerá; (i) el monto de desembolso que la IFI podrá recibir por cada operación de crédito que sea redescontada, según el segmento especifico de crédito VIP que la IFI hubiere otorgado a los beneficiarios finales; (ii)</w:t>
      </w:r>
      <w:r w:rsidR="00E666A5">
        <w:rPr>
          <w:rFonts w:ascii="Arial" w:hAnsi="Arial" w:cs="Arial"/>
          <w:lang w:val="es-ES_tradnl"/>
        </w:rPr>
        <w:t> </w:t>
      </w:r>
      <w:r w:rsidR="003012E1" w:rsidRPr="00E666A5">
        <w:rPr>
          <w:rFonts w:ascii="Arial" w:hAnsi="Arial" w:cs="Arial"/>
          <w:lang w:val="es-ES_tradnl"/>
        </w:rPr>
        <w:t>la tasa de interés que el FA aplicará para cada operación de crédito VIP que sea redescontada.</w:t>
      </w:r>
      <w:r w:rsidRPr="00E666A5">
        <w:rPr>
          <w:rFonts w:ascii="Arial" w:hAnsi="Arial" w:cs="Arial"/>
          <w:lang w:val="es-ES_tradnl"/>
        </w:rPr>
        <w:t xml:space="preserve"> </w:t>
      </w:r>
    </w:p>
    <w:p w:rsidR="000D0F60" w:rsidRPr="00E666A5" w:rsidRDefault="0081519E"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Garantías.</w:t>
      </w:r>
      <w:r w:rsidRPr="00E666A5">
        <w:rPr>
          <w:rFonts w:ascii="Arial" w:hAnsi="Arial" w:cs="Arial"/>
          <w:lang w:val="es-ES_tradnl"/>
        </w:rPr>
        <w:t xml:space="preserve"> </w:t>
      </w:r>
      <w:r w:rsidR="00663F8D" w:rsidRPr="00E666A5">
        <w:rPr>
          <w:rFonts w:ascii="Arial" w:hAnsi="Arial" w:cs="Arial"/>
          <w:lang w:val="es-ES_tradnl"/>
        </w:rPr>
        <w:t xml:space="preserve">Las </w:t>
      </w:r>
      <w:r w:rsidR="00B96232" w:rsidRPr="00E666A5">
        <w:rPr>
          <w:rFonts w:ascii="Arial" w:hAnsi="Arial" w:cs="Arial"/>
          <w:lang w:val="es-ES_tradnl"/>
        </w:rPr>
        <w:t>IFI</w:t>
      </w:r>
      <w:r w:rsidR="00663F8D" w:rsidRPr="00E666A5">
        <w:rPr>
          <w:rFonts w:ascii="Arial" w:hAnsi="Arial" w:cs="Arial"/>
          <w:lang w:val="es-ES_tradnl"/>
        </w:rPr>
        <w:t>S</w:t>
      </w:r>
      <w:r w:rsidR="00B96232" w:rsidRPr="00E666A5">
        <w:rPr>
          <w:rFonts w:ascii="Arial" w:hAnsi="Arial" w:cs="Arial"/>
          <w:lang w:val="es-ES_tradnl"/>
        </w:rPr>
        <w:t xml:space="preserve"> </w:t>
      </w:r>
      <w:r w:rsidR="00663F8D" w:rsidRPr="00E666A5">
        <w:rPr>
          <w:rFonts w:ascii="Arial" w:hAnsi="Arial" w:cs="Arial"/>
          <w:lang w:val="es-ES_tradnl"/>
        </w:rPr>
        <w:t xml:space="preserve">otorgarán </w:t>
      </w:r>
      <w:r w:rsidR="00B96232" w:rsidRPr="00E666A5">
        <w:rPr>
          <w:rFonts w:ascii="Arial" w:hAnsi="Arial" w:cs="Arial"/>
          <w:lang w:val="es-ES_tradnl"/>
        </w:rPr>
        <w:t>al FA</w:t>
      </w:r>
      <w:r w:rsidR="00373049" w:rsidRPr="00E666A5">
        <w:rPr>
          <w:rFonts w:ascii="Arial" w:hAnsi="Arial" w:cs="Arial"/>
          <w:lang w:val="es-ES_tradnl"/>
        </w:rPr>
        <w:t>,</w:t>
      </w:r>
      <w:r w:rsidR="00E666A5">
        <w:rPr>
          <w:rFonts w:ascii="Arial" w:hAnsi="Arial" w:cs="Arial"/>
          <w:lang w:val="es-ES_tradnl"/>
        </w:rPr>
        <w:t xml:space="preserve"> </w:t>
      </w:r>
      <w:r w:rsidR="001F2D56" w:rsidRPr="00E666A5">
        <w:rPr>
          <w:rFonts w:ascii="Arial" w:hAnsi="Arial" w:cs="Arial"/>
          <w:lang w:val="es-ES_tradnl"/>
        </w:rPr>
        <w:t>en garantía</w:t>
      </w:r>
      <w:r w:rsidR="00373049" w:rsidRPr="00E666A5">
        <w:rPr>
          <w:rFonts w:ascii="Arial" w:hAnsi="Arial" w:cs="Arial"/>
          <w:lang w:val="es-ES_tradnl"/>
        </w:rPr>
        <w:t>,</w:t>
      </w:r>
      <w:r w:rsidR="001F2D56" w:rsidRPr="00E666A5">
        <w:rPr>
          <w:rFonts w:ascii="Arial" w:hAnsi="Arial" w:cs="Arial"/>
          <w:lang w:val="es-ES_tradnl"/>
        </w:rPr>
        <w:t xml:space="preserve"> </w:t>
      </w:r>
      <w:r w:rsidR="00B96232" w:rsidRPr="00E666A5">
        <w:rPr>
          <w:rFonts w:ascii="Arial" w:hAnsi="Arial" w:cs="Arial"/>
          <w:lang w:val="es-ES_tradnl"/>
        </w:rPr>
        <w:t xml:space="preserve">el mismo portafolio de cartera que se redescuenta. </w:t>
      </w:r>
      <w:r w:rsidR="003012E1" w:rsidRPr="00E666A5">
        <w:rPr>
          <w:rFonts w:ascii="Arial" w:hAnsi="Arial" w:cs="Arial"/>
          <w:lang w:val="es-ES_tradnl"/>
        </w:rPr>
        <w:t>T</w:t>
      </w:r>
      <w:r w:rsidR="00B96232" w:rsidRPr="00E666A5">
        <w:rPr>
          <w:rFonts w:ascii="Arial" w:hAnsi="Arial" w:cs="Arial"/>
          <w:lang w:val="es-ES_tradnl"/>
        </w:rPr>
        <w:t xml:space="preserve">odo el </w:t>
      </w:r>
      <w:r w:rsidR="009414A9" w:rsidRPr="00E666A5">
        <w:rPr>
          <w:rFonts w:ascii="Arial" w:hAnsi="Arial" w:cs="Arial"/>
          <w:lang w:val="es-ES_tradnl"/>
        </w:rPr>
        <w:t>portafolio deberá</w:t>
      </w:r>
      <w:r w:rsidR="00B96232" w:rsidRPr="00E666A5">
        <w:rPr>
          <w:rFonts w:ascii="Arial" w:hAnsi="Arial" w:cs="Arial"/>
          <w:lang w:val="es-ES_tradnl"/>
        </w:rPr>
        <w:t xml:space="preserve"> contar </w:t>
      </w:r>
      <w:r w:rsidR="009414A9" w:rsidRPr="00E666A5">
        <w:rPr>
          <w:rFonts w:ascii="Arial" w:hAnsi="Arial" w:cs="Arial"/>
          <w:lang w:val="es-ES_tradnl"/>
        </w:rPr>
        <w:t>con las auto</w:t>
      </w:r>
      <w:r w:rsidR="00B96232" w:rsidRPr="00E666A5">
        <w:rPr>
          <w:rFonts w:ascii="Arial" w:hAnsi="Arial" w:cs="Arial"/>
          <w:lang w:val="es-ES_tradnl"/>
        </w:rPr>
        <w:t>rizaciones expresas de</w:t>
      </w:r>
      <w:r w:rsidR="009414A9" w:rsidRPr="00E666A5">
        <w:rPr>
          <w:rFonts w:ascii="Arial" w:hAnsi="Arial" w:cs="Arial"/>
          <w:lang w:val="es-ES_tradnl"/>
        </w:rPr>
        <w:t xml:space="preserve"> cesión de la operación por parte de</w:t>
      </w:r>
      <w:r w:rsidR="00B96232" w:rsidRPr="00E666A5">
        <w:rPr>
          <w:rFonts w:ascii="Arial" w:hAnsi="Arial" w:cs="Arial"/>
          <w:lang w:val="es-ES_tradnl"/>
        </w:rPr>
        <w:t xml:space="preserve">l </w:t>
      </w:r>
      <w:r w:rsidR="009414A9" w:rsidRPr="00E666A5">
        <w:rPr>
          <w:rFonts w:ascii="Arial" w:hAnsi="Arial" w:cs="Arial"/>
          <w:lang w:val="es-ES_tradnl"/>
        </w:rPr>
        <w:t xml:space="preserve">beneficiario final del crédito VIP </w:t>
      </w:r>
      <w:r w:rsidR="00CB5DC9" w:rsidRPr="00E666A5">
        <w:rPr>
          <w:rFonts w:ascii="Arial" w:hAnsi="Arial" w:cs="Arial"/>
          <w:lang w:val="es-ES_tradnl"/>
        </w:rPr>
        <w:t xml:space="preserve">en </w:t>
      </w:r>
      <w:r w:rsidR="009414A9" w:rsidRPr="00E666A5">
        <w:rPr>
          <w:rFonts w:ascii="Arial" w:hAnsi="Arial" w:cs="Arial"/>
          <w:lang w:val="es-ES_tradnl"/>
        </w:rPr>
        <w:t xml:space="preserve">favor del </w:t>
      </w:r>
      <w:r w:rsidR="00B96232" w:rsidRPr="00E666A5">
        <w:rPr>
          <w:rFonts w:ascii="Arial" w:hAnsi="Arial" w:cs="Arial"/>
          <w:lang w:val="es-ES_tradnl"/>
        </w:rPr>
        <w:t>FA</w:t>
      </w:r>
      <w:r w:rsidR="009414A9" w:rsidRPr="00E666A5">
        <w:rPr>
          <w:rFonts w:ascii="Arial" w:hAnsi="Arial" w:cs="Arial"/>
          <w:lang w:val="es-ES_tradnl"/>
        </w:rPr>
        <w:t xml:space="preserve">. </w:t>
      </w:r>
      <w:r w:rsidR="003012E1" w:rsidRPr="00E666A5">
        <w:rPr>
          <w:rFonts w:ascii="Arial" w:hAnsi="Arial" w:cs="Arial"/>
          <w:lang w:val="es-ES_tradnl"/>
        </w:rPr>
        <w:t>L</w:t>
      </w:r>
      <w:r w:rsidR="00CB5DC9" w:rsidRPr="00E666A5">
        <w:rPr>
          <w:rFonts w:ascii="Arial" w:hAnsi="Arial" w:cs="Arial"/>
          <w:lang w:val="es-ES_tradnl"/>
        </w:rPr>
        <w:t>a</w:t>
      </w:r>
      <w:r w:rsidR="003012E1" w:rsidRPr="00E666A5">
        <w:rPr>
          <w:rFonts w:ascii="Arial" w:hAnsi="Arial" w:cs="Arial"/>
          <w:lang w:val="es-ES_tradnl"/>
        </w:rPr>
        <w:t>s</w:t>
      </w:r>
      <w:r w:rsidR="00CB5DC9" w:rsidRPr="00E666A5">
        <w:rPr>
          <w:rFonts w:ascii="Arial" w:hAnsi="Arial" w:cs="Arial"/>
          <w:lang w:val="es-ES_tradnl"/>
        </w:rPr>
        <w:t xml:space="preserve"> IFI</w:t>
      </w:r>
      <w:r w:rsidR="003012E1" w:rsidRPr="00E666A5">
        <w:rPr>
          <w:rFonts w:ascii="Arial" w:hAnsi="Arial" w:cs="Arial"/>
          <w:lang w:val="es-ES_tradnl"/>
        </w:rPr>
        <w:t>S</w:t>
      </w:r>
      <w:r w:rsidR="00CB5DC9" w:rsidRPr="00E666A5">
        <w:rPr>
          <w:rFonts w:ascii="Arial" w:hAnsi="Arial" w:cs="Arial"/>
          <w:lang w:val="es-ES_tradnl"/>
        </w:rPr>
        <w:t xml:space="preserve"> </w:t>
      </w:r>
      <w:r w:rsidR="006B12BF" w:rsidRPr="00E666A5">
        <w:rPr>
          <w:rFonts w:ascii="Arial" w:hAnsi="Arial" w:cs="Arial"/>
          <w:lang w:val="es-ES_tradnl"/>
        </w:rPr>
        <w:t>cederá</w:t>
      </w:r>
      <w:r w:rsidR="003012E1" w:rsidRPr="00E666A5">
        <w:rPr>
          <w:rFonts w:ascii="Arial" w:hAnsi="Arial" w:cs="Arial"/>
          <w:lang w:val="es-ES_tradnl"/>
        </w:rPr>
        <w:t>n</w:t>
      </w:r>
      <w:r w:rsidR="00CB5DC9" w:rsidRPr="00E666A5">
        <w:rPr>
          <w:rFonts w:ascii="Arial" w:hAnsi="Arial" w:cs="Arial"/>
          <w:lang w:val="es-ES_tradnl"/>
        </w:rPr>
        <w:t xml:space="preserve"> en favor del FA la garantía hipotecaria que respalda cada operación de crédito </w:t>
      </w:r>
      <w:r w:rsidR="006B12BF" w:rsidRPr="00E666A5">
        <w:rPr>
          <w:rFonts w:ascii="Arial" w:hAnsi="Arial" w:cs="Arial"/>
          <w:lang w:val="es-ES_tradnl"/>
        </w:rPr>
        <w:t>que se</w:t>
      </w:r>
      <w:r w:rsidR="00CB5DC9" w:rsidRPr="00E666A5">
        <w:rPr>
          <w:rFonts w:ascii="Arial" w:hAnsi="Arial" w:cs="Arial"/>
          <w:lang w:val="es-ES_tradnl"/>
        </w:rPr>
        <w:t xml:space="preserve"> </w:t>
      </w:r>
      <w:r w:rsidR="006B12BF" w:rsidRPr="00E666A5">
        <w:rPr>
          <w:rFonts w:ascii="Arial" w:hAnsi="Arial" w:cs="Arial"/>
          <w:lang w:val="es-ES_tradnl"/>
        </w:rPr>
        <w:t>redescuente</w:t>
      </w:r>
      <w:r w:rsidR="00CB5DC9" w:rsidRPr="00E666A5">
        <w:rPr>
          <w:rFonts w:ascii="Arial" w:hAnsi="Arial" w:cs="Arial"/>
          <w:lang w:val="es-ES_tradnl"/>
        </w:rPr>
        <w:t>.</w:t>
      </w:r>
    </w:p>
    <w:p w:rsidR="000D0F60" w:rsidRPr="00E666A5" w:rsidRDefault="0081519E"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Administración de Cartera. </w:t>
      </w:r>
      <w:r w:rsidR="00B96232" w:rsidRPr="00E666A5">
        <w:rPr>
          <w:rFonts w:ascii="Arial" w:hAnsi="Arial" w:cs="Arial"/>
          <w:lang w:val="es-ES_tradnl"/>
        </w:rPr>
        <w:t>La operación</w:t>
      </w:r>
      <w:r w:rsidR="00496177" w:rsidRPr="00E666A5">
        <w:rPr>
          <w:rFonts w:ascii="Arial" w:hAnsi="Arial" w:cs="Arial"/>
          <w:lang w:val="es-ES_tradnl"/>
        </w:rPr>
        <w:t>, gestión</w:t>
      </w:r>
      <w:r w:rsidR="00CB5DC9" w:rsidRPr="00E666A5">
        <w:rPr>
          <w:rFonts w:ascii="Arial" w:hAnsi="Arial" w:cs="Arial"/>
          <w:lang w:val="es-ES_tradnl"/>
        </w:rPr>
        <w:t xml:space="preserve"> </w:t>
      </w:r>
      <w:r w:rsidR="00496177" w:rsidRPr="00E666A5">
        <w:rPr>
          <w:rFonts w:ascii="Arial" w:hAnsi="Arial" w:cs="Arial"/>
          <w:lang w:val="es-ES_tradnl"/>
        </w:rPr>
        <w:t xml:space="preserve">y cobranza </w:t>
      </w:r>
      <w:r w:rsidR="00CB5DC9" w:rsidRPr="00E666A5">
        <w:rPr>
          <w:rFonts w:ascii="Arial" w:hAnsi="Arial" w:cs="Arial"/>
          <w:lang w:val="es-ES_tradnl"/>
        </w:rPr>
        <w:t>d</w:t>
      </w:r>
      <w:r w:rsidR="00496177" w:rsidRPr="00E666A5">
        <w:rPr>
          <w:rFonts w:ascii="Arial" w:hAnsi="Arial" w:cs="Arial"/>
          <w:lang w:val="es-ES_tradnl"/>
        </w:rPr>
        <w:t>el Portafolio de la</w:t>
      </w:r>
      <w:r w:rsidR="00B96232" w:rsidRPr="00E666A5">
        <w:rPr>
          <w:rFonts w:ascii="Arial" w:hAnsi="Arial" w:cs="Arial"/>
          <w:lang w:val="es-ES_tradnl"/>
        </w:rPr>
        <w:t xml:space="preserve"> cartera </w:t>
      </w:r>
      <w:r w:rsidR="00496177" w:rsidRPr="00E666A5">
        <w:rPr>
          <w:rFonts w:ascii="Arial" w:hAnsi="Arial" w:cs="Arial"/>
          <w:lang w:val="es-ES_tradnl"/>
        </w:rPr>
        <w:t xml:space="preserve">redescontada seguirá siendo responsabilidad de la IFI, misma que deberá contar con un sistema informático suficiente para permitir el monitoreo en tiempo real del </w:t>
      </w:r>
      <w:r w:rsidR="00E666A5" w:rsidRPr="00E666A5">
        <w:rPr>
          <w:rFonts w:ascii="Arial" w:hAnsi="Arial" w:cs="Arial"/>
          <w:i/>
          <w:lang w:val="es-ES_tradnl"/>
        </w:rPr>
        <w:t>estatus</w:t>
      </w:r>
      <w:r w:rsidR="00496177" w:rsidRPr="00E666A5">
        <w:rPr>
          <w:rFonts w:ascii="Arial" w:hAnsi="Arial" w:cs="Arial"/>
          <w:lang w:val="es-ES_tradnl"/>
        </w:rPr>
        <w:t xml:space="preserve"> de cada operación de crédito redescontada</w:t>
      </w:r>
      <w:r w:rsidR="00E84930" w:rsidRPr="00E666A5">
        <w:rPr>
          <w:rFonts w:ascii="Arial" w:hAnsi="Arial" w:cs="Arial"/>
          <w:lang w:val="es-ES_tradnl"/>
        </w:rPr>
        <w:t>,</w:t>
      </w:r>
      <w:r w:rsidR="00496177" w:rsidRPr="00E666A5">
        <w:rPr>
          <w:rFonts w:ascii="Arial" w:hAnsi="Arial" w:cs="Arial"/>
          <w:lang w:val="es-ES_tradnl"/>
        </w:rPr>
        <w:t xml:space="preserve"> </w:t>
      </w:r>
      <w:r w:rsidR="006B12BF" w:rsidRPr="00E666A5">
        <w:rPr>
          <w:rFonts w:ascii="Arial" w:hAnsi="Arial" w:cs="Arial"/>
          <w:lang w:val="es-ES_tradnl"/>
        </w:rPr>
        <w:t>así</w:t>
      </w:r>
      <w:r w:rsidR="00496177" w:rsidRPr="00E666A5">
        <w:rPr>
          <w:rFonts w:ascii="Arial" w:hAnsi="Arial" w:cs="Arial"/>
          <w:lang w:val="es-ES_tradnl"/>
        </w:rPr>
        <w:t xml:space="preserve"> como garantizar el respaldo documentario de cada operación durante toda su vida.</w:t>
      </w:r>
    </w:p>
    <w:p w:rsidR="000D0F60" w:rsidRPr="00E666A5" w:rsidRDefault="0081519E"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Recurso Financiero. </w:t>
      </w:r>
      <w:r w:rsidR="00496177" w:rsidRPr="00E666A5">
        <w:rPr>
          <w:rFonts w:ascii="Arial" w:hAnsi="Arial" w:cs="Arial"/>
          <w:lang w:val="es-ES_tradnl"/>
        </w:rPr>
        <w:t>En garantía de una adecuada gestión de originaci</w:t>
      </w:r>
      <w:r w:rsidR="00FC6DF5" w:rsidRPr="00E666A5">
        <w:rPr>
          <w:rFonts w:ascii="Arial" w:hAnsi="Arial" w:cs="Arial"/>
          <w:lang w:val="es-ES_tradnl"/>
        </w:rPr>
        <w:t>ó</w:t>
      </w:r>
      <w:r w:rsidR="00496177" w:rsidRPr="00E666A5">
        <w:rPr>
          <w:rFonts w:ascii="Arial" w:hAnsi="Arial" w:cs="Arial"/>
          <w:lang w:val="es-ES_tradnl"/>
        </w:rPr>
        <w:t xml:space="preserve">n, operación y cobranza de la cartera redescontada, </w:t>
      </w:r>
      <w:r w:rsidR="006B12BF" w:rsidRPr="00E666A5">
        <w:rPr>
          <w:rFonts w:ascii="Arial" w:hAnsi="Arial" w:cs="Arial"/>
          <w:lang w:val="es-ES_tradnl"/>
        </w:rPr>
        <w:t>para cada</w:t>
      </w:r>
      <w:r w:rsidR="00B96232" w:rsidRPr="00E666A5">
        <w:rPr>
          <w:rFonts w:ascii="Arial" w:hAnsi="Arial" w:cs="Arial"/>
          <w:lang w:val="es-ES_tradnl"/>
        </w:rPr>
        <w:t xml:space="preserve"> contrato de redescu</w:t>
      </w:r>
      <w:r w:rsidR="00496177" w:rsidRPr="00E666A5">
        <w:rPr>
          <w:rFonts w:ascii="Arial" w:hAnsi="Arial" w:cs="Arial"/>
          <w:lang w:val="es-ES_tradnl"/>
        </w:rPr>
        <w:t>ento la</w:t>
      </w:r>
      <w:r w:rsidR="00B819BF" w:rsidRPr="00E666A5">
        <w:rPr>
          <w:rFonts w:ascii="Arial" w:hAnsi="Arial" w:cs="Arial"/>
          <w:lang w:val="es-ES_tradnl"/>
        </w:rPr>
        <w:t>s</w:t>
      </w:r>
      <w:r w:rsidR="00496177" w:rsidRPr="00E666A5">
        <w:rPr>
          <w:rFonts w:ascii="Arial" w:hAnsi="Arial" w:cs="Arial"/>
          <w:lang w:val="es-ES_tradnl"/>
        </w:rPr>
        <w:t xml:space="preserve"> IFI</w:t>
      </w:r>
      <w:r w:rsidR="00B819BF" w:rsidRPr="00E666A5">
        <w:rPr>
          <w:rFonts w:ascii="Arial" w:hAnsi="Arial" w:cs="Arial"/>
          <w:lang w:val="es-ES_tradnl"/>
        </w:rPr>
        <w:t>S</w:t>
      </w:r>
      <w:r w:rsidR="00B96232" w:rsidRPr="00E666A5">
        <w:rPr>
          <w:rFonts w:ascii="Arial" w:hAnsi="Arial" w:cs="Arial"/>
          <w:lang w:val="es-ES_tradnl"/>
        </w:rPr>
        <w:t xml:space="preserve"> deberá constituir un </w:t>
      </w:r>
      <w:r w:rsidR="00496177" w:rsidRPr="00E666A5">
        <w:rPr>
          <w:rFonts w:ascii="Arial" w:hAnsi="Arial" w:cs="Arial"/>
          <w:lang w:val="es-ES_tradnl"/>
        </w:rPr>
        <w:t>R</w:t>
      </w:r>
      <w:r w:rsidR="00024A11" w:rsidRPr="00E666A5">
        <w:rPr>
          <w:rFonts w:ascii="Arial" w:hAnsi="Arial" w:cs="Arial"/>
          <w:lang w:val="es-ES_tradnl"/>
        </w:rPr>
        <w:t>ecurso Financiero</w:t>
      </w:r>
      <w:r w:rsidR="00496177" w:rsidRPr="00E666A5">
        <w:rPr>
          <w:rFonts w:ascii="Arial" w:hAnsi="Arial" w:cs="Arial"/>
          <w:lang w:val="es-ES_tradnl"/>
        </w:rPr>
        <w:t xml:space="preserve"> equivalente al </w:t>
      </w:r>
      <w:r w:rsidR="00496177" w:rsidRPr="00E666A5">
        <w:rPr>
          <w:rFonts w:ascii="Arial" w:hAnsi="Arial" w:cs="Arial"/>
          <w:highlight w:val="yellow"/>
          <w:lang w:val="es-ES_tradnl"/>
        </w:rPr>
        <w:t>XXX%</w:t>
      </w:r>
      <w:r w:rsidR="00496177" w:rsidRPr="00E666A5">
        <w:rPr>
          <w:rFonts w:ascii="Arial" w:hAnsi="Arial" w:cs="Arial"/>
          <w:lang w:val="es-ES_tradnl"/>
        </w:rPr>
        <w:t xml:space="preserve"> del valor del contrato.  Este </w:t>
      </w:r>
      <w:r w:rsidR="00024A11" w:rsidRPr="00E666A5">
        <w:rPr>
          <w:rFonts w:ascii="Arial" w:hAnsi="Arial" w:cs="Arial"/>
          <w:lang w:val="es-ES_tradnl"/>
        </w:rPr>
        <w:t xml:space="preserve">Recurso </w:t>
      </w:r>
      <w:r w:rsidR="00496177" w:rsidRPr="00E666A5">
        <w:rPr>
          <w:rFonts w:ascii="Arial" w:hAnsi="Arial" w:cs="Arial"/>
          <w:lang w:val="es-ES_tradnl"/>
        </w:rPr>
        <w:t xml:space="preserve">se constituirá mediante el aporte de la IFI a una cuenta </w:t>
      </w:r>
      <w:r w:rsidR="00E666A5" w:rsidRPr="00E666A5">
        <w:rPr>
          <w:rFonts w:ascii="Arial" w:hAnsi="Arial" w:cs="Arial"/>
          <w:lang w:val="es-ES_tradnl"/>
        </w:rPr>
        <w:t>específica</w:t>
      </w:r>
      <w:r w:rsidR="00496177" w:rsidRPr="00E666A5">
        <w:rPr>
          <w:rFonts w:ascii="Arial" w:hAnsi="Arial" w:cs="Arial"/>
          <w:lang w:val="es-ES_tradnl"/>
        </w:rPr>
        <w:t xml:space="preserve"> </w:t>
      </w:r>
      <w:r w:rsidR="001F2D56" w:rsidRPr="00E666A5">
        <w:rPr>
          <w:rFonts w:ascii="Arial" w:hAnsi="Arial" w:cs="Arial"/>
          <w:lang w:val="es-ES_tradnl"/>
        </w:rPr>
        <w:t xml:space="preserve">a favor </w:t>
      </w:r>
      <w:r w:rsidR="00496177" w:rsidRPr="00E666A5">
        <w:rPr>
          <w:rFonts w:ascii="Arial" w:hAnsi="Arial" w:cs="Arial"/>
          <w:lang w:val="es-ES_tradnl"/>
        </w:rPr>
        <w:t xml:space="preserve">del FA en dicha IFI del </w:t>
      </w:r>
      <w:r w:rsidR="00496177" w:rsidRPr="00E666A5">
        <w:rPr>
          <w:rFonts w:ascii="Arial" w:hAnsi="Arial" w:cs="Arial"/>
          <w:highlight w:val="yellow"/>
          <w:lang w:val="es-ES_tradnl"/>
        </w:rPr>
        <w:t>GGG%</w:t>
      </w:r>
      <w:r w:rsidR="00496177" w:rsidRPr="00E666A5">
        <w:rPr>
          <w:rFonts w:ascii="Arial" w:hAnsi="Arial" w:cs="Arial"/>
          <w:lang w:val="es-ES_tradnl"/>
        </w:rPr>
        <w:t xml:space="preserve"> de cada operación</w:t>
      </w:r>
      <w:r w:rsidR="00092555" w:rsidRPr="00E666A5">
        <w:rPr>
          <w:rFonts w:ascii="Arial" w:hAnsi="Arial" w:cs="Arial"/>
          <w:lang w:val="es-ES_tradnl"/>
        </w:rPr>
        <w:t xml:space="preserve"> parcial de redescuento, hasta alcanzar el valor del </w:t>
      </w:r>
      <w:r w:rsidR="00024A11" w:rsidRPr="00E666A5">
        <w:rPr>
          <w:rFonts w:ascii="Arial" w:hAnsi="Arial" w:cs="Arial"/>
          <w:lang w:val="es-ES_tradnl"/>
        </w:rPr>
        <w:t>R</w:t>
      </w:r>
      <w:r w:rsidR="00E84930" w:rsidRPr="00E666A5">
        <w:rPr>
          <w:rFonts w:ascii="Arial" w:hAnsi="Arial" w:cs="Arial"/>
          <w:lang w:val="es-ES_tradnl"/>
        </w:rPr>
        <w:t>e</w:t>
      </w:r>
      <w:r w:rsidR="00024A11" w:rsidRPr="00E666A5">
        <w:rPr>
          <w:rFonts w:ascii="Arial" w:hAnsi="Arial" w:cs="Arial"/>
          <w:lang w:val="es-ES_tradnl"/>
        </w:rPr>
        <w:t xml:space="preserve">curso </w:t>
      </w:r>
      <w:r w:rsidR="00092555" w:rsidRPr="00E666A5">
        <w:rPr>
          <w:rFonts w:ascii="Arial" w:hAnsi="Arial" w:cs="Arial"/>
          <w:lang w:val="es-ES_tradnl"/>
        </w:rPr>
        <w:t>establecido en el contrato entre la IFI y el FA</w:t>
      </w:r>
    </w:p>
    <w:p w:rsidR="000D0F60" w:rsidRPr="00E666A5" w:rsidRDefault="00092555"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FA podrá, en el evento de que una operación de crédito redescontada supere el </w:t>
      </w:r>
      <w:r w:rsidR="00FC6DF5" w:rsidRPr="00E666A5">
        <w:rPr>
          <w:rFonts w:ascii="Arial" w:hAnsi="Arial" w:cs="Arial"/>
          <w:lang w:val="es-ES_tradnl"/>
        </w:rPr>
        <w:t>límite</w:t>
      </w:r>
      <w:r w:rsidRPr="00E666A5">
        <w:rPr>
          <w:rFonts w:ascii="Arial" w:hAnsi="Arial" w:cs="Arial"/>
          <w:lang w:val="es-ES_tradnl"/>
        </w:rPr>
        <w:t xml:space="preserve"> de mora establecido en el contrato de redescuento formado entre las partes, </w:t>
      </w:r>
      <w:r w:rsidRPr="00E666A5">
        <w:rPr>
          <w:rFonts w:ascii="Arial" w:hAnsi="Arial" w:cs="Arial"/>
          <w:lang w:val="es-ES_tradnl"/>
        </w:rPr>
        <w:lastRenderedPageBreak/>
        <w:t>devolver la operación de crédito a la IF</w:t>
      </w:r>
      <w:r w:rsidR="00E84930" w:rsidRPr="00E666A5">
        <w:rPr>
          <w:rFonts w:ascii="Arial" w:hAnsi="Arial" w:cs="Arial"/>
          <w:lang w:val="es-ES_tradnl"/>
        </w:rPr>
        <w:t>I</w:t>
      </w:r>
      <w:r w:rsidRPr="00E666A5">
        <w:rPr>
          <w:rFonts w:ascii="Arial" w:hAnsi="Arial" w:cs="Arial"/>
          <w:lang w:val="es-ES_tradnl"/>
        </w:rPr>
        <w:t xml:space="preserve"> con cargo al </w:t>
      </w:r>
      <w:r w:rsidR="00024A11" w:rsidRPr="00E666A5">
        <w:rPr>
          <w:rFonts w:ascii="Arial" w:hAnsi="Arial" w:cs="Arial"/>
          <w:lang w:val="es-ES_tradnl"/>
        </w:rPr>
        <w:t xml:space="preserve">Recurso </w:t>
      </w:r>
      <w:r w:rsidR="00E84930" w:rsidRPr="00E666A5">
        <w:rPr>
          <w:rFonts w:ascii="Arial" w:hAnsi="Arial" w:cs="Arial"/>
          <w:lang w:val="es-ES_tradnl"/>
        </w:rPr>
        <w:t xml:space="preserve">Financiero </w:t>
      </w:r>
      <w:r w:rsidRPr="00E666A5">
        <w:rPr>
          <w:rFonts w:ascii="Arial" w:hAnsi="Arial" w:cs="Arial"/>
          <w:lang w:val="es-ES_tradnl"/>
        </w:rPr>
        <w:t xml:space="preserve">constituido. En el evento de que dicho </w:t>
      </w:r>
      <w:r w:rsidR="00024A11" w:rsidRPr="00E666A5">
        <w:rPr>
          <w:rFonts w:ascii="Arial" w:hAnsi="Arial" w:cs="Arial"/>
          <w:lang w:val="es-ES_tradnl"/>
        </w:rPr>
        <w:t xml:space="preserve">Recurso </w:t>
      </w:r>
      <w:r w:rsidR="00E84930" w:rsidRPr="00E666A5">
        <w:rPr>
          <w:rFonts w:ascii="Arial" w:hAnsi="Arial" w:cs="Arial"/>
          <w:lang w:val="es-ES_tradnl"/>
        </w:rPr>
        <w:t xml:space="preserve">Financiero </w:t>
      </w:r>
      <w:r w:rsidRPr="00E666A5">
        <w:rPr>
          <w:rFonts w:ascii="Arial" w:hAnsi="Arial" w:cs="Arial"/>
          <w:lang w:val="es-ES_tradnl"/>
        </w:rPr>
        <w:t>se hubiere extinguido</w:t>
      </w:r>
      <w:r w:rsidR="00E84930" w:rsidRPr="00E666A5">
        <w:rPr>
          <w:rFonts w:ascii="Arial" w:hAnsi="Arial" w:cs="Arial"/>
          <w:lang w:val="es-ES_tradnl"/>
        </w:rPr>
        <w:t>,</w:t>
      </w:r>
      <w:r w:rsidRPr="00E666A5">
        <w:rPr>
          <w:rFonts w:ascii="Arial" w:hAnsi="Arial" w:cs="Arial"/>
          <w:lang w:val="es-ES_tradnl"/>
        </w:rPr>
        <w:t xml:space="preserve"> el FA </w:t>
      </w:r>
      <w:r w:rsidR="00FC6DF5" w:rsidRPr="00E666A5">
        <w:rPr>
          <w:rFonts w:ascii="Arial" w:hAnsi="Arial" w:cs="Arial"/>
          <w:lang w:val="es-ES_tradnl"/>
        </w:rPr>
        <w:t>solicitará</w:t>
      </w:r>
      <w:r w:rsidRPr="00E666A5">
        <w:rPr>
          <w:rFonts w:ascii="Arial" w:hAnsi="Arial" w:cs="Arial"/>
          <w:lang w:val="es-ES_tradnl"/>
        </w:rPr>
        <w:t xml:space="preserve"> a la IFI volver a constituir a su costo el </w:t>
      </w:r>
      <w:r w:rsidR="00024A11" w:rsidRPr="00E666A5">
        <w:rPr>
          <w:rFonts w:ascii="Arial" w:hAnsi="Arial" w:cs="Arial"/>
          <w:lang w:val="es-ES_tradnl"/>
        </w:rPr>
        <w:t xml:space="preserve">Recurso </w:t>
      </w:r>
      <w:r w:rsidR="00E84930" w:rsidRPr="00E666A5">
        <w:rPr>
          <w:rFonts w:ascii="Arial" w:hAnsi="Arial" w:cs="Arial"/>
          <w:lang w:val="es-ES_tradnl"/>
        </w:rPr>
        <w:t xml:space="preserve">Financiero </w:t>
      </w:r>
      <w:r w:rsidRPr="00E666A5">
        <w:rPr>
          <w:rFonts w:ascii="Arial" w:hAnsi="Arial" w:cs="Arial"/>
          <w:lang w:val="es-ES_tradnl"/>
        </w:rPr>
        <w:t>por el mismo valor inicial, petición que se hará mediante comunicación escrita con copia el E</w:t>
      </w:r>
      <w:r w:rsidR="00FC6DF5" w:rsidRPr="00E666A5">
        <w:rPr>
          <w:rFonts w:ascii="Arial" w:hAnsi="Arial" w:cs="Arial"/>
          <w:lang w:val="es-ES_tradnl"/>
        </w:rPr>
        <w:t>nte Regulador</w:t>
      </w:r>
      <w:r w:rsidRPr="00E666A5">
        <w:rPr>
          <w:rFonts w:ascii="Arial" w:hAnsi="Arial" w:cs="Arial"/>
          <w:lang w:val="es-ES_tradnl"/>
        </w:rPr>
        <w:t xml:space="preserve"> de la IFI.</w:t>
      </w:r>
      <w:r w:rsidR="00A24F0C" w:rsidRPr="00E666A5">
        <w:rPr>
          <w:rFonts w:ascii="Arial" w:hAnsi="Arial" w:cs="Arial"/>
          <w:lang w:val="es-ES_tradnl"/>
        </w:rPr>
        <w:t xml:space="preserve"> </w:t>
      </w:r>
    </w:p>
    <w:p w:rsidR="00EE0005" w:rsidRPr="00E666A5" w:rsidRDefault="00EE0005"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Cupos</w:t>
      </w:r>
      <w:r w:rsidRPr="00E666A5">
        <w:rPr>
          <w:rFonts w:ascii="Arial" w:hAnsi="Arial" w:cs="Arial"/>
          <w:lang w:val="es-ES_tradnl"/>
        </w:rPr>
        <w:t xml:space="preserve">. En ningún caso el total de operaciones de redescuento acumulado asignado a una misma IFI podrá superar el </w:t>
      </w:r>
      <w:r w:rsidRPr="00E666A5">
        <w:rPr>
          <w:rFonts w:ascii="Arial" w:hAnsi="Arial" w:cs="Arial"/>
          <w:highlight w:val="yellow"/>
          <w:lang w:val="es-ES_tradnl"/>
        </w:rPr>
        <w:t>15% de su Patrimonio Técnico disponible</w:t>
      </w:r>
      <w:r w:rsidRPr="00E666A5">
        <w:rPr>
          <w:rFonts w:ascii="Arial" w:hAnsi="Arial" w:cs="Arial"/>
          <w:lang w:val="es-ES_tradnl"/>
        </w:rPr>
        <w:t>.</w:t>
      </w:r>
    </w:p>
    <w:p w:rsidR="00E84930" w:rsidRPr="00E666A5" w:rsidRDefault="000D0F60" w:rsidP="00073F74">
      <w:pPr>
        <w:pStyle w:val="ListParagraph"/>
        <w:numPr>
          <w:ilvl w:val="0"/>
          <w:numId w:val="24"/>
        </w:numPr>
        <w:spacing w:before="240" w:after="240" w:line="240" w:lineRule="auto"/>
        <w:ind w:hanging="720"/>
        <w:contextualSpacing w:val="0"/>
        <w:rPr>
          <w:rFonts w:ascii="Arial" w:hAnsi="Arial" w:cs="Arial"/>
          <w:b/>
          <w:lang w:val="es-ES_tradnl"/>
        </w:rPr>
      </w:pPr>
      <w:bookmarkStart w:id="6" w:name="_Hlk528925528"/>
      <w:r w:rsidRPr="00E666A5">
        <w:rPr>
          <w:rFonts w:ascii="Arial" w:hAnsi="Arial" w:cs="Arial"/>
          <w:b/>
          <w:lang w:val="es-ES_tradnl"/>
        </w:rPr>
        <w:t xml:space="preserve">Mecanismo de </w:t>
      </w:r>
      <w:r w:rsidR="00E84930" w:rsidRPr="00E666A5">
        <w:rPr>
          <w:rFonts w:ascii="Arial" w:hAnsi="Arial" w:cs="Arial"/>
          <w:b/>
          <w:lang w:val="es-ES_tradnl"/>
        </w:rPr>
        <w:t>Inversión del FA en Carteras Hipotecarias de las IFI</w:t>
      </w:r>
    </w:p>
    <w:bookmarkEnd w:id="6"/>
    <w:p w:rsidR="00016F4F" w:rsidRPr="00E666A5" w:rsidRDefault="00C74CA6"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FA otorgará financiamiento a las IFI con recursos del </w:t>
      </w:r>
      <w:r w:rsidR="00EA06FA" w:rsidRPr="00E666A5">
        <w:rPr>
          <w:rFonts w:ascii="Arial" w:hAnsi="Arial" w:cs="Arial"/>
          <w:lang w:val="es-ES_tradnl"/>
        </w:rPr>
        <w:t>p</w:t>
      </w:r>
      <w:r w:rsidRPr="00E666A5">
        <w:rPr>
          <w:rFonts w:ascii="Arial" w:hAnsi="Arial" w:cs="Arial"/>
          <w:lang w:val="es-ES_tradnl"/>
        </w:rPr>
        <w:t xml:space="preserve">rograma a través de invertir en la compra de títulos derivados de la titularización de la cartera originada por la IFI. </w:t>
      </w:r>
    </w:p>
    <w:p w:rsidR="00C74CA6" w:rsidRPr="00E666A5" w:rsidRDefault="00016F4F"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Contrato de inversión</w:t>
      </w:r>
      <w:r w:rsidR="00B949DA" w:rsidRPr="00E666A5">
        <w:rPr>
          <w:rFonts w:ascii="Arial" w:hAnsi="Arial" w:cs="Arial"/>
          <w:b/>
          <w:lang w:val="es-ES_tradnl"/>
        </w:rPr>
        <w:t xml:space="preserve"> entre el FA y las IFIS</w:t>
      </w:r>
      <w:r w:rsidRPr="00E666A5">
        <w:rPr>
          <w:rFonts w:ascii="Arial" w:hAnsi="Arial" w:cs="Arial"/>
          <w:b/>
          <w:lang w:val="es-ES_tradnl"/>
        </w:rPr>
        <w:t xml:space="preserve">. </w:t>
      </w:r>
      <w:r w:rsidR="003F3274" w:rsidRPr="00E666A5">
        <w:rPr>
          <w:rFonts w:ascii="Arial" w:hAnsi="Arial" w:cs="Arial"/>
          <w:lang w:val="es-ES_tradnl"/>
        </w:rPr>
        <w:t>E</w:t>
      </w:r>
      <w:r w:rsidR="00C74CA6" w:rsidRPr="00E666A5">
        <w:rPr>
          <w:rFonts w:ascii="Arial" w:hAnsi="Arial" w:cs="Arial"/>
          <w:lang w:val="es-ES_tradnl"/>
        </w:rPr>
        <w:t xml:space="preserve">l FA deberá celebrar con </w:t>
      </w:r>
      <w:r w:rsidR="003F3274" w:rsidRPr="00E666A5">
        <w:rPr>
          <w:rFonts w:ascii="Arial" w:hAnsi="Arial" w:cs="Arial"/>
          <w:lang w:val="es-ES_tradnl"/>
        </w:rPr>
        <w:t xml:space="preserve">las </w:t>
      </w:r>
      <w:r w:rsidR="00C74CA6" w:rsidRPr="00E666A5">
        <w:rPr>
          <w:rFonts w:ascii="Arial" w:hAnsi="Arial" w:cs="Arial"/>
          <w:lang w:val="es-ES_tradnl"/>
        </w:rPr>
        <w:t>IFI</w:t>
      </w:r>
      <w:r w:rsidR="003F3274" w:rsidRPr="00E666A5">
        <w:rPr>
          <w:rFonts w:ascii="Arial" w:hAnsi="Arial" w:cs="Arial"/>
          <w:lang w:val="es-ES_tradnl"/>
        </w:rPr>
        <w:t xml:space="preserve">S </w:t>
      </w:r>
      <w:r w:rsidR="00C74CA6" w:rsidRPr="00E666A5">
        <w:rPr>
          <w:rFonts w:ascii="Arial" w:hAnsi="Arial" w:cs="Arial"/>
          <w:lang w:val="es-ES_tradnl"/>
        </w:rPr>
        <w:t xml:space="preserve">un </w:t>
      </w:r>
      <w:r w:rsidR="003F3274" w:rsidRPr="00E666A5">
        <w:rPr>
          <w:rFonts w:ascii="Arial" w:hAnsi="Arial" w:cs="Arial"/>
          <w:lang w:val="es-ES_tradnl"/>
        </w:rPr>
        <w:t>contrato i</w:t>
      </w:r>
      <w:r w:rsidR="00C74CA6" w:rsidRPr="00E666A5">
        <w:rPr>
          <w:rFonts w:ascii="Arial" w:hAnsi="Arial" w:cs="Arial"/>
          <w:lang w:val="es-ES_tradnl"/>
        </w:rPr>
        <w:t xml:space="preserve">nversión </w:t>
      </w:r>
      <w:r w:rsidR="003F3274" w:rsidRPr="00E666A5">
        <w:rPr>
          <w:rFonts w:ascii="Arial" w:hAnsi="Arial" w:cs="Arial"/>
          <w:lang w:val="es-ES_tradnl"/>
        </w:rPr>
        <w:t>donde constará</w:t>
      </w:r>
      <w:r w:rsidR="00E532A3" w:rsidRPr="00E666A5">
        <w:rPr>
          <w:rFonts w:ascii="Arial" w:hAnsi="Arial" w:cs="Arial"/>
          <w:lang w:val="es-ES_tradnl"/>
        </w:rPr>
        <w:t>n las obligaciones de las partes y l</w:t>
      </w:r>
      <w:r w:rsidR="00C74CA6" w:rsidRPr="00E666A5">
        <w:rPr>
          <w:rFonts w:ascii="Arial" w:hAnsi="Arial" w:cs="Arial"/>
          <w:lang w:val="es-ES_tradnl"/>
        </w:rPr>
        <w:t>a aceptación expresa de las IFI de las cláusulas de los respectivos Fideicomisos de Titularización (FTC) cuyos textos borrador se incluyen y forman parte de este Reglamento (</w:t>
      </w:r>
      <w:r w:rsidR="00C74CA6" w:rsidRPr="00E666A5">
        <w:rPr>
          <w:rFonts w:ascii="Arial" w:hAnsi="Arial" w:cs="Arial"/>
          <w:highlight w:val="cyan"/>
          <w:lang w:val="es-ES_tradnl"/>
        </w:rPr>
        <w:t xml:space="preserve">Anexo </w:t>
      </w:r>
      <w:r w:rsidR="00FC30FD" w:rsidRPr="00E666A5">
        <w:rPr>
          <w:rFonts w:ascii="Arial" w:hAnsi="Arial" w:cs="Arial"/>
          <w:highlight w:val="cyan"/>
          <w:lang w:val="es-ES_tradnl"/>
        </w:rPr>
        <w:t>III</w:t>
      </w:r>
      <w:r w:rsidR="00C74CA6" w:rsidRPr="00E666A5">
        <w:rPr>
          <w:rFonts w:ascii="Arial" w:hAnsi="Arial" w:cs="Arial"/>
          <w:lang w:val="es-ES_tradnl"/>
        </w:rPr>
        <w:t>).</w:t>
      </w:r>
      <w:r w:rsidR="00C74CA6" w:rsidRPr="00E666A5" w:rsidDel="00533F01">
        <w:rPr>
          <w:rFonts w:ascii="Arial" w:hAnsi="Arial" w:cs="Arial"/>
          <w:lang w:val="es-ES_tradnl"/>
        </w:rPr>
        <w:t xml:space="preserve"> </w:t>
      </w:r>
    </w:p>
    <w:p w:rsidR="00B949DA" w:rsidRPr="00E666A5" w:rsidRDefault="00AD6232" w:rsidP="00B949DA">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Constitución FTC.</w:t>
      </w:r>
      <w:r w:rsidRPr="00E666A5">
        <w:rPr>
          <w:rFonts w:ascii="Arial" w:hAnsi="Arial" w:cs="Arial"/>
          <w:lang w:val="es-ES_tradnl"/>
        </w:rPr>
        <w:t xml:space="preserve"> </w:t>
      </w:r>
      <w:r w:rsidR="005B20BE" w:rsidRPr="00E666A5">
        <w:rPr>
          <w:rFonts w:ascii="Arial" w:hAnsi="Arial" w:cs="Arial"/>
          <w:lang w:val="es-ES_tradnl"/>
        </w:rPr>
        <w:t xml:space="preserve">Los </w:t>
      </w:r>
      <w:r w:rsidRPr="00E666A5">
        <w:rPr>
          <w:rFonts w:ascii="Arial" w:hAnsi="Arial" w:cs="Arial"/>
          <w:lang w:val="es-ES_tradnl"/>
        </w:rPr>
        <w:t>FTC será</w:t>
      </w:r>
      <w:r w:rsidR="005B20BE" w:rsidRPr="00E666A5">
        <w:rPr>
          <w:rFonts w:ascii="Arial" w:hAnsi="Arial" w:cs="Arial"/>
          <w:lang w:val="es-ES_tradnl"/>
        </w:rPr>
        <w:t>n</w:t>
      </w:r>
      <w:r w:rsidRPr="00E666A5">
        <w:rPr>
          <w:rFonts w:ascii="Arial" w:hAnsi="Arial" w:cs="Arial"/>
          <w:lang w:val="es-ES_tradnl"/>
        </w:rPr>
        <w:t xml:space="preserve"> constituido por la</w:t>
      </w:r>
      <w:r w:rsidR="005B20BE" w:rsidRPr="00E666A5">
        <w:rPr>
          <w:rFonts w:ascii="Arial" w:hAnsi="Arial" w:cs="Arial"/>
          <w:lang w:val="es-ES_tradnl"/>
        </w:rPr>
        <w:t>s</w:t>
      </w:r>
      <w:r w:rsidRPr="00E666A5">
        <w:rPr>
          <w:rFonts w:ascii="Arial" w:hAnsi="Arial" w:cs="Arial"/>
          <w:lang w:val="es-ES_tradnl"/>
        </w:rPr>
        <w:t xml:space="preserve"> IFI</w:t>
      </w:r>
      <w:r w:rsidR="005B20BE" w:rsidRPr="00E666A5">
        <w:rPr>
          <w:rFonts w:ascii="Arial" w:hAnsi="Arial" w:cs="Arial"/>
          <w:lang w:val="es-ES_tradnl"/>
        </w:rPr>
        <w:t>S</w:t>
      </w:r>
      <w:r w:rsidR="00E6363C" w:rsidRPr="00E666A5">
        <w:rPr>
          <w:rFonts w:ascii="Arial" w:hAnsi="Arial" w:cs="Arial"/>
          <w:lang w:val="es-ES_tradnl"/>
        </w:rPr>
        <w:t xml:space="preserve"> y dispondrá de un AF del FTC</w:t>
      </w:r>
      <w:r w:rsidRPr="00E666A5">
        <w:rPr>
          <w:rFonts w:ascii="Arial" w:hAnsi="Arial" w:cs="Arial"/>
          <w:lang w:val="es-ES_tradnl"/>
        </w:rPr>
        <w:t xml:space="preserve">. </w:t>
      </w:r>
      <w:r w:rsidRPr="00E666A5">
        <w:rPr>
          <w:rFonts w:ascii="Arial" w:hAnsi="Arial" w:cs="Arial"/>
          <w:highlight w:val="yellow"/>
          <w:lang w:val="es-ES_tradnl"/>
        </w:rPr>
        <w:t>Varias IFIS podrán constituir un mismo FTC</w:t>
      </w:r>
      <w:r w:rsidRPr="00E666A5">
        <w:rPr>
          <w:rFonts w:ascii="Arial" w:hAnsi="Arial" w:cs="Arial"/>
          <w:lang w:val="es-ES_tradnl"/>
        </w:rPr>
        <w:t xml:space="preserve">. Los FTC utilizarán Contratos de Fideicomisos de Titularización estándar que les serán proporcionados por la UCP al momento de consideras elegibles para el Programa. </w:t>
      </w:r>
      <w:r w:rsidR="0055178B" w:rsidRPr="00E666A5">
        <w:rPr>
          <w:rFonts w:ascii="Arial" w:hAnsi="Arial" w:cs="Arial"/>
          <w:lang w:val="es-ES_tradnl"/>
        </w:rPr>
        <w:t>El AF del FTC deberá ser una entidad pública, privada o mixta de reconocida solvencia y experiencia en el sector de las viviendas y en el manejo de esquemas de titulización.</w:t>
      </w:r>
    </w:p>
    <w:p w:rsidR="00E6363C" w:rsidRPr="00E666A5" w:rsidRDefault="00E6363C" w:rsidP="00E6363C">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Obligaciones del Agente Fiduciario (AF) del FTC.</w:t>
      </w:r>
      <w:r w:rsidRPr="00E666A5">
        <w:rPr>
          <w:rFonts w:ascii="Arial" w:hAnsi="Arial" w:cs="Arial"/>
          <w:lang w:val="es-ES_tradnl"/>
        </w:rPr>
        <w:t xml:space="preserve"> Entre otras obligaciones el AF del FTC tendrá la obligación de: (i) monitorear en forma constante el desempeño financiero de las IFI que han recibido recursos del programa, así como de la cartera aportada al FTC; (ii) llevar a cabo la operativa del FTC, incluyendo el registro y los pagos; (iii) suspender el acceso a fondos de las IFIS que incumplan este ROP; (iv) reportar debidamente al AF del FA.</w:t>
      </w:r>
    </w:p>
    <w:p w:rsidR="00B949DA" w:rsidRPr="00E666A5" w:rsidRDefault="00B949DA" w:rsidP="00B949DA">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Contrato entre el FTC y las IFIS.</w:t>
      </w:r>
      <w:r w:rsidRPr="00E666A5">
        <w:rPr>
          <w:rFonts w:ascii="Arial" w:hAnsi="Arial" w:cs="Arial"/>
          <w:lang w:val="es-ES_tradnl"/>
        </w:rPr>
        <w:t xml:space="preserve"> Este contrato estipulará, entre otros, la obligación de las IFIS para que, al vencimiento de los plazos de amortización por capital o intereses, hagan sus pagos consignando en la cuenta de ahorros o corriente habilitada por la AF de los FTC para el manejo de los recursos del fondo</w:t>
      </w:r>
      <w:r w:rsidR="00E6363C" w:rsidRPr="00E666A5">
        <w:rPr>
          <w:rFonts w:ascii="Arial" w:hAnsi="Arial" w:cs="Arial"/>
          <w:lang w:val="es-ES_tradnl"/>
        </w:rPr>
        <w:t>; así como las reglas de funcionamiento y de pago de las obligaciones del FTC hacia las IFIS, tal y como se describe en el punto siguiente.</w:t>
      </w:r>
    </w:p>
    <w:p w:rsidR="008038C3" w:rsidRPr="00E666A5" w:rsidRDefault="00476051" w:rsidP="001C54D8">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Funcionamiento</w:t>
      </w:r>
      <w:r w:rsidR="00AD6232" w:rsidRPr="00E666A5">
        <w:rPr>
          <w:rFonts w:ascii="Arial" w:hAnsi="Arial" w:cs="Arial"/>
          <w:b/>
          <w:lang w:val="es-ES_tradnl"/>
        </w:rPr>
        <w:t xml:space="preserve"> del mecanismo</w:t>
      </w:r>
      <w:r w:rsidRPr="00E666A5">
        <w:rPr>
          <w:rFonts w:ascii="Arial" w:hAnsi="Arial" w:cs="Arial"/>
          <w:b/>
          <w:lang w:val="es-ES_tradnl"/>
        </w:rPr>
        <w:t>.</w:t>
      </w:r>
      <w:r w:rsidRPr="00E666A5">
        <w:rPr>
          <w:rFonts w:ascii="Arial" w:hAnsi="Arial" w:cs="Arial"/>
          <w:lang w:val="es-ES_tradnl"/>
        </w:rPr>
        <w:t xml:space="preserve"> </w:t>
      </w:r>
      <w:r w:rsidR="00027301" w:rsidRPr="00E666A5">
        <w:rPr>
          <w:rFonts w:ascii="Arial" w:hAnsi="Arial" w:cs="Arial"/>
          <w:lang w:val="es-ES_tradnl"/>
        </w:rPr>
        <w:t>E</w:t>
      </w:r>
      <w:r w:rsidR="00A35EAA" w:rsidRPr="00E666A5">
        <w:rPr>
          <w:rFonts w:ascii="Arial" w:hAnsi="Arial" w:cs="Arial"/>
          <w:lang w:val="es-ES_tradnl"/>
        </w:rPr>
        <w:t>l FA</w:t>
      </w:r>
      <w:r w:rsidR="00027301" w:rsidRPr="00E666A5">
        <w:rPr>
          <w:rFonts w:ascii="Arial" w:hAnsi="Arial" w:cs="Arial"/>
          <w:lang w:val="es-ES_tradnl"/>
        </w:rPr>
        <w:t xml:space="preserve"> invertirá</w:t>
      </w:r>
      <w:r w:rsidR="00A35EAA" w:rsidRPr="00E666A5">
        <w:rPr>
          <w:rFonts w:ascii="Arial" w:hAnsi="Arial" w:cs="Arial"/>
          <w:lang w:val="es-ES_tradnl"/>
        </w:rPr>
        <w:t xml:space="preserve"> en el FTC un monto definido </w:t>
      </w:r>
      <w:r w:rsidR="001F2D56" w:rsidRPr="00E666A5">
        <w:rPr>
          <w:rFonts w:ascii="Arial" w:hAnsi="Arial" w:cs="Arial"/>
          <w:lang w:val="es-ES_tradnl"/>
        </w:rPr>
        <w:t xml:space="preserve">para cada </w:t>
      </w:r>
      <w:r w:rsidR="00AD6232" w:rsidRPr="00E666A5">
        <w:rPr>
          <w:rFonts w:ascii="Arial" w:hAnsi="Arial" w:cs="Arial"/>
          <w:lang w:val="es-ES_tradnl"/>
        </w:rPr>
        <w:t xml:space="preserve">institución participante </w:t>
      </w:r>
      <w:r w:rsidR="004A2677" w:rsidRPr="00E666A5">
        <w:rPr>
          <w:rFonts w:ascii="Arial" w:hAnsi="Arial" w:cs="Arial"/>
          <w:lang w:val="es-ES_tradnl"/>
        </w:rPr>
        <w:t xml:space="preserve">en el Plan de </w:t>
      </w:r>
      <w:r w:rsidRPr="00E666A5">
        <w:rPr>
          <w:rFonts w:ascii="Arial" w:hAnsi="Arial" w:cs="Arial"/>
          <w:lang w:val="es-ES_tradnl"/>
        </w:rPr>
        <w:t xml:space="preserve">Colocaciones </w:t>
      </w:r>
      <w:r w:rsidR="004A2677" w:rsidRPr="00E666A5">
        <w:rPr>
          <w:rFonts w:ascii="Arial" w:hAnsi="Arial" w:cs="Arial"/>
          <w:lang w:val="es-ES_tradnl"/>
        </w:rPr>
        <w:t>del FA</w:t>
      </w:r>
      <w:r w:rsidR="005B20BE" w:rsidRPr="00E666A5">
        <w:rPr>
          <w:rFonts w:ascii="Arial" w:hAnsi="Arial" w:cs="Arial"/>
          <w:lang w:val="es-ES_tradnl"/>
        </w:rPr>
        <w:t xml:space="preserve"> y establecerá un monto </w:t>
      </w:r>
      <w:r w:rsidR="00902445" w:rsidRPr="00E666A5">
        <w:rPr>
          <w:rFonts w:ascii="Arial" w:hAnsi="Arial" w:cs="Arial"/>
          <w:lang w:val="es-ES_tradnl"/>
        </w:rPr>
        <w:t xml:space="preserve">de acumulación </w:t>
      </w:r>
      <w:r w:rsidR="005B20BE" w:rsidRPr="00E666A5">
        <w:rPr>
          <w:rFonts w:ascii="Arial" w:hAnsi="Arial" w:cs="Arial"/>
          <w:lang w:val="es-ES_tradnl"/>
        </w:rPr>
        <w:t>objetivo de cartera hipotecaria VI</w:t>
      </w:r>
      <w:r w:rsidR="00902445" w:rsidRPr="00E666A5">
        <w:rPr>
          <w:rFonts w:ascii="Arial" w:hAnsi="Arial" w:cs="Arial"/>
          <w:lang w:val="es-ES_tradnl"/>
        </w:rPr>
        <w:t>P</w:t>
      </w:r>
      <w:r w:rsidR="005B20BE" w:rsidRPr="00E666A5">
        <w:rPr>
          <w:rFonts w:ascii="Arial" w:hAnsi="Arial" w:cs="Arial"/>
          <w:lang w:val="es-ES_tradnl"/>
        </w:rPr>
        <w:t xml:space="preserve">. </w:t>
      </w:r>
      <w:r w:rsidR="00A24F0C" w:rsidRPr="00E666A5">
        <w:rPr>
          <w:rFonts w:ascii="Arial" w:hAnsi="Arial" w:cs="Arial"/>
          <w:lang w:val="es-ES_tradnl"/>
        </w:rPr>
        <w:t>P</w:t>
      </w:r>
      <w:r w:rsidR="00986B8C" w:rsidRPr="00E666A5">
        <w:rPr>
          <w:rFonts w:ascii="Arial" w:hAnsi="Arial" w:cs="Arial"/>
          <w:lang w:val="es-ES_tradnl"/>
        </w:rPr>
        <w:t>ara las IFI</w:t>
      </w:r>
      <w:r w:rsidR="001C54D8" w:rsidRPr="00E666A5">
        <w:rPr>
          <w:rFonts w:ascii="Arial" w:hAnsi="Arial" w:cs="Arial"/>
          <w:lang w:val="es-ES_tradnl"/>
        </w:rPr>
        <w:t>S</w:t>
      </w:r>
      <w:r w:rsidR="00986B8C" w:rsidRPr="00E666A5">
        <w:rPr>
          <w:rFonts w:ascii="Arial" w:hAnsi="Arial" w:cs="Arial"/>
          <w:lang w:val="es-ES_tradnl"/>
        </w:rPr>
        <w:t xml:space="preserve"> que trabajen en modalidad de </w:t>
      </w:r>
      <w:r w:rsidR="00E33910" w:rsidRPr="00E666A5">
        <w:rPr>
          <w:rFonts w:ascii="Arial" w:hAnsi="Arial" w:cs="Arial"/>
          <w:lang w:val="es-ES_tradnl"/>
        </w:rPr>
        <w:t>i</w:t>
      </w:r>
      <w:r w:rsidR="005D413E" w:rsidRPr="00E666A5">
        <w:rPr>
          <w:rFonts w:ascii="Arial" w:hAnsi="Arial" w:cs="Arial"/>
          <w:lang w:val="es-ES_tradnl"/>
        </w:rPr>
        <w:t>nversión</w:t>
      </w:r>
      <w:r w:rsidR="00A24F0C" w:rsidRPr="00E666A5">
        <w:rPr>
          <w:rFonts w:ascii="Arial" w:hAnsi="Arial" w:cs="Arial"/>
          <w:lang w:val="es-ES_tradnl"/>
        </w:rPr>
        <w:t xml:space="preserve"> </w:t>
      </w:r>
      <w:r w:rsidR="00986B8C" w:rsidRPr="00E666A5">
        <w:rPr>
          <w:rFonts w:ascii="Arial" w:hAnsi="Arial" w:cs="Arial"/>
          <w:lang w:val="es-ES_tradnl"/>
        </w:rPr>
        <w:t>se distinguirán dos etapas:</w:t>
      </w:r>
    </w:p>
    <w:p w:rsidR="008038C3" w:rsidRPr="00E666A5" w:rsidRDefault="008038C3" w:rsidP="00073F74">
      <w:pPr>
        <w:pStyle w:val="ListParagraph"/>
        <w:numPr>
          <w:ilvl w:val="0"/>
          <w:numId w:val="11"/>
        </w:numPr>
        <w:spacing w:before="120" w:after="120" w:line="240" w:lineRule="auto"/>
        <w:ind w:left="1170"/>
        <w:contextualSpacing w:val="0"/>
        <w:jc w:val="both"/>
        <w:rPr>
          <w:rFonts w:ascii="Arial" w:hAnsi="Arial" w:cs="Arial"/>
          <w:lang w:val="es-ES_tradnl"/>
        </w:rPr>
      </w:pPr>
      <w:r w:rsidRPr="00E666A5">
        <w:rPr>
          <w:rFonts w:ascii="Arial" w:hAnsi="Arial" w:cs="Arial"/>
          <w:lang w:val="es-ES_tradnl"/>
        </w:rPr>
        <w:t xml:space="preserve">Etapa de Acumulación. </w:t>
      </w:r>
      <w:r w:rsidR="005B20BE" w:rsidRPr="00E666A5">
        <w:rPr>
          <w:rFonts w:ascii="Arial" w:hAnsi="Arial" w:cs="Arial"/>
          <w:lang w:val="es-ES_tradnl"/>
        </w:rPr>
        <w:t xml:space="preserve">La IFIS ceden al FTC el portafolio de créditos hipotecarios VIP en los términos y condiciones establecidos en el Contrato de Inversión. </w:t>
      </w:r>
      <w:r w:rsidRPr="00E666A5">
        <w:rPr>
          <w:rFonts w:ascii="Arial" w:hAnsi="Arial" w:cs="Arial"/>
          <w:lang w:val="es-ES_tradnl"/>
        </w:rPr>
        <w:t xml:space="preserve">Durante esta etapa la cartera que sea </w:t>
      </w:r>
      <w:r w:rsidR="005B20BE" w:rsidRPr="00E666A5">
        <w:rPr>
          <w:rFonts w:ascii="Arial" w:hAnsi="Arial" w:cs="Arial"/>
          <w:lang w:val="es-ES_tradnl"/>
        </w:rPr>
        <w:t xml:space="preserve">cedida de </w:t>
      </w:r>
      <w:r w:rsidRPr="00E666A5">
        <w:rPr>
          <w:rFonts w:ascii="Arial" w:hAnsi="Arial" w:cs="Arial"/>
          <w:lang w:val="es-ES_tradnl"/>
        </w:rPr>
        <w:t xml:space="preserve">la IFI </w:t>
      </w:r>
      <w:r w:rsidR="005B20BE" w:rsidRPr="00E666A5">
        <w:rPr>
          <w:rFonts w:ascii="Arial" w:hAnsi="Arial" w:cs="Arial"/>
          <w:lang w:val="es-ES_tradnl"/>
        </w:rPr>
        <w:t xml:space="preserve">al FTC </w:t>
      </w:r>
      <w:r w:rsidRPr="00E666A5">
        <w:rPr>
          <w:rFonts w:ascii="Arial" w:hAnsi="Arial" w:cs="Arial"/>
          <w:lang w:val="es-ES_tradnl"/>
        </w:rPr>
        <w:t>será pagada en dos partes: (i) un</w:t>
      </w:r>
      <w:r w:rsidR="006C1103" w:rsidRPr="00E666A5">
        <w:rPr>
          <w:rFonts w:ascii="Arial" w:hAnsi="Arial" w:cs="Arial"/>
          <w:lang w:val="es-ES_tradnl"/>
        </w:rPr>
        <w:t xml:space="preserve"> </w:t>
      </w:r>
      <w:r w:rsidR="006C1103" w:rsidRPr="00E666A5">
        <w:rPr>
          <w:rFonts w:ascii="Arial" w:hAnsi="Arial" w:cs="Arial"/>
          <w:highlight w:val="yellow"/>
          <w:lang w:val="es-ES_tradnl"/>
        </w:rPr>
        <w:t>AAA%</w:t>
      </w:r>
      <w:r w:rsidR="005B20BE" w:rsidRPr="00E666A5">
        <w:rPr>
          <w:rFonts w:ascii="Arial" w:hAnsi="Arial" w:cs="Arial"/>
          <w:highlight w:val="yellow"/>
          <w:lang w:val="es-ES_tradnl"/>
        </w:rPr>
        <w:t xml:space="preserve"> </w:t>
      </w:r>
      <w:r w:rsidRPr="00E666A5">
        <w:rPr>
          <w:rFonts w:ascii="Arial" w:hAnsi="Arial" w:cs="Arial"/>
          <w:lang w:val="es-ES_tradnl"/>
        </w:rPr>
        <w:t xml:space="preserve">en efectivo </w:t>
      </w:r>
      <w:r w:rsidR="005B20BE" w:rsidRPr="00E666A5">
        <w:rPr>
          <w:rFonts w:ascii="Arial" w:hAnsi="Arial" w:cs="Arial"/>
          <w:lang w:val="es-ES_tradnl"/>
        </w:rPr>
        <w:t xml:space="preserve">proveniente de </w:t>
      </w:r>
      <w:r w:rsidRPr="00E666A5">
        <w:rPr>
          <w:rFonts w:ascii="Arial" w:hAnsi="Arial" w:cs="Arial"/>
          <w:lang w:val="es-ES_tradnl"/>
        </w:rPr>
        <w:t xml:space="preserve">los fondos inversión </w:t>
      </w:r>
      <w:r w:rsidR="005B20BE" w:rsidRPr="00E666A5">
        <w:rPr>
          <w:rFonts w:ascii="Arial" w:hAnsi="Arial" w:cs="Arial"/>
          <w:lang w:val="es-ES_tradnl"/>
        </w:rPr>
        <w:t xml:space="preserve">por el </w:t>
      </w:r>
      <w:r w:rsidRPr="00E666A5">
        <w:rPr>
          <w:rFonts w:ascii="Arial" w:hAnsi="Arial" w:cs="Arial"/>
          <w:lang w:val="es-ES_tradnl"/>
        </w:rPr>
        <w:t>FA en el FTC; y (ii) </w:t>
      </w:r>
      <w:r w:rsidR="006C1103" w:rsidRPr="00E666A5">
        <w:rPr>
          <w:rFonts w:ascii="Arial" w:hAnsi="Arial" w:cs="Arial"/>
          <w:lang w:val="es-ES_tradnl"/>
        </w:rPr>
        <w:t xml:space="preserve">el resto </w:t>
      </w:r>
      <w:r w:rsidRPr="00E666A5">
        <w:rPr>
          <w:rFonts w:ascii="Arial" w:hAnsi="Arial" w:cs="Arial"/>
          <w:lang w:val="es-ES_tradnl"/>
        </w:rPr>
        <w:t xml:space="preserve">mediante un pagaré que devengará una tasa de interés del </w:t>
      </w:r>
      <w:r w:rsidRPr="00E666A5">
        <w:rPr>
          <w:rFonts w:ascii="Arial" w:hAnsi="Arial" w:cs="Arial"/>
          <w:highlight w:val="yellow"/>
          <w:lang w:val="es-ES_tradnl"/>
        </w:rPr>
        <w:t>CCC %</w:t>
      </w:r>
      <w:r w:rsidRPr="00E666A5">
        <w:rPr>
          <w:rFonts w:ascii="Arial" w:hAnsi="Arial" w:cs="Arial"/>
          <w:lang w:val="es-ES_tradnl"/>
        </w:rPr>
        <w:t xml:space="preserve">, sin plazo de vencimiento. </w:t>
      </w:r>
    </w:p>
    <w:p w:rsidR="00295744" w:rsidRPr="00E666A5" w:rsidRDefault="008038C3" w:rsidP="00244846">
      <w:pPr>
        <w:pStyle w:val="ListParagraph"/>
        <w:numPr>
          <w:ilvl w:val="0"/>
          <w:numId w:val="11"/>
        </w:numPr>
        <w:spacing w:before="120" w:after="120" w:line="240" w:lineRule="auto"/>
        <w:ind w:left="1170"/>
        <w:contextualSpacing w:val="0"/>
        <w:jc w:val="both"/>
        <w:rPr>
          <w:rFonts w:ascii="Arial" w:hAnsi="Arial" w:cs="Arial"/>
          <w:lang w:val="es-ES_tradnl"/>
        </w:rPr>
      </w:pPr>
      <w:r w:rsidRPr="00E666A5">
        <w:rPr>
          <w:rFonts w:ascii="Arial" w:hAnsi="Arial" w:cs="Arial"/>
          <w:lang w:val="es-ES_tradnl"/>
        </w:rPr>
        <w:lastRenderedPageBreak/>
        <w:t>Etapa de Inversión</w:t>
      </w:r>
      <w:r w:rsidR="005B20BE" w:rsidRPr="00E666A5">
        <w:rPr>
          <w:rFonts w:ascii="Arial" w:hAnsi="Arial" w:cs="Arial"/>
          <w:lang w:val="es-ES_tradnl"/>
        </w:rPr>
        <w:t xml:space="preserve"> o Titularización</w:t>
      </w:r>
      <w:r w:rsidRPr="00E666A5">
        <w:rPr>
          <w:rFonts w:ascii="Arial" w:hAnsi="Arial" w:cs="Arial"/>
          <w:lang w:val="es-ES_tradnl"/>
        </w:rPr>
        <w:t xml:space="preserve">. Esta etapa se iniciará tan pronto el FTC complete </w:t>
      </w:r>
      <w:r w:rsidR="00902445" w:rsidRPr="00E666A5">
        <w:rPr>
          <w:rFonts w:ascii="Arial" w:hAnsi="Arial" w:cs="Arial"/>
          <w:lang w:val="es-ES_tradnl"/>
        </w:rPr>
        <w:t xml:space="preserve">el monto de acumulación </w:t>
      </w:r>
      <w:r w:rsidRPr="00E666A5">
        <w:rPr>
          <w:rFonts w:ascii="Arial" w:hAnsi="Arial" w:cs="Arial"/>
          <w:lang w:val="es-ES_tradnl"/>
        </w:rPr>
        <w:t>objetivo</w:t>
      </w:r>
      <w:r w:rsidR="00902445" w:rsidRPr="00E666A5">
        <w:rPr>
          <w:rFonts w:ascii="Arial" w:hAnsi="Arial" w:cs="Arial"/>
          <w:lang w:val="es-ES_tradnl"/>
        </w:rPr>
        <w:t xml:space="preserve">. </w:t>
      </w:r>
      <w:r w:rsidR="00244846" w:rsidRPr="00E666A5">
        <w:rPr>
          <w:rFonts w:ascii="Arial" w:hAnsi="Arial" w:cs="Arial"/>
          <w:lang w:val="es-ES_tradnl"/>
        </w:rPr>
        <w:t xml:space="preserve">En esta etapa se realiza </w:t>
      </w:r>
      <w:r w:rsidRPr="00E666A5">
        <w:rPr>
          <w:rFonts w:ascii="Arial" w:hAnsi="Arial" w:cs="Arial"/>
          <w:lang w:val="es-ES_tradnl"/>
        </w:rPr>
        <w:t xml:space="preserve">la titularización de la cartera </w:t>
      </w:r>
      <w:r w:rsidR="00244846" w:rsidRPr="00E666A5">
        <w:rPr>
          <w:rFonts w:ascii="Arial" w:hAnsi="Arial" w:cs="Arial"/>
          <w:lang w:val="es-ES_tradnl"/>
        </w:rPr>
        <w:t xml:space="preserve">cedida por </w:t>
      </w:r>
      <w:r w:rsidRPr="00E666A5">
        <w:rPr>
          <w:rFonts w:ascii="Arial" w:hAnsi="Arial" w:cs="Arial"/>
          <w:lang w:val="es-ES_tradnl"/>
        </w:rPr>
        <w:t>la IFI</w:t>
      </w:r>
      <w:r w:rsidR="00244846" w:rsidRPr="00E666A5">
        <w:rPr>
          <w:rFonts w:ascii="Arial" w:hAnsi="Arial" w:cs="Arial"/>
          <w:lang w:val="es-ES_tradnl"/>
        </w:rPr>
        <w:t xml:space="preserve"> a través de </w:t>
      </w:r>
      <w:r w:rsidRPr="00E666A5">
        <w:rPr>
          <w:rFonts w:ascii="Arial" w:hAnsi="Arial" w:cs="Arial"/>
          <w:lang w:val="es-ES_tradnl"/>
        </w:rPr>
        <w:t>las siguientes Clases de Títulos: (i) un Título Senior Clase A; (ii) un Título Subordinado Clase B; y (iii) un título Subordinado Clase C.</w:t>
      </w:r>
      <w:r w:rsidR="00244846" w:rsidRPr="00E666A5">
        <w:rPr>
          <w:rFonts w:ascii="Arial" w:hAnsi="Arial" w:cs="Arial"/>
          <w:lang w:val="es-ES_tradnl"/>
        </w:rPr>
        <w:t xml:space="preserve"> </w:t>
      </w:r>
    </w:p>
    <w:p w:rsidR="00295744" w:rsidRPr="00E666A5" w:rsidRDefault="00295744" w:rsidP="00244846">
      <w:pPr>
        <w:pStyle w:val="ListParagraph"/>
        <w:numPr>
          <w:ilvl w:val="0"/>
          <w:numId w:val="29"/>
        </w:numPr>
        <w:spacing w:before="120" w:after="120" w:line="240" w:lineRule="auto"/>
        <w:ind w:left="1530" w:hanging="270"/>
        <w:contextualSpacing w:val="0"/>
        <w:jc w:val="both"/>
        <w:rPr>
          <w:rFonts w:ascii="Arial" w:hAnsi="Arial" w:cs="Arial"/>
          <w:lang w:val="es-ES_tradnl"/>
        </w:rPr>
      </w:pPr>
      <w:r w:rsidRPr="00E666A5">
        <w:rPr>
          <w:rFonts w:ascii="Arial" w:hAnsi="Arial" w:cs="Arial"/>
          <w:lang w:val="es-ES_tradnl"/>
        </w:rPr>
        <w:t xml:space="preserve">El FA, a cambio de todas las inversiones directas que realice para la compra de la cartera procedente de la IFI recibirá los Títulos Subordinados Clase C. </w:t>
      </w:r>
    </w:p>
    <w:p w:rsidR="00295744" w:rsidRPr="00E666A5" w:rsidRDefault="00295744" w:rsidP="00244846">
      <w:pPr>
        <w:pStyle w:val="ListParagraph"/>
        <w:numPr>
          <w:ilvl w:val="0"/>
          <w:numId w:val="29"/>
        </w:numPr>
        <w:spacing w:before="120" w:after="120" w:line="240" w:lineRule="auto"/>
        <w:ind w:left="1530" w:hanging="270"/>
        <w:contextualSpacing w:val="0"/>
        <w:jc w:val="both"/>
        <w:rPr>
          <w:rFonts w:ascii="Arial" w:hAnsi="Arial" w:cs="Arial"/>
          <w:lang w:val="es-ES_tradnl"/>
        </w:rPr>
      </w:pPr>
      <w:r w:rsidRPr="00E666A5">
        <w:rPr>
          <w:rFonts w:ascii="Arial" w:hAnsi="Arial" w:cs="Arial"/>
          <w:lang w:val="es-ES_tradnl"/>
        </w:rPr>
        <w:t>Las IFIS en pago de los saldos que quedaren luego de vender cartera al FTC, recibirán el Titulo Senior Clase A, y el titulo subordinado Clase B.</w:t>
      </w:r>
    </w:p>
    <w:p w:rsidR="00295744" w:rsidRPr="00E666A5" w:rsidRDefault="00295744" w:rsidP="00244846">
      <w:pPr>
        <w:pStyle w:val="ListParagraph"/>
        <w:numPr>
          <w:ilvl w:val="0"/>
          <w:numId w:val="29"/>
        </w:numPr>
        <w:spacing w:before="120" w:after="120" w:line="240" w:lineRule="auto"/>
        <w:ind w:left="1530" w:hanging="270"/>
        <w:contextualSpacing w:val="0"/>
        <w:jc w:val="both"/>
        <w:rPr>
          <w:rFonts w:ascii="Arial" w:hAnsi="Arial" w:cs="Arial"/>
          <w:lang w:val="es-ES_tradnl"/>
        </w:rPr>
      </w:pPr>
      <w:r w:rsidRPr="00E666A5">
        <w:rPr>
          <w:rFonts w:ascii="Arial" w:hAnsi="Arial" w:cs="Arial"/>
          <w:lang w:val="es-ES_tradnl"/>
        </w:rPr>
        <w:t xml:space="preserve">La proporción de Subordinación de los títulos, el plazo y el rendimiento de cada clase serán determinados por el OE, </w:t>
      </w:r>
      <w:r w:rsidRPr="00E666A5">
        <w:rPr>
          <w:rFonts w:ascii="Arial" w:hAnsi="Arial" w:cs="Arial"/>
          <w:highlight w:val="cyan"/>
          <w:lang w:val="es-ES_tradnl"/>
        </w:rPr>
        <w:t>Cuadro 1</w:t>
      </w:r>
      <w:r w:rsidRPr="00E666A5">
        <w:rPr>
          <w:rFonts w:ascii="Arial" w:hAnsi="Arial" w:cs="Arial"/>
          <w:lang w:val="es-ES_tradnl"/>
        </w:rPr>
        <w:t xml:space="preserve">. </w:t>
      </w:r>
    </w:p>
    <w:p w:rsidR="0037167A" w:rsidRPr="00E666A5" w:rsidRDefault="0037167A"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Restricciones. </w:t>
      </w:r>
      <w:r w:rsidRPr="00E666A5">
        <w:rPr>
          <w:rFonts w:ascii="Arial" w:hAnsi="Arial" w:cs="Arial"/>
          <w:lang w:val="es-ES_tradnl"/>
        </w:rPr>
        <w:t xml:space="preserve">Las siguientes restricciones aplican: </w:t>
      </w:r>
    </w:p>
    <w:p w:rsidR="00A21FE8" w:rsidRPr="00E666A5" w:rsidRDefault="00337171" w:rsidP="0037167A">
      <w:pPr>
        <w:pStyle w:val="ListParagraph"/>
        <w:numPr>
          <w:ilvl w:val="0"/>
          <w:numId w:val="31"/>
        </w:numPr>
        <w:spacing w:before="120" w:after="120" w:line="240" w:lineRule="auto"/>
        <w:ind w:left="1080"/>
        <w:jc w:val="both"/>
        <w:rPr>
          <w:rFonts w:ascii="Arial" w:hAnsi="Arial" w:cs="Arial"/>
          <w:lang w:val="es-ES_tradnl"/>
        </w:rPr>
      </w:pPr>
      <w:r w:rsidRPr="00E666A5">
        <w:rPr>
          <w:rFonts w:ascii="Arial" w:hAnsi="Arial" w:cs="Arial"/>
          <w:lang w:val="es-ES_tradnl"/>
        </w:rPr>
        <w:t>U</w:t>
      </w:r>
      <w:r w:rsidR="00A84DF2" w:rsidRPr="00E666A5">
        <w:rPr>
          <w:rFonts w:ascii="Arial" w:hAnsi="Arial" w:cs="Arial"/>
          <w:lang w:val="es-ES_tradnl"/>
        </w:rPr>
        <w:t>na misma IFI no podrá tener más de un FTC en fase de acumulación.</w:t>
      </w:r>
    </w:p>
    <w:p w:rsidR="0037167A" w:rsidRPr="00E666A5" w:rsidRDefault="0037167A" w:rsidP="0037167A">
      <w:pPr>
        <w:pStyle w:val="ListParagraph"/>
        <w:spacing w:before="120" w:after="120" w:line="240" w:lineRule="auto"/>
        <w:ind w:left="1080"/>
        <w:jc w:val="both"/>
        <w:rPr>
          <w:rFonts w:ascii="Arial" w:hAnsi="Arial" w:cs="Arial"/>
          <w:lang w:val="es-ES_tradnl"/>
        </w:rPr>
      </w:pPr>
    </w:p>
    <w:p w:rsidR="0037167A" w:rsidRPr="00E666A5" w:rsidRDefault="0037167A" w:rsidP="0037167A">
      <w:pPr>
        <w:pStyle w:val="ListParagraph"/>
        <w:numPr>
          <w:ilvl w:val="0"/>
          <w:numId w:val="31"/>
        </w:numPr>
        <w:spacing w:before="120" w:after="120" w:line="240" w:lineRule="auto"/>
        <w:ind w:left="1080"/>
        <w:jc w:val="both"/>
        <w:rPr>
          <w:rFonts w:ascii="Arial" w:hAnsi="Arial" w:cs="Arial"/>
          <w:lang w:val="es-ES_tradnl"/>
        </w:rPr>
      </w:pPr>
      <w:r w:rsidRPr="00E666A5">
        <w:rPr>
          <w:rFonts w:ascii="Arial" w:hAnsi="Arial" w:cs="Arial"/>
          <w:lang w:val="es-ES_tradnl"/>
        </w:rPr>
        <w:t>En ningún caso el cupo asignado a una misma IFI podrá superar el 15% de su Patrimonio Técnico disponible.</w:t>
      </w:r>
    </w:p>
    <w:p w:rsidR="0037167A" w:rsidRPr="00E666A5" w:rsidRDefault="0037167A" w:rsidP="0037167A">
      <w:pPr>
        <w:pStyle w:val="ListParagraph"/>
        <w:spacing w:before="120" w:after="120" w:line="240" w:lineRule="auto"/>
        <w:jc w:val="both"/>
        <w:rPr>
          <w:rFonts w:ascii="Arial" w:hAnsi="Arial" w:cs="Arial"/>
          <w:lang w:val="es-ES_tradnl"/>
        </w:rPr>
      </w:pPr>
    </w:p>
    <w:p w:rsidR="00A21FE8" w:rsidRPr="00E666A5" w:rsidRDefault="00E101F3"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Requerimientos de información. </w:t>
      </w:r>
      <w:r w:rsidR="00A21FE8" w:rsidRPr="00E666A5">
        <w:rPr>
          <w:rFonts w:ascii="Arial" w:hAnsi="Arial" w:cs="Arial"/>
          <w:lang w:val="es-ES_tradnl"/>
        </w:rPr>
        <w:t>Las IFI</w:t>
      </w:r>
      <w:r w:rsidRPr="00E666A5">
        <w:rPr>
          <w:rFonts w:ascii="Arial" w:hAnsi="Arial" w:cs="Arial"/>
          <w:lang w:val="es-ES_tradnl"/>
        </w:rPr>
        <w:t>S</w:t>
      </w:r>
      <w:r w:rsidR="00A21FE8" w:rsidRPr="00E666A5">
        <w:rPr>
          <w:rFonts w:ascii="Arial" w:hAnsi="Arial" w:cs="Arial"/>
          <w:lang w:val="es-ES_tradnl"/>
        </w:rPr>
        <w:t xml:space="preserve"> podrán solicitar al FA </w:t>
      </w:r>
      <w:r w:rsidRPr="00E666A5">
        <w:rPr>
          <w:rFonts w:ascii="Arial" w:hAnsi="Arial" w:cs="Arial"/>
          <w:lang w:val="es-ES_tradnl"/>
        </w:rPr>
        <w:t>y</w:t>
      </w:r>
      <w:r w:rsidR="00A21FE8" w:rsidRPr="00E666A5">
        <w:rPr>
          <w:rFonts w:ascii="Arial" w:hAnsi="Arial" w:cs="Arial"/>
          <w:lang w:val="es-ES_tradnl"/>
        </w:rPr>
        <w:t xml:space="preserve"> a los FTC el desembolso de los recursos una vez que presente</w:t>
      </w:r>
      <w:r w:rsidRPr="00E666A5">
        <w:rPr>
          <w:rFonts w:ascii="Arial" w:hAnsi="Arial" w:cs="Arial"/>
          <w:lang w:val="es-ES_tradnl"/>
        </w:rPr>
        <w:t>n</w:t>
      </w:r>
      <w:r w:rsidR="00A21FE8" w:rsidRPr="00E666A5">
        <w:rPr>
          <w:rFonts w:ascii="Arial" w:hAnsi="Arial" w:cs="Arial"/>
          <w:lang w:val="es-ES_tradnl"/>
        </w:rPr>
        <w:t xml:space="preserve"> información de la hipoteca o hipotecas constituidas</w:t>
      </w:r>
      <w:r w:rsidR="0037167A" w:rsidRPr="00E666A5">
        <w:rPr>
          <w:rFonts w:ascii="Arial" w:hAnsi="Arial" w:cs="Arial"/>
          <w:lang w:val="es-ES_tradnl"/>
        </w:rPr>
        <w:t xml:space="preserve"> siguiendo el Contrato de Inversión.</w:t>
      </w:r>
      <w:r w:rsidR="00A21FE8" w:rsidRPr="00E666A5">
        <w:rPr>
          <w:rFonts w:ascii="Arial" w:hAnsi="Arial" w:cs="Arial"/>
          <w:lang w:val="es-ES_tradnl"/>
        </w:rPr>
        <w:t xml:space="preserve"> </w:t>
      </w:r>
      <w:r w:rsidR="001F2D56" w:rsidRPr="00E666A5">
        <w:rPr>
          <w:rFonts w:ascii="Arial" w:hAnsi="Arial" w:cs="Arial"/>
          <w:lang w:val="es-ES_tradnl"/>
        </w:rPr>
        <w:t>En el mecanismo de Redescuento e</w:t>
      </w:r>
      <w:r w:rsidR="00A21FE8" w:rsidRPr="00E666A5">
        <w:rPr>
          <w:rFonts w:ascii="Arial" w:hAnsi="Arial" w:cs="Arial"/>
          <w:lang w:val="es-ES_tradnl"/>
        </w:rPr>
        <w:t xml:space="preserve">l </w:t>
      </w:r>
      <w:r w:rsidR="0037167A" w:rsidRPr="00E666A5">
        <w:rPr>
          <w:rFonts w:ascii="Arial" w:hAnsi="Arial" w:cs="Arial"/>
          <w:lang w:val="es-ES_tradnl"/>
        </w:rPr>
        <w:t xml:space="preserve">AF del FA </w:t>
      </w:r>
      <w:r w:rsidR="00A21FE8" w:rsidRPr="00E666A5">
        <w:rPr>
          <w:rFonts w:ascii="Arial" w:hAnsi="Arial" w:cs="Arial"/>
          <w:lang w:val="es-ES_tradnl"/>
        </w:rPr>
        <w:t>podrá desembolsar los recursos a las IFIS para operaciones individuales o para grupos de operaciones.</w:t>
      </w:r>
    </w:p>
    <w:p w:rsidR="00B949DA" w:rsidRPr="00E666A5" w:rsidRDefault="00A84DF2" w:rsidP="00B949DA">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Administración de Cartera.</w:t>
      </w:r>
      <w:r w:rsidRPr="00E666A5">
        <w:rPr>
          <w:rFonts w:ascii="Arial" w:hAnsi="Arial" w:cs="Arial"/>
          <w:lang w:val="es-ES_tradnl"/>
        </w:rPr>
        <w:t xml:space="preserve"> Sin perjuicio de vender cartera hipotecaria</w:t>
      </w:r>
      <w:r w:rsidR="001F2D56" w:rsidRPr="00E666A5">
        <w:rPr>
          <w:rFonts w:ascii="Arial" w:hAnsi="Arial" w:cs="Arial"/>
          <w:lang w:val="es-ES_tradnl"/>
        </w:rPr>
        <w:t xml:space="preserve"> a </w:t>
      </w:r>
      <w:r w:rsidRPr="00E666A5">
        <w:rPr>
          <w:rFonts w:ascii="Arial" w:hAnsi="Arial" w:cs="Arial"/>
          <w:lang w:val="es-ES_tradnl"/>
        </w:rPr>
        <w:t>los FTC, la IFI seguirá siendo responsable de la gestión de operación, administración y cobro de las carteras para lo cual firmará con el FTC, un contrato como administrador de cartera. Las estipulaciones de este contrato fijarán las obligaciones de las IFI respecto a esta administración, la remuneración por su ejecución, y las penalidades por incumplimiento o mala gestión</w:t>
      </w:r>
      <w:r w:rsidR="00EE0005" w:rsidRPr="00E666A5">
        <w:rPr>
          <w:rFonts w:ascii="Arial" w:hAnsi="Arial" w:cs="Arial"/>
          <w:lang w:val="es-ES_tradnl"/>
        </w:rPr>
        <w:t>.</w:t>
      </w:r>
    </w:p>
    <w:p w:rsidR="00B949DA" w:rsidRPr="00E666A5" w:rsidRDefault="00B949DA" w:rsidP="00B949DA">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Venta de Cartera de las IFIS al FTC.</w:t>
      </w:r>
      <w:r w:rsidRPr="00E666A5">
        <w:rPr>
          <w:rFonts w:ascii="Arial" w:hAnsi="Arial" w:cs="Arial"/>
          <w:lang w:val="es-ES_tradnl"/>
        </w:rPr>
        <w:t xml:space="preserve"> La venta de cartera por parte de las IFIS a los FTC implica la cesión total por parte de la IFI de las garantías hipotecarias y los derechos sobre dicha cartera incluyendo intereses, comisiones y otros ingresos. La IFI garantiza la existencia y exigibilidad de los créditos que se ceden, así como la solvencia de los deudores cedidos.  </w:t>
      </w:r>
    </w:p>
    <w:p w:rsidR="00EE0005" w:rsidRPr="00E666A5" w:rsidRDefault="00EE0005"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Cupos para operaciones de Inversión por IFI.</w:t>
      </w:r>
      <w:r w:rsidRPr="00E666A5">
        <w:rPr>
          <w:rFonts w:ascii="Arial" w:hAnsi="Arial" w:cs="Arial"/>
          <w:lang w:val="es-ES_tradnl"/>
        </w:rPr>
        <w:t xml:space="preserve"> Dado que el objeto de este </w:t>
      </w:r>
      <w:r w:rsidR="00EA06FA" w:rsidRPr="00E666A5">
        <w:rPr>
          <w:rFonts w:ascii="Arial" w:hAnsi="Arial" w:cs="Arial"/>
          <w:lang w:val="es-ES_tradnl"/>
        </w:rPr>
        <w:t>p</w:t>
      </w:r>
      <w:r w:rsidRPr="00E666A5">
        <w:rPr>
          <w:rFonts w:ascii="Arial" w:hAnsi="Arial" w:cs="Arial"/>
          <w:lang w:val="es-ES_tradnl"/>
        </w:rPr>
        <w:t xml:space="preserve">rograma es alcanzar la mayor cobertura geográfica posible y llegar al mayor número de núcleos familiares de país, se ha determinado el siguiente </w:t>
      </w:r>
      <w:r w:rsidR="005D6347" w:rsidRPr="00E666A5">
        <w:rPr>
          <w:rFonts w:ascii="Arial" w:hAnsi="Arial" w:cs="Arial"/>
          <w:lang w:val="es-ES_tradnl"/>
        </w:rPr>
        <w:t>P</w:t>
      </w:r>
      <w:r w:rsidRPr="00E666A5">
        <w:rPr>
          <w:rFonts w:ascii="Arial" w:hAnsi="Arial" w:cs="Arial"/>
          <w:lang w:val="es-ES_tradnl"/>
        </w:rPr>
        <w:t xml:space="preserve">lan de </w:t>
      </w:r>
      <w:r w:rsidR="005D6347" w:rsidRPr="00E666A5">
        <w:rPr>
          <w:rFonts w:ascii="Arial" w:hAnsi="Arial" w:cs="Arial"/>
          <w:lang w:val="es-ES_tradnl"/>
        </w:rPr>
        <w:t>C</w:t>
      </w:r>
      <w:r w:rsidRPr="00E666A5">
        <w:rPr>
          <w:rFonts w:ascii="Arial" w:hAnsi="Arial" w:cs="Arial"/>
          <w:lang w:val="es-ES_tradnl"/>
        </w:rPr>
        <w:t>upos:</w:t>
      </w:r>
    </w:p>
    <w:p w:rsidR="00EE0005" w:rsidRPr="00E666A5" w:rsidRDefault="00EE0005" w:rsidP="00073F74">
      <w:pPr>
        <w:pStyle w:val="ListParagraph"/>
        <w:numPr>
          <w:ilvl w:val="0"/>
          <w:numId w:val="13"/>
        </w:numPr>
        <w:spacing w:before="120" w:after="120" w:line="240" w:lineRule="auto"/>
        <w:contextualSpacing w:val="0"/>
        <w:jc w:val="both"/>
        <w:rPr>
          <w:rFonts w:ascii="Arial" w:hAnsi="Arial" w:cs="Arial"/>
          <w:lang w:val="es-ES_tradnl"/>
        </w:rPr>
      </w:pPr>
      <w:r w:rsidRPr="00E666A5">
        <w:rPr>
          <w:rFonts w:ascii="Arial" w:hAnsi="Arial" w:cs="Arial"/>
          <w:lang w:val="es-ES_tradnl"/>
        </w:rPr>
        <w:t xml:space="preserve">Las instituciones financieras que tienen cobertura nacional podrán recibir cupos de inversión, vía FTC exclusivamente, de </w:t>
      </w:r>
      <w:r w:rsidRPr="00E666A5">
        <w:rPr>
          <w:rFonts w:ascii="Arial" w:hAnsi="Arial" w:cs="Arial"/>
          <w:highlight w:val="yellow"/>
          <w:lang w:val="es-ES_tradnl"/>
        </w:rPr>
        <w:t>US$XXX MM</w:t>
      </w:r>
      <w:r w:rsidRPr="00E666A5">
        <w:rPr>
          <w:rFonts w:ascii="Arial" w:hAnsi="Arial" w:cs="Arial"/>
          <w:lang w:val="es-ES_tradnl"/>
        </w:rPr>
        <w:t xml:space="preserve"> por cada parroquia urbana y de </w:t>
      </w:r>
      <w:r w:rsidRPr="00E666A5">
        <w:rPr>
          <w:rFonts w:ascii="Arial" w:hAnsi="Arial" w:cs="Arial"/>
          <w:highlight w:val="yellow"/>
          <w:lang w:val="es-ES_tradnl"/>
        </w:rPr>
        <w:t>YY MM</w:t>
      </w:r>
      <w:r w:rsidRPr="00E666A5">
        <w:rPr>
          <w:rFonts w:ascii="Arial" w:hAnsi="Arial" w:cs="Arial"/>
          <w:lang w:val="es-ES_tradnl"/>
        </w:rPr>
        <w:t xml:space="preserve"> por cada parroquia rural en la que tengan presencia física (agencia o sucursal). </w:t>
      </w:r>
    </w:p>
    <w:p w:rsidR="00EE0005" w:rsidRPr="00E666A5" w:rsidRDefault="00EE0005" w:rsidP="00073F74">
      <w:pPr>
        <w:pStyle w:val="ListParagraph"/>
        <w:numPr>
          <w:ilvl w:val="0"/>
          <w:numId w:val="13"/>
        </w:numPr>
        <w:spacing w:before="120" w:after="120" w:line="240" w:lineRule="auto"/>
        <w:contextualSpacing w:val="0"/>
        <w:jc w:val="both"/>
        <w:rPr>
          <w:rFonts w:ascii="Arial" w:hAnsi="Arial" w:cs="Arial"/>
          <w:lang w:val="es-ES_tradnl"/>
        </w:rPr>
      </w:pPr>
      <w:r w:rsidRPr="00E666A5">
        <w:rPr>
          <w:rFonts w:ascii="Arial" w:hAnsi="Arial" w:cs="Arial"/>
          <w:lang w:val="es-ES_tradnl"/>
        </w:rPr>
        <w:t xml:space="preserve">Las IFIS que tengan presencia sólo en una provincia o Cantón podrán recibir cupos de inversión de </w:t>
      </w:r>
      <w:r w:rsidRPr="00E666A5">
        <w:rPr>
          <w:rFonts w:ascii="Arial" w:hAnsi="Arial" w:cs="Arial"/>
          <w:highlight w:val="yellow"/>
          <w:lang w:val="es-ES_tradnl"/>
        </w:rPr>
        <w:t>XXX MM.</w:t>
      </w:r>
    </w:p>
    <w:p w:rsidR="00713460" w:rsidRPr="00E666A5" w:rsidRDefault="00EE0005" w:rsidP="0081519E">
      <w:pPr>
        <w:pStyle w:val="Heading1"/>
        <w:numPr>
          <w:ilvl w:val="0"/>
          <w:numId w:val="28"/>
        </w:numPr>
        <w:spacing w:after="240" w:line="240" w:lineRule="auto"/>
        <w:ind w:left="720" w:hanging="727"/>
        <w:jc w:val="both"/>
        <w:rPr>
          <w:rFonts w:ascii="Arial" w:hAnsi="Arial" w:cs="Arial"/>
          <w:b/>
          <w:sz w:val="22"/>
          <w:szCs w:val="22"/>
          <w:lang w:val="es-ES_tradnl"/>
        </w:rPr>
      </w:pPr>
      <w:bookmarkStart w:id="7" w:name="_Toc528941815"/>
      <w:r w:rsidRPr="00E666A5">
        <w:rPr>
          <w:rFonts w:ascii="Arial" w:hAnsi="Arial" w:cs="Arial"/>
          <w:b/>
          <w:smallCaps/>
          <w:sz w:val="22"/>
          <w:szCs w:val="22"/>
          <w:lang w:val="es-ES_tradnl"/>
        </w:rPr>
        <w:lastRenderedPageBreak/>
        <w:t xml:space="preserve">Condiciones de elegibilidad </w:t>
      </w:r>
      <w:r w:rsidR="00D01C09" w:rsidRPr="00E666A5">
        <w:rPr>
          <w:rFonts w:ascii="Arial" w:hAnsi="Arial" w:cs="Arial"/>
          <w:b/>
          <w:smallCaps/>
          <w:sz w:val="22"/>
          <w:szCs w:val="22"/>
          <w:lang w:val="es-ES_tradnl"/>
        </w:rPr>
        <w:t xml:space="preserve">e información </w:t>
      </w:r>
      <w:r w:rsidR="00EA06FA" w:rsidRPr="00E666A5">
        <w:rPr>
          <w:rFonts w:ascii="Arial" w:hAnsi="Arial" w:cs="Arial"/>
          <w:b/>
          <w:smallCaps/>
          <w:sz w:val="22"/>
          <w:szCs w:val="22"/>
          <w:lang w:val="es-ES_tradnl"/>
        </w:rPr>
        <w:t xml:space="preserve">de las </w:t>
      </w:r>
      <w:r w:rsidR="00C74CA6" w:rsidRPr="00E666A5">
        <w:rPr>
          <w:rFonts w:ascii="Arial" w:hAnsi="Arial" w:cs="Arial"/>
          <w:b/>
          <w:smallCaps/>
          <w:sz w:val="22"/>
          <w:szCs w:val="22"/>
          <w:lang w:val="es-ES_tradnl"/>
        </w:rPr>
        <w:t>IFI</w:t>
      </w:r>
      <w:bookmarkStart w:id="8" w:name="_Hlk528918429"/>
      <w:bookmarkEnd w:id="7"/>
    </w:p>
    <w:bookmarkEnd w:id="8"/>
    <w:p w:rsidR="00F415B4" w:rsidRPr="00E666A5" w:rsidRDefault="00713460" w:rsidP="0081519E">
      <w:pPr>
        <w:pStyle w:val="ListParagraph"/>
        <w:numPr>
          <w:ilvl w:val="1"/>
          <w:numId w:val="28"/>
        </w:numPr>
        <w:spacing w:before="120" w:after="120" w:line="240" w:lineRule="auto"/>
        <w:ind w:left="720" w:hanging="720"/>
        <w:jc w:val="both"/>
        <w:rPr>
          <w:rFonts w:ascii="Arial" w:hAnsi="Arial" w:cs="Arial"/>
          <w:lang w:val="es-ES_tradnl"/>
        </w:rPr>
      </w:pPr>
      <w:r w:rsidRPr="00E666A5">
        <w:rPr>
          <w:rFonts w:ascii="Arial" w:hAnsi="Arial" w:cs="Arial"/>
          <w:b/>
          <w:lang w:val="es-ES_tradnl"/>
        </w:rPr>
        <w:t>IFI elegibles.</w:t>
      </w:r>
      <w:r w:rsidRPr="00E666A5">
        <w:rPr>
          <w:rFonts w:ascii="Arial" w:hAnsi="Arial" w:cs="Arial"/>
          <w:lang w:val="es-ES_tradnl"/>
        </w:rPr>
        <w:t xml:space="preserve"> Para ser elegibles para intermediar recursos bajo el programa, las IFI deberán </w:t>
      </w:r>
      <w:r w:rsidR="0007239F" w:rsidRPr="00E666A5">
        <w:rPr>
          <w:rFonts w:ascii="Arial" w:hAnsi="Arial" w:cs="Arial"/>
          <w:lang w:val="es-ES_tradnl"/>
        </w:rPr>
        <w:t>ser declaradas como elegibles por parte de su Ente Rector correspond</w:t>
      </w:r>
      <w:r w:rsidR="000C0D12" w:rsidRPr="00E666A5">
        <w:rPr>
          <w:rFonts w:ascii="Arial" w:hAnsi="Arial" w:cs="Arial"/>
          <w:lang w:val="es-ES_tradnl"/>
        </w:rPr>
        <w:t>ien</w:t>
      </w:r>
      <w:r w:rsidR="0007239F" w:rsidRPr="00E666A5">
        <w:rPr>
          <w:rFonts w:ascii="Arial" w:hAnsi="Arial" w:cs="Arial"/>
          <w:lang w:val="es-ES_tradnl"/>
        </w:rPr>
        <w:t>t</w:t>
      </w:r>
      <w:r w:rsidR="000C0D12" w:rsidRPr="00E666A5">
        <w:rPr>
          <w:rFonts w:ascii="Arial" w:hAnsi="Arial" w:cs="Arial"/>
          <w:lang w:val="es-ES_tradnl"/>
        </w:rPr>
        <w:t>e</w:t>
      </w:r>
      <w:r w:rsidR="00E254C4" w:rsidRPr="00E666A5">
        <w:rPr>
          <w:rFonts w:ascii="Arial" w:hAnsi="Arial" w:cs="Arial"/>
          <w:lang w:val="es-ES_tradnl"/>
        </w:rPr>
        <w:t>;</w:t>
      </w:r>
      <w:r w:rsidR="000C0D12" w:rsidRPr="00E666A5">
        <w:rPr>
          <w:rFonts w:ascii="Arial" w:hAnsi="Arial" w:cs="Arial"/>
          <w:lang w:val="es-ES_tradnl"/>
        </w:rPr>
        <w:t xml:space="preserve"> </w:t>
      </w:r>
      <w:r w:rsidR="00E254C4" w:rsidRPr="00E666A5">
        <w:rPr>
          <w:rFonts w:ascii="Arial" w:hAnsi="Arial" w:cs="Arial"/>
          <w:lang w:val="es-ES_tradnl"/>
        </w:rPr>
        <w:t>d</w:t>
      </w:r>
      <w:r w:rsidR="00945F74" w:rsidRPr="00E666A5">
        <w:rPr>
          <w:rFonts w:ascii="Arial" w:hAnsi="Arial" w:cs="Arial"/>
          <w:lang w:val="es-ES_tradnl"/>
        </w:rPr>
        <w:t>eberán</w:t>
      </w:r>
      <w:r w:rsidR="0007239F" w:rsidRPr="00E666A5">
        <w:rPr>
          <w:rFonts w:ascii="Arial" w:hAnsi="Arial" w:cs="Arial"/>
          <w:lang w:val="es-ES_tradnl"/>
        </w:rPr>
        <w:t xml:space="preserve"> </w:t>
      </w:r>
      <w:r w:rsidR="00945F74" w:rsidRPr="00E666A5">
        <w:rPr>
          <w:rFonts w:ascii="Arial" w:hAnsi="Arial" w:cs="Arial"/>
          <w:lang w:val="es-ES_tradnl"/>
        </w:rPr>
        <w:t>además</w:t>
      </w:r>
      <w:r w:rsidR="0007239F" w:rsidRPr="00E666A5">
        <w:rPr>
          <w:rFonts w:ascii="Arial" w:hAnsi="Arial" w:cs="Arial"/>
          <w:lang w:val="es-ES_tradnl"/>
        </w:rPr>
        <w:t xml:space="preserve"> poseer </w:t>
      </w:r>
      <w:r w:rsidRPr="00E666A5">
        <w:rPr>
          <w:rFonts w:ascii="Arial" w:hAnsi="Arial" w:cs="Arial"/>
          <w:lang w:val="es-ES_tradnl"/>
        </w:rPr>
        <w:t>calificaciones emitidas por las Calificadoras de Riesgo autorizadas por los organismos de control (SB y SEPS) y publicadas por ellas</w:t>
      </w:r>
      <w:r w:rsidR="0007239F" w:rsidRPr="00E666A5">
        <w:rPr>
          <w:rFonts w:ascii="Arial" w:hAnsi="Arial" w:cs="Arial"/>
          <w:lang w:val="es-ES_tradnl"/>
        </w:rPr>
        <w:t>, superiores a BBB</w:t>
      </w:r>
      <w:r w:rsidRPr="00E666A5">
        <w:rPr>
          <w:rFonts w:ascii="Arial" w:hAnsi="Arial" w:cs="Arial"/>
          <w:lang w:val="es-ES_tradnl"/>
        </w:rPr>
        <w:t xml:space="preserve">. </w:t>
      </w:r>
      <w:r w:rsidR="00B533FE" w:rsidRPr="00E666A5">
        <w:rPr>
          <w:rFonts w:ascii="Arial" w:hAnsi="Arial" w:cs="Arial"/>
          <w:lang w:val="es-ES_tradnl"/>
        </w:rPr>
        <w:t xml:space="preserve">En caso de que la IFI pierda su calificación y ésta se sitúe debajo de la categoría BBB, automáticamente pierde el derecho a intermediar más recursos del programa y el UCP </w:t>
      </w:r>
      <w:r w:rsidR="00945F74" w:rsidRPr="00E666A5">
        <w:rPr>
          <w:rFonts w:ascii="Arial" w:hAnsi="Arial" w:cs="Arial"/>
          <w:lang w:val="es-ES_tradnl"/>
        </w:rPr>
        <w:t>podrá</w:t>
      </w:r>
      <w:r w:rsidR="00B533FE" w:rsidRPr="00E666A5">
        <w:rPr>
          <w:rFonts w:ascii="Arial" w:hAnsi="Arial" w:cs="Arial"/>
          <w:lang w:val="es-ES_tradnl"/>
        </w:rPr>
        <w:t xml:space="preserve"> determinar que la cartera adquirida de dicha IFI, si se encuentra en Fase de </w:t>
      </w:r>
      <w:r w:rsidR="00945F74" w:rsidRPr="00E666A5">
        <w:rPr>
          <w:rFonts w:ascii="Arial" w:hAnsi="Arial" w:cs="Arial"/>
          <w:lang w:val="es-ES_tradnl"/>
        </w:rPr>
        <w:t>Acumulación</w:t>
      </w:r>
      <w:r w:rsidR="00B533FE" w:rsidRPr="00E666A5">
        <w:rPr>
          <w:rFonts w:ascii="Arial" w:hAnsi="Arial" w:cs="Arial"/>
          <w:lang w:val="es-ES_tradnl"/>
        </w:rPr>
        <w:t xml:space="preserve">, sea devuelta a la IFI afectada. Esta </w:t>
      </w:r>
      <w:r w:rsidR="00945F74" w:rsidRPr="00E666A5">
        <w:rPr>
          <w:rFonts w:ascii="Arial" w:hAnsi="Arial" w:cs="Arial"/>
          <w:lang w:val="es-ES_tradnl"/>
        </w:rPr>
        <w:t>estipulación</w:t>
      </w:r>
      <w:r w:rsidR="00B533FE" w:rsidRPr="00E666A5">
        <w:rPr>
          <w:rFonts w:ascii="Arial" w:hAnsi="Arial" w:cs="Arial"/>
          <w:lang w:val="es-ES_tradnl"/>
        </w:rPr>
        <w:t xml:space="preserve"> constara en el contrato respectivo a formarse entre la UCP y cada IFI</w:t>
      </w:r>
      <w:r w:rsidR="00E254C4" w:rsidRPr="00E666A5">
        <w:rPr>
          <w:rFonts w:ascii="Arial" w:hAnsi="Arial" w:cs="Arial"/>
          <w:lang w:val="es-ES_tradnl"/>
        </w:rPr>
        <w:t xml:space="preserve">S. </w:t>
      </w:r>
      <w:r w:rsidR="00533F01" w:rsidRPr="00E666A5">
        <w:rPr>
          <w:rFonts w:ascii="Arial" w:hAnsi="Arial" w:cs="Arial"/>
          <w:lang w:val="es-ES_tradnl"/>
        </w:rPr>
        <w:t>Adicionalmente, para que las instituciones intermediarias financieras puedan mantenerse como IFI</w:t>
      </w:r>
      <w:r w:rsidR="00E254C4" w:rsidRPr="00E666A5">
        <w:rPr>
          <w:rFonts w:ascii="Arial" w:hAnsi="Arial" w:cs="Arial"/>
          <w:lang w:val="es-ES_tradnl"/>
        </w:rPr>
        <w:t>S</w:t>
      </w:r>
      <w:r w:rsidR="00533F01" w:rsidRPr="00E666A5">
        <w:rPr>
          <w:rFonts w:ascii="Arial" w:hAnsi="Arial" w:cs="Arial"/>
          <w:lang w:val="es-ES_tradnl"/>
        </w:rPr>
        <w:t xml:space="preserve"> bajo el Programa deberán cumplir con todas las evaluaciones y los parámetros establecidos en las normas que rigen el mismo</w:t>
      </w:r>
      <w:r w:rsidR="00335983" w:rsidRPr="00E666A5">
        <w:rPr>
          <w:rFonts w:ascii="Arial" w:hAnsi="Arial" w:cs="Arial"/>
          <w:lang w:val="es-ES_tradnl"/>
        </w:rPr>
        <w:t>.</w:t>
      </w:r>
    </w:p>
    <w:p w:rsidR="00D01C09" w:rsidRPr="00E666A5" w:rsidRDefault="00D01C09" w:rsidP="00D01C09">
      <w:pPr>
        <w:pStyle w:val="ListParagraph"/>
        <w:spacing w:before="120" w:after="120" w:line="240" w:lineRule="auto"/>
        <w:jc w:val="both"/>
        <w:rPr>
          <w:rFonts w:ascii="Arial" w:hAnsi="Arial" w:cs="Arial"/>
          <w:lang w:val="es-ES_tradnl"/>
        </w:rPr>
      </w:pPr>
    </w:p>
    <w:p w:rsidR="00D01C09" w:rsidRPr="00E666A5" w:rsidRDefault="00D01C09" w:rsidP="00D01C09">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Obligaciones de Información de las IFIS. </w:t>
      </w:r>
      <w:r w:rsidRPr="00E666A5">
        <w:rPr>
          <w:rFonts w:ascii="Arial" w:hAnsi="Arial" w:cs="Arial"/>
          <w:lang w:val="es-ES_tradnl"/>
        </w:rPr>
        <w:t>Las IFI seguirán siendo responsables de la administración de las carteras, tienen la obligación de mantener un adecuado sistema de información de los registros contables y de la cartera de créditos hipotecarios para vivienda, generada y trasladada al FA o la los FTC con los recursos de la línea de inversión. También deberán proporcionar la información que requiera la UCP del MEF o el AF del FA o de los FTC. En caso de incumplimiento, se suspenderán los desembolsos en forma temporal o definitiva.  Adicionalmente la IFI deberá proporcionar toda la información que la UCP razonablemente le solicite en relación con el proyecto y su propia situación financiera. Asimismo, la UCP y el BID tendrán el derecho de examinar la documentación detallada de la cartera financiada con los recursos del programa. Las IFI tienen la obligación de presentar al Fiduciario informes mensuales respecto a la cartera traslada al FA o a los FTC incluyendo la condición de pago de estos dentro de los primeros cinco días útiles de cada mes.</w:t>
      </w:r>
    </w:p>
    <w:p w:rsidR="00A700F0" w:rsidRPr="00E666A5" w:rsidRDefault="00D633A7" w:rsidP="00D02059">
      <w:pPr>
        <w:pStyle w:val="Heading1"/>
        <w:numPr>
          <w:ilvl w:val="0"/>
          <w:numId w:val="28"/>
        </w:numPr>
        <w:spacing w:after="240" w:line="240" w:lineRule="auto"/>
        <w:ind w:left="720" w:hanging="727"/>
        <w:jc w:val="both"/>
        <w:rPr>
          <w:rFonts w:ascii="Arial" w:hAnsi="Arial" w:cs="Arial"/>
          <w:b/>
          <w:smallCaps/>
          <w:sz w:val="22"/>
          <w:szCs w:val="22"/>
          <w:lang w:val="es-ES_tradnl"/>
        </w:rPr>
      </w:pPr>
      <w:bookmarkStart w:id="9" w:name="_Toc528941816"/>
      <w:r w:rsidRPr="00E666A5">
        <w:rPr>
          <w:rFonts w:ascii="Arial" w:hAnsi="Arial" w:cs="Arial"/>
          <w:b/>
          <w:smallCaps/>
          <w:sz w:val="22"/>
          <w:szCs w:val="22"/>
          <w:lang w:val="es-ES_tradnl"/>
        </w:rPr>
        <w:t>Características de la Cartera Sujeta a Financiación del Programa</w:t>
      </w:r>
      <w:bookmarkEnd w:id="9"/>
    </w:p>
    <w:p w:rsidR="001F4019" w:rsidRPr="00E666A5" w:rsidRDefault="00C02F3D"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Créditos VIP.</w:t>
      </w:r>
      <w:r w:rsidRPr="00E666A5">
        <w:rPr>
          <w:rFonts w:ascii="Arial" w:hAnsi="Arial" w:cs="Arial"/>
          <w:lang w:val="es-ES_tradnl"/>
        </w:rPr>
        <w:t xml:space="preserve"> </w:t>
      </w:r>
      <w:r w:rsidR="001F4019" w:rsidRPr="00E666A5">
        <w:rPr>
          <w:rFonts w:ascii="Arial" w:hAnsi="Arial" w:cs="Arial"/>
          <w:lang w:val="es-ES_tradnl"/>
        </w:rPr>
        <w:t>El Programa únicamente financiará Créditos VIP. Los Créditos VIP son los subpréstamos que realizarán las IFIS elegibles por el programa. Estos créditos cumplirán las condiciones que se establecen a continuación.</w:t>
      </w:r>
    </w:p>
    <w:p w:rsidR="00C37A16" w:rsidRPr="00E666A5" w:rsidRDefault="001F4019"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Tipo</w:t>
      </w:r>
      <w:r w:rsidR="00C02F3D" w:rsidRPr="00E666A5">
        <w:rPr>
          <w:rFonts w:ascii="Arial" w:hAnsi="Arial" w:cs="Arial"/>
          <w:b/>
          <w:lang w:val="es-ES_tradnl"/>
        </w:rPr>
        <w:t>logías de crédito</w:t>
      </w:r>
      <w:r w:rsidRPr="00E666A5">
        <w:rPr>
          <w:rFonts w:ascii="Arial" w:hAnsi="Arial" w:cs="Arial"/>
          <w:lang w:val="es-ES_tradnl"/>
        </w:rPr>
        <w:t xml:space="preserve">. Los Créditos VIP </w:t>
      </w:r>
      <w:r w:rsidR="00D30D93" w:rsidRPr="00E666A5">
        <w:rPr>
          <w:rFonts w:ascii="Arial" w:hAnsi="Arial" w:cs="Arial"/>
          <w:lang w:val="es-ES_tradnl"/>
        </w:rPr>
        <w:t>podrá</w:t>
      </w:r>
      <w:r w:rsidRPr="00E666A5">
        <w:rPr>
          <w:rFonts w:ascii="Arial" w:hAnsi="Arial" w:cs="Arial"/>
          <w:lang w:val="es-ES_tradnl"/>
        </w:rPr>
        <w:t>n</w:t>
      </w:r>
      <w:r w:rsidR="00D30D93" w:rsidRPr="00E666A5">
        <w:rPr>
          <w:rFonts w:ascii="Arial" w:hAnsi="Arial" w:cs="Arial"/>
          <w:lang w:val="es-ES_tradnl"/>
        </w:rPr>
        <w:t xml:space="preserve"> ser de </w:t>
      </w:r>
      <w:r w:rsidRPr="00E666A5">
        <w:rPr>
          <w:rFonts w:ascii="Arial" w:hAnsi="Arial" w:cs="Arial"/>
          <w:lang w:val="es-ES_tradnl"/>
        </w:rPr>
        <w:t xml:space="preserve">dos </w:t>
      </w:r>
      <w:r w:rsidR="00D30D93" w:rsidRPr="00E666A5">
        <w:rPr>
          <w:rFonts w:ascii="Arial" w:hAnsi="Arial" w:cs="Arial"/>
          <w:lang w:val="es-ES_tradnl"/>
        </w:rPr>
        <w:t>tipos: (i)</w:t>
      </w:r>
      <w:r w:rsidR="00D633A7" w:rsidRPr="00E666A5">
        <w:rPr>
          <w:rFonts w:ascii="Arial" w:hAnsi="Arial" w:cs="Arial"/>
          <w:lang w:val="es-ES_tradnl"/>
        </w:rPr>
        <w:t> </w:t>
      </w:r>
      <w:r w:rsidR="00D30D93" w:rsidRPr="00E666A5">
        <w:rPr>
          <w:rFonts w:ascii="Arial" w:hAnsi="Arial" w:cs="Arial"/>
          <w:lang w:val="es-ES_tradnl"/>
        </w:rPr>
        <w:t xml:space="preserve">cartera de </w:t>
      </w:r>
      <w:r w:rsidR="00C37A16" w:rsidRPr="00E666A5">
        <w:rPr>
          <w:rFonts w:ascii="Arial" w:hAnsi="Arial" w:cs="Arial"/>
          <w:lang w:val="es-ES_tradnl"/>
        </w:rPr>
        <w:t>créditos</w:t>
      </w:r>
      <w:r w:rsidR="00D30D93" w:rsidRPr="00E666A5">
        <w:rPr>
          <w:rFonts w:ascii="Arial" w:hAnsi="Arial" w:cs="Arial"/>
          <w:lang w:val="es-ES_tradnl"/>
        </w:rPr>
        <w:t xml:space="preserve"> hipotecarios VIP</w:t>
      </w:r>
      <w:r w:rsidR="0081605B" w:rsidRPr="00E666A5">
        <w:rPr>
          <w:rFonts w:ascii="Arial" w:hAnsi="Arial" w:cs="Arial"/>
          <w:lang w:val="es-ES_tradnl"/>
        </w:rPr>
        <w:t>1</w:t>
      </w:r>
      <w:r w:rsidR="00D30D93" w:rsidRPr="00E666A5">
        <w:rPr>
          <w:rFonts w:ascii="Arial" w:hAnsi="Arial" w:cs="Arial"/>
          <w:lang w:val="es-ES_tradnl"/>
        </w:rPr>
        <w:t xml:space="preserve"> </w:t>
      </w:r>
      <w:r w:rsidR="00F700CF" w:rsidRPr="00E666A5">
        <w:rPr>
          <w:rFonts w:ascii="Arial" w:hAnsi="Arial" w:cs="Arial"/>
          <w:lang w:val="es-ES_tradnl"/>
        </w:rPr>
        <w:t>destinada a vivienda</w:t>
      </w:r>
      <w:r w:rsidR="00373049" w:rsidRPr="00E666A5">
        <w:rPr>
          <w:rFonts w:ascii="Arial" w:hAnsi="Arial" w:cs="Arial"/>
          <w:lang w:val="es-ES_tradnl"/>
        </w:rPr>
        <w:t xml:space="preserve"> </w:t>
      </w:r>
      <w:r w:rsidR="00D41EF3" w:rsidRPr="00E666A5">
        <w:rPr>
          <w:rFonts w:ascii="Arial" w:hAnsi="Arial" w:cs="Arial"/>
          <w:lang w:val="es-ES_tradnl"/>
        </w:rPr>
        <w:t xml:space="preserve">única y nuevas </w:t>
      </w:r>
      <w:r w:rsidR="00F700CF" w:rsidRPr="00E666A5">
        <w:rPr>
          <w:rFonts w:ascii="Arial" w:hAnsi="Arial" w:cs="Arial"/>
          <w:lang w:val="es-ES_tradnl"/>
        </w:rPr>
        <w:t xml:space="preserve">con valor menor </w:t>
      </w:r>
      <w:r w:rsidR="00257622" w:rsidRPr="00E666A5">
        <w:rPr>
          <w:rFonts w:ascii="Arial" w:hAnsi="Arial" w:cs="Arial"/>
          <w:lang w:val="es-ES_tradnl"/>
        </w:rPr>
        <w:t>a US</w:t>
      </w:r>
      <w:r w:rsidR="00D633A7" w:rsidRPr="00E666A5">
        <w:rPr>
          <w:rFonts w:ascii="Arial" w:hAnsi="Arial" w:cs="Arial"/>
          <w:lang w:val="es-ES_tradnl"/>
        </w:rPr>
        <w:t>$</w:t>
      </w:r>
      <w:r w:rsidR="005D6347" w:rsidRPr="00E666A5">
        <w:rPr>
          <w:rFonts w:ascii="Arial" w:hAnsi="Arial" w:cs="Arial"/>
          <w:lang w:val="es-ES_tradnl"/>
        </w:rPr>
        <w:t>9</w:t>
      </w:r>
      <w:r w:rsidR="00257622" w:rsidRPr="00E666A5">
        <w:rPr>
          <w:rFonts w:ascii="Arial" w:hAnsi="Arial" w:cs="Arial"/>
          <w:lang w:val="es-ES_tradnl"/>
        </w:rPr>
        <w:t>0</w:t>
      </w:r>
      <w:r w:rsidR="001D7991" w:rsidRPr="00E666A5">
        <w:rPr>
          <w:rFonts w:ascii="Arial" w:hAnsi="Arial" w:cs="Arial"/>
          <w:lang w:val="es-ES_tradnl"/>
        </w:rPr>
        <w:t>.</w:t>
      </w:r>
      <w:r w:rsidR="00257622" w:rsidRPr="00E666A5">
        <w:rPr>
          <w:rFonts w:ascii="Arial" w:hAnsi="Arial" w:cs="Arial"/>
          <w:lang w:val="es-ES_tradnl"/>
        </w:rPr>
        <w:t>000</w:t>
      </w:r>
      <w:r w:rsidR="005D6347" w:rsidRPr="00E666A5">
        <w:rPr>
          <w:rFonts w:ascii="Arial" w:hAnsi="Arial" w:cs="Arial"/>
          <w:lang w:val="es-ES_tradnl"/>
        </w:rPr>
        <w:t xml:space="preserve"> </w:t>
      </w:r>
      <w:r w:rsidR="00C444D9" w:rsidRPr="00E666A5">
        <w:rPr>
          <w:rFonts w:ascii="Arial" w:hAnsi="Arial" w:cs="Arial"/>
          <w:lang w:val="es-ES_tradnl"/>
        </w:rPr>
        <w:t>y</w:t>
      </w:r>
      <w:r w:rsidR="005D6347" w:rsidRPr="00E666A5">
        <w:rPr>
          <w:rFonts w:ascii="Arial" w:hAnsi="Arial" w:cs="Arial"/>
          <w:lang w:val="es-ES_tradnl"/>
        </w:rPr>
        <w:t xml:space="preserve"> mayor a US$</w:t>
      </w:r>
      <w:r w:rsidR="00DB0C28" w:rsidRPr="00E666A5">
        <w:rPr>
          <w:rFonts w:ascii="Arial" w:hAnsi="Arial" w:cs="Arial"/>
          <w:lang w:val="es-ES_tradnl"/>
        </w:rPr>
        <w:t>XXXX</w:t>
      </w:r>
      <w:r w:rsidR="001D7991" w:rsidRPr="00E666A5">
        <w:rPr>
          <w:rFonts w:ascii="Arial" w:hAnsi="Arial" w:cs="Arial"/>
          <w:lang w:val="es-ES_tradnl"/>
        </w:rPr>
        <w:t>;</w:t>
      </w:r>
      <w:r w:rsidR="00257622" w:rsidRPr="00E666A5">
        <w:rPr>
          <w:rFonts w:ascii="Arial" w:hAnsi="Arial" w:cs="Arial"/>
          <w:lang w:val="es-ES_tradnl"/>
        </w:rPr>
        <w:t xml:space="preserve"> (ii) cartera de créditos hipotecarios VIP</w:t>
      </w:r>
      <w:r w:rsidR="00E666A5" w:rsidRPr="00E666A5">
        <w:rPr>
          <w:rFonts w:ascii="Arial" w:hAnsi="Arial" w:cs="Arial"/>
          <w:lang w:val="es-ES_tradnl"/>
        </w:rPr>
        <w:t>2 destinada</w:t>
      </w:r>
      <w:r w:rsidR="00257622" w:rsidRPr="00E666A5">
        <w:rPr>
          <w:rFonts w:ascii="Arial" w:hAnsi="Arial" w:cs="Arial"/>
          <w:lang w:val="es-ES_tradnl"/>
        </w:rPr>
        <w:t xml:space="preserve"> a vivienda</w:t>
      </w:r>
      <w:r w:rsidR="00373049" w:rsidRPr="00E666A5">
        <w:rPr>
          <w:rFonts w:ascii="Arial" w:hAnsi="Arial" w:cs="Arial"/>
          <w:lang w:val="es-ES_tradnl"/>
        </w:rPr>
        <w:t xml:space="preserve"> </w:t>
      </w:r>
      <w:r w:rsidR="00DB0C28" w:rsidRPr="00E666A5">
        <w:rPr>
          <w:rFonts w:ascii="Arial" w:hAnsi="Arial" w:cs="Arial"/>
          <w:lang w:val="es-ES_tradnl"/>
        </w:rPr>
        <w:t xml:space="preserve">única y nueva </w:t>
      </w:r>
      <w:r w:rsidR="00257622" w:rsidRPr="00E666A5">
        <w:rPr>
          <w:rFonts w:ascii="Arial" w:hAnsi="Arial" w:cs="Arial"/>
          <w:lang w:val="es-ES_tradnl"/>
        </w:rPr>
        <w:t xml:space="preserve">con valor </w:t>
      </w:r>
      <w:r w:rsidR="005D6347" w:rsidRPr="00E666A5">
        <w:rPr>
          <w:rFonts w:ascii="Arial" w:hAnsi="Arial" w:cs="Arial"/>
          <w:lang w:val="es-ES_tradnl"/>
        </w:rPr>
        <w:t xml:space="preserve">menor </w:t>
      </w:r>
      <w:r w:rsidR="00257622" w:rsidRPr="00E666A5">
        <w:rPr>
          <w:rFonts w:ascii="Arial" w:hAnsi="Arial" w:cs="Arial"/>
          <w:lang w:val="es-ES_tradnl"/>
        </w:rPr>
        <w:t>a US</w:t>
      </w:r>
      <w:r w:rsidR="001D7991" w:rsidRPr="00E666A5">
        <w:rPr>
          <w:rFonts w:ascii="Arial" w:hAnsi="Arial" w:cs="Arial"/>
          <w:lang w:val="es-ES_tradnl"/>
        </w:rPr>
        <w:t>$</w:t>
      </w:r>
      <w:r w:rsidR="00DB0C28" w:rsidRPr="00E666A5">
        <w:rPr>
          <w:rFonts w:ascii="Arial" w:hAnsi="Arial" w:cs="Arial"/>
          <w:lang w:val="es-ES_tradnl"/>
        </w:rPr>
        <w:t>XXXXXX</w:t>
      </w:r>
      <w:r w:rsidR="001D7991" w:rsidRPr="00E666A5">
        <w:rPr>
          <w:rFonts w:ascii="Arial" w:hAnsi="Arial" w:cs="Arial"/>
          <w:lang w:val="es-ES_tradnl"/>
        </w:rPr>
        <w:t>.</w:t>
      </w:r>
    </w:p>
    <w:p w:rsidR="005D6347" w:rsidRPr="00E666A5" w:rsidRDefault="005D6347" w:rsidP="005D6347">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Las hipotecas de los subpréstamos financiados con recursos del programa deberán formalizarse en escritura pública y quedarán prendadas en favor </w:t>
      </w:r>
      <w:r w:rsidR="00B97C94" w:rsidRPr="00E666A5">
        <w:rPr>
          <w:rFonts w:ascii="Arial" w:hAnsi="Arial" w:cs="Arial"/>
          <w:lang w:val="es-ES_tradnl"/>
        </w:rPr>
        <w:t xml:space="preserve">de la IFI </w:t>
      </w:r>
      <w:r w:rsidRPr="00E666A5">
        <w:rPr>
          <w:rFonts w:ascii="Arial" w:hAnsi="Arial" w:cs="Arial"/>
          <w:lang w:val="es-ES_tradnl"/>
        </w:rPr>
        <w:t>acreedor</w:t>
      </w:r>
      <w:r w:rsidR="00B97C94" w:rsidRPr="00E666A5">
        <w:rPr>
          <w:rFonts w:ascii="Arial" w:hAnsi="Arial" w:cs="Arial"/>
          <w:lang w:val="es-ES_tradnl"/>
        </w:rPr>
        <w:t xml:space="preserve">a </w:t>
      </w:r>
      <w:r w:rsidRPr="00E666A5">
        <w:rPr>
          <w:rFonts w:ascii="Arial" w:hAnsi="Arial" w:cs="Arial"/>
          <w:lang w:val="es-ES_tradnl"/>
        </w:rPr>
        <w:t xml:space="preserve">con mención específica al programa. </w:t>
      </w:r>
    </w:p>
    <w:p w:rsidR="00811003" w:rsidRPr="00E666A5" w:rsidRDefault="002A247A"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L</w:t>
      </w:r>
      <w:r w:rsidR="00C37A16" w:rsidRPr="00E666A5">
        <w:rPr>
          <w:rFonts w:ascii="Arial" w:hAnsi="Arial" w:cs="Arial"/>
          <w:lang w:val="es-ES_tradnl"/>
        </w:rPr>
        <w:t>os</w:t>
      </w:r>
      <w:r w:rsidRPr="00E666A5">
        <w:rPr>
          <w:rFonts w:ascii="Arial" w:hAnsi="Arial" w:cs="Arial"/>
          <w:lang w:val="es-ES_tradnl"/>
        </w:rPr>
        <w:t xml:space="preserve"> </w:t>
      </w:r>
      <w:r w:rsidR="00C37A16" w:rsidRPr="00E666A5">
        <w:rPr>
          <w:rFonts w:ascii="Arial" w:hAnsi="Arial" w:cs="Arial"/>
          <w:lang w:val="es-ES_tradnl"/>
        </w:rPr>
        <w:t>créditos hipotecarios VIP que se otorguen a las familias</w:t>
      </w:r>
      <w:r w:rsidRPr="00E666A5">
        <w:rPr>
          <w:rFonts w:ascii="Arial" w:hAnsi="Arial" w:cs="Arial"/>
          <w:lang w:val="es-ES_tradnl"/>
        </w:rPr>
        <w:t xml:space="preserve"> podrá</w:t>
      </w:r>
      <w:r w:rsidR="00C37A16" w:rsidRPr="00E666A5">
        <w:rPr>
          <w:rFonts w:ascii="Arial" w:hAnsi="Arial" w:cs="Arial"/>
          <w:lang w:val="es-ES_tradnl"/>
        </w:rPr>
        <w:t>n</w:t>
      </w:r>
      <w:r w:rsidRPr="00E666A5">
        <w:rPr>
          <w:rFonts w:ascii="Arial" w:hAnsi="Arial" w:cs="Arial"/>
          <w:lang w:val="es-ES_tradnl"/>
        </w:rPr>
        <w:t xml:space="preserve"> incluir los gastos relacionados al crédito, tales como: gastos administrativos, seguros, tasación, constitución de la garantía, que deberán estar incluidos dentro de los montos máximos permitidos. El valor de la vivienda a financiar se determinará por una tasación independiente por peritos </w:t>
      </w:r>
      <w:r w:rsidR="006B12BF" w:rsidRPr="00E666A5">
        <w:rPr>
          <w:rFonts w:ascii="Arial" w:hAnsi="Arial" w:cs="Arial"/>
          <w:lang w:val="es-ES_tradnl"/>
        </w:rPr>
        <w:t>evaluadores</w:t>
      </w:r>
      <w:r w:rsidRPr="00E666A5">
        <w:rPr>
          <w:rFonts w:ascii="Arial" w:hAnsi="Arial" w:cs="Arial"/>
          <w:lang w:val="es-ES_tradnl"/>
        </w:rPr>
        <w:t xml:space="preserve"> profesionales debidamente registrados </w:t>
      </w:r>
      <w:r w:rsidR="00C37A16" w:rsidRPr="00E666A5">
        <w:rPr>
          <w:rFonts w:ascii="Arial" w:hAnsi="Arial" w:cs="Arial"/>
          <w:lang w:val="es-ES_tradnl"/>
        </w:rPr>
        <w:t>y calificados por las superintendencias respectivas</w:t>
      </w:r>
      <w:r w:rsidR="0081605B" w:rsidRPr="00E666A5">
        <w:rPr>
          <w:rFonts w:ascii="Arial" w:hAnsi="Arial" w:cs="Arial"/>
          <w:lang w:val="es-ES_tradnl"/>
        </w:rPr>
        <w:t>.</w:t>
      </w:r>
      <w:r w:rsidR="00C37A16" w:rsidRPr="00E666A5">
        <w:rPr>
          <w:rFonts w:ascii="Arial" w:hAnsi="Arial" w:cs="Arial"/>
          <w:lang w:val="es-ES_tradnl"/>
        </w:rPr>
        <w:t xml:space="preserve"> </w:t>
      </w:r>
    </w:p>
    <w:p w:rsidR="007D7FA2" w:rsidRPr="00E666A5" w:rsidRDefault="00257622"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lastRenderedPageBreak/>
        <w:t>P</w:t>
      </w:r>
      <w:r w:rsidR="007D7FA2" w:rsidRPr="00E666A5">
        <w:rPr>
          <w:rFonts w:ascii="Arial" w:hAnsi="Arial" w:cs="Arial"/>
          <w:lang w:val="es-ES_tradnl"/>
        </w:rPr>
        <w:t>ara los créditos hipotecarios VIP las familias que participan de estos financiamientos podrán recibir del Estado subsidios adicionales que mejoren su capacidad de acceso a estos instrumentos (C</w:t>
      </w:r>
      <w:r w:rsidR="001D7991" w:rsidRPr="00E666A5">
        <w:rPr>
          <w:rFonts w:ascii="Arial" w:hAnsi="Arial" w:cs="Arial"/>
          <w:lang w:val="es-ES_tradnl"/>
        </w:rPr>
        <w:t>opago</w:t>
      </w:r>
      <w:r w:rsidR="007D7FA2" w:rsidRPr="00E666A5">
        <w:rPr>
          <w:rFonts w:ascii="Arial" w:hAnsi="Arial" w:cs="Arial"/>
          <w:lang w:val="es-ES_tradnl"/>
        </w:rPr>
        <w:t xml:space="preserve"> y B</w:t>
      </w:r>
      <w:r w:rsidR="001D7991" w:rsidRPr="00E666A5">
        <w:rPr>
          <w:rFonts w:ascii="Arial" w:hAnsi="Arial" w:cs="Arial"/>
          <w:lang w:val="es-ES_tradnl"/>
        </w:rPr>
        <w:t>ono Habitacional</w:t>
      </w:r>
      <w:r w:rsidR="007D7FA2" w:rsidRPr="00E666A5">
        <w:rPr>
          <w:rFonts w:ascii="Arial" w:hAnsi="Arial" w:cs="Arial"/>
          <w:lang w:val="es-ES_tradnl"/>
        </w:rPr>
        <w:t xml:space="preserve">). Estos subsidios serán otorgados a las familias directamente por parte del Programa Casa para Todos o por el MIDUVI </w:t>
      </w:r>
      <w:r w:rsidR="00EA06FA" w:rsidRPr="00E666A5">
        <w:rPr>
          <w:rFonts w:ascii="Arial" w:hAnsi="Arial" w:cs="Arial"/>
          <w:lang w:val="es-ES_tradnl"/>
        </w:rPr>
        <w:t>de acuerdo con</w:t>
      </w:r>
      <w:r w:rsidR="007D7FA2" w:rsidRPr="00E666A5">
        <w:rPr>
          <w:rFonts w:ascii="Arial" w:hAnsi="Arial" w:cs="Arial"/>
          <w:lang w:val="es-ES_tradnl"/>
        </w:rPr>
        <w:t xml:space="preserve"> las condiciones </w:t>
      </w:r>
      <w:r w:rsidR="006B12BF" w:rsidRPr="00E666A5">
        <w:rPr>
          <w:rFonts w:ascii="Arial" w:hAnsi="Arial" w:cs="Arial"/>
          <w:lang w:val="es-ES_tradnl"/>
        </w:rPr>
        <w:t>socioeconómicas</w:t>
      </w:r>
      <w:r w:rsidR="007D7FA2" w:rsidRPr="00E666A5">
        <w:rPr>
          <w:rFonts w:ascii="Arial" w:hAnsi="Arial" w:cs="Arial"/>
          <w:lang w:val="es-ES_tradnl"/>
        </w:rPr>
        <w:t xml:space="preserve"> del núcleo familiar.</w:t>
      </w:r>
    </w:p>
    <w:p w:rsidR="00811003" w:rsidRPr="00E666A5" w:rsidRDefault="007D7FA2"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Todas las familias que reciba</w:t>
      </w:r>
      <w:r w:rsidR="003A659E" w:rsidRPr="00E666A5">
        <w:rPr>
          <w:rFonts w:ascii="Arial" w:hAnsi="Arial" w:cs="Arial"/>
          <w:lang w:val="es-ES_tradnl"/>
        </w:rPr>
        <w:t>n</w:t>
      </w:r>
      <w:r w:rsidRPr="00E666A5">
        <w:rPr>
          <w:rFonts w:ascii="Arial" w:hAnsi="Arial" w:cs="Arial"/>
          <w:lang w:val="es-ES_tradnl"/>
        </w:rPr>
        <w:t xml:space="preserve"> financiamiento habitacional de las IFI part</w:t>
      </w:r>
      <w:r w:rsidR="00257622" w:rsidRPr="00E666A5">
        <w:rPr>
          <w:rFonts w:ascii="Arial" w:hAnsi="Arial" w:cs="Arial"/>
          <w:lang w:val="es-ES_tradnl"/>
        </w:rPr>
        <w:t>i</w:t>
      </w:r>
      <w:r w:rsidRPr="00E666A5">
        <w:rPr>
          <w:rFonts w:ascii="Arial" w:hAnsi="Arial" w:cs="Arial"/>
          <w:lang w:val="es-ES_tradnl"/>
        </w:rPr>
        <w:t xml:space="preserve">cipantes en </w:t>
      </w:r>
      <w:r w:rsidR="00AD734B" w:rsidRPr="00E666A5">
        <w:rPr>
          <w:rFonts w:ascii="Arial" w:hAnsi="Arial" w:cs="Arial"/>
          <w:lang w:val="es-ES_tradnl"/>
        </w:rPr>
        <w:t xml:space="preserve">los </w:t>
      </w:r>
      <w:r w:rsidRPr="00E666A5">
        <w:rPr>
          <w:rFonts w:ascii="Arial" w:hAnsi="Arial" w:cs="Arial"/>
          <w:lang w:val="es-ES_tradnl"/>
        </w:rPr>
        <w:t xml:space="preserve">programas </w:t>
      </w:r>
      <w:r w:rsidR="00B400CC" w:rsidRPr="00E666A5">
        <w:rPr>
          <w:rFonts w:ascii="Arial" w:hAnsi="Arial" w:cs="Arial"/>
          <w:lang w:val="es-ES_tradnl"/>
        </w:rPr>
        <w:t>deberá</w:t>
      </w:r>
      <w:r w:rsidRPr="00E666A5">
        <w:rPr>
          <w:rFonts w:ascii="Arial" w:hAnsi="Arial" w:cs="Arial"/>
          <w:lang w:val="es-ES_tradnl"/>
        </w:rPr>
        <w:t>n</w:t>
      </w:r>
      <w:r w:rsidR="00B400CC" w:rsidRPr="00E666A5">
        <w:rPr>
          <w:rFonts w:ascii="Arial" w:hAnsi="Arial" w:cs="Arial"/>
          <w:lang w:val="es-ES_tradnl"/>
        </w:rPr>
        <w:t xml:space="preserve"> presentar</w:t>
      </w:r>
      <w:r w:rsidR="002A247A" w:rsidRPr="00E666A5">
        <w:rPr>
          <w:rFonts w:ascii="Arial" w:hAnsi="Arial" w:cs="Arial"/>
          <w:lang w:val="es-ES_tradnl"/>
        </w:rPr>
        <w:t xml:space="preserve"> </w:t>
      </w:r>
      <w:r w:rsidR="00B400CC" w:rsidRPr="00E666A5">
        <w:rPr>
          <w:rFonts w:ascii="Arial" w:hAnsi="Arial" w:cs="Arial"/>
          <w:lang w:val="es-ES_tradnl"/>
        </w:rPr>
        <w:t xml:space="preserve">una Declaración Jurada </w:t>
      </w:r>
      <w:r w:rsidR="002A247A" w:rsidRPr="00E666A5">
        <w:rPr>
          <w:rFonts w:ascii="Arial" w:hAnsi="Arial" w:cs="Arial"/>
          <w:lang w:val="es-ES_tradnl"/>
        </w:rPr>
        <w:t>de no poseer otra vivienda o inmueble edificado a nombre del prestatario final, su cónyuge o conviviente</w:t>
      </w:r>
      <w:r w:rsidR="0025443D" w:rsidRPr="00E666A5">
        <w:rPr>
          <w:rFonts w:ascii="Arial" w:hAnsi="Arial" w:cs="Arial"/>
          <w:lang w:val="es-ES_tradnl"/>
        </w:rPr>
        <w:t xml:space="preserve"> en ninguna parte del territorio nacional</w:t>
      </w:r>
      <w:r w:rsidR="002A247A" w:rsidRPr="00E666A5">
        <w:rPr>
          <w:rFonts w:ascii="Arial" w:hAnsi="Arial" w:cs="Arial"/>
          <w:lang w:val="es-ES_tradnl"/>
        </w:rPr>
        <w:t xml:space="preserve">. </w:t>
      </w:r>
      <w:r w:rsidR="00B400CC" w:rsidRPr="00E666A5">
        <w:rPr>
          <w:rFonts w:ascii="Arial" w:hAnsi="Arial" w:cs="Arial"/>
          <w:lang w:val="es-ES_tradnl"/>
        </w:rPr>
        <w:t>Sin perjuicio de ello, la IFI, deberá verificarlo en los registros públicos.</w:t>
      </w:r>
    </w:p>
    <w:p w:rsidR="00811003" w:rsidRPr="00E666A5" w:rsidRDefault="0025443D"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Los Contratos de Crédito Hipotecario VIP que utilicen las IFI se ceñirán a formatos estándar que para el efecto les serán entregados por </w:t>
      </w:r>
      <w:r w:rsidR="0081605B" w:rsidRPr="00E666A5">
        <w:rPr>
          <w:rFonts w:ascii="Arial" w:hAnsi="Arial" w:cs="Arial"/>
          <w:lang w:val="es-ES_tradnl"/>
        </w:rPr>
        <w:t>el AF</w:t>
      </w:r>
      <w:r w:rsidRPr="00E666A5">
        <w:rPr>
          <w:rFonts w:ascii="Arial" w:hAnsi="Arial" w:cs="Arial"/>
          <w:lang w:val="es-ES_tradnl"/>
        </w:rPr>
        <w:t>. El propósito de esta estandarización es el de facilitar a titularización de los portafolios de cartera que las IFIS transfieran al FA o a los FTC.</w:t>
      </w:r>
      <w:r w:rsidR="001D7991" w:rsidRPr="00E666A5">
        <w:rPr>
          <w:rFonts w:ascii="Arial" w:hAnsi="Arial" w:cs="Arial"/>
          <w:lang w:val="es-ES_tradnl"/>
        </w:rPr>
        <w:t xml:space="preserve"> </w:t>
      </w:r>
      <w:r w:rsidRPr="00E666A5">
        <w:rPr>
          <w:rFonts w:ascii="Arial" w:hAnsi="Arial" w:cs="Arial"/>
          <w:lang w:val="es-ES_tradnl"/>
        </w:rPr>
        <w:t>Los formatos tipo de estos contratos se anexan a este Reglamento (</w:t>
      </w:r>
      <w:r w:rsidRPr="00E666A5">
        <w:rPr>
          <w:rFonts w:ascii="Arial" w:hAnsi="Arial" w:cs="Arial"/>
          <w:highlight w:val="cyan"/>
          <w:lang w:val="es-ES_tradnl"/>
        </w:rPr>
        <w:t>A</w:t>
      </w:r>
      <w:r w:rsidR="001D7991" w:rsidRPr="00E666A5">
        <w:rPr>
          <w:rFonts w:ascii="Arial" w:hAnsi="Arial" w:cs="Arial"/>
          <w:highlight w:val="cyan"/>
          <w:lang w:val="es-ES_tradnl"/>
        </w:rPr>
        <w:t>nexo</w:t>
      </w:r>
      <w:r w:rsidRPr="00E666A5">
        <w:rPr>
          <w:rFonts w:ascii="Arial" w:hAnsi="Arial" w:cs="Arial"/>
          <w:highlight w:val="cyan"/>
          <w:lang w:val="es-ES_tradnl"/>
        </w:rPr>
        <w:t xml:space="preserve"> </w:t>
      </w:r>
      <w:r w:rsidR="00F75E4D" w:rsidRPr="00E666A5">
        <w:rPr>
          <w:rFonts w:ascii="Arial" w:hAnsi="Arial" w:cs="Arial"/>
          <w:highlight w:val="cyan"/>
          <w:lang w:val="es-ES_tradnl"/>
        </w:rPr>
        <w:t>III</w:t>
      </w:r>
      <w:r w:rsidRPr="00E666A5">
        <w:rPr>
          <w:rFonts w:ascii="Arial" w:hAnsi="Arial" w:cs="Arial"/>
          <w:lang w:val="es-ES_tradnl"/>
        </w:rPr>
        <w:t xml:space="preserve">) </w:t>
      </w:r>
    </w:p>
    <w:p w:rsidR="00D75DD4" w:rsidRPr="00E666A5" w:rsidRDefault="003A659E"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El plazo, cuotas de entrada</w:t>
      </w:r>
      <w:r w:rsidR="002A247A" w:rsidRPr="00E666A5">
        <w:rPr>
          <w:rFonts w:ascii="Arial" w:hAnsi="Arial" w:cs="Arial"/>
          <w:lang w:val="es-ES_tradnl"/>
        </w:rPr>
        <w:t xml:space="preserve"> tasas de interés de los créditos </w:t>
      </w:r>
      <w:r w:rsidR="0025443D" w:rsidRPr="00E666A5">
        <w:rPr>
          <w:rFonts w:ascii="Arial" w:hAnsi="Arial" w:cs="Arial"/>
          <w:lang w:val="es-ES_tradnl"/>
        </w:rPr>
        <w:t>hipotecarios VIP</w:t>
      </w:r>
      <w:r w:rsidR="0081605B" w:rsidRPr="00E666A5">
        <w:rPr>
          <w:rFonts w:ascii="Arial" w:hAnsi="Arial" w:cs="Arial"/>
          <w:lang w:val="es-ES_tradnl"/>
        </w:rPr>
        <w:t xml:space="preserve"> será</w:t>
      </w:r>
      <w:r w:rsidR="00B53037" w:rsidRPr="00E666A5">
        <w:rPr>
          <w:rFonts w:ascii="Arial" w:hAnsi="Arial" w:cs="Arial"/>
          <w:lang w:val="es-ES_tradnl"/>
        </w:rPr>
        <w:t xml:space="preserve">n las del Cuadro </w:t>
      </w:r>
      <w:r w:rsidRPr="00E666A5">
        <w:rPr>
          <w:rFonts w:ascii="Arial" w:hAnsi="Arial" w:cs="Arial"/>
          <w:lang w:val="es-ES_tradnl"/>
        </w:rPr>
        <w:t xml:space="preserve">2 </w:t>
      </w:r>
      <w:r w:rsidR="00B53037" w:rsidRPr="00E666A5">
        <w:rPr>
          <w:rFonts w:ascii="Arial" w:hAnsi="Arial" w:cs="Arial"/>
          <w:lang w:val="es-ES_tradnl"/>
        </w:rPr>
        <w:t>siguiente:</w:t>
      </w:r>
    </w:p>
    <w:tbl>
      <w:tblPr>
        <w:tblStyle w:val="TableGrid"/>
        <w:tblW w:w="5242" w:type="dxa"/>
        <w:jc w:val="center"/>
        <w:tblLook w:val="04A0" w:firstRow="1" w:lastRow="0" w:firstColumn="1" w:lastColumn="0" w:noHBand="0" w:noVBand="1"/>
      </w:tblPr>
      <w:tblGrid>
        <w:gridCol w:w="4117"/>
        <w:gridCol w:w="1125"/>
      </w:tblGrid>
      <w:tr w:rsidR="00CD3D34" w:rsidRPr="00E666A5" w:rsidTr="00073F74">
        <w:trPr>
          <w:jc w:val="center"/>
        </w:trPr>
        <w:tc>
          <w:tcPr>
            <w:tcW w:w="5242" w:type="dxa"/>
            <w:gridSpan w:val="2"/>
            <w:tcBorders>
              <w:top w:val="nil"/>
              <w:left w:val="nil"/>
              <w:right w:val="nil"/>
            </w:tcBorders>
          </w:tcPr>
          <w:p w:rsidR="00CD3D34" w:rsidRPr="00E666A5" w:rsidRDefault="00CD3D34" w:rsidP="00073F74">
            <w:pPr>
              <w:jc w:val="center"/>
              <w:rPr>
                <w:rFonts w:ascii="Arial" w:hAnsi="Arial" w:cs="Arial"/>
                <w:sz w:val="20"/>
                <w:szCs w:val="20"/>
                <w:lang w:val="es-ES_tradnl"/>
              </w:rPr>
            </w:pPr>
            <w:r w:rsidRPr="00E666A5">
              <w:rPr>
                <w:rFonts w:ascii="Arial" w:hAnsi="Arial" w:cs="Arial"/>
                <w:b/>
                <w:sz w:val="20"/>
                <w:szCs w:val="20"/>
                <w:lang w:val="es-ES_tradnl"/>
              </w:rPr>
              <w:t>Cuadro</w:t>
            </w:r>
            <w:r w:rsidR="003A659E" w:rsidRPr="00E666A5">
              <w:rPr>
                <w:rFonts w:ascii="Arial" w:hAnsi="Arial" w:cs="Arial"/>
                <w:b/>
                <w:sz w:val="20"/>
                <w:szCs w:val="20"/>
                <w:lang w:val="es-ES_tradnl"/>
              </w:rPr>
              <w:t xml:space="preserve"> 2</w:t>
            </w:r>
            <w:r w:rsidRPr="00E666A5">
              <w:rPr>
                <w:rFonts w:ascii="Arial" w:hAnsi="Arial" w:cs="Arial"/>
                <w:b/>
                <w:sz w:val="20"/>
                <w:szCs w:val="20"/>
                <w:lang w:val="es-ES_tradnl"/>
              </w:rPr>
              <w:t>. Características créditos VIP</w:t>
            </w:r>
          </w:p>
        </w:tc>
      </w:tr>
      <w:tr w:rsidR="00D75DD4" w:rsidRPr="00E666A5" w:rsidTr="003A659E">
        <w:trPr>
          <w:jc w:val="center"/>
        </w:trPr>
        <w:tc>
          <w:tcPr>
            <w:tcW w:w="4117" w:type="dxa"/>
          </w:tcPr>
          <w:p w:rsidR="00D75DD4" w:rsidRPr="00E666A5" w:rsidRDefault="00652603" w:rsidP="00D75DD4">
            <w:pPr>
              <w:rPr>
                <w:rFonts w:ascii="Arial" w:hAnsi="Arial" w:cs="Arial"/>
                <w:lang w:val="es-ES_tradnl"/>
              </w:rPr>
            </w:pPr>
            <w:r w:rsidRPr="00E666A5">
              <w:rPr>
                <w:rFonts w:ascii="Arial" w:hAnsi="Arial" w:cs="Arial"/>
                <w:lang w:val="es-ES_tradnl"/>
              </w:rPr>
              <w:t xml:space="preserve">Cuota de entrada </w:t>
            </w:r>
          </w:p>
        </w:tc>
        <w:tc>
          <w:tcPr>
            <w:tcW w:w="1125" w:type="dxa"/>
          </w:tcPr>
          <w:p w:rsidR="00D75DD4" w:rsidRPr="00E666A5" w:rsidRDefault="00DB0C28" w:rsidP="00D75DD4">
            <w:pPr>
              <w:jc w:val="right"/>
              <w:rPr>
                <w:rFonts w:ascii="Arial" w:hAnsi="Arial" w:cs="Arial"/>
                <w:highlight w:val="yellow"/>
                <w:lang w:val="es-ES_tradnl"/>
              </w:rPr>
            </w:pPr>
            <w:r w:rsidRPr="00E666A5">
              <w:rPr>
                <w:rFonts w:ascii="Arial" w:hAnsi="Arial" w:cs="Arial"/>
                <w:highlight w:val="yellow"/>
                <w:lang w:val="es-ES_tradnl"/>
              </w:rPr>
              <w:t>X</w:t>
            </w:r>
            <w:r w:rsidR="00652603" w:rsidRPr="00E666A5">
              <w:rPr>
                <w:rFonts w:ascii="Arial" w:hAnsi="Arial" w:cs="Arial"/>
                <w:highlight w:val="yellow"/>
                <w:lang w:val="es-ES_tradnl"/>
              </w:rPr>
              <w:t>%</w:t>
            </w:r>
          </w:p>
        </w:tc>
      </w:tr>
      <w:tr w:rsidR="00652603" w:rsidRPr="00E666A5" w:rsidTr="003A659E">
        <w:trPr>
          <w:jc w:val="center"/>
        </w:trPr>
        <w:tc>
          <w:tcPr>
            <w:tcW w:w="4117" w:type="dxa"/>
          </w:tcPr>
          <w:p w:rsidR="00652603" w:rsidRPr="00E666A5" w:rsidRDefault="007B1B35" w:rsidP="00D75DD4">
            <w:pPr>
              <w:rPr>
                <w:rFonts w:ascii="Arial" w:hAnsi="Arial" w:cs="Arial"/>
                <w:lang w:val="es-ES_tradnl"/>
              </w:rPr>
            </w:pPr>
            <w:r w:rsidRPr="00E666A5">
              <w:rPr>
                <w:rFonts w:ascii="Arial" w:hAnsi="Arial" w:cs="Arial"/>
                <w:lang w:val="es-ES_tradnl"/>
              </w:rPr>
              <w:t>Plazo</w:t>
            </w:r>
            <w:r w:rsidR="00B97C94" w:rsidRPr="00E666A5">
              <w:rPr>
                <w:rFonts w:ascii="Arial" w:hAnsi="Arial" w:cs="Arial"/>
                <w:lang w:val="es-ES_tradnl"/>
              </w:rPr>
              <w:t xml:space="preserve"> MINIMO </w:t>
            </w:r>
          </w:p>
        </w:tc>
        <w:tc>
          <w:tcPr>
            <w:tcW w:w="1125" w:type="dxa"/>
          </w:tcPr>
          <w:p w:rsidR="00652603" w:rsidRPr="00E666A5" w:rsidRDefault="007B1B35" w:rsidP="00D75DD4">
            <w:pPr>
              <w:jc w:val="right"/>
              <w:rPr>
                <w:rFonts w:ascii="Arial" w:hAnsi="Arial" w:cs="Arial"/>
                <w:highlight w:val="yellow"/>
                <w:lang w:val="es-ES_tradnl"/>
              </w:rPr>
            </w:pPr>
            <w:r w:rsidRPr="00E666A5">
              <w:rPr>
                <w:rFonts w:ascii="Arial" w:hAnsi="Arial" w:cs="Arial"/>
                <w:highlight w:val="yellow"/>
                <w:lang w:val="es-ES_tradnl"/>
              </w:rPr>
              <w:t>20 años</w:t>
            </w:r>
          </w:p>
        </w:tc>
      </w:tr>
      <w:tr w:rsidR="00D75DD4" w:rsidRPr="00E666A5" w:rsidTr="003A659E">
        <w:trPr>
          <w:jc w:val="center"/>
        </w:trPr>
        <w:tc>
          <w:tcPr>
            <w:tcW w:w="4117" w:type="dxa"/>
          </w:tcPr>
          <w:p w:rsidR="00D75DD4" w:rsidRPr="00E666A5" w:rsidRDefault="00D75DD4" w:rsidP="00D75DD4">
            <w:pPr>
              <w:rPr>
                <w:rFonts w:ascii="Arial" w:hAnsi="Arial" w:cs="Arial"/>
                <w:lang w:val="es-ES_tradnl"/>
              </w:rPr>
            </w:pPr>
            <w:r w:rsidRPr="00E666A5">
              <w:rPr>
                <w:rFonts w:ascii="Arial" w:hAnsi="Arial" w:cs="Arial"/>
                <w:lang w:val="es-ES_tradnl"/>
              </w:rPr>
              <w:t>Tasa máxima final vivienda VIP1.</w:t>
            </w:r>
          </w:p>
        </w:tc>
        <w:tc>
          <w:tcPr>
            <w:tcW w:w="1125" w:type="dxa"/>
          </w:tcPr>
          <w:p w:rsidR="00D75DD4" w:rsidRPr="00E666A5" w:rsidRDefault="00DB0C28" w:rsidP="00D75DD4">
            <w:pPr>
              <w:jc w:val="right"/>
              <w:rPr>
                <w:rFonts w:ascii="Arial" w:hAnsi="Arial" w:cs="Arial"/>
                <w:highlight w:val="yellow"/>
                <w:lang w:val="es-ES_tradnl"/>
              </w:rPr>
            </w:pPr>
            <w:r w:rsidRPr="00E666A5">
              <w:rPr>
                <w:rFonts w:ascii="Arial" w:hAnsi="Arial" w:cs="Arial"/>
                <w:highlight w:val="yellow"/>
                <w:lang w:val="es-ES_tradnl"/>
              </w:rPr>
              <w:t>X</w:t>
            </w:r>
            <w:r w:rsidR="007E5A9F" w:rsidRPr="00E666A5">
              <w:rPr>
                <w:rFonts w:ascii="Arial" w:hAnsi="Arial" w:cs="Arial"/>
                <w:highlight w:val="yellow"/>
                <w:lang w:val="es-ES_tradnl"/>
              </w:rPr>
              <w:t>%</w:t>
            </w:r>
          </w:p>
        </w:tc>
      </w:tr>
      <w:tr w:rsidR="00D75DD4" w:rsidRPr="00E666A5" w:rsidTr="003A659E">
        <w:trPr>
          <w:jc w:val="center"/>
        </w:trPr>
        <w:tc>
          <w:tcPr>
            <w:tcW w:w="4117" w:type="dxa"/>
          </w:tcPr>
          <w:p w:rsidR="00D75DD4" w:rsidRPr="00E666A5" w:rsidRDefault="00D75DD4" w:rsidP="00D75DD4">
            <w:pPr>
              <w:rPr>
                <w:rFonts w:ascii="Arial" w:hAnsi="Arial" w:cs="Arial"/>
                <w:lang w:val="es-ES_tradnl"/>
              </w:rPr>
            </w:pPr>
            <w:r w:rsidRPr="00E666A5">
              <w:rPr>
                <w:rFonts w:ascii="Arial" w:hAnsi="Arial" w:cs="Arial"/>
                <w:lang w:val="es-ES_tradnl"/>
              </w:rPr>
              <w:t>Tasa máxima final vivienda VIP2.</w:t>
            </w:r>
          </w:p>
        </w:tc>
        <w:tc>
          <w:tcPr>
            <w:tcW w:w="1125" w:type="dxa"/>
          </w:tcPr>
          <w:p w:rsidR="00D75DD4" w:rsidRPr="00E666A5" w:rsidRDefault="00DB0C28" w:rsidP="00D75DD4">
            <w:pPr>
              <w:jc w:val="right"/>
              <w:rPr>
                <w:rFonts w:ascii="Arial" w:hAnsi="Arial" w:cs="Arial"/>
                <w:highlight w:val="yellow"/>
                <w:lang w:val="es-ES_tradnl"/>
              </w:rPr>
            </w:pPr>
            <w:r w:rsidRPr="00E666A5">
              <w:rPr>
                <w:rFonts w:ascii="Arial" w:hAnsi="Arial" w:cs="Arial"/>
                <w:highlight w:val="yellow"/>
                <w:lang w:val="es-ES_tradnl"/>
              </w:rPr>
              <w:t>X</w:t>
            </w:r>
            <w:r w:rsidR="007E5A9F" w:rsidRPr="00E666A5">
              <w:rPr>
                <w:rFonts w:ascii="Arial" w:hAnsi="Arial" w:cs="Arial"/>
                <w:highlight w:val="yellow"/>
                <w:lang w:val="es-ES_tradnl"/>
              </w:rPr>
              <w:t>%</w:t>
            </w:r>
          </w:p>
        </w:tc>
      </w:tr>
    </w:tbl>
    <w:p w:rsidR="007F76FA" w:rsidRPr="00E666A5" w:rsidRDefault="00B84177" w:rsidP="0081519E">
      <w:pPr>
        <w:pStyle w:val="Heading1"/>
        <w:numPr>
          <w:ilvl w:val="0"/>
          <w:numId w:val="28"/>
        </w:numPr>
        <w:spacing w:after="240" w:line="240" w:lineRule="auto"/>
        <w:ind w:left="720" w:hanging="727"/>
        <w:jc w:val="both"/>
        <w:rPr>
          <w:rFonts w:ascii="Arial" w:hAnsi="Arial" w:cs="Arial"/>
          <w:sz w:val="22"/>
          <w:szCs w:val="22"/>
          <w:lang w:val="es-ES_tradnl"/>
        </w:rPr>
      </w:pPr>
      <w:bookmarkStart w:id="10" w:name="_Toc528941817"/>
      <w:r w:rsidRPr="00E666A5">
        <w:rPr>
          <w:rFonts w:ascii="Arial" w:hAnsi="Arial" w:cs="Arial"/>
          <w:b/>
          <w:smallCaps/>
          <w:sz w:val="22"/>
          <w:szCs w:val="22"/>
          <w:lang w:val="es-ES_tradnl"/>
        </w:rPr>
        <w:t>Supervisión, Control e Informes</w:t>
      </w:r>
      <w:bookmarkEnd w:id="10"/>
    </w:p>
    <w:p w:rsidR="00030E21" w:rsidRPr="00E666A5" w:rsidRDefault="009029A4" w:rsidP="00030E21">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Banco de acuerdo previo con </w:t>
      </w:r>
      <w:r w:rsidR="008D1CA5" w:rsidRPr="00E666A5">
        <w:rPr>
          <w:rFonts w:ascii="Arial" w:hAnsi="Arial" w:cs="Arial"/>
          <w:lang w:val="es-ES_tradnl"/>
        </w:rPr>
        <w:t>la UCP</w:t>
      </w:r>
      <w:r w:rsidRPr="00E666A5">
        <w:rPr>
          <w:rFonts w:ascii="Arial" w:hAnsi="Arial" w:cs="Arial"/>
          <w:lang w:val="es-ES_tradnl"/>
        </w:rPr>
        <w:t xml:space="preserve">, podrá inspeccionar el estado de ejecución del </w:t>
      </w:r>
      <w:r w:rsidR="00B84177" w:rsidRPr="00E666A5">
        <w:rPr>
          <w:rFonts w:ascii="Arial" w:hAnsi="Arial" w:cs="Arial"/>
          <w:lang w:val="es-ES_tradnl"/>
        </w:rPr>
        <w:t>p</w:t>
      </w:r>
      <w:r w:rsidR="008D1CA5" w:rsidRPr="00E666A5">
        <w:rPr>
          <w:rFonts w:ascii="Arial" w:hAnsi="Arial" w:cs="Arial"/>
          <w:lang w:val="es-ES_tradnl"/>
        </w:rPr>
        <w:t>rograma cuando lo estime conveniente</w:t>
      </w:r>
      <w:r w:rsidR="00816BFB" w:rsidRPr="00E666A5">
        <w:rPr>
          <w:rFonts w:ascii="Arial" w:hAnsi="Arial" w:cs="Arial"/>
          <w:lang w:val="es-ES_tradnl"/>
        </w:rPr>
        <w:t>, y concertar reuniones con la UCP para evaluar el funcionamiento del mismo.</w:t>
      </w:r>
    </w:p>
    <w:p w:rsidR="005C64D1" w:rsidRPr="00E666A5" w:rsidRDefault="00030E21" w:rsidP="00030E21">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Informes semestrales de progreso. </w:t>
      </w:r>
      <w:r w:rsidR="008D1CA5" w:rsidRPr="00E666A5">
        <w:rPr>
          <w:rFonts w:ascii="Arial" w:hAnsi="Arial" w:cs="Arial"/>
          <w:lang w:val="es-ES_tradnl"/>
        </w:rPr>
        <w:t>La UCP</w:t>
      </w:r>
      <w:r w:rsidR="009029A4" w:rsidRPr="00E666A5">
        <w:rPr>
          <w:rFonts w:ascii="Arial" w:hAnsi="Arial" w:cs="Arial"/>
          <w:lang w:val="es-ES_tradnl"/>
        </w:rPr>
        <w:t xml:space="preserve"> reportará al Banco, a través de Informes Semestrales</w:t>
      </w:r>
      <w:r w:rsidRPr="00E666A5">
        <w:rPr>
          <w:rFonts w:ascii="Arial" w:hAnsi="Arial" w:cs="Arial"/>
          <w:lang w:val="es-ES_tradnl"/>
        </w:rPr>
        <w:t xml:space="preserve"> de Progreso</w:t>
      </w:r>
      <w:r w:rsidR="009029A4" w:rsidRPr="00E666A5">
        <w:rPr>
          <w:rFonts w:ascii="Arial" w:hAnsi="Arial" w:cs="Arial"/>
          <w:lang w:val="es-ES_tradnl"/>
        </w:rPr>
        <w:t>, la evolución de</w:t>
      </w:r>
      <w:r w:rsidR="008D1CA5" w:rsidRPr="00E666A5">
        <w:rPr>
          <w:rFonts w:ascii="Arial" w:hAnsi="Arial" w:cs="Arial"/>
          <w:lang w:val="es-ES_tradnl"/>
        </w:rPr>
        <w:t xml:space="preserve">l </w:t>
      </w:r>
      <w:r w:rsidR="00B84177" w:rsidRPr="00E666A5">
        <w:rPr>
          <w:rFonts w:ascii="Arial" w:hAnsi="Arial" w:cs="Arial"/>
          <w:lang w:val="es-ES_tradnl"/>
        </w:rPr>
        <w:t>p</w:t>
      </w:r>
      <w:r w:rsidR="008D1CA5" w:rsidRPr="00E666A5">
        <w:rPr>
          <w:rFonts w:ascii="Arial" w:hAnsi="Arial" w:cs="Arial"/>
          <w:lang w:val="es-ES_tradnl"/>
        </w:rPr>
        <w:t>rograma</w:t>
      </w:r>
      <w:r w:rsidRPr="00E666A5">
        <w:rPr>
          <w:rFonts w:ascii="Arial" w:hAnsi="Arial" w:cs="Arial"/>
          <w:lang w:val="es-ES_tradnl"/>
        </w:rPr>
        <w:t>,</w:t>
      </w:r>
      <w:r w:rsidR="008D1CA5" w:rsidRPr="00E666A5">
        <w:rPr>
          <w:rFonts w:ascii="Arial" w:hAnsi="Arial" w:cs="Arial"/>
          <w:lang w:val="es-ES_tradnl"/>
        </w:rPr>
        <w:t xml:space="preserve"> con información detallada de las colocaciones por IFI y del estado de los distintos</w:t>
      </w:r>
      <w:r w:rsidR="00257622" w:rsidRPr="00E666A5">
        <w:rPr>
          <w:rFonts w:ascii="Arial" w:hAnsi="Arial" w:cs="Arial"/>
          <w:lang w:val="es-ES_tradnl"/>
        </w:rPr>
        <w:t xml:space="preserve"> FTC</w:t>
      </w:r>
      <w:r w:rsidR="008D1CA5" w:rsidRPr="00E666A5">
        <w:rPr>
          <w:rFonts w:ascii="Arial" w:hAnsi="Arial" w:cs="Arial"/>
          <w:lang w:val="es-ES_tradnl"/>
        </w:rPr>
        <w:t>.</w:t>
      </w:r>
      <w:r w:rsidRPr="00E666A5">
        <w:rPr>
          <w:lang w:val="es-ES_tradnl"/>
        </w:rPr>
        <w:t xml:space="preserve"> </w:t>
      </w:r>
      <w:r w:rsidRPr="00E666A5">
        <w:rPr>
          <w:rFonts w:ascii="Arial" w:hAnsi="Arial" w:cs="Arial"/>
          <w:lang w:val="es-ES_tradnl"/>
        </w:rPr>
        <w:t>Estos informes ser presentados al Banco durante la vigencia de la Garantía dentro de los sesenta (60) días siguientes a la finalización del año (agosto y febrero). Estos informes deberán contener, como mínimo, los siguientes elementos: (i) el informe anual de auditoría del uso de los fondos de conformidad con los principios del bono social; (ii) descripción detallada del estado de ejecución de las Operaciones Elegibles financiadas (montos comprometidos y desembolsados, así como montos de las recuperaciones y condiciones de la Cartera); (iii) los problemas identificados y sugerencias para mejorar la ejecución del Programa; y (iv) los productos y resultados establecidos en la Matriz de Resultados del Programa.</w:t>
      </w:r>
    </w:p>
    <w:p w:rsidR="009029A4" w:rsidRPr="00E666A5" w:rsidRDefault="00891F97"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Evaluación de medio término. </w:t>
      </w:r>
      <w:r w:rsidR="008D1CA5" w:rsidRPr="00E666A5">
        <w:rPr>
          <w:rFonts w:ascii="Arial" w:hAnsi="Arial" w:cs="Arial"/>
          <w:lang w:val="es-ES_tradnl"/>
        </w:rPr>
        <w:t xml:space="preserve">La UCP </w:t>
      </w:r>
      <w:r w:rsidR="009029A4" w:rsidRPr="00E666A5">
        <w:rPr>
          <w:rFonts w:ascii="Arial" w:hAnsi="Arial" w:cs="Arial"/>
          <w:lang w:val="es-ES_tradnl"/>
        </w:rPr>
        <w:t xml:space="preserve">se compromete a que se realice una evaluación de medio término a los treinta (30) meses de entrada en vigencia del Contrato de </w:t>
      </w:r>
      <w:r w:rsidR="00E666A5" w:rsidRPr="00E666A5">
        <w:rPr>
          <w:rFonts w:ascii="Arial" w:hAnsi="Arial" w:cs="Arial"/>
          <w:lang w:val="es-ES_tradnl"/>
        </w:rPr>
        <w:t>Contragarantía</w:t>
      </w:r>
      <w:r w:rsidR="009029A4" w:rsidRPr="00E666A5">
        <w:rPr>
          <w:rFonts w:ascii="Arial" w:hAnsi="Arial" w:cs="Arial"/>
          <w:lang w:val="es-ES_tradnl"/>
        </w:rPr>
        <w:t>, o cuando se haya desembolsado el cincuenta por ciento (50%) de los recursos del financiamiento, lo que ocurra primero, que deberá considerar entre otros, los siguientes aspectos:</w:t>
      </w:r>
    </w:p>
    <w:p w:rsidR="009029A4" w:rsidRPr="00E666A5" w:rsidRDefault="009029A4" w:rsidP="00073F74">
      <w:pPr>
        <w:numPr>
          <w:ilvl w:val="0"/>
          <w:numId w:val="23"/>
        </w:numPr>
        <w:spacing w:before="120" w:after="120" w:line="240" w:lineRule="auto"/>
        <w:ind w:left="1080"/>
        <w:jc w:val="both"/>
        <w:rPr>
          <w:rFonts w:ascii="Arial" w:hAnsi="Arial" w:cs="Arial"/>
          <w:lang w:val="es-ES_tradnl"/>
        </w:rPr>
      </w:pPr>
      <w:r w:rsidRPr="00E666A5">
        <w:rPr>
          <w:rFonts w:ascii="Arial" w:hAnsi="Arial" w:cs="Arial"/>
          <w:lang w:val="es-ES_tradnl"/>
        </w:rPr>
        <w:t xml:space="preserve">Evaluación de las </w:t>
      </w:r>
      <w:r w:rsidR="00B84177" w:rsidRPr="00E666A5">
        <w:rPr>
          <w:rFonts w:ascii="Arial" w:hAnsi="Arial" w:cs="Arial"/>
          <w:lang w:val="es-ES_tradnl"/>
        </w:rPr>
        <w:t>o</w:t>
      </w:r>
      <w:r w:rsidRPr="00E666A5">
        <w:rPr>
          <w:rFonts w:ascii="Arial" w:hAnsi="Arial" w:cs="Arial"/>
          <w:lang w:val="es-ES_tradnl"/>
        </w:rPr>
        <w:t xml:space="preserve">peraciones </w:t>
      </w:r>
      <w:r w:rsidR="00B84177" w:rsidRPr="00E666A5">
        <w:rPr>
          <w:rFonts w:ascii="Arial" w:hAnsi="Arial" w:cs="Arial"/>
          <w:lang w:val="es-ES_tradnl"/>
        </w:rPr>
        <w:t>e</w:t>
      </w:r>
      <w:r w:rsidRPr="00E666A5">
        <w:rPr>
          <w:rFonts w:ascii="Arial" w:hAnsi="Arial" w:cs="Arial"/>
          <w:lang w:val="es-ES_tradnl"/>
        </w:rPr>
        <w:t xml:space="preserve">legibles financiadas, su estado de ejecución y situación de la cartera del </w:t>
      </w:r>
      <w:r w:rsidR="00B84177" w:rsidRPr="00E666A5">
        <w:rPr>
          <w:rFonts w:ascii="Arial" w:hAnsi="Arial" w:cs="Arial"/>
          <w:lang w:val="es-ES_tradnl"/>
        </w:rPr>
        <w:t>p</w:t>
      </w:r>
      <w:r w:rsidR="00816BFB" w:rsidRPr="00E666A5">
        <w:rPr>
          <w:rFonts w:ascii="Arial" w:hAnsi="Arial" w:cs="Arial"/>
          <w:lang w:val="es-ES_tradnl"/>
        </w:rPr>
        <w:t>rograma</w:t>
      </w:r>
      <w:r w:rsidRPr="00E666A5">
        <w:rPr>
          <w:rFonts w:ascii="Arial" w:hAnsi="Arial" w:cs="Arial"/>
          <w:lang w:val="es-ES_tradnl"/>
        </w:rPr>
        <w:t xml:space="preserve"> y,</w:t>
      </w:r>
    </w:p>
    <w:p w:rsidR="009029A4" w:rsidRPr="00E666A5" w:rsidRDefault="009029A4" w:rsidP="00073F74">
      <w:pPr>
        <w:numPr>
          <w:ilvl w:val="0"/>
          <w:numId w:val="23"/>
        </w:numPr>
        <w:spacing w:before="120" w:after="120" w:line="240" w:lineRule="auto"/>
        <w:ind w:left="1080"/>
        <w:jc w:val="both"/>
        <w:rPr>
          <w:rFonts w:ascii="Arial" w:hAnsi="Arial" w:cs="Arial"/>
          <w:lang w:val="es-ES_tradnl"/>
        </w:rPr>
      </w:pPr>
      <w:r w:rsidRPr="00E666A5">
        <w:rPr>
          <w:rFonts w:ascii="Arial" w:hAnsi="Arial" w:cs="Arial"/>
          <w:lang w:val="es-ES_tradnl"/>
        </w:rPr>
        <w:lastRenderedPageBreak/>
        <w:t xml:space="preserve">Problemas confrontados y las recomendaciones que sean necesarias, con el fin de asegurar el cumplimiento de los objetivos del </w:t>
      </w:r>
      <w:r w:rsidR="00B84177" w:rsidRPr="00E666A5">
        <w:rPr>
          <w:rFonts w:ascii="Arial" w:hAnsi="Arial" w:cs="Arial"/>
          <w:lang w:val="es-ES_tradnl"/>
        </w:rPr>
        <w:t>p</w:t>
      </w:r>
      <w:r w:rsidR="00816BFB" w:rsidRPr="00E666A5">
        <w:rPr>
          <w:rFonts w:ascii="Arial" w:hAnsi="Arial" w:cs="Arial"/>
          <w:lang w:val="es-ES_tradnl"/>
        </w:rPr>
        <w:t>rograma</w:t>
      </w:r>
      <w:r w:rsidRPr="00E666A5">
        <w:rPr>
          <w:rFonts w:ascii="Arial" w:hAnsi="Arial" w:cs="Arial"/>
          <w:lang w:val="es-ES_tradnl"/>
        </w:rPr>
        <w:t>.</w:t>
      </w:r>
    </w:p>
    <w:p w:rsidR="00652603" w:rsidRPr="00E666A5" w:rsidRDefault="00030E21" w:rsidP="00030E21">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Informe Final. </w:t>
      </w:r>
      <w:r w:rsidR="007C438F" w:rsidRPr="00E666A5">
        <w:rPr>
          <w:rFonts w:ascii="Arial" w:hAnsi="Arial" w:cs="Arial"/>
          <w:lang w:val="es-ES_tradnl"/>
        </w:rPr>
        <w:t>La</w:t>
      </w:r>
      <w:r w:rsidR="00816BFB" w:rsidRPr="00E666A5">
        <w:rPr>
          <w:rFonts w:ascii="Arial" w:hAnsi="Arial" w:cs="Arial"/>
          <w:lang w:val="es-ES_tradnl"/>
        </w:rPr>
        <w:t xml:space="preserve"> UCP </w:t>
      </w:r>
      <w:r w:rsidR="009029A4" w:rsidRPr="00E666A5">
        <w:rPr>
          <w:rFonts w:ascii="Arial" w:hAnsi="Arial" w:cs="Arial"/>
          <w:lang w:val="es-ES_tradnl"/>
        </w:rPr>
        <w:t xml:space="preserve">presentará al Banco un informe de evaluación final, </w:t>
      </w:r>
      <w:r w:rsidR="00816BFB" w:rsidRPr="00E666A5">
        <w:rPr>
          <w:rFonts w:ascii="Arial" w:hAnsi="Arial" w:cs="Arial"/>
          <w:lang w:val="es-ES_tradnl"/>
        </w:rPr>
        <w:t xml:space="preserve">dentro de los seis meses </w:t>
      </w:r>
      <w:r w:rsidR="009029A4" w:rsidRPr="00E666A5">
        <w:rPr>
          <w:rFonts w:ascii="Arial" w:hAnsi="Arial" w:cs="Arial"/>
          <w:lang w:val="es-ES_tradnl"/>
        </w:rPr>
        <w:t>transcurrido</w:t>
      </w:r>
      <w:r w:rsidR="00816BFB" w:rsidRPr="00E666A5">
        <w:rPr>
          <w:rFonts w:ascii="Arial" w:hAnsi="Arial" w:cs="Arial"/>
          <w:lang w:val="es-ES_tradnl"/>
        </w:rPr>
        <w:t xml:space="preserve">s </w:t>
      </w:r>
      <w:r w:rsidR="009029A4" w:rsidRPr="00E666A5">
        <w:rPr>
          <w:rFonts w:ascii="Arial" w:hAnsi="Arial" w:cs="Arial"/>
          <w:lang w:val="es-ES_tradnl"/>
        </w:rPr>
        <w:t>desde el final del período de desembolso, con la inform</w:t>
      </w:r>
      <w:r w:rsidR="00816BFB" w:rsidRPr="00E666A5">
        <w:rPr>
          <w:rFonts w:ascii="Arial" w:hAnsi="Arial" w:cs="Arial"/>
          <w:lang w:val="es-ES_tradnl"/>
        </w:rPr>
        <w:t xml:space="preserve">ación relevante para evaluar el </w:t>
      </w:r>
      <w:r w:rsidR="009029A4" w:rsidRPr="00E666A5">
        <w:rPr>
          <w:rFonts w:ascii="Arial" w:hAnsi="Arial" w:cs="Arial"/>
          <w:lang w:val="es-ES_tradnl"/>
        </w:rPr>
        <w:t>cump</w:t>
      </w:r>
      <w:r w:rsidR="00816BFB" w:rsidRPr="00E666A5">
        <w:rPr>
          <w:rFonts w:ascii="Arial" w:hAnsi="Arial" w:cs="Arial"/>
          <w:lang w:val="es-ES_tradnl"/>
        </w:rPr>
        <w:t>limiento de los objetivos del programa.</w:t>
      </w:r>
      <w:r w:rsidRPr="00E666A5">
        <w:rPr>
          <w:lang w:val="es-ES_tradnl"/>
        </w:rPr>
        <w:t xml:space="preserve"> </w:t>
      </w:r>
      <w:r w:rsidRPr="00E666A5">
        <w:rPr>
          <w:rFonts w:ascii="Arial" w:hAnsi="Arial" w:cs="Arial"/>
          <w:lang w:val="es-ES_tradnl"/>
        </w:rPr>
        <w:t xml:space="preserve">El informe final deberá presentarse al Banco dentro de los sesenta (60) días siguientes a la finalización del Plazo de Utilización de la Garantía. Este informe contendrá, como mínimo los elementos siguientes: (i) el detalle de los usos de los recursos del Fideicomiso de Administración durante la vigencia del Contrato de Garantía; (ii) los indicadores de productos y resultados contemplados en la Matriz de Indicadores del Programa. </w:t>
      </w:r>
    </w:p>
    <w:p w:rsidR="00891F97" w:rsidRPr="00E666A5" w:rsidRDefault="00030E21" w:rsidP="00891F97">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 xml:space="preserve">Auditoría Financiera. </w:t>
      </w:r>
      <w:r w:rsidR="00652603" w:rsidRPr="00E666A5">
        <w:rPr>
          <w:rFonts w:ascii="Arial" w:hAnsi="Arial" w:cs="Arial"/>
          <w:lang w:val="es-ES_tradnl"/>
        </w:rPr>
        <w:t>La auditoría financiera del proyecto se realizará anualmente por un auditor externo aceptable para el BID, siguiendo las normas de auditoría vigentes del Banco.</w:t>
      </w:r>
    </w:p>
    <w:p w:rsidR="00891F97" w:rsidRPr="00E666A5" w:rsidRDefault="00891F97" w:rsidP="00891F97">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b/>
          <w:lang w:val="es-ES_tradnl"/>
        </w:rPr>
        <w:t>Reuniones de Seguimiento.</w:t>
      </w:r>
      <w:r w:rsidRPr="00E666A5">
        <w:rPr>
          <w:rFonts w:ascii="Arial" w:hAnsi="Arial" w:cs="Arial"/>
          <w:lang w:val="es-ES_tradnl"/>
        </w:rPr>
        <w:t xml:space="preserve"> Reuniones anuales de seguimiento. El Organismo Ejecutor y el Banco acuerdan llevar a cabo una reunión anual de seguimiento, en las cuales se discutirán, entre otros: (i) el avance de las actividades del Programa; (ii) los informes anuales de progreso; y (iii) cualquier incidencia relevante. </w:t>
      </w:r>
    </w:p>
    <w:p w:rsidR="00652603" w:rsidRPr="00E666A5" w:rsidRDefault="00652603" w:rsidP="0081519E">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Adicionalmente, la UCP presentará informes financieros sobre la cuenta del programa, dictaminados por una firma auditora elegible para el Banco, durante el período de 7 (siete) años posteriores a la fecha del último desembolso del financiamiento del Banco. </w:t>
      </w:r>
    </w:p>
    <w:p w:rsidR="00652603" w:rsidRPr="00E666A5" w:rsidRDefault="00652603" w:rsidP="00E91DF2">
      <w:pPr>
        <w:pStyle w:val="Heading1"/>
        <w:numPr>
          <w:ilvl w:val="0"/>
          <w:numId w:val="28"/>
        </w:numPr>
        <w:spacing w:after="240" w:line="240" w:lineRule="auto"/>
        <w:ind w:left="720" w:hanging="727"/>
        <w:jc w:val="both"/>
        <w:rPr>
          <w:rFonts w:ascii="Arial" w:hAnsi="Arial" w:cs="Arial"/>
          <w:b/>
          <w:smallCaps/>
          <w:sz w:val="22"/>
          <w:szCs w:val="22"/>
          <w:lang w:val="es-ES_tradnl"/>
        </w:rPr>
      </w:pPr>
      <w:bookmarkStart w:id="11" w:name="_Toc528941818"/>
      <w:r w:rsidRPr="00E666A5">
        <w:rPr>
          <w:rFonts w:ascii="Arial" w:hAnsi="Arial" w:cs="Arial"/>
          <w:b/>
          <w:smallCaps/>
          <w:sz w:val="22"/>
          <w:szCs w:val="22"/>
          <w:lang w:val="es-ES_tradnl"/>
        </w:rPr>
        <w:t>Sistema de administración de riesgos ambientales y sociales (SARAS)</w:t>
      </w:r>
      <w:bookmarkEnd w:id="11"/>
    </w:p>
    <w:p w:rsidR="00652603" w:rsidRPr="00E666A5" w:rsidRDefault="00652603" w:rsidP="00E91DF2">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Con el fin de cumplir con los requisitos de las Políticas de Salvaguardias Ambientales y Sociales del Banco, el OE cumplirá a plena satisfacción del Banco con los términos contractuales y condiciones siguientes que constituyen el SARAS. </w:t>
      </w:r>
    </w:p>
    <w:p w:rsidR="00652603" w:rsidRPr="00E666A5" w:rsidRDefault="00652603" w:rsidP="00E91DF2">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S</w:t>
      </w:r>
      <w:r w:rsidR="00185058" w:rsidRPr="00E666A5">
        <w:rPr>
          <w:rFonts w:ascii="Arial" w:hAnsi="Arial" w:cs="Arial"/>
          <w:lang w:val="es-ES_tradnl"/>
        </w:rPr>
        <w:t>ó</w:t>
      </w:r>
      <w:r w:rsidRPr="00E666A5">
        <w:rPr>
          <w:rFonts w:ascii="Arial" w:hAnsi="Arial" w:cs="Arial"/>
          <w:lang w:val="es-ES_tradnl"/>
        </w:rPr>
        <w:t xml:space="preserve">lo serán elegibles de financiamiento con recursos del </w:t>
      </w:r>
      <w:r w:rsidR="00EA06FA" w:rsidRPr="00E666A5">
        <w:rPr>
          <w:rFonts w:ascii="Arial" w:hAnsi="Arial" w:cs="Arial"/>
          <w:lang w:val="es-ES_tradnl"/>
        </w:rPr>
        <w:t>p</w:t>
      </w:r>
      <w:r w:rsidRPr="00E666A5">
        <w:rPr>
          <w:rFonts w:ascii="Arial" w:hAnsi="Arial" w:cs="Arial"/>
          <w:lang w:val="es-ES_tradnl"/>
        </w:rPr>
        <w:t>rograma créditos hipotecarios</w:t>
      </w:r>
      <w:r w:rsidR="00185058" w:rsidRPr="00E666A5">
        <w:rPr>
          <w:rFonts w:ascii="Arial" w:hAnsi="Arial" w:cs="Arial"/>
          <w:lang w:val="es-ES_tradnl"/>
        </w:rPr>
        <w:t>:</w:t>
      </w:r>
      <w:r w:rsidRPr="00E666A5">
        <w:rPr>
          <w:rFonts w:ascii="Arial" w:hAnsi="Arial" w:cs="Arial"/>
          <w:lang w:val="es-ES_tradnl"/>
        </w:rPr>
        <w:t xml:space="preserve"> </w:t>
      </w:r>
    </w:p>
    <w:p w:rsidR="00652603" w:rsidRPr="00E666A5" w:rsidRDefault="00652603" w:rsidP="00073F74">
      <w:pPr>
        <w:pStyle w:val="ListParagraph"/>
        <w:numPr>
          <w:ilvl w:val="2"/>
          <w:numId w:val="17"/>
        </w:numPr>
        <w:spacing w:before="120" w:after="120" w:line="240" w:lineRule="auto"/>
        <w:ind w:left="990" w:hanging="270"/>
        <w:contextualSpacing w:val="0"/>
        <w:jc w:val="both"/>
        <w:rPr>
          <w:rFonts w:ascii="Arial" w:hAnsi="Arial" w:cs="Arial"/>
          <w:lang w:val="es-ES_tradnl"/>
        </w:rPr>
      </w:pPr>
      <w:r w:rsidRPr="00E666A5">
        <w:rPr>
          <w:rFonts w:ascii="Arial" w:hAnsi="Arial" w:cs="Arial"/>
          <w:lang w:val="es-ES_tradnl"/>
        </w:rPr>
        <w:t>que cumplen con los criterios de elegibilidad definidos en este ROP</w:t>
      </w:r>
      <w:r w:rsidR="00185058" w:rsidRPr="00E666A5">
        <w:rPr>
          <w:rFonts w:ascii="Arial" w:hAnsi="Arial" w:cs="Arial"/>
          <w:lang w:val="es-ES_tradnl"/>
        </w:rPr>
        <w:t>.</w:t>
      </w:r>
      <w:r w:rsidRPr="00E666A5">
        <w:rPr>
          <w:rFonts w:ascii="Arial" w:hAnsi="Arial" w:cs="Arial"/>
          <w:lang w:val="es-ES_tradnl"/>
        </w:rPr>
        <w:t xml:space="preserve"> </w:t>
      </w:r>
    </w:p>
    <w:p w:rsidR="00652603" w:rsidRPr="00E666A5" w:rsidRDefault="00652603" w:rsidP="00073F74">
      <w:pPr>
        <w:pStyle w:val="ListParagraph"/>
        <w:numPr>
          <w:ilvl w:val="2"/>
          <w:numId w:val="17"/>
        </w:numPr>
        <w:spacing w:before="120" w:after="120" w:line="240" w:lineRule="auto"/>
        <w:ind w:left="990" w:hanging="270"/>
        <w:contextualSpacing w:val="0"/>
        <w:jc w:val="both"/>
        <w:rPr>
          <w:rFonts w:ascii="Arial" w:hAnsi="Arial" w:cs="Arial"/>
          <w:lang w:val="es-ES_tradnl"/>
        </w:rPr>
      </w:pPr>
      <w:r w:rsidRPr="00E666A5">
        <w:rPr>
          <w:rFonts w:ascii="Arial" w:hAnsi="Arial" w:cs="Arial"/>
          <w:lang w:val="es-ES_tradnl"/>
        </w:rPr>
        <w:t xml:space="preserve">que cumplen con la lista de exclusión del </w:t>
      </w:r>
      <w:r w:rsidR="00EA06FA" w:rsidRPr="00E666A5">
        <w:rPr>
          <w:rFonts w:ascii="Arial" w:hAnsi="Arial" w:cs="Arial"/>
          <w:lang w:val="es-ES_tradnl"/>
        </w:rPr>
        <w:t>p</w:t>
      </w:r>
      <w:r w:rsidRPr="00E666A5">
        <w:rPr>
          <w:rFonts w:ascii="Arial" w:hAnsi="Arial" w:cs="Arial"/>
          <w:lang w:val="es-ES_tradnl"/>
        </w:rPr>
        <w:t>rograma (</w:t>
      </w:r>
      <w:r w:rsidRPr="00E666A5">
        <w:rPr>
          <w:rFonts w:ascii="Arial" w:hAnsi="Arial" w:cs="Arial"/>
          <w:highlight w:val="cyan"/>
          <w:lang w:val="es-ES_tradnl"/>
        </w:rPr>
        <w:t xml:space="preserve">ver Anexo </w:t>
      </w:r>
      <w:r w:rsidR="00891F97" w:rsidRPr="00E666A5">
        <w:rPr>
          <w:rFonts w:ascii="Arial" w:hAnsi="Arial" w:cs="Arial"/>
          <w:highlight w:val="cyan"/>
          <w:lang w:val="es-ES_tradnl"/>
        </w:rPr>
        <w:t>I</w:t>
      </w:r>
      <w:r w:rsidRPr="00E666A5">
        <w:rPr>
          <w:rFonts w:ascii="Arial" w:hAnsi="Arial" w:cs="Arial"/>
          <w:lang w:val="es-ES_tradnl"/>
        </w:rPr>
        <w:t>)</w:t>
      </w:r>
      <w:r w:rsidR="00185058" w:rsidRPr="00E666A5">
        <w:rPr>
          <w:rFonts w:ascii="Arial" w:hAnsi="Arial" w:cs="Arial"/>
          <w:lang w:val="es-ES_tradnl"/>
        </w:rPr>
        <w:t>.</w:t>
      </w:r>
    </w:p>
    <w:p w:rsidR="00652603" w:rsidRPr="00E666A5" w:rsidRDefault="00652603" w:rsidP="00073F74">
      <w:pPr>
        <w:pStyle w:val="ListParagraph"/>
        <w:numPr>
          <w:ilvl w:val="2"/>
          <w:numId w:val="17"/>
        </w:numPr>
        <w:spacing w:before="120" w:after="120" w:line="240" w:lineRule="auto"/>
        <w:ind w:left="990" w:hanging="270"/>
        <w:contextualSpacing w:val="0"/>
        <w:jc w:val="both"/>
        <w:rPr>
          <w:rFonts w:ascii="Arial" w:hAnsi="Arial" w:cs="Arial"/>
          <w:lang w:val="es-ES_tradnl"/>
        </w:rPr>
      </w:pPr>
      <w:r w:rsidRPr="00E666A5">
        <w:rPr>
          <w:rFonts w:ascii="Arial" w:hAnsi="Arial" w:cs="Arial"/>
          <w:lang w:val="es-ES_tradnl"/>
        </w:rPr>
        <w:t>que cumplen con todas las leyes y normas nacionales y municipales aplicables</w:t>
      </w:r>
    </w:p>
    <w:p w:rsidR="00652603" w:rsidRPr="00E666A5" w:rsidRDefault="00652603" w:rsidP="00E91DF2">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OE presentara - dentro de su reporte anual del </w:t>
      </w:r>
      <w:r w:rsidR="00EA06FA" w:rsidRPr="00E666A5">
        <w:rPr>
          <w:rFonts w:ascii="Arial" w:hAnsi="Arial" w:cs="Arial"/>
          <w:lang w:val="es-ES_tradnl"/>
        </w:rPr>
        <w:t>p</w:t>
      </w:r>
      <w:r w:rsidRPr="00E666A5">
        <w:rPr>
          <w:rFonts w:ascii="Arial" w:hAnsi="Arial" w:cs="Arial"/>
          <w:lang w:val="es-ES_tradnl"/>
        </w:rPr>
        <w:t xml:space="preserve">rograma - una sección sobre el desempeño ambiental y social del mismo. Este reporte incluirá el reporte anual del bono y cualquier información relevante como, por ejemplo: riesgo particular identificado, cambio regulatorio relevante etc. </w:t>
      </w:r>
    </w:p>
    <w:p w:rsidR="00652603" w:rsidRPr="00E666A5" w:rsidRDefault="00652603" w:rsidP="00E91DF2">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El BID supervisará la aplicación del SARAS para proyectos financiados con el uso de recursos del bono social, según sea necesario por un especialista del BID o un consultor externo contratado por el BID. Para este fin, el OE proveerá y facilitará acceso al BID a toda la documentación relevante, personal y proyectos. El OE será responsable de asignar un coordinador para responder al Banco sobre temas socioambientales. </w:t>
      </w:r>
    </w:p>
    <w:p w:rsidR="00652603" w:rsidRPr="00E666A5" w:rsidRDefault="00652603" w:rsidP="00E91DF2">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lastRenderedPageBreak/>
        <w:t>Si fuera necesario, el BID y el OE acordarán acciones o medidas correctivas necesarias para solventar impactos y riesgos adversos y/o para mejorar su gestión.</w:t>
      </w:r>
    </w:p>
    <w:p w:rsidR="00652603" w:rsidRPr="00E666A5" w:rsidRDefault="00652603" w:rsidP="00073F74">
      <w:pPr>
        <w:jc w:val="both"/>
        <w:rPr>
          <w:rFonts w:ascii="Arial" w:hAnsi="Arial" w:cs="Arial"/>
          <w:sz w:val="4"/>
          <w:szCs w:val="4"/>
          <w:lang w:val="es-ES_tradnl"/>
        </w:rPr>
      </w:pPr>
    </w:p>
    <w:p w:rsidR="00FC30FD" w:rsidRPr="00E666A5" w:rsidRDefault="00B84177" w:rsidP="0081519E">
      <w:pPr>
        <w:pStyle w:val="Heading1"/>
        <w:numPr>
          <w:ilvl w:val="0"/>
          <w:numId w:val="28"/>
        </w:numPr>
        <w:spacing w:after="240" w:line="240" w:lineRule="auto"/>
        <w:ind w:left="720" w:hanging="727"/>
        <w:jc w:val="both"/>
        <w:rPr>
          <w:rFonts w:ascii="Arial" w:hAnsi="Arial" w:cs="Arial"/>
          <w:b/>
          <w:smallCaps/>
          <w:sz w:val="22"/>
          <w:szCs w:val="22"/>
          <w:lang w:val="es-ES_tradnl"/>
        </w:rPr>
      </w:pPr>
      <w:bookmarkStart w:id="12" w:name="_Toc528941819"/>
      <w:r w:rsidRPr="00E666A5">
        <w:rPr>
          <w:rFonts w:ascii="Arial" w:hAnsi="Arial" w:cs="Arial"/>
          <w:b/>
          <w:smallCaps/>
          <w:sz w:val="22"/>
          <w:szCs w:val="22"/>
          <w:lang w:val="es-ES_tradnl"/>
        </w:rPr>
        <w:t>Modificaciones al Reglamento</w:t>
      </w:r>
      <w:bookmarkEnd w:id="12"/>
    </w:p>
    <w:p w:rsidR="005C64D1" w:rsidRPr="00E666A5" w:rsidRDefault="00AC7C6E" w:rsidP="00E91DF2">
      <w:pPr>
        <w:pStyle w:val="ListParagraph"/>
        <w:numPr>
          <w:ilvl w:val="1"/>
          <w:numId w:val="28"/>
        </w:numPr>
        <w:spacing w:before="120" w:after="120" w:line="240" w:lineRule="auto"/>
        <w:ind w:left="720" w:hanging="720"/>
        <w:contextualSpacing w:val="0"/>
        <w:jc w:val="both"/>
        <w:rPr>
          <w:rFonts w:ascii="Arial" w:hAnsi="Arial" w:cs="Arial"/>
          <w:lang w:val="es-ES_tradnl"/>
        </w:rPr>
      </w:pPr>
      <w:r w:rsidRPr="00E666A5">
        <w:rPr>
          <w:rFonts w:ascii="Arial" w:hAnsi="Arial" w:cs="Arial"/>
          <w:lang w:val="es-ES_tradnl"/>
        </w:rPr>
        <w:t xml:space="preserve">La UCP podrá </w:t>
      </w:r>
      <w:r w:rsidR="00C37FA6" w:rsidRPr="00E666A5">
        <w:rPr>
          <w:rFonts w:ascii="Arial" w:hAnsi="Arial" w:cs="Arial"/>
          <w:lang w:val="es-ES_tradnl"/>
        </w:rPr>
        <w:t xml:space="preserve">sugerir modificaciones al presente Reglamento para adaptarlo a nuevas circunstancias o condiciones que pudieran presentarse en el transcurso de su ejecución. Cualquier modificación a este Reglamento se hará conforme a las normas y procedimientos del Banco y </w:t>
      </w:r>
      <w:r w:rsidR="005C64D1" w:rsidRPr="00E666A5">
        <w:rPr>
          <w:rFonts w:ascii="Arial" w:hAnsi="Arial" w:cs="Arial"/>
          <w:lang w:val="es-ES_tradnl"/>
        </w:rPr>
        <w:t>entrará en vigor</w:t>
      </w:r>
      <w:r w:rsidR="00C37FA6" w:rsidRPr="00E666A5">
        <w:rPr>
          <w:rFonts w:ascii="Arial" w:hAnsi="Arial" w:cs="Arial"/>
          <w:lang w:val="es-ES_tradnl"/>
        </w:rPr>
        <w:t xml:space="preserve"> una vez que el BID exprese su no</w:t>
      </w:r>
      <w:r w:rsidR="00B84177" w:rsidRPr="00E666A5">
        <w:rPr>
          <w:rFonts w:ascii="Arial" w:hAnsi="Arial" w:cs="Arial"/>
          <w:lang w:val="es-ES_tradnl"/>
        </w:rPr>
        <w:t>˗</w:t>
      </w:r>
      <w:r w:rsidR="00C37FA6" w:rsidRPr="00E666A5">
        <w:rPr>
          <w:rFonts w:ascii="Arial" w:hAnsi="Arial" w:cs="Arial"/>
          <w:lang w:val="es-ES_tradnl"/>
        </w:rPr>
        <w:t>objeción</w:t>
      </w:r>
      <w:r w:rsidR="005C64D1" w:rsidRPr="00E666A5">
        <w:rPr>
          <w:rFonts w:ascii="Arial" w:hAnsi="Arial" w:cs="Arial"/>
          <w:lang w:val="es-ES_tradnl"/>
        </w:rPr>
        <w:t>.</w:t>
      </w:r>
    </w:p>
    <w:p w:rsidR="00652603" w:rsidRPr="00E666A5" w:rsidRDefault="00652603">
      <w:pPr>
        <w:spacing w:before="120" w:after="120" w:line="240" w:lineRule="auto"/>
        <w:jc w:val="both"/>
        <w:rPr>
          <w:rFonts w:ascii="Arial" w:hAnsi="Arial" w:cs="Arial"/>
          <w:lang w:val="es-ES_tradnl"/>
        </w:rPr>
      </w:pPr>
    </w:p>
    <w:p w:rsidR="007C0780" w:rsidRPr="00E666A5" w:rsidRDefault="007C0780">
      <w:pPr>
        <w:jc w:val="both"/>
        <w:rPr>
          <w:rFonts w:ascii="Arial" w:hAnsi="Arial" w:cs="Arial"/>
          <w:lang w:val="es-ES_tradnl"/>
        </w:rPr>
      </w:pPr>
    </w:p>
    <w:p w:rsidR="007C0780" w:rsidRPr="00E666A5" w:rsidRDefault="007C0780">
      <w:pPr>
        <w:jc w:val="both"/>
        <w:rPr>
          <w:rFonts w:ascii="Arial" w:hAnsi="Arial" w:cs="Arial"/>
          <w:lang w:val="es-ES_tradnl"/>
        </w:rPr>
      </w:pPr>
    </w:p>
    <w:p w:rsidR="00173841" w:rsidRPr="00E666A5" w:rsidRDefault="00173841">
      <w:pPr>
        <w:jc w:val="both"/>
        <w:rPr>
          <w:rFonts w:ascii="Arial" w:hAnsi="Arial" w:cs="Arial"/>
          <w:lang w:val="es-ES_tradnl"/>
        </w:rPr>
      </w:pPr>
    </w:p>
    <w:p w:rsidR="007C0780" w:rsidRPr="00E666A5" w:rsidRDefault="007C0780">
      <w:pPr>
        <w:jc w:val="both"/>
        <w:rPr>
          <w:rFonts w:ascii="Arial" w:hAnsi="Arial" w:cs="Arial"/>
          <w:lang w:val="es-ES_tradnl"/>
        </w:rPr>
      </w:pPr>
    </w:p>
    <w:p w:rsidR="00081EAD" w:rsidRPr="00E666A5" w:rsidRDefault="00081EAD">
      <w:pPr>
        <w:jc w:val="both"/>
        <w:rPr>
          <w:rFonts w:ascii="Arial" w:hAnsi="Arial" w:cs="Arial"/>
          <w:lang w:val="es-ES_tradnl"/>
        </w:rPr>
      </w:pPr>
    </w:p>
    <w:p w:rsidR="006F18E4" w:rsidRPr="00E666A5" w:rsidRDefault="006F18E4" w:rsidP="00073F74">
      <w:pPr>
        <w:jc w:val="both"/>
        <w:rPr>
          <w:rFonts w:ascii="Arial" w:eastAsiaTheme="majorEastAsia" w:hAnsi="Arial" w:cs="Arial"/>
          <w:b/>
          <w:lang w:val="es-ES_tradnl"/>
        </w:rPr>
      </w:pPr>
      <w:r w:rsidRPr="00E666A5">
        <w:rPr>
          <w:rFonts w:ascii="Arial" w:hAnsi="Arial" w:cs="Arial"/>
          <w:b/>
          <w:lang w:val="es-ES_tradnl"/>
        </w:rPr>
        <w:br w:type="page"/>
      </w:r>
    </w:p>
    <w:p w:rsidR="00652603" w:rsidRPr="00E666A5" w:rsidRDefault="00484355" w:rsidP="00652603">
      <w:pPr>
        <w:pStyle w:val="Heading1"/>
        <w:jc w:val="both"/>
        <w:rPr>
          <w:rFonts w:ascii="Arial" w:hAnsi="Arial" w:cs="Arial"/>
          <w:b/>
          <w:sz w:val="22"/>
          <w:szCs w:val="22"/>
          <w:lang w:val="es-ES_tradnl"/>
        </w:rPr>
      </w:pPr>
      <w:bookmarkStart w:id="13" w:name="_Toc528941820"/>
      <w:r w:rsidRPr="00E666A5">
        <w:rPr>
          <w:rFonts w:ascii="Arial" w:hAnsi="Arial" w:cs="Arial"/>
          <w:b/>
          <w:sz w:val="22"/>
          <w:szCs w:val="22"/>
          <w:lang w:val="es-ES_tradnl"/>
        </w:rPr>
        <w:lastRenderedPageBreak/>
        <w:t xml:space="preserve">ANEXO 1. </w:t>
      </w:r>
      <w:r w:rsidR="00B214BC" w:rsidRPr="00E666A5">
        <w:rPr>
          <w:rFonts w:ascii="Arial Bold" w:hAnsi="Arial Bold" w:cs="Arial"/>
          <w:b/>
          <w:smallCaps/>
          <w:sz w:val="22"/>
          <w:szCs w:val="22"/>
          <w:lang w:val="es-ES_tradnl"/>
        </w:rPr>
        <w:t>Lista de Exclusión</w:t>
      </w:r>
      <w:bookmarkEnd w:id="13"/>
      <w:r w:rsidRPr="00E666A5">
        <w:rPr>
          <w:rFonts w:ascii="Arial" w:hAnsi="Arial" w:cs="Arial"/>
          <w:b/>
          <w:sz w:val="22"/>
          <w:szCs w:val="22"/>
          <w:lang w:val="es-ES_tradnl"/>
        </w:rPr>
        <w:t xml:space="preserve"> </w:t>
      </w:r>
    </w:p>
    <w:p w:rsidR="00652603" w:rsidRPr="00E666A5" w:rsidRDefault="00652603" w:rsidP="00073F74">
      <w:pPr>
        <w:spacing w:before="120" w:after="120" w:line="240" w:lineRule="auto"/>
        <w:rPr>
          <w:rFonts w:ascii="Arial" w:hAnsi="Arial" w:cs="Arial"/>
          <w:lang w:val="es-ES_tradnl"/>
        </w:rPr>
      </w:pPr>
    </w:p>
    <w:p w:rsidR="00652603" w:rsidRPr="00E666A5" w:rsidRDefault="00652603" w:rsidP="00073F74">
      <w:pPr>
        <w:spacing w:before="120" w:after="120" w:line="240" w:lineRule="auto"/>
        <w:jc w:val="both"/>
        <w:rPr>
          <w:rFonts w:ascii="Arial" w:hAnsi="Arial" w:cs="Arial"/>
          <w:lang w:val="es-ES_tradnl"/>
        </w:rPr>
      </w:pPr>
      <w:r w:rsidRPr="00E666A5">
        <w:rPr>
          <w:rFonts w:ascii="Arial" w:hAnsi="Arial" w:cs="Arial"/>
          <w:lang w:val="es-ES_tradnl"/>
        </w:rPr>
        <w:t xml:space="preserve">No se podrá financiar </w:t>
      </w:r>
      <w:r w:rsidR="00EA06FA" w:rsidRPr="00E666A5">
        <w:rPr>
          <w:rFonts w:ascii="Arial" w:hAnsi="Arial" w:cs="Arial"/>
          <w:lang w:val="es-ES_tradnl"/>
        </w:rPr>
        <w:t>‒</w:t>
      </w:r>
      <w:r w:rsidRPr="00E666A5">
        <w:rPr>
          <w:rFonts w:ascii="Arial" w:hAnsi="Arial" w:cs="Arial"/>
          <w:lang w:val="es-ES_tradnl"/>
        </w:rPr>
        <w:t>con recursos del programa</w:t>
      </w:r>
      <w:r w:rsidR="00EA06FA" w:rsidRPr="00E666A5">
        <w:rPr>
          <w:rFonts w:ascii="Arial" w:hAnsi="Arial" w:cs="Arial"/>
          <w:lang w:val="es-ES_tradnl"/>
        </w:rPr>
        <w:t>‒</w:t>
      </w:r>
      <w:r w:rsidRPr="00E666A5">
        <w:rPr>
          <w:rFonts w:ascii="Arial" w:hAnsi="Arial" w:cs="Arial"/>
          <w:lang w:val="es-ES_tradnl"/>
        </w:rPr>
        <w:t xml:space="preserve"> créditos hipotecarios relacionados a viviendas:</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hAnsi="Arial" w:cs="Arial"/>
          <w:lang w:val="es-ES_tradnl"/>
        </w:rPr>
      </w:pPr>
      <w:r w:rsidRPr="00E666A5">
        <w:rPr>
          <w:rFonts w:ascii="Arial" w:hAnsi="Arial" w:cs="Arial"/>
          <w:lang w:val="es-ES_tradnl"/>
        </w:rPr>
        <w:t>Que no cumplen con los criterios de elegibilidad incluidos en el ROP</w:t>
      </w:r>
      <w:r w:rsidR="00B214BC" w:rsidRPr="00E666A5">
        <w:rPr>
          <w:rFonts w:ascii="Arial" w:hAnsi="Arial" w:cs="Arial"/>
          <w:lang w:val="es-ES_tradnl"/>
        </w:rPr>
        <w:t>.</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eastAsia="Times New Roman" w:hAnsi="Arial" w:cs="Arial"/>
          <w:lang w:val="es-ES_tradnl"/>
        </w:rPr>
      </w:pPr>
      <w:r w:rsidRPr="00E666A5">
        <w:rPr>
          <w:rFonts w:ascii="Arial" w:hAnsi="Arial" w:cs="Arial"/>
          <w:lang w:val="es-ES_tradnl"/>
        </w:rPr>
        <w:t>Que no cumplen con la normativa local</w:t>
      </w:r>
      <w:r w:rsidR="00B214BC" w:rsidRPr="00E666A5">
        <w:rPr>
          <w:rFonts w:ascii="Arial" w:hAnsi="Arial" w:cs="Arial"/>
          <w:lang w:val="es-ES_tradnl"/>
        </w:rPr>
        <w:t>.</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eastAsia="Times New Roman" w:hAnsi="Arial" w:cs="Arial"/>
          <w:lang w:val="es-ES_tradnl"/>
        </w:rPr>
      </w:pPr>
      <w:r w:rsidRPr="00E666A5">
        <w:rPr>
          <w:rFonts w:ascii="Arial" w:hAnsi="Arial" w:cs="Arial"/>
          <w:lang w:val="es-ES_tradnl"/>
        </w:rPr>
        <w:t>Ubicadas en áreas donde las actividades de uso del suelo anteriores podrían resultar en riesgos ambientales localizados, como por ejemplo rellenos sanitarios abandonados o áreas de desechos, centros de producción industrial, etc.</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hAnsi="Arial" w:cs="Arial"/>
          <w:lang w:val="es-ES_tradnl"/>
        </w:rPr>
      </w:pPr>
      <w:r w:rsidRPr="00E666A5">
        <w:rPr>
          <w:rFonts w:ascii="Arial" w:hAnsi="Arial" w:cs="Arial"/>
          <w:lang w:val="es-ES_tradnl"/>
        </w:rPr>
        <w:t>Ubicadas en terrenos que presenten riesgos significativos de peligro a la salud humana, tales como contaminación de suelo o aguas subterráneas</w:t>
      </w:r>
      <w:r w:rsidR="00EA06FA" w:rsidRPr="00E666A5">
        <w:rPr>
          <w:rFonts w:ascii="Arial" w:hAnsi="Arial" w:cs="Arial"/>
          <w:lang w:val="es-ES_tradnl"/>
        </w:rPr>
        <w:t xml:space="preserve"> </w:t>
      </w:r>
      <w:r w:rsidRPr="00E666A5">
        <w:rPr>
          <w:rFonts w:ascii="Arial" w:hAnsi="Arial" w:cs="Arial"/>
          <w:lang w:val="es-ES_tradnl"/>
        </w:rPr>
        <w:t>o con presencia de gases/materiales peligrosos</w:t>
      </w:r>
      <w:r w:rsidR="00B214BC" w:rsidRPr="00E666A5">
        <w:rPr>
          <w:rFonts w:ascii="Arial" w:hAnsi="Arial" w:cs="Arial"/>
          <w:lang w:val="es-ES_tradnl"/>
        </w:rPr>
        <w:t>.</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hAnsi="Arial" w:cs="Arial"/>
          <w:lang w:val="es-ES_tradnl"/>
        </w:rPr>
      </w:pPr>
      <w:r w:rsidRPr="00E666A5">
        <w:rPr>
          <w:rFonts w:ascii="Arial" w:hAnsi="Arial" w:cs="Arial"/>
          <w:lang w:val="es-ES_tradnl"/>
        </w:rPr>
        <w:t>Viviendas ubicadas en áreas de relevancia ambiental: (i) en áreas protegidas (ii) y áreas designadas de alto valor para la conservación biológica (</w:t>
      </w:r>
      <w:r w:rsidRPr="00E666A5">
        <w:rPr>
          <w:rFonts w:ascii="Arial" w:hAnsi="Arial" w:cs="Arial"/>
          <w:i/>
          <w:iCs/>
          <w:lang w:val="es-ES_tradnl"/>
        </w:rPr>
        <w:t>High Value Conservation Area</w:t>
      </w:r>
      <w:r w:rsidRPr="00E666A5">
        <w:rPr>
          <w:rFonts w:ascii="Arial" w:hAnsi="Arial" w:cs="Arial"/>
          <w:lang w:val="es-ES_tradnl"/>
        </w:rPr>
        <w:t>: HVCA), (2) sitios Ramsar, (3) áreas designadas por La Alianza para Extinción Zero, y (4) Áreas Importantes para la Conservación de Aves (AICAS) – un mapa detallado de estas zonas será incluido en el ROP</w:t>
      </w:r>
      <w:r w:rsidR="00B214BC" w:rsidRPr="00E666A5">
        <w:rPr>
          <w:rFonts w:ascii="Arial" w:hAnsi="Arial" w:cs="Arial"/>
          <w:lang w:val="es-ES_tradnl"/>
        </w:rPr>
        <w:t>.</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hAnsi="Arial" w:cs="Arial"/>
          <w:lang w:val="es-ES_tradnl"/>
        </w:rPr>
      </w:pPr>
      <w:r w:rsidRPr="00E666A5">
        <w:rPr>
          <w:rFonts w:ascii="Arial" w:hAnsi="Arial" w:cs="Arial"/>
          <w:lang w:val="es-ES_tradnl"/>
        </w:rPr>
        <w:t>Viviendas ubicadas en áreas donde se tenga la influencia de actividades de alto riesgo ambiental (por ejemplo, almacenamiento de materiales peligrosas, alto potencial de explosiones o incendios, emisiones gaseosas, etc.).</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eastAsia="Times New Roman" w:hAnsi="Arial" w:cs="Arial"/>
          <w:lang w:val="es-ES_tradnl"/>
        </w:rPr>
      </w:pPr>
      <w:r w:rsidRPr="00E666A5">
        <w:rPr>
          <w:rFonts w:ascii="Arial" w:hAnsi="Arial" w:cs="Arial"/>
          <w:shd w:val="clear" w:color="auto" w:fill="FFFFFF"/>
          <w:lang w:val="es-ES_tradnl"/>
        </w:rPr>
        <w:t>Ubicadas en áreas donde existan demandas legales sobre los terrenos adquiridos o estén en litigio o existan demandas de grupos sociales que perciban derechos sobre la titularidad de los terrenos</w:t>
      </w:r>
      <w:r w:rsidRPr="00E666A5">
        <w:rPr>
          <w:rFonts w:ascii="Arial" w:hAnsi="Arial" w:cs="Arial"/>
          <w:lang w:val="es-ES_tradnl"/>
        </w:rPr>
        <w:t>.</w:t>
      </w:r>
    </w:p>
    <w:p w:rsidR="00652603" w:rsidRPr="00E666A5" w:rsidRDefault="00652603" w:rsidP="00073F74">
      <w:pPr>
        <w:pStyle w:val="ListParagraph"/>
        <w:numPr>
          <w:ilvl w:val="0"/>
          <w:numId w:val="27"/>
        </w:numPr>
        <w:spacing w:before="120" w:after="120" w:line="240" w:lineRule="auto"/>
        <w:ind w:left="360"/>
        <w:contextualSpacing w:val="0"/>
        <w:jc w:val="both"/>
        <w:rPr>
          <w:rFonts w:ascii="Arial" w:hAnsi="Arial" w:cs="Arial"/>
          <w:shd w:val="clear" w:color="auto" w:fill="FFFFFF"/>
          <w:lang w:val="es-ES_tradnl"/>
        </w:rPr>
      </w:pPr>
      <w:r w:rsidRPr="00E666A5">
        <w:rPr>
          <w:rFonts w:ascii="Arial" w:hAnsi="Arial" w:cs="Arial"/>
          <w:shd w:val="clear" w:color="auto" w:fill="FFFFFF"/>
          <w:lang w:val="es-ES_tradnl"/>
        </w:rPr>
        <w:t>Ubicadas en áreas donde existan demandas por Pueblos Indígenas</w:t>
      </w:r>
      <w:r w:rsidR="00B214BC" w:rsidRPr="00E666A5">
        <w:rPr>
          <w:rFonts w:ascii="Arial" w:hAnsi="Arial" w:cs="Arial"/>
          <w:shd w:val="clear" w:color="auto" w:fill="FFFFFF"/>
          <w:lang w:val="es-ES_tradnl"/>
        </w:rPr>
        <w:t>.</w:t>
      </w:r>
    </w:p>
    <w:p w:rsidR="00652603" w:rsidRPr="00E666A5" w:rsidRDefault="00652603" w:rsidP="00073F74">
      <w:pPr>
        <w:pStyle w:val="Heading1"/>
        <w:ind w:left="360" w:hanging="360"/>
        <w:jc w:val="both"/>
        <w:rPr>
          <w:rFonts w:ascii="Arial" w:hAnsi="Arial" w:cs="Arial"/>
          <w:b/>
          <w:sz w:val="22"/>
          <w:szCs w:val="22"/>
          <w:lang w:val="es-ES_tradnl"/>
        </w:rPr>
      </w:pPr>
    </w:p>
    <w:p w:rsidR="00652603" w:rsidRPr="00E666A5" w:rsidRDefault="00652603" w:rsidP="005C64D1">
      <w:pPr>
        <w:pStyle w:val="Heading1"/>
        <w:jc w:val="both"/>
        <w:rPr>
          <w:rFonts w:ascii="Arial" w:hAnsi="Arial" w:cs="Arial"/>
          <w:b/>
          <w:sz w:val="22"/>
          <w:szCs w:val="22"/>
          <w:lang w:val="es-ES_tradnl"/>
        </w:rPr>
      </w:pPr>
    </w:p>
    <w:p w:rsidR="00652603" w:rsidRPr="00E666A5" w:rsidRDefault="00652603" w:rsidP="005C64D1">
      <w:pPr>
        <w:pStyle w:val="Heading1"/>
        <w:jc w:val="both"/>
        <w:rPr>
          <w:rFonts w:ascii="Arial" w:hAnsi="Arial" w:cs="Arial"/>
          <w:b/>
          <w:sz w:val="22"/>
          <w:szCs w:val="22"/>
          <w:lang w:val="es-ES_tradnl"/>
        </w:rPr>
      </w:pPr>
    </w:p>
    <w:p w:rsidR="00652603" w:rsidRPr="00E666A5" w:rsidRDefault="00652603" w:rsidP="005C64D1">
      <w:pPr>
        <w:pStyle w:val="Heading1"/>
        <w:jc w:val="both"/>
        <w:rPr>
          <w:rFonts w:ascii="Arial" w:hAnsi="Arial" w:cs="Arial"/>
          <w:b/>
          <w:sz w:val="22"/>
          <w:szCs w:val="22"/>
          <w:lang w:val="es-ES_tradnl"/>
        </w:rPr>
      </w:pPr>
    </w:p>
    <w:p w:rsidR="00652603" w:rsidRPr="00E666A5" w:rsidRDefault="00652603" w:rsidP="00652603">
      <w:pPr>
        <w:rPr>
          <w:rFonts w:ascii="Arial" w:hAnsi="Arial" w:cs="Arial"/>
          <w:lang w:val="es-ES_tradnl"/>
        </w:rPr>
      </w:pPr>
    </w:p>
    <w:p w:rsidR="00652603" w:rsidRPr="00E666A5" w:rsidRDefault="00652603" w:rsidP="00652603">
      <w:pPr>
        <w:rPr>
          <w:rFonts w:ascii="Arial" w:hAnsi="Arial" w:cs="Arial"/>
          <w:lang w:val="es-ES_tradnl"/>
        </w:rPr>
      </w:pPr>
    </w:p>
    <w:p w:rsidR="00652603" w:rsidRPr="00E666A5" w:rsidRDefault="00652603" w:rsidP="00652603">
      <w:pPr>
        <w:rPr>
          <w:rFonts w:ascii="Arial" w:hAnsi="Arial" w:cs="Arial"/>
          <w:lang w:val="es-ES_tradnl"/>
        </w:rPr>
      </w:pPr>
    </w:p>
    <w:p w:rsidR="00484355" w:rsidRPr="002A554E" w:rsidRDefault="00484355" w:rsidP="00484355">
      <w:pPr>
        <w:pStyle w:val="Heading1"/>
        <w:jc w:val="both"/>
        <w:rPr>
          <w:rFonts w:ascii="Arial" w:hAnsi="Arial" w:cs="Arial"/>
          <w:b/>
          <w:sz w:val="22"/>
          <w:szCs w:val="22"/>
          <w:lang w:val="es-ES_tradnl"/>
        </w:rPr>
      </w:pPr>
      <w:bookmarkStart w:id="14" w:name="_Toc528941821"/>
      <w:r w:rsidRPr="002A554E">
        <w:rPr>
          <w:rFonts w:ascii="Arial" w:hAnsi="Arial" w:cs="Arial"/>
          <w:b/>
          <w:sz w:val="22"/>
          <w:szCs w:val="22"/>
          <w:lang w:val="es-ES_tradnl"/>
        </w:rPr>
        <w:lastRenderedPageBreak/>
        <w:t xml:space="preserve">ANEXO 2: </w:t>
      </w:r>
      <w:r w:rsidR="00B214BC" w:rsidRPr="002A554E">
        <w:rPr>
          <w:rFonts w:ascii="Arial Bold" w:hAnsi="Arial Bold" w:cs="Arial"/>
          <w:b/>
          <w:smallCaps/>
          <w:sz w:val="22"/>
          <w:szCs w:val="22"/>
          <w:lang w:val="es-ES_tradnl"/>
        </w:rPr>
        <w:t>Matriz de Indicadores</w:t>
      </w:r>
      <w:bookmarkEnd w:id="14"/>
      <w:r w:rsidR="002A554E" w:rsidRPr="002A554E">
        <w:rPr>
          <w:rFonts w:ascii="Arial Bold" w:hAnsi="Arial Bold" w:cs="Arial"/>
          <w:b/>
          <w:smallCaps/>
          <w:sz w:val="22"/>
          <w:szCs w:val="22"/>
          <w:lang w:val="es-ES_tradnl"/>
        </w:rPr>
        <w:t xml:space="preserve"> (</w:t>
      </w:r>
      <w:r w:rsidR="002A554E">
        <w:rPr>
          <w:rFonts w:ascii="Arial Bold" w:hAnsi="Arial Bold" w:cs="Arial"/>
          <w:b/>
          <w:sz w:val="22"/>
          <w:szCs w:val="22"/>
          <w:lang w:val="es-ES_tradnl"/>
        </w:rPr>
        <w:t>E</w:t>
      </w:r>
      <w:r w:rsidR="002A554E" w:rsidRPr="002A554E">
        <w:rPr>
          <w:rFonts w:ascii="Arial Bold" w:hAnsi="Arial Bold" w:cs="Arial"/>
          <w:b/>
          <w:sz w:val="22"/>
          <w:szCs w:val="22"/>
          <w:lang w:val="es-ES_tradnl"/>
        </w:rPr>
        <w:t>n preparación</w:t>
      </w:r>
      <w:r w:rsidR="002A554E" w:rsidRPr="002A554E">
        <w:rPr>
          <w:rFonts w:ascii="Arial Bold" w:hAnsi="Arial Bold" w:cs="Arial"/>
          <w:b/>
          <w:smallCaps/>
          <w:sz w:val="22"/>
          <w:szCs w:val="22"/>
          <w:lang w:val="es-ES_tradnl"/>
        </w:rPr>
        <w:t>)</w:t>
      </w:r>
      <w:r w:rsidR="002A554E">
        <w:rPr>
          <w:rFonts w:ascii="Arial Bold" w:hAnsi="Arial Bold" w:cs="Arial"/>
          <w:b/>
          <w:smallCaps/>
          <w:sz w:val="22"/>
          <w:szCs w:val="22"/>
          <w:lang w:val="es-ES_tradnl"/>
        </w:rPr>
        <w:t>.</w:t>
      </w: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bookmarkStart w:id="15" w:name="_GoBack"/>
      <w:bookmarkEnd w:id="15"/>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484355" w:rsidRPr="002A554E" w:rsidRDefault="00484355" w:rsidP="005C64D1">
      <w:pPr>
        <w:pStyle w:val="Heading1"/>
        <w:jc w:val="both"/>
        <w:rPr>
          <w:rFonts w:ascii="Arial" w:hAnsi="Arial" w:cs="Arial"/>
          <w:b/>
          <w:sz w:val="22"/>
          <w:szCs w:val="22"/>
          <w:lang w:val="es-ES_tradnl"/>
        </w:rPr>
      </w:pPr>
    </w:p>
    <w:p w:rsidR="007D2EC5" w:rsidRPr="002A554E" w:rsidRDefault="00D04C9E" w:rsidP="005C64D1">
      <w:pPr>
        <w:pStyle w:val="Heading1"/>
        <w:jc w:val="both"/>
        <w:rPr>
          <w:rFonts w:ascii="Arial" w:hAnsi="Arial" w:cs="Arial"/>
          <w:b/>
          <w:sz w:val="22"/>
          <w:szCs w:val="22"/>
          <w:lang w:val="pt-BR"/>
        </w:rPr>
      </w:pPr>
      <w:bookmarkStart w:id="16" w:name="_Toc528941822"/>
      <w:r w:rsidRPr="002A554E">
        <w:rPr>
          <w:rFonts w:ascii="Arial" w:hAnsi="Arial" w:cs="Arial"/>
          <w:b/>
          <w:sz w:val="22"/>
          <w:szCs w:val="22"/>
          <w:lang w:val="pt-BR"/>
        </w:rPr>
        <w:t xml:space="preserve">ANEXO </w:t>
      </w:r>
      <w:r w:rsidR="00484355" w:rsidRPr="002A554E">
        <w:rPr>
          <w:rFonts w:ascii="Arial" w:hAnsi="Arial" w:cs="Arial"/>
          <w:b/>
          <w:sz w:val="22"/>
          <w:szCs w:val="22"/>
          <w:lang w:val="pt-BR"/>
        </w:rPr>
        <w:t>3</w:t>
      </w:r>
      <w:r w:rsidRPr="002A554E">
        <w:rPr>
          <w:rFonts w:ascii="Arial" w:hAnsi="Arial" w:cs="Arial"/>
          <w:b/>
          <w:sz w:val="22"/>
          <w:szCs w:val="22"/>
          <w:lang w:val="pt-BR"/>
        </w:rPr>
        <w:t>:</w:t>
      </w:r>
      <w:r w:rsidR="00FC30FD" w:rsidRPr="002A554E">
        <w:rPr>
          <w:rFonts w:ascii="Arial" w:hAnsi="Arial" w:cs="Arial"/>
          <w:b/>
          <w:sz w:val="22"/>
          <w:szCs w:val="22"/>
          <w:lang w:val="pt-BR"/>
        </w:rPr>
        <w:t xml:space="preserve"> </w:t>
      </w:r>
      <w:r w:rsidR="00A20669" w:rsidRPr="002A554E">
        <w:rPr>
          <w:rFonts w:ascii="Arial Bold" w:hAnsi="Arial Bold" w:cs="Arial"/>
          <w:b/>
          <w:smallCaps/>
          <w:sz w:val="22"/>
          <w:szCs w:val="22"/>
          <w:lang w:val="pt-BR"/>
        </w:rPr>
        <w:t>Modelos de c</w:t>
      </w:r>
      <w:r w:rsidR="00B214BC" w:rsidRPr="002A554E">
        <w:rPr>
          <w:rFonts w:ascii="Arial Bold" w:hAnsi="Arial Bold" w:cs="Arial"/>
          <w:b/>
          <w:smallCaps/>
          <w:sz w:val="22"/>
          <w:szCs w:val="22"/>
          <w:lang w:val="pt-BR"/>
        </w:rPr>
        <w:t>ontrato</w:t>
      </w:r>
      <w:bookmarkEnd w:id="16"/>
    </w:p>
    <w:sectPr w:rsidR="007D2EC5" w:rsidRPr="002A554E" w:rsidSect="00081EAD">
      <w:headerReference w:type="even" r:id="rId8"/>
      <w:headerReference w:type="default" r:id="rId9"/>
      <w:footerReference w:type="even" r:id="rId10"/>
      <w:footerReference w:type="default" r:id="rId11"/>
      <w:headerReference w:type="first" r:id="rId12"/>
      <w:footerReference w:type="first" r:id="rId13"/>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297" w:rsidRDefault="009E1297" w:rsidP="002354E6">
      <w:pPr>
        <w:spacing w:after="0" w:line="240" w:lineRule="auto"/>
      </w:pPr>
      <w:r>
        <w:separator/>
      </w:r>
    </w:p>
  </w:endnote>
  <w:endnote w:type="continuationSeparator" w:id="0">
    <w:p w:rsidR="009E1297" w:rsidRDefault="009E1297" w:rsidP="00235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94" w:rsidRDefault="00B97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94" w:rsidRDefault="00B97C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94" w:rsidRDefault="00B97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297" w:rsidRDefault="009E1297" w:rsidP="002354E6">
      <w:pPr>
        <w:spacing w:after="0" w:line="240" w:lineRule="auto"/>
      </w:pPr>
      <w:r>
        <w:separator/>
      </w:r>
    </w:p>
  </w:footnote>
  <w:footnote w:type="continuationSeparator" w:id="0">
    <w:p w:rsidR="009E1297" w:rsidRDefault="009E1297" w:rsidP="00235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94" w:rsidRDefault="009E12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690157" o:spid="_x0000_s2050"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94" w:rsidRDefault="009E12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690158" o:spid="_x0000_s2051" type="#_x0000_t136" style="position:absolute;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94" w:rsidRDefault="009E12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690156" o:spid="_x0000_s2049" type="#_x0000_t136" style="position:absolute;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47CC2"/>
    <w:multiLevelType w:val="hybridMultilevel"/>
    <w:tmpl w:val="310291C4"/>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A34556"/>
    <w:multiLevelType w:val="hybridMultilevel"/>
    <w:tmpl w:val="CA88450C"/>
    <w:lvl w:ilvl="0" w:tplc="B404AA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3C356A9"/>
    <w:multiLevelType w:val="hybridMultilevel"/>
    <w:tmpl w:val="992CA094"/>
    <w:lvl w:ilvl="0" w:tplc="7C5EC0E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15:restartNumberingAfterBreak="0">
    <w:nsid w:val="17EF71C5"/>
    <w:multiLevelType w:val="multilevel"/>
    <w:tmpl w:val="DD5240D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94635C"/>
    <w:multiLevelType w:val="multilevel"/>
    <w:tmpl w:val="5164E35E"/>
    <w:lvl w:ilvl="0">
      <w:start w:val="1"/>
      <w:numFmt w:val="upperRoman"/>
      <w:lvlRestart w:val="0"/>
      <w:pStyle w:val="Chapter"/>
      <w:lvlText w:val="%1."/>
      <w:lvlJc w:val="center"/>
      <w:pPr>
        <w:tabs>
          <w:tab w:val="num" w:pos="7470"/>
        </w:tabs>
        <w:ind w:left="6822" w:firstLine="288"/>
      </w:pPr>
      <w:rPr>
        <w:b/>
        <w:i w:val="0"/>
      </w:rPr>
    </w:lvl>
    <w:lvl w:ilvl="1">
      <w:start w:val="1"/>
      <w:numFmt w:val="decimal"/>
      <w:pStyle w:val="Paragraph"/>
      <w:isLgl/>
      <w:lvlText w:val="%1.%2"/>
      <w:lvlJc w:val="left"/>
      <w:pPr>
        <w:tabs>
          <w:tab w:val="num" w:pos="1580"/>
        </w:tabs>
        <w:ind w:left="1580" w:hanging="1296"/>
      </w:pPr>
      <w:rPr>
        <w:b w:val="0"/>
      </w:rPr>
    </w:lvl>
    <w:lvl w:ilvl="2">
      <w:start w:val="1"/>
      <w:numFmt w:val="lowerLetter"/>
      <w:pStyle w:val="subpar"/>
      <w:lvlText w:val="%3."/>
      <w:lvlJc w:val="left"/>
      <w:pPr>
        <w:tabs>
          <w:tab w:val="num" w:pos="1242"/>
        </w:tabs>
        <w:ind w:left="1242" w:hanging="432"/>
      </w:pPr>
      <w:rPr>
        <w:strike w:val="0"/>
      </w:rPr>
    </w:lvl>
    <w:lvl w:ilvl="3">
      <w:start w:val="1"/>
      <w:numFmt w:val="bullet"/>
      <w:pStyle w:val="SubSubPar"/>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270939B4"/>
    <w:multiLevelType w:val="hybridMultilevel"/>
    <w:tmpl w:val="7F9027A8"/>
    <w:lvl w:ilvl="0" w:tplc="459A92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CA07C2"/>
    <w:multiLevelType w:val="hybridMultilevel"/>
    <w:tmpl w:val="E17CF7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DC4ACE"/>
    <w:multiLevelType w:val="multilevel"/>
    <w:tmpl w:val="FDE620A2"/>
    <w:lvl w:ilvl="0">
      <w:start w:val="1"/>
      <w:numFmt w:val="upperRoman"/>
      <w:lvlText w:val="%1."/>
      <w:lvlJc w:val="left"/>
      <w:pPr>
        <w:ind w:left="1080" w:hanging="720"/>
      </w:pPr>
      <w:rPr>
        <w:rFonts w:hint="default"/>
        <w:b/>
        <w:color w:val="auto"/>
      </w:rPr>
    </w:lvl>
    <w:lvl w:ilvl="1">
      <w:start w:val="1"/>
      <w:numFmt w:val="decimal"/>
      <w:isLgl/>
      <w:lvlText w:val="%1.%2"/>
      <w:lvlJc w:val="left"/>
      <w:pPr>
        <w:ind w:left="63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07F46EE"/>
    <w:multiLevelType w:val="hybridMultilevel"/>
    <w:tmpl w:val="C3367B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E5210"/>
    <w:multiLevelType w:val="hybridMultilevel"/>
    <w:tmpl w:val="DB46926E"/>
    <w:lvl w:ilvl="0" w:tplc="04090001">
      <w:start w:val="1"/>
      <w:numFmt w:val="lowerRoman"/>
      <w:lvlText w:val="%1."/>
      <w:lvlJc w:val="righ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0" w15:restartNumberingAfterBreak="0">
    <w:nsid w:val="39483E3C"/>
    <w:multiLevelType w:val="multilevel"/>
    <w:tmpl w:val="88EE901C"/>
    <w:lvl w:ilvl="0">
      <w:start w:val="5"/>
      <w:numFmt w:val="decimal"/>
      <w:lvlText w:val="%1"/>
      <w:lvlJc w:val="left"/>
      <w:pPr>
        <w:ind w:left="480" w:hanging="480"/>
      </w:pPr>
      <w:rPr>
        <w:rFonts w:hint="default"/>
      </w:rPr>
    </w:lvl>
    <w:lvl w:ilvl="1">
      <w:start w:val="3"/>
      <w:numFmt w:val="decimal"/>
      <w:lvlText w:val="%1.%2"/>
      <w:lvlJc w:val="left"/>
      <w:pPr>
        <w:ind w:left="832" w:hanging="480"/>
      </w:pPr>
      <w:rPr>
        <w:rFonts w:hint="default"/>
        <w:b w:val="0"/>
      </w:rPr>
    </w:lvl>
    <w:lvl w:ilvl="2">
      <w:start w:val="1"/>
      <w:numFmt w:val="decimal"/>
      <w:lvlText w:val="%1.%2.%3"/>
      <w:lvlJc w:val="left"/>
      <w:pPr>
        <w:ind w:left="900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3A7D1B46"/>
    <w:multiLevelType w:val="hybridMultilevel"/>
    <w:tmpl w:val="C8B2C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362ED"/>
    <w:multiLevelType w:val="hybridMultilevel"/>
    <w:tmpl w:val="EDAA2580"/>
    <w:lvl w:ilvl="0" w:tplc="04090019">
      <w:start w:val="1"/>
      <w:numFmt w:val="lowerLetter"/>
      <w:lvlText w:val="%1."/>
      <w:lvlJc w:val="left"/>
      <w:pPr>
        <w:ind w:left="720" w:hanging="360"/>
      </w:pPr>
      <w:rPr>
        <w:rFonts w:hint="default"/>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3" w15:restartNumberingAfterBreak="0">
    <w:nsid w:val="3E3A7EF0"/>
    <w:multiLevelType w:val="hybridMultilevel"/>
    <w:tmpl w:val="26420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D062F6"/>
    <w:multiLevelType w:val="hybridMultilevel"/>
    <w:tmpl w:val="9C1ED4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EE4113"/>
    <w:multiLevelType w:val="hybridMultilevel"/>
    <w:tmpl w:val="5C8A87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011929"/>
    <w:multiLevelType w:val="hybridMultilevel"/>
    <w:tmpl w:val="2C18245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7429EF"/>
    <w:multiLevelType w:val="hybridMultilevel"/>
    <w:tmpl w:val="F45E6AA2"/>
    <w:lvl w:ilvl="0" w:tplc="ECB0A6AC">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21329C"/>
    <w:multiLevelType w:val="hybridMultilevel"/>
    <w:tmpl w:val="78523D6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DD29FD"/>
    <w:multiLevelType w:val="hybridMultilevel"/>
    <w:tmpl w:val="2144826E"/>
    <w:lvl w:ilvl="0" w:tplc="04090019">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0" w15:restartNumberingAfterBreak="0">
    <w:nsid w:val="53FD4656"/>
    <w:multiLevelType w:val="multilevel"/>
    <w:tmpl w:val="88EE901C"/>
    <w:lvl w:ilvl="0">
      <w:start w:val="5"/>
      <w:numFmt w:val="decimal"/>
      <w:lvlText w:val="%1"/>
      <w:lvlJc w:val="left"/>
      <w:pPr>
        <w:ind w:left="480" w:hanging="480"/>
      </w:pPr>
      <w:rPr>
        <w:rFonts w:hint="default"/>
      </w:rPr>
    </w:lvl>
    <w:lvl w:ilvl="1">
      <w:start w:val="3"/>
      <w:numFmt w:val="decimal"/>
      <w:lvlText w:val="%1.%2"/>
      <w:lvlJc w:val="left"/>
      <w:pPr>
        <w:ind w:left="832" w:hanging="480"/>
      </w:pPr>
      <w:rPr>
        <w:rFonts w:hint="default"/>
        <w:b w:val="0"/>
      </w:rPr>
    </w:lvl>
    <w:lvl w:ilvl="2">
      <w:start w:val="1"/>
      <w:numFmt w:val="decimal"/>
      <w:lvlText w:val="%1.%2.%3"/>
      <w:lvlJc w:val="left"/>
      <w:pPr>
        <w:ind w:left="900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5F3C3D4B"/>
    <w:multiLevelType w:val="hybridMultilevel"/>
    <w:tmpl w:val="7708F278"/>
    <w:lvl w:ilvl="0" w:tplc="DE50546E">
      <w:start w:val="1"/>
      <w:numFmt w:val="lowerLetter"/>
      <w:lvlText w:val="%1."/>
      <w:lvlJc w:val="left"/>
      <w:pPr>
        <w:ind w:left="1192" w:hanging="360"/>
      </w:pPr>
      <w:rPr>
        <w:rFonts w:hint="default"/>
      </w:rPr>
    </w:lvl>
    <w:lvl w:ilvl="1" w:tplc="04090019" w:tentative="1">
      <w:start w:val="1"/>
      <w:numFmt w:val="lowerLetter"/>
      <w:lvlText w:val="%2."/>
      <w:lvlJc w:val="left"/>
      <w:pPr>
        <w:ind w:left="1912" w:hanging="360"/>
      </w:pPr>
    </w:lvl>
    <w:lvl w:ilvl="2" w:tplc="0409001B" w:tentative="1">
      <w:start w:val="1"/>
      <w:numFmt w:val="lowerRoman"/>
      <w:lvlText w:val="%3."/>
      <w:lvlJc w:val="right"/>
      <w:pPr>
        <w:ind w:left="2632" w:hanging="180"/>
      </w:pPr>
    </w:lvl>
    <w:lvl w:ilvl="3" w:tplc="0409000F" w:tentative="1">
      <w:start w:val="1"/>
      <w:numFmt w:val="decimal"/>
      <w:lvlText w:val="%4."/>
      <w:lvlJc w:val="left"/>
      <w:pPr>
        <w:ind w:left="3352" w:hanging="360"/>
      </w:pPr>
    </w:lvl>
    <w:lvl w:ilvl="4" w:tplc="04090019" w:tentative="1">
      <w:start w:val="1"/>
      <w:numFmt w:val="lowerLetter"/>
      <w:lvlText w:val="%5."/>
      <w:lvlJc w:val="left"/>
      <w:pPr>
        <w:ind w:left="4072" w:hanging="360"/>
      </w:pPr>
    </w:lvl>
    <w:lvl w:ilvl="5" w:tplc="0409001B" w:tentative="1">
      <w:start w:val="1"/>
      <w:numFmt w:val="lowerRoman"/>
      <w:lvlText w:val="%6."/>
      <w:lvlJc w:val="right"/>
      <w:pPr>
        <w:ind w:left="4792" w:hanging="180"/>
      </w:pPr>
    </w:lvl>
    <w:lvl w:ilvl="6" w:tplc="0409000F" w:tentative="1">
      <w:start w:val="1"/>
      <w:numFmt w:val="decimal"/>
      <w:lvlText w:val="%7."/>
      <w:lvlJc w:val="left"/>
      <w:pPr>
        <w:ind w:left="5512" w:hanging="360"/>
      </w:pPr>
    </w:lvl>
    <w:lvl w:ilvl="7" w:tplc="04090019" w:tentative="1">
      <w:start w:val="1"/>
      <w:numFmt w:val="lowerLetter"/>
      <w:lvlText w:val="%8."/>
      <w:lvlJc w:val="left"/>
      <w:pPr>
        <w:ind w:left="6232" w:hanging="360"/>
      </w:pPr>
    </w:lvl>
    <w:lvl w:ilvl="8" w:tplc="0409001B" w:tentative="1">
      <w:start w:val="1"/>
      <w:numFmt w:val="lowerRoman"/>
      <w:lvlText w:val="%9."/>
      <w:lvlJc w:val="right"/>
      <w:pPr>
        <w:ind w:left="6952" w:hanging="180"/>
      </w:pPr>
    </w:lvl>
  </w:abstractNum>
  <w:abstractNum w:abstractNumId="22" w15:restartNumberingAfterBreak="0">
    <w:nsid w:val="5FA45AD8"/>
    <w:multiLevelType w:val="hybridMultilevel"/>
    <w:tmpl w:val="92D208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C21CD2"/>
    <w:multiLevelType w:val="multilevel"/>
    <w:tmpl w:val="AE9AB74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620309F"/>
    <w:multiLevelType w:val="multilevel"/>
    <w:tmpl w:val="195ADB0A"/>
    <w:lvl w:ilvl="0">
      <w:start w:val="5"/>
      <w:numFmt w:val="decimal"/>
      <w:lvlText w:val="%1"/>
      <w:lvlJc w:val="left"/>
      <w:pPr>
        <w:ind w:left="480" w:hanging="480"/>
      </w:pPr>
      <w:rPr>
        <w:rFonts w:hint="default"/>
      </w:rPr>
    </w:lvl>
    <w:lvl w:ilvl="1">
      <w:start w:val="1"/>
      <w:numFmt w:val="decimal"/>
      <w:lvlText w:val="%1.%2"/>
      <w:lvlJc w:val="left"/>
      <w:pPr>
        <w:ind w:left="930" w:hanging="480"/>
      </w:pPr>
      <w:rPr>
        <w:rFonts w:hint="default"/>
        <w:b w:val="0"/>
      </w:rPr>
    </w:lvl>
    <w:lvl w:ilvl="2">
      <w:start w:val="1"/>
      <w:numFmt w:val="decimal"/>
      <w:lvlText w:val="%1.%2.%3"/>
      <w:lvlJc w:val="left"/>
      <w:pPr>
        <w:ind w:left="900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5" w15:restartNumberingAfterBreak="0">
    <w:nsid w:val="681F2D12"/>
    <w:multiLevelType w:val="hybridMultilevel"/>
    <w:tmpl w:val="A090406C"/>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9983A39"/>
    <w:multiLevelType w:val="hybridMultilevel"/>
    <w:tmpl w:val="2708E940"/>
    <w:lvl w:ilvl="0" w:tplc="59A6950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15:restartNumberingAfterBreak="0">
    <w:nsid w:val="6AAB6172"/>
    <w:multiLevelType w:val="hybridMultilevel"/>
    <w:tmpl w:val="C1A69E6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485506B"/>
    <w:multiLevelType w:val="hybridMultilevel"/>
    <w:tmpl w:val="A73C43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6421652"/>
    <w:multiLevelType w:val="hybridMultilevel"/>
    <w:tmpl w:val="EEDC34DE"/>
    <w:lvl w:ilvl="0" w:tplc="70B2BB66">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7"/>
  </w:num>
  <w:num w:numId="3">
    <w:abstractNumId w:val="26"/>
  </w:num>
  <w:num w:numId="4">
    <w:abstractNumId w:val="2"/>
  </w:num>
  <w:num w:numId="5">
    <w:abstractNumId w:val="7"/>
  </w:num>
  <w:num w:numId="6">
    <w:abstractNumId w:val="13"/>
  </w:num>
  <w:num w:numId="7">
    <w:abstractNumId w:val="4"/>
  </w:num>
  <w:num w:numId="8">
    <w:abstractNumId w:val="8"/>
  </w:num>
  <w:num w:numId="9">
    <w:abstractNumId w:val="14"/>
  </w:num>
  <w:num w:numId="10">
    <w:abstractNumId w:val="10"/>
  </w:num>
  <w:num w:numId="11">
    <w:abstractNumId w:val="6"/>
  </w:num>
  <w:num w:numId="12">
    <w:abstractNumId w:val="1"/>
  </w:num>
  <w:num w:numId="13">
    <w:abstractNumId w:val="21"/>
  </w:num>
  <w:num w:numId="14">
    <w:abstractNumId w:val="0"/>
  </w:num>
  <w:num w:numId="15">
    <w:abstractNumId w:val="20"/>
  </w:num>
  <w:num w:numId="16">
    <w:abstractNumId w:val="16"/>
  </w:num>
  <w:num w:numId="17">
    <w:abstractNumId w:val="3"/>
  </w:num>
  <w:num w:numId="18">
    <w:abstractNumId w:val="17"/>
  </w:num>
  <w:num w:numId="19">
    <w:abstractNumId w:val="2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4"/>
  </w:num>
  <w:num w:numId="23">
    <w:abstractNumId w:val="19"/>
  </w:num>
  <w:num w:numId="24">
    <w:abstractNumId w:val="15"/>
  </w:num>
  <w:num w:numId="25">
    <w:abstractNumId w:val="22"/>
  </w:num>
  <w:num w:numId="26">
    <w:abstractNumId w:val="18"/>
  </w:num>
  <w:num w:numId="27">
    <w:abstractNumId w:val="12"/>
  </w:num>
  <w:num w:numId="28">
    <w:abstractNumId w:val="23"/>
  </w:num>
  <w:num w:numId="29">
    <w:abstractNumId w:val="25"/>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295"/>
    <w:rsid w:val="00016F4F"/>
    <w:rsid w:val="000242E0"/>
    <w:rsid w:val="000244C4"/>
    <w:rsid w:val="00024A11"/>
    <w:rsid w:val="00027301"/>
    <w:rsid w:val="00030E21"/>
    <w:rsid w:val="00037887"/>
    <w:rsid w:val="00041F29"/>
    <w:rsid w:val="000434CA"/>
    <w:rsid w:val="00050AF5"/>
    <w:rsid w:val="00054E85"/>
    <w:rsid w:val="00057F07"/>
    <w:rsid w:val="0006002C"/>
    <w:rsid w:val="00062981"/>
    <w:rsid w:val="0007239F"/>
    <w:rsid w:val="00073F74"/>
    <w:rsid w:val="000746FF"/>
    <w:rsid w:val="000818F6"/>
    <w:rsid w:val="00081EAD"/>
    <w:rsid w:val="00083121"/>
    <w:rsid w:val="0009232B"/>
    <w:rsid w:val="00092555"/>
    <w:rsid w:val="00096086"/>
    <w:rsid w:val="00096738"/>
    <w:rsid w:val="000A1791"/>
    <w:rsid w:val="000B6C0A"/>
    <w:rsid w:val="000C0D12"/>
    <w:rsid w:val="000C17D7"/>
    <w:rsid w:val="000C6E00"/>
    <w:rsid w:val="000C797C"/>
    <w:rsid w:val="000D0F60"/>
    <w:rsid w:val="000D6C2C"/>
    <w:rsid w:val="000E47D8"/>
    <w:rsid w:val="001038CE"/>
    <w:rsid w:val="001067B9"/>
    <w:rsid w:val="0010757C"/>
    <w:rsid w:val="00107F4E"/>
    <w:rsid w:val="00116D7E"/>
    <w:rsid w:val="001334AE"/>
    <w:rsid w:val="0014011D"/>
    <w:rsid w:val="00140F9C"/>
    <w:rsid w:val="00141244"/>
    <w:rsid w:val="00150FFA"/>
    <w:rsid w:val="00151473"/>
    <w:rsid w:val="001662FE"/>
    <w:rsid w:val="00173841"/>
    <w:rsid w:val="00173843"/>
    <w:rsid w:val="00185058"/>
    <w:rsid w:val="00186BFA"/>
    <w:rsid w:val="001A12AB"/>
    <w:rsid w:val="001A53C4"/>
    <w:rsid w:val="001A6AF0"/>
    <w:rsid w:val="001B784A"/>
    <w:rsid w:val="001C12AE"/>
    <w:rsid w:val="001C54D8"/>
    <w:rsid w:val="001D6B85"/>
    <w:rsid w:val="001D7991"/>
    <w:rsid w:val="001F24BE"/>
    <w:rsid w:val="001F2D56"/>
    <w:rsid w:val="001F4019"/>
    <w:rsid w:val="001F4389"/>
    <w:rsid w:val="001F7107"/>
    <w:rsid w:val="00200A0A"/>
    <w:rsid w:val="002162BF"/>
    <w:rsid w:val="00224BEE"/>
    <w:rsid w:val="002354E6"/>
    <w:rsid w:val="00240981"/>
    <w:rsid w:val="00244846"/>
    <w:rsid w:val="00252908"/>
    <w:rsid w:val="00252ABA"/>
    <w:rsid w:val="0025443D"/>
    <w:rsid w:val="00257622"/>
    <w:rsid w:val="00266239"/>
    <w:rsid w:val="00271F53"/>
    <w:rsid w:val="00284295"/>
    <w:rsid w:val="00290CAA"/>
    <w:rsid w:val="0029506F"/>
    <w:rsid w:val="00295744"/>
    <w:rsid w:val="002A247A"/>
    <w:rsid w:val="002A554E"/>
    <w:rsid w:val="002C6E34"/>
    <w:rsid w:val="003012E1"/>
    <w:rsid w:val="00335983"/>
    <w:rsid w:val="00337171"/>
    <w:rsid w:val="00341E42"/>
    <w:rsid w:val="0034253F"/>
    <w:rsid w:val="00345BEF"/>
    <w:rsid w:val="00346A25"/>
    <w:rsid w:val="0037167A"/>
    <w:rsid w:val="00372DB0"/>
    <w:rsid w:val="00373049"/>
    <w:rsid w:val="003904D1"/>
    <w:rsid w:val="003A2DEF"/>
    <w:rsid w:val="003A659E"/>
    <w:rsid w:val="003B0645"/>
    <w:rsid w:val="003F0876"/>
    <w:rsid w:val="003F3274"/>
    <w:rsid w:val="00404BD5"/>
    <w:rsid w:val="00416A5B"/>
    <w:rsid w:val="00432229"/>
    <w:rsid w:val="004472E7"/>
    <w:rsid w:val="004739A6"/>
    <w:rsid w:val="00476051"/>
    <w:rsid w:val="00484355"/>
    <w:rsid w:val="00496177"/>
    <w:rsid w:val="004A15E6"/>
    <w:rsid w:val="004A2677"/>
    <w:rsid w:val="004A3F8D"/>
    <w:rsid w:val="004C2CAB"/>
    <w:rsid w:val="004C47CE"/>
    <w:rsid w:val="004C541A"/>
    <w:rsid w:val="004D6F1B"/>
    <w:rsid w:val="004E03D1"/>
    <w:rsid w:val="005100CC"/>
    <w:rsid w:val="00521F94"/>
    <w:rsid w:val="00523830"/>
    <w:rsid w:val="00533F01"/>
    <w:rsid w:val="00534567"/>
    <w:rsid w:val="005354D4"/>
    <w:rsid w:val="0055178B"/>
    <w:rsid w:val="00567964"/>
    <w:rsid w:val="00576DA8"/>
    <w:rsid w:val="00577E7A"/>
    <w:rsid w:val="005803C7"/>
    <w:rsid w:val="00587DAB"/>
    <w:rsid w:val="005926C9"/>
    <w:rsid w:val="0059586D"/>
    <w:rsid w:val="005A1CEA"/>
    <w:rsid w:val="005A232F"/>
    <w:rsid w:val="005A387A"/>
    <w:rsid w:val="005B20BE"/>
    <w:rsid w:val="005B62F4"/>
    <w:rsid w:val="005B747C"/>
    <w:rsid w:val="005C64D1"/>
    <w:rsid w:val="005C69A4"/>
    <w:rsid w:val="005D413E"/>
    <w:rsid w:val="005D618B"/>
    <w:rsid w:val="005D6347"/>
    <w:rsid w:val="005F438D"/>
    <w:rsid w:val="006026A9"/>
    <w:rsid w:val="00612A1F"/>
    <w:rsid w:val="00613A80"/>
    <w:rsid w:val="006220FD"/>
    <w:rsid w:val="00623704"/>
    <w:rsid w:val="00627B9B"/>
    <w:rsid w:val="00631AD2"/>
    <w:rsid w:val="00652603"/>
    <w:rsid w:val="00655033"/>
    <w:rsid w:val="0066310D"/>
    <w:rsid w:val="00663F8D"/>
    <w:rsid w:val="00673FA4"/>
    <w:rsid w:val="006864F0"/>
    <w:rsid w:val="006919B8"/>
    <w:rsid w:val="006A1E4B"/>
    <w:rsid w:val="006A371A"/>
    <w:rsid w:val="006A3B2C"/>
    <w:rsid w:val="006B1107"/>
    <w:rsid w:val="006B12BF"/>
    <w:rsid w:val="006B5A57"/>
    <w:rsid w:val="006C1103"/>
    <w:rsid w:val="006C57FA"/>
    <w:rsid w:val="006E2FF0"/>
    <w:rsid w:val="006E3B23"/>
    <w:rsid w:val="006E3F49"/>
    <w:rsid w:val="006F18E4"/>
    <w:rsid w:val="006F4246"/>
    <w:rsid w:val="00713460"/>
    <w:rsid w:val="0071622E"/>
    <w:rsid w:val="0074212B"/>
    <w:rsid w:val="007624DA"/>
    <w:rsid w:val="00773877"/>
    <w:rsid w:val="00781A5C"/>
    <w:rsid w:val="00786D2B"/>
    <w:rsid w:val="0079538C"/>
    <w:rsid w:val="007A0CDE"/>
    <w:rsid w:val="007B0BB5"/>
    <w:rsid w:val="007B1B35"/>
    <w:rsid w:val="007B4CE4"/>
    <w:rsid w:val="007B595D"/>
    <w:rsid w:val="007C0780"/>
    <w:rsid w:val="007C09F3"/>
    <w:rsid w:val="007C1812"/>
    <w:rsid w:val="007C438F"/>
    <w:rsid w:val="007D2EC5"/>
    <w:rsid w:val="007D7FA2"/>
    <w:rsid w:val="007E23BB"/>
    <w:rsid w:val="007E4C3D"/>
    <w:rsid w:val="007E5A9F"/>
    <w:rsid w:val="007F0EC0"/>
    <w:rsid w:val="007F6026"/>
    <w:rsid w:val="007F69E2"/>
    <w:rsid w:val="007F6A52"/>
    <w:rsid w:val="007F76FA"/>
    <w:rsid w:val="007F7A94"/>
    <w:rsid w:val="008038C3"/>
    <w:rsid w:val="0080666A"/>
    <w:rsid w:val="00811003"/>
    <w:rsid w:val="00812309"/>
    <w:rsid w:val="00813601"/>
    <w:rsid w:val="0081519E"/>
    <w:rsid w:val="0081605B"/>
    <w:rsid w:val="00816BFB"/>
    <w:rsid w:val="0081724A"/>
    <w:rsid w:val="008306BD"/>
    <w:rsid w:val="00846246"/>
    <w:rsid w:val="00847243"/>
    <w:rsid w:val="00852D14"/>
    <w:rsid w:val="008613B5"/>
    <w:rsid w:val="008665D7"/>
    <w:rsid w:val="008731BC"/>
    <w:rsid w:val="0088743E"/>
    <w:rsid w:val="00891F97"/>
    <w:rsid w:val="008A21B0"/>
    <w:rsid w:val="008D1CA5"/>
    <w:rsid w:val="008E160C"/>
    <w:rsid w:val="008F6C66"/>
    <w:rsid w:val="00902445"/>
    <w:rsid w:val="009029A4"/>
    <w:rsid w:val="00937332"/>
    <w:rsid w:val="009414A9"/>
    <w:rsid w:val="00945A71"/>
    <w:rsid w:val="00945F74"/>
    <w:rsid w:val="00956517"/>
    <w:rsid w:val="00986B8C"/>
    <w:rsid w:val="00992102"/>
    <w:rsid w:val="009B15DE"/>
    <w:rsid w:val="009D1F65"/>
    <w:rsid w:val="009D2AC5"/>
    <w:rsid w:val="009D36BE"/>
    <w:rsid w:val="009E0A27"/>
    <w:rsid w:val="009E1297"/>
    <w:rsid w:val="009E5120"/>
    <w:rsid w:val="00A20669"/>
    <w:rsid w:val="00A2173C"/>
    <w:rsid w:val="00A21FE8"/>
    <w:rsid w:val="00A24F0C"/>
    <w:rsid w:val="00A33623"/>
    <w:rsid w:val="00A35EAA"/>
    <w:rsid w:val="00A5556F"/>
    <w:rsid w:val="00A700F0"/>
    <w:rsid w:val="00A718C2"/>
    <w:rsid w:val="00A805E1"/>
    <w:rsid w:val="00A84DF2"/>
    <w:rsid w:val="00A92064"/>
    <w:rsid w:val="00A9495A"/>
    <w:rsid w:val="00AA1B96"/>
    <w:rsid w:val="00AA1FE4"/>
    <w:rsid w:val="00AA7508"/>
    <w:rsid w:val="00AC7C6E"/>
    <w:rsid w:val="00AD4433"/>
    <w:rsid w:val="00AD4AA8"/>
    <w:rsid w:val="00AD6232"/>
    <w:rsid w:val="00AD734B"/>
    <w:rsid w:val="00B01063"/>
    <w:rsid w:val="00B214BC"/>
    <w:rsid w:val="00B21600"/>
    <w:rsid w:val="00B26400"/>
    <w:rsid w:val="00B400CC"/>
    <w:rsid w:val="00B4399B"/>
    <w:rsid w:val="00B468BA"/>
    <w:rsid w:val="00B474CB"/>
    <w:rsid w:val="00B53037"/>
    <w:rsid w:val="00B533FE"/>
    <w:rsid w:val="00B71A71"/>
    <w:rsid w:val="00B73433"/>
    <w:rsid w:val="00B819BF"/>
    <w:rsid w:val="00B84177"/>
    <w:rsid w:val="00B91856"/>
    <w:rsid w:val="00B93DE9"/>
    <w:rsid w:val="00B949DA"/>
    <w:rsid w:val="00B960DB"/>
    <w:rsid w:val="00B96232"/>
    <w:rsid w:val="00B97C94"/>
    <w:rsid w:val="00BB03B1"/>
    <w:rsid w:val="00BE25B3"/>
    <w:rsid w:val="00BE3C2D"/>
    <w:rsid w:val="00BF3E9F"/>
    <w:rsid w:val="00C02F3D"/>
    <w:rsid w:val="00C04FA9"/>
    <w:rsid w:val="00C10950"/>
    <w:rsid w:val="00C27F2A"/>
    <w:rsid w:val="00C37298"/>
    <w:rsid w:val="00C37A16"/>
    <w:rsid w:val="00C37FA6"/>
    <w:rsid w:val="00C444D9"/>
    <w:rsid w:val="00C44F34"/>
    <w:rsid w:val="00C66C86"/>
    <w:rsid w:val="00C71F0E"/>
    <w:rsid w:val="00C74CA6"/>
    <w:rsid w:val="00C76827"/>
    <w:rsid w:val="00C7682D"/>
    <w:rsid w:val="00C805D7"/>
    <w:rsid w:val="00C936CC"/>
    <w:rsid w:val="00C95C61"/>
    <w:rsid w:val="00C96CE1"/>
    <w:rsid w:val="00CA5430"/>
    <w:rsid w:val="00CB5DC9"/>
    <w:rsid w:val="00CC324A"/>
    <w:rsid w:val="00CD141C"/>
    <w:rsid w:val="00CD3D34"/>
    <w:rsid w:val="00CD48FF"/>
    <w:rsid w:val="00CE0B63"/>
    <w:rsid w:val="00CE6D15"/>
    <w:rsid w:val="00CF1F60"/>
    <w:rsid w:val="00D01980"/>
    <w:rsid w:val="00D01C09"/>
    <w:rsid w:val="00D02059"/>
    <w:rsid w:val="00D04C9E"/>
    <w:rsid w:val="00D1365E"/>
    <w:rsid w:val="00D30D93"/>
    <w:rsid w:val="00D41EF3"/>
    <w:rsid w:val="00D530B4"/>
    <w:rsid w:val="00D55CAB"/>
    <w:rsid w:val="00D633A7"/>
    <w:rsid w:val="00D679F9"/>
    <w:rsid w:val="00D74318"/>
    <w:rsid w:val="00D75DD4"/>
    <w:rsid w:val="00D75EEB"/>
    <w:rsid w:val="00D80156"/>
    <w:rsid w:val="00D8116C"/>
    <w:rsid w:val="00D87A22"/>
    <w:rsid w:val="00DA38F7"/>
    <w:rsid w:val="00DA7893"/>
    <w:rsid w:val="00DB0C28"/>
    <w:rsid w:val="00DD2FAA"/>
    <w:rsid w:val="00DD3478"/>
    <w:rsid w:val="00DE0B0E"/>
    <w:rsid w:val="00E02525"/>
    <w:rsid w:val="00E101F3"/>
    <w:rsid w:val="00E254C4"/>
    <w:rsid w:val="00E33910"/>
    <w:rsid w:val="00E33CE2"/>
    <w:rsid w:val="00E344A5"/>
    <w:rsid w:val="00E40B8A"/>
    <w:rsid w:val="00E47144"/>
    <w:rsid w:val="00E51F54"/>
    <w:rsid w:val="00E532A3"/>
    <w:rsid w:val="00E55ADB"/>
    <w:rsid w:val="00E6363C"/>
    <w:rsid w:val="00E666A5"/>
    <w:rsid w:val="00E7341C"/>
    <w:rsid w:val="00E84930"/>
    <w:rsid w:val="00E91DF2"/>
    <w:rsid w:val="00EA06FA"/>
    <w:rsid w:val="00EB0229"/>
    <w:rsid w:val="00EB3613"/>
    <w:rsid w:val="00EB3D20"/>
    <w:rsid w:val="00EB625B"/>
    <w:rsid w:val="00ED12CD"/>
    <w:rsid w:val="00ED744D"/>
    <w:rsid w:val="00EE0005"/>
    <w:rsid w:val="00EE100A"/>
    <w:rsid w:val="00EF06A4"/>
    <w:rsid w:val="00F0220B"/>
    <w:rsid w:val="00F052F8"/>
    <w:rsid w:val="00F12566"/>
    <w:rsid w:val="00F21588"/>
    <w:rsid w:val="00F236A7"/>
    <w:rsid w:val="00F415B4"/>
    <w:rsid w:val="00F47DAC"/>
    <w:rsid w:val="00F524FD"/>
    <w:rsid w:val="00F5622A"/>
    <w:rsid w:val="00F700CF"/>
    <w:rsid w:val="00F75E4D"/>
    <w:rsid w:val="00F93130"/>
    <w:rsid w:val="00F95C02"/>
    <w:rsid w:val="00F967DB"/>
    <w:rsid w:val="00F9790E"/>
    <w:rsid w:val="00FA36A6"/>
    <w:rsid w:val="00FA498E"/>
    <w:rsid w:val="00FC30FD"/>
    <w:rsid w:val="00FC6DF5"/>
    <w:rsid w:val="00FC6EF8"/>
    <w:rsid w:val="00FE0C3E"/>
    <w:rsid w:val="00FE29FF"/>
  </w:rsids>
  <m:mathPr>
    <m:mathFont m:val="Cambria Math"/>
    <m:brkBin m:val="before"/>
    <m:brkBinSub m:val="--"/>
    <m:smallFrac m:val="0"/>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7B25CD1"/>
  <w15:docId w15:val="{3F38F79E-F2D6-48DB-A0A1-B1C455F2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2059"/>
    <w:pPr>
      <w:keepNext/>
      <w:keepLines/>
      <w:spacing w:before="240" w:after="0"/>
      <w:outlineLvl w:val="0"/>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5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C02"/>
    <w:rPr>
      <w:rFonts w:ascii="Tahoma" w:hAnsi="Tahoma" w:cs="Tahoma"/>
      <w:sz w:val="16"/>
      <w:szCs w:val="16"/>
    </w:rPr>
  </w:style>
  <w:style w:type="character" w:styleId="Hyperlink">
    <w:name w:val="Hyperlink"/>
    <w:basedOn w:val="DefaultParagraphFont"/>
    <w:uiPriority w:val="99"/>
    <w:unhideWhenUsed/>
    <w:rsid w:val="007F69E2"/>
    <w:rPr>
      <w:color w:val="0000FF" w:themeColor="hyperlink"/>
      <w:u w:val="single"/>
    </w:rPr>
  </w:style>
  <w:style w:type="character" w:customStyle="1" w:styleId="Heading1Char">
    <w:name w:val="Heading 1 Char"/>
    <w:basedOn w:val="DefaultParagraphFont"/>
    <w:link w:val="Heading1"/>
    <w:uiPriority w:val="9"/>
    <w:rsid w:val="00D02059"/>
    <w:rPr>
      <w:rFonts w:asciiTheme="majorHAnsi" w:eastAsiaTheme="majorEastAsia" w:hAnsiTheme="majorHAnsi" w:cstheme="majorBidi"/>
      <w:sz w:val="32"/>
      <w:szCs w:val="32"/>
    </w:rPr>
  </w:style>
  <w:style w:type="paragraph" w:styleId="ListParagraph">
    <w:name w:val="List Paragraph"/>
    <w:aliases w:val="Bullets,References"/>
    <w:basedOn w:val="Normal"/>
    <w:link w:val="ListParagraphChar"/>
    <w:uiPriority w:val="34"/>
    <w:qFormat/>
    <w:rsid w:val="000434CA"/>
    <w:pPr>
      <w:ind w:left="720"/>
      <w:contextualSpacing/>
    </w:pPr>
  </w:style>
  <w:style w:type="paragraph" w:customStyle="1" w:styleId="Chapter">
    <w:name w:val="Chapter"/>
    <w:basedOn w:val="Normal"/>
    <w:next w:val="Normal"/>
    <w:link w:val="ChapterChar"/>
    <w:qFormat/>
    <w:rsid w:val="000434CA"/>
    <w:pPr>
      <w:keepNext/>
      <w:numPr>
        <w:numId w:val="7"/>
      </w:numPr>
      <w:tabs>
        <w:tab w:val="left" w:pos="1440"/>
      </w:tabs>
      <w:spacing w:before="240" w:after="240" w:line="240" w:lineRule="auto"/>
      <w:jc w:val="center"/>
    </w:pPr>
    <w:rPr>
      <w:rFonts w:ascii="Times New Roman" w:eastAsia="Times New Roman" w:hAnsi="Times New Roman" w:cs="Times New Roman"/>
      <w:b/>
      <w:smallCaps/>
      <w:sz w:val="24"/>
      <w:szCs w:val="20"/>
      <w:lang w:val="es-ES_tradnl" w:eastAsia="es-MX"/>
    </w:rPr>
  </w:style>
  <w:style w:type="paragraph" w:customStyle="1" w:styleId="Paragraph">
    <w:name w:val="Paragraph"/>
    <w:aliases w:val="paragraph,p,PARAGRAPH,PG,pa,at,at Char"/>
    <w:basedOn w:val="BodyTextIndent"/>
    <w:link w:val="ParagraphChar"/>
    <w:qFormat/>
    <w:rsid w:val="000434CA"/>
    <w:pPr>
      <w:numPr>
        <w:ilvl w:val="1"/>
        <w:numId w:val="7"/>
      </w:numPr>
      <w:tabs>
        <w:tab w:val="clear" w:pos="1580"/>
        <w:tab w:val="num" w:pos="2736"/>
      </w:tabs>
      <w:spacing w:before="120" w:line="240" w:lineRule="auto"/>
      <w:ind w:left="2736"/>
      <w:jc w:val="both"/>
      <w:outlineLvl w:val="1"/>
    </w:pPr>
    <w:rPr>
      <w:rFonts w:ascii="Times New Roman" w:eastAsia="Times New Roman" w:hAnsi="Times New Roman" w:cs="Times New Roman"/>
      <w:sz w:val="24"/>
      <w:szCs w:val="20"/>
      <w:lang w:val="es-ES_tradnl" w:eastAsia="es-MX"/>
    </w:rPr>
  </w:style>
  <w:style w:type="paragraph" w:customStyle="1" w:styleId="subpar">
    <w:name w:val="subpar"/>
    <w:basedOn w:val="BodyTextIndent3"/>
    <w:rsid w:val="000434CA"/>
    <w:pPr>
      <w:numPr>
        <w:ilvl w:val="2"/>
        <w:numId w:val="7"/>
      </w:numPr>
      <w:tabs>
        <w:tab w:val="clear" w:pos="1242"/>
      </w:tabs>
      <w:spacing w:before="120" w:line="240" w:lineRule="auto"/>
      <w:ind w:left="2520" w:hanging="180"/>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0434CA"/>
    <w:pPr>
      <w:numPr>
        <w:ilvl w:val="3"/>
      </w:numPr>
      <w:tabs>
        <w:tab w:val="clear" w:pos="3024"/>
        <w:tab w:val="left" w:pos="0"/>
      </w:tabs>
      <w:ind w:left="3240" w:hanging="360"/>
    </w:pPr>
  </w:style>
  <w:style w:type="character" w:customStyle="1" w:styleId="ParagraphChar">
    <w:name w:val="Paragraph Char"/>
    <w:link w:val="Paragraph"/>
    <w:rsid w:val="000434CA"/>
    <w:rPr>
      <w:rFonts w:ascii="Times New Roman" w:eastAsia="Times New Roman" w:hAnsi="Times New Roman" w:cs="Times New Roman"/>
      <w:sz w:val="24"/>
      <w:szCs w:val="20"/>
      <w:lang w:val="es-ES_tradnl" w:eastAsia="es-MX"/>
    </w:rPr>
  </w:style>
  <w:style w:type="paragraph" w:styleId="BodyTextIndent">
    <w:name w:val="Body Text Indent"/>
    <w:basedOn w:val="Normal"/>
    <w:link w:val="BodyTextIndentChar"/>
    <w:uiPriority w:val="99"/>
    <w:semiHidden/>
    <w:unhideWhenUsed/>
    <w:rsid w:val="000434CA"/>
    <w:pPr>
      <w:spacing w:after="120"/>
      <w:ind w:left="360"/>
    </w:pPr>
  </w:style>
  <w:style w:type="character" w:customStyle="1" w:styleId="BodyTextIndentChar">
    <w:name w:val="Body Text Indent Char"/>
    <w:basedOn w:val="DefaultParagraphFont"/>
    <w:link w:val="BodyTextIndent"/>
    <w:uiPriority w:val="99"/>
    <w:semiHidden/>
    <w:rsid w:val="000434CA"/>
  </w:style>
  <w:style w:type="paragraph" w:styleId="BodyTextIndent3">
    <w:name w:val="Body Text Indent 3"/>
    <w:basedOn w:val="Normal"/>
    <w:link w:val="BodyTextIndent3Char"/>
    <w:uiPriority w:val="99"/>
    <w:semiHidden/>
    <w:unhideWhenUsed/>
    <w:rsid w:val="000434C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434CA"/>
    <w:rPr>
      <w:sz w:val="16"/>
      <w:szCs w:val="16"/>
    </w:rPr>
  </w:style>
  <w:style w:type="character" w:customStyle="1" w:styleId="ChapterChar">
    <w:name w:val="Chapter Char"/>
    <w:link w:val="Chapter"/>
    <w:rsid w:val="00811003"/>
    <w:rPr>
      <w:rFonts w:ascii="Times New Roman" w:eastAsia="Times New Roman" w:hAnsi="Times New Roman" w:cs="Times New Roman"/>
      <w:b/>
      <w:smallCaps/>
      <w:sz w:val="24"/>
      <w:szCs w:val="20"/>
      <w:lang w:val="es-ES_tradnl" w:eastAsia="es-MX"/>
    </w:rPr>
  </w:style>
  <w:style w:type="paragraph" w:styleId="TOCHeading">
    <w:name w:val="TOC Heading"/>
    <w:basedOn w:val="Heading1"/>
    <w:next w:val="Normal"/>
    <w:uiPriority w:val="39"/>
    <w:unhideWhenUsed/>
    <w:qFormat/>
    <w:rsid w:val="00C7682D"/>
    <w:pPr>
      <w:spacing w:line="259" w:lineRule="auto"/>
      <w:outlineLvl w:val="9"/>
    </w:pPr>
    <w:rPr>
      <w:lang w:val="en-US"/>
    </w:rPr>
  </w:style>
  <w:style w:type="paragraph" w:styleId="TOC1">
    <w:name w:val="toc 1"/>
    <w:basedOn w:val="Normal"/>
    <w:next w:val="Normal"/>
    <w:autoRedefine/>
    <w:uiPriority w:val="39"/>
    <w:unhideWhenUsed/>
    <w:rsid w:val="001662FE"/>
    <w:pPr>
      <w:tabs>
        <w:tab w:val="left" w:pos="660"/>
        <w:tab w:val="right" w:leader="dot" w:pos="8828"/>
      </w:tabs>
      <w:spacing w:after="100"/>
      <w:ind w:left="450" w:hanging="540"/>
      <w:jc w:val="both"/>
    </w:pPr>
  </w:style>
  <w:style w:type="paragraph" w:styleId="TOC2">
    <w:name w:val="toc 2"/>
    <w:basedOn w:val="Normal"/>
    <w:next w:val="Normal"/>
    <w:autoRedefine/>
    <w:uiPriority w:val="39"/>
    <w:unhideWhenUsed/>
    <w:rsid w:val="00C7682D"/>
    <w:pPr>
      <w:spacing w:after="100"/>
      <w:ind w:left="220"/>
    </w:pPr>
  </w:style>
  <w:style w:type="character" w:styleId="CommentReference">
    <w:name w:val="annotation reference"/>
    <w:basedOn w:val="DefaultParagraphFont"/>
    <w:uiPriority w:val="99"/>
    <w:semiHidden/>
    <w:unhideWhenUsed/>
    <w:rsid w:val="00271F53"/>
    <w:rPr>
      <w:sz w:val="16"/>
      <w:szCs w:val="16"/>
    </w:rPr>
  </w:style>
  <w:style w:type="paragraph" w:styleId="CommentText">
    <w:name w:val="annotation text"/>
    <w:basedOn w:val="Normal"/>
    <w:link w:val="CommentTextChar"/>
    <w:uiPriority w:val="99"/>
    <w:semiHidden/>
    <w:unhideWhenUsed/>
    <w:rsid w:val="00271F53"/>
    <w:pPr>
      <w:spacing w:line="240" w:lineRule="auto"/>
    </w:pPr>
    <w:rPr>
      <w:sz w:val="20"/>
      <w:szCs w:val="20"/>
    </w:rPr>
  </w:style>
  <w:style w:type="character" w:customStyle="1" w:styleId="CommentTextChar">
    <w:name w:val="Comment Text Char"/>
    <w:basedOn w:val="DefaultParagraphFont"/>
    <w:link w:val="CommentText"/>
    <w:uiPriority w:val="99"/>
    <w:semiHidden/>
    <w:rsid w:val="00271F53"/>
    <w:rPr>
      <w:sz w:val="20"/>
      <w:szCs w:val="20"/>
    </w:rPr>
  </w:style>
  <w:style w:type="paragraph" w:styleId="CommentSubject">
    <w:name w:val="annotation subject"/>
    <w:basedOn w:val="CommentText"/>
    <w:next w:val="CommentText"/>
    <w:link w:val="CommentSubjectChar"/>
    <w:uiPriority w:val="99"/>
    <w:semiHidden/>
    <w:unhideWhenUsed/>
    <w:rsid w:val="00271F53"/>
    <w:rPr>
      <w:b/>
      <w:bCs/>
    </w:rPr>
  </w:style>
  <w:style w:type="character" w:customStyle="1" w:styleId="CommentSubjectChar">
    <w:name w:val="Comment Subject Char"/>
    <w:basedOn w:val="CommentTextChar"/>
    <w:link w:val="CommentSubject"/>
    <w:uiPriority w:val="99"/>
    <w:semiHidden/>
    <w:rsid w:val="00271F53"/>
    <w:rPr>
      <w:b/>
      <w:bCs/>
      <w:sz w:val="20"/>
      <w:szCs w:val="20"/>
    </w:rPr>
  </w:style>
  <w:style w:type="paragraph" w:styleId="Revision">
    <w:name w:val="Revision"/>
    <w:hidden/>
    <w:uiPriority w:val="99"/>
    <w:semiHidden/>
    <w:rsid w:val="00D530B4"/>
    <w:pPr>
      <w:spacing w:after="0" w:line="240" w:lineRule="auto"/>
    </w:pPr>
  </w:style>
  <w:style w:type="paragraph" w:styleId="Header">
    <w:name w:val="header"/>
    <w:basedOn w:val="Normal"/>
    <w:link w:val="HeaderChar"/>
    <w:uiPriority w:val="99"/>
    <w:unhideWhenUsed/>
    <w:rsid w:val="002354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4E6"/>
  </w:style>
  <w:style w:type="paragraph" w:styleId="Footer">
    <w:name w:val="footer"/>
    <w:basedOn w:val="Normal"/>
    <w:link w:val="FooterChar"/>
    <w:uiPriority w:val="99"/>
    <w:unhideWhenUsed/>
    <w:rsid w:val="00235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4E6"/>
  </w:style>
  <w:style w:type="table" w:styleId="TableGrid">
    <w:name w:val="Table Grid"/>
    <w:basedOn w:val="TableNormal"/>
    <w:uiPriority w:val="39"/>
    <w:rsid w:val="00D75DD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References Char"/>
    <w:basedOn w:val="DefaultParagraphFont"/>
    <w:link w:val="ListParagraph"/>
    <w:uiPriority w:val="34"/>
    <w:locked/>
    <w:rsid w:val="00652603"/>
  </w:style>
  <w:style w:type="character" w:customStyle="1" w:styleId="UnresolvedMention1">
    <w:name w:val="Unresolved Mention1"/>
    <w:basedOn w:val="DefaultParagraphFont"/>
    <w:uiPriority w:val="99"/>
    <w:semiHidden/>
    <w:unhideWhenUsed/>
    <w:rsid w:val="00484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198090">
      <w:bodyDiv w:val="1"/>
      <w:marLeft w:val="0"/>
      <w:marRight w:val="0"/>
      <w:marTop w:val="0"/>
      <w:marBottom w:val="0"/>
      <w:divBdr>
        <w:top w:val="none" w:sz="0" w:space="0" w:color="auto"/>
        <w:left w:val="none" w:sz="0" w:space="0" w:color="auto"/>
        <w:bottom w:val="none" w:sz="0" w:space="0" w:color="auto"/>
        <w:right w:val="none" w:sz="0" w:space="0" w:color="auto"/>
      </w:divBdr>
    </w:div>
    <w:div w:id="1212154239">
      <w:bodyDiv w:val="1"/>
      <w:marLeft w:val="0"/>
      <w:marRight w:val="0"/>
      <w:marTop w:val="0"/>
      <w:marBottom w:val="0"/>
      <w:divBdr>
        <w:top w:val="none" w:sz="0" w:space="0" w:color="auto"/>
        <w:left w:val="none" w:sz="0" w:space="0" w:color="auto"/>
        <w:bottom w:val="none" w:sz="0" w:space="0" w:color="auto"/>
        <w:right w:val="none" w:sz="0" w:space="0" w:color="auto"/>
      </w:divBdr>
    </w:div>
    <w:div w:id="150917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65701019A864449EE5830BA61F17BD" ma:contentTypeVersion="0" ma:contentTypeDescription="A content type to manage public (operations) IDB documents" ma:contentTypeScope="" ma:versionID="33ddba319cce733e7d7fece265ada7d3">
  <xsd:schema xmlns:xsd="http://www.w3.org/2001/XMLSchema" xmlns:xs="http://www.w3.org/2001/XMLSchema" xmlns:p="http://schemas.microsoft.com/office/2006/metadata/properties" xmlns:ns2="cdc7663a-08f0-4737-9e8c-148ce897a09c" targetNamespace="http://schemas.microsoft.com/office/2006/metadata/properties" ma:root="true" ma:fieldsID="e57cc41487f8c81b40b014be79ef86a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U00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Guarante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EZSHARE-290333042-24</_dlc_DocId>
    <Operation_x0020_Type xmlns="cdc7663a-08f0-4737-9e8c-148ce897a09c">Guarantee</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TaxCatchAll xmlns="cdc7663a-08f0-4737-9e8c-148ce897a09c">
      <Value>6</Value>
      <Value>5</Value>
      <Value>4</Value>
      <Value>8</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EC-U0001</Project_x0020_Number>
    <Related_x0020_SisCor_x0020_Number xmlns="cdc7663a-08f0-4737-9e8c-148ce897a09c" xsi:nil="true"/>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Document_x0020_Language_x0020_IDB xmlns="cdc7663a-08f0-4737-9e8c-148ce897a09c">Spanish</Document_x0020_Language_x0020_IDB>
    <_dlc_DocIdUrl xmlns="cdc7663a-08f0-4737-9e8c-148ce897a09c">
      <Url>https://idbg.sharepoint.com/teams/EZ-EC-GUA/EC-U0001/_layouts/15/DocIdRedir.aspx?ID=EZSHARE-290333042-24</Url>
      <Description>EZSHARE-290333042-24</Description>
    </_dlc_DocIdUrl>
    <Phase xmlns="cdc7663a-08f0-4737-9e8c-148ce897a09c" xsi:nil="true"/>
    <Other_x0020_Author xmlns="cdc7663a-08f0-4737-9e8c-148ce897a09c">Joan Prats</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9B5D928-05E3-4BDB-83D7-7874EA7F697E}">
  <ds:schemaRefs>
    <ds:schemaRef ds:uri="http://schemas.openxmlformats.org/officeDocument/2006/bibliography"/>
  </ds:schemaRefs>
</ds:datastoreItem>
</file>

<file path=customXml/itemProps2.xml><?xml version="1.0" encoding="utf-8"?>
<ds:datastoreItem xmlns:ds="http://schemas.openxmlformats.org/officeDocument/2006/customXml" ds:itemID="{D2C21BC4-FB43-4D14-B310-FBE76E9886F4}"/>
</file>

<file path=customXml/itemProps3.xml><?xml version="1.0" encoding="utf-8"?>
<ds:datastoreItem xmlns:ds="http://schemas.openxmlformats.org/officeDocument/2006/customXml" ds:itemID="{33E3C08E-75DA-44C6-8695-72BF72BC820E}"/>
</file>

<file path=customXml/itemProps4.xml><?xml version="1.0" encoding="utf-8"?>
<ds:datastoreItem xmlns:ds="http://schemas.openxmlformats.org/officeDocument/2006/customXml" ds:itemID="{07B97059-7345-42DD-8C6A-12EC8201E288}"/>
</file>

<file path=customXml/itemProps5.xml><?xml version="1.0" encoding="utf-8"?>
<ds:datastoreItem xmlns:ds="http://schemas.openxmlformats.org/officeDocument/2006/customXml" ds:itemID="{AACEC123-28E3-43C1-9060-045EE36D70DC}"/>
</file>

<file path=customXml/itemProps6.xml><?xml version="1.0" encoding="utf-8"?>
<ds:datastoreItem xmlns:ds="http://schemas.openxmlformats.org/officeDocument/2006/customXml" ds:itemID="{29436F24-0F0F-4A27-9A5C-901161AA400F}"/>
</file>

<file path=customXml/itemProps7.xml><?xml version="1.0" encoding="utf-8"?>
<ds:datastoreItem xmlns:ds="http://schemas.openxmlformats.org/officeDocument/2006/customXml" ds:itemID="{1896A482-1BBE-407C-BDD5-A5898B41F30B}"/>
</file>

<file path=docProps/app.xml><?xml version="1.0" encoding="utf-8"?>
<Properties xmlns="http://schemas.openxmlformats.org/officeDocument/2006/extended-properties" xmlns:vt="http://schemas.openxmlformats.org/officeDocument/2006/docPropsVTypes">
  <Template>Normal.dotm</Template>
  <TotalTime>3</TotalTime>
  <Pages>15</Pages>
  <Words>4610</Words>
  <Characters>26280</Characters>
  <Application>Microsoft Office Word</Application>
  <DocSecurity>0</DocSecurity>
  <Lines>219</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Morris, Felipe</dc:creator>
  <cp:keywords/>
  <cp:lastModifiedBy>Bernedo, Cecilia</cp:lastModifiedBy>
  <cp:revision>3</cp:revision>
  <cp:lastPrinted>2018-09-24T20:03:00Z</cp:lastPrinted>
  <dcterms:created xsi:type="dcterms:W3CDTF">2018-11-05T23:07:00Z</dcterms:created>
  <dcterms:modified xsi:type="dcterms:W3CDTF">2018-11-06T19:18:00Z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6;#HOUSING|d64eac7c-6cd0-4be4-b4cc-4d2eef10277e</vt:lpwstr>
  </property>
  <property fmtid="{D5CDD505-2E9C-101B-9397-08002B2CF9AE}" pid="7" name="Country">
    <vt:lpwstr>4;#Ecuador|8f163189-00fa-4e7c-827d-28fb5798781c</vt:lpwstr>
  </property>
  <property fmtid="{D5CDD505-2E9C-101B-9397-08002B2CF9AE}" pid="8" name="Fund IDB">
    <vt:lpwstr/>
  </property>
  <property fmtid="{D5CDD505-2E9C-101B-9397-08002B2CF9AE}" pid="9" name="_dlc_DocIdItemGuid">
    <vt:lpwstr>49067c7b-19d0-4a51-ac7c-663d891e1a9f</vt:lpwstr>
  </property>
  <property fmtid="{D5CDD505-2E9C-101B-9397-08002B2CF9AE}" pid="10" name="Sector IDB">
    <vt:lpwstr>5;#URBAN DEVELOPMENT AND HOUSING|d14615ee-683d-4ec6-a5cf-ae743c6c4ac1</vt:lpwstr>
  </property>
  <property fmtid="{D5CDD505-2E9C-101B-9397-08002B2CF9AE}" pid="11" name="Function Operations IDB">
    <vt:lpwstr>8;#Project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0x0101001A458A224826124E8B45B1D613300CFC00A665701019A864449EE5830BA61F17BD</vt:lpwstr>
  </property>
</Properties>
</file>