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DEB17" w14:textId="77777777" w:rsidR="009A6CCF" w:rsidRPr="00581A0D" w:rsidRDefault="009A6CCF" w:rsidP="009A6CCF">
      <w:pPr>
        <w:pStyle w:val="SubSubPar"/>
        <w:numPr>
          <w:ilvl w:val="0"/>
          <w:numId w:val="0"/>
        </w:numPr>
        <w:spacing w:after="0"/>
        <w:jc w:val="center"/>
        <w:rPr>
          <w:rFonts w:ascii="Arial" w:hAnsi="Arial" w:cs="Arial"/>
          <w:smallCaps/>
          <w:sz w:val="22"/>
          <w:szCs w:val="22"/>
          <w:lang w:val="es-ES_tradnl"/>
        </w:rPr>
      </w:pPr>
      <w:bookmarkStart w:id="0" w:name="_Toc388249744"/>
      <w:r w:rsidRPr="00581A0D">
        <w:rPr>
          <w:rFonts w:ascii="Arial" w:hAnsi="Arial" w:cs="Arial"/>
          <w:smallCaps/>
          <w:sz w:val="22"/>
          <w:szCs w:val="22"/>
          <w:lang w:val="es-ES_tradnl"/>
        </w:rPr>
        <w:t>Documento del Banco Interamericano De Desarrollo</w:t>
      </w:r>
      <w:bookmarkEnd w:id="0"/>
    </w:p>
    <w:p w14:paraId="0CC08FD9" w14:textId="77777777" w:rsidR="009A6CCF" w:rsidRPr="00581A0D" w:rsidRDefault="009A6CCF" w:rsidP="009A6CCF">
      <w:pPr>
        <w:spacing w:before="120" w:after="120" w:line="240" w:lineRule="auto"/>
        <w:jc w:val="center"/>
        <w:rPr>
          <w:rFonts w:ascii="Arial" w:hAnsi="Arial" w:cs="Arial"/>
          <w:lang w:val="es-ES_tradnl"/>
        </w:rPr>
      </w:pPr>
    </w:p>
    <w:p w14:paraId="525B3E0A" w14:textId="77777777" w:rsidR="009A6CCF" w:rsidRPr="00581A0D" w:rsidRDefault="009A6CCF" w:rsidP="009A6CCF">
      <w:pPr>
        <w:spacing w:before="120" w:after="120" w:line="240" w:lineRule="auto"/>
        <w:jc w:val="center"/>
        <w:rPr>
          <w:rFonts w:ascii="Arial" w:hAnsi="Arial" w:cs="Arial"/>
          <w:lang w:val="es-ES_tradnl"/>
        </w:rPr>
      </w:pPr>
    </w:p>
    <w:p w14:paraId="1167E70B" w14:textId="77777777" w:rsidR="009A6CCF" w:rsidRPr="00581A0D" w:rsidRDefault="009A6CCF" w:rsidP="009A6CCF">
      <w:pPr>
        <w:spacing w:before="120" w:after="120" w:line="240" w:lineRule="auto"/>
        <w:jc w:val="center"/>
        <w:rPr>
          <w:rFonts w:ascii="Arial" w:hAnsi="Arial" w:cs="Arial"/>
          <w:lang w:val="es-ES_tradnl"/>
        </w:rPr>
      </w:pPr>
    </w:p>
    <w:p w14:paraId="5A174991" w14:textId="77777777" w:rsidR="009A6CCF" w:rsidRPr="00581A0D" w:rsidRDefault="009A6CCF" w:rsidP="009A6CCF">
      <w:pPr>
        <w:spacing w:before="120" w:after="120" w:line="240" w:lineRule="auto"/>
        <w:jc w:val="center"/>
        <w:rPr>
          <w:rFonts w:ascii="Arial" w:hAnsi="Arial" w:cs="Arial"/>
          <w:lang w:val="es-ES_tradnl"/>
        </w:rPr>
      </w:pPr>
    </w:p>
    <w:p w14:paraId="4A6E1ED6" w14:textId="77777777" w:rsidR="009A6CCF" w:rsidRPr="00581A0D" w:rsidRDefault="009A6CCF" w:rsidP="009A6CCF">
      <w:pPr>
        <w:tabs>
          <w:tab w:val="left" w:pos="1350"/>
        </w:tabs>
        <w:jc w:val="center"/>
        <w:rPr>
          <w:rFonts w:ascii="Arial" w:hAnsi="Arial" w:cs="Arial"/>
          <w:b/>
          <w:smallCaps/>
          <w:sz w:val="28"/>
          <w:lang w:val="es-ES_tradnl"/>
        </w:rPr>
      </w:pPr>
    </w:p>
    <w:p w14:paraId="7DA1C570" w14:textId="77777777" w:rsidR="009A6CCF" w:rsidRPr="00581A0D" w:rsidRDefault="009A6CCF" w:rsidP="009A6CCF">
      <w:pPr>
        <w:tabs>
          <w:tab w:val="left" w:pos="1350"/>
        </w:tabs>
        <w:jc w:val="center"/>
        <w:rPr>
          <w:rFonts w:ascii="Arial" w:hAnsi="Arial" w:cs="Arial"/>
          <w:b/>
          <w:smallCaps/>
          <w:sz w:val="28"/>
          <w:lang w:val="es-ES_tradnl"/>
        </w:rPr>
      </w:pPr>
    </w:p>
    <w:p w14:paraId="1894D8F6" w14:textId="77777777" w:rsidR="009A6CCF" w:rsidRPr="00581A0D" w:rsidRDefault="009A6CCF" w:rsidP="009A6CCF">
      <w:pPr>
        <w:tabs>
          <w:tab w:val="left" w:pos="1440"/>
          <w:tab w:val="left" w:pos="3060"/>
        </w:tabs>
        <w:jc w:val="center"/>
        <w:rPr>
          <w:rFonts w:ascii="Arial" w:hAnsi="Arial" w:cs="Arial"/>
          <w:b/>
          <w:smallCaps/>
          <w:sz w:val="28"/>
          <w:szCs w:val="28"/>
          <w:lang w:val="es-ES_tradnl"/>
        </w:rPr>
      </w:pPr>
      <w:r w:rsidRPr="00581A0D">
        <w:rPr>
          <w:rFonts w:ascii="Arial" w:hAnsi="Arial" w:cs="Arial"/>
          <w:b/>
          <w:smallCaps/>
          <w:sz w:val="28"/>
          <w:szCs w:val="28"/>
          <w:lang w:val="es-ES_tradnl"/>
        </w:rPr>
        <w:t>Ecuador</w:t>
      </w:r>
    </w:p>
    <w:p w14:paraId="21540D1E" w14:textId="77777777" w:rsidR="009A6CCF" w:rsidRPr="00581A0D" w:rsidRDefault="009A6CCF" w:rsidP="009A6CCF">
      <w:pPr>
        <w:tabs>
          <w:tab w:val="left" w:pos="1440"/>
          <w:tab w:val="left" w:pos="3060"/>
        </w:tabs>
        <w:jc w:val="center"/>
        <w:rPr>
          <w:rFonts w:ascii="Arial" w:hAnsi="Arial" w:cs="Arial"/>
          <w:smallCaps/>
          <w:lang w:val="es-ES_tradnl"/>
        </w:rPr>
      </w:pPr>
    </w:p>
    <w:p w14:paraId="3087F0C5" w14:textId="77777777" w:rsidR="009A6CCF" w:rsidRPr="00581A0D" w:rsidRDefault="009A6CCF" w:rsidP="009A6CCF">
      <w:pPr>
        <w:tabs>
          <w:tab w:val="left" w:pos="1440"/>
          <w:tab w:val="left" w:pos="3060"/>
        </w:tabs>
        <w:jc w:val="center"/>
        <w:rPr>
          <w:rFonts w:ascii="Arial" w:hAnsi="Arial" w:cs="Arial"/>
          <w:smallCaps/>
          <w:lang w:val="es-ES_tradnl"/>
        </w:rPr>
      </w:pPr>
    </w:p>
    <w:p w14:paraId="6A2C8A3C" w14:textId="77777777" w:rsidR="009A6CCF" w:rsidRPr="00581A0D" w:rsidRDefault="009A6CCF" w:rsidP="009A6CCF">
      <w:pPr>
        <w:tabs>
          <w:tab w:val="left" w:pos="1440"/>
          <w:tab w:val="left" w:pos="3060"/>
        </w:tabs>
        <w:jc w:val="center"/>
        <w:rPr>
          <w:rFonts w:ascii="Arial" w:hAnsi="Arial" w:cs="Arial"/>
          <w:b/>
          <w:caps/>
          <w:smallCaps/>
          <w:lang w:val="es-ES_tradnl"/>
        </w:rPr>
      </w:pPr>
      <w:r w:rsidRPr="00581A0D">
        <w:rPr>
          <w:rFonts w:ascii="Arial" w:hAnsi="Arial" w:cs="Arial"/>
          <w:b/>
          <w:smallCaps/>
          <w:sz w:val="28"/>
          <w:lang w:val="es-ES_tradnl"/>
        </w:rPr>
        <w:t>Financiamiento de Vivienda Social en Ecuador</w:t>
      </w:r>
    </w:p>
    <w:p w14:paraId="49C00360" w14:textId="77777777" w:rsidR="009A6CCF" w:rsidRPr="00581A0D" w:rsidRDefault="009A6CCF" w:rsidP="009A6CCF">
      <w:pPr>
        <w:pStyle w:val="Newpage"/>
        <w:rPr>
          <w:rFonts w:ascii="Arial" w:hAnsi="Arial"/>
          <w:b w:val="0"/>
          <w:caps/>
          <w:smallCaps w:val="0"/>
          <w:sz w:val="22"/>
          <w:szCs w:val="22"/>
          <w:lang w:val="es-ES_tradnl"/>
        </w:rPr>
      </w:pPr>
    </w:p>
    <w:p w14:paraId="664E6313" w14:textId="77777777" w:rsidR="009A6CCF" w:rsidRPr="00581A0D" w:rsidRDefault="009A6CCF" w:rsidP="009A6CCF">
      <w:pPr>
        <w:tabs>
          <w:tab w:val="left" w:pos="1440"/>
          <w:tab w:val="left" w:pos="3060"/>
        </w:tabs>
        <w:jc w:val="center"/>
        <w:rPr>
          <w:rFonts w:ascii="Arial" w:hAnsi="Arial" w:cs="Arial"/>
          <w:b/>
          <w:smallCaps/>
          <w:lang w:val="es-ES_tradnl"/>
        </w:rPr>
      </w:pPr>
      <w:r w:rsidRPr="00581A0D">
        <w:rPr>
          <w:rFonts w:ascii="Arial" w:hAnsi="Arial" w:cs="Arial"/>
          <w:b/>
          <w:smallCaps/>
          <w:lang w:val="es-ES_tradnl"/>
        </w:rPr>
        <w:t>(EC-U0001)</w:t>
      </w:r>
    </w:p>
    <w:p w14:paraId="02BDCA8F" w14:textId="77777777" w:rsidR="009A6CCF" w:rsidRPr="00581A0D" w:rsidRDefault="009A6CCF" w:rsidP="009A6CCF">
      <w:pPr>
        <w:tabs>
          <w:tab w:val="left" w:pos="1440"/>
          <w:tab w:val="left" w:pos="3060"/>
        </w:tabs>
        <w:jc w:val="center"/>
        <w:outlineLvl w:val="0"/>
        <w:rPr>
          <w:rFonts w:ascii="Arial" w:hAnsi="Arial" w:cs="Arial"/>
          <w:b/>
          <w:smallCaps/>
          <w:sz w:val="24"/>
          <w:lang w:val="es-ES_tradnl"/>
        </w:rPr>
      </w:pPr>
    </w:p>
    <w:p w14:paraId="46108C91" w14:textId="77777777" w:rsidR="009A6CCF" w:rsidRPr="00581A0D" w:rsidRDefault="009A6CCF" w:rsidP="009A6CCF">
      <w:pPr>
        <w:tabs>
          <w:tab w:val="left" w:pos="1440"/>
          <w:tab w:val="left" w:pos="3060"/>
        </w:tabs>
        <w:jc w:val="center"/>
        <w:outlineLvl w:val="0"/>
        <w:rPr>
          <w:rFonts w:ascii="Arial" w:hAnsi="Arial" w:cs="Arial"/>
          <w:b/>
          <w:smallCaps/>
          <w:sz w:val="24"/>
          <w:lang w:val="es-ES_tradnl"/>
        </w:rPr>
      </w:pPr>
    </w:p>
    <w:p w14:paraId="03ED6E80" w14:textId="77777777" w:rsidR="009A6CCF" w:rsidRPr="00581A0D" w:rsidRDefault="009A6CCF" w:rsidP="009A6CCF">
      <w:pPr>
        <w:tabs>
          <w:tab w:val="left" w:pos="1440"/>
          <w:tab w:val="left" w:pos="3060"/>
        </w:tabs>
        <w:jc w:val="center"/>
        <w:outlineLvl w:val="0"/>
        <w:rPr>
          <w:rFonts w:ascii="Arial" w:hAnsi="Arial" w:cs="Arial"/>
          <w:b/>
          <w:smallCaps/>
          <w:sz w:val="24"/>
          <w:lang w:val="es-ES_tradnl"/>
        </w:rPr>
      </w:pPr>
      <w:r w:rsidRPr="00581A0D">
        <w:rPr>
          <w:rFonts w:ascii="Arial" w:hAnsi="Arial" w:cs="Arial"/>
          <w:b/>
          <w:smallCaps/>
          <w:sz w:val="24"/>
          <w:lang w:val="es-ES_tradnl"/>
        </w:rPr>
        <w:t>Plan de Monitoreo y Evaluación</w:t>
      </w:r>
    </w:p>
    <w:p w14:paraId="46B4C41F" w14:textId="77777777" w:rsidR="009A6CCF" w:rsidRPr="00581A0D" w:rsidRDefault="009A6CCF" w:rsidP="009A6CCF">
      <w:pPr>
        <w:spacing w:after="100" w:afterAutospacing="1" w:line="240" w:lineRule="auto"/>
        <w:jc w:val="center"/>
        <w:rPr>
          <w:rFonts w:ascii="Arial" w:hAnsi="Arial" w:cs="Arial"/>
          <w:b/>
          <w:lang w:val="es-ES_tradnl"/>
        </w:rPr>
      </w:pPr>
    </w:p>
    <w:p w14:paraId="1FD4A5C4" w14:textId="77777777" w:rsidR="009A6CCF" w:rsidRPr="00581A0D" w:rsidRDefault="009A6CCF" w:rsidP="009A6CCF">
      <w:pPr>
        <w:pStyle w:val="TOC3"/>
        <w:rPr>
          <w:rFonts w:ascii="Arial" w:hAnsi="Arial" w:cs="Arial"/>
          <w:sz w:val="22"/>
          <w:lang w:val="es-ES_tradnl"/>
        </w:rPr>
      </w:pPr>
    </w:p>
    <w:p w14:paraId="3BE81523" w14:textId="77777777" w:rsidR="009A6CCF" w:rsidRPr="00581A0D" w:rsidRDefault="009A6CCF" w:rsidP="009A6CCF">
      <w:pPr>
        <w:rPr>
          <w:rFonts w:ascii="Arial" w:hAnsi="Arial" w:cs="Arial"/>
          <w:lang w:val="es-ES_tradnl"/>
        </w:rPr>
      </w:pPr>
    </w:p>
    <w:p w14:paraId="517FBDC0" w14:textId="77777777" w:rsidR="009A6CCF" w:rsidRPr="00581A0D" w:rsidRDefault="009A6CCF" w:rsidP="009A6CCF">
      <w:pPr>
        <w:rPr>
          <w:rFonts w:ascii="Arial" w:hAnsi="Arial" w:cs="Arial"/>
          <w:b/>
          <w:lang w:val="es-ES_tradnl"/>
        </w:rPr>
      </w:pPr>
    </w:p>
    <w:p w14:paraId="2C9F4704" w14:textId="77777777" w:rsidR="009A6CCF" w:rsidRPr="00581A0D" w:rsidRDefault="009A6CCF" w:rsidP="009A6CCF">
      <w:pPr>
        <w:rPr>
          <w:rFonts w:ascii="Arial" w:hAnsi="Arial" w:cs="Arial"/>
          <w:b/>
          <w:lang w:val="es-ES_tradnl"/>
        </w:rPr>
      </w:pPr>
    </w:p>
    <w:p w14:paraId="75743D3D" w14:textId="77777777" w:rsidR="009A6CCF" w:rsidRPr="00581A0D" w:rsidRDefault="009A6CCF" w:rsidP="009A6CCF">
      <w:pPr>
        <w:rPr>
          <w:rFonts w:ascii="Arial" w:hAnsi="Arial" w:cs="Arial"/>
          <w:b/>
          <w:lang w:val="es-ES_tradnl"/>
        </w:rPr>
      </w:pPr>
    </w:p>
    <w:p w14:paraId="075E56BB" w14:textId="77777777" w:rsidR="009A6CCF" w:rsidRPr="005D5A7E" w:rsidRDefault="009A6CCF" w:rsidP="009A6CCF">
      <w:pPr>
        <w:rPr>
          <w:rFonts w:ascii="Arial" w:hAnsi="Arial" w:cs="Arial"/>
          <w:b/>
          <w:lang w:val="es-ES_tradnl"/>
        </w:rPr>
        <w:sectPr w:rsidR="009A6CCF" w:rsidRPr="005D5A7E" w:rsidSect="00407F3B">
          <w:footerReference w:type="default" r:id="rId8"/>
          <w:pgSz w:w="12240" w:h="15840"/>
          <w:pgMar w:top="1440" w:right="1800" w:bottom="1440" w:left="1800" w:header="720" w:footer="720" w:gutter="0"/>
          <w:cols w:space="720"/>
          <w:titlePg/>
          <w:docGrid w:linePitch="360"/>
        </w:sectPr>
      </w:pPr>
      <w:r w:rsidRPr="0043439C">
        <w:rPr>
          <w:rFonts w:ascii="Arial" w:hAnsi="Arial"/>
          <w:noProof/>
          <w:lang w:val="es-ES_tradnl"/>
        </w:rPr>
        <mc:AlternateContent>
          <mc:Choice Requires="wps">
            <w:drawing>
              <wp:anchor distT="0" distB="0" distL="114300" distR="114300" simplePos="0" relativeHeight="251658240" behindDoc="0" locked="0" layoutInCell="1" allowOverlap="1" wp14:anchorId="10556ED4" wp14:editId="38897336">
                <wp:simplePos x="0" y="0"/>
                <wp:positionH relativeFrom="column">
                  <wp:posOffset>-209550</wp:posOffset>
                </wp:positionH>
                <wp:positionV relativeFrom="paragraph">
                  <wp:posOffset>299085</wp:posOffset>
                </wp:positionV>
                <wp:extent cx="5734050" cy="6477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647700"/>
                        </a:xfrm>
                        <a:prstGeom prst="rect">
                          <a:avLst/>
                        </a:prstGeom>
                        <a:solidFill>
                          <a:srgbClr val="FFFFFF"/>
                        </a:solidFill>
                        <a:ln w="9525">
                          <a:solidFill>
                            <a:srgbClr val="000000"/>
                          </a:solidFill>
                          <a:miter lim="800000"/>
                          <a:headEnd/>
                          <a:tailEnd/>
                        </a:ln>
                      </wps:spPr>
                      <wps:txbx>
                        <w:txbxContent>
                          <w:p w14:paraId="21A43102" w14:textId="64FD97FB" w:rsidR="00407F3B" w:rsidRPr="00486549" w:rsidRDefault="00407F3B" w:rsidP="009A6CCF">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 xml:space="preserve">preparado por: Alejandro Támola </w:t>
                            </w:r>
                            <w:r w:rsidRPr="00486549">
                              <w:rPr>
                                <w:rFonts w:ascii="Arial" w:hAnsi="Arial" w:cs="Arial"/>
                                <w:szCs w:val="24"/>
                                <w:lang w:val="es-ES_tradnl"/>
                              </w:rPr>
                              <w:t>(IFD/CMF).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556ED4" id="_x0000_t202" coordsize="21600,21600" o:spt="202" path="m,l,21600r21600,l21600,xe">
                <v:stroke joinstyle="miter"/>
                <v:path gradientshapeok="t" o:connecttype="rect"/>
              </v:shapetype>
              <v:shape id="Text Box 1" o:spid="_x0000_s1026" type="#_x0000_t202" style="position:absolute;margin-left:-16.5pt;margin-top:23.55pt;width:451.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">
                <v:textbox>
                  <w:txbxContent>
                    <w:p w14:paraId="21A43102" w14:textId="64FD97FB" w:rsidR="00407F3B" w:rsidRPr="00486549" w:rsidRDefault="00407F3B" w:rsidP="009A6CCF">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 xml:space="preserve">preparado por: Alejandro </w:t>
                      </w:r>
                      <w:proofErr w:type="spellStart"/>
                      <w:r>
                        <w:rPr>
                          <w:rFonts w:ascii="Arial" w:hAnsi="Arial" w:cs="Arial"/>
                          <w:szCs w:val="24"/>
                          <w:lang w:val="es-ES_tradnl"/>
                        </w:rPr>
                        <w:t>Támola</w:t>
                      </w:r>
                      <w:proofErr w:type="spellEnd"/>
                      <w:r>
                        <w:rPr>
                          <w:rFonts w:ascii="Arial" w:hAnsi="Arial" w:cs="Arial"/>
                          <w:szCs w:val="24"/>
                          <w:lang w:val="es-ES_tradnl"/>
                        </w:rPr>
                        <w:t xml:space="preserve"> </w:t>
                      </w:r>
                      <w:r w:rsidRPr="00486549">
                        <w:rPr>
                          <w:rFonts w:ascii="Arial" w:hAnsi="Arial" w:cs="Arial"/>
                          <w:szCs w:val="24"/>
                          <w:lang w:val="es-ES_tradnl"/>
                        </w:rPr>
                        <w:t>(IFD/CMF).</w:t>
                      </w:r>
                    </w:p>
                  </w:txbxContent>
                </v:textbox>
              </v:shape>
            </w:pict>
          </mc:Fallback>
        </mc:AlternateContent>
      </w:r>
    </w:p>
    <w:p w14:paraId="49320A4B" w14:textId="77777777" w:rsidR="009A6CCF" w:rsidRPr="005D5A7E" w:rsidRDefault="009A6CCF" w:rsidP="009A6CCF">
      <w:pPr>
        <w:jc w:val="center"/>
        <w:rPr>
          <w:rFonts w:ascii="Arial" w:hAnsi="Arial" w:cs="Arial"/>
          <w:b/>
          <w:bCs/>
          <w:smallCaps/>
          <w:spacing w:val="5"/>
          <w:lang w:val="es-ES_tradnl"/>
        </w:rPr>
      </w:pPr>
      <w:r w:rsidRPr="005D5A7E">
        <w:rPr>
          <w:rStyle w:val="BookTitle"/>
          <w:rFonts w:ascii="Arial" w:hAnsi="Arial" w:cs="Arial"/>
          <w:lang w:val="es-ES_tradnl"/>
        </w:rPr>
        <w:lastRenderedPageBreak/>
        <w:t>Contenido</w:t>
      </w:r>
    </w:p>
    <w:p w14:paraId="66CC5258" w14:textId="75870D99" w:rsidR="002902F9" w:rsidRPr="005D5A7E" w:rsidRDefault="009A6CCF">
      <w:pPr>
        <w:pStyle w:val="TOC1"/>
        <w:rPr>
          <w:rFonts w:ascii="Arial" w:hAnsi="Arial" w:cs="Arial"/>
          <w:b w:val="0"/>
          <w:smallCaps w:val="0"/>
          <w:sz w:val="22"/>
          <w:lang w:val="es-ES_tradnl" w:eastAsia="en-US"/>
        </w:rPr>
      </w:pPr>
      <w:r w:rsidRPr="005D5A7E">
        <w:rPr>
          <w:rFonts w:ascii="Arial" w:hAnsi="Arial" w:cs="Arial"/>
          <w:b w:val="0"/>
          <w:noProof w:val="0"/>
          <w:sz w:val="22"/>
          <w:lang w:val="es-ES_tradnl"/>
        </w:rPr>
        <w:fldChar w:fldCharType="begin"/>
      </w:r>
      <w:r w:rsidRPr="005D5A7E">
        <w:rPr>
          <w:rFonts w:ascii="Arial" w:hAnsi="Arial" w:cs="Arial"/>
          <w:b w:val="0"/>
          <w:noProof w:val="0"/>
          <w:sz w:val="22"/>
          <w:lang w:val="es-ES_tradnl"/>
        </w:rPr>
        <w:instrText xml:space="preserve"> TOC \f \t "Chapter,1,FirstHeading,2,SecHeading,3" </w:instrText>
      </w:r>
      <w:r w:rsidRPr="005D5A7E">
        <w:rPr>
          <w:rFonts w:ascii="Arial" w:hAnsi="Arial" w:cs="Arial"/>
          <w:b w:val="0"/>
          <w:noProof w:val="0"/>
          <w:sz w:val="22"/>
          <w:lang w:val="es-ES_tradnl"/>
        </w:rPr>
        <w:fldChar w:fldCharType="separate"/>
      </w:r>
      <w:r w:rsidR="002902F9" w:rsidRPr="005D5A7E">
        <w:rPr>
          <w:rFonts w:ascii="Arial" w:hAnsi="Arial" w:cs="Arial"/>
          <w:lang w:val="es-ES_tradnl"/>
        </w:rPr>
        <w:t>I.</w:t>
      </w:r>
      <w:r w:rsidR="002902F9" w:rsidRPr="005D5A7E">
        <w:rPr>
          <w:rFonts w:asciiTheme="minorHAnsi" w:hAnsiTheme="minorHAnsi" w:cstheme="minorBidi"/>
          <w:b w:val="0"/>
          <w:smallCaps w:val="0"/>
          <w:sz w:val="22"/>
          <w:lang w:val="es-ES_tradnl" w:eastAsia="en-US"/>
        </w:rPr>
        <w:tab/>
      </w:r>
      <w:r w:rsidR="002902F9" w:rsidRPr="005D5A7E">
        <w:rPr>
          <w:rFonts w:ascii="Arial" w:hAnsi="Arial" w:cs="Arial"/>
          <w:lang w:val="es-ES_tradnl"/>
        </w:rPr>
        <w:t>Introducción</w:t>
      </w:r>
      <w:r w:rsidR="002902F9" w:rsidRPr="005D5A7E">
        <w:rPr>
          <w:rFonts w:ascii="Arial" w:hAnsi="Arial" w:cs="Arial"/>
          <w:sz w:val="22"/>
          <w:lang w:val="es-ES_tradnl"/>
        </w:rPr>
        <w:tab/>
      </w:r>
      <w:r w:rsidR="002902F9" w:rsidRPr="005D5A7E">
        <w:rPr>
          <w:rFonts w:ascii="Arial" w:hAnsi="Arial" w:cs="Arial"/>
          <w:sz w:val="22"/>
          <w:lang w:val="es-ES_tradnl"/>
        </w:rPr>
        <w:fldChar w:fldCharType="begin"/>
      </w:r>
      <w:r w:rsidR="002902F9" w:rsidRPr="005D5A7E">
        <w:rPr>
          <w:rFonts w:ascii="Arial" w:hAnsi="Arial" w:cs="Arial"/>
          <w:sz w:val="22"/>
          <w:lang w:val="es-ES_tradnl"/>
        </w:rPr>
        <w:instrText xml:space="preserve"> PAGEREF _Toc525949977 \h </w:instrText>
      </w:r>
      <w:r w:rsidR="002902F9" w:rsidRPr="005D5A7E">
        <w:rPr>
          <w:rFonts w:ascii="Arial" w:hAnsi="Arial" w:cs="Arial"/>
          <w:sz w:val="22"/>
          <w:lang w:val="es-ES_tradnl"/>
        </w:rPr>
      </w:r>
      <w:r w:rsidR="002902F9" w:rsidRPr="005D5A7E">
        <w:rPr>
          <w:rFonts w:ascii="Arial" w:hAnsi="Arial" w:cs="Arial"/>
          <w:sz w:val="22"/>
          <w:lang w:val="es-ES_tradnl"/>
        </w:rPr>
        <w:fldChar w:fldCharType="separate"/>
      </w:r>
      <w:r w:rsidR="002E16F7">
        <w:rPr>
          <w:rFonts w:ascii="Arial" w:hAnsi="Arial" w:cs="Arial"/>
          <w:sz w:val="22"/>
          <w:lang w:val="es-ES_tradnl"/>
        </w:rPr>
        <w:t>1</w:t>
      </w:r>
      <w:r w:rsidR="002902F9" w:rsidRPr="005D5A7E">
        <w:rPr>
          <w:rFonts w:ascii="Arial" w:hAnsi="Arial" w:cs="Arial"/>
          <w:sz w:val="22"/>
          <w:lang w:val="es-ES_tradnl"/>
        </w:rPr>
        <w:fldChar w:fldCharType="end"/>
      </w:r>
    </w:p>
    <w:p w14:paraId="477FDCA6" w14:textId="76FD6D52" w:rsidR="002902F9" w:rsidRPr="005D5A7E" w:rsidRDefault="002902F9">
      <w:pPr>
        <w:pStyle w:val="TOC1"/>
        <w:rPr>
          <w:rFonts w:ascii="Arial" w:hAnsi="Arial" w:cs="Arial"/>
          <w:b w:val="0"/>
          <w:smallCaps w:val="0"/>
          <w:sz w:val="22"/>
          <w:lang w:val="es-ES_tradnl" w:eastAsia="en-US"/>
        </w:rPr>
      </w:pPr>
      <w:r w:rsidRPr="005D5A7E">
        <w:rPr>
          <w:rFonts w:ascii="Arial" w:hAnsi="Arial" w:cs="Arial"/>
          <w:sz w:val="22"/>
          <w:lang w:val="es-ES_tradnl"/>
        </w:rPr>
        <w:t>II.</w:t>
      </w:r>
      <w:r w:rsidRPr="005D5A7E">
        <w:rPr>
          <w:rFonts w:ascii="Arial" w:hAnsi="Arial" w:cs="Arial"/>
          <w:b w:val="0"/>
          <w:smallCaps w:val="0"/>
          <w:sz w:val="22"/>
          <w:lang w:val="es-ES_tradnl" w:eastAsia="en-US"/>
        </w:rPr>
        <w:tab/>
      </w:r>
      <w:r w:rsidRPr="005D5A7E">
        <w:rPr>
          <w:rFonts w:ascii="Arial" w:hAnsi="Arial" w:cs="Arial"/>
          <w:sz w:val="22"/>
          <w:lang w:val="es-ES_tradnl"/>
        </w:rPr>
        <w:t>Monitoreo</w:t>
      </w:r>
      <w:r w:rsidRPr="005D5A7E">
        <w:rPr>
          <w:rFonts w:ascii="Arial" w:hAnsi="Arial" w:cs="Arial"/>
          <w:sz w:val="22"/>
          <w:lang w:val="es-ES_tradnl"/>
        </w:rPr>
        <w:tab/>
      </w:r>
      <w:r w:rsidRPr="005D5A7E">
        <w:rPr>
          <w:rFonts w:ascii="Arial" w:hAnsi="Arial" w:cs="Arial"/>
          <w:sz w:val="22"/>
          <w:lang w:val="es-ES_tradnl"/>
        </w:rPr>
        <w:fldChar w:fldCharType="begin"/>
      </w:r>
      <w:r w:rsidRPr="005D5A7E">
        <w:rPr>
          <w:rFonts w:ascii="Arial" w:hAnsi="Arial" w:cs="Arial"/>
          <w:sz w:val="22"/>
          <w:lang w:val="es-ES_tradnl"/>
        </w:rPr>
        <w:instrText xml:space="preserve"> PAGEREF _Toc525949978 \h </w:instrText>
      </w:r>
      <w:r w:rsidRPr="005D5A7E">
        <w:rPr>
          <w:rFonts w:ascii="Arial" w:hAnsi="Arial" w:cs="Arial"/>
          <w:sz w:val="22"/>
          <w:lang w:val="es-ES_tradnl"/>
        </w:rPr>
      </w:r>
      <w:r w:rsidRPr="005D5A7E">
        <w:rPr>
          <w:rFonts w:ascii="Arial" w:hAnsi="Arial" w:cs="Arial"/>
          <w:sz w:val="22"/>
          <w:lang w:val="es-ES_tradnl"/>
        </w:rPr>
        <w:fldChar w:fldCharType="separate"/>
      </w:r>
      <w:r w:rsidR="002E16F7">
        <w:rPr>
          <w:rFonts w:ascii="Arial" w:hAnsi="Arial" w:cs="Arial"/>
          <w:sz w:val="22"/>
          <w:lang w:val="es-ES_tradnl"/>
        </w:rPr>
        <w:t>2</w:t>
      </w:r>
      <w:r w:rsidRPr="005D5A7E">
        <w:rPr>
          <w:rFonts w:ascii="Arial" w:hAnsi="Arial" w:cs="Arial"/>
          <w:sz w:val="22"/>
          <w:lang w:val="es-ES_tradnl"/>
        </w:rPr>
        <w:fldChar w:fldCharType="end"/>
      </w:r>
    </w:p>
    <w:p w14:paraId="0F40AE9D" w14:textId="0CC32693" w:rsidR="002902F9" w:rsidRPr="005D5A7E" w:rsidRDefault="002902F9">
      <w:pPr>
        <w:pStyle w:val="TOC1"/>
        <w:rPr>
          <w:rFonts w:ascii="Arial" w:hAnsi="Arial" w:cs="Arial"/>
          <w:b w:val="0"/>
          <w:smallCaps w:val="0"/>
          <w:sz w:val="22"/>
          <w:lang w:val="es-ES_tradnl" w:eastAsia="en-US"/>
        </w:rPr>
      </w:pPr>
      <w:r w:rsidRPr="005D5A7E">
        <w:rPr>
          <w:rFonts w:ascii="Arial" w:hAnsi="Arial" w:cs="Arial"/>
          <w:sz w:val="22"/>
          <w:lang w:val="es-ES_tradnl"/>
        </w:rPr>
        <w:t>III.</w:t>
      </w:r>
      <w:r w:rsidRPr="005D5A7E">
        <w:rPr>
          <w:rFonts w:ascii="Arial" w:hAnsi="Arial" w:cs="Arial"/>
          <w:b w:val="0"/>
          <w:smallCaps w:val="0"/>
          <w:sz w:val="22"/>
          <w:lang w:val="es-ES_tradnl" w:eastAsia="en-US"/>
        </w:rPr>
        <w:tab/>
      </w:r>
      <w:r w:rsidRPr="005D5A7E">
        <w:rPr>
          <w:rFonts w:ascii="Arial" w:hAnsi="Arial" w:cs="Arial"/>
          <w:sz w:val="22"/>
          <w:lang w:val="es-ES_tradnl"/>
        </w:rPr>
        <w:t>Evaluación</w:t>
      </w:r>
      <w:r w:rsidRPr="005D5A7E">
        <w:rPr>
          <w:rFonts w:ascii="Arial" w:hAnsi="Arial" w:cs="Arial"/>
          <w:sz w:val="22"/>
          <w:lang w:val="es-ES_tradnl"/>
        </w:rPr>
        <w:tab/>
      </w:r>
      <w:r w:rsidRPr="005D5A7E">
        <w:rPr>
          <w:rFonts w:ascii="Arial" w:hAnsi="Arial" w:cs="Arial"/>
          <w:sz w:val="22"/>
          <w:lang w:val="es-ES_tradnl"/>
        </w:rPr>
        <w:fldChar w:fldCharType="begin"/>
      </w:r>
      <w:r w:rsidRPr="005D5A7E">
        <w:rPr>
          <w:rFonts w:ascii="Arial" w:hAnsi="Arial" w:cs="Arial"/>
          <w:sz w:val="22"/>
          <w:lang w:val="es-ES_tradnl"/>
        </w:rPr>
        <w:instrText xml:space="preserve"> PAGEREF _Toc525949979 \h </w:instrText>
      </w:r>
      <w:r w:rsidRPr="005D5A7E">
        <w:rPr>
          <w:rFonts w:ascii="Arial" w:hAnsi="Arial" w:cs="Arial"/>
          <w:sz w:val="22"/>
          <w:lang w:val="es-ES_tradnl"/>
        </w:rPr>
      </w:r>
      <w:r w:rsidRPr="005D5A7E">
        <w:rPr>
          <w:rFonts w:ascii="Arial" w:hAnsi="Arial" w:cs="Arial"/>
          <w:sz w:val="22"/>
          <w:lang w:val="es-ES_tradnl"/>
        </w:rPr>
        <w:fldChar w:fldCharType="separate"/>
      </w:r>
      <w:r w:rsidR="002E16F7">
        <w:rPr>
          <w:rFonts w:ascii="Arial" w:hAnsi="Arial" w:cs="Arial"/>
          <w:sz w:val="22"/>
          <w:lang w:val="es-ES_tradnl"/>
        </w:rPr>
        <w:t>6</w:t>
      </w:r>
      <w:r w:rsidRPr="005D5A7E">
        <w:rPr>
          <w:rFonts w:ascii="Arial" w:hAnsi="Arial" w:cs="Arial"/>
          <w:sz w:val="22"/>
          <w:lang w:val="es-ES_tradnl"/>
        </w:rPr>
        <w:fldChar w:fldCharType="end"/>
      </w:r>
    </w:p>
    <w:p w14:paraId="3F11B671" w14:textId="33D7545D" w:rsidR="009A6CCF" w:rsidRPr="005D5A7E" w:rsidRDefault="009A6CCF" w:rsidP="009A6CCF">
      <w:pPr>
        <w:pStyle w:val="TOC3"/>
        <w:rPr>
          <w:rFonts w:ascii="Arial" w:hAnsi="Arial" w:cs="Arial"/>
          <w:sz w:val="22"/>
          <w:lang w:val="es-ES_tradnl"/>
        </w:rPr>
      </w:pPr>
      <w:r w:rsidRPr="005D5A7E">
        <w:rPr>
          <w:rFonts w:ascii="Arial" w:hAnsi="Arial" w:cs="Arial"/>
          <w:sz w:val="22"/>
          <w:lang w:val="es-ES_tradnl"/>
        </w:rPr>
        <w:fldChar w:fldCharType="end"/>
      </w:r>
    </w:p>
    <w:p w14:paraId="2590D180" w14:textId="77777777" w:rsidR="009A6CCF" w:rsidRPr="005D5A7E" w:rsidRDefault="009A6CCF" w:rsidP="009A6CCF">
      <w:pPr>
        <w:rPr>
          <w:rFonts w:ascii="Arial" w:hAnsi="Arial" w:cs="Arial"/>
          <w:lang w:val="es-ES_tradnl"/>
        </w:rPr>
      </w:pPr>
    </w:p>
    <w:p w14:paraId="3FC1DF63" w14:textId="77777777" w:rsidR="009A6CCF" w:rsidRPr="005D5A7E" w:rsidRDefault="009A6CCF" w:rsidP="009A6CCF">
      <w:pPr>
        <w:rPr>
          <w:rFonts w:ascii="Arial" w:hAnsi="Arial" w:cs="Arial"/>
          <w:lang w:val="es-ES_tradnl"/>
        </w:rPr>
      </w:pPr>
    </w:p>
    <w:p w14:paraId="0BA3A22C" w14:textId="77777777" w:rsidR="009A6CCF" w:rsidRPr="005D5A7E" w:rsidRDefault="009A6CCF" w:rsidP="009A6CCF">
      <w:pPr>
        <w:rPr>
          <w:rFonts w:ascii="Arial" w:hAnsi="Arial" w:cs="Arial"/>
          <w:lang w:val="es-ES_tradnl"/>
        </w:rPr>
        <w:sectPr w:rsidR="009A6CCF" w:rsidRPr="005D5A7E" w:rsidSect="00407F3B">
          <w:footerReference w:type="default" r:id="rId9"/>
          <w:pgSz w:w="12240" w:h="15840"/>
          <w:pgMar w:top="1440" w:right="1800" w:bottom="1440" w:left="1800" w:header="720" w:footer="720" w:gutter="0"/>
          <w:pgNumType w:start="0"/>
          <w:cols w:space="720"/>
          <w:titlePg/>
          <w:docGrid w:linePitch="360"/>
        </w:sectPr>
      </w:pPr>
      <w:r w:rsidRPr="005D5A7E">
        <w:rPr>
          <w:rFonts w:ascii="Arial" w:hAnsi="Arial" w:cs="Arial"/>
          <w:lang w:val="es-ES_tradnl"/>
        </w:rPr>
        <w:br w:type="page"/>
      </w:r>
    </w:p>
    <w:p w14:paraId="1F913738" w14:textId="77777777" w:rsidR="009A6CCF" w:rsidRPr="005D5A7E" w:rsidRDefault="009A6CCF" w:rsidP="009A6CCF">
      <w:pPr>
        <w:pStyle w:val="Chapter"/>
        <w:spacing w:before="0"/>
        <w:rPr>
          <w:rFonts w:ascii="Arial" w:hAnsi="Arial" w:cs="Arial"/>
          <w:sz w:val="22"/>
          <w:szCs w:val="22"/>
          <w:lang w:val="es-ES_tradnl"/>
        </w:rPr>
      </w:pPr>
      <w:bookmarkStart w:id="1" w:name="_Toc352756751"/>
      <w:bookmarkStart w:id="2" w:name="_Toc525949977"/>
      <w:r w:rsidRPr="005D5A7E">
        <w:rPr>
          <w:rFonts w:ascii="Arial" w:hAnsi="Arial" w:cs="Arial"/>
          <w:sz w:val="22"/>
          <w:szCs w:val="22"/>
          <w:lang w:val="es-ES_tradnl"/>
        </w:rPr>
        <w:lastRenderedPageBreak/>
        <w:t>Introducción</w:t>
      </w:r>
      <w:bookmarkEnd w:id="1"/>
      <w:bookmarkEnd w:id="2"/>
      <w:r w:rsidRPr="005D5A7E">
        <w:rPr>
          <w:rFonts w:ascii="Arial" w:hAnsi="Arial" w:cs="Arial"/>
          <w:sz w:val="22"/>
          <w:szCs w:val="22"/>
          <w:lang w:val="es-ES_tradnl"/>
        </w:rPr>
        <w:t xml:space="preserve"> </w:t>
      </w:r>
    </w:p>
    <w:p w14:paraId="210032E4" w14:textId="4F8AF8AF" w:rsidR="009A6CCF" w:rsidRPr="005D5A7E" w:rsidRDefault="009A6CCF" w:rsidP="00180906">
      <w:pPr>
        <w:pStyle w:val="Paragraph"/>
        <w:tabs>
          <w:tab w:val="clear" w:pos="2736"/>
        </w:tabs>
        <w:ind w:left="630" w:hanging="630"/>
        <w:rPr>
          <w:rFonts w:ascii="Arial" w:hAnsi="Arial" w:cs="Arial"/>
          <w:sz w:val="22"/>
          <w:szCs w:val="22"/>
          <w:lang w:val="es-ES_tradnl"/>
        </w:rPr>
      </w:pPr>
      <w:r w:rsidRPr="005D5A7E">
        <w:rPr>
          <w:rFonts w:ascii="Arial" w:hAnsi="Arial" w:cs="Arial"/>
          <w:b/>
          <w:sz w:val="22"/>
          <w:szCs w:val="22"/>
          <w:lang w:val="es-ES_tradnl"/>
        </w:rPr>
        <w:t xml:space="preserve">Objetivo. </w:t>
      </w:r>
      <w:r w:rsidR="00B246A0" w:rsidRPr="005D5A7E">
        <w:rPr>
          <w:rFonts w:ascii="Arial" w:hAnsi="Arial" w:cs="Arial"/>
          <w:sz w:val="22"/>
          <w:szCs w:val="22"/>
          <w:lang w:val="es-ES_tradnl"/>
        </w:rPr>
        <w:t>El objetivo general del programa es contribuir a la reducción del déficit habitacional en Ecuador mediante la provisión de crédito hipotecario para vivienda asequible a través de las IFI. El objetivo específico del programa es aumentar el acceso a la Vivienda de Interés Público (VIP) para familias con capacidad de pago mediante la provisión de soluciones de crédito hipotecario. El programa contará con un único componente cuya descripción y montos siguen a continuación. Dichos montos son orientativos: los fondos se canalizarán en función de la demanda efectiva hacia estos productos específicos, los cuales serán desembolsados siguiendo lo establecido en el Reglamento Operativo del Programa (ROP).</w:t>
      </w:r>
    </w:p>
    <w:p w14:paraId="1DA3E307" w14:textId="089AA4F9" w:rsidR="005638B0" w:rsidRPr="005D5A7E" w:rsidRDefault="005638B0" w:rsidP="005638B0">
      <w:pPr>
        <w:pStyle w:val="Paragraph"/>
        <w:tabs>
          <w:tab w:val="clear" w:pos="2736"/>
        </w:tabs>
        <w:ind w:left="630" w:hanging="630"/>
        <w:rPr>
          <w:rFonts w:ascii="Arial" w:hAnsi="Arial" w:cs="Arial"/>
          <w:sz w:val="22"/>
          <w:szCs w:val="22"/>
          <w:lang w:val="es-ES_tradnl"/>
        </w:rPr>
      </w:pPr>
      <w:r w:rsidRPr="005D5A7E">
        <w:rPr>
          <w:rFonts w:ascii="Arial" w:hAnsi="Arial" w:cs="Arial"/>
          <w:b/>
          <w:sz w:val="22"/>
          <w:szCs w:val="22"/>
          <w:lang w:val="es-ES_tradnl"/>
        </w:rPr>
        <w:t>Distribución de recursos.</w:t>
      </w:r>
      <w:r w:rsidR="009A6CCF" w:rsidRPr="005D5A7E">
        <w:rPr>
          <w:rFonts w:ascii="Arial" w:hAnsi="Arial" w:cs="Arial"/>
          <w:b/>
          <w:sz w:val="22"/>
          <w:szCs w:val="22"/>
          <w:lang w:val="es-ES_tradnl"/>
        </w:rPr>
        <w:t xml:space="preserve"> </w:t>
      </w:r>
      <w:r w:rsidR="009A6CCF" w:rsidRPr="005D5A7E">
        <w:rPr>
          <w:rFonts w:ascii="Arial" w:hAnsi="Arial" w:cs="Arial"/>
          <w:sz w:val="22"/>
          <w:szCs w:val="22"/>
          <w:lang w:val="es-ES_tradnl"/>
        </w:rPr>
        <w:t xml:space="preserve">El </w:t>
      </w:r>
      <w:r w:rsidRPr="005D5A7E">
        <w:rPr>
          <w:rFonts w:ascii="Arial" w:hAnsi="Arial" w:cs="Arial"/>
          <w:sz w:val="22"/>
          <w:szCs w:val="22"/>
          <w:lang w:val="es-ES_tradnl"/>
        </w:rPr>
        <w:t xml:space="preserve">programa prevé que los recursos obtenidos por la emisión del </w:t>
      </w:r>
      <w:r w:rsidR="0092077C">
        <w:rPr>
          <w:rFonts w:ascii="Arial" w:hAnsi="Arial" w:cs="Arial"/>
          <w:sz w:val="22"/>
          <w:szCs w:val="22"/>
          <w:lang w:val="es-ES_tradnl"/>
        </w:rPr>
        <w:t>B</w:t>
      </w:r>
      <w:r w:rsidRPr="005D5A7E">
        <w:rPr>
          <w:rFonts w:ascii="Arial" w:hAnsi="Arial" w:cs="Arial"/>
          <w:sz w:val="22"/>
          <w:szCs w:val="22"/>
          <w:lang w:val="es-ES_tradnl"/>
        </w:rPr>
        <w:t>ono</w:t>
      </w:r>
      <w:r w:rsidR="0092077C">
        <w:rPr>
          <w:rFonts w:ascii="Arial" w:hAnsi="Arial" w:cs="Arial"/>
          <w:sz w:val="22"/>
          <w:szCs w:val="22"/>
          <w:lang w:val="es-ES_tradnl"/>
        </w:rPr>
        <w:t xml:space="preserve"> Social</w:t>
      </w:r>
      <w:bookmarkStart w:id="3" w:name="_GoBack"/>
      <w:bookmarkEnd w:id="3"/>
      <w:r w:rsidRPr="005D5A7E">
        <w:rPr>
          <w:rFonts w:ascii="Arial" w:hAnsi="Arial" w:cs="Arial"/>
          <w:sz w:val="22"/>
          <w:szCs w:val="22"/>
          <w:lang w:val="es-ES_tradnl"/>
        </w:rPr>
        <w:t xml:space="preserve"> sean destinados en un </w:t>
      </w:r>
      <w:r w:rsidR="00B246A0" w:rsidRPr="005D5A7E">
        <w:rPr>
          <w:rFonts w:ascii="Arial" w:hAnsi="Arial" w:cs="Arial"/>
          <w:sz w:val="22"/>
          <w:szCs w:val="22"/>
          <w:lang w:val="es-ES_tradnl"/>
        </w:rPr>
        <w:t>100</w:t>
      </w:r>
      <w:r w:rsidRPr="005D5A7E">
        <w:rPr>
          <w:rFonts w:ascii="Arial" w:hAnsi="Arial" w:cs="Arial"/>
          <w:sz w:val="22"/>
          <w:szCs w:val="22"/>
          <w:lang w:val="es-ES_tradnl"/>
        </w:rPr>
        <w:t xml:space="preserve">% a créditos hipotecarios </w:t>
      </w:r>
      <w:r w:rsidR="003C4D85" w:rsidRPr="005D5A7E">
        <w:rPr>
          <w:rFonts w:ascii="Arial" w:hAnsi="Arial" w:cs="Arial"/>
          <w:sz w:val="22"/>
          <w:szCs w:val="22"/>
          <w:lang w:val="es-ES_tradnl"/>
        </w:rPr>
        <w:t>a personas naturales (esperando que sean utilizados primordialmente en créditos a VIP por sobre US$40.000 y por debajo de US$70.000).</w:t>
      </w:r>
      <w:r w:rsidR="001C72A9">
        <w:rPr>
          <w:rStyle w:val="FootnoteReference"/>
          <w:rFonts w:ascii="Arial" w:hAnsi="Arial" w:cs="Arial"/>
          <w:sz w:val="22"/>
          <w:szCs w:val="22"/>
          <w:lang w:val="es-ES_tradnl"/>
        </w:rPr>
        <w:footnoteReference w:id="2"/>
      </w:r>
      <w:r w:rsidR="003C4D85" w:rsidRPr="005D5A7E">
        <w:rPr>
          <w:rFonts w:ascii="Arial" w:hAnsi="Arial" w:cs="Arial"/>
          <w:sz w:val="22"/>
          <w:szCs w:val="22"/>
          <w:lang w:val="es-ES_tradnl"/>
        </w:rPr>
        <w:t xml:space="preserve"> Se espera que los recursos se distribuyan completamente en un plazo de no más de </w:t>
      </w:r>
      <w:r w:rsidR="00AC2FE4" w:rsidRPr="005D5A7E">
        <w:rPr>
          <w:rFonts w:ascii="Arial" w:hAnsi="Arial" w:cs="Arial"/>
          <w:sz w:val="22"/>
          <w:szCs w:val="22"/>
          <w:lang w:val="es-ES_tradnl"/>
        </w:rPr>
        <w:t xml:space="preserve">cinco </w:t>
      </w:r>
      <w:r w:rsidR="003C4D85" w:rsidRPr="005D5A7E">
        <w:rPr>
          <w:rFonts w:ascii="Arial" w:hAnsi="Arial" w:cs="Arial"/>
          <w:sz w:val="22"/>
          <w:szCs w:val="22"/>
          <w:lang w:val="es-ES_tradnl"/>
        </w:rPr>
        <w:t xml:space="preserve">años. </w:t>
      </w:r>
    </w:p>
    <w:p w14:paraId="4F2F66F6" w14:textId="33D88E2C" w:rsidR="009A6CCF" w:rsidRPr="005D5A7E" w:rsidRDefault="009A6CCF" w:rsidP="009A6CCF">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b/>
          <w:sz w:val="22"/>
          <w:szCs w:val="22"/>
          <w:lang w:val="es-ES_tradnl"/>
        </w:rPr>
        <w:t>Responsabilidades del Organismo Ejecutor (OE)</w:t>
      </w:r>
      <w:r w:rsidR="00357029" w:rsidRPr="005D5A7E">
        <w:rPr>
          <w:rFonts w:ascii="Arial" w:hAnsi="Arial" w:cs="Arial"/>
          <w:sz w:val="22"/>
          <w:szCs w:val="22"/>
          <w:lang w:val="es-ES_tradnl"/>
        </w:rPr>
        <w:t>.</w:t>
      </w:r>
      <w:r w:rsidR="005401BF" w:rsidRPr="005D5A7E">
        <w:rPr>
          <w:rFonts w:ascii="Arial" w:hAnsi="Arial" w:cs="Arial"/>
          <w:sz w:val="22"/>
          <w:szCs w:val="22"/>
          <w:lang w:val="es-ES_tradnl"/>
        </w:rPr>
        <w:t xml:space="preserve"> </w:t>
      </w:r>
      <w:r w:rsidR="00357029" w:rsidRPr="005D5A7E">
        <w:rPr>
          <w:rFonts w:ascii="Arial" w:hAnsi="Arial" w:cs="Arial"/>
          <w:sz w:val="22"/>
          <w:szCs w:val="22"/>
          <w:lang w:val="es-ES_tradnl"/>
        </w:rPr>
        <w:t xml:space="preserve">El organismo ejecutor es el </w:t>
      </w:r>
      <w:r w:rsidR="005401BF" w:rsidRPr="005D5A7E">
        <w:rPr>
          <w:rFonts w:ascii="Arial" w:hAnsi="Arial" w:cs="Arial"/>
          <w:sz w:val="22"/>
          <w:szCs w:val="22"/>
          <w:lang w:val="es-ES_tradnl"/>
        </w:rPr>
        <w:t>Ministerio de Economía y Finanzas (MEF).</w:t>
      </w:r>
      <w:r w:rsidRPr="005D5A7E">
        <w:rPr>
          <w:rFonts w:ascii="Arial" w:hAnsi="Arial" w:cs="Arial"/>
          <w:b/>
          <w:sz w:val="22"/>
          <w:szCs w:val="22"/>
          <w:lang w:val="es-ES_tradnl"/>
        </w:rPr>
        <w:t xml:space="preserve"> </w:t>
      </w:r>
      <w:r w:rsidR="00357029" w:rsidRPr="005D5A7E">
        <w:rPr>
          <w:rFonts w:ascii="Arial" w:hAnsi="Arial" w:cs="Arial"/>
          <w:sz w:val="22"/>
          <w:szCs w:val="22"/>
          <w:lang w:val="es-ES_tradnl"/>
        </w:rPr>
        <w:t>El MEF</w:t>
      </w:r>
      <w:r w:rsidRPr="005D5A7E">
        <w:rPr>
          <w:rFonts w:ascii="Arial" w:hAnsi="Arial" w:cs="Arial"/>
          <w:sz w:val="22"/>
          <w:szCs w:val="22"/>
          <w:lang w:val="es-ES_tradnl"/>
        </w:rPr>
        <w:t xml:space="preserve"> actuará como OE, para la administración, ejecución, control y monitoreo de los recursos de la operación. En este sentido,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será la entidad responsable del monitoreo y evaluación del </w:t>
      </w:r>
      <w:r w:rsidR="00925B5D" w:rsidRPr="005D5A7E">
        <w:rPr>
          <w:rFonts w:ascii="Arial" w:hAnsi="Arial" w:cs="Arial"/>
          <w:sz w:val="22"/>
          <w:szCs w:val="22"/>
          <w:lang w:val="es-ES_tradnl"/>
        </w:rPr>
        <w:t>p</w:t>
      </w:r>
      <w:r w:rsidRPr="005D5A7E">
        <w:rPr>
          <w:rFonts w:ascii="Arial" w:hAnsi="Arial" w:cs="Arial"/>
          <w:sz w:val="22"/>
          <w:szCs w:val="22"/>
          <w:lang w:val="es-ES_tradnl"/>
        </w:rPr>
        <w:t>royecto. E</w:t>
      </w:r>
      <w:r w:rsidR="00E673DC" w:rsidRPr="005D5A7E">
        <w:rPr>
          <w:rFonts w:ascii="Arial" w:hAnsi="Arial" w:cs="Arial"/>
          <w:sz w:val="22"/>
          <w:szCs w:val="22"/>
          <w:lang w:val="es-ES_tradnl"/>
        </w:rPr>
        <w:t>n el</w:t>
      </w:r>
      <w:r w:rsidRPr="005D5A7E">
        <w:rPr>
          <w:rFonts w:ascii="Arial" w:hAnsi="Arial" w:cs="Arial"/>
          <w:sz w:val="22"/>
          <w:szCs w:val="22"/>
          <w:lang w:val="es-ES_tradnl"/>
        </w:rPr>
        <w:t xml:space="preserve"> ROP</w:t>
      </w:r>
      <w:r w:rsidR="00E673DC" w:rsidRPr="005D5A7E">
        <w:rPr>
          <w:rFonts w:ascii="Arial" w:hAnsi="Arial" w:cs="Arial"/>
          <w:sz w:val="22"/>
          <w:szCs w:val="22"/>
          <w:lang w:val="es-ES_tradnl"/>
        </w:rPr>
        <w:t xml:space="preserve"> se establecerá </w:t>
      </w:r>
      <w:r w:rsidRPr="005D5A7E">
        <w:rPr>
          <w:rFonts w:ascii="Arial" w:hAnsi="Arial" w:cs="Arial"/>
          <w:sz w:val="22"/>
          <w:szCs w:val="22"/>
          <w:lang w:val="es-ES_tradnl"/>
        </w:rPr>
        <w:t xml:space="preserve">una periodicidad semestral para los reportes, que contendrán como mínimo el progreso de los indicadores de resultados, el cumplimiento de las metas de los productos, el seguimiento y actualización de la Matriz de Riesgos y el cumplimiento de los criterios de elegibilidad de los préstamos a otorgar. Los estados financieros del proyecto estarán a cargo de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Finalmente, el OE estará a cargo de la recopilación de la información relevante requerida para la evaluación del proyecto. </w:t>
      </w:r>
    </w:p>
    <w:p w14:paraId="688DC07C" w14:textId="77777777" w:rsidR="009A6CCF" w:rsidRPr="005D5A7E" w:rsidRDefault="009A6CCF" w:rsidP="009A6CCF">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b/>
          <w:sz w:val="22"/>
          <w:szCs w:val="22"/>
          <w:lang w:val="es-ES_tradnl"/>
        </w:rPr>
        <w:t xml:space="preserve">Instrumentos de monitoreo y evaluación. </w:t>
      </w:r>
      <w:r w:rsidRPr="005D5A7E">
        <w:rPr>
          <w:rFonts w:ascii="Arial" w:hAnsi="Arial" w:cs="Arial"/>
          <w:sz w:val="22"/>
          <w:szCs w:val="22"/>
          <w:lang w:val="es-ES_tradnl"/>
        </w:rPr>
        <w:t xml:space="preserve">Como parte de la ejecución del proyecto, se han identificado los siguientes instrumentos de monitoreo y evaluación: </w:t>
      </w:r>
    </w:p>
    <w:p w14:paraId="211E3C13" w14:textId="6134BB70" w:rsidR="009A6CCF" w:rsidRPr="005D5A7E" w:rsidRDefault="009A6CCF" w:rsidP="009A6CCF">
      <w:pPr>
        <w:pStyle w:val="subpar"/>
        <w:tabs>
          <w:tab w:val="num" w:pos="1440"/>
        </w:tabs>
        <w:spacing w:before="60" w:after="60"/>
        <w:ind w:left="1440" w:hanging="450"/>
        <w:rPr>
          <w:rFonts w:ascii="Arial" w:hAnsi="Arial" w:cs="Arial"/>
          <w:sz w:val="22"/>
          <w:szCs w:val="22"/>
          <w:lang w:val="es-ES_tradnl"/>
        </w:rPr>
      </w:pPr>
      <w:r w:rsidRPr="005D5A7E">
        <w:rPr>
          <w:rFonts w:ascii="Arial" w:hAnsi="Arial" w:cs="Arial"/>
          <w:b/>
          <w:sz w:val="22"/>
          <w:szCs w:val="22"/>
          <w:lang w:val="es-ES_tradnl"/>
        </w:rPr>
        <w:t>Informes semestrales de seguimiento del proyecto</w:t>
      </w:r>
      <w:r w:rsidRPr="005D5A7E">
        <w:rPr>
          <w:rFonts w:ascii="Arial" w:hAnsi="Arial" w:cs="Arial"/>
          <w:sz w:val="22"/>
          <w:szCs w:val="22"/>
          <w:lang w:val="es-ES_tradnl"/>
        </w:rPr>
        <w:t xml:space="preserve">, en los que el OE informará al Banco el progreso en la ejecución de las actividades programadas, incluyendo el cumplimiento de objetivos previamente acordados para los indicadores de producto y resultado que se describen en la matriz de resultados que se adjunta al proyecto propuesto (descritos en el Cuadro </w:t>
      </w:r>
      <w:r w:rsidR="009C3915" w:rsidRPr="005D5A7E">
        <w:rPr>
          <w:rFonts w:ascii="Arial" w:hAnsi="Arial" w:cs="Arial"/>
          <w:sz w:val="22"/>
          <w:szCs w:val="22"/>
          <w:lang w:val="es-ES_tradnl"/>
        </w:rPr>
        <w:t>II.</w:t>
      </w:r>
      <w:r w:rsidRPr="005D5A7E">
        <w:rPr>
          <w:rFonts w:ascii="Arial" w:hAnsi="Arial" w:cs="Arial"/>
          <w:sz w:val="22"/>
          <w:szCs w:val="22"/>
          <w:lang w:val="es-ES_tradnl"/>
        </w:rPr>
        <w:t xml:space="preserve">1 en este documento). Asimismo, estos informes incluirán el seguimiento y actualización de la matriz de riesgos. </w:t>
      </w:r>
    </w:p>
    <w:p w14:paraId="1FF37561" w14:textId="77777777" w:rsidR="009A6CCF" w:rsidRPr="005D5A7E" w:rsidRDefault="009A6CCF" w:rsidP="009A6CCF">
      <w:pPr>
        <w:pStyle w:val="subpar"/>
        <w:tabs>
          <w:tab w:val="num" w:pos="1440"/>
        </w:tabs>
        <w:spacing w:before="60" w:after="60"/>
        <w:ind w:left="1440" w:hanging="450"/>
        <w:rPr>
          <w:rFonts w:ascii="Arial" w:hAnsi="Arial" w:cs="Arial"/>
          <w:sz w:val="22"/>
          <w:szCs w:val="22"/>
          <w:lang w:val="es-ES_tradnl"/>
        </w:rPr>
      </w:pPr>
      <w:r w:rsidRPr="005D5A7E">
        <w:rPr>
          <w:rFonts w:ascii="Arial" w:hAnsi="Arial" w:cs="Arial"/>
          <w:b/>
          <w:sz w:val="22"/>
          <w:szCs w:val="22"/>
          <w:lang w:val="es-ES_tradnl"/>
        </w:rPr>
        <w:t>Auditorías financieras,</w:t>
      </w:r>
      <w:r w:rsidRPr="005D5A7E">
        <w:rPr>
          <w:rFonts w:ascii="Arial" w:hAnsi="Arial" w:cs="Arial"/>
          <w:sz w:val="22"/>
          <w:szCs w:val="22"/>
          <w:lang w:val="es-ES_tradnl"/>
        </w:rPr>
        <w:t xml:space="preserve"> las cuales serán de periodicidad anual. </w:t>
      </w:r>
    </w:p>
    <w:p w14:paraId="59EAC0DC" w14:textId="46E9A204" w:rsidR="009A6CCF" w:rsidRPr="005D5A7E" w:rsidRDefault="009A6CCF" w:rsidP="009A6CCF">
      <w:pPr>
        <w:pStyle w:val="subpar"/>
        <w:tabs>
          <w:tab w:val="num" w:pos="1440"/>
        </w:tabs>
        <w:spacing w:before="60" w:after="60"/>
        <w:ind w:left="1440" w:hanging="450"/>
        <w:rPr>
          <w:rFonts w:ascii="Arial" w:hAnsi="Arial" w:cs="Arial"/>
          <w:sz w:val="22"/>
          <w:szCs w:val="22"/>
          <w:lang w:val="es-ES_tradnl"/>
        </w:rPr>
      </w:pPr>
      <w:r w:rsidRPr="005D5A7E">
        <w:rPr>
          <w:rFonts w:ascii="Arial" w:hAnsi="Arial" w:cs="Arial"/>
          <w:b/>
          <w:sz w:val="22"/>
          <w:szCs w:val="22"/>
          <w:lang w:val="es-ES_tradnl"/>
        </w:rPr>
        <w:t>Evaluación ex</w:t>
      </w:r>
      <w:r w:rsidR="00EA0D09" w:rsidRPr="005D5A7E">
        <w:rPr>
          <w:rFonts w:ascii="Arial" w:hAnsi="Arial" w:cs="Arial"/>
          <w:b/>
          <w:sz w:val="22"/>
          <w:szCs w:val="22"/>
          <w:lang w:val="es-ES_tradnl"/>
        </w:rPr>
        <w:t> </w:t>
      </w:r>
      <w:r w:rsidRPr="005D5A7E">
        <w:rPr>
          <w:rFonts w:ascii="Arial" w:hAnsi="Arial" w:cs="Arial"/>
          <w:b/>
          <w:sz w:val="22"/>
          <w:szCs w:val="22"/>
          <w:lang w:val="es-ES_tradnl"/>
        </w:rPr>
        <w:t xml:space="preserve">post, </w:t>
      </w:r>
      <w:r w:rsidRPr="005D5A7E">
        <w:rPr>
          <w:rFonts w:ascii="Arial" w:hAnsi="Arial" w:cs="Arial"/>
          <w:sz w:val="22"/>
          <w:szCs w:val="22"/>
          <w:lang w:val="es-ES_tradnl"/>
        </w:rPr>
        <w:t xml:space="preserve">que cuantificará el valor económico de los resultados alcanzados a través de un análisis costo-beneficio ex post. La evaluación comprenderá la recopilación de información sobre los beneficiarios del proyecto (Grupo de Tratamiento) y de no beneficiarios promedio y del sistema (contrafactual). Los detalles de la evaluación se describen en el apartado III de este </w:t>
      </w:r>
      <w:r w:rsidR="00E9753A" w:rsidRPr="005D5A7E">
        <w:rPr>
          <w:rFonts w:ascii="Arial" w:hAnsi="Arial" w:cs="Arial"/>
          <w:sz w:val="22"/>
          <w:szCs w:val="22"/>
          <w:lang w:val="es-ES_tradnl"/>
        </w:rPr>
        <w:t>anexo</w:t>
      </w:r>
      <w:r w:rsidRPr="005D5A7E">
        <w:rPr>
          <w:rFonts w:ascii="Arial" w:hAnsi="Arial" w:cs="Arial"/>
          <w:sz w:val="22"/>
          <w:szCs w:val="22"/>
          <w:lang w:val="es-ES_tradnl"/>
        </w:rPr>
        <w:t xml:space="preserve">. La evaluación incluirá la recopilación de información a través de los registros de información de los beneficiarios </w:t>
      </w:r>
      <w:r w:rsidRPr="005D5A7E">
        <w:rPr>
          <w:rFonts w:ascii="Arial" w:hAnsi="Arial" w:cs="Arial"/>
          <w:sz w:val="22"/>
          <w:szCs w:val="22"/>
          <w:lang w:val="es-ES_tradnl"/>
        </w:rPr>
        <w:lastRenderedPageBreak/>
        <w:t>del proyecto e información del sector inmobiliario y del sistema financiero, proveniente de</w:t>
      </w:r>
      <w:r w:rsidR="00DE4364" w:rsidRPr="005D5A7E">
        <w:rPr>
          <w:rFonts w:ascii="Arial" w:hAnsi="Arial" w:cs="Arial"/>
          <w:sz w:val="22"/>
          <w:szCs w:val="22"/>
          <w:lang w:val="es-ES_tradnl"/>
        </w:rPr>
        <w:t>l MEF, Banco Central, Superintendencia de Bancos y encuestas a entidades representativas de actores participantes (cámaras de construcción, asociaciones de promotores e inmobiliarias).</w:t>
      </w:r>
    </w:p>
    <w:p w14:paraId="1DF5A1B9" w14:textId="5125051D" w:rsidR="009A6CCF" w:rsidRPr="005D5A7E" w:rsidRDefault="009A6CCF" w:rsidP="009A6CCF">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b/>
          <w:sz w:val="22"/>
          <w:szCs w:val="22"/>
          <w:lang w:val="es-ES_tradnl"/>
        </w:rPr>
        <w:t xml:space="preserve">Sistema de información.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será responsable de mantener el sistema de información a partir del cual se realizará la recolección de la información administrativa del proyecto. Dicha información será necesaria no solo para monitorear el progreso del proyecto en términos de productos, sino también para llevar a cabo la evaluación </w:t>
      </w:r>
      <w:proofErr w:type="spellStart"/>
      <w:r w:rsidRPr="005D5A7E">
        <w:rPr>
          <w:rFonts w:ascii="Arial" w:hAnsi="Arial" w:cs="Arial"/>
          <w:sz w:val="22"/>
          <w:szCs w:val="22"/>
          <w:lang w:val="es-ES_tradnl"/>
        </w:rPr>
        <w:t>ex-post</w:t>
      </w:r>
      <w:proofErr w:type="spellEnd"/>
      <w:r w:rsidRPr="005D5A7E">
        <w:rPr>
          <w:rFonts w:ascii="Arial" w:hAnsi="Arial" w:cs="Arial"/>
          <w:sz w:val="22"/>
          <w:szCs w:val="22"/>
          <w:lang w:val="es-ES_tradnl"/>
        </w:rPr>
        <w:t xml:space="preserve"> </w:t>
      </w:r>
      <w:proofErr w:type="gramStart"/>
      <w:r w:rsidRPr="005D5A7E">
        <w:rPr>
          <w:rFonts w:ascii="Arial" w:hAnsi="Arial" w:cs="Arial"/>
          <w:sz w:val="22"/>
          <w:szCs w:val="22"/>
          <w:lang w:val="es-ES_tradnl"/>
        </w:rPr>
        <w:t>del mismo</w:t>
      </w:r>
      <w:proofErr w:type="gramEnd"/>
      <w:r w:rsidRPr="005D5A7E">
        <w:rPr>
          <w:rFonts w:ascii="Arial" w:hAnsi="Arial" w:cs="Arial"/>
          <w:sz w:val="22"/>
          <w:szCs w:val="22"/>
          <w:lang w:val="es-ES_tradnl"/>
        </w:rPr>
        <w:t xml:space="preserve">.  </w:t>
      </w:r>
    </w:p>
    <w:p w14:paraId="785410B0" w14:textId="77777777" w:rsidR="009A6CCF" w:rsidRPr="005D5A7E" w:rsidRDefault="009A6CCF" w:rsidP="009A6CCF">
      <w:pPr>
        <w:pStyle w:val="Chapter"/>
        <w:rPr>
          <w:rFonts w:ascii="Arial" w:hAnsi="Arial" w:cs="Arial"/>
          <w:sz w:val="22"/>
          <w:szCs w:val="22"/>
          <w:lang w:val="es-ES_tradnl"/>
        </w:rPr>
      </w:pPr>
      <w:bookmarkStart w:id="4" w:name="_Toc525949978"/>
      <w:bookmarkStart w:id="5" w:name="_Toc352756752"/>
      <w:r w:rsidRPr="005D5A7E">
        <w:rPr>
          <w:rFonts w:ascii="Arial" w:hAnsi="Arial" w:cs="Arial"/>
          <w:sz w:val="22"/>
          <w:szCs w:val="22"/>
          <w:lang w:val="es-ES_tradnl"/>
        </w:rPr>
        <w:t>Monitoreo</w:t>
      </w:r>
      <w:bookmarkEnd w:id="4"/>
    </w:p>
    <w:p w14:paraId="4C1127BF" w14:textId="2206F20C" w:rsidR="009A6CCF" w:rsidRPr="005D5A7E" w:rsidRDefault="009A6CCF" w:rsidP="009A6CCF">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El propósito de esta sección es describir el proceso de monitoreo del proyecto que se aplicará a lo largo de la ejecución de este para garantizar su correcto desarrollo y adecuada utilización de los recursos. Como se ha mencionado antes,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será la responsable de realizar las actividades de monitoreo. </w:t>
      </w:r>
    </w:p>
    <w:p w14:paraId="492EB54F" w14:textId="77777777" w:rsidR="004C1910" w:rsidRPr="005D5A7E" w:rsidRDefault="004C1910" w:rsidP="004C1910">
      <w:pPr>
        <w:pStyle w:val="Paragraph"/>
        <w:numPr>
          <w:ilvl w:val="0"/>
          <w:numId w:val="7"/>
        </w:numPr>
        <w:ind w:left="630" w:hanging="630"/>
        <w:rPr>
          <w:rFonts w:ascii="Arial" w:hAnsi="Arial" w:cs="Arial"/>
          <w:b/>
          <w:sz w:val="22"/>
          <w:szCs w:val="22"/>
          <w:lang w:val="es-ES_tradnl"/>
        </w:rPr>
      </w:pPr>
      <w:r w:rsidRPr="005D5A7E">
        <w:rPr>
          <w:rFonts w:ascii="Arial" w:hAnsi="Arial" w:cs="Arial"/>
          <w:b/>
          <w:sz w:val="22"/>
          <w:szCs w:val="22"/>
          <w:lang w:val="es-ES_tradnl"/>
        </w:rPr>
        <w:t xml:space="preserve">Indicadores </w:t>
      </w:r>
    </w:p>
    <w:p w14:paraId="1AAE9F7D" w14:textId="090019F5" w:rsidR="009A6CCF" w:rsidRPr="005D5A7E" w:rsidRDefault="009A6CCF" w:rsidP="00DF29CA">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Los indicadores que serán monitoreados y registrados en el Informe de Seguimiento del Proyecto (PMR</w:t>
      </w:r>
      <w:r w:rsidRPr="005D5A7E">
        <w:rPr>
          <w:rFonts w:ascii="Arial" w:hAnsi="Arial" w:cs="Arial"/>
          <w:sz w:val="22"/>
          <w:szCs w:val="22"/>
          <w:vertAlign w:val="superscript"/>
          <w:lang w:val="es-ES_tradnl"/>
        </w:rPr>
        <w:footnoteReference w:id="3"/>
      </w:r>
      <w:r w:rsidRPr="005D5A7E">
        <w:rPr>
          <w:rFonts w:ascii="Arial" w:hAnsi="Arial" w:cs="Arial"/>
          <w:sz w:val="22"/>
          <w:szCs w:val="22"/>
          <w:lang w:val="es-ES_tradnl"/>
        </w:rPr>
        <w:t>) se encuentran descritos en la Matriz de Resultados del Proyecto</w:t>
      </w:r>
      <w:r w:rsidRPr="005D5A7E">
        <w:rPr>
          <w:rFonts w:ascii="Arial" w:hAnsi="Arial" w:cs="Arial"/>
          <w:sz w:val="22"/>
          <w:szCs w:val="22"/>
          <w:vertAlign w:val="superscript"/>
          <w:lang w:val="es-ES_tradnl"/>
        </w:rPr>
        <w:footnoteReference w:id="4"/>
      </w:r>
      <w:r w:rsidRPr="005D5A7E">
        <w:rPr>
          <w:rFonts w:ascii="Arial" w:hAnsi="Arial" w:cs="Arial"/>
          <w:sz w:val="22"/>
          <w:szCs w:val="22"/>
          <w:lang w:val="es-ES_tradnl"/>
        </w:rPr>
        <w:t xml:space="preserve"> acordada con el OE.</w:t>
      </w:r>
    </w:p>
    <w:p w14:paraId="38292EF7" w14:textId="5D40463D" w:rsidR="009A6CCF" w:rsidRPr="005D5A7E" w:rsidRDefault="009A6CCF" w:rsidP="009A6CCF">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El monitoreo tendrá una frecuencia semestral y será actualizado en el Informe de Monitoreo y en el PMR del </w:t>
      </w:r>
      <w:r w:rsidR="00925B5D" w:rsidRPr="005D5A7E">
        <w:rPr>
          <w:rFonts w:ascii="Arial" w:hAnsi="Arial" w:cs="Arial"/>
          <w:sz w:val="22"/>
          <w:szCs w:val="22"/>
          <w:lang w:val="es-ES_tradnl"/>
        </w:rPr>
        <w:t>p</w:t>
      </w:r>
      <w:r w:rsidRPr="005D5A7E">
        <w:rPr>
          <w:rFonts w:ascii="Arial" w:hAnsi="Arial" w:cs="Arial"/>
          <w:sz w:val="22"/>
          <w:szCs w:val="22"/>
          <w:lang w:val="es-ES_tradnl"/>
        </w:rPr>
        <w:t xml:space="preserve">royecto. El Cuadro </w:t>
      </w:r>
      <w:r w:rsidR="004C1910" w:rsidRPr="005D5A7E">
        <w:rPr>
          <w:rFonts w:ascii="Arial" w:hAnsi="Arial" w:cs="Arial"/>
          <w:sz w:val="22"/>
          <w:szCs w:val="22"/>
          <w:lang w:val="es-ES_tradnl"/>
        </w:rPr>
        <w:t>II.</w:t>
      </w:r>
      <w:r w:rsidRPr="005D5A7E">
        <w:rPr>
          <w:rFonts w:ascii="Arial" w:hAnsi="Arial" w:cs="Arial"/>
          <w:sz w:val="22"/>
          <w:szCs w:val="22"/>
          <w:lang w:val="es-ES_tradnl"/>
        </w:rPr>
        <w:t>1 describe los indicadores que recibirán seguimiento y la frecuencia de medición.</w:t>
      </w:r>
    </w:p>
    <w:p w14:paraId="1EFB882F" w14:textId="77777777" w:rsidR="009A6CCF" w:rsidRPr="005D5A7E" w:rsidRDefault="009A6CCF" w:rsidP="009A6CCF">
      <w:pPr>
        <w:pStyle w:val="Default"/>
        <w:rPr>
          <w:rFonts w:ascii="Arial" w:hAnsi="Arial" w:cs="Arial"/>
          <w:b/>
          <w:color w:val="auto"/>
          <w:sz w:val="4"/>
          <w:szCs w:val="4"/>
          <w:lang w:val="es-ES_tradnl"/>
        </w:rPr>
      </w:pPr>
    </w:p>
    <w:p w14:paraId="32A42D5F" w14:textId="77777777" w:rsidR="009A6CCF" w:rsidRPr="005D5A7E" w:rsidRDefault="009A6CCF" w:rsidP="009A6CCF">
      <w:pPr>
        <w:pStyle w:val="Default"/>
        <w:jc w:val="center"/>
        <w:rPr>
          <w:rFonts w:ascii="Arial" w:hAnsi="Arial" w:cs="Arial"/>
          <w:b/>
          <w:color w:val="auto"/>
          <w:sz w:val="20"/>
          <w:szCs w:val="20"/>
          <w:lang w:val="es-ES_tradnl"/>
        </w:rPr>
      </w:pPr>
      <w:r w:rsidRPr="005D5A7E">
        <w:rPr>
          <w:rFonts w:ascii="Arial" w:hAnsi="Arial" w:cs="Arial"/>
          <w:b/>
          <w:color w:val="auto"/>
          <w:sz w:val="20"/>
          <w:szCs w:val="20"/>
          <w:lang w:val="es-ES_tradnl"/>
        </w:rPr>
        <w:t>Cuadro 1. Indicadores de Monitoreo</w:t>
      </w:r>
    </w:p>
    <w:tbl>
      <w:tblPr>
        <w:tblStyle w:val="TableGrid"/>
        <w:tblW w:w="8059" w:type="dxa"/>
        <w:jc w:val="right"/>
        <w:tblLook w:val="04A0" w:firstRow="1" w:lastRow="0" w:firstColumn="1" w:lastColumn="0" w:noHBand="0" w:noVBand="1"/>
      </w:tblPr>
      <w:tblGrid>
        <w:gridCol w:w="1980"/>
        <w:gridCol w:w="2880"/>
        <w:gridCol w:w="1350"/>
        <w:gridCol w:w="1849"/>
      </w:tblGrid>
      <w:tr w:rsidR="009A6CCF" w:rsidRPr="005D5A7E" w14:paraId="08D3086A" w14:textId="77777777" w:rsidTr="00624A3A">
        <w:trPr>
          <w:trHeight w:val="638"/>
          <w:tblHeader/>
          <w:jc w:val="right"/>
        </w:trPr>
        <w:tc>
          <w:tcPr>
            <w:tcW w:w="1980" w:type="dxa"/>
            <w:shd w:val="clear" w:color="auto" w:fill="B4C6E7" w:themeFill="accent1" w:themeFillTint="66"/>
            <w:vAlign w:val="center"/>
          </w:tcPr>
          <w:p w14:paraId="5F6D5520" w14:textId="77777777" w:rsidR="009A6CCF" w:rsidRPr="005D5A7E" w:rsidRDefault="009A6CCF" w:rsidP="00407F3B">
            <w:pPr>
              <w:pStyle w:val="Default"/>
              <w:jc w:val="center"/>
              <w:rPr>
                <w:rFonts w:ascii="Arial" w:hAnsi="Arial" w:cs="Arial"/>
                <w:b/>
                <w:color w:val="auto"/>
                <w:sz w:val="18"/>
                <w:szCs w:val="20"/>
                <w:lang w:val="es-ES_tradnl"/>
              </w:rPr>
            </w:pPr>
            <w:bookmarkStart w:id="6" w:name="_Toc352756754"/>
            <w:bookmarkEnd w:id="5"/>
            <w:r w:rsidRPr="005D5A7E">
              <w:rPr>
                <w:rFonts w:ascii="Arial" w:hAnsi="Arial" w:cs="Arial"/>
                <w:b/>
                <w:color w:val="auto"/>
                <w:sz w:val="18"/>
                <w:szCs w:val="20"/>
                <w:lang w:val="es-ES_tradnl"/>
              </w:rPr>
              <w:t>Indicador</w:t>
            </w:r>
          </w:p>
        </w:tc>
        <w:tc>
          <w:tcPr>
            <w:tcW w:w="2880" w:type="dxa"/>
            <w:shd w:val="clear" w:color="auto" w:fill="B4C6E7" w:themeFill="accent1" w:themeFillTint="66"/>
            <w:vAlign w:val="center"/>
          </w:tcPr>
          <w:p w14:paraId="00678EA3" w14:textId="77777777" w:rsidR="009A6CCF" w:rsidRPr="005D5A7E" w:rsidRDefault="009A6CCF" w:rsidP="00407F3B">
            <w:pPr>
              <w:pStyle w:val="Default"/>
              <w:jc w:val="center"/>
              <w:rPr>
                <w:rFonts w:ascii="Arial" w:hAnsi="Arial" w:cs="Arial"/>
                <w:b/>
                <w:color w:val="auto"/>
                <w:sz w:val="18"/>
                <w:szCs w:val="20"/>
                <w:lang w:val="es-ES_tradnl"/>
              </w:rPr>
            </w:pPr>
            <w:r w:rsidRPr="005D5A7E">
              <w:rPr>
                <w:rFonts w:ascii="Arial" w:hAnsi="Arial" w:cs="Arial"/>
                <w:b/>
                <w:color w:val="auto"/>
                <w:sz w:val="18"/>
                <w:szCs w:val="20"/>
                <w:lang w:val="es-ES_tradnl"/>
              </w:rPr>
              <w:t>Formula/descripción</w:t>
            </w:r>
          </w:p>
        </w:tc>
        <w:tc>
          <w:tcPr>
            <w:tcW w:w="1350" w:type="dxa"/>
            <w:shd w:val="clear" w:color="auto" w:fill="B4C6E7" w:themeFill="accent1" w:themeFillTint="66"/>
            <w:vAlign w:val="center"/>
          </w:tcPr>
          <w:p w14:paraId="1FD7A6CF" w14:textId="77777777" w:rsidR="009A6CCF" w:rsidRPr="005D5A7E" w:rsidRDefault="009A6CCF" w:rsidP="00407F3B">
            <w:pPr>
              <w:pStyle w:val="Default"/>
              <w:jc w:val="center"/>
              <w:rPr>
                <w:rFonts w:ascii="Arial" w:hAnsi="Arial" w:cs="Arial"/>
                <w:b/>
                <w:color w:val="auto"/>
                <w:sz w:val="18"/>
                <w:szCs w:val="20"/>
                <w:lang w:val="es-ES_tradnl"/>
              </w:rPr>
            </w:pPr>
            <w:r w:rsidRPr="005D5A7E">
              <w:rPr>
                <w:rFonts w:ascii="Arial" w:hAnsi="Arial" w:cs="Arial"/>
                <w:b/>
                <w:color w:val="auto"/>
                <w:sz w:val="18"/>
                <w:szCs w:val="20"/>
                <w:lang w:val="es-ES_tradnl"/>
              </w:rPr>
              <w:t>Frecuencia de Medición</w:t>
            </w:r>
          </w:p>
        </w:tc>
        <w:tc>
          <w:tcPr>
            <w:tcW w:w="1849" w:type="dxa"/>
            <w:shd w:val="clear" w:color="auto" w:fill="B4C6E7" w:themeFill="accent1" w:themeFillTint="66"/>
            <w:vAlign w:val="center"/>
          </w:tcPr>
          <w:p w14:paraId="2F271164" w14:textId="77777777" w:rsidR="009A6CCF" w:rsidRPr="005D5A7E" w:rsidRDefault="009A6CCF" w:rsidP="00407F3B">
            <w:pPr>
              <w:pStyle w:val="Default"/>
              <w:jc w:val="center"/>
              <w:rPr>
                <w:rFonts w:ascii="Arial" w:hAnsi="Arial" w:cs="Arial"/>
                <w:b/>
                <w:color w:val="auto"/>
                <w:sz w:val="18"/>
                <w:szCs w:val="20"/>
                <w:lang w:val="es-ES_tradnl"/>
              </w:rPr>
            </w:pPr>
            <w:r w:rsidRPr="005D5A7E">
              <w:rPr>
                <w:rFonts w:ascii="Arial" w:hAnsi="Arial" w:cs="Arial"/>
                <w:b/>
                <w:color w:val="auto"/>
                <w:sz w:val="18"/>
                <w:szCs w:val="20"/>
                <w:lang w:val="es-ES_tradnl"/>
              </w:rPr>
              <w:t>Fuente de Verificación</w:t>
            </w:r>
          </w:p>
        </w:tc>
      </w:tr>
      <w:tr w:rsidR="009A6CCF" w:rsidRPr="005D5A7E" w14:paraId="682EBCFB" w14:textId="77777777" w:rsidTr="00624A3A">
        <w:trPr>
          <w:trHeight w:val="395"/>
          <w:jc w:val="right"/>
        </w:trPr>
        <w:tc>
          <w:tcPr>
            <w:tcW w:w="8059" w:type="dxa"/>
            <w:gridSpan w:val="4"/>
          </w:tcPr>
          <w:p w14:paraId="22F6913E" w14:textId="77777777" w:rsidR="009A6CCF" w:rsidRPr="005D5A7E" w:rsidRDefault="009A6CCF" w:rsidP="00407F3B">
            <w:pPr>
              <w:pStyle w:val="Default"/>
              <w:jc w:val="center"/>
              <w:rPr>
                <w:rFonts w:ascii="Arial" w:hAnsi="Arial" w:cs="Arial"/>
                <w:b/>
                <w:color w:val="auto"/>
                <w:sz w:val="18"/>
                <w:szCs w:val="20"/>
                <w:lang w:val="es-ES_tradnl"/>
              </w:rPr>
            </w:pPr>
            <w:r w:rsidRPr="005D5A7E">
              <w:rPr>
                <w:rFonts w:ascii="Arial" w:hAnsi="Arial" w:cs="Arial"/>
                <w:b/>
                <w:color w:val="auto"/>
                <w:sz w:val="18"/>
                <w:szCs w:val="20"/>
                <w:lang w:val="es-ES_tradnl"/>
              </w:rPr>
              <w:t>Indicadores de Producto</w:t>
            </w:r>
          </w:p>
        </w:tc>
      </w:tr>
      <w:tr w:rsidR="009A6CCF" w:rsidRPr="0092077C" w14:paraId="7DC5E050" w14:textId="77777777" w:rsidTr="00407F3B">
        <w:trPr>
          <w:jc w:val="right"/>
        </w:trPr>
        <w:tc>
          <w:tcPr>
            <w:tcW w:w="1980" w:type="dxa"/>
          </w:tcPr>
          <w:p w14:paraId="6414D1A2" w14:textId="657AAF95" w:rsidR="009A6CCF" w:rsidRPr="005D5A7E" w:rsidRDefault="00454783" w:rsidP="00624A3A">
            <w:pPr>
              <w:pStyle w:val="Default"/>
              <w:rPr>
                <w:rFonts w:ascii="Arial" w:hAnsi="Arial" w:cs="Arial"/>
                <w:color w:val="auto"/>
                <w:sz w:val="18"/>
                <w:szCs w:val="20"/>
                <w:lang w:val="es-ES_tradnl"/>
              </w:rPr>
            </w:pPr>
            <w:r w:rsidRPr="005D5A7E">
              <w:rPr>
                <w:rFonts w:ascii="Arial" w:hAnsi="Arial" w:cs="Arial"/>
                <w:sz w:val="18"/>
                <w:szCs w:val="20"/>
                <w:lang w:val="es-ES_tradnl"/>
              </w:rPr>
              <w:t xml:space="preserve">Crédito hipotecario para </w:t>
            </w:r>
            <w:r w:rsidR="007D01E9">
              <w:rPr>
                <w:rFonts w:ascii="Arial" w:hAnsi="Arial" w:cs="Arial"/>
                <w:sz w:val="18"/>
                <w:szCs w:val="20"/>
                <w:lang w:val="es-ES_tradnl"/>
              </w:rPr>
              <w:t xml:space="preserve">las </w:t>
            </w:r>
            <w:r w:rsidRPr="005D5A7E">
              <w:rPr>
                <w:rFonts w:ascii="Arial" w:hAnsi="Arial" w:cs="Arial"/>
                <w:sz w:val="18"/>
                <w:szCs w:val="20"/>
                <w:lang w:val="es-ES_tradnl"/>
              </w:rPr>
              <w:t>VIP a personas naturales a través de los intermediarios financieros.</w:t>
            </w:r>
          </w:p>
        </w:tc>
        <w:tc>
          <w:tcPr>
            <w:tcW w:w="2880" w:type="dxa"/>
          </w:tcPr>
          <w:p w14:paraId="0DBB15A3" w14:textId="5536497D" w:rsidR="009A6CCF" w:rsidRPr="005D5A7E" w:rsidRDefault="00F63080" w:rsidP="00624A3A">
            <w:pPr>
              <w:spacing w:after="0" w:line="240" w:lineRule="auto"/>
              <w:rPr>
                <w:rFonts w:ascii="Arial" w:eastAsia="Arial Unicode MS" w:hAnsi="Arial" w:cs="Arial"/>
                <w:sz w:val="18"/>
                <w:lang w:val="es-ES_tradnl"/>
              </w:rPr>
            </w:pPr>
            <w:r w:rsidRPr="005D5A7E">
              <w:rPr>
                <w:rFonts w:ascii="Arial" w:hAnsi="Arial" w:cs="Arial"/>
                <w:sz w:val="18"/>
                <w:lang w:val="es-ES_tradnl"/>
              </w:rPr>
              <w:t>Mide el número de créditos otorgados a personas naturales destinados a VIP, con recursos del programa.</w:t>
            </w:r>
          </w:p>
        </w:tc>
        <w:tc>
          <w:tcPr>
            <w:tcW w:w="1350" w:type="dxa"/>
          </w:tcPr>
          <w:p w14:paraId="5D39C343" w14:textId="77777777" w:rsidR="009A6CCF" w:rsidRPr="005D5A7E" w:rsidRDefault="009A6CCF" w:rsidP="00624A3A">
            <w:pPr>
              <w:pStyle w:val="Default"/>
              <w:jc w:val="center"/>
              <w:rPr>
                <w:rFonts w:ascii="Arial" w:hAnsi="Arial" w:cs="Arial"/>
                <w:color w:val="auto"/>
                <w:sz w:val="18"/>
                <w:szCs w:val="20"/>
                <w:lang w:val="es-ES_tradnl"/>
              </w:rPr>
            </w:pPr>
            <w:r w:rsidRPr="005D5A7E">
              <w:rPr>
                <w:rFonts w:ascii="Arial" w:hAnsi="Arial" w:cs="Arial"/>
                <w:color w:val="auto"/>
                <w:sz w:val="18"/>
                <w:szCs w:val="20"/>
                <w:lang w:val="es-ES_tradnl"/>
              </w:rPr>
              <w:t>Semestral</w:t>
            </w:r>
          </w:p>
        </w:tc>
        <w:tc>
          <w:tcPr>
            <w:tcW w:w="1849" w:type="dxa"/>
          </w:tcPr>
          <w:p w14:paraId="3002FD8D" w14:textId="78F19D01" w:rsidR="009A6CCF" w:rsidRPr="005D5A7E" w:rsidRDefault="009A6CCF" w:rsidP="006417B0">
            <w:pPr>
              <w:pStyle w:val="Default"/>
              <w:rPr>
                <w:rFonts w:ascii="Arial" w:hAnsi="Arial" w:cs="Arial"/>
                <w:color w:val="auto"/>
                <w:sz w:val="18"/>
                <w:szCs w:val="20"/>
                <w:lang w:val="es-ES_tradnl"/>
              </w:rPr>
            </w:pPr>
            <w:r w:rsidRPr="005D5A7E">
              <w:rPr>
                <w:rFonts w:ascii="Arial" w:hAnsi="Arial" w:cs="Arial"/>
                <w:color w:val="auto"/>
                <w:sz w:val="18"/>
                <w:szCs w:val="20"/>
                <w:lang w:val="es-ES_tradnl"/>
              </w:rPr>
              <w:t xml:space="preserve">Información Administrativa: Sistema de Información de </w:t>
            </w:r>
            <w:r w:rsidR="00357029" w:rsidRPr="005D5A7E">
              <w:rPr>
                <w:rFonts w:ascii="Arial" w:hAnsi="Arial" w:cs="Arial"/>
                <w:color w:val="auto"/>
                <w:sz w:val="18"/>
                <w:szCs w:val="20"/>
                <w:lang w:val="es-ES_tradnl"/>
              </w:rPr>
              <w:t>MEF</w:t>
            </w:r>
            <w:r w:rsidR="006417B0">
              <w:rPr>
                <w:rFonts w:ascii="Arial" w:hAnsi="Arial" w:cs="Arial"/>
                <w:color w:val="auto"/>
                <w:sz w:val="18"/>
                <w:szCs w:val="20"/>
                <w:lang w:val="es-ES_tradnl"/>
              </w:rPr>
              <w:t>.</w:t>
            </w:r>
          </w:p>
        </w:tc>
      </w:tr>
      <w:tr w:rsidR="009A6CCF" w:rsidRPr="005D5A7E" w14:paraId="7AA420DF" w14:textId="77777777" w:rsidTr="00407F3B">
        <w:trPr>
          <w:trHeight w:val="296"/>
          <w:jc w:val="right"/>
        </w:trPr>
        <w:tc>
          <w:tcPr>
            <w:tcW w:w="8059" w:type="dxa"/>
            <w:gridSpan w:val="4"/>
          </w:tcPr>
          <w:p w14:paraId="19C37675" w14:textId="77777777" w:rsidR="009A6CCF" w:rsidRPr="005D5A7E" w:rsidRDefault="009A6CCF" w:rsidP="00407F3B">
            <w:pPr>
              <w:pStyle w:val="Default"/>
              <w:jc w:val="center"/>
              <w:rPr>
                <w:rFonts w:ascii="Arial" w:hAnsi="Arial" w:cs="Arial"/>
                <w:color w:val="auto"/>
                <w:sz w:val="18"/>
                <w:szCs w:val="20"/>
                <w:lang w:val="es-ES_tradnl"/>
              </w:rPr>
            </w:pPr>
            <w:r w:rsidRPr="005D5A7E">
              <w:rPr>
                <w:rFonts w:ascii="Arial" w:hAnsi="Arial" w:cs="Arial"/>
                <w:b/>
                <w:color w:val="auto"/>
                <w:sz w:val="18"/>
                <w:szCs w:val="20"/>
                <w:lang w:val="es-ES_tradnl"/>
              </w:rPr>
              <w:t>Indicadores de Resultado</w:t>
            </w:r>
          </w:p>
        </w:tc>
      </w:tr>
      <w:tr w:rsidR="00F63080" w:rsidRPr="0092077C" w14:paraId="594F022C" w14:textId="77777777" w:rsidTr="00407F3B">
        <w:trPr>
          <w:trHeight w:val="1160"/>
          <w:jc w:val="right"/>
        </w:trPr>
        <w:tc>
          <w:tcPr>
            <w:tcW w:w="1980" w:type="dxa"/>
          </w:tcPr>
          <w:p w14:paraId="058DF7F6" w14:textId="7E888E23" w:rsidR="00F63080" w:rsidRPr="005D5A7E" w:rsidRDefault="005E0DDA" w:rsidP="0043439C">
            <w:pPr>
              <w:spacing w:after="0" w:line="240" w:lineRule="auto"/>
              <w:rPr>
                <w:rFonts w:ascii="Arial" w:eastAsia="Arial Unicode MS" w:hAnsi="Arial" w:cs="Arial"/>
                <w:sz w:val="18"/>
                <w:szCs w:val="24"/>
                <w:lang w:val="es-ES_tradnl"/>
              </w:rPr>
            </w:pPr>
            <w:r w:rsidRPr="005D5A7E">
              <w:rPr>
                <w:rFonts w:ascii="Arial" w:hAnsi="Arial" w:cs="Arial"/>
                <w:sz w:val="18"/>
                <w:lang w:val="es-ES_tradnl"/>
              </w:rPr>
              <w:t>Porcentaje del crédito hipotecario con destino a</w:t>
            </w:r>
            <w:r w:rsidR="007D01E9">
              <w:rPr>
                <w:rFonts w:ascii="Arial" w:hAnsi="Arial" w:cs="Arial"/>
                <w:sz w:val="18"/>
                <w:lang w:val="es-ES_tradnl"/>
              </w:rPr>
              <w:t xml:space="preserve"> las</w:t>
            </w:r>
            <w:r w:rsidRPr="005D5A7E">
              <w:rPr>
                <w:rFonts w:ascii="Arial" w:hAnsi="Arial" w:cs="Arial"/>
                <w:sz w:val="18"/>
                <w:lang w:val="es-ES_tradnl"/>
              </w:rPr>
              <w:t xml:space="preserve"> VIP con relación al total del crédito hipotecario.</w:t>
            </w:r>
          </w:p>
        </w:tc>
        <w:tc>
          <w:tcPr>
            <w:tcW w:w="2880" w:type="dxa"/>
          </w:tcPr>
          <w:p w14:paraId="152594DB" w14:textId="67BA09B8" w:rsidR="00F63080" w:rsidRPr="005D5A7E" w:rsidRDefault="002902F9" w:rsidP="00F63080">
            <w:pPr>
              <w:spacing w:after="0" w:line="240" w:lineRule="auto"/>
              <w:rPr>
                <w:rFonts w:ascii="Arial" w:hAnsi="Arial" w:cs="Arial"/>
                <w:sz w:val="20"/>
                <w:szCs w:val="20"/>
                <w:lang w:val="es-ES_tradnl"/>
              </w:rPr>
            </w:pPr>
            <w:r w:rsidRPr="005D5A7E">
              <w:rPr>
                <w:rFonts w:ascii="Arial" w:hAnsi="Arial" w:cs="Arial"/>
                <w:sz w:val="18"/>
                <w:szCs w:val="18"/>
                <w:lang w:val="es-ES_tradnl"/>
              </w:rPr>
              <w:t xml:space="preserve">Se espera que en ausencia del programa se verifique una reducción substancial del crédito hipotecario destinado a la VIP respecto del año base. El valor de la meta resultando inferior al valor intermedio resulta de un crecimiento esperado mayor en el crédito hipotecario no calificado como en VIP. </w:t>
            </w:r>
          </w:p>
          <w:p w14:paraId="326E500A" w14:textId="6713BD4B" w:rsidR="00F63080" w:rsidRPr="005D5A7E" w:rsidRDefault="00F63080" w:rsidP="00F63080">
            <w:pPr>
              <w:rPr>
                <w:rFonts w:ascii="Arial" w:eastAsia="Arial Unicode MS" w:hAnsi="Arial" w:cs="Arial"/>
                <w:sz w:val="18"/>
                <w:lang w:val="es-ES_tradnl"/>
              </w:rPr>
            </w:pPr>
          </w:p>
        </w:tc>
        <w:tc>
          <w:tcPr>
            <w:tcW w:w="1350" w:type="dxa"/>
          </w:tcPr>
          <w:p w14:paraId="4D0167E6" w14:textId="3C3A34CD" w:rsidR="00F63080" w:rsidRPr="005D5A7E" w:rsidRDefault="006417B0" w:rsidP="00F63080">
            <w:pPr>
              <w:pStyle w:val="Default"/>
              <w:jc w:val="center"/>
              <w:rPr>
                <w:rFonts w:ascii="Arial" w:eastAsia="Arial Unicode MS" w:hAnsi="Arial" w:cs="Arial"/>
                <w:color w:val="auto"/>
                <w:sz w:val="18"/>
                <w:highlight w:val="yellow"/>
                <w:lang w:val="es-ES_tradnl"/>
              </w:rPr>
            </w:pPr>
            <w:r w:rsidRPr="006417B0">
              <w:rPr>
                <w:rFonts w:ascii="Arial" w:hAnsi="Arial" w:cs="Arial"/>
                <w:color w:val="auto"/>
                <w:sz w:val="18"/>
                <w:szCs w:val="20"/>
                <w:lang w:val="es-ES_tradnl"/>
              </w:rPr>
              <w:t>Línea de Base y final del período</w:t>
            </w:r>
          </w:p>
        </w:tc>
        <w:tc>
          <w:tcPr>
            <w:tcW w:w="1849" w:type="dxa"/>
          </w:tcPr>
          <w:p w14:paraId="49FBBB58" w14:textId="31140143" w:rsidR="00F63080" w:rsidRPr="005D5A7E" w:rsidRDefault="001210C3" w:rsidP="00F63080">
            <w:pPr>
              <w:pStyle w:val="Default"/>
              <w:rPr>
                <w:rFonts w:ascii="Arial" w:eastAsia="Arial Unicode MS" w:hAnsi="Arial" w:cs="Arial"/>
                <w:color w:val="auto"/>
                <w:sz w:val="18"/>
                <w:highlight w:val="yellow"/>
                <w:lang w:val="es-ES_tradnl"/>
              </w:rPr>
            </w:pPr>
            <w:r w:rsidRPr="005D5A7E">
              <w:rPr>
                <w:rFonts w:ascii="Arial" w:hAnsi="Arial" w:cs="Arial"/>
                <w:color w:val="auto"/>
                <w:sz w:val="18"/>
                <w:szCs w:val="20"/>
                <w:lang w:val="es-ES_tradnl"/>
              </w:rPr>
              <w:t>Información Administrativa: Sistema de Información de MEF a través de información administrativa recopilada de las IFI, e información de la Superintendencia de Bancos.</w:t>
            </w:r>
          </w:p>
        </w:tc>
      </w:tr>
      <w:tr w:rsidR="002902F9" w:rsidRPr="0092077C" w14:paraId="54534C8F" w14:textId="77777777" w:rsidTr="00407F3B">
        <w:trPr>
          <w:trHeight w:val="1160"/>
          <w:jc w:val="right"/>
        </w:trPr>
        <w:tc>
          <w:tcPr>
            <w:tcW w:w="1980" w:type="dxa"/>
          </w:tcPr>
          <w:p w14:paraId="1ADDDB6B" w14:textId="241D18A6" w:rsidR="002902F9" w:rsidRPr="005D5A7E" w:rsidRDefault="002709DB" w:rsidP="00674717">
            <w:pPr>
              <w:spacing w:after="0" w:line="240" w:lineRule="auto"/>
              <w:rPr>
                <w:rFonts w:ascii="Arial" w:hAnsi="Arial" w:cs="Arial"/>
                <w:sz w:val="18"/>
                <w:lang w:val="es-ES_tradnl"/>
              </w:rPr>
            </w:pPr>
            <w:bookmarkStart w:id="7" w:name="_Hlk528924836"/>
            <w:proofErr w:type="gramStart"/>
            <w:r w:rsidRPr="002709DB">
              <w:rPr>
                <w:rFonts w:ascii="Arial" w:eastAsia="Calibri" w:hAnsi="Arial" w:cs="Arial"/>
                <w:sz w:val="20"/>
                <w:szCs w:val="20"/>
                <w:lang w:val="es-ES_tradnl"/>
              </w:rPr>
              <w:lastRenderedPageBreak/>
              <w:t>Total</w:t>
            </w:r>
            <w:proofErr w:type="gramEnd"/>
            <w:r w:rsidRPr="002709DB">
              <w:rPr>
                <w:rFonts w:ascii="Arial" w:eastAsia="Calibri" w:hAnsi="Arial" w:cs="Arial"/>
                <w:sz w:val="20"/>
                <w:szCs w:val="20"/>
                <w:lang w:val="es-ES_tradnl"/>
              </w:rPr>
              <w:t xml:space="preserve"> de crédito para VIP colocado por los bancos privados y las entidades de la economía popular y solidaria.</w:t>
            </w:r>
            <w:bookmarkEnd w:id="7"/>
          </w:p>
        </w:tc>
        <w:tc>
          <w:tcPr>
            <w:tcW w:w="2880" w:type="dxa"/>
          </w:tcPr>
          <w:p w14:paraId="4C375157" w14:textId="3C5A4011" w:rsidR="002902F9" w:rsidRPr="005D5A7E" w:rsidRDefault="002709DB" w:rsidP="002902F9">
            <w:pPr>
              <w:spacing w:after="240" w:line="240" w:lineRule="auto"/>
              <w:rPr>
                <w:rFonts w:ascii="Arial" w:hAnsi="Arial" w:cs="Arial"/>
                <w:sz w:val="18"/>
                <w:szCs w:val="18"/>
                <w:lang w:val="es-ES_tradnl"/>
              </w:rPr>
            </w:pPr>
            <w:r w:rsidRPr="002709DB">
              <w:rPr>
                <w:rFonts w:ascii="Arial" w:eastAsia="Calibri" w:hAnsi="Arial" w:cs="Arial"/>
                <w:sz w:val="20"/>
                <w:szCs w:val="20"/>
                <w:lang w:val="es-ES_tradnl"/>
              </w:rPr>
              <w:t>Entre 2015 y 2018 se colocaron un total de US$361 millones en créditos para VIP a través de las líneas provistas por el Banco Central del Ecuador</w:t>
            </w:r>
            <w:r w:rsidR="00E84E2E">
              <w:rPr>
                <w:rFonts w:ascii="Arial" w:eastAsia="Calibri" w:hAnsi="Arial" w:cs="Arial"/>
                <w:sz w:val="20"/>
                <w:szCs w:val="20"/>
                <w:lang w:val="es-ES_tradnl"/>
              </w:rPr>
              <w:t xml:space="preserve"> (BCE)</w:t>
            </w:r>
            <w:r w:rsidRPr="002709DB">
              <w:rPr>
                <w:rFonts w:ascii="Arial" w:eastAsia="Calibri" w:hAnsi="Arial" w:cs="Arial"/>
                <w:sz w:val="20"/>
                <w:szCs w:val="20"/>
                <w:lang w:val="es-ES_tradnl"/>
              </w:rPr>
              <w:t xml:space="preserve">. Tras la aprobación de la Ley de Fomento Productivo en 2018, se terminan las líneas de financiamiento del </w:t>
            </w:r>
            <w:r w:rsidR="00E84E2E">
              <w:rPr>
                <w:rFonts w:ascii="Arial" w:eastAsia="Calibri" w:hAnsi="Arial" w:cs="Arial"/>
                <w:sz w:val="20"/>
                <w:szCs w:val="20"/>
                <w:lang w:val="es-ES_tradnl"/>
              </w:rPr>
              <w:t>BCE</w:t>
            </w:r>
            <w:r w:rsidRPr="002709DB">
              <w:rPr>
                <w:rFonts w:ascii="Arial" w:eastAsia="Calibri" w:hAnsi="Arial" w:cs="Arial"/>
                <w:sz w:val="20"/>
                <w:szCs w:val="20"/>
                <w:lang w:val="es-ES_tradnl"/>
              </w:rPr>
              <w:t xml:space="preserve"> (ver Párrafo 1.11 del POD para más detalle). Sin este financiamiento del </w:t>
            </w:r>
            <w:r w:rsidR="00E84E2E">
              <w:rPr>
                <w:rFonts w:ascii="Arial" w:eastAsia="Calibri" w:hAnsi="Arial" w:cs="Arial"/>
                <w:sz w:val="20"/>
                <w:szCs w:val="20"/>
                <w:lang w:val="es-ES_tradnl"/>
              </w:rPr>
              <w:t>BCE</w:t>
            </w:r>
            <w:r w:rsidRPr="002709DB">
              <w:rPr>
                <w:rFonts w:ascii="Arial" w:eastAsia="Calibri" w:hAnsi="Arial" w:cs="Arial"/>
                <w:sz w:val="20"/>
                <w:szCs w:val="20"/>
                <w:lang w:val="es-ES_tradnl"/>
              </w:rPr>
              <w:t>, se asume que no habría financiamiento para VIP entre 2019 y 2022. En dicho período, con la introducción del programa, se espera que se financien créditos VIP por un total de US$300 millones.</w:t>
            </w:r>
          </w:p>
        </w:tc>
        <w:tc>
          <w:tcPr>
            <w:tcW w:w="1350" w:type="dxa"/>
          </w:tcPr>
          <w:p w14:paraId="01385CA9" w14:textId="6F820625" w:rsidR="002902F9" w:rsidRPr="005D5A7E" w:rsidRDefault="002902F9" w:rsidP="002902F9">
            <w:pPr>
              <w:pStyle w:val="Default"/>
              <w:jc w:val="center"/>
              <w:rPr>
                <w:rFonts w:ascii="Arial" w:hAnsi="Arial" w:cs="Arial"/>
                <w:color w:val="auto"/>
                <w:sz w:val="18"/>
                <w:szCs w:val="20"/>
                <w:lang w:val="es-ES_tradnl"/>
              </w:rPr>
            </w:pPr>
            <w:r w:rsidRPr="005D5A7E">
              <w:rPr>
                <w:rFonts w:ascii="Arial" w:hAnsi="Arial" w:cs="Arial"/>
                <w:color w:val="auto"/>
                <w:sz w:val="18"/>
                <w:szCs w:val="20"/>
                <w:lang w:val="es-ES_tradnl"/>
              </w:rPr>
              <w:t>Línea de Base</w:t>
            </w:r>
            <w:r w:rsidR="006417B0">
              <w:rPr>
                <w:rFonts w:ascii="Arial" w:hAnsi="Arial" w:cs="Arial"/>
                <w:color w:val="auto"/>
                <w:sz w:val="18"/>
                <w:szCs w:val="20"/>
                <w:lang w:val="es-ES_tradnl"/>
              </w:rPr>
              <w:t xml:space="preserve"> y</w:t>
            </w:r>
            <w:r w:rsidRPr="005D5A7E">
              <w:rPr>
                <w:rFonts w:ascii="Arial" w:hAnsi="Arial" w:cs="Arial"/>
                <w:color w:val="auto"/>
                <w:sz w:val="18"/>
                <w:szCs w:val="20"/>
                <w:lang w:val="es-ES_tradnl"/>
              </w:rPr>
              <w:t xml:space="preserve"> final del período</w:t>
            </w:r>
          </w:p>
        </w:tc>
        <w:tc>
          <w:tcPr>
            <w:tcW w:w="1849" w:type="dxa"/>
          </w:tcPr>
          <w:p w14:paraId="6A478201" w14:textId="6D58AEEE" w:rsidR="002902F9" w:rsidRPr="005D5A7E" w:rsidRDefault="002709DB" w:rsidP="002902F9">
            <w:pPr>
              <w:pStyle w:val="Default"/>
              <w:rPr>
                <w:rFonts w:ascii="Arial" w:hAnsi="Arial" w:cs="Arial"/>
                <w:color w:val="auto"/>
                <w:sz w:val="18"/>
                <w:szCs w:val="20"/>
                <w:lang w:val="es-ES_tradnl"/>
              </w:rPr>
            </w:pPr>
            <w:r w:rsidRPr="002709DB">
              <w:rPr>
                <w:rFonts w:ascii="Arial" w:hAnsi="Arial" w:cs="Arial"/>
                <w:color w:val="auto"/>
                <w:sz w:val="18"/>
                <w:szCs w:val="20"/>
                <w:lang w:val="es-ES_tradnl"/>
              </w:rPr>
              <w:t>Superintendencia de Bancos del Ecuador y Superintendencia de las entidades de la economía popular y solidaria.</w:t>
            </w:r>
          </w:p>
        </w:tc>
      </w:tr>
      <w:tr w:rsidR="00F63080" w:rsidRPr="0092077C" w14:paraId="0FD0FBF3" w14:textId="77777777" w:rsidTr="00407F3B">
        <w:trPr>
          <w:trHeight w:val="1160"/>
          <w:jc w:val="right"/>
        </w:trPr>
        <w:tc>
          <w:tcPr>
            <w:tcW w:w="1980" w:type="dxa"/>
          </w:tcPr>
          <w:p w14:paraId="47133EB5" w14:textId="1B101B21" w:rsidR="00F63080" w:rsidRPr="005D5A7E" w:rsidRDefault="0024622B" w:rsidP="00F63080">
            <w:pPr>
              <w:rPr>
                <w:rFonts w:ascii="Arial" w:eastAsia="Arial Unicode MS" w:hAnsi="Arial" w:cs="Arial"/>
                <w:sz w:val="18"/>
                <w:szCs w:val="24"/>
                <w:lang w:val="es-ES_tradnl"/>
              </w:rPr>
            </w:pPr>
            <w:r w:rsidRPr="005D5A7E">
              <w:rPr>
                <w:rFonts w:ascii="Arial" w:hAnsi="Arial" w:cs="Arial"/>
                <w:sz w:val="18"/>
                <w:lang w:val="es-ES_tradnl"/>
              </w:rPr>
              <w:t>Déficit habitacional cuantitativo en hogares con ingreso familiar entre los deciles 6 a 9 de la distribución</w:t>
            </w:r>
            <w:r w:rsidR="00BF3C50">
              <w:rPr>
                <w:rFonts w:ascii="Arial" w:hAnsi="Arial" w:cs="Arial"/>
                <w:sz w:val="18"/>
                <w:lang w:val="es-ES_tradnl"/>
              </w:rPr>
              <w:t>.</w:t>
            </w:r>
          </w:p>
        </w:tc>
        <w:tc>
          <w:tcPr>
            <w:tcW w:w="2880" w:type="dxa"/>
          </w:tcPr>
          <w:p w14:paraId="48596EBC" w14:textId="14E88580" w:rsidR="00F63080" w:rsidRPr="005D5A7E" w:rsidRDefault="008801FC" w:rsidP="00624A3A">
            <w:pPr>
              <w:spacing w:after="240" w:line="240" w:lineRule="auto"/>
              <w:rPr>
                <w:rFonts w:ascii="Arial" w:eastAsia="Arial Unicode MS" w:hAnsi="Arial" w:cs="Arial"/>
                <w:sz w:val="18"/>
                <w:lang w:val="es-ES_tradnl"/>
              </w:rPr>
            </w:pPr>
            <w:r w:rsidRPr="005D5A7E">
              <w:rPr>
                <w:rFonts w:ascii="Arial" w:hAnsi="Arial" w:cs="Arial"/>
                <w:sz w:val="18"/>
                <w:szCs w:val="18"/>
                <w:lang w:val="es-ES_tradnl"/>
              </w:rPr>
              <w:t>En base a cálculos propios, se estima que, en ausencia del programa, el porcentaje de hogares con déficit cuantitativo en el año 2022 ascendería a 7,62.</w:t>
            </w:r>
          </w:p>
        </w:tc>
        <w:tc>
          <w:tcPr>
            <w:tcW w:w="1350" w:type="dxa"/>
          </w:tcPr>
          <w:p w14:paraId="29F9F8FE" w14:textId="0C02F613" w:rsidR="00F63080" w:rsidRPr="005D5A7E" w:rsidRDefault="006417B0" w:rsidP="00F63080">
            <w:pPr>
              <w:pStyle w:val="Default"/>
              <w:jc w:val="center"/>
              <w:rPr>
                <w:rFonts w:ascii="Arial" w:hAnsi="Arial" w:cs="Arial"/>
                <w:color w:val="auto"/>
                <w:sz w:val="18"/>
                <w:szCs w:val="20"/>
                <w:lang w:val="es-ES_tradnl"/>
              </w:rPr>
            </w:pPr>
            <w:r w:rsidRPr="006417B0">
              <w:rPr>
                <w:rFonts w:ascii="Arial" w:hAnsi="Arial" w:cs="Arial"/>
                <w:color w:val="auto"/>
                <w:sz w:val="18"/>
                <w:szCs w:val="20"/>
                <w:lang w:val="es-ES_tradnl"/>
              </w:rPr>
              <w:t>Línea de Base y final del período</w:t>
            </w:r>
          </w:p>
        </w:tc>
        <w:tc>
          <w:tcPr>
            <w:tcW w:w="1849" w:type="dxa"/>
          </w:tcPr>
          <w:p w14:paraId="75D1E1D1" w14:textId="0B11BD5C" w:rsidR="00F63080" w:rsidRPr="005D5A7E" w:rsidRDefault="00F63080" w:rsidP="00F63080">
            <w:pPr>
              <w:pStyle w:val="Default"/>
              <w:rPr>
                <w:rFonts w:ascii="Arial" w:hAnsi="Arial" w:cs="Arial"/>
                <w:color w:val="auto"/>
                <w:sz w:val="18"/>
                <w:szCs w:val="20"/>
                <w:lang w:val="es-ES_tradnl"/>
              </w:rPr>
            </w:pPr>
            <w:r w:rsidRPr="005D5A7E">
              <w:rPr>
                <w:rFonts w:ascii="Arial" w:hAnsi="Arial" w:cs="Arial"/>
                <w:color w:val="auto"/>
                <w:sz w:val="18"/>
                <w:szCs w:val="20"/>
                <w:lang w:val="es-ES_tradnl"/>
              </w:rPr>
              <w:t>Información Administrativa: Sistema de Información de MEF a través de información administrativa recopilada de las IFI y ENEMDU.</w:t>
            </w:r>
          </w:p>
        </w:tc>
      </w:tr>
      <w:tr w:rsidR="006417B0" w:rsidRPr="0092077C" w14:paraId="0CCA0961" w14:textId="77777777" w:rsidTr="00BF3C50">
        <w:trPr>
          <w:trHeight w:val="1511"/>
          <w:jc w:val="right"/>
        </w:trPr>
        <w:tc>
          <w:tcPr>
            <w:tcW w:w="1980" w:type="dxa"/>
            <w:tcBorders>
              <w:bottom w:val="single" w:sz="4" w:space="0" w:color="auto"/>
            </w:tcBorders>
          </w:tcPr>
          <w:p w14:paraId="06ED97D7" w14:textId="1310145A" w:rsidR="006417B0" w:rsidRPr="005D5A7E" w:rsidRDefault="006417B0" w:rsidP="00F63080">
            <w:pPr>
              <w:rPr>
                <w:rFonts w:ascii="Arial" w:hAnsi="Arial" w:cs="Arial"/>
                <w:sz w:val="18"/>
                <w:lang w:val="es-ES_tradnl"/>
              </w:rPr>
            </w:pPr>
            <w:r>
              <w:rPr>
                <w:rFonts w:ascii="Arial" w:hAnsi="Arial" w:cs="Arial"/>
                <w:sz w:val="18"/>
                <w:lang w:val="es-ES_tradnl"/>
              </w:rPr>
              <w:t xml:space="preserve">Porcentaje del crédito </w:t>
            </w:r>
            <w:r w:rsidRPr="006417B0">
              <w:rPr>
                <w:rFonts w:ascii="Arial" w:hAnsi="Arial" w:cs="Arial"/>
                <w:sz w:val="18"/>
                <w:lang w:val="es-ES_tradnl"/>
              </w:rPr>
              <w:t>hipotecario en el segmento de Viviendas de Interés Público (VIP) otorgado a mujeres.</w:t>
            </w:r>
          </w:p>
        </w:tc>
        <w:tc>
          <w:tcPr>
            <w:tcW w:w="2880" w:type="dxa"/>
            <w:tcBorders>
              <w:bottom w:val="single" w:sz="4" w:space="0" w:color="auto"/>
            </w:tcBorders>
          </w:tcPr>
          <w:p w14:paraId="63E6C861" w14:textId="0A1D248E" w:rsidR="006417B0" w:rsidRPr="005D5A7E" w:rsidRDefault="006417B0" w:rsidP="00BF3C50">
            <w:pPr>
              <w:spacing w:after="0" w:line="240" w:lineRule="auto"/>
              <w:rPr>
                <w:rFonts w:ascii="Arial" w:hAnsi="Arial" w:cs="Arial"/>
                <w:sz w:val="18"/>
                <w:szCs w:val="18"/>
                <w:lang w:val="es-ES_tradnl"/>
              </w:rPr>
            </w:pPr>
            <w:r w:rsidRPr="006417B0">
              <w:rPr>
                <w:rFonts w:ascii="Arial" w:hAnsi="Arial" w:cs="Arial"/>
                <w:sz w:val="18"/>
                <w:szCs w:val="18"/>
                <w:lang w:val="es-ES_tradnl"/>
              </w:rPr>
              <w:t>El reglamento operativo del programa articulará regulaciones, incentivos y restricciones destinadas a elevar la participación de las mujeres como receptoras de créditos hipotecarios en el segmento de VIP</w:t>
            </w:r>
            <w:r w:rsidR="00BF3C50">
              <w:rPr>
                <w:rFonts w:ascii="Arial" w:hAnsi="Arial" w:cs="Arial"/>
                <w:sz w:val="18"/>
                <w:szCs w:val="18"/>
                <w:lang w:val="es-ES_tradnl"/>
              </w:rPr>
              <w:t>.</w:t>
            </w:r>
          </w:p>
        </w:tc>
        <w:tc>
          <w:tcPr>
            <w:tcW w:w="1350" w:type="dxa"/>
            <w:tcBorders>
              <w:bottom w:val="single" w:sz="4" w:space="0" w:color="auto"/>
            </w:tcBorders>
          </w:tcPr>
          <w:p w14:paraId="27A210B3" w14:textId="6BDE9198" w:rsidR="006417B0" w:rsidRPr="005D5A7E" w:rsidRDefault="006417B0" w:rsidP="00F63080">
            <w:pPr>
              <w:pStyle w:val="Default"/>
              <w:jc w:val="center"/>
              <w:rPr>
                <w:rFonts w:ascii="Arial" w:hAnsi="Arial" w:cs="Arial"/>
                <w:color w:val="auto"/>
                <w:sz w:val="18"/>
                <w:szCs w:val="20"/>
                <w:lang w:val="es-ES_tradnl"/>
              </w:rPr>
            </w:pPr>
            <w:r w:rsidRPr="006417B0">
              <w:rPr>
                <w:rFonts w:ascii="Arial" w:hAnsi="Arial" w:cs="Arial"/>
                <w:color w:val="auto"/>
                <w:sz w:val="18"/>
                <w:szCs w:val="20"/>
                <w:lang w:val="es-ES_tradnl"/>
              </w:rPr>
              <w:t>Línea de Base y final del período</w:t>
            </w:r>
          </w:p>
        </w:tc>
        <w:tc>
          <w:tcPr>
            <w:tcW w:w="1849" w:type="dxa"/>
            <w:tcBorders>
              <w:bottom w:val="single" w:sz="4" w:space="0" w:color="auto"/>
            </w:tcBorders>
          </w:tcPr>
          <w:p w14:paraId="0F67663E" w14:textId="0B26B059" w:rsidR="006417B0" w:rsidRPr="005D5A7E" w:rsidRDefault="00BF3C50" w:rsidP="00F63080">
            <w:pPr>
              <w:pStyle w:val="Default"/>
              <w:rPr>
                <w:rFonts w:ascii="Arial" w:hAnsi="Arial" w:cs="Arial"/>
                <w:color w:val="auto"/>
                <w:sz w:val="18"/>
                <w:szCs w:val="20"/>
                <w:lang w:val="es-ES_tradnl"/>
              </w:rPr>
            </w:pPr>
            <w:r w:rsidRPr="00BF3C50">
              <w:rPr>
                <w:rFonts w:ascii="Arial" w:hAnsi="Arial" w:cs="Arial"/>
                <w:color w:val="auto"/>
                <w:sz w:val="18"/>
                <w:szCs w:val="20"/>
                <w:lang w:val="es-ES_tradnl"/>
              </w:rPr>
              <w:t>Información Administrativa: Sistema de Información de MEF e información de la Superintendencia de Bancos</w:t>
            </w:r>
            <w:r>
              <w:rPr>
                <w:rFonts w:ascii="Arial" w:hAnsi="Arial" w:cs="Arial"/>
                <w:color w:val="auto"/>
                <w:sz w:val="18"/>
                <w:szCs w:val="20"/>
                <w:lang w:val="es-ES_tradnl"/>
              </w:rPr>
              <w:t>.</w:t>
            </w:r>
          </w:p>
        </w:tc>
      </w:tr>
      <w:tr w:rsidR="00BF3C50" w:rsidRPr="00BF3C50" w14:paraId="5AC8422A" w14:textId="77777777" w:rsidTr="00BF3C50">
        <w:trPr>
          <w:trHeight w:val="332"/>
          <w:jc w:val="right"/>
        </w:trPr>
        <w:tc>
          <w:tcPr>
            <w:tcW w:w="8059" w:type="dxa"/>
            <w:gridSpan w:val="4"/>
            <w:shd w:val="clear" w:color="auto" w:fill="BFBFBF" w:themeFill="background1" w:themeFillShade="BF"/>
            <w:vAlign w:val="center"/>
          </w:tcPr>
          <w:p w14:paraId="1F034058" w14:textId="6A62ED2C" w:rsidR="00BF3C50" w:rsidRPr="00BF3C50" w:rsidRDefault="00BF3C50" w:rsidP="00F63080">
            <w:pPr>
              <w:pStyle w:val="Default"/>
              <w:rPr>
                <w:rFonts w:ascii="Arial" w:hAnsi="Arial" w:cs="Arial"/>
                <w:b/>
                <w:color w:val="auto"/>
                <w:sz w:val="18"/>
                <w:szCs w:val="20"/>
                <w:lang w:val="es-ES_tradnl"/>
              </w:rPr>
            </w:pPr>
            <w:r w:rsidRPr="00BF3C50">
              <w:rPr>
                <w:rFonts w:ascii="Arial" w:hAnsi="Arial" w:cs="Arial"/>
                <w:b/>
                <w:color w:val="auto"/>
                <w:sz w:val="18"/>
                <w:szCs w:val="20"/>
                <w:lang w:val="es-ES_tradnl"/>
              </w:rPr>
              <w:t>Indicadores de Impacto</w:t>
            </w:r>
          </w:p>
        </w:tc>
      </w:tr>
      <w:tr w:rsidR="00BF3C50" w:rsidRPr="00BF3C50" w14:paraId="5EBA6D43" w14:textId="77777777" w:rsidTr="00407F3B">
        <w:trPr>
          <w:trHeight w:val="1160"/>
          <w:jc w:val="right"/>
        </w:trPr>
        <w:tc>
          <w:tcPr>
            <w:tcW w:w="1980" w:type="dxa"/>
          </w:tcPr>
          <w:p w14:paraId="56DCDA8F" w14:textId="77777777" w:rsidR="00BF3C50" w:rsidRPr="00BF3C50" w:rsidRDefault="00BF3C50" w:rsidP="00BF3C50">
            <w:pPr>
              <w:rPr>
                <w:rFonts w:ascii="Arial" w:hAnsi="Arial" w:cs="Arial"/>
                <w:sz w:val="18"/>
                <w:lang w:val="es-ES_tradnl"/>
              </w:rPr>
            </w:pPr>
            <w:bookmarkStart w:id="8" w:name="_Hlk527205380"/>
            <w:r w:rsidRPr="00BF3C50">
              <w:rPr>
                <w:rFonts w:ascii="Arial" w:hAnsi="Arial" w:cs="Arial"/>
                <w:sz w:val="18"/>
                <w:lang w:val="es-ES_tradnl"/>
              </w:rPr>
              <w:t>Tasa de hacinamiento de los deciles 6 a 9.</w:t>
            </w:r>
          </w:p>
          <w:bookmarkEnd w:id="8"/>
          <w:p w14:paraId="087BF498" w14:textId="77777777" w:rsidR="00BF3C50" w:rsidRPr="005D5A7E" w:rsidRDefault="00BF3C50" w:rsidP="002902F9">
            <w:pPr>
              <w:rPr>
                <w:rFonts w:ascii="Arial" w:hAnsi="Arial" w:cs="Arial"/>
                <w:sz w:val="18"/>
                <w:lang w:val="es-ES_tradnl"/>
              </w:rPr>
            </w:pPr>
          </w:p>
        </w:tc>
        <w:tc>
          <w:tcPr>
            <w:tcW w:w="2880" w:type="dxa"/>
          </w:tcPr>
          <w:p w14:paraId="4696FDBC" w14:textId="77777777" w:rsidR="00BF3C50" w:rsidRPr="00BF3C50" w:rsidRDefault="00BF3C50" w:rsidP="00BF3C50">
            <w:pPr>
              <w:pStyle w:val="Default"/>
              <w:rPr>
                <w:rFonts w:ascii="Arial" w:hAnsi="Arial" w:cs="Arial"/>
                <w:sz w:val="18"/>
                <w:szCs w:val="20"/>
                <w:lang w:val="es-ES_tradnl"/>
              </w:rPr>
            </w:pPr>
            <w:r w:rsidRPr="00BF3C50">
              <w:rPr>
                <w:rFonts w:ascii="Arial" w:hAnsi="Arial" w:cs="Arial"/>
                <w:sz w:val="18"/>
                <w:szCs w:val="20"/>
                <w:lang w:val="es-ES_tradnl"/>
              </w:rPr>
              <w:t>En ausencia del programa, la proyección realizada prevé que la tasa de hacinamiento en los hogares con ingreso familiar entre los deciles 6 a 9 se ubique en 6,24%</w:t>
            </w:r>
            <w:r w:rsidRPr="00BF3C50">
              <w:rPr>
                <w:rFonts w:ascii="Arial" w:hAnsi="Arial" w:cs="Arial"/>
                <w:b/>
                <w:sz w:val="18"/>
                <w:szCs w:val="20"/>
                <w:lang w:val="es-ES_tradnl"/>
              </w:rPr>
              <w:t xml:space="preserve">. </w:t>
            </w:r>
            <w:r w:rsidRPr="00BF3C50">
              <w:rPr>
                <w:rFonts w:ascii="Arial" w:hAnsi="Arial" w:cs="Arial"/>
                <w:sz w:val="18"/>
                <w:szCs w:val="20"/>
                <w:lang w:val="es-ES_tradnl"/>
              </w:rPr>
              <w:t>Se proyecta que con el programa dicha tasa se ubicaría en 6,05%. Los cálculos son conservadores sin considerar efectos demostración que incrementen el crédito más allá del programa.</w:t>
            </w:r>
          </w:p>
          <w:p w14:paraId="166321B2" w14:textId="3538CEBB" w:rsidR="00BF3C50" w:rsidRPr="005D5A7E" w:rsidRDefault="00BF3C50" w:rsidP="00BF3C50">
            <w:pPr>
              <w:pStyle w:val="Default"/>
              <w:rPr>
                <w:rFonts w:ascii="Arial" w:hAnsi="Arial" w:cs="Arial"/>
                <w:color w:val="auto"/>
                <w:sz w:val="18"/>
                <w:szCs w:val="20"/>
                <w:lang w:val="es-ES_tradnl"/>
              </w:rPr>
            </w:pPr>
            <w:r w:rsidRPr="00BF3C50">
              <w:rPr>
                <w:rFonts w:ascii="Arial" w:hAnsi="Arial" w:cs="Arial"/>
                <w:color w:val="auto"/>
                <w:sz w:val="18"/>
                <w:szCs w:val="20"/>
                <w:lang w:val="es-ES_tradnl"/>
              </w:rPr>
              <w:t xml:space="preserve">El hacinamiento es definido por una relación de personas-dormitorio mayor a tres; la tasa de hacinamiento refiere al porcentaje de hogares que </w:t>
            </w:r>
            <w:r w:rsidRPr="00BF3C50">
              <w:rPr>
                <w:rFonts w:ascii="Arial" w:hAnsi="Arial" w:cs="Arial"/>
                <w:color w:val="auto"/>
                <w:sz w:val="18"/>
                <w:szCs w:val="20"/>
                <w:lang w:val="es-ES_tradnl"/>
              </w:rPr>
              <w:lastRenderedPageBreak/>
              <w:t>verifican hacinamiento según esa definición</w:t>
            </w:r>
            <w:r>
              <w:rPr>
                <w:rFonts w:ascii="Arial" w:hAnsi="Arial" w:cs="Arial"/>
                <w:color w:val="auto"/>
                <w:sz w:val="18"/>
                <w:szCs w:val="20"/>
                <w:lang w:val="es-ES_tradnl"/>
              </w:rPr>
              <w:t>.</w:t>
            </w:r>
          </w:p>
        </w:tc>
        <w:tc>
          <w:tcPr>
            <w:tcW w:w="1350" w:type="dxa"/>
          </w:tcPr>
          <w:p w14:paraId="74105F29" w14:textId="7C6DD9C8" w:rsidR="00BF3C50" w:rsidRPr="006417B0" w:rsidRDefault="00BF3C50" w:rsidP="002902F9">
            <w:pPr>
              <w:pStyle w:val="Default"/>
              <w:jc w:val="center"/>
              <w:rPr>
                <w:rFonts w:ascii="Arial" w:hAnsi="Arial" w:cs="Arial"/>
                <w:color w:val="auto"/>
                <w:sz w:val="18"/>
                <w:szCs w:val="20"/>
                <w:lang w:val="es-ES_tradnl"/>
              </w:rPr>
            </w:pPr>
            <w:r w:rsidRPr="00BF3C50">
              <w:rPr>
                <w:rFonts w:ascii="Arial" w:hAnsi="Arial" w:cs="Arial"/>
                <w:color w:val="auto"/>
                <w:sz w:val="18"/>
                <w:szCs w:val="20"/>
                <w:lang w:val="es-ES_tradnl"/>
              </w:rPr>
              <w:lastRenderedPageBreak/>
              <w:t>Línea de Base y final del período</w:t>
            </w:r>
          </w:p>
        </w:tc>
        <w:tc>
          <w:tcPr>
            <w:tcW w:w="1849" w:type="dxa"/>
          </w:tcPr>
          <w:p w14:paraId="331F9C42" w14:textId="445412C2" w:rsidR="00BF3C50" w:rsidRPr="00BF3C50" w:rsidRDefault="00BF3C50" w:rsidP="002902F9">
            <w:pPr>
              <w:pStyle w:val="Default"/>
              <w:rPr>
                <w:rFonts w:ascii="Arial" w:hAnsi="Arial" w:cs="Arial"/>
                <w:color w:val="auto"/>
                <w:sz w:val="18"/>
                <w:szCs w:val="20"/>
                <w:lang w:val="es-ES_tradnl"/>
              </w:rPr>
            </w:pPr>
            <w:r w:rsidRPr="00BF3C50">
              <w:rPr>
                <w:rFonts w:ascii="Arial" w:hAnsi="Arial" w:cs="Arial"/>
                <w:color w:val="auto"/>
                <w:sz w:val="18"/>
                <w:szCs w:val="20"/>
                <w:lang w:val="es-ES_tradnl"/>
              </w:rPr>
              <w:t>ENEMDU.</w:t>
            </w:r>
          </w:p>
        </w:tc>
      </w:tr>
      <w:tr w:rsidR="00BF3C50" w:rsidRPr="0092077C" w14:paraId="4D2EC223" w14:textId="77777777" w:rsidTr="00BF3C50">
        <w:tblPrEx>
          <w:jc w:val="left"/>
        </w:tblPrEx>
        <w:trPr>
          <w:trHeight w:val="1160"/>
        </w:trPr>
        <w:tc>
          <w:tcPr>
            <w:tcW w:w="1980" w:type="dxa"/>
          </w:tcPr>
          <w:p w14:paraId="0A501A82" w14:textId="78D182EF" w:rsidR="00BF3C50" w:rsidRPr="005D5A7E" w:rsidRDefault="00BF3C50" w:rsidP="00576583">
            <w:pPr>
              <w:rPr>
                <w:rFonts w:ascii="Arial" w:eastAsia="Arial Unicode MS" w:hAnsi="Arial" w:cs="Arial"/>
                <w:sz w:val="18"/>
                <w:szCs w:val="24"/>
                <w:lang w:val="es-ES_tradnl"/>
              </w:rPr>
            </w:pPr>
            <w:r w:rsidRPr="005D5A7E">
              <w:rPr>
                <w:rFonts w:ascii="Arial" w:hAnsi="Arial" w:cs="Arial"/>
                <w:sz w:val="18"/>
                <w:lang w:val="es-ES_tradnl"/>
              </w:rPr>
              <w:t xml:space="preserve">Valor agregado en las actividades de construcción en el segmento de </w:t>
            </w:r>
            <w:r w:rsidR="007D01E9">
              <w:rPr>
                <w:rFonts w:ascii="Arial" w:hAnsi="Arial" w:cs="Arial"/>
                <w:sz w:val="18"/>
                <w:lang w:val="es-ES_tradnl"/>
              </w:rPr>
              <w:t xml:space="preserve">las </w:t>
            </w:r>
            <w:r w:rsidRPr="005D5A7E">
              <w:rPr>
                <w:rFonts w:ascii="Arial" w:hAnsi="Arial" w:cs="Arial"/>
                <w:sz w:val="18"/>
                <w:lang w:val="es-ES_tradnl"/>
              </w:rPr>
              <w:t>VIP.</w:t>
            </w:r>
          </w:p>
        </w:tc>
        <w:tc>
          <w:tcPr>
            <w:tcW w:w="2880" w:type="dxa"/>
          </w:tcPr>
          <w:p w14:paraId="3E15B6BB" w14:textId="77777777" w:rsidR="00BF3C50" w:rsidRPr="005D5A7E" w:rsidRDefault="00BF3C50" w:rsidP="00576583">
            <w:pPr>
              <w:pStyle w:val="Default"/>
              <w:rPr>
                <w:rFonts w:ascii="Arial" w:hAnsi="Arial" w:cs="Arial"/>
                <w:color w:val="auto"/>
                <w:sz w:val="18"/>
                <w:szCs w:val="20"/>
                <w:lang w:val="es-ES_tradnl"/>
              </w:rPr>
            </w:pPr>
            <w:r w:rsidRPr="005D5A7E">
              <w:rPr>
                <w:rFonts w:ascii="Arial" w:hAnsi="Arial" w:cs="Arial"/>
                <w:color w:val="auto"/>
                <w:sz w:val="18"/>
                <w:szCs w:val="20"/>
                <w:lang w:val="es-ES_tradnl"/>
              </w:rPr>
              <w:t>En ausencia del programa, se espera que el valor agregado de la construcción en el segmento VIP se reduzca a 23,1 millones.</w:t>
            </w:r>
          </w:p>
          <w:p w14:paraId="6210050A" w14:textId="77777777" w:rsidR="00BF3C50" w:rsidRPr="005D5A7E" w:rsidRDefault="00BF3C50" w:rsidP="00576583">
            <w:pPr>
              <w:pStyle w:val="Default"/>
              <w:rPr>
                <w:rFonts w:ascii="Arial" w:hAnsi="Arial" w:cs="Arial"/>
                <w:color w:val="auto"/>
                <w:sz w:val="18"/>
                <w:szCs w:val="20"/>
                <w:lang w:val="es-ES_tradnl"/>
              </w:rPr>
            </w:pPr>
            <w:r w:rsidRPr="005D5A7E">
              <w:rPr>
                <w:rFonts w:ascii="Arial" w:hAnsi="Arial" w:cs="Arial"/>
                <w:color w:val="auto"/>
                <w:sz w:val="18"/>
                <w:szCs w:val="20"/>
                <w:lang w:val="es-ES_tradnl"/>
              </w:rPr>
              <w:t xml:space="preserve"> </w:t>
            </w:r>
          </w:p>
          <w:p w14:paraId="1B9E3A0F" w14:textId="77777777" w:rsidR="00BF3C50" w:rsidRPr="005D5A7E" w:rsidRDefault="00BF3C50" w:rsidP="00576583">
            <w:pPr>
              <w:pStyle w:val="Default"/>
              <w:rPr>
                <w:rFonts w:ascii="Arial" w:eastAsia="Arial Unicode MS" w:hAnsi="Arial" w:cs="Arial"/>
                <w:color w:val="auto"/>
                <w:sz w:val="18"/>
                <w:lang w:val="es-ES_tradnl"/>
              </w:rPr>
            </w:pPr>
            <w:r w:rsidRPr="005D5A7E">
              <w:rPr>
                <w:rFonts w:ascii="Arial" w:hAnsi="Arial" w:cs="Arial"/>
                <w:color w:val="auto"/>
                <w:sz w:val="18"/>
                <w:szCs w:val="20"/>
                <w:lang w:val="es-ES_tradnl"/>
              </w:rPr>
              <w:t>Los valores proyectados suponen que la relación VA/Valor final se mantiene en los promedios observados en los últimos tres años en los datos de Cuentas Nacionales.</w:t>
            </w:r>
          </w:p>
        </w:tc>
        <w:tc>
          <w:tcPr>
            <w:tcW w:w="1350" w:type="dxa"/>
          </w:tcPr>
          <w:p w14:paraId="20261ABB" w14:textId="77777777" w:rsidR="00BF3C50" w:rsidRPr="005D5A7E" w:rsidRDefault="00BF3C50" w:rsidP="00576583">
            <w:pPr>
              <w:pStyle w:val="Default"/>
              <w:jc w:val="center"/>
              <w:rPr>
                <w:rFonts w:ascii="Arial" w:hAnsi="Arial" w:cs="Arial"/>
                <w:color w:val="auto"/>
                <w:sz w:val="18"/>
                <w:szCs w:val="20"/>
                <w:lang w:val="es-ES_tradnl"/>
              </w:rPr>
            </w:pPr>
            <w:r w:rsidRPr="006417B0">
              <w:rPr>
                <w:rFonts w:ascii="Arial" w:hAnsi="Arial" w:cs="Arial"/>
                <w:color w:val="auto"/>
                <w:sz w:val="18"/>
                <w:szCs w:val="20"/>
                <w:lang w:val="es-ES_tradnl"/>
              </w:rPr>
              <w:t>Línea de Base y final del período</w:t>
            </w:r>
          </w:p>
        </w:tc>
        <w:tc>
          <w:tcPr>
            <w:tcW w:w="1849" w:type="dxa"/>
          </w:tcPr>
          <w:p w14:paraId="70DC4422" w14:textId="77777777" w:rsidR="00BF3C50" w:rsidRPr="005D5A7E" w:rsidRDefault="00BF3C50" w:rsidP="00576583">
            <w:pPr>
              <w:pStyle w:val="Default"/>
              <w:rPr>
                <w:rFonts w:ascii="Arial" w:eastAsia="Arial Unicode MS" w:hAnsi="Arial" w:cs="Arial"/>
                <w:color w:val="auto"/>
                <w:sz w:val="18"/>
                <w:lang w:val="es-ES_tradnl"/>
              </w:rPr>
            </w:pPr>
            <w:r w:rsidRPr="005D5A7E">
              <w:rPr>
                <w:rFonts w:ascii="Arial" w:hAnsi="Arial" w:cs="Arial"/>
                <w:color w:val="auto"/>
                <w:sz w:val="18"/>
                <w:szCs w:val="20"/>
                <w:lang w:val="es-ES_tradnl"/>
              </w:rPr>
              <w:t>Información Administrativa: Sistema de Información del MEF a través de información administrativa recopilada de las IFI, Cuentas Nacionales (BCE) e informe de análisis de costos beneficio ex post.</w:t>
            </w:r>
          </w:p>
        </w:tc>
      </w:tr>
      <w:tr w:rsidR="002902F9" w:rsidRPr="005D5A7E" w14:paraId="4E9367E6" w14:textId="77777777" w:rsidTr="00407F3B">
        <w:trPr>
          <w:trHeight w:val="1160"/>
          <w:jc w:val="right"/>
        </w:trPr>
        <w:tc>
          <w:tcPr>
            <w:tcW w:w="1980" w:type="dxa"/>
          </w:tcPr>
          <w:p w14:paraId="4907DAEE" w14:textId="3B1D724A" w:rsidR="002902F9" w:rsidRPr="005D5A7E" w:rsidRDefault="006C5D44" w:rsidP="002902F9">
            <w:pPr>
              <w:rPr>
                <w:rFonts w:ascii="Arial" w:hAnsi="Arial" w:cs="Arial"/>
                <w:sz w:val="18"/>
                <w:lang w:val="es-ES_tradnl"/>
              </w:rPr>
            </w:pPr>
            <w:r w:rsidRPr="005D5A7E">
              <w:rPr>
                <w:rFonts w:ascii="Arial" w:hAnsi="Arial" w:cs="Arial"/>
                <w:sz w:val="18"/>
                <w:lang w:val="es-ES_tradnl"/>
              </w:rPr>
              <w:t>Porcentaje de mujeres mayores de 15 años con un crédito hipotecario activo.</w:t>
            </w:r>
          </w:p>
        </w:tc>
        <w:tc>
          <w:tcPr>
            <w:tcW w:w="2880" w:type="dxa"/>
          </w:tcPr>
          <w:p w14:paraId="4D66C9C8" w14:textId="07B5D974" w:rsidR="002902F9" w:rsidRPr="005D5A7E" w:rsidRDefault="002902F9" w:rsidP="002902F9">
            <w:pPr>
              <w:pStyle w:val="Default"/>
              <w:rPr>
                <w:rFonts w:ascii="Arial" w:hAnsi="Arial" w:cs="Arial"/>
                <w:color w:val="auto"/>
                <w:sz w:val="18"/>
                <w:szCs w:val="20"/>
                <w:lang w:val="es-ES_tradnl"/>
              </w:rPr>
            </w:pPr>
            <w:r w:rsidRPr="005D5A7E">
              <w:rPr>
                <w:rFonts w:ascii="Arial" w:hAnsi="Arial" w:cs="Arial"/>
                <w:color w:val="auto"/>
                <w:sz w:val="18"/>
                <w:szCs w:val="20"/>
                <w:lang w:val="es-ES_tradnl"/>
              </w:rPr>
              <w:t>El reglamento operativo del programa articulará regulaciones, incentivos y restricciones destinadas a elevar la participación de las mujeres como receptoras de créditos hipotecarios en el segmento de VIP.</w:t>
            </w:r>
          </w:p>
        </w:tc>
        <w:tc>
          <w:tcPr>
            <w:tcW w:w="1350" w:type="dxa"/>
          </w:tcPr>
          <w:p w14:paraId="7B57D804" w14:textId="162789C5" w:rsidR="002902F9" w:rsidRPr="005D5A7E" w:rsidRDefault="006417B0" w:rsidP="002902F9">
            <w:pPr>
              <w:pStyle w:val="Default"/>
              <w:jc w:val="center"/>
              <w:rPr>
                <w:rFonts w:ascii="Arial" w:hAnsi="Arial" w:cs="Arial"/>
                <w:color w:val="auto"/>
                <w:sz w:val="18"/>
                <w:szCs w:val="20"/>
                <w:lang w:val="es-ES_tradnl"/>
              </w:rPr>
            </w:pPr>
            <w:r w:rsidRPr="006417B0">
              <w:rPr>
                <w:rFonts w:ascii="Arial" w:hAnsi="Arial" w:cs="Arial"/>
                <w:color w:val="auto"/>
                <w:sz w:val="18"/>
                <w:szCs w:val="20"/>
                <w:lang w:val="es-ES_tradnl"/>
              </w:rPr>
              <w:t>Línea de Base y final del período</w:t>
            </w:r>
          </w:p>
        </w:tc>
        <w:tc>
          <w:tcPr>
            <w:tcW w:w="1849" w:type="dxa"/>
          </w:tcPr>
          <w:p w14:paraId="740713E7" w14:textId="73B6619D" w:rsidR="002902F9" w:rsidRPr="005D5A7E" w:rsidRDefault="00ED4A98" w:rsidP="002902F9">
            <w:pPr>
              <w:pStyle w:val="Default"/>
              <w:rPr>
                <w:rFonts w:ascii="Arial" w:hAnsi="Arial" w:cs="Arial"/>
                <w:color w:val="auto"/>
                <w:sz w:val="18"/>
                <w:szCs w:val="20"/>
                <w:lang w:val="es-ES_tradnl"/>
              </w:rPr>
            </w:pPr>
            <w:r w:rsidRPr="005D5A7E">
              <w:rPr>
                <w:rFonts w:ascii="Arial" w:hAnsi="Arial" w:cs="Arial"/>
                <w:i/>
                <w:color w:val="auto"/>
                <w:sz w:val="18"/>
                <w:szCs w:val="20"/>
                <w:lang w:val="es-ES_tradnl"/>
              </w:rPr>
              <w:t xml:space="preserve">Global </w:t>
            </w:r>
            <w:proofErr w:type="spellStart"/>
            <w:r w:rsidRPr="005D5A7E">
              <w:rPr>
                <w:rFonts w:ascii="Arial" w:hAnsi="Arial" w:cs="Arial"/>
                <w:i/>
                <w:color w:val="auto"/>
                <w:sz w:val="18"/>
                <w:szCs w:val="20"/>
                <w:lang w:val="es-ES_tradnl"/>
              </w:rPr>
              <w:t>Findex</w:t>
            </w:r>
            <w:proofErr w:type="spellEnd"/>
            <w:r w:rsidRPr="005D5A7E">
              <w:rPr>
                <w:rFonts w:ascii="Arial" w:hAnsi="Arial" w:cs="Arial"/>
                <w:i/>
                <w:color w:val="auto"/>
                <w:sz w:val="18"/>
                <w:szCs w:val="20"/>
                <w:lang w:val="es-ES_tradnl"/>
              </w:rPr>
              <w:t xml:space="preserve"> </w:t>
            </w:r>
            <w:proofErr w:type="spellStart"/>
            <w:r w:rsidRPr="005D5A7E">
              <w:rPr>
                <w:rFonts w:ascii="Arial" w:hAnsi="Arial" w:cs="Arial"/>
                <w:i/>
                <w:color w:val="auto"/>
                <w:sz w:val="18"/>
                <w:szCs w:val="20"/>
                <w:lang w:val="es-ES_tradnl"/>
              </w:rPr>
              <w:t>Database</w:t>
            </w:r>
            <w:proofErr w:type="spellEnd"/>
            <w:r w:rsidRPr="005D5A7E">
              <w:rPr>
                <w:rFonts w:ascii="Arial" w:hAnsi="Arial" w:cs="Arial"/>
                <w:color w:val="auto"/>
                <w:sz w:val="18"/>
                <w:szCs w:val="20"/>
                <w:lang w:val="es-ES_tradnl"/>
              </w:rPr>
              <w:t>.</w:t>
            </w:r>
          </w:p>
        </w:tc>
      </w:tr>
    </w:tbl>
    <w:p w14:paraId="14C807A5" w14:textId="77777777" w:rsidR="009A6CCF" w:rsidRPr="005D5A7E" w:rsidRDefault="009A6CCF" w:rsidP="009A6CCF">
      <w:pPr>
        <w:pStyle w:val="SecHeading"/>
        <w:numPr>
          <w:ilvl w:val="0"/>
          <w:numId w:val="0"/>
        </w:numPr>
        <w:spacing w:before="240"/>
        <w:rPr>
          <w:rFonts w:ascii="Arial" w:hAnsi="Arial" w:cs="Arial"/>
          <w:color w:val="auto"/>
          <w:sz w:val="22"/>
          <w:szCs w:val="22"/>
        </w:rPr>
      </w:pPr>
    </w:p>
    <w:p w14:paraId="58DA08E6" w14:textId="77777777" w:rsidR="009A6CCF" w:rsidRPr="005D5A7E" w:rsidRDefault="009A6CCF" w:rsidP="004C1910">
      <w:pPr>
        <w:pStyle w:val="Paragraph"/>
        <w:numPr>
          <w:ilvl w:val="0"/>
          <w:numId w:val="7"/>
        </w:numPr>
        <w:ind w:left="630" w:hanging="630"/>
        <w:rPr>
          <w:rFonts w:ascii="Arial" w:hAnsi="Arial" w:cs="Arial"/>
          <w:b/>
          <w:sz w:val="22"/>
          <w:szCs w:val="22"/>
          <w:lang w:val="es-ES_tradnl"/>
        </w:rPr>
      </w:pPr>
      <w:r w:rsidRPr="005D5A7E">
        <w:rPr>
          <w:rFonts w:ascii="Arial" w:hAnsi="Arial" w:cs="Arial"/>
          <w:b/>
          <w:sz w:val="22"/>
          <w:szCs w:val="22"/>
          <w:lang w:val="es-ES_tradnl"/>
        </w:rPr>
        <w:t>Recolección de Información e Instrumentos</w:t>
      </w:r>
      <w:bookmarkEnd w:id="6"/>
    </w:p>
    <w:p w14:paraId="3F945617" w14:textId="07C240EC" w:rsidR="009A6CCF" w:rsidRPr="005D5A7E" w:rsidRDefault="009A6CCF" w:rsidP="009A6CCF">
      <w:pPr>
        <w:pStyle w:val="Paragraph"/>
        <w:tabs>
          <w:tab w:val="clear" w:pos="2736"/>
        </w:tabs>
        <w:ind w:left="720" w:hanging="720"/>
        <w:rPr>
          <w:rFonts w:ascii="Arial" w:hAnsi="Arial" w:cs="Arial"/>
          <w:sz w:val="22"/>
          <w:szCs w:val="22"/>
          <w:lang w:val="es-ES_tradnl"/>
        </w:rPr>
      </w:pPr>
      <w:r w:rsidRPr="005D5A7E">
        <w:rPr>
          <w:rFonts w:ascii="Arial" w:hAnsi="Arial" w:cs="Arial"/>
          <w:b/>
          <w:sz w:val="22"/>
          <w:szCs w:val="22"/>
          <w:lang w:val="es-ES_tradnl"/>
        </w:rPr>
        <w:t xml:space="preserve">Sistema de Información. </w:t>
      </w:r>
      <w:r w:rsidRPr="005D5A7E">
        <w:rPr>
          <w:rFonts w:ascii="Arial" w:hAnsi="Arial" w:cs="Arial"/>
          <w:sz w:val="22"/>
          <w:szCs w:val="22"/>
          <w:lang w:val="es-ES_tradnl"/>
        </w:rPr>
        <w:t xml:space="preserve">El sistema de información de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contendrá registros e información administrativa sobre el financiamiento generado por el proyecto, incluyendo la información básica sobre el número de operaciones, destino de los fondos, número de viviendas a ser construidas (para el caso del financiamiento a desarrolladores), ubicación de la vivienda, plazos, tasas, así como información de los ingresos mensuales de los beneficiarios de</w:t>
      </w:r>
      <w:r w:rsidR="008D5442" w:rsidRPr="005D5A7E">
        <w:rPr>
          <w:rFonts w:ascii="Arial" w:hAnsi="Arial" w:cs="Arial"/>
          <w:sz w:val="22"/>
          <w:szCs w:val="22"/>
          <w:lang w:val="es-ES_tradnl"/>
        </w:rPr>
        <w:t xml:space="preserve"> los fondos destinados a personas naturales</w:t>
      </w:r>
      <w:r w:rsidRPr="005D5A7E">
        <w:rPr>
          <w:rFonts w:ascii="Arial" w:hAnsi="Arial" w:cs="Arial"/>
          <w:sz w:val="22"/>
          <w:szCs w:val="22"/>
          <w:lang w:val="es-ES_tradnl"/>
        </w:rPr>
        <w:t>, y las tasaciones de las viviendas</w:t>
      </w:r>
      <w:r w:rsidR="008D5442" w:rsidRPr="005D5A7E">
        <w:rPr>
          <w:rFonts w:ascii="Arial" w:hAnsi="Arial" w:cs="Arial"/>
          <w:sz w:val="22"/>
          <w:szCs w:val="22"/>
          <w:lang w:val="es-ES_tradnl"/>
        </w:rPr>
        <w:t xml:space="preserve"> a ser adquiridas con la financiación</w:t>
      </w:r>
      <w:r w:rsidRPr="005D5A7E">
        <w:rPr>
          <w:rFonts w:ascii="Arial" w:hAnsi="Arial" w:cs="Arial"/>
          <w:sz w:val="22"/>
          <w:szCs w:val="22"/>
          <w:lang w:val="es-ES_tradnl"/>
        </w:rPr>
        <w:t xml:space="preserve">. Está información provendrá de los cuestionarios que las IFI solicitarán a sus clientes, y que serán traspasados a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al momento de la solicitud de redescuento de los fondos. Este sistema será mantenido y gestionado por </w:t>
      </w:r>
      <w:r w:rsidR="00357029" w:rsidRPr="005D5A7E">
        <w:rPr>
          <w:rFonts w:ascii="Arial" w:hAnsi="Arial" w:cs="Arial"/>
          <w:sz w:val="22"/>
          <w:szCs w:val="22"/>
          <w:lang w:val="es-ES_tradnl"/>
        </w:rPr>
        <w:t>MEF</w:t>
      </w:r>
      <w:r w:rsidRPr="005D5A7E">
        <w:rPr>
          <w:rFonts w:ascii="Arial" w:hAnsi="Arial" w:cs="Arial"/>
          <w:sz w:val="22"/>
          <w:szCs w:val="22"/>
          <w:lang w:val="es-ES_tradnl"/>
        </w:rPr>
        <w:t>. El monitoreo y reporte de los productos previstos en la Matriz de Resultados será obtenido a partir de la informació</w:t>
      </w:r>
      <w:r w:rsidR="00DE4364" w:rsidRPr="005D5A7E">
        <w:rPr>
          <w:rFonts w:ascii="Arial" w:hAnsi="Arial" w:cs="Arial"/>
          <w:sz w:val="22"/>
          <w:szCs w:val="22"/>
          <w:lang w:val="es-ES_tradnl"/>
        </w:rPr>
        <w:t>n proveniente de esta fuente, y de las fuentes adicionales indicadas (ENEMDU, encuestas a realizar</w:t>
      </w:r>
      <w:r w:rsidR="00DE4364" w:rsidRPr="005D5A7E">
        <w:rPr>
          <w:rStyle w:val="FootnoteReference"/>
          <w:rFonts w:ascii="Arial" w:hAnsi="Arial" w:cs="Arial"/>
          <w:sz w:val="22"/>
          <w:szCs w:val="22"/>
          <w:lang w:val="es-ES_tradnl"/>
        </w:rPr>
        <w:footnoteReference w:id="5"/>
      </w:r>
      <w:r w:rsidR="00DE4364" w:rsidRPr="005D5A7E">
        <w:rPr>
          <w:rFonts w:ascii="Arial" w:hAnsi="Arial" w:cs="Arial"/>
          <w:sz w:val="22"/>
          <w:szCs w:val="22"/>
          <w:lang w:val="es-ES_tradnl"/>
        </w:rPr>
        <w:t>).</w:t>
      </w:r>
    </w:p>
    <w:p w14:paraId="38B797D5" w14:textId="7AA201D1" w:rsidR="009A6CCF" w:rsidRPr="005D5A7E" w:rsidRDefault="009A6CCF" w:rsidP="009A6CCF">
      <w:pPr>
        <w:pStyle w:val="Paragraph"/>
        <w:tabs>
          <w:tab w:val="clear" w:pos="2736"/>
        </w:tabs>
        <w:ind w:left="720" w:hanging="720"/>
        <w:rPr>
          <w:rFonts w:ascii="Arial" w:hAnsi="Arial" w:cs="Arial"/>
          <w:sz w:val="22"/>
          <w:szCs w:val="22"/>
          <w:lang w:val="es-ES_tradnl"/>
        </w:rPr>
      </w:pPr>
      <w:r w:rsidRPr="005D5A7E">
        <w:rPr>
          <w:rFonts w:ascii="Arial" w:hAnsi="Arial" w:cs="Arial"/>
          <w:b/>
          <w:sz w:val="22"/>
          <w:szCs w:val="22"/>
          <w:lang w:val="es-ES_tradnl"/>
        </w:rPr>
        <w:t xml:space="preserve">Usuarios. </w:t>
      </w:r>
      <w:r w:rsidRPr="005D5A7E">
        <w:rPr>
          <w:rFonts w:ascii="Arial" w:hAnsi="Arial" w:cs="Arial"/>
          <w:sz w:val="22"/>
          <w:szCs w:val="22"/>
          <w:lang w:val="es-ES_tradnl"/>
        </w:rPr>
        <w:t xml:space="preserve">Los usuarios de los informes semestrales de seguimiento serán el organismo financiador del proyecto (BID), más concretamente </w:t>
      </w:r>
      <w:r w:rsidR="008D5442" w:rsidRPr="005D5A7E">
        <w:rPr>
          <w:rFonts w:ascii="Arial" w:hAnsi="Arial" w:cs="Arial"/>
          <w:sz w:val="22"/>
          <w:szCs w:val="22"/>
          <w:lang w:val="es-ES_tradnl"/>
        </w:rPr>
        <w:t>IFD/CMF</w:t>
      </w:r>
      <w:r w:rsidRPr="005D5A7E">
        <w:rPr>
          <w:rFonts w:ascii="Arial" w:hAnsi="Arial" w:cs="Arial"/>
          <w:sz w:val="22"/>
          <w:szCs w:val="22"/>
          <w:lang w:val="es-ES_tradnl"/>
        </w:rPr>
        <w:t xml:space="preserve">, </w:t>
      </w:r>
      <w:r w:rsidR="008D5442" w:rsidRPr="005D5A7E">
        <w:rPr>
          <w:rFonts w:ascii="Arial" w:hAnsi="Arial" w:cs="Arial"/>
          <w:sz w:val="22"/>
          <w:szCs w:val="22"/>
          <w:lang w:val="es-ES_tradnl"/>
        </w:rPr>
        <w:t>el mismo OE</w:t>
      </w:r>
      <w:r w:rsidRPr="005D5A7E">
        <w:rPr>
          <w:rFonts w:ascii="Arial" w:hAnsi="Arial" w:cs="Arial"/>
          <w:sz w:val="22"/>
          <w:szCs w:val="22"/>
          <w:lang w:val="es-ES_tradnl"/>
        </w:rPr>
        <w:t xml:space="preserve">, y las auditorías que trabajen en la supervisión del proyecto. </w:t>
      </w:r>
    </w:p>
    <w:p w14:paraId="342CAA8F" w14:textId="77777777" w:rsidR="008D5442" w:rsidRPr="005D5A7E" w:rsidRDefault="008D5442" w:rsidP="008D5442">
      <w:pPr>
        <w:pStyle w:val="Paragraph"/>
        <w:numPr>
          <w:ilvl w:val="0"/>
          <w:numId w:val="0"/>
        </w:numPr>
        <w:ind w:left="720"/>
        <w:rPr>
          <w:rFonts w:ascii="Arial" w:hAnsi="Arial" w:cs="Arial"/>
          <w:sz w:val="22"/>
          <w:szCs w:val="22"/>
          <w:lang w:val="es-ES_tradnl"/>
        </w:rPr>
      </w:pPr>
    </w:p>
    <w:p w14:paraId="76489A4C" w14:textId="77777777" w:rsidR="009A6CCF" w:rsidRPr="005D5A7E" w:rsidRDefault="009A6CCF" w:rsidP="008D5442">
      <w:pPr>
        <w:pStyle w:val="Paragraph"/>
        <w:numPr>
          <w:ilvl w:val="0"/>
          <w:numId w:val="7"/>
        </w:numPr>
        <w:ind w:left="630" w:hanging="630"/>
        <w:rPr>
          <w:rFonts w:ascii="Arial" w:hAnsi="Arial" w:cs="Arial"/>
          <w:b/>
          <w:sz w:val="22"/>
          <w:szCs w:val="22"/>
          <w:lang w:val="es-ES_tradnl"/>
        </w:rPr>
      </w:pPr>
      <w:bookmarkStart w:id="9" w:name="_Toc352756755"/>
      <w:r w:rsidRPr="005D5A7E">
        <w:rPr>
          <w:rFonts w:ascii="Arial" w:hAnsi="Arial" w:cs="Arial"/>
          <w:b/>
          <w:sz w:val="22"/>
          <w:szCs w:val="22"/>
          <w:lang w:val="es-ES_tradnl"/>
        </w:rPr>
        <w:lastRenderedPageBreak/>
        <w:t xml:space="preserve">Presentación de </w:t>
      </w:r>
      <w:bookmarkEnd w:id="9"/>
      <w:r w:rsidRPr="005D5A7E">
        <w:rPr>
          <w:rFonts w:ascii="Arial" w:hAnsi="Arial" w:cs="Arial"/>
          <w:b/>
          <w:sz w:val="22"/>
          <w:szCs w:val="22"/>
          <w:lang w:val="es-ES_tradnl"/>
        </w:rPr>
        <w:t xml:space="preserve">Informes </w:t>
      </w:r>
    </w:p>
    <w:p w14:paraId="5A54403B" w14:textId="3A4F7AD6" w:rsidR="009A6CCF" w:rsidRPr="005D5A7E" w:rsidRDefault="009A6CCF" w:rsidP="009A6CCF">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 xml:space="preserve">La ejecución del proyecto será monitoreada a través de informes de seguimiento. Dichos informes serán preparados por </w:t>
      </w:r>
      <w:r w:rsidR="00175E26" w:rsidRPr="005D5A7E">
        <w:rPr>
          <w:rFonts w:ascii="Arial" w:hAnsi="Arial" w:cs="Arial"/>
          <w:sz w:val="22"/>
          <w:szCs w:val="22"/>
          <w:lang w:val="es-ES_tradnl"/>
        </w:rPr>
        <w:t xml:space="preserve">la Unidad Coordinadora del Programa (UCP) </w:t>
      </w:r>
      <w:r w:rsidRPr="005D5A7E">
        <w:rPr>
          <w:rFonts w:ascii="Arial" w:hAnsi="Arial" w:cs="Arial"/>
          <w:sz w:val="22"/>
          <w:szCs w:val="22"/>
          <w:lang w:val="es-ES_tradnl"/>
        </w:rPr>
        <w:t>y enviados al Banco en los plazos estipulados en</w:t>
      </w:r>
      <w:r w:rsidR="00175E26" w:rsidRPr="005D5A7E">
        <w:rPr>
          <w:rFonts w:ascii="Arial" w:hAnsi="Arial" w:cs="Arial"/>
          <w:sz w:val="22"/>
          <w:szCs w:val="22"/>
          <w:lang w:val="es-ES_tradnl"/>
        </w:rPr>
        <w:t xml:space="preserve"> </w:t>
      </w:r>
      <w:r w:rsidR="00581A0D" w:rsidRPr="005D5A7E">
        <w:rPr>
          <w:rFonts w:ascii="Arial" w:hAnsi="Arial" w:cs="Arial"/>
          <w:sz w:val="22"/>
          <w:szCs w:val="22"/>
          <w:lang w:val="es-ES_tradnl"/>
        </w:rPr>
        <w:t>ROP</w:t>
      </w:r>
      <w:r w:rsidRPr="005D5A7E">
        <w:rPr>
          <w:rFonts w:ascii="Arial" w:hAnsi="Arial" w:cs="Arial"/>
          <w:sz w:val="22"/>
          <w:szCs w:val="22"/>
          <w:lang w:val="es-ES_tradnl"/>
        </w:rPr>
        <w:t>. Estos informes, que constituirán una fuente de información para el PMR, incluyen: (i) informes semestrales, y (</w:t>
      </w:r>
      <w:proofErr w:type="spellStart"/>
      <w:r w:rsidRPr="005D5A7E">
        <w:rPr>
          <w:rFonts w:ascii="Arial" w:hAnsi="Arial" w:cs="Arial"/>
          <w:sz w:val="22"/>
          <w:szCs w:val="22"/>
          <w:lang w:val="es-ES_tradnl"/>
        </w:rPr>
        <w:t>ii</w:t>
      </w:r>
      <w:proofErr w:type="spellEnd"/>
      <w:r w:rsidRPr="005D5A7E">
        <w:rPr>
          <w:rFonts w:ascii="Arial" w:hAnsi="Arial" w:cs="Arial"/>
          <w:sz w:val="22"/>
          <w:szCs w:val="22"/>
          <w:lang w:val="es-ES_tradnl"/>
        </w:rPr>
        <w:t xml:space="preserve">) un informe final, al concluir la ejecución del proyecto. En general, estos informes proporcionarán evidencia sobre: </w:t>
      </w:r>
      <w:r w:rsidR="00EA0D09" w:rsidRPr="005D5A7E">
        <w:rPr>
          <w:rFonts w:ascii="Arial" w:hAnsi="Arial" w:cs="Arial"/>
          <w:sz w:val="22"/>
          <w:szCs w:val="22"/>
          <w:lang w:val="es-ES_tradnl"/>
        </w:rPr>
        <w:t>(</w:t>
      </w:r>
      <w:r w:rsidRPr="005D5A7E">
        <w:rPr>
          <w:rFonts w:ascii="Arial" w:hAnsi="Arial" w:cs="Arial"/>
          <w:sz w:val="22"/>
          <w:szCs w:val="22"/>
          <w:lang w:val="es-ES_tradnl"/>
        </w:rPr>
        <w:t xml:space="preserve">a) el estado de ejecución de las actividades del proyecto, el cumplimiento de los criterios de elegibilidad a nivel de crédito y de proyecto, los problemas y/o riesgos de ejecución identificados y las medidas propuestas para subsanar o mitigar esos problemas o riesgos; </w:t>
      </w:r>
      <w:r w:rsidR="00624A3A" w:rsidRPr="005D5A7E">
        <w:rPr>
          <w:rFonts w:ascii="Arial" w:hAnsi="Arial" w:cs="Arial"/>
          <w:sz w:val="22"/>
          <w:szCs w:val="22"/>
          <w:lang w:val="es-ES_tradnl"/>
        </w:rPr>
        <w:t>(</w:t>
      </w:r>
      <w:r w:rsidRPr="005D5A7E">
        <w:rPr>
          <w:rFonts w:ascii="Arial" w:hAnsi="Arial" w:cs="Arial"/>
          <w:sz w:val="22"/>
          <w:szCs w:val="22"/>
          <w:lang w:val="es-ES_tradnl"/>
        </w:rPr>
        <w:t>b)</w:t>
      </w:r>
      <w:r w:rsidR="00624A3A" w:rsidRPr="005D5A7E">
        <w:rPr>
          <w:rFonts w:ascii="Arial" w:hAnsi="Arial" w:cs="Arial"/>
          <w:sz w:val="22"/>
          <w:szCs w:val="22"/>
          <w:lang w:val="es-ES_tradnl"/>
        </w:rPr>
        <w:t> </w:t>
      </w:r>
      <w:r w:rsidRPr="005D5A7E">
        <w:rPr>
          <w:rFonts w:ascii="Arial" w:hAnsi="Arial" w:cs="Arial"/>
          <w:sz w:val="22"/>
          <w:szCs w:val="22"/>
          <w:lang w:val="es-ES_tradnl"/>
        </w:rPr>
        <w:t xml:space="preserve">la medida en que se están cumpliendo las salvaguardas ambientales y sociales del proyecto; y </w:t>
      </w:r>
      <w:r w:rsidR="00EA0D09" w:rsidRPr="005D5A7E">
        <w:rPr>
          <w:rFonts w:ascii="Arial" w:hAnsi="Arial" w:cs="Arial"/>
          <w:sz w:val="22"/>
          <w:szCs w:val="22"/>
          <w:lang w:val="es-ES_tradnl"/>
        </w:rPr>
        <w:t>(</w:t>
      </w:r>
      <w:r w:rsidRPr="005D5A7E">
        <w:rPr>
          <w:rFonts w:ascii="Arial" w:hAnsi="Arial" w:cs="Arial"/>
          <w:sz w:val="22"/>
          <w:szCs w:val="22"/>
          <w:lang w:val="es-ES_tradnl"/>
        </w:rPr>
        <w:t>c) el logro de los indicadores de producto y resultados esperados, en la medida en que estos se materialicen.</w:t>
      </w:r>
    </w:p>
    <w:p w14:paraId="6D31038D" w14:textId="208D5397" w:rsidR="009A6CCF" w:rsidRPr="005D5A7E" w:rsidRDefault="009C7308" w:rsidP="009A6CCF">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 xml:space="preserve">El </w:t>
      </w:r>
      <w:r w:rsidR="00357029" w:rsidRPr="005D5A7E">
        <w:rPr>
          <w:rFonts w:ascii="Arial" w:hAnsi="Arial" w:cs="Arial"/>
          <w:sz w:val="22"/>
          <w:szCs w:val="22"/>
          <w:lang w:val="es-ES_tradnl"/>
        </w:rPr>
        <w:t>MEF</w:t>
      </w:r>
      <w:r w:rsidR="009A6CCF" w:rsidRPr="005D5A7E">
        <w:rPr>
          <w:rFonts w:ascii="Arial" w:hAnsi="Arial" w:cs="Arial"/>
          <w:sz w:val="22"/>
          <w:szCs w:val="22"/>
          <w:lang w:val="es-ES_tradnl"/>
        </w:rPr>
        <w:t xml:space="preserve"> </w:t>
      </w:r>
      <w:r w:rsidR="00276E84" w:rsidRPr="005D5A7E">
        <w:rPr>
          <w:rFonts w:ascii="Arial" w:hAnsi="Arial" w:cs="Arial"/>
          <w:sz w:val="22"/>
          <w:szCs w:val="22"/>
          <w:lang w:val="es-ES_tradnl"/>
        </w:rPr>
        <w:t xml:space="preserve">es una institución de alta capacidad técnica y profesional, con recursos materiales y humanos altamente adecuados a sus funciones y se considera que dicha institución </w:t>
      </w:r>
      <w:r w:rsidR="009A6CCF" w:rsidRPr="005D5A7E">
        <w:rPr>
          <w:rFonts w:ascii="Arial" w:hAnsi="Arial" w:cs="Arial"/>
          <w:sz w:val="22"/>
          <w:szCs w:val="22"/>
          <w:lang w:val="es-ES_tradnl"/>
        </w:rPr>
        <w:t xml:space="preserve">cuenta con las capacidades </w:t>
      </w:r>
      <w:r w:rsidR="00276E84" w:rsidRPr="005D5A7E">
        <w:rPr>
          <w:rFonts w:ascii="Arial" w:hAnsi="Arial" w:cs="Arial"/>
          <w:sz w:val="22"/>
          <w:szCs w:val="22"/>
          <w:lang w:val="es-ES_tradnl"/>
        </w:rPr>
        <w:t xml:space="preserve">adecuadas </w:t>
      </w:r>
      <w:r w:rsidR="009A6CCF" w:rsidRPr="005D5A7E">
        <w:rPr>
          <w:rFonts w:ascii="Arial" w:hAnsi="Arial" w:cs="Arial"/>
          <w:sz w:val="22"/>
          <w:szCs w:val="22"/>
          <w:lang w:val="es-ES_tradnl"/>
        </w:rPr>
        <w:t xml:space="preserve">para el seguimiento del proyecto. Los informes financieros del proyecto serán auditados anualmente por una firma auditora independiente aceptada por el Banco, contratada y pagada por el OE. Los informes financieros auditados del proyecto serán remitidos al Banco no más tarde de 120 días después del cierre del año fiscal del OE. El último de estos informes será remitido al Banco dentro de los 120 días luego de la fecha del último desembolso. </w:t>
      </w:r>
    </w:p>
    <w:p w14:paraId="0C623C8D" w14:textId="77777777" w:rsidR="009A6CCF" w:rsidRPr="005D5A7E" w:rsidRDefault="009A6CCF" w:rsidP="00276E84">
      <w:pPr>
        <w:pStyle w:val="Paragraph"/>
        <w:numPr>
          <w:ilvl w:val="0"/>
          <w:numId w:val="7"/>
        </w:numPr>
        <w:ind w:left="630" w:hanging="630"/>
        <w:rPr>
          <w:rFonts w:ascii="Arial" w:hAnsi="Arial" w:cs="Arial"/>
          <w:b/>
          <w:sz w:val="22"/>
          <w:szCs w:val="22"/>
          <w:lang w:val="es-ES_tradnl"/>
        </w:rPr>
      </w:pPr>
      <w:bookmarkStart w:id="10" w:name="_Toc352756756"/>
      <w:r w:rsidRPr="005D5A7E">
        <w:rPr>
          <w:rFonts w:ascii="Arial" w:hAnsi="Arial" w:cs="Arial"/>
          <w:b/>
          <w:sz w:val="22"/>
          <w:szCs w:val="22"/>
          <w:lang w:val="es-ES_tradnl"/>
        </w:rPr>
        <w:t>Coordinación del Monitoreo, Plan de Trabajo y Presupuesto</w:t>
      </w:r>
      <w:bookmarkEnd w:id="10"/>
      <w:r w:rsidRPr="005D5A7E">
        <w:rPr>
          <w:rFonts w:ascii="Arial" w:hAnsi="Arial" w:cs="Arial"/>
          <w:b/>
          <w:sz w:val="22"/>
          <w:szCs w:val="22"/>
          <w:lang w:val="es-ES_tradnl"/>
        </w:rPr>
        <w:t xml:space="preserve"> </w:t>
      </w:r>
    </w:p>
    <w:p w14:paraId="2FB9984F" w14:textId="188A4F47" w:rsidR="009A6CCF" w:rsidRPr="005D5A7E" w:rsidRDefault="00357029" w:rsidP="009A6CCF">
      <w:pPr>
        <w:pStyle w:val="Paragraph"/>
        <w:tabs>
          <w:tab w:val="clear" w:pos="2736"/>
          <w:tab w:val="num" w:pos="720"/>
        </w:tabs>
        <w:ind w:left="720" w:hanging="720"/>
        <w:rPr>
          <w:rFonts w:ascii="Arial" w:hAnsi="Arial" w:cs="Arial"/>
          <w:sz w:val="22"/>
          <w:szCs w:val="22"/>
          <w:lang w:val="es-ES_tradnl"/>
        </w:rPr>
      </w:pPr>
      <w:bookmarkStart w:id="11" w:name="_Toc352755939"/>
      <w:bookmarkStart w:id="12" w:name="_Toc387738398"/>
      <w:r w:rsidRPr="005D5A7E">
        <w:rPr>
          <w:rFonts w:ascii="Arial" w:hAnsi="Arial" w:cs="Arial"/>
          <w:sz w:val="22"/>
          <w:szCs w:val="22"/>
          <w:lang w:val="es-ES_tradnl"/>
        </w:rPr>
        <w:t>MEF</w:t>
      </w:r>
      <w:r w:rsidR="009A6CCF" w:rsidRPr="005D5A7E">
        <w:rPr>
          <w:rFonts w:ascii="Arial" w:hAnsi="Arial" w:cs="Arial"/>
          <w:sz w:val="22"/>
          <w:szCs w:val="22"/>
          <w:lang w:val="es-ES_tradnl"/>
        </w:rPr>
        <w:t xml:space="preserve"> será responsable de la supervisión y coordinación operacional y administrativa del proyecto. Sus funciones administrativas incluirán, entre otras: (i) la planificación de la ejecución del proyecto; (</w:t>
      </w:r>
      <w:proofErr w:type="spellStart"/>
      <w:r w:rsidR="009A6CCF" w:rsidRPr="005D5A7E">
        <w:rPr>
          <w:rFonts w:ascii="Arial" w:hAnsi="Arial" w:cs="Arial"/>
          <w:sz w:val="22"/>
          <w:szCs w:val="22"/>
          <w:lang w:val="es-ES_tradnl"/>
        </w:rPr>
        <w:t>ii</w:t>
      </w:r>
      <w:proofErr w:type="spellEnd"/>
      <w:r w:rsidR="009A6CCF" w:rsidRPr="005D5A7E">
        <w:rPr>
          <w:rFonts w:ascii="Arial" w:hAnsi="Arial" w:cs="Arial"/>
          <w:sz w:val="22"/>
          <w:szCs w:val="22"/>
          <w:lang w:val="es-ES_tradnl"/>
        </w:rPr>
        <w:t>) sus desembolsos; (</w:t>
      </w:r>
      <w:proofErr w:type="spellStart"/>
      <w:r w:rsidR="009A6CCF" w:rsidRPr="005D5A7E">
        <w:rPr>
          <w:rFonts w:ascii="Arial" w:hAnsi="Arial" w:cs="Arial"/>
          <w:sz w:val="22"/>
          <w:szCs w:val="22"/>
          <w:lang w:val="es-ES_tradnl"/>
        </w:rPr>
        <w:t>iii</w:t>
      </w:r>
      <w:proofErr w:type="spellEnd"/>
      <w:r w:rsidR="009A6CCF" w:rsidRPr="005D5A7E">
        <w:rPr>
          <w:rFonts w:ascii="Arial" w:hAnsi="Arial" w:cs="Arial"/>
          <w:sz w:val="22"/>
          <w:szCs w:val="22"/>
          <w:lang w:val="es-ES_tradnl"/>
        </w:rPr>
        <w:t>) sus controles internos; (</w:t>
      </w:r>
      <w:proofErr w:type="spellStart"/>
      <w:r w:rsidR="009A6CCF" w:rsidRPr="005D5A7E">
        <w:rPr>
          <w:rFonts w:ascii="Arial" w:hAnsi="Arial" w:cs="Arial"/>
          <w:sz w:val="22"/>
          <w:szCs w:val="22"/>
          <w:lang w:val="es-ES_tradnl"/>
        </w:rPr>
        <w:t>iv</w:t>
      </w:r>
      <w:proofErr w:type="spellEnd"/>
      <w:r w:rsidR="009A6CCF" w:rsidRPr="005D5A7E">
        <w:rPr>
          <w:rFonts w:ascii="Arial" w:hAnsi="Arial" w:cs="Arial"/>
          <w:sz w:val="22"/>
          <w:szCs w:val="22"/>
          <w:lang w:val="es-ES_tradnl"/>
        </w:rPr>
        <w:t>) su auditoria; (v) el mantenimiento y continua actualización de todas las informaciones necesarias para generar los indicadores de producto y resultados; y (vi) la generación de reportes periódicos sobre su desempeño.</w:t>
      </w:r>
      <w:bookmarkEnd w:id="11"/>
      <w:bookmarkEnd w:id="12"/>
    </w:p>
    <w:p w14:paraId="04BD6ECE" w14:textId="701A8113" w:rsidR="00581A0D" w:rsidRPr="005D5A7E" w:rsidRDefault="009A6CCF" w:rsidP="005D5A7E">
      <w:pPr>
        <w:pStyle w:val="Paragraph"/>
        <w:tabs>
          <w:tab w:val="clear" w:pos="2736"/>
          <w:tab w:val="num" w:pos="720"/>
        </w:tabs>
        <w:ind w:left="720" w:hanging="720"/>
        <w:rPr>
          <w:rFonts w:ascii="Arial" w:hAnsi="Arial" w:cs="Arial"/>
          <w:sz w:val="22"/>
          <w:szCs w:val="22"/>
          <w:lang w:val="es-ES_tradnl"/>
        </w:rPr>
      </w:pPr>
      <w:r w:rsidRPr="005D5A7E">
        <w:rPr>
          <w:rFonts w:ascii="Arial" w:hAnsi="Arial" w:cs="Arial"/>
          <w:sz w:val="22"/>
          <w:szCs w:val="22"/>
          <w:lang w:val="es-ES_tradnl"/>
        </w:rPr>
        <w:t xml:space="preserve">Los costos de monitoreo serán cubiertos por </w:t>
      </w:r>
      <w:r w:rsidR="00357029" w:rsidRPr="005D5A7E">
        <w:rPr>
          <w:rFonts w:ascii="Arial" w:hAnsi="Arial" w:cs="Arial"/>
          <w:sz w:val="22"/>
          <w:szCs w:val="22"/>
          <w:lang w:val="es-ES_tradnl"/>
        </w:rPr>
        <w:t>MEF</w:t>
      </w:r>
      <w:r w:rsidRPr="005D5A7E">
        <w:rPr>
          <w:rFonts w:ascii="Arial" w:hAnsi="Arial" w:cs="Arial"/>
          <w:sz w:val="22"/>
          <w:szCs w:val="22"/>
          <w:lang w:val="es-ES_tradnl"/>
        </w:rPr>
        <w:t>.</w:t>
      </w:r>
    </w:p>
    <w:p w14:paraId="43D6A060" w14:textId="77777777" w:rsidR="00581A0D" w:rsidRPr="00674717" w:rsidRDefault="00581A0D" w:rsidP="00674717">
      <w:pPr>
        <w:pStyle w:val="Paragraph"/>
        <w:numPr>
          <w:ilvl w:val="0"/>
          <w:numId w:val="0"/>
        </w:numPr>
        <w:spacing w:after="0"/>
        <w:ind w:left="720"/>
        <w:rPr>
          <w:rFonts w:ascii="Arial" w:hAnsi="Arial" w:cs="Arial"/>
          <w:sz w:val="8"/>
          <w:szCs w:val="8"/>
          <w:lang w:val="es-ES_tradnl"/>
        </w:rPr>
      </w:pPr>
    </w:p>
    <w:p w14:paraId="7FF68CA9" w14:textId="77777777" w:rsidR="009A6CCF" w:rsidRPr="005D5A7E" w:rsidRDefault="009A6CCF" w:rsidP="009A6CCF">
      <w:pPr>
        <w:spacing w:before="120" w:after="120" w:line="240" w:lineRule="auto"/>
        <w:jc w:val="center"/>
        <w:rPr>
          <w:rFonts w:ascii="Arial" w:hAnsi="Arial" w:cs="Arial"/>
          <w:b/>
          <w:sz w:val="20"/>
          <w:lang w:val="es-ES_tradnl"/>
        </w:rPr>
      </w:pPr>
      <w:r w:rsidRPr="005D5A7E">
        <w:rPr>
          <w:rFonts w:ascii="Arial" w:hAnsi="Arial" w:cs="Arial"/>
          <w:b/>
          <w:sz w:val="20"/>
          <w:lang w:val="es-ES_tradnl"/>
        </w:rPr>
        <w:t>Cuadro 2.  Plan de Trabajo y Presupuesto de Monitoreo y Evaluación</w:t>
      </w:r>
    </w:p>
    <w:p w14:paraId="307F2076" w14:textId="77777777" w:rsidR="009A6CCF" w:rsidRPr="005D5A7E" w:rsidRDefault="009A6CCF" w:rsidP="009A6CCF">
      <w:pPr>
        <w:rPr>
          <w:rFonts w:ascii="Arial" w:hAnsi="Arial" w:cs="Arial"/>
          <w:lang w:val="es-ES_tradnl"/>
        </w:rPr>
        <w:sectPr w:rsidR="009A6CCF" w:rsidRPr="005D5A7E" w:rsidSect="00407F3B">
          <w:pgSz w:w="12242" w:h="15842" w:code="1"/>
          <w:pgMar w:top="1440" w:right="1800" w:bottom="1440" w:left="1800" w:header="720" w:footer="720" w:gutter="0"/>
          <w:cols w:space="708"/>
          <w:docGrid w:linePitch="360"/>
        </w:sectPr>
      </w:pPr>
      <w:bookmarkStart w:id="13" w:name="_Toc346643520"/>
      <w:bookmarkStart w:id="14" w:name="_Toc352755941"/>
      <w:bookmarkStart w:id="15" w:name="_Toc352756757"/>
    </w:p>
    <w:tbl>
      <w:tblPr>
        <w:tblStyle w:val="TableGrid"/>
        <w:tblW w:w="0" w:type="auto"/>
        <w:jc w:val="right"/>
        <w:tblLayout w:type="fixed"/>
        <w:tblCellMar>
          <w:left w:w="115" w:type="dxa"/>
          <w:right w:w="115" w:type="dxa"/>
        </w:tblCellMar>
        <w:tblLook w:val="04A0" w:firstRow="1" w:lastRow="0" w:firstColumn="1" w:lastColumn="0" w:noHBand="0" w:noVBand="1"/>
      </w:tblPr>
      <w:tblGrid>
        <w:gridCol w:w="1248"/>
        <w:gridCol w:w="342"/>
        <w:gridCol w:w="342"/>
        <w:gridCol w:w="339"/>
        <w:gridCol w:w="337"/>
        <w:gridCol w:w="337"/>
        <w:gridCol w:w="337"/>
        <w:gridCol w:w="337"/>
        <w:gridCol w:w="337"/>
        <w:gridCol w:w="1943"/>
        <w:gridCol w:w="1337"/>
        <w:gridCol w:w="1097"/>
        <w:gridCol w:w="7"/>
      </w:tblGrid>
      <w:tr w:rsidR="00276E84" w:rsidRPr="005D5A7E" w14:paraId="522B9CD3" w14:textId="77777777" w:rsidTr="00674717">
        <w:trPr>
          <w:trHeight w:val="404"/>
          <w:tblHeader/>
          <w:jc w:val="right"/>
        </w:trPr>
        <w:tc>
          <w:tcPr>
            <w:tcW w:w="1248" w:type="dxa"/>
            <w:vMerge w:val="restart"/>
            <w:shd w:val="clear" w:color="auto" w:fill="B4C6E7" w:themeFill="accent1" w:themeFillTint="66"/>
            <w:vAlign w:val="center"/>
          </w:tcPr>
          <w:p w14:paraId="180D2C75" w14:textId="77777777" w:rsidR="00276E84" w:rsidRPr="005D5A7E" w:rsidRDefault="00276E84" w:rsidP="00EA0D09">
            <w:pPr>
              <w:spacing w:after="0" w:line="240" w:lineRule="auto"/>
              <w:ind w:right="-99"/>
              <w:jc w:val="center"/>
              <w:rPr>
                <w:rFonts w:ascii="Arial" w:hAnsi="Arial" w:cs="Arial"/>
                <w:b/>
                <w:sz w:val="18"/>
                <w:szCs w:val="18"/>
                <w:lang w:val="es-ES_tradnl"/>
              </w:rPr>
            </w:pPr>
            <w:r w:rsidRPr="005D5A7E">
              <w:rPr>
                <w:rFonts w:ascii="Arial" w:hAnsi="Arial" w:cs="Arial"/>
                <w:b/>
                <w:sz w:val="18"/>
                <w:szCs w:val="18"/>
                <w:lang w:val="es-ES_tradnl"/>
              </w:rPr>
              <w:t>Actividades claves de monitoreo / Productos por actividad</w:t>
            </w:r>
          </w:p>
        </w:tc>
        <w:tc>
          <w:tcPr>
            <w:tcW w:w="684" w:type="dxa"/>
            <w:gridSpan w:val="2"/>
            <w:tcBorders>
              <w:bottom w:val="single" w:sz="4" w:space="0" w:color="auto"/>
            </w:tcBorders>
            <w:shd w:val="clear" w:color="auto" w:fill="B4C6E7" w:themeFill="accent1" w:themeFillTint="66"/>
            <w:vAlign w:val="center"/>
          </w:tcPr>
          <w:p w14:paraId="6102D285" w14:textId="3969205A"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2019</w:t>
            </w:r>
          </w:p>
        </w:tc>
        <w:tc>
          <w:tcPr>
            <w:tcW w:w="676" w:type="dxa"/>
            <w:gridSpan w:val="2"/>
            <w:tcBorders>
              <w:bottom w:val="single" w:sz="4" w:space="0" w:color="auto"/>
            </w:tcBorders>
            <w:shd w:val="clear" w:color="auto" w:fill="B4C6E7" w:themeFill="accent1" w:themeFillTint="66"/>
            <w:vAlign w:val="center"/>
          </w:tcPr>
          <w:p w14:paraId="44531946" w14:textId="39838249"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2020</w:t>
            </w:r>
          </w:p>
        </w:tc>
        <w:tc>
          <w:tcPr>
            <w:tcW w:w="674" w:type="dxa"/>
            <w:gridSpan w:val="2"/>
            <w:tcBorders>
              <w:bottom w:val="single" w:sz="4" w:space="0" w:color="auto"/>
            </w:tcBorders>
            <w:shd w:val="clear" w:color="auto" w:fill="B4C6E7" w:themeFill="accent1" w:themeFillTint="66"/>
            <w:vAlign w:val="center"/>
          </w:tcPr>
          <w:p w14:paraId="42FD6DEB" w14:textId="34C5B3D3"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2021</w:t>
            </w:r>
          </w:p>
        </w:tc>
        <w:tc>
          <w:tcPr>
            <w:tcW w:w="674" w:type="dxa"/>
            <w:gridSpan w:val="2"/>
            <w:tcBorders>
              <w:bottom w:val="single" w:sz="4" w:space="0" w:color="auto"/>
            </w:tcBorders>
            <w:shd w:val="clear" w:color="auto" w:fill="B4C6E7" w:themeFill="accent1" w:themeFillTint="66"/>
            <w:vAlign w:val="center"/>
          </w:tcPr>
          <w:p w14:paraId="0F6EA1E5" w14:textId="029237D1"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2022</w:t>
            </w:r>
          </w:p>
        </w:tc>
        <w:tc>
          <w:tcPr>
            <w:tcW w:w="1943" w:type="dxa"/>
            <w:vMerge w:val="restart"/>
            <w:shd w:val="clear" w:color="auto" w:fill="B4C6E7" w:themeFill="accent1" w:themeFillTint="66"/>
            <w:vAlign w:val="center"/>
          </w:tcPr>
          <w:p w14:paraId="224599A5"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Costo / Divisa</w:t>
            </w:r>
          </w:p>
        </w:tc>
        <w:tc>
          <w:tcPr>
            <w:tcW w:w="1337" w:type="dxa"/>
            <w:vMerge w:val="restart"/>
            <w:shd w:val="clear" w:color="auto" w:fill="B4C6E7" w:themeFill="accent1" w:themeFillTint="66"/>
            <w:vAlign w:val="center"/>
          </w:tcPr>
          <w:p w14:paraId="63242568"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Responsable</w:t>
            </w:r>
          </w:p>
        </w:tc>
        <w:tc>
          <w:tcPr>
            <w:tcW w:w="1097" w:type="dxa"/>
            <w:gridSpan w:val="2"/>
            <w:vMerge w:val="restart"/>
            <w:shd w:val="clear" w:color="auto" w:fill="B4C6E7" w:themeFill="accent1" w:themeFillTint="66"/>
            <w:vAlign w:val="center"/>
          </w:tcPr>
          <w:p w14:paraId="7CBBF825"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Fuente de fondeo</w:t>
            </w:r>
          </w:p>
        </w:tc>
      </w:tr>
      <w:tr w:rsidR="00276E84" w:rsidRPr="005D5A7E" w14:paraId="44E0BFA6" w14:textId="77777777" w:rsidTr="00674717">
        <w:trPr>
          <w:tblHeader/>
          <w:jc w:val="right"/>
        </w:trPr>
        <w:tc>
          <w:tcPr>
            <w:tcW w:w="1248" w:type="dxa"/>
            <w:vMerge/>
          </w:tcPr>
          <w:p w14:paraId="6E2C2E61" w14:textId="77777777" w:rsidR="00276E84" w:rsidRPr="005D5A7E" w:rsidRDefault="00276E84" w:rsidP="00EA0D09">
            <w:pPr>
              <w:spacing w:after="0" w:line="240" w:lineRule="auto"/>
              <w:rPr>
                <w:rFonts w:ascii="Arial" w:hAnsi="Arial" w:cs="Arial"/>
                <w:sz w:val="18"/>
                <w:szCs w:val="18"/>
                <w:lang w:val="es-ES_tradnl"/>
              </w:rPr>
            </w:pPr>
          </w:p>
        </w:tc>
        <w:tc>
          <w:tcPr>
            <w:tcW w:w="342" w:type="dxa"/>
            <w:shd w:val="clear" w:color="auto" w:fill="B4C6E7" w:themeFill="accent1" w:themeFillTint="66"/>
            <w:vAlign w:val="center"/>
          </w:tcPr>
          <w:p w14:paraId="79BED385"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1</w:t>
            </w:r>
          </w:p>
        </w:tc>
        <w:tc>
          <w:tcPr>
            <w:tcW w:w="342" w:type="dxa"/>
            <w:shd w:val="clear" w:color="auto" w:fill="B4C6E7" w:themeFill="accent1" w:themeFillTint="66"/>
            <w:vAlign w:val="center"/>
          </w:tcPr>
          <w:p w14:paraId="28C57C92"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w:t>
            </w:r>
          </w:p>
        </w:tc>
        <w:tc>
          <w:tcPr>
            <w:tcW w:w="339" w:type="dxa"/>
            <w:shd w:val="clear" w:color="auto" w:fill="B4C6E7" w:themeFill="accent1" w:themeFillTint="66"/>
            <w:vAlign w:val="center"/>
          </w:tcPr>
          <w:p w14:paraId="3B48AC34"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1</w:t>
            </w:r>
          </w:p>
        </w:tc>
        <w:tc>
          <w:tcPr>
            <w:tcW w:w="337" w:type="dxa"/>
            <w:shd w:val="clear" w:color="auto" w:fill="B4C6E7" w:themeFill="accent1" w:themeFillTint="66"/>
            <w:vAlign w:val="center"/>
          </w:tcPr>
          <w:p w14:paraId="6E032573"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w:t>
            </w:r>
          </w:p>
        </w:tc>
        <w:tc>
          <w:tcPr>
            <w:tcW w:w="337" w:type="dxa"/>
            <w:shd w:val="clear" w:color="auto" w:fill="B4C6E7" w:themeFill="accent1" w:themeFillTint="66"/>
            <w:vAlign w:val="center"/>
          </w:tcPr>
          <w:p w14:paraId="09C08F76"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1</w:t>
            </w:r>
          </w:p>
        </w:tc>
        <w:tc>
          <w:tcPr>
            <w:tcW w:w="337" w:type="dxa"/>
            <w:shd w:val="clear" w:color="auto" w:fill="B4C6E7" w:themeFill="accent1" w:themeFillTint="66"/>
            <w:vAlign w:val="center"/>
          </w:tcPr>
          <w:p w14:paraId="3B4C5DE3"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w:t>
            </w:r>
          </w:p>
        </w:tc>
        <w:tc>
          <w:tcPr>
            <w:tcW w:w="337" w:type="dxa"/>
            <w:shd w:val="clear" w:color="auto" w:fill="B4C6E7" w:themeFill="accent1" w:themeFillTint="66"/>
            <w:vAlign w:val="center"/>
          </w:tcPr>
          <w:p w14:paraId="7BBA93E5"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1</w:t>
            </w:r>
          </w:p>
        </w:tc>
        <w:tc>
          <w:tcPr>
            <w:tcW w:w="337" w:type="dxa"/>
            <w:shd w:val="clear" w:color="auto" w:fill="B4C6E7" w:themeFill="accent1" w:themeFillTint="66"/>
            <w:vAlign w:val="center"/>
          </w:tcPr>
          <w:p w14:paraId="3FC8AE81" w14:textId="77777777" w:rsidR="00276E84" w:rsidRPr="005D5A7E" w:rsidRDefault="00276E84" w:rsidP="00EA0D09">
            <w:pPr>
              <w:spacing w:after="0" w:line="240" w:lineRule="auto"/>
              <w:jc w:val="center"/>
              <w:rPr>
                <w:rFonts w:ascii="Arial" w:hAnsi="Arial" w:cs="Arial"/>
                <w:b/>
                <w:sz w:val="18"/>
                <w:szCs w:val="18"/>
                <w:lang w:val="es-ES_tradnl"/>
              </w:rPr>
            </w:pPr>
            <w:r w:rsidRPr="005D5A7E">
              <w:rPr>
                <w:rFonts w:ascii="Arial" w:hAnsi="Arial" w:cs="Arial"/>
                <w:b/>
                <w:sz w:val="18"/>
                <w:szCs w:val="18"/>
                <w:lang w:val="es-ES_tradnl"/>
              </w:rPr>
              <w:t>2</w:t>
            </w:r>
          </w:p>
        </w:tc>
        <w:tc>
          <w:tcPr>
            <w:tcW w:w="1943" w:type="dxa"/>
            <w:vMerge/>
          </w:tcPr>
          <w:p w14:paraId="10DB5D83" w14:textId="77777777" w:rsidR="00276E84" w:rsidRPr="005D5A7E" w:rsidRDefault="00276E84" w:rsidP="00EA0D09">
            <w:pPr>
              <w:spacing w:after="0" w:line="240" w:lineRule="auto"/>
              <w:rPr>
                <w:rFonts w:ascii="Arial" w:hAnsi="Arial" w:cs="Arial"/>
                <w:sz w:val="18"/>
                <w:szCs w:val="18"/>
                <w:lang w:val="es-ES_tradnl"/>
              </w:rPr>
            </w:pPr>
          </w:p>
        </w:tc>
        <w:tc>
          <w:tcPr>
            <w:tcW w:w="1337" w:type="dxa"/>
            <w:vMerge/>
          </w:tcPr>
          <w:p w14:paraId="4A9F2B7A" w14:textId="77777777" w:rsidR="00276E84" w:rsidRPr="005D5A7E" w:rsidRDefault="00276E84" w:rsidP="00EA0D09">
            <w:pPr>
              <w:spacing w:after="0" w:line="240" w:lineRule="auto"/>
              <w:rPr>
                <w:rFonts w:ascii="Arial" w:hAnsi="Arial" w:cs="Arial"/>
                <w:sz w:val="18"/>
                <w:szCs w:val="18"/>
                <w:lang w:val="es-ES_tradnl"/>
              </w:rPr>
            </w:pPr>
          </w:p>
        </w:tc>
        <w:tc>
          <w:tcPr>
            <w:tcW w:w="1097" w:type="dxa"/>
            <w:gridSpan w:val="2"/>
            <w:vMerge/>
          </w:tcPr>
          <w:p w14:paraId="5753CCB2" w14:textId="77777777" w:rsidR="00276E84" w:rsidRPr="005D5A7E" w:rsidRDefault="00276E84" w:rsidP="00EA0D09">
            <w:pPr>
              <w:spacing w:after="0" w:line="240" w:lineRule="auto"/>
              <w:rPr>
                <w:rFonts w:ascii="Arial" w:hAnsi="Arial" w:cs="Arial"/>
                <w:sz w:val="18"/>
                <w:szCs w:val="18"/>
                <w:lang w:val="es-ES_tradnl"/>
              </w:rPr>
            </w:pPr>
          </w:p>
        </w:tc>
      </w:tr>
      <w:tr w:rsidR="00276E84" w:rsidRPr="005D5A7E" w14:paraId="74E05A37" w14:textId="77777777" w:rsidTr="00674717">
        <w:trPr>
          <w:gridAfter w:val="1"/>
          <w:wAfter w:w="7" w:type="dxa"/>
          <w:jc w:val="right"/>
        </w:trPr>
        <w:tc>
          <w:tcPr>
            <w:tcW w:w="1248" w:type="dxa"/>
          </w:tcPr>
          <w:p w14:paraId="7D252E39" w14:textId="77777777"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t>Reportes de Monitoreo Semestrales</w:t>
            </w:r>
          </w:p>
        </w:tc>
        <w:tc>
          <w:tcPr>
            <w:tcW w:w="342" w:type="dxa"/>
          </w:tcPr>
          <w:p w14:paraId="2CCE0F26"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42" w:type="dxa"/>
          </w:tcPr>
          <w:p w14:paraId="7827E34B"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9" w:type="dxa"/>
          </w:tcPr>
          <w:p w14:paraId="2D47A0D2"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2FF15369"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5819A2AF"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6A82EE9C"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3C08CB1C"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3864D55A"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0F59B1EB" w14:textId="06E4D880"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 xml:space="preserve">US$20.000 </w:t>
            </w:r>
            <w:proofErr w:type="gramStart"/>
            <w:r w:rsidRPr="005D5A7E">
              <w:rPr>
                <w:rFonts w:ascii="Arial" w:hAnsi="Arial" w:cs="Arial"/>
                <w:sz w:val="18"/>
                <w:szCs w:val="18"/>
                <w:lang w:val="es-ES_tradnl"/>
              </w:rPr>
              <w:t>imputado ejecución</w:t>
            </w:r>
            <w:proofErr w:type="gramEnd"/>
          </w:p>
        </w:tc>
        <w:tc>
          <w:tcPr>
            <w:tcW w:w="1337" w:type="dxa"/>
          </w:tcPr>
          <w:p w14:paraId="7F0B3E23"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Organismo Ejecutor</w:t>
            </w:r>
          </w:p>
        </w:tc>
        <w:tc>
          <w:tcPr>
            <w:tcW w:w="1097" w:type="dxa"/>
          </w:tcPr>
          <w:p w14:paraId="6D5BC6A3"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Recursos Organismo Ejecutor</w:t>
            </w:r>
          </w:p>
        </w:tc>
      </w:tr>
      <w:tr w:rsidR="00276E84" w:rsidRPr="005D5A7E" w14:paraId="54560C8F" w14:textId="77777777" w:rsidTr="00674717">
        <w:trPr>
          <w:gridAfter w:val="1"/>
          <w:wAfter w:w="7" w:type="dxa"/>
          <w:jc w:val="right"/>
        </w:trPr>
        <w:tc>
          <w:tcPr>
            <w:tcW w:w="1248" w:type="dxa"/>
          </w:tcPr>
          <w:p w14:paraId="5DF1EBB0" w14:textId="77777777"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t>Reporte Final</w:t>
            </w:r>
          </w:p>
        </w:tc>
        <w:tc>
          <w:tcPr>
            <w:tcW w:w="342" w:type="dxa"/>
          </w:tcPr>
          <w:p w14:paraId="7CAFE334" w14:textId="77777777" w:rsidR="00276E84" w:rsidRPr="005D5A7E" w:rsidRDefault="00276E84" w:rsidP="00EA0D09">
            <w:pPr>
              <w:spacing w:after="0" w:line="240" w:lineRule="auto"/>
              <w:jc w:val="center"/>
              <w:rPr>
                <w:rFonts w:ascii="Arial" w:hAnsi="Arial" w:cs="Arial"/>
                <w:sz w:val="18"/>
                <w:szCs w:val="18"/>
                <w:lang w:val="es-ES_tradnl"/>
              </w:rPr>
            </w:pPr>
          </w:p>
        </w:tc>
        <w:tc>
          <w:tcPr>
            <w:tcW w:w="342" w:type="dxa"/>
          </w:tcPr>
          <w:p w14:paraId="02AC423F" w14:textId="77777777" w:rsidR="00276E84" w:rsidRPr="005D5A7E" w:rsidRDefault="00276E84" w:rsidP="00EA0D09">
            <w:pPr>
              <w:spacing w:after="0" w:line="240" w:lineRule="auto"/>
              <w:jc w:val="center"/>
              <w:rPr>
                <w:rFonts w:ascii="Arial" w:hAnsi="Arial" w:cs="Arial"/>
                <w:sz w:val="18"/>
                <w:szCs w:val="18"/>
                <w:lang w:val="es-ES_tradnl"/>
              </w:rPr>
            </w:pPr>
          </w:p>
        </w:tc>
        <w:tc>
          <w:tcPr>
            <w:tcW w:w="339" w:type="dxa"/>
          </w:tcPr>
          <w:p w14:paraId="25762435"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057DD5F"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05D4675F"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08E6388"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318D1ED7"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0DE4EE0F"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228D61A9"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 xml:space="preserve">US$20.000 </w:t>
            </w:r>
            <w:proofErr w:type="gramStart"/>
            <w:r w:rsidRPr="005D5A7E">
              <w:rPr>
                <w:rFonts w:ascii="Arial" w:hAnsi="Arial" w:cs="Arial"/>
                <w:sz w:val="18"/>
                <w:szCs w:val="18"/>
                <w:lang w:val="es-ES_tradnl"/>
              </w:rPr>
              <w:t>imputado ejecución</w:t>
            </w:r>
            <w:proofErr w:type="gramEnd"/>
          </w:p>
        </w:tc>
        <w:tc>
          <w:tcPr>
            <w:tcW w:w="1337" w:type="dxa"/>
          </w:tcPr>
          <w:p w14:paraId="24E84A51"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Organismo Ejecutor</w:t>
            </w:r>
          </w:p>
        </w:tc>
        <w:tc>
          <w:tcPr>
            <w:tcW w:w="1097" w:type="dxa"/>
          </w:tcPr>
          <w:p w14:paraId="7E77C88F"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Recursos Organismo Ejecutor</w:t>
            </w:r>
          </w:p>
        </w:tc>
      </w:tr>
      <w:tr w:rsidR="00276E84" w:rsidRPr="005D5A7E" w14:paraId="0DC85E17" w14:textId="77777777" w:rsidTr="00674717">
        <w:trPr>
          <w:jc w:val="right"/>
        </w:trPr>
        <w:tc>
          <w:tcPr>
            <w:tcW w:w="1248" w:type="dxa"/>
          </w:tcPr>
          <w:p w14:paraId="042CB879" w14:textId="77777777"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t>Auditorias</w:t>
            </w:r>
          </w:p>
        </w:tc>
        <w:tc>
          <w:tcPr>
            <w:tcW w:w="342" w:type="dxa"/>
          </w:tcPr>
          <w:p w14:paraId="1B6D724D" w14:textId="77777777" w:rsidR="00276E84" w:rsidRPr="005D5A7E" w:rsidRDefault="00276E84" w:rsidP="00EA0D09">
            <w:pPr>
              <w:spacing w:after="0" w:line="240" w:lineRule="auto"/>
              <w:jc w:val="center"/>
              <w:rPr>
                <w:rFonts w:ascii="Arial" w:hAnsi="Arial" w:cs="Arial"/>
                <w:sz w:val="18"/>
                <w:szCs w:val="18"/>
                <w:lang w:val="es-ES_tradnl"/>
              </w:rPr>
            </w:pPr>
          </w:p>
        </w:tc>
        <w:tc>
          <w:tcPr>
            <w:tcW w:w="342" w:type="dxa"/>
          </w:tcPr>
          <w:p w14:paraId="50C6B682"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9" w:type="dxa"/>
          </w:tcPr>
          <w:p w14:paraId="72547E74"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2E841131"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1B9451C1"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2411217F"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337" w:type="dxa"/>
          </w:tcPr>
          <w:p w14:paraId="403ECA72"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3E951ED"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68F8DB1E"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US$20.000 por año</w:t>
            </w:r>
          </w:p>
        </w:tc>
        <w:tc>
          <w:tcPr>
            <w:tcW w:w="1337" w:type="dxa"/>
            <w:tcBorders>
              <w:bottom w:val="single" w:sz="4" w:space="0" w:color="auto"/>
            </w:tcBorders>
          </w:tcPr>
          <w:p w14:paraId="2DFB0EED"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Organismo Ejecutor</w:t>
            </w:r>
          </w:p>
        </w:tc>
        <w:tc>
          <w:tcPr>
            <w:tcW w:w="1097" w:type="dxa"/>
            <w:gridSpan w:val="2"/>
            <w:tcBorders>
              <w:bottom w:val="single" w:sz="4" w:space="0" w:color="auto"/>
            </w:tcBorders>
          </w:tcPr>
          <w:p w14:paraId="13786BB3"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Proyecto</w:t>
            </w:r>
          </w:p>
        </w:tc>
      </w:tr>
      <w:tr w:rsidR="00276E84" w:rsidRPr="005D5A7E" w14:paraId="79D253AC" w14:textId="77777777" w:rsidTr="00674717">
        <w:trPr>
          <w:jc w:val="right"/>
        </w:trPr>
        <w:tc>
          <w:tcPr>
            <w:tcW w:w="1248" w:type="dxa"/>
          </w:tcPr>
          <w:p w14:paraId="5ACE4456" w14:textId="77777777"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t>Evaluación: Recolección y análisis de información adicional</w:t>
            </w:r>
          </w:p>
        </w:tc>
        <w:tc>
          <w:tcPr>
            <w:tcW w:w="342" w:type="dxa"/>
          </w:tcPr>
          <w:p w14:paraId="1933FB0C" w14:textId="77777777" w:rsidR="00276E84" w:rsidRPr="005D5A7E" w:rsidRDefault="00276E84" w:rsidP="00EA0D09">
            <w:pPr>
              <w:spacing w:after="0" w:line="240" w:lineRule="auto"/>
              <w:jc w:val="center"/>
              <w:rPr>
                <w:rFonts w:ascii="Arial" w:hAnsi="Arial" w:cs="Arial"/>
                <w:sz w:val="18"/>
                <w:szCs w:val="18"/>
                <w:lang w:val="es-ES_tradnl"/>
              </w:rPr>
            </w:pPr>
          </w:p>
        </w:tc>
        <w:tc>
          <w:tcPr>
            <w:tcW w:w="342" w:type="dxa"/>
          </w:tcPr>
          <w:p w14:paraId="7A32CA7B" w14:textId="77777777" w:rsidR="00276E84" w:rsidRPr="005D5A7E" w:rsidRDefault="00276E84" w:rsidP="00EA0D09">
            <w:pPr>
              <w:spacing w:after="0" w:line="240" w:lineRule="auto"/>
              <w:jc w:val="center"/>
              <w:rPr>
                <w:rFonts w:ascii="Arial" w:hAnsi="Arial" w:cs="Arial"/>
                <w:sz w:val="18"/>
                <w:szCs w:val="18"/>
                <w:lang w:val="es-ES_tradnl"/>
              </w:rPr>
            </w:pPr>
          </w:p>
        </w:tc>
        <w:tc>
          <w:tcPr>
            <w:tcW w:w="339" w:type="dxa"/>
          </w:tcPr>
          <w:p w14:paraId="098EC9B2"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5DC72A0"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35265079"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19E9FE76"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0D3B9CD"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158BCB83"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2F0B127E"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US$5.000</w:t>
            </w:r>
          </w:p>
        </w:tc>
        <w:tc>
          <w:tcPr>
            <w:tcW w:w="1337" w:type="dxa"/>
            <w:tcBorders>
              <w:bottom w:val="single" w:sz="4" w:space="0" w:color="auto"/>
            </w:tcBorders>
          </w:tcPr>
          <w:p w14:paraId="56D14490"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Consultor</w:t>
            </w:r>
          </w:p>
        </w:tc>
        <w:tc>
          <w:tcPr>
            <w:tcW w:w="1097" w:type="dxa"/>
            <w:gridSpan w:val="2"/>
            <w:tcBorders>
              <w:bottom w:val="single" w:sz="4" w:space="0" w:color="auto"/>
            </w:tcBorders>
          </w:tcPr>
          <w:p w14:paraId="35402B85"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Proyecto</w:t>
            </w:r>
          </w:p>
        </w:tc>
      </w:tr>
      <w:tr w:rsidR="00276E84" w:rsidRPr="005D5A7E" w14:paraId="7AB7763E" w14:textId="77777777" w:rsidTr="00674717">
        <w:trPr>
          <w:jc w:val="right"/>
        </w:trPr>
        <w:tc>
          <w:tcPr>
            <w:tcW w:w="1248" w:type="dxa"/>
          </w:tcPr>
          <w:p w14:paraId="14E0DCD5" w14:textId="6D448CCB"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lastRenderedPageBreak/>
              <w:t>Evaluación Final: Costo-Beneficio Ex</w:t>
            </w:r>
            <w:r w:rsidR="00624A3A" w:rsidRPr="005D5A7E">
              <w:rPr>
                <w:rFonts w:ascii="Arial" w:hAnsi="Arial" w:cs="Arial"/>
                <w:sz w:val="18"/>
                <w:szCs w:val="18"/>
                <w:lang w:val="es-ES_tradnl"/>
              </w:rPr>
              <w:t> </w:t>
            </w:r>
            <w:r w:rsidRPr="005D5A7E">
              <w:rPr>
                <w:rFonts w:ascii="Arial" w:hAnsi="Arial" w:cs="Arial"/>
                <w:sz w:val="18"/>
                <w:szCs w:val="18"/>
                <w:lang w:val="es-ES_tradnl"/>
              </w:rPr>
              <w:t>post</w:t>
            </w:r>
          </w:p>
        </w:tc>
        <w:tc>
          <w:tcPr>
            <w:tcW w:w="342" w:type="dxa"/>
          </w:tcPr>
          <w:p w14:paraId="245CCA68" w14:textId="77777777" w:rsidR="00276E84" w:rsidRPr="005D5A7E" w:rsidRDefault="00276E84" w:rsidP="00EA0D09">
            <w:pPr>
              <w:spacing w:after="0" w:line="240" w:lineRule="auto"/>
              <w:jc w:val="center"/>
              <w:rPr>
                <w:rFonts w:ascii="Arial" w:hAnsi="Arial" w:cs="Arial"/>
                <w:sz w:val="18"/>
                <w:szCs w:val="18"/>
                <w:lang w:val="es-ES_tradnl"/>
              </w:rPr>
            </w:pPr>
          </w:p>
        </w:tc>
        <w:tc>
          <w:tcPr>
            <w:tcW w:w="342" w:type="dxa"/>
          </w:tcPr>
          <w:p w14:paraId="16CDB633" w14:textId="77777777" w:rsidR="00276E84" w:rsidRPr="005D5A7E" w:rsidRDefault="00276E84" w:rsidP="00EA0D09">
            <w:pPr>
              <w:spacing w:after="0" w:line="240" w:lineRule="auto"/>
              <w:jc w:val="center"/>
              <w:rPr>
                <w:rFonts w:ascii="Arial" w:hAnsi="Arial" w:cs="Arial"/>
                <w:sz w:val="18"/>
                <w:szCs w:val="18"/>
                <w:lang w:val="es-ES_tradnl"/>
              </w:rPr>
            </w:pPr>
          </w:p>
        </w:tc>
        <w:tc>
          <w:tcPr>
            <w:tcW w:w="339" w:type="dxa"/>
          </w:tcPr>
          <w:p w14:paraId="6CD381C4"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092621BC"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16E8E192"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7F226152"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64FC8B56"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77A4885"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393CEDD5"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US$15.000</w:t>
            </w:r>
          </w:p>
        </w:tc>
        <w:tc>
          <w:tcPr>
            <w:tcW w:w="1337" w:type="dxa"/>
            <w:tcBorders>
              <w:bottom w:val="single" w:sz="4" w:space="0" w:color="auto"/>
            </w:tcBorders>
          </w:tcPr>
          <w:p w14:paraId="717CE436"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Consultor</w:t>
            </w:r>
          </w:p>
        </w:tc>
        <w:tc>
          <w:tcPr>
            <w:tcW w:w="1097" w:type="dxa"/>
            <w:gridSpan w:val="2"/>
            <w:tcBorders>
              <w:bottom w:val="single" w:sz="4" w:space="0" w:color="auto"/>
            </w:tcBorders>
          </w:tcPr>
          <w:p w14:paraId="5F4BD1AB"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Proyecto</w:t>
            </w:r>
          </w:p>
        </w:tc>
      </w:tr>
      <w:tr w:rsidR="00276E84" w:rsidRPr="005D5A7E" w14:paraId="1D5CB432" w14:textId="77777777" w:rsidTr="00674717">
        <w:trPr>
          <w:jc w:val="right"/>
        </w:trPr>
        <w:tc>
          <w:tcPr>
            <w:tcW w:w="1248" w:type="dxa"/>
          </w:tcPr>
          <w:p w14:paraId="6B4022A7" w14:textId="77777777" w:rsidR="00276E84" w:rsidRPr="005D5A7E" w:rsidRDefault="00276E84" w:rsidP="00EA0D09">
            <w:pPr>
              <w:spacing w:after="0" w:line="240" w:lineRule="auto"/>
              <w:rPr>
                <w:rFonts w:ascii="Arial" w:hAnsi="Arial" w:cs="Arial"/>
                <w:sz w:val="18"/>
                <w:szCs w:val="18"/>
                <w:lang w:val="es-ES_tradnl"/>
              </w:rPr>
            </w:pPr>
            <w:r w:rsidRPr="005D5A7E">
              <w:rPr>
                <w:rFonts w:ascii="Arial" w:hAnsi="Arial" w:cs="Arial"/>
                <w:sz w:val="18"/>
                <w:szCs w:val="18"/>
                <w:lang w:val="es-ES_tradnl"/>
              </w:rPr>
              <w:t>Distribución y discusión de la de los resultados de la evaluación</w:t>
            </w:r>
          </w:p>
        </w:tc>
        <w:tc>
          <w:tcPr>
            <w:tcW w:w="342" w:type="dxa"/>
          </w:tcPr>
          <w:p w14:paraId="09CA1797" w14:textId="77777777" w:rsidR="00276E84" w:rsidRPr="005D5A7E" w:rsidRDefault="00276E84" w:rsidP="00EA0D09">
            <w:pPr>
              <w:spacing w:after="0" w:line="240" w:lineRule="auto"/>
              <w:jc w:val="center"/>
              <w:rPr>
                <w:rFonts w:ascii="Arial" w:hAnsi="Arial" w:cs="Arial"/>
                <w:sz w:val="18"/>
                <w:szCs w:val="18"/>
                <w:lang w:val="es-ES_tradnl"/>
              </w:rPr>
            </w:pPr>
          </w:p>
        </w:tc>
        <w:tc>
          <w:tcPr>
            <w:tcW w:w="342" w:type="dxa"/>
          </w:tcPr>
          <w:p w14:paraId="28F7AA76" w14:textId="77777777" w:rsidR="00276E84" w:rsidRPr="005D5A7E" w:rsidRDefault="00276E84" w:rsidP="00EA0D09">
            <w:pPr>
              <w:spacing w:after="0" w:line="240" w:lineRule="auto"/>
              <w:jc w:val="center"/>
              <w:rPr>
                <w:rFonts w:ascii="Arial" w:hAnsi="Arial" w:cs="Arial"/>
                <w:sz w:val="18"/>
                <w:szCs w:val="18"/>
                <w:lang w:val="es-ES_tradnl"/>
              </w:rPr>
            </w:pPr>
          </w:p>
        </w:tc>
        <w:tc>
          <w:tcPr>
            <w:tcW w:w="339" w:type="dxa"/>
          </w:tcPr>
          <w:p w14:paraId="405349F5"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564914B8"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4CACB314"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185EF71C"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0E3AB5C8" w14:textId="77777777" w:rsidR="00276E84" w:rsidRPr="005D5A7E" w:rsidRDefault="00276E84" w:rsidP="00EA0D09">
            <w:pPr>
              <w:spacing w:after="0" w:line="240" w:lineRule="auto"/>
              <w:jc w:val="center"/>
              <w:rPr>
                <w:rFonts w:ascii="Arial" w:hAnsi="Arial" w:cs="Arial"/>
                <w:sz w:val="18"/>
                <w:szCs w:val="18"/>
                <w:lang w:val="es-ES_tradnl"/>
              </w:rPr>
            </w:pPr>
          </w:p>
        </w:tc>
        <w:tc>
          <w:tcPr>
            <w:tcW w:w="337" w:type="dxa"/>
          </w:tcPr>
          <w:p w14:paraId="7D5C6D81"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X</w:t>
            </w:r>
          </w:p>
        </w:tc>
        <w:tc>
          <w:tcPr>
            <w:tcW w:w="1943" w:type="dxa"/>
          </w:tcPr>
          <w:p w14:paraId="5DE1E260"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US$5.000</w:t>
            </w:r>
          </w:p>
        </w:tc>
        <w:tc>
          <w:tcPr>
            <w:tcW w:w="1337" w:type="dxa"/>
            <w:tcBorders>
              <w:bottom w:val="single" w:sz="4" w:space="0" w:color="auto"/>
            </w:tcBorders>
          </w:tcPr>
          <w:p w14:paraId="3DB66819" w14:textId="40032FFD"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MEF/BID</w:t>
            </w:r>
          </w:p>
        </w:tc>
        <w:tc>
          <w:tcPr>
            <w:tcW w:w="1097" w:type="dxa"/>
            <w:gridSpan w:val="2"/>
            <w:tcBorders>
              <w:bottom w:val="single" w:sz="4" w:space="0" w:color="auto"/>
            </w:tcBorders>
          </w:tcPr>
          <w:p w14:paraId="19C45E27" w14:textId="77777777" w:rsidR="00276E84" w:rsidRPr="005D5A7E" w:rsidRDefault="00276E84"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Recursos Organismo Ejecutor / BID</w:t>
            </w:r>
          </w:p>
        </w:tc>
      </w:tr>
      <w:tr w:rsidR="003A4AA3" w:rsidRPr="005D5A7E" w14:paraId="5C890556" w14:textId="77777777" w:rsidTr="00674717">
        <w:trPr>
          <w:jc w:val="right"/>
        </w:trPr>
        <w:tc>
          <w:tcPr>
            <w:tcW w:w="1248" w:type="dxa"/>
          </w:tcPr>
          <w:p w14:paraId="631F4850" w14:textId="77777777" w:rsidR="003A4AA3" w:rsidRPr="005D5A7E" w:rsidRDefault="003A4AA3" w:rsidP="00EA0D09">
            <w:pPr>
              <w:spacing w:after="0" w:line="240" w:lineRule="auto"/>
              <w:rPr>
                <w:rFonts w:ascii="Arial" w:hAnsi="Arial" w:cs="Arial"/>
                <w:sz w:val="18"/>
                <w:szCs w:val="18"/>
                <w:lang w:val="es-ES_tradnl"/>
              </w:rPr>
            </w:pPr>
          </w:p>
        </w:tc>
        <w:tc>
          <w:tcPr>
            <w:tcW w:w="342" w:type="dxa"/>
          </w:tcPr>
          <w:p w14:paraId="422616E1" w14:textId="77777777" w:rsidR="003A4AA3" w:rsidRPr="005D5A7E" w:rsidRDefault="003A4AA3" w:rsidP="00EA0D09">
            <w:pPr>
              <w:spacing w:after="0" w:line="240" w:lineRule="auto"/>
              <w:jc w:val="center"/>
              <w:rPr>
                <w:rFonts w:ascii="Arial" w:hAnsi="Arial" w:cs="Arial"/>
                <w:sz w:val="18"/>
                <w:szCs w:val="18"/>
                <w:lang w:val="es-ES_tradnl"/>
              </w:rPr>
            </w:pPr>
          </w:p>
        </w:tc>
        <w:tc>
          <w:tcPr>
            <w:tcW w:w="342" w:type="dxa"/>
          </w:tcPr>
          <w:p w14:paraId="4A488C35" w14:textId="77777777" w:rsidR="003A4AA3" w:rsidRPr="005D5A7E" w:rsidRDefault="003A4AA3" w:rsidP="00EA0D09">
            <w:pPr>
              <w:spacing w:after="0" w:line="240" w:lineRule="auto"/>
              <w:jc w:val="center"/>
              <w:rPr>
                <w:rFonts w:ascii="Arial" w:hAnsi="Arial" w:cs="Arial"/>
                <w:sz w:val="18"/>
                <w:szCs w:val="18"/>
                <w:lang w:val="es-ES_tradnl"/>
              </w:rPr>
            </w:pPr>
          </w:p>
        </w:tc>
        <w:tc>
          <w:tcPr>
            <w:tcW w:w="339" w:type="dxa"/>
          </w:tcPr>
          <w:p w14:paraId="5C379841" w14:textId="77777777" w:rsidR="003A4AA3" w:rsidRPr="005D5A7E" w:rsidRDefault="003A4AA3" w:rsidP="00EA0D09">
            <w:pPr>
              <w:spacing w:after="0" w:line="240" w:lineRule="auto"/>
              <w:jc w:val="center"/>
              <w:rPr>
                <w:rFonts w:ascii="Arial" w:hAnsi="Arial" w:cs="Arial"/>
                <w:sz w:val="18"/>
                <w:szCs w:val="18"/>
                <w:lang w:val="es-ES_tradnl"/>
              </w:rPr>
            </w:pPr>
          </w:p>
        </w:tc>
        <w:tc>
          <w:tcPr>
            <w:tcW w:w="337" w:type="dxa"/>
          </w:tcPr>
          <w:p w14:paraId="5BD8EEFF" w14:textId="77777777" w:rsidR="003A4AA3" w:rsidRPr="005D5A7E" w:rsidRDefault="003A4AA3" w:rsidP="00EA0D09">
            <w:pPr>
              <w:spacing w:after="0" w:line="240" w:lineRule="auto"/>
              <w:jc w:val="center"/>
              <w:rPr>
                <w:rFonts w:ascii="Arial" w:hAnsi="Arial" w:cs="Arial"/>
                <w:sz w:val="18"/>
                <w:szCs w:val="18"/>
                <w:lang w:val="es-ES_tradnl"/>
              </w:rPr>
            </w:pPr>
          </w:p>
        </w:tc>
        <w:tc>
          <w:tcPr>
            <w:tcW w:w="337" w:type="dxa"/>
          </w:tcPr>
          <w:p w14:paraId="2C55905E" w14:textId="77777777" w:rsidR="003A4AA3" w:rsidRPr="005D5A7E" w:rsidRDefault="003A4AA3" w:rsidP="00EA0D09">
            <w:pPr>
              <w:spacing w:after="0" w:line="240" w:lineRule="auto"/>
              <w:jc w:val="center"/>
              <w:rPr>
                <w:rFonts w:ascii="Arial" w:hAnsi="Arial" w:cs="Arial"/>
                <w:sz w:val="18"/>
                <w:szCs w:val="18"/>
                <w:lang w:val="es-ES_tradnl"/>
              </w:rPr>
            </w:pPr>
          </w:p>
        </w:tc>
        <w:tc>
          <w:tcPr>
            <w:tcW w:w="337" w:type="dxa"/>
          </w:tcPr>
          <w:p w14:paraId="699036EB" w14:textId="77777777" w:rsidR="003A4AA3" w:rsidRPr="005D5A7E" w:rsidRDefault="003A4AA3" w:rsidP="00EA0D09">
            <w:pPr>
              <w:spacing w:after="0" w:line="240" w:lineRule="auto"/>
              <w:jc w:val="center"/>
              <w:rPr>
                <w:rFonts w:ascii="Arial" w:hAnsi="Arial" w:cs="Arial"/>
                <w:sz w:val="18"/>
                <w:szCs w:val="18"/>
                <w:lang w:val="es-ES_tradnl"/>
              </w:rPr>
            </w:pPr>
          </w:p>
        </w:tc>
        <w:tc>
          <w:tcPr>
            <w:tcW w:w="337" w:type="dxa"/>
          </w:tcPr>
          <w:p w14:paraId="5C97CE3B" w14:textId="77777777" w:rsidR="003A4AA3" w:rsidRPr="005D5A7E" w:rsidRDefault="003A4AA3" w:rsidP="00EA0D09">
            <w:pPr>
              <w:spacing w:after="0" w:line="240" w:lineRule="auto"/>
              <w:jc w:val="center"/>
              <w:rPr>
                <w:rFonts w:ascii="Arial" w:hAnsi="Arial" w:cs="Arial"/>
                <w:sz w:val="18"/>
                <w:szCs w:val="18"/>
                <w:lang w:val="es-ES_tradnl"/>
              </w:rPr>
            </w:pPr>
          </w:p>
        </w:tc>
        <w:tc>
          <w:tcPr>
            <w:tcW w:w="337" w:type="dxa"/>
          </w:tcPr>
          <w:p w14:paraId="46CF86BF" w14:textId="77777777" w:rsidR="003A4AA3" w:rsidRPr="005D5A7E" w:rsidRDefault="003A4AA3" w:rsidP="00EA0D09">
            <w:pPr>
              <w:spacing w:after="0" w:line="240" w:lineRule="auto"/>
              <w:jc w:val="center"/>
              <w:rPr>
                <w:rFonts w:ascii="Arial" w:hAnsi="Arial" w:cs="Arial"/>
                <w:sz w:val="18"/>
                <w:szCs w:val="18"/>
                <w:lang w:val="es-ES_tradnl"/>
              </w:rPr>
            </w:pPr>
          </w:p>
        </w:tc>
        <w:tc>
          <w:tcPr>
            <w:tcW w:w="1943" w:type="dxa"/>
          </w:tcPr>
          <w:p w14:paraId="22713B02" w14:textId="5E1083C7" w:rsidR="003A4AA3" w:rsidRPr="005D5A7E" w:rsidRDefault="003A4AA3" w:rsidP="00EA0D09">
            <w:pPr>
              <w:spacing w:after="0" w:line="240" w:lineRule="auto"/>
              <w:jc w:val="center"/>
              <w:rPr>
                <w:rFonts w:ascii="Arial" w:hAnsi="Arial" w:cs="Arial"/>
                <w:sz w:val="18"/>
                <w:szCs w:val="18"/>
                <w:lang w:val="es-ES_tradnl"/>
              </w:rPr>
            </w:pPr>
            <w:r w:rsidRPr="005D5A7E">
              <w:rPr>
                <w:rFonts w:ascii="Arial" w:hAnsi="Arial" w:cs="Arial"/>
                <w:sz w:val="18"/>
                <w:szCs w:val="18"/>
                <w:lang w:val="es-ES_tradnl"/>
              </w:rPr>
              <w:t>US$145.000</w:t>
            </w:r>
          </w:p>
        </w:tc>
        <w:tc>
          <w:tcPr>
            <w:tcW w:w="1337" w:type="dxa"/>
            <w:tcBorders>
              <w:bottom w:val="single" w:sz="4" w:space="0" w:color="auto"/>
            </w:tcBorders>
          </w:tcPr>
          <w:p w14:paraId="6CF18B99" w14:textId="77777777" w:rsidR="003A4AA3" w:rsidRPr="005D5A7E" w:rsidRDefault="003A4AA3" w:rsidP="00EA0D09">
            <w:pPr>
              <w:spacing w:after="0" w:line="240" w:lineRule="auto"/>
              <w:jc w:val="center"/>
              <w:rPr>
                <w:rFonts w:ascii="Arial" w:hAnsi="Arial" w:cs="Arial"/>
                <w:sz w:val="18"/>
                <w:szCs w:val="18"/>
                <w:lang w:val="es-ES_tradnl"/>
              </w:rPr>
            </w:pPr>
          </w:p>
        </w:tc>
        <w:tc>
          <w:tcPr>
            <w:tcW w:w="1097" w:type="dxa"/>
            <w:gridSpan w:val="2"/>
            <w:tcBorders>
              <w:bottom w:val="single" w:sz="4" w:space="0" w:color="auto"/>
            </w:tcBorders>
          </w:tcPr>
          <w:p w14:paraId="09855E8D" w14:textId="77777777" w:rsidR="003A4AA3" w:rsidRPr="005D5A7E" w:rsidRDefault="003A4AA3" w:rsidP="00EA0D09">
            <w:pPr>
              <w:spacing w:after="0" w:line="240" w:lineRule="auto"/>
              <w:jc w:val="center"/>
              <w:rPr>
                <w:rFonts w:ascii="Arial" w:hAnsi="Arial" w:cs="Arial"/>
                <w:sz w:val="18"/>
                <w:szCs w:val="18"/>
                <w:lang w:val="es-ES_tradnl"/>
              </w:rPr>
            </w:pPr>
          </w:p>
        </w:tc>
      </w:tr>
    </w:tbl>
    <w:p w14:paraId="7286E9A5" w14:textId="6CA45775" w:rsidR="009A6CCF" w:rsidRPr="005D5A7E" w:rsidRDefault="009A6CCF" w:rsidP="009A6CCF">
      <w:pPr>
        <w:pStyle w:val="Chapter"/>
        <w:spacing w:before="120"/>
        <w:rPr>
          <w:rFonts w:ascii="Arial" w:hAnsi="Arial" w:cs="Arial"/>
          <w:sz w:val="22"/>
          <w:szCs w:val="22"/>
          <w:lang w:val="es-ES_tradnl"/>
        </w:rPr>
      </w:pPr>
      <w:bookmarkStart w:id="16" w:name="_Toc525949979"/>
      <w:r w:rsidRPr="005D5A7E">
        <w:rPr>
          <w:rFonts w:ascii="Arial" w:hAnsi="Arial" w:cs="Arial"/>
          <w:sz w:val="22"/>
          <w:szCs w:val="22"/>
          <w:lang w:val="es-ES_tradnl"/>
        </w:rPr>
        <w:t>Evaluación</w:t>
      </w:r>
      <w:bookmarkEnd w:id="13"/>
      <w:bookmarkEnd w:id="14"/>
      <w:bookmarkEnd w:id="15"/>
      <w:bookmarkEnd w:id="16"/>
    </w:p>
    <w:p w14:paraId="3CBE5C86" w14:textId="77777777" w:rsidR="009A6CCF" w:rsidRPr="005D5A7E" w:rsidRDefault="009A6CCF" w:rsidP="003A4AA3">
      <w:pPr>
        <w:pStyle w:val="Paragraph"/>
        <w:numPr>
          <w:ilvl w:val="0"/>
          <w:numId w:val="12"/>
        </w:numPr>
        <w:ind w:left="720" w:hanging="720"/>
        <w:rPr>
          <w:rFonts w:ascii="Arial" w:hAnsi="Arial" w:cs="Arial"/>
          <w:b/>
          <w:sz w:val="22"/>
          <w:szCs w:val="22"/>
          <w:lang w:val="es-ES_tradnl"/>
        </w:rPr>
      </w:pPr>
      <w:r w:rsidRPr="005D5A7E">
        <w:rPr>
          <w:rFonts w:ascii="Arial" w:hAnsi="Arial" w:cs="Arial"/>
          <w:b/>
          <w:sz w:val="22"/>
          <w:szCs w:val="22"/>
          <w:lang w:val="es-ES_tradnl"/>
        </w:rPr>
        <w:t>Preguntas de evaluación</w:t>
      </w:r>
    </w:p>
    <w:p w14:paraId="44E83453" w14:textId="77777777" w:rsidR="004D2AE4" w:rsidRPr="005D5A7E" w:rsidRDefault="009A6CCF" w:rsidP="004D2AE4">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La presente sección desarrollará el plan para la implementación de la evaluación del proyecto. Da</w:t>
      </w:r>
      <w:r w:rsidR="00B90C9B" w:rsidRPr="005D5A7E">
        <w:rPr>
          <w:rFonts w:ascii="Arial" w:hAnsi="Arial" w:cs="Arial"/>
          <w:sz w:val="22"/>
          <w:szCs w:val="22"/>
          <w:lang w:val="es-ES_tradnl"/>
        </w:rPr>
        <w:t>das</w:t>
      </w:r>
      <w:r w:rsidRPr="005D5A7E">
        <w:rPr>
          <w:rFonts w:ascii="Arial" w:hAnsi="Arial" w:cs="Arial"/>
          <w:sz w:val="22"/>
          <w:szCs w:val="22"/>
          <w:lang w:val="es-ES_tradnl"/>
        </w:rPr>
        <w:t xml:space="preserve"> las características de la operación la limitada disponibilidad de información secundaria complementaria de los potenciales beneficiarios a nivel micro, no </w:t>
      </w:r>
      <w:r w:rsidR="004D2AE4" w:rsidRPr="005D5A7E">
        <w:rPr>
          <w:rFonts w:ascii="Arial" w:hAnsi="Arial" w:cs="Arial"/>
          <w:sz w:val="22"/>
          <w:szCs w:val="22"/>
          <w:lang w:val="es-ES_tradnl"/>
        </w:rPr>
        <w:t>resulta adecuado plantear estrategias de evaluación que descansen en una recolección amplia y detallada de información tanto de los beneficiarios como de un grupo de control.</w:t>
      </w:r>
      <w:r w:rsidR="004D2AE4" w:rsidRPr="005D5A7E">
        <w:rPr>
          <w:rStyle w:val="FootnoteReference"/>
          <w:rFonts w:ascii="Arial" w:hAnsi="Arial" w:cs="Arial"/>
          <w:sz w:val="22"/>
          <w:szCs w:val="22"/>
          <w:lang w:val="es-ES_tradnl"/>
        </w:rPr>
        <w:footnoteReference w:id="6"/>
      </w:r>
      <w:r w:rsidR="004D2AE4" w:rsidRPr="005D5A7E">
        <w:rPr>
          <w:rFonts w:ascii="Arial" w:hAnsi="Arial" w:cs="Arial"/>
          <w:sz w:val="22"/>
          <w:szCs w:val="22"/>
          <w:lang w:val="es-ES_tradnl"/>
        </w:rPr>
        <w:t xml:space="preserve"> A su vez, aunque se ha hecho un esfuerzo para aproximar los impactos esperados en base a información existente y a consultas con el sector privado, sigue existiendo incertidumbre sobre la distribución de resultados y características lo que dificulta postular a priori tamaños muestrales que provean </w:t>
      </w:r>
      <w:r w:rsidRPr="005D5A7E">
        <w:rPr>
          <w:rFonts w:ascii="Arial" w:hAnsi="Arial" w:cs="Arial"/>
          <w:sz w:val="22"/>
          <w:szCs w:val="22"/>
          <w:lang w:val="es-ES_tradnl"/>
        </w:rPr>
        <w:t xml:space="preserve">adecuado poder estadístico. </w:t>
      </w:r>
    </w:p>
    <w:p w14:paraId="6DF044A3" w14:textId="5C24A5B2" w:rsidR="009A6CCF" w:rsidRPr="005D5A7E" w:rsidRDefault="009A6CCF" w:rsidP="004D2AE4">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 xml:space="preserve">Sin embargo, dado el tipo de información administrativa que se recogerá durante el proceso de monitoreo, y dada la disponibilidad de información agregada del sector, se </w:t>
      </w:r>
      <w:r w:rsidR="004D2AE4" w:rsidRPr="005D5A7E">
        <w:rPr>
          <w:rFonts w:ascii="Arial" w:hAnsi="Arial" w:cs="Arial"/>
          <w:sz w:val="22"/>
          <w:szCs w:val="22"/>
          <w:lang w:val="es-ES_tradnl"/>
        </w:rPr>
        <w:t>considera factible</w:t>
      </w:r>
      <w:r w:rsidR="00A94348" w:rsidRPr="005D5A7E">
        <w:rPr>
          <w:rFonts w:ascii="Arial" w:hAnsi="Arial" w:cs="Arial"/>
          <w:sz w:val="22"/>
          <w:szCs w:val="22"/>
          <w:lang w:val="es-ES_tradnl"/>
        </w:rPr>
        <w:t xml:space="preserve"> llevar a cabo un</w:t>
      </w:r>
      <w:r w:rsidRPr="005D5A7E">
        <w:rPr>
          <w:rFonts w:ascii="Arial" w:hAnsi="Arial" w:cs="Arial"/>
          <w:sz w:val="22"/>
          <w:szCs w:val="22"/>
          <w:lang w:val="es-ES_tradnl"/>
        </w:rPr>
        <w:t xml:space="preserve"> análisis costo-beneficio ex post. Así, las preguntas de evaluación serán las siguientes:</w:t>
      </w:r>
    </w:p>
    <w:p w14:paraId="358617C1" w14:textId="6E3F3E80" w:rsidR="009A6CCF" w:rsidRPr="005D5A7E" w:rsidRDefault="009A6CCF" w:rsidP="00674717">
      <w:pPr>
        <w:pStyle w:val="subpar"/>
        <w:tabs>
          <w:tab w:val="clear" w:pos="2682"/>
        </w:tabs>
        <w:ind w:left="1080" w:hanging="360"/>
        <w:rPr>
          <w:rFonts w:ascii="Arial" w:hAnsi="Arial" w:cs="Arial"/>
          <w:sz w:val="22"/>
          <w:szCs w:val="22"/>
          <w:lang w:val="es-ES_tradnl"/>
        </w:rPr>
      </w:pPr>
      <w:r w:rsidRPr="005D5A7E">
        <w:rPr>
          <w:rFonts w:ascii="Arial" w:hAnsi="Arial" w:cs="Arial"/>
          <w:sz w:val="22"/>
          <w:szCs w:val="22"/>
          <w:lang w:val="es-ES_tradnl"/>
        </w:rPr>
        <w:t>¿Cuál es el valor económico, atribuible al proyecto, que se generó por la adquisición de viviendas po</w:t>
      </w:r>
      <w:r w:rsidR="004D2AE4" w:rsidRPr="005D5A7E">
        <w:rPr>
          <w:rFonts w:ascii="Arial" w:hAnsi="Arial" w:cs="Arial"/>
          <w:sz w:val="22"/>
          <w:szCs w:val="22"/>
          <w:lang w:val="es-ES_tradnl"/>
        </w:rPr>
        <w:t>r parte de los beneficiarios de créditos hipotecarios a personas naturales</w:t>
      </w:r>
      <w:r w:rsidRPr="005D5A7E">
        <w:rPr>
          <w:rFonts w:ascii="Arial" w:hAnsi="Arial" w:cs="Arial"/>
          <w:sz w:val="22"/>
          <w:szCs w:val="22"/>
          <w:lang w:val="es-ES_tradnl"/>
        </w:rPr>
        <w:t>?</w:t>
      </w:r>
    </w:p>
    <w:p w14:paraId="57302CBB" w14:textId="77777777" w:rsidR="009A6CCF" w:rsidRPr="005D5A7E" w:rsidRDefault="009A6CCF" w:rsidP="00674717">
      <w:pPr>
        <w:pStyle w:val="subpar"/>
        <w:tabs>
          <w:tab w:val="clear" w:pos="2682"/>
        </w:tabs>
        <w:ind w:left="1080" w:hanging="360"/>
        <w:rPr>
          <w:rFonts w:ascii="Arial" w:hAnsi="Arial" w:cs="Arial"/>
          <w:sz w:val="22"/>
          <w:szCs w:val="22"/>
          <w:lang w:val="es-ES_tradnl"/>
        </w:rPr>
      </w:pPr>
      <w:r w:rsidRPr="005D5A7E">
        <w:rPr>
          <w:rFonts w:ascii="Arial" w:hAnsi="Arial" w:cs="Arial"/>
          <w:sz w:val="22"/>
          <w:szCs w:val="22"/>
          <w:lang w:val="es-ES_tradnl"/>
        </w:rPr>
        <w:t>¿Cuál es el valor económico, atribuible al proyecto, generado por la construcción de nuevas viviendas a través del crédito a desarrolladores?</w:t>
      </w:r>
    </w:p>
    <w:p w14:paraId="6E30E476" w14:textId="77777777" w:rsidR="009A6CCF" w:rsidRPr="005D5A7E" w:rsidRDefault="009A6CCF" w:rsidP="00FA7D4A">
      <w:pPr>
        <w:pStyle w:val="Paragraph"/>
        <w:numPr>
          <w:ilvl w:val="0"/>
          <w:numId w:val="12"/>
        </w:numPr>
        <w:ind w:left="720" w:hanging="720"/>
        <w:rPr>
          <w:rFonts w:ascii="Arial" w:hAnsi="Arial" w:cs="Arial"/>
          <w:b/>
          <w:sz w:val="22"/>
          <w:szCs w:val="22"/>
          <w:lang w:val="es-ES_tradnl"/>
        </w:rPr>
      </w:pPr>
      <w:bookmarkStart w:id="17" w:name="_Toc346643522"/>
      <w:bookmarkStart w:id="18" w:name="_Toc352755943"/>
      <w:bookmarkStart w:id="19" w:name="_Toc352756759"/>
      <w:r w:rsidRPr="005D5A7E">
        <w:rPr>
          <w:rFonts w:ascii="Arial" w:hAnsi="Arial" w:cs="Arial"/>
          <w:b/>
          <w:sz w:val="22"/>
          <w:szCs w:val="22"/>
          <w:lang w:val="es-ES_tradnl"/>
        </w:rPr>
        <w:t>Conocimiento existente</w:t>
      </w:r>
      <w:bookmarkEnd w:id="17"/>
      <w:bookmarkEnd w:id="18"/>
      <w:bookmarkEnd w:id="19"/>
    </w:p>
    <w:p w14:paraId="3B1444CD" w14:textId="1628241C" w:rsidR="009A6CCF" w:rsidRPr="005D5A7E" w:rsidRDefault="009A6CCF" w:rsidP="009A6CCF">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 xml:space="preserve">Respecto a la evidencia empírica del impacto de programas de vivienda, tenemos estudios como los de </w:t>
      </w:r>
      <w:proofErr w:type="spellStart"/>
      <w:r w:rsidRPr="005D5A7E">
        <w:rPr>
          <w:rFonts w:ascii="Arial" w:hAnsi="Arial" w:cs="Arial"/>
          <w:sz w:val="22"/>
          <w:szCs w:val="22"/>
          <w:lang w:val="es-ES_tradnl"/>
        </w:rPr>
        <w:t>Cattaneo</w:t>
      </w:r>
      <w:proofErr w:type="spellEnd"/>
      <w:r w:rsidRPr="005D5A7E">
        <w:rPr>
          <w:rFonts w:ascii="Arial" w:hAnsi="Arial" w:cs="Arial"/>
          <w:sz w:val="22"/>
          <w:szCs w:val="22"/>
          <w:lang w:val="es-ES_tradnl"/>
        </w:rPr>
        <w:t xml:space="preserve"> et al (2009)</w:t>
      </w:r>
      <w:r w:rsidRPr="005D5A7E">
        <w:rPr>
          <w:rStyle w:val="FootnoteReference"/>
          <w:rFonts w:ascii="Arial" w:eastAsiaTheme="majorEastAsia" w:hAnsi="Arial" w:cs="Arial"/>
          <w:sz w:val="22"/>
          <w:szCs w:val="22"/>
          <w:lang w:val="es-ES_tradnl"/>
        </w:rPr>
        <w:footnoteReference w:id="7"/>
      </w:r>
      <w:r w:rsidRPr="005D5A7E">
        <w:rPr>
          <w:rFonts w:ascii="Arial" w:hAnsi="Arial" w:cs="Arial"/>
          <w:sz w:val="22"/>
          <w:szCs w:val="22"/>
          <w:lang w:val="es-ES_tradnl"/>
        </w:rPr>
        <w:t xml:space="preserve"> y Marcano y </w:t>
      </w:r>
      <w:proofErr w:type="spellStart"/>
      <w:r w:rsidRPr="005D5A7E">
        <w:rPr>
          <w:rFonts w:ascii="Arial" w:hAnsi="Arial" w:cs="Arial"/>
          <w:sz w:val="22"/>
          <w:szCs w:val="22"/>
          <w:lang w:val="es-ES_tradnl"/>
        </w:rPr>
        <w:t>Ruprah</w:t>
      </w:r>
      <w:proofErr w:type="spellEnd"/>
      <w:r w:rsidRPr="005D5A7E">
        <w:rPr>
          <w:rFonts w:ascii="Arial" w:hAnsi="Arial" w:cs="Arial"/>
          <w:sz w:val="22"/>
          <w:szCs w:val="22"/>
          <w:lang w:val="es-ES_tradnl"/>
        </w:rPr>
        <w:t xml:space="preserve"> (2007)</w:t>
      </w:r>
      <w:r w:rsidRPr="005D5A7E">
        <w:rPr>
          <w:rStyle w:val="FootnoteReference"/>
          <w:rFonts w:ascii="Arial" w:eastAsiaTheme="majorEastAsia" w:hAnsi="Arial" w:cs="Arial"/>
          <w:sz w:val="22"/>
          <w:szCs w:val="22"/>
          <w:lang w:val="es-ES_tradnl"/>
        </w:rPr>
        <w:footnoteReference w:id="8"/>
      </w:r>
      <w:r w:rsidRPr="005D5A7E">
        <w:rPr>
          <w:rFonts w:ascii="Arial" w:hAnsi="Arial" w:cs="Arial"/>
          <w:sz w:val="22"/>
          <w:szCs w:val="22"/>
          <w:lang w:val="es-ES_tradnl"/>
        </w:rPr>
        <w:t xml:space="preserve">. El primero, encuentra evidencia de impactos positivos sobre la salud de los infantes residentes en viviendas que se beneficiaron de un programa de mejora de suelos </w:t>
      </w:r>
      <w:r w:rsidRPr="005D5A7E">
        <w:rPr>
          <w:rFonts w:ascii="Arial" w:hAnsi="Arial" w:cs="Arial"/>
          <w:sz w:val="22"/>
          <w:szCs w:val="22"/>
          <w:lang w:val="es-ES_tradnl"/>
        </w:rPr>
        <w:lastRenderedPageBreak/>
        <w:t>en México. Asimismo, los adultos residentes experimentaron mejoras en su nivel de bienestar, medido por niveles de satisfacción con su vivienda y calidad de vida, así como con menores niveles de depresión y estrés. El segundo estudio, realizado para un programa de vivienda en Chile, halló impactos positivos sobre la asistencia escolar de los niños residentes de las viviendas beneficiadas, y sobre el acceso a servicios como electricidad, agua potable y desagüe. El estudio también realizó un análisis costo-beneficio que arrojó beneficios netos positivos y significativos (se estimó en 0</w:t>
      </w:r>
      <w:r w:rsidR="00581A0D" w:rsidRPr="005D5A7E">
        <w:rPr>
          <w:rFonts w:ascii="Arial" w:hAnsi="Arial" w:cs="Arial"/>
          <w:sz w:val="22"/>
          <w:szCs w:val="22"/>
          <w:lang w:val="es-ES_tradnl"/>
        </w:rPr>
        <w:t>,</w:t>
      </w:r>
      <w:r w:rsidRPr="005D5A7E">
        <w:rPr>
          <w:rFonts w:ascii="Arial" w:hAnsi="Arial" w:cs="Arial"/>
          <w:sz w:val="22"/>
          <w:szCs w:val="22"/>
          <w:lang w:val="es-ES_tradnl"/>
        </w:rPr>
        <w:t>16% del PIB en 2003).</w:t>
      </w:r>
    </w:p>
    <w:p w14:paraId="13A04DBC" w14:textId="77777777" w:rsidR="009A6CCF" w:rsidRPr="005D5A7E" w:rsidRDefault="009A6CCF" w:rsidP="00FA7D4A">
      <w:pPr>
        <w:pStyle w:val="Paragraph"/>
        <w:numPr>
          <w:ilvl w:val="0"/>
          <w:numId w:val="12"/>
        </w:numPr>
        <w:ind w:left="720" w:hanging="720"/>
        <w:rPr>
          <w:rFonts w:ascii="Arial" w:hAnsi="Arial" w:cs="Arial"/>
          <w:b/>
          <w:sz w:val="22"/>
          <w:szCs w:val="22"/>
          <w:lang w:val="es-ES_tradnl"/>
        </w:rPr>
      </w:pPr>
      <w:r w:rsidRPr="005D5A7E">
        <w:rPr>
          <w:rFonts w:ascii="Arial" w:hAnsi="Arial" w:cs="Arial"/>
          <w:b/>
          <w:sz w:val="22"/>
          <w:szCs w:val="22"/>
          <w:lang w:val="es-ES_tradnl"/>
        </w:rPr>
        <w:t>Indicadores clave de resultados</w:t>
      </w:r>
    </w:p>
    <w:p w14:paraId="07D2CFEF" w14:textId="77777777" w:rsidR="009A6CCF" w:rsidRPr="005D5A7E" w:rsidRDefault="009A6CCF" w:rsidP="009A6CCF">
      <w:pPr>
        <w:pStyle w:val="Paragraph"/>
        <w:tabs>
          <w:tab w:val="clear" w:pos="2736"/>
        </w:tabs>
        <w:ind w:left="720" w:hanging="720"/>
        <w:rPr>
          <w:rFonts w:ascii="Arial" w:hAnsi="Arial" w:cs="Arial"/>
          <w:sz w:val="22"/>
          <w:szCs w:val="22"/>
          <w:lang w:val="es-ES_tradnl"/>
        </w:rPr>
      </w:pPr>
      <w:r w:rsidRPr="005D5A7E">
        <w:rPr>
          <w:rFonts w:ascii="Arial" w:hAnsi="Arial" w:cs="Arial"/>
          <w:sz w:val="22"/>
          <w:szCs w:val="22"/>
          <w:lang w:val="es-ES_tradnl"/>
        </w:rPr>
        <w:t>Los indicadores clave de resultados se encuentran descritos en el Cuadro 1.</w:t>
      </w:r>
    </w:p>
    <w:p w14:paraId="3D7FC4DD" w14:textId="77777777" w:rsidR="009A6CCF" w:rsidRPr="005D5A7E" w:rsidRDefault="009A6CCF" w:rsidP="00FA7D4A">
      <w:pPr>
        <w:pStyle w:val="Paragraph"/>
        <w:numPr>
          <w:ilvl w:val="0"/>
          <w:numId w:val="12"/>
        </w:numPr>
        <w:ind w:left="720" w:hanging="720"/>
        <w:rPr>
          <w:rFonts w:ascii="Arial" w:hAnsi="Arial" w:cs="Arial"/>
          <w:b/>
          <w:sz w:val="22"/>
          <w:szCs w:val="22"/>
          <w:lang w:val="es-ES_tradnl"/>
        </w:rPr>
      </w:pPr>
      <w:bookmarkStart w:id="20" w:name="_Toc346643524"/>
      <w:bookmarkStart w:id="21" w:name="_Toc352755945"/>
      <w:bookmarkStart w:id="22" w:name="_Toc352756761"/>
      <w:r w:rsidRPr="005D5A7E">
        <w:rPr>
          <w:rFonts w:ascii="Arial" w:hAnsi="Arial" w:cs="Arial"/>
          <w:b/>
          <w:sz w:val="22"/>
          <w:szCs w:val="22"/>
          <w:lang w:val="es-ES_tradnl"/>
        </w:rPr>
        <w:t>Metodología de evaluación</w:t>
      </w:r>
      <w:bookmarkEnd w:id="20"/>
      <w:bookmarkEnd w:id="21"/>
      <w:bookmarkEnd w:id="22"/>
    </w:p>
    <w:p w14:paraId="69B01F3C" w14:textId="173427C4" w:rsidR="009A6CCF" w:rsidRPr="005D5A7E" w:rsidRDefault="009A6CCF" w:rsidP="009A6CCF">
      <w:pPr>
        <w:pStyle w:val="Paragraph"/>
        <w:tabs>
          <w:tab w:val="clear" w:pos="2736"/>
          <w:tab w:val="num" w:pos="720"/>
        </w:tabs>
        <w:ind w:left="720" w:hanging="720"/>
        <w:rPr>
          <w:rFonts w:ascii="Arial" w:hAnsi="Arial" w:cs="Arial"/>
          <w:sz w:val="22"/>
          <w:szCs w:val="22"/>
          <w:lang w:val="es-ES_tradnl"/>
        </w:rPr>
      </w:pPr>
      <w:r w:rsidRPr="005D5A7E">
        <w:rPr>
          <w:rFonts w:ascii="Arial" w:hAnsi="Arial" w:cs="Arial"/>
          <w:b/>
          <w:sz w:val="22"/>
          <w:szCs w:val="22"/>
          <w:lang w:val="es-ES_tradnl"/>
        </w:rPr>
        <w:t>Costo Beneficio ex post</w:t>
      </w:r>
      <w:r w:rsidRPr="005D5A7E">
        <w:rPr>
          <w:rFonts w:ascii="Arial" w:hAnsi="Arial" w:cs="Arial"/>
          <w:sz w:val="22"/>
          <w:szCs w:val="22"/>
          <w:lang w:val="es-ES_tradnl"/>
        </w:rPr>
        <w:t xml:space="preserve">. Para realizar la evaluación </w:t>
      </w:r>
      <w:proofErr w:type="spellStart"/>
      <w:r w:rsidRPr="005D5A7E">
        <w:rPr>
          <w:rFonts w:ascii="Arial" w:hAnsi="Arial" w:cs="Arial"/>
          <w:sz w:val="22"/>
          <w:szCs w:val="22"/>
          <w:lang w:val="es-ES_tradnl"/>
        </w:rPr>
        <w:t>ex-post</w:t>
      </w:r>
      <w:proofErr w:type="spellEnd"/>
      <w:r w:rsidRPr="005D5A7E">
        <w:rPr>
          <w:rFonts w:ascii="Arial" w:hAnsi="Arial" w:cs="Arial"/>
          <w:sz w:val="22"/>
          <w:szCs w:val="22"/>
          <w:lang w:val="es-ES_tradnl"/>
        </w:rPr>
        <w:t xml:space="preserve"> del </w:t>
      </w:r>
      <w:r w:rsidR="00925B5D" w:rsidRPr="005D5A7E">
        <w:rPr>
          <w:rFonts w:ascii="Arial" w:hAnsi="Arial" w:cs="Arial"/>
          <w:sz w:val="22"/>
          <w:szCs w:val="22"/>
          <w:lang w:val="es-ES_tradnl"/>
        </w:rPr>
        <w:t>p</w:t>
      </w:r>
      <w:r w:rsidRPr="005D5A7E">
        <w:rPr>
          <w:rFonts w:ascii="Arial" w:hAnsi="Arial" w:cs="Arial"/>
          <w:sz w:val="22"/>
          <w:szCs w:val="22"/>
          <w:lang w:val="es-ES_tradnl"/>
        </w:rPr>
        <w:t>royecto se utilizará la misma metodología de costo-beneficio empleada en el Análisis Económico ex ante</w:t>
      </w:r>
      <w:r w:rsidRPr="005D5A7E">
        <w:rPr>
          <w:rStyle w:val="FootnoteReference"/>
          <w:rFonts w:ascii="Arial" w:hAnsi="Arial" w:cs="Arial"/>
          <w:sz w:val="22"/>
          <w:szCs w:val="22"/>
          <w:lang w:val="es-ES_tradnl"/>
        </w:rPr>
        <w:footnoteReference w:id="9"/>
      </w:r>
      <w:r w:rsidRPr="005D5A7E">
        <w:rPr>
          <w:rFonts w:ascii="Arial" w:hAnsi="Arial" w:cs="Arial"/>
          <w:sz w:val="22"/>
          <w:szCs w:val="22"/>
          <w:lang w:val="es-ES_tradnl"/>
        </w:rPr>
        <w:t xml:space="preserve">, pero reemplazando las estimaciones y proyecciones con información recolectada durante la vida del proyecto, cuando la disponibilidad de esta lo permita. Asimismo, se utilizará información adicional actualizada del sector inmobiliario y sistema financiero para poder construir un hipotético escenario que refleje en la mejor medida de lo posible, la situación sin proyecto. </w:t>
      </w:r>
      <w:r w:rsidR="00D07841" w:rsidRPr="005D5A7E">
        <w:rPr>
          <w:rFonts w:ascii="Arial" w:hAnsi="Arial" w:cs="Arial"/>
          <w:sz w:val="22"/>
          <w:szCs w:val="22"/>
          <w:lang w:val="es-ES_tradnl"/>
        </w:rPr>
        <w:t>En particular se actualizar</w:t>
      </w:r>
      <w:r w:rsidR="00581A0D" w:rsidRPr="005D5A7E">
        <w:rPr>
          <w:rFonts w:ascii="Arial" w:hAnsi="Arial" w:cs="Arial"/>
          <w:sz w:val="22"/>
          <w:szCs w:val="22"/>
          <w:lang w:val="es-ES_tradnl"/>
        </w:rPr>
        <w:t>á</w:t>
      </w:r>
      <w:r w:rsidR="00D07841" w:rsidRPr="005D5A7E">
        <w:rPr>
          <w:rFonts w:ascii="Arial" w:hAnsi="Arial" w:cs="Arial"/>
          <w:sz w:val="22"/>
          <w:szCs w:val="22"/>
          <w:lang w:val="es-ES_tradnl"/>
        </w:rPr>
        <w:t>n los valores de:</w:t>
      </w:r>
      <w:r w:rsidR="000728A9" w:rsidRPr="005D5A7E">
        <w:rPr>
          <w:rFonts w:ascii="Arial" w:hAnsi="Arial" w:cs="Arial"/>
          <w:sz w:val="22"/>
          <w:szCs w:val="22"/>
          <w:lang w:val="es-ES_tradnl"/>
        </w:rPr>
        <w:t xml:space="preserve"> (i) crédito en el segmento VIP</w:t>
      </w:r>
      <w:r w:rsidR="00581A0D" w:rsidRPr="005D5A7E">
        <w:rPr>
          <w:rFonts w:ascii="Arial" w:hAnsi="Arial" w:cs="Arial"/>
          <w:sz w:val="22"/>
          <w:szCs w:val="22"/>
          <w:lang w:val="es-ES_tradnl"/>
        </w:rPr>
        <w:t>;</w:t>
      </w:r>
      <w:r w:rsidR="000728A9" w:rsidRPr="005D5A7E">
        <w:rPr>
          <w:rFonts w:ascii="Arial" w:hAnsi="Arial" w:cs="Arial"/>
          <w:sz w:val="22"/>
          <w:szCs w:val="22"/>
          <w:lang w:val="es-ES_tradnl"/>
        </w:rPr>
        <w:t xml:space="preserve"> (</w:t>
      </w:r>
      <w:proofErr w:type="spellStart"/>
      <w:r w:rsidR="00581A0D" w:rsidRPr="005D5A7E">
        <w:rPr>
          <w:rFonts w:ascii="Arial" w:hAnsi="Arial" w:cs="Arial"/>
          <w:sz w:val="22"/>
          <w:szCs w:val="22"/>
          <w:lang w:val="es-ES_tradnl"/>
        </w:rPr>
        <w:t>ii</w:t>
      </w:r>
      <w:proofErr w:type="spellEnd"/>
      <w:r w:rsidR="00581A0D" w:rsidRPr="005D5A7E">
        <w:rPr>
          <w:rFonts w:ascii="Arial" w:hAnsi="Arial" w:cs="Arial"/>
          <w:sz w:val="22"/>
          <w:szCs w:val="22"/>
          <w:lang w:val="es-ES_tradnl"/>
        </w:rPr>
        <w:t>)</w:t>
      </w:r>
      <w:r w:rsidR="000728A9" w:rsidRPr="005D5A7E">
        <w:rPr>
          <w:rFonts w:ascii="Arial" w:hAnsi="Arial" w:cs="Arial"/>
          <w:sz w:val="22"/>
          <w:szCs w:val="22"/>
          <w:lang w:val="es-ES_tradnl"/>
        </w:rPr>
        <w:t xml:space="preserve"> </w:t>
      </w:r>
      <w:r w:rsidR="004331AB" w:rsidRPr="005D5A7E">
        <w:rPr>
          <w:rFonts w:ascii="Arial" w:hAnsi="Arial" w:cs="Arial"/>
          <w:sz w:val="22"/>
          <w:szCs w:val="22"/>
          <w:lang w:val="es-ES_tradnl"/>
        </w:rPr>
        <w:t>relación crédito va</w:t>
      </w:r>
      <w:r w:rsidR="00581A0D" w:rsidRPr="005D5A7E">
        <w:rPr>
          <w:rFonts w:ascii="Arial" w:hAnsi="Arial" w:cs="Arial"/>
          <w:sz w:val="22"/>
          <w:szCs w:val="22"/>
          <w:lang w:val="es-ES_tradnl"/>
        </w:rPr>
        <w:t>l</w:t>
      </w:r>
      <w:r w:rsidR="004331AB" w:rsidRPr="005D5A7E">
        <w:rPr>
          <w:rFonts w:ascii="Arial" w:hAnsi="Arial" w:cs="Arial"/>
          <w:sz w:val="22"/>
          <w:szCs w:val="22"/>
          <w:lang w:val="es-ES_tradnl"/>
        </w:rPr>
        <w:t>or de la vivienda</w:t>
      </w:r>
      <w:r w:rsidR="00581A0D" w:rsidRPr="005D5A7E">
        <w:rPr>
          <w:rFonts w:ascii="Arial" w:hAnsi="Arial" w:cs="Arial"/>
          <w:sz w:val="22"/>
          <w:szCs w:val="22"/>
          <w:lang w:val="es-ES_tradnl"/>
        </w:rPr>
        <w:t>;</w:t>
      </w:r>
      <w:r w:rsidR="004331AB" w:rsidRPr="005D5A7E">
        <w:rPr>
          <w:rFonts w:ascii="Arial" w:hAnsi="Arial" w:cs="Arial"/>
          <w:sz w:val="22"/>
          <w:szCs w:val="22"/>
          <w:lang w:val="es-ES_tradnl"/>
        </w:rPr>
        <w:t xml:space="preserve"> (</w:t>
      </w:r>
      <w:proofErr w:type="spellStart"/>
      <w:r w:rsidR="00581A0D" w:rsidRPr="005D5A7E">
        <w:rPr>
          <w:rFonts w:ascii="Arial" w:hAnsi="Arial" w:cs="Arial"/>
          <w:sz w:val="22"/>
          <w:szCs w:val="22"/>
          <w:lang w:val="es-ES_tradnl"/>
        </w:rPr>
        <w:t>iii</w:t>
      </w:r>
      <w:proofErr w:type="spellEnd"/>
      <w:r w:rsidR="004331AB" w:rsidRPr="005D5A7E">
        <w:rPr>
          <w:rFonts w:ascii="Arial" w:hAnsi="Arial" w:cs="Arial"/>
          <w:sz w:val="22"/>
          <w:szCs w:val="22"/>
          <w:lang w:val="es-ES_tradnl"/>
        </w:rPr>
        <w:t>) valor estimado terrenos de las propiedades adquiridas</w:t>
      </w:r>
      <w:r w:rsidR="00581A0D" w:rsidRPr="005D5A7E">
        <w:rPr>
          <w:rFonts w:ascii="Arial" w:hAnsi="Arial" w:cs="Arial"/>
          <w:sz w:val="22"/>
          <w:szCs w:val="22"/>
          <w:lang w:val="es-ES_tradnl"/>
        </w:rPr>
        <w:t>;</w:t>
      </w:r>
      <w:r w:rsidR="004331AB" w:rsidRPr="005D5A7E">
        <w:rPr>
          <w:rFonts w:ascii="Arial" w:hAnsi="Arial" w:cs="Arial"/>
          <w:sz w:val="22"/>
          <w:szCs w:val="22"/>
          <w:lang w:val="es-ES_tradnl"/>
        </w:rPr>
        <w:t xml:space="preserve"> (</w:t>
      </w:r>
      <w:proofErr w:type="spellStart"/>
      <w:r w:rsidR="00581A0D" w:rsidRPr="005D5A7E">
        <w:rPr>
          <w:rFonts w:ascii="Arial" w:hAnsi="Arial" w:cs="Arial"/>
          <w:sz w:val="22"/>
          <w:szCs w:val="22"/>
          <w:lang w:val="es-ES_tradnl"/>
        </w:rPr>
        <w:t>iv</w:t>
      </w:r>
      <w:proofErr w:type="spellEnd"/>
      <w:r w:rsidR="004331AB" w:rsidRPr="005D5A7E">
        <w:rPr>
          <w:rFonts w:ascii="Arial" w:hAnsi="Arial" w:cs="Arial"/>
          <w:sz w:val="22"/>
          <w:szCs w:val="22"/>
          <w:lang w:val="es-ES_tradnl"/>
        </w:rPr>
        <w:t>)</w:t>
      </w:r>
      <w:r w:rsidR="00581A0D" w:rsidRPr="005D5A7E">
        <w:rPr>
          <w:rFonts w:ascii="Arial" w:hAnsi="Arial" w:cs="Arial"/>
          <w:sz w:val="22"/>
          <w:szCs w:val="22"/>
          <w:lang w:val="es-ES_tradnl"/>
        </w:rPr>
        <w:t> </w:t>
      </w:r>
      <w:r w:rsidR="00C67B21" w:rsidRPr="005D5A7E">
        <w:rPr>
          <w:rFonts w:ascii="Arial" w:hAnsi="Arial" w:cs="Arial"/>
          <w:sz w:val="22"/>
          <w:szCs w:val="22"/>
          <w:lang w:val="es-ES_tradnl"/>
        </w:rPr>
        <w:t>relación valor agregado a valor de la producción final en los segmentos de construcción y servicios inmobiliarios en los reportes de Cuentas Nacionales</w:t>
      </w:r>
      <w:r w:rsidR="00581A0D" w:rsidRPr="005D5A7E">
        <w:rPr>
          <w:rFonts w:ascii="Arial" w:hAnsi="Arial" w:cs="Arial"/>
          <w:sz w:val="22"/>
          <w:szCs w:val="22"/>
          <w:lang w:val="es-ES_tradnl"/>
        </w:rPr>
        <w:t>; y</w:t>
      </w:r>
      <w:r w:rsidR="00C67B21" w:rsidRPr="005D5A7E">
        <w:rPr>
          <w:rFonts w:ascii="Arial" w:hAnsi="Arial" w:cs="Arial"/>
          <w:sz w:val="22"/>
          <w:szCs w:val="22"/>
          <w:lang w:val="es-ES_tradnl"/>
        </w:rPr>
        <w:t xml:space="preserve"> (</w:t>
      </w:r>
      <w:r w:rsidR="00581A0D" w:rsidRPr="005D5A7E">
        <w:rPr>
          <w:rFonts w:ascii="Arial" w:hAnsi="Arial" w:cs="Arial"/>
          <w:sz w:val="22"/>
          <w:szCs w:val="22"/>
          <w:lang w:val="es-ES_tradnl"/>
        </w:rPr>
        <w:t>v</w:t>
      </w:r>
      <w:r w:rsidR="00C67B21" w:rsidRPr="005D5A7E">
        <w:rPr>
          <w:rFonts w:ascii="Arial" w:hAnsi="Arial" w:cs="Arial"/>
          <w:sz w:val="22"/>
          <w:szCs w:val="22"/>
          <w:lang w:val="es-ES_tradnl"/>
        </w:rPr>
        <w:t>)</w:t>
      </w:r>
      <w:r w:rsidR="00581A0D" w:rsidRPr="005D5A7E">
        <w:rPr>
          <w:rFonts w:ascii="Arial" w:hAnsi="Arial" w:cs="Arial"/>
          <w:sz w:val="22"/>
          <w:szCs w:val="22"/>
          <w:lang w:val="es-ES_tradnl"/>
        </w:rPr>
        <w:t> </w:t>
      </w:r>
      <w:r w:rsidR="00C67B21" w:rsidRPr="005D5A7E">
        <w:rPr>
          <w:rFonts w:ascii="Arial" w:hAnsi="Arial" w:cs="Arial"/>
          <w:sz w:val="22"/>
          <w:szCs w:val="22"/>
          <w:lang w:val="es-ES_tradnl"/>
        </w:rPr>
        <w:t>valores de mercado de la relación alquiler-valor construcción.</w:t>
      </w:r>
    </w:p>
    <w:p w14:paraId="24AB2F8B" w14:textId="32796D46" w:rsidR="009A6CCF" w:rsidRPr="005D5A7E" w:rsidRDefault="009A6CCF" w:rsidP="00353385">
      <w:pPr>
        <w:pStyle w:val="Paragraph"/>
        <w:tabs>
          <w:tab w:val="clear" w:pos="2736"/>
          <w:tab w:val="num" w:pos="720"/>
        </w:tabs>
        <w:ind w:left="720" w:hanging="720"/>
        <w:rPr>
          <w:rFonts w:ascii="Arial" w:hAnsi="Arial" w:cs="Arial"/>
          <w:sz w:val="22"/>
          <w:szCs w:val="22"/>
          <w:lang w:val="es-ES_tradnl"/>
        </w:rPr>
      </w:pPr>
      <w:r w:rsidRPr="005D5A7E">
        <w:rPr>
          <w:rFonts w:ascii="Arial" w:hAnsi="Arial" w:cs="Arial"/>
          <w:sz w:val="22"/>
          <w:szCs w:val="22"/>
          <w:lang w:val="es-ES_tradnl"/>
        </w:rPr>
        <w:t>Al igual que en análisis ex</w:t>
      </w:r>
      <w:r w:rsidR="00B46618">
        <w:rPr>
          <w:rFonts w:ascii="Arial" w:hAnsi="Arial" w:cs="Arial"/>
          <w:sz w:val="22"/>
          <w:szCs w:val="22"/>
          <w:lang w:val="es-ES_tradnl"/>
        </w:rPr>
        <w:t> </w:t>
      </w:r>
      <w:r w:rsidRPr="005D5A7E">
        <w:rPr>
          <w:rFonts w:ascii="Arial" w:hAnsi="Arial" w:cs="Arial"/>
          <w:sz w:val="22"/>
          <w:szCs w:val="22"/>
          <w:lang w:val="es-ES_tradnl"/>
        </w:rPr>
        <w:t xml:space="preserve">ante, se calcularán los beneficios netos que se obtuvieron por </w:t>
      </w:r>
      <w:r w:rsidR="00353385" w:rsidRPr="005D5A7E">
        <w:rPr>
          <w:rFonts w:ascii="Arial" w:hAnsi="Arial" w:cs="Arial"/>
          <w:sz w:val="22"/>
          <w:szCs w:val="22"/>
          <w:lang w:val="es-ES_tradnl"/>
        </w:rPr>
        <w:t>construcción y venta de las unidades inmobiliarias. En lo que hace a las rentas imputadas, estas se podrán aproximar con mayor precisión una vez que se tenga la información efectiva de la distribución geográfica de las unidades como así también las características de las construcciones realizadas.</w:t>
      </w:r>
      <w:r w:rsidRPr="005D5A7E">
        <w:rPr>
          <w:rFonts w:ascii="Arial" w:hAnsi="Arial" w:cs="Arial"/>
          <w:sz w:val="22"/>
          <w:szCs w:val="22"/>
          <w:lang w:val="es-ES_tradnl"/>
        </w:rPr>
        <w:t xml:space="preserve"> </w:t>
      </w:r>
    </w:p>
    <w:p w14:paraId="564BACCE" w14:textId="474DC27F" w:rsidR="009A6CCF" w:rsidRPr="005D5A7E" w:rsidRDefault="009A6CCF" w:rsidP="009A6CCF">
      <w:pPr>
        <w:pStyle w:val="Paragraph"/>
        <w:tabs>
          <w:tab w:val="clear" w:pos="2736"/>
          <w:tab w:val="num" w:pos="720"/>
        </w:tabs>
        <w:ind w:left="720" w:hanging="720"/>
        <w:rPr>
          <w:rFonts w:ascii="Arial" w:hAnsi="Arial" w:cs="Arial"/>
          <w:sz w:val="22"/>
          <w:szCs w:val="22"/>
          <w:lang w:val="es-ES_tradnl"/>
        </w:rPr>
      </w:pPr>
      <w:r w:rsidRPr="005D5A7E">
        <w:rPr>
          <w:rFonts w:ascii="Arial" w:hAnsi="Arial" w:cs="Arial"/>
          <w:b/>
          <w:sz w:val="22"/>
          <w:szCs w:val="22"/>
          <w:lang w:val="es-ES_tradnl"/>
        </w:rPr>
        <w:t>Escenario contrafactual</w:t>
      </w:r>
      <w:r w:rsidRPr="005D5A7E">
        <w:rPr>
          <w:rFonts w:ascii="Arial" w:hAnsi="Arial" w:cs="Arial"/>
          <w:sz w:val="22"/>
          <w:szCs w:val="22"/>
          <w:lang w:val="es-ES_tradnl"/>
        </w:rPr>
        <w:t>. El escenario contrafactual que servirá como referencia para cuantificar los beneficios económicos netos del proyecto estará compuesto por una serie de información actualizada de precios de alquiler de viviendas, precios promedio de venta de viviendas</w:t>
      </w:r>
      <w:r w:rsidR="00353385" w:rsidRPr="005D5A7E">
        <w:rPr>
          <w:rFonts w:ascii="Arial" w:hAnsi="Arial" w:cs="Arial"/>
          <w:sz w:val="22"/>
          <w:szCs w:val="22"/>
          <w:lang w:val="es-ES_tradnl"/>
        </w:rPr>
        <w:t xml:space="preserve"> y</w:t>
      </w:r>
      <w:r w:rsidRPr="005D5A7E">
        <w:rPr>
          <w:rFonts w:ascii="Arial" w:hAnsi="Arial" w:cs="Arial"/>
          <w:sz w:val="22"/>
          <w:szCs w:val="22"/>
          <w:lang w:val="es-ES_tradnl"/>
        </w:rPr>
        <w:t xml:space="preserve"> evolución de la oferta de viviendas nuevas fuera del proyecto</w:t>
      </w:r>
      <w:r w:rsidR="00353385" w:rsidRPr="005D5A7E">
        <w:rPr>
          <w:rFonts w:ascii="Arial" w:hAnsi="Arial" w:cs="Arial"/>
          <w:sz w:val="22"/>
          <w:szCs w:val="22"/>
          <w:lang w:val="es-ES_tradnl"/>
        </w:rPr>
        <w:t>.</w:t>
      </w:r>
    </w:p>
    <w:p w14:paraId="3031355A" w14:textId="77777777" w:rsidR="009A6CCF" w:rsidRPr="005D5A7E" w:rsidRDefault="009A6CCF" w:rsidP="009A6CCF">
      <w:pPr>
        <w:pStyle w:val="Paragraph"/>
        <w:tabs>
          <w:tab w:val="clear" w:pos="2736"/>
          <w:tab w:val="num" w:pos="720"/>
        </w:tabs>
        <w:ind w:left="720" w:hanging="720"/>
        <w:rPr>
          <w:rFonts w:ascii="Arial" w:hAnsi="Arial" w:cs="Arial"/>
          <w:sz w:val="22"/>
          <w:szCs w:val="22"/>
          <w:lang w:val="es-ES_tradnl"/>
        </w:rPr>
      </w:pPr>
      <w:r w:rsidRPr="005D5A7E">
        <w:rPr>
          <w:rFonts w:ascii="Arial" w:hAnsi="Arial" w:cs="Arial"/>
          <w:sz w:val="22"/>
          <w:szCs w:val="22"/>
          <w:lang w:val="es-ES_tradnl"/>
        </w:rPr>
        <w:t>En particular, el análisis ex post se basará en los siguientes cálculos:</w:t>
      </w:r>
    </w:p>
    <w:p w14:paraId="5B7C50F2" w14:textId="26FF4AD5" w:rsidR="00CD598A" w:rsidRPr="005D5A7E" w:rsidRDefault="009A6CCF" w:rsidP="00CD598A">
      <w:pPr>
        <w:pStyle w:val="subpar"/>
        <w:tabs>
          <w:tab w:val="clear" w:pos="2682"/>
          <w:tab w:val="left" w:pos="1260"/>
        </w:tabs>
        <w:ind w:left="1170"/>
        <w:rPr>
          <w:rFonts w:ascii="Arial" w:hAnsi="Arial" w:cs="Arial"/>
          <w:sz w:val="22"/>
          <w:szCs w:val="22"/>
          <w:lang w:val="es-ES_tradnl"/>
        </w:rPr>
      </w:pPr>
      <w:r w:rsidRPr="0043439C">
        <w:rPr>
          <w:rFonts w:ascii="Arial" w:hAnsi="Arial"/>
          <w:b/>
          <w:sz w:val="22"/>
          <w:lang w:val="es-ES_tradnl"/>
        </w:rPr>
        <w:t>Ganancias en</w:t>
      </w:r>
      <w:r w:rsidR="00353385" w:rsidRPr="0043439C">
        <w:rPr>
          <w:rFonts w:ascii="Arial" w:hAnsi="Arial"/>
          <w:b/>
          <w:sz w:val="22"/>
          <w:lang w:val="es-ES_tradnl"/>
        </w:rPr>
        <w:t xml:space="preserve"> la promoción, construcción y comercialización</w:t>
      </w:r>
      <w:r w:rsidRPr="0043439C">
        <w:rPr>
          <w:rFonts w:ascii="Arial" w:hAnsi="Arial"/>
          <w:b/>
          <w:sz w:val="22"/>
          <w:lang w:val="es-ES_tradnl"/>
        </w:rPr>
        <w:t xml:space="preserve"> de las viviendas adquiridas</w:t>
      </w:r>
      <w:r w:rsidRPr="005D5A7E">
        <w:rPr>
          <w:rFonts w:ascii="Arial" w:hAnsi="Arial" w:cs="Arial"/>
          <w:sz w:val="22"/>
          <w:szCs w:val="22"/>
          <w:lang w:val="es-ES_tradnl"/>
        </w:rPr>
        <w:t>. Para el cálculo de este valor se utilizará el valor de las viviendas adquiridas</w:t>
      </w:r>
      <w:r w:rsidR="00353385" w:rsidRPr="005D5A7E">
        <w:rPr>
          <w:rFonts w:ascii="Arial" w:hAnsi="Arial" w:cs="Arial"/>
          <w:sz w:val="22"/>
          <w:szCs w:val="22"/>
          <w:lang w:val="es-ES_tradnl"/>
        </w:rPr>
        <w:t xml:space="preserve"> </w:t>
      </w:r>
      <w:r w:rsidRPr="005D5A7E">
        <w:rPr>
          <w:rFonts w:ascii="Arial" w:hAnsi="Arial" w:cs="Arial"/>
          <w:sz w:val="22"/>
          <w:szCs w:val="22"/>
          <w:lang w:val="es-ES_tradnl"/>
        </w:rPr>
        <w:t>con el crédito provisto por el proyecto y se</w:t>
      </w:r>
      <w:r w:rsidR="00353385" w:rsidRPr="005D5A7E">
        <w:rPr>
          <w:rFonts w:ascii="Arial" w:hAnsi="Arial" w:cs="Arial"/>
          <w:sz w:val="22"/>
          <w:szCs w:val="22"/>
          <w:lang w:val="es-ES_tradnl"/>
        </w:rPr>
        <w:t xml:space="preserve"> aproximarán los márgenes indicados </w:t>
      </w:r>
      <w:r w:rsidR="007F3414" w:rsidRPr="005D5A7E">
        <w:rPr>
          <w:rFonts w:ascii="Arial" w:hAnsi="Arial" w:cs="Arial"/>
          <w:sz w:val="22"/>
          <w:szCs w:val="22"/>
          <w:lang w:val="es-ES_tradnl"/>
        </w:rPr>
        <w:t>según los valores efectivos de valor agregado en el segmento de construcción e inmobiliarios en el sistema de cuentas nacionales</w:t>
      </w:r>
      <w:r w:rsidR="00CD598A" w:rsidRPr="005D5A7E">
        <w:rPr>
          <w:rFonts w:ascii="Arial" w:hAnsi="Arial" w:cs="Arial"/>
          <w:sz w:val="22"/>
          <w:szCs w:val="22"/>
          <w:lang w:val="es-ES_tradnl"/>
        </w:rPr>
        <w:t>.</w:t>
      </w:r>
    </w:p>
    <w:p w14:paraId="0EE75ABA" w14:textId="02165F3F" w:rsidR="009A6CCF" w:rsidRPr="005D5A7E" w:rsidRDefault="00CD598A" w:rsidP="009A6CCF">
      <w:pPr>
        <w:pStyle w:val="subpar"/>
        <w:tabs>
          <w:tab w:val="clear" w:pos="2682"/>
          <w:tab w:val="left" w:pos="1260"/>
        </w:tabs>
        <w:ind w:left="1170"/>
        <w:rPr>
          <w:rFonts w:ascii="Arial" w:hAnsi="Arial" w:cs="Arial"/>
          <w:sz w:val="22"/>
          <w:szCs w:val="22"/>
          <w:lang w:val="es-ES_tradnl"/>
        </w:rPr>
      </w:pPr>
      <w:r w:rsidRPr="0043439C">
        <w:rPr>
          <w:rFonts w:ascii="Arial" w:hAnsi="Arial"/>
          <w:b/>
          <w:sz w:val="22"/>
          <w:lang w:val="es-ES_tradnl"/>
        </w:rPr>
        <w:t>Diferencial de renta imputada</w:t>
      </w:r>
      <w:r w:rsidR="009A6CCF" w:rsidRPr="0043439C">
        <w:rPr>
          <w:rFonts w:ascii="Arial" w:hAnsi="Arial"/>
          <w:b/>
          <w:sz w:val="22"/>
          <w:lang w:val="es-ES_tradnl"/>
        </w:rPr>
        <w:t>.</w:t>
      </w:r>
      <w:r w:rsidR="009A6CCF" w:rsidRPr="005D5A7E">
        <w:rPr>
          <w:rFonts w:ascii="Arial" w:hAnsi="Arial" w:cs="Arial"/>
          <w:sz w:val="22"/>
          <w:szCs w:val="22"/>
          <w:lang w:val="es-ES_tradnl"/>
        </w:rPr>
        <w:t xml:space="preserve"> Para este cálculo, basado en un escenario contrafactual, se utilizará la información más actualizada posible de precios de alquiler de viviendas equivalentes en valor o tamaño a las adquiridas a través del proyecto. Para esto, se obtendrá información de las operaciones de </w:t>
      </w:r>
      <w:r w:rsidR="00357029" w:rsidRPr="005D5A7E">
        <w:rPr>
          <w:rFonts w:ascii="Arial" w:hAnsi="Arial" w:cs="Arial"/>
          <w:sz w:val="22"/>
          <w:szCs w:val="22"/>
          <w:lang w:val="es-ES_tradnl"/>
        </w:rPr>
        <w:t>MEF</w:t>
      </w:r>
      <w:r w:rsidR="009A6CCF" w:rsidRPr="005D5A7E">
        <w:rPr>
          <w:rFonts w:ascii="Arial" w:hAnsi="Arial" w:cs="Arial"/>
          <w:sz w:val="22"/>
          <w:szCs w:val="22"/>
          <w:lang w:val="es-ES_tradnl"/>
        </w:rPr>
        <w:t xml:space="preserve"> y se utilizará</w:t>
      </w:r>
      <w:r w:rsidRPr="005D5A7E">
        <w:rPr>
          <w:rFonts w:ascii="Arial" w:hAnsi="Arial" w:cs="Arial"/>
          <w:sz w:val="22"/>
          <w:szCs w:val="22"/>
          <w:lang w:val="es-ES_tradnl"/>
        </w:rPr>
        <w:t xml:space="preserve">n encuestas </w:t>
      </w:r>
      <w:r w:rsidR="00451992" w:rsidRPr="005D5A7E">
        <w:rPr>
          <w:rFonts w:ascii="Arial" w:hAnsi="Arial" w:cs="Arial"/>
          <w:sz w:val="22"/>
          <w:szCs w:val="22"/>
          <w:lang w:val="es-ES_tradnl"/>
        </w:rPr>
        <w:t xml:space="preserve">presenciales y/o telefónicas a entidades </w:t>
      </w:r>
      <w:r w:rsidR="00451992" w:rsidRPr="005D5A7E">
        <w:rPr>
          <w:rFonts w:ascii="Arial" w:hAnsi="Arial" w:cs="Arial"/>
          <w:sz w:val="22"/>
          <w:szCs w:val="22"/>
          <w:lang w:val="es-ES_tradnl"/>
        </w:rPr>
        <w:lastRenderedPageBreak/>
        <w:t>inmobiliarias que operen en las regiones más significativas que se distribuyan las viviendas</w:t>
      </w:r>
      <w:r w:rsidR="009A6CCF" w:rsidRPr="005D5A7E">
        <w:rPr>
          <w:rFonts w:ascii="Arial" w:hAnsi="Arial" w:cs="Arial"/>
          <w:sz w:val="22"/>
          <w:szCs w:val="22"/>
          <w:lang w:val="es-ES_tradnl"/>
        </w:rPr>
        <w:t>.</w:t>
      </w:r>
    </w:p>
    <w:p w14:paraId="6FA21EEF" w14:textId="77777777" w:rsidR="009A6CCF" w:rsidRPr="005D5A7E" w:rsidRDefault="009A6CCF" w:rsidP="00451992">
      <w:pPr>
        <w:pStyle w:val="Paragraph"/>
        <w:numPr>
          <w:ilvl w:val="0"/>
          <w:numId w:val="12"/>
        </w:numPr>
        <w:ind w:left="720" w:hanging="720"/>
        <w:rPr>
          <w:rFonts w:ascii="Arial" w:hAnsi="Arial" w:cs="Arial"/>
          <w:b/>
          <w:sz w:val="22"/>
          <w:szCs w:val="22"/>
          <w:lang w:val="es-ES_tradnl"/>
        </w:rPr>
      </w:pPr>
      <w:r w:rsidRPr="005D5A7E">
        <w:rPr>
          <w:rFonts w:ascii="Arial" w:hAnsi="Arial" w:cs="Arial"/>
          <w:b/>
          <w:sz w:val="22"/>
          <w:szCs w:val="22"/>
          <w:lang w:val="es-ES_tradnl"/>
        </w:rPr>
        <w:t>Plan de trabajo y presupuesto de evaluación</w:t>
      </w:r>
    </w:p>
    <w:p w14:paraId="3989A5A5" w14:textId="01CF5154" w:rsidR="009A6CCF" w:rsidRPr="005D5A7E" w:rsidRDefault="009A6CCF" w:rsidP="00621BA7">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En el Cuadro 2 se especifican las actividades de evaluación. La información se recolectará semestralmente a medida que se solicite acceso a los recursos de la línea. Se espera que </w:t>
      </w:r>
      <w:r w:rsidR="00451992" w:rsidRPr="005D5A7E">
        <w:rPr>
          <w:rFonts w:ascii="Arial" w:hAnsi="Arial" w:cs="Arial"/>
          <w:sz w:val="22"/>
          <w:szCs w:val="22"/>
          <w:lang w:val="es-ES_tradnl"/>
        </w:rPr>
        <w:t>al concluir la ejecución de los recursos ya se contará con un número substancial de transacciones completamente finalizadas, con lo cual sería posible proceder a la recolección de la información indicada (márgenes de las actividades de promoción, construcción y comercialización, como así también de los alquileres realizados en viviendas comparables).</w:t>
      </w:r>
    </w:p>
    <w:p w14:paraId="70A4774A" w14:textId="2AF6D7EE" w:rsidR="009A6CCF" w:rsidRPr="005D5A7E" w:rsidRDefault="009A6CCF" w:rsidP="00621BA7">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Los costos de las actividades de evaluación definidas en este plan se dividen entre fondos destinados para la recopilación de información y los aportes de personal del BID y </w:t>
      </w:r>
      <w:r w:rsidR="00357029" w:rsidRPr="005D5A7E">
        <w:rPr>
          <w:rFonts w:ascii="Arial" w:hAnsi="Arial" w:cs="Arial"/>
          <w:sz w:val="22"/>
          <w:szCs w:val="22"/>
          <w:lang w:val="es-ES_tradnl"/>
        </w:rPr>
        <w:t>MEF</w:t>
      </w:r>
      <w:r w:rsidRPr="005D5A7E">
        <w:rPr>
          <w:rFonts w:ascii="Arial" w:hAnsi="Arial" w:cs="Arial"/>
          <w:sz w:val="22"/>
          <w:szCs w:val="22"/>
          <w:lang w:val="es-ES_tradnl"/>
        </w:rPr>
        <w:t>. Estos se presupuestan en el Cuadro 2.</w:t>
      </w:r>
    </w:p>
    <w:p w14:paraId="7081559B" w14:textId="0F20728B" w:rsidR="009A6CCF" w:rsidRPr="005D5A7E" w:rsidRDefault="009A6CCF" w:rsidP="00621BA7">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Los costos del personal del BID y de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involucrado en el equipo de trabajo serán cubiertos por los costos regulares de operación y administración de ambas instituciones, sin requerir un presupuesto adicional para este fin.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tiene una estructura suficientemente dimensionada y tiene acceso a recursos suficientes para garantizar el cumplimiento de todas las tareas y compromisos que se han previsto en el presente Plan de Seguimiento y Evaluación. Respecto a la diseminación de los resultados, los mismos serán circulados por el BID y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incluyendo todas las notas y consideraciones metodológicas necesarias para la interpretación y eventual replicación del estudio. La puesta en disponibilidad de los resultados no podrá demorarse más allá de 18 meses de concluida la evaluación. La elaboración de estudios a partir de dichos datos llevados adelante por </w:t>
      </w:r>
      <w:r w:rsidR="00357029" w:rsidRPr="005D5A7E">
        <w:rPr>
          <w:rFonts w:ascii="Arial" w:hAnsi="Arial" w:cs="Arial"/>
          <w:sz w:val="22"/>
          <w:szCs w:val="22"/>
          <w:lang w:val="es-ES_tradnl"/>
        </w:rPr>
        <w:t>MEF</w:t>
      </w:r>
      <w:r w:rsidRPr="005D5A7E">
        <w:rPr>
          <w:rFonts w:ascii="Arial" w:hAnsi="Arial" w:cs="Arial"/>
          <w:sz w:val="22"/>
          <w:szCs w:val="22"/>
          <w:lang w:val="es-ES_tradnl"/>
        </w:rPr>
        <w:t xml:space="preserve"> y el BID no se tendrá en cuenta para el plazo de 18 meses indicado</w:t>
      </w:r>
    </w:p>
    <w:p w14:paraId="2CBE01BD" w14:textId="16FE0B1D" w:rsidR="009A6CCF" w:rsidRPr="005D5A7E" w:rsidRDefault="009A6CCF" w:rsidP="00621BA7">
      <w:pPr>
        <w:pStyle w:val="Paragraph"/>
        <w:tabs>
          <w:tab w:val="clear" w:pos="2736"/>
          <w:tab w:val="num" w:pos="630"/>
        </w:tabs>
        <w:ind w:left="630" w:hanging="630"/>
        <w:rPr>
          <w:rFonts w:ascii="Arial" w:hAnsi="Arial" w:cs="Arial"/>
          <w:sz w:val="22"/>
          <w:szCs w:val="22"/>
          <w:lang w:val="es-ES_tradnl"/>
        </w:rPr>
      </w:pPr>
      <w:r w:rsidRPr="005D5A7E">
        <w:rPr>
          <w:rFonts w:ascii="Arial" w:hAnsi="Arial" w:cs="Arial"/>
          <w:sz w:val="22"/>
          <w:szCs w:val="22"/>
          <w:lang w:val="es-ES_tradnl"/>
        </w:rPr>
        <w:t xml:space="preserve">El equipo de proyecto invitará a las contrapartes a organizar seminarios de difusiones entre los potenciales interesados en los resultados en </w:t>
      </w:r>
      <w:r w:rsidR="00207CAD" w:rsidRPr="005D5A7E">
        <w:rPr>
          <w:rFonts w:ascii="Arial" w:hAnsi="Arial" w:cs="Arial"/>
          <w:sz w:val="22"/>
          <w:szCs w:val="22"/>
          <w:lang w:val="es-ES_tradnl"/>
        </w:rPr>
        <w:t xml:space="preserve">Ecuador </w:t>
      </w:r>
      <w:r w:rsidRPr="005D5A7E">
        <w:rPr>
          <w:rFonts w:ascii="Arial" w:hAnsi="Arial" w:cs="Arial"/>
          <w:sz w:val="22"/>
          <w:szCs w:val="22"/>
          <w:lang w:val="es-ES_tradnl"/>
        </w:rPr>
        <w:t>(incluyendo organismos de gobierno, instituciones educativas, y organismos internacionales). A su vez, IFD/CMF promoverá la difusión de los resultados mediante seminarios internos conducidos dentro del BID y abiertos al público</w:t>
      </w:r>
    </w:p>
    <w:p w14:paraId="11B71796" w14:textId="77777777" w:rsidR="00721080" w:rsidRPr="005D5A7E" w:rsidRDefault="00721080">
      <w:pPr>
        <w:rPr>
          <w:lang w:val="es-ES_tradnl"/>
        </w:rPr>
      </w:pPr>
    </w:p>
    <w:sectPr w:rsidR="00721080" w:rsidRPr="005D5A7E" w:rsidSect="00407F3B">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CC95A" w14:textId="77777777" w:rsidR="00AC1B4B" w:rsidRDefault="00AC1B4B" w:rsidP="009A6CCF">
      <w:pPr>
        <w:spacing w:after="0" w:line="240" w:lineRule="auto"/>
      </w:pPr>
      <w:r>
        <w:separator/>
      </w:r>
    </w:p>
  </w:endnote>
  <w:endnote w:type="continuationSeparator" w:id="0">
    <w:p w14:paraId="3D033ADD" w14:textId="77777777" w:rsidR="00AC1B4B" w:rsidRDefault="00AC1B4B" w:rsidP="009A6CCF">
      <w:pPr>
        <w:spacing w:after="0" w:line="240" w:lineRule="auto"/>
      </w:pPr>
      <w:r>
        <w:continuationSeparator/>
      </w:r>
    </w:p>
  </w:endnote>
  <w:endnote w:type="continuationNotice" w:id="1">
    <w:p w14:paraId="5B45D270" w14:textId="77777777" w:rsidR="00AC1B4B" w:rsidRDefault="00AC1B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81859"/>
      <w:docPartObj>
        <w:docPartGallery w:val="Page Numbers (Bottom of Page)"/>
        <w:docPartUnique/>
      </w:docPartObj>
    </w:sdtPr>
    <w:sdtEndPr>
      <w:rPr>
        <w:rFonts w:ascii="Times New Roman" w:hAnsi="Times New Roman" w:cs="Times New Roman"/>
        <w:noProof/>
      </w:rPr>
    </w:sdtEndPr>
    <w:sdtContent>
      <w:p w14:paraId="1C5E1F02" w14:textId="77777777" w:rsidR="00407F3B" w:rsidRPr="00352714" w:rsidRDefault="00407F3B">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61D84A05" w14:textId="77777777" w:rsidR="00407F3B" w:rsidRDefault="00407F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957059657"/>
      <w:docPartObj>
        <w:docPartGallery w:val="Page Numbers (Bottom of Page)"/>
        <w:docPartUnique/>
      </w:docPartObj>
    </w:sdtPr>
    <w:sdtEndPr>
      <w:rPr>
        <w:noProof/>
      </w:rPr>
    </w:sdtEndPr>
    <w:sdtContent>
      <w:p w14:paraId="2D1258C1" w14:textId="32EE0A88" w:rsidR="00407F3B" w:rsidRPr="00A62850" w:rsidRDefault="00407F3B">
        <w:pPr>
          <w:pStyle w:val="Footer"/>
          <w:jc w:val="center"/>
          <w:rPr>
            <w:rFonts w:ascii="Arial" w:hAnsi="Arial" w:cs="Arial"/>
            <w:sz w:val="18"/>
            <w:szCs w:val="18"/>
          </w:rPr>
        </w:pPr>
        <w:r w:rsidRPr="00A62850">
          <w:rPr>
            <w:rFonts w:ascii="Arial" w:hAnsi="Arial" w:cs="Arial"/>
            <w:sz w:val="18"/>
            <w:szCs w:val="18"/>
          </w:rPr>
          <w:t>-</w:t>
        </w:r>
        <w:r>
          <w:rPr>
            <w:rFonts w:ascii="Arial" w:hAnsi="Arial" w:cs="Arial"/>
            <w:sz w:val="18"/>
            <w:szCs w:val="18"/>
          </w:rPr>
          <w:t> </w:t>
        </w:r>
        <w:r w:rsidRPr="00A62850">
          <w:rPr>
            <w:rFonts w:ascii="Arial" w:hAnsi="Arial" w:cs="Arial"/>
            <w:sz w:val="18"/>
            <w:szCs w:val="18"/>
          </w:rPr>
          <w:fldChar w:fldCharType="begin"/>
        </w:r>
        <w:r w:rsidRPr="00A62850">
          <w:rPr>
            <w:rFonts w:ascii="Arial" w:hAnsi="Arial" w:cs="Arial"/>
            <w:sz w:val="18"/>
            <w:szCs w:val="18"/>
          </w:rPr>
          <w:instrText xml:space="preserve"> PAGE   \* MERGEFORMAT </w:instrText>
        </w:r>
        <w:r w:rsidRPr="00A62850">
          <w:rPr>
            <w:rFonts w:ascii="Arial" w:hAnsi="Arial" w:cs="Arial"/>
            <w:sz w:val="18"/>
            <w:szCs w:val="18"/>
          </w:rPr>
          <w:fldChar w:fldCharType="separate"/>
        </w:r>
        <w:r w:rsidR="005D5A7E">
          <w:rPr>
            <w:rFonts w:ascii="Arial" w:hAnsi="Arial" w:cs="Arial"/>
            <w:noProof/>
            <w:sz w:val="18"/>
            <w:szCs w:val="18"/>
          </w:rPr>
          <w:t>7</w:t>
        </w:r>
        <w:r w:rsidRPr="00A62850">
          <w:rPr>
            <w:rFonts w:ascii="Arial" w:hAnsi="Arial" w:cs="Arial"/>
            <w:noProof/>
            <w:sz w:val="18"/>
            <w:szCs w:val="18"/>
          </w:rPr>
          <w:fldChar w:fldCharType="end"/>
        </w:r>
        <w:r>
          <w:rPr>
            <w:rFonts w:ascii="Arial" w:hAnsi="Arial" w:cs="Arial"/>
            <w:noProof/>
            <w:sz w:val="18"/>
            <w:szCs w:val="18"/>
          </w:rPr>
          <w:t> </w:t>
        </w:r>
        <w:r w:rsidRPr="00A62850">
          <w:rPr>
            <w:rFonts w:ascii="Arial" w:hAnsi="Arial" w:cs="Arial"/>
            <w:noProof/>
            <w:sz w:val="18"/>
            <w:szCs w:val="18"/>
          </w:rPr>
          <w:t>-</w:t>
        </w:r>
      </w:p>
    </w:sdtContent>
  </w:sdt>
  <w:p w14:paraId="33E3AE12" w14:textId="77777777" w:rsidR="00407F3B" w:rsidRDefault="00407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14181" w14:textId="77777777" w:rsidR="00AC1B4B" w:rsidRDefault="00AC1B4B" w:rsidP="009A6CCF">
      <w:pPr>
        <w:spacing w:after="0" w:line="240" w:lineRule="auto"/>
      </w:pPr>
      <w:r>
        <w:separator/>
      </w:r>
    </w:p>
  </w:footnote>
  <w:footnote w:type="continuationSeparator" w:id="0">
    <w:p w14:paraId="0D1631F4" w14:textId="77777777" w:rsidR="00AC1B4B" w:rsidRDefault="00AC1B4B" w:rsidP="009A6CCF">
      <w:pPr>
        <w:spacing w:after="0" w:line="240" w:lineRule="auto"/>
      </w:pPr>
      <w:r>
        <w:continuationSeparator/>
      </w:r>
    </w:p>
  </w:footnote>
  <w:footnote w:type="continuationNotice" w:id="1">
    <w:p w14:paraId="06C4B9C0" w14:textId="77777777" w:rsidR="00AC1B4B" w:rsidRDefault="00AC1B4B">
      <w:pPr>
        <w:spacing w:after="0" w:line="240" w:lineRule="auto"/>
      </w:pPr>
    </w:p>
  </w:footnote>
  <w:footnote w:id="2">
    <w:p w14:paraId="6989852E" w14:textId="2F428E13" w:rsidR="001C72A9" w:rsidRPr="0043439C" w:rsidRDefault="001C72A9">
      <w:pPr>
        <w:pStyle w:val="FootnoteText"/>
        <w:rPr>
          <w:rFonts w:ascii="Arial" w:hAnsi="Arial" w:cs="Arial"/>
          <w:sz w:val="18"/>
          <w:szCs w:val="18"/>
          <w:lang w:val="es-ES_tradnl"/>
        </w:rPr>
      </w:pPr>
      <w:r w:rsidRPr="0043439C">
        <w:rPr>
          <w:rStyle w:val="FootnoteReference"/>
          <w:rFonts w:ascii="Arial" w:hAnsi="Arial" w:cs="Arial"/>
          <w:sz w:val="18"/>
          <w:szCs w:val="18"/>
        </w:rPr>
        <w:footnoteRef/>
      </w:r>
      <w:r w:rsidRPr="0043439C">
        <w:rPr>
          <w:rFonts w:ascii="Arial" w:hAnsi="Arial" w:cs="Arial"/>
          <w:sz w:val="18"/>
          <w:szCs w:val="18"/>
          <w:lang w:val="es-ES_tradnl"/>
        </w:rPr>
        <w:t xml:space="preserve"> </w:t>
      </w:r>
      <w:r w:rsidR="0099451E">
        <w:rPr>
          <w:rFonts w:ascii="Arial" w:hAnsi="Arial" w:cs="Arial"/>
          <w:sz w:val="18"/>
          <w:szCs w:val="18"/>
          <w:lang w:val="es-ES_tradnl"/>
        </w:rPr>
        <w:tab/>
      </w:r>
      <w:r w:rsidRPr="0043439C">
        <w:rPr>
          <w:rFonts w:ascii="Arial" w:hAnsi="Arial" w:cs="Arial"/>
          <w:sz w:val="18"/>
          <w:szCs w:val="18"/>
          <w:lang w:val="es-ES_tradnl"/>
        </w:rPr>
        <w:t xml:space="preserve">El </w:t>
      </w:r>
      <w:r w:rsidR="0099451E">
        <w:rPr>
          <w:rFonts w:ascii="Arial" w:hAnsi="Arial" w:cs="Arial"/>
          <w:sz w:val="18"/>
          <w:szCs w:val="18"/>
          <w:lang w:val="es-ES_tradnl"/>
        </w:rPr>
        <w:t>p</w:t>
      </w:r>
      <w:r w:rsidRPr="0043439C">
        <w:rPr>
          <w:rFonts w:ascii="Arial" w:hAnsi="Arial" w:cs="Arial"/>
          <w:sz w:val="18"/>
          <w:szCs w:val="18"/>
          <w:lang w:val="es-ES_tradnl"/>
        </w:rPr>
        <w:t>rograma se espera que financie viviendas especialmente entre estos segmentos. Sin embargo, el Programa no excluye la posibilidad de financiar viviendas de entre US</w:t>
      </w:r>
      <w:r w:rsidR="0099451E">
        <w:rPr>
          <w:rFonts w:ascii="Arial" w:hAnsi="Arial" w:cs="Arial"/>
          <w:sz w:val="18"/>
          <w:szCs w:val="18"/>
          <w:lang w:val="es-ES_tradnl"/>
        </w:rPr>
        <w:t>$</w:t>
      </w:r>
      <w:r w:rsidRPr="0043439C">
        <w:rPr>
          <w:rFonts w:ascii="Arial" w:hAnsi="Arial" w:cs="Arial"/>
          <w:sz w:val="18"/>
          <w:szCs w:val="18"/>
          <w:lang w:val="es-ES_tradnl"/>
        </w:rPr>
        <w:t>20</w:t>
      </w:r>
      <w:r w:rsidR="0099451E">
        <w:rPr>
          <w:rFonts w:ascii="Arial" w:hAnsi="Arial" w:cs="Arial"/>
          <w:sz w:val="18"/>
          <w:szCs w:val="18"/>
          <w:lang w:val="es-ES_tradnl"/>
        </w:rPr>
        <w:t>.</w:t>
      </w:r>
      <w:r w:rsidRPr="0043439C">
        <w:rPr>
          <w:rFonts w:ascii="Arial" w:hAnsi="Arial" w:cs="Arial"/>
          <w:sz w:val="18"/>
          <w:szCs w:val="18"/>
          <w:lang w:val="es-ES_tradnl"/>
        </w:rPr>
        <w:t>000 y US$70</w:t>
      </w:r>
      <w:r w:rsidR="0099451E">
        <w:rPr>
          <w:rFonts w:ascii="Arial" w:hAnsi="Arial" w:cs="Arial"/>
          <w:sz w:val="18"/>
          <w:szCs w:val="18"/>
          <w:lang w:val="es-ES_tradnl"/>
        </w:rPr>
        <w:t>.</w:t>
      </w:r>
      <w:r w:rsidRPr="0043439C">
        <w:rPr>
          <w:rFonts w:ascii="Arial" w:hAnsi="Arial" w:cs="Arial"/>
          <w:sz w:val="18"/>
          <w:szCs w:val="18"/>
          <w:lang w:val="es-ES_tradnl"/>
        </w:rPr>
        <w:t>000</w:t>
      </w:r>
      <w:r w:rsidR="006417B0">
        <w:rPr>
          <w:rFonts w:ascii="Arial" w:hAnsi="Arial" w:cs="Arial"/>
          <w:sz w:val="18"/>
          <w:szCs w:val="18"/>
          <w:lang w:val="es-ES_tradnl"/>
        </w:rPr>
        <w:t>.</w:t>
      </w:r>
      <w:r w:rsidRPr="0043439C">
        <w:rPr>
          <w:rFonts w:ascii="Arial" w:hAnsi="Arial" w:cs="Arial"/>
          <w:sz w:val="18"/>
          <w:szCs w:val="18"/>
          <w:lang w:val="es-ES_tradnl"/>
        </w:rPr>
        <w:t xml:space="preserve"> </w:t>
      </w:r>
    </w:p>
  </w:footnote>
  <w:footnote w:id="3">
    <w:p w14:paraId="0C15C14D" w14:textId="77777777" w:rsidR="00407F3B" w:rsidRPr="00AF2969" w:rsidRDefault="00407F3B" w:rsidP="009A6CCF">
      <w:pPr>
        <w:pStyle w:val="FootnoteText"/>
        <w:spacing w:after="0"/>
        <w:ind w:left="180" w:hanging="180"/>
        <w:rPr>
          <w:rFonts w:ascii="Arial" w:hAnsi="Arial" w:cs="Arial"/>
          <w:sz w:val="18"/>
          <w:szCs w:val="18"/>
          <w:lang w:val="es-ES"/>
        </w:rPr>
      </w:pPr>
      <w:r w:rsidRPr="00AF2969">
        <w:rPr>
          <w:rFonts w:ascii="Arial" w:hAnsi="Arial" w:cs="Arial"/>
          <w:sz w:val="18"/>
          <w:szCs w:val="18"/>
          <w:vertAlign w:val="superscript"/>
          <w:lang w:val="pt-BR"/>
        </w:rPr>
        <w:footnoteRef/>
      </w:r>
      <w:r w:rsidRPr="006E6E10">
        <w:rPr>
          <w:rFonts w:ascii="Arial" w:hAnsi="Arial" w:cs="Arial"/>
          <w:sz w:val="18"/>
          <w:szCs w:val="18"/>
          <w:lang w:val="es-ES_tradnl"/>
        </w:rPr>
        <w:tab/>
      </w:r>
      <w:proofErr w:type="spellStart"/>
      <w:r w:rsidRPr="00844C8D">
        <w:rPr>
          <w:rFonts w:ascii="Arial" w:hAnsi="Arial" w:cs="Arial"/>
          <w:i/>
          <w:sz w:val="18"/>
          <w:szCs w:val="18"/>
          <w:lang w:val="es-ES"/>
        </w:rPr>
        <w:t>Program</w:t>
      </w:r>
      <w:proofErr w:type="spellEnd"/>
      <w:r w:rsidRPr="00844C8D">
        <w:rPr>
          <w:rFonts w:ascii="Arial" w:hAnsi="Arial" w:cs="Arial"/>
          <w:i/>
          <w:sz w:val="18"/>
          <w:szCs w:val="18"/>
          <w:lang w:val="es-ES"/>
        </w:rPr>
        <w:t xml:space="preserve"> </w:t>
      </w:r>
      <w:proofErr w:type="spellStart"/>
      <w:r w:rsidRPr="00844C8D">
        <w:rPr>
          <w:rFonts w:ascii="Arial" w:hAnsi="Arial" w:cs="Arial"/>
          <w:i/>
          <w:sz w:val="18"/>
          <w:szCs w:val="18"/>
          <w:lang w:val="es-ES"/>
        </w:rPr>
        <w:t>Monitoring</w:t>
      </w:r>
      <w:proofErr w:type="spellEnd"/>
      <w:r w:rsidRPr="00844C8D">
        <w:rPr>
          <w:rFonts w:ascii="Arial" w:hAnsi="Arial" w:cs="Arial"/>
          <w:i/>
          <w:sz w:val="18"/>
          <w:szCs w:val="18"/>
          <w:lang w:val="es-ES"/>
        </w:rPr>
        <w:t xml:space="preserve"> </w:t>
      </w:r>
      <w:proofErr w:type="spellStart"/>
      <w:r w:rsidRPr="00844C8D">
        <w:rPr>
          <w:rFonts w:ascii="Arial" w:hAnsi="Arial" w:cs="Arial"/>
          <w:i/>
          <w:sz w:val="18"/>
          <w:szCs w:val="18"/>
          <w:lang w:val="es-ES"/>
        </w:rPr>
        <w:t>Report</w:t>
      </w:r>
      <w:proofErr w:type="spellEnd"/>
      <w:r w:rsidRPr="00AF2969">
        <w:rPr>
          <w:rFonts w:ascii="Arial" w:hAnsi="Arial" w:cs="Arial"/>
          <w:sz w:val="18"/>
          <w:szCs w:val="18"/>
          <w:lang w:val="es-ES"/>
        </w:rPr>
        <w:t xml:space="preserve"> por sus siglas en inglés.</w:t>
      </w:r>
    </w:p>
  </w:footnote>
  <w:footnote w:id="4">
    <w:p w14:paraId="39A562EA" w14:textId="40C6AD13" w:rsidR="00407F3B" w:rsidRPr="009A6CCF" w:rsidRDefault="00407F3B" w:rsidP="009A6CCF">
      <w:pPr>
        <w:pStyle w:val="FootnoteText"/>
        <w:spacing w:after="0"/>
        <w:ind w:left="180" w:hanging="180"/>
        <w:rPr>
          <w:rFonts w:ascii="Arial" w:hAnsi="Arial" w:cs="Arial"/>
          <w:sz w:val="18"/>
          <w:szCs w:val="18"/>
          <w:lang w:val="es-ES_tradnl"/>
        </w:rPr>
      </w:pPr>
      <w:r w:rsidRPr="00AF2969">
        <w:rPr>
          <w:rFonts w:ascii="Arial" w:hAnsi="Arial" w:cs="Arial"/>
          <w:sz w:val="18"/>
          <w:szCs w:val="18"/>
          <w:vertAlign w:val="superscript"/>
          <w:lang w:val="pt-BR"/>
        </w:rPr>
        <w:footnoteRef/>
      </w:r>
      <w:r w:rsidRPr="009A6CCF">
        <w:rPr>
          <w:rFonts w:ascii="Arial" w:hAnsi="Arial" w:cs="Arial"/>
          <w:sz w:val="18"/>
          <w:szCs w:val="18"/>
          <w:lang w:val="es-ES_tradnl"/>
        </w:rPr>
        <w:t xml:space="preserve"> </w:t>
      </w:r>
      <w:r w:rsidRPr="009A6CCF">
        <w:rPr>
          <w:rFonts w:ascii="Arial" w:hAnsi="Arial" w:cs="Arial"/>
          <w:sz w:val="18"/>
          <w:szCs w:val="18"/>
          <w:lang w:val="es-ES_tradnl"/>
        </w:rPr>
        <w:tab/>
        <w:t xml:space="preserve">Ver Matriz de Resultados. </w:t>
      </w:r>
      <w:r w:rsidRPr="00EA0D09">
        <w:rPr>
          <w:rFonts w:ascii="Arial" w:hAnsi="Arial" w:cs="Arial"/>
          <w:sz w:val="18"/>
          <w:szCs w:val="18"/>
          <w:lang w:val="es-ES_tradnl"/>
        </w:rPr>
        <w:t xml:space="preserve">Anexo </w:t>
      </w:r>
      <w:r w:rsidR="00EA0D09" w:rsidRPr="00EA0D09">
        <w:rPr>
          <w:rFonts w:ascii="Arial" w:hAnsi="Arial" w:cs="Arial"/>
          <w:sz w:val="18"/>
          <w:szCs w:val="18"/>
          <w:lang w:val="es-ES_tradnl"/>
        </w:rPr>
        <w:t>II del documento de préstamo de esta operación.</w:t>
      </w:r>
    </w:p>
  </w:footnote>
  <w:footnote w:id="5">
    <w:p w14:paraId="4241570E" w14:textId="0012C713" w:rsidR="00DE4364" w:rsidRPr="00EA0D09" w:rsidRDefault="00DE4364" w:rsidP="00EA0D09">
      <w:pPr>
        <w:pStyle w:val="FootnoteText"/>
        <w:tabs>
          <w:tab w:val="left" w:pos="180"/>
        </w:tabs>
        <w:ind w:left="180" w:hanging="180"/>
        <w:rPr>
          <w:rFonts w:ascii="Arial" w:hAnsi="Arial" w:cs="Arial"/>
          <w:sz w:val="18"/>
          <w:szCs w:val="18"/>
          <w:lang w:val="es-AR"/>
        </w:rPr>
      </w:pPr>
      <w:r w:rsidRPr="00EA0D09">
        <w:rPr>
          <w:rStyle w:val="FootnoteReference"/>
          <w:rFonts w:ascii="Arial" w:hAnsi="Arial" w:cs="Arial"/>
          <w:sz w:val="18"/>
          <w:szCs w:val="18"/>
        </w:rPr>
        <w:footnoteRef/>
      </w:r>
      <w:r w:rsidRPr="00EA0D09">
        <w:rPr>
          <w:rFonts w:ascii="Arial" w:hAnsi="Arial" w:cs="Arial"/>
          <w:sz w:val="18"/>
          <w:szCs w:val="18"/>
          <w:lang w:val="es-AR"/>
        </w:rPr>
        <w:t xml:space="preserve"> </w:t>
      </w:r>
      <w:r w:rsidR="00EA0D09">
        <w:rPr>
          <w:rFonts w:ascii="Arial" w:hAnsi="Arial" w:cs="Arial"/>
          <w:sz w:val="18"/>
          <w:szCs w:val="18"/>
          <w:lang w:val="es-AR"/>
        </w:rPr>
        <w:tab/>
      </w:r>
      <w:r w:rsidRPr="00EA0D09">
        <w:rPr>
          <w:rFonts w:ascii="Arial" w:hAnsi="Arial" w:cs="Arial"/>
          <w:sz w:val="18"/>
          <w:szCs w:val="18"/>
          <w:lang w:val="es-AR"/>
        </w:rPr>
        <w:t>La previsión de las encuestas a realizar presume pocos problemas logísticos y costos acotados ya que existen entidades (cámaras, agrupaciones, e inmobiliarias de importancia) que pueden proveer la información esperada.</w:t>
      </w:r>
    </w:p>
  </w:footnote>
  <w:footnote w:id="6">
    <w:p w14:paraId="6737F048" w14:textId="3CEF2ACE" w:rsidR="00407F3B" w:rsidRPr="00EA0D09" w:rsidRDefault="00407F3B" w:rsidP="00EA0D09">
      <w:pPr>
        <w:pStyle w:val="FootnoteText"/>
        <w:tabs>
          <w:tab w:val="left" w:pos="180"/>
        </w:tabs>
        <w:spacing w:after="0"/>
        <w:ind w:left="180" w:hanging="180"/>
        <w:rPr>
          <w:rFonts w:ascii="Arial" w:hAnsi="Arial" w:cs="Arial"/>
          <w:sz w:val="18"/>
          <w:szCs w:val="18"/>
          <w:lang w:val="es-AR"/>
        </w:rPr>
      </w:pPr>
      <w:r w:rsidRPr="00EA0D09">
        <w:rPr>
          <w:rStyle w:val="FootnoteReference"/>
          <w:rFonts w:ascii="Arial" w:hAnsi="Arial" w:cs="Arial"/>
          <w:sz w:val="18"/>
          <w:szCs w:val="18"/>
        </w:rPr>
        <w:footnoteRef/>
      </w:r>
      <w:r w:rsidRPr="00EA0D09">
        <w:rPr>
          <w:rFonts w:ascii="Arial" w:hAnsi="Arial" w:cs="Arial"/>
          <w:sz w:val="18"/>
          <w:szCs w:val="18"/>
          <w:lang w:val="es-AR"/>
        </w:rPr>
        <w:t xml:space="preserve"> </w:t>
      </w:r>
      <w:r w:rsidR="00EA0D09">
        <w:rPr>
          <w:rFonts w:ascii="Arial" w:hAnsi="Arial" w:cs="Arial"/>
          <w:sz w:val="18"/>
          <w:szCs w:val="18"/>
          <w:lang w:val="es-AR"/>
        </w:rPr>
        <w:tab/>
      </w:r>
      <w:r w:rsidRPr="00EA0D09">
        <w:rPr>
          <w:rFonts w:ascii="Arial" w:hAnsi="Arial" w:cs="Arial"/>
          <w:sz w:val="18"/>
          <w:szCs w:val="18"/>
          <w:lang w:val="es-AR"/>
        </w:rPr>
        <w:t xml:space="preserve">La limitada disponibilidad de información también impone dificultades de definición y logísticas para la implementación de una encuesta sobre una población comparable a </w:t>
      </w:r>
      <w:r w:rsidRPr="006E6714">
        <w:rPr>
          <w:rFonts w:ascii="Arial" w:hAnsi="Arial" w:cs="Arial"/>
          <w:sz w:val="18"/>
          <w:szCs w:val="18"/>
          <w:lang w:val="es-ES_tradnl"/>
        </w:rPr>
        <w:t>la</w:t>
      </w:r>
      <w:r w:rsidRPr="00EA0D09">
        <w:rPr>
          <w:rFonts w:ascii="Arial" w:hAnsi="Arial" w:cs="Arial"/>
          <w:sz w:val="18"/>
          <w:szCs w:val="18"/>
          <w:lang w:val="es-AR"/>
        </w:rPr>
        <w:t xml:space="preserve"> de los beneficiarios. </w:t>
      </w:r>
    </w:p>
  </w:footnote>
  <w:footnote w:id="7">
    <w:p w14:paraId="145135D1" w14:textId="77777777" w:rsidR="00407F3B" w:rsidRPr="00EA0D09" w:rsidRDefault="00407F3B" w:rsidP="00EA0D09">
      <w:pPr>
        <w:pStyle w:val="FootnoteText"/>
        <w:tabs>
          <w:tab w:val="left" w:pos="180"/>
        </w:tabs>
        <w:spacing w:after="0"/>
        <w:ind w:left="180" w:hanging="180"/>
        <w:rPr>
          <w:rFonts w:ascii="Arial" w:hAnsi="Arial" w:cs="Arial"/>
          <w:sz w:val="18"/>
          <w:szCs w:val="18"/>
        </w:rPr>
      </w:pPr>
      <w:r w:rsidRPr="00EA0D09">
        <w:rPr>
          <w:rFonts w:ascii="Arial" w:hAnsi="Arial" w:cs="Arial"/>
          <w:sz w:val="18"/>
          <w:szCs w:val="18"/>
          <w:vertAlign w:val="superscript"/>
          <w:lang w:val="es-ES_tradnl"/>
        </w:rPr>
        <w:footnoteRef/>
      </w:r>
      <w:r w:rsidRPr="00EA0D09">
        <w:rPr>
          <w:rFonts w:ascii="Arial" w:hAnsi="Arial" w:cs="Arial"/>
          <w:sz w:val="18"/>
          <w:szCs w:val="18"/>
        </w:rPr>
        <w:tab/>
      </w:r>
      <w:proofErr w:type="spellStart"/>
      <w:r w:rsidRPr="00EA0D09">
        <w:rPr>
          <w:rFonts w:ascii="Arial" w:hAnsi="Arial" w:cs="Arial"/>
          <w:sz w:val="18"/>
          <w:szCs w:val="18"/>
        </w:rPr>
        <w:t>Cattaneo</w:t>
      </w:r>
      <w:proofErr w:type="spellEnd"/>
      <w:r w:rsidRPr="00EA0D09">
        <w:rPr>
          <w:rFonts w:ascii="Arial" w:hAnsi="Arial" w:cs="Arial"/>
          <w:sz w:val="18"/>
          <w:szCs w:val="18"/>
        </w:rPr>
        <w:t xml:space="preserve"> et al (2009): </w:t>
      </w:r>
      <w:r w:rsidRPr="00EA0D09">
        <w:rPr>
          <w:rFonts w:ascii="Arial" w:hAnsi="Arial" w:cs="Arial"/>
          <w:i/>
          <w:sz w:val="18"/>
          <w:szCs w:val="18"/>
        </w:rPr>
        <w:t>“Housing, Health, and Happiness”, American Economic Journal: Economic Policy</w:t>
      </w:r>
      <w:r w:rsidRPr="00EA0D09">
        <w:rPr>
          <w:rFonts w:ascii="Arial" w:hAnsi="Arial" w:cs="Arial"/>
          <w:sz w:val="18"/>
          <w:szCs w:val="18"/>
        </w:rPr>
        <w:t>.</w:t>
      </w:r>
    </w:p>
  </w:footnote>
  <w:footnote w:id="8">
    <w:p w14:paraId="0A8A3EC3" w14:textId="1FC3B9F5" w:rsidR="00407F3B" w:rsidRPr="00EA0D09" w:rsidRDefault="00407F3B" w:rsidP="00EA0D09">
      <w:pPr>
        <w:pStyle w:val="FootnoteText"/>
        <w:tabs>
          <w:tab w:val="left" w:pos="180"/>
        </w:tabs>
        <w:spacing w:after="0"/>
        <w:ind w:left="180" w:hanging="180"/>
        <w:rPr>
          <w:rFonts w:ascii="Arial" w:hAnsi="Arial" w:cs="Arial"/>
          <w:sz w:val="18"/>
          <w:szCs w:val="18"/>
        </w:rPr>
      </w:pPr>
      <w:r w:rsidRPr="00EA0D09">
        <w:rPr>
          <w:rFonts w:ascii="Arial" w:hAnsi="Arial" w:cs="Arial"/>
          <w:sz w:val="18"/>
          <w:szCs w:val="18"/>
          <w:vertAlign w:val="superscript"/>
          <w:lang w:val="es-ES_tradnl"/>
        </w:rPr>
        <w:footnoteRef/>
      </w:r>
      <w:r w:rsidRPr="00EA0D09">
        <w:rPr>
          <w:rFonts w:ascii="Arial" w:hAnsi="Arial" w:cs="Arial"/>
          <w:sz w:val="18"/>
          <w:szCs w:val="18"/>
        </w:rPr>
        <w:tab/>
      </w:r>
      <w:proofErr w:type="spellStart"/>
      <w:proofErr w:type="gramStart"/>
      <w:r w:rsidRPr="00EA0D09">
        <w:rPr>
          <w:rFonts w:ascii="Arial" w:hAnsi="Arial" w:cs="Arial"/>
          <w:sz w:val="18"/>
          <w:szCs w:val="18"/>
        </w:rPr>
        <w:t>Marcano,L</w:t>
      </w:r>
      <w:proofErr w:type="spellEnd"/>
      <w:r w:rsidRPr="00EA0D09">
        <w:rPr>
          <w:rFonts w:ascii="Arial" w:hAnsi="Arial" w:cs="Arial"/>
          <w:sz w:val="18"/>
          <w:szCs w:val="18"/>
        </w:rPr>
        <w:t>.</w:t>
      </w:r>
      <w:proofErr w:type="gramEnd"/>
      <w:r w:rsidRPr="00EA0D09">
        <w:rPr>
          <w:rFonts w:ascii="Arial" w:hAnsi="Arial" w:cs="Arial"/>
          <w:sz w:val="18"/>
          <w:szCs w:val="18"/>
        </w:rPr>
        <w:t xml:space="preserve"> y </w:t>
      </w:r>
      <w:proofErr w:type="spellStart"/>
      <w:r w:rsidRPr="00EA0D09">
        <w:rPr>
          <w:rFonts w:ascii="Arial" w:hAnsi="Arial" w:cs="Arial"/>
          <w:sz w:val="18"/>
          <w:szCs w:val="18"/>
        </w:rPr>
        <w:t>Ruprah</w:t>
      </w:r>
      <w:proofErr w:type="spellEnd"/>
      <w:r w:rsidRPr="00EA0D09">
        <w:rPr>
          <w:rFonts w:ascii="Arial" w:hAnsi="Arial" w:cs="Arial"/>
          <w:sz w:val="18"/>
          <w:szCs w:val="18"/>
        </w:rPr>
        <w:t>, I. “</w:t>
      </w:r>
      <w:r w:rsidRPr="00EA0D09">
        <w:rPr>
          <w:rFonts w:ascii="Arial" w:hAnsi="Arial" w:cs="Arial"/>
          <w:i/>
          <w:sz w:val="18"/>
          <w:szCs w:val="18"/>
        </w:rPr>
        <w:t>An Impact evaluation of Chile´s Progressive Housing Programm</w:t>
      </w:r>
      <w:r w:rsidR="00EA0D09">
        <w:rPr>
          <w:rFonts w:ascii="Arial" w:hAnsi="Arial" w:cs="Arial"/>
          <w:i/>
          <w:sz w:val="18"/>
          <w:szCs w:val="18"/>
        </w:rPr>
        <w:t>e</w:t>
      </w:r>
      <w:r w:rsidRPr="00EA0D09">
        <w:rPr>
          <w:rFonts w:ascii="Arial" w:hAnsi="Arial" w:cs="Arial"/>
          <w:i/>
          <w:sz w:val="18"/>
          <w:szCs w:val="18"/>
        </w:rPr>
        <w:t>”, Inter-American Development Bank, Office of Evaluation and Oversight. Working Paper.  Washington, DC.</w:t>
      </w:r>
    </w:p>
  </w:footnote>
  <w:footnote w:id="9">
    <w:p w14:paraId="74967C47" w14:textId="7D719F4F" w:rsidR="00407F3B" w:rsidRPr="00EA0D09" w:rsidRDefault="00407F3B" w:rsidP="00EA0D09">
      <w:pPr>
        <w:pStyle w:val="FootnoteText"/>
        <w:tabs>
          <w:tab w:val="left" w:pos="180"/>
        </w:tabs>
        <w:spacing w:after="0"/>
        <w:ind w:left="180" w:hanging="180"/>
        <w:rPr>
          <w:rFonts w:ascii="Arial" w:hAnsi="Arial" w:cs="Arial"/>
          <w:sz w:val="18"/>
          <w:szCs w:val="18"/>
        </w:rPr>
      </w:pPr>
      <w:r w:rsidRPr="00EA0D09">
        <w:rPr>
          <w:rStyle w:val="FootnoteReference"/>
          <w:rFonts w:ascii="Arial" w:hAnsi="Arial" w:cs="Arial"/>
          <w:sz w:val="18"/>
          <w:szCs w:val="18"/>
        </w:rPr>
        <w:footnoteRef/>
      </w:r>
      <w:r w:rsidRPr="00EA0D09">
        <w:rPr>
          <w:rFonts w:ascii="Arial" w:hAnsi="Arial" w:cs="Arial"/>
          <w:sz w:val="18"/>
          <w:szCs w:val="18"/>
        </w:rPr>
        <w:t xml:space="preserve"> </w:t>
      </w:r>
      <w:r w:rsidR="00EA0D09" w:rsidRPr="00EA0D09">
        <w:rPr>
          <w:rFonts w:ascii="Arial" w:hAnsi="Arial" w:cs="Arial"/>
          <w:sz w:val="18"/>
          <w:szCs w:val="18"/>
        </w:rPr>
        <w:tab/>
      </w:r>
      <w:r w:rsidRPr="00EA0D09">
        <w:rPr>
          <w:rFonts w:ascii="Arial" w:hAnsi="Arial" w:cs="Arial"/>
          <w:sz w:val="18"/>
          <w:szCs w:val="18"/>
        </w:rPr>
        <w:t>Ver</w:t>
      </w:r>
      <w:r w:rsidR="00EA0D09">
        <w:rPr>
          <w:rFonts w:ascii="Arial" w:hAnsi="Arial" w:cs="Arial"/>
          <w:sz w:val="18"/>
          <w:szCs w:val="18"/>
        </w:rPr>
        <w:t>:</w:t>
      </w:r>
      <w:r w:rsidRPr="00EA0D09">
        <w:rPr>
          <w:rFonts w:ascii="Arial" w:hAnsi="Arial" w:cs="Arial"/>
          <w:sz w:val="18"/>
          <w:szCs w:val="18"/>
        </w:rPr>
        <w:t xml:space="preserve"> </w:t>
      </w:r>
      <w:hyperlink r:id="rId1" w:history="1">
        <w:proofErr w:type="spellStart"/>
        <w:r w:rsidRPr="00925B5D">
          <w:rPr>
            <w:rStyle w:val="Hyperlink"/>
            <w:rFonts w:ascii="Arial" w:hAnsi="Arial" w:cs="Arial"/>
            <w:sz w:val="18"/>
            <w:szCs w:val="18"/>
          </w:rPr>
          <w:t>Análisis</w:t>
        </w:r>
        <w:proofErr w:type="spellEnd"/>
        <w:r w:rsidRPr="00925B5D">
          <w:rPr>
            <w:rStyle w:val="Hyperlink"/>
            <w:rFonts w:ascii="Arial" w:hAnsi="Arial" w:cs="Arial"/>
            <w:sz w:val="18"/>
            <w:szCs w:val="18"/>
          </w:rPr>
          <w:t xml:space="preserve"> </w:t>
        </w:r>
        <w:proofErr w:type="spellStart"/>
        <w:r w:rsidRPr="00925B5D">
          <w:rPr>
            <w:rStyle w:val="Hyperlink"/>
            <w:rFonts w:ascii="Arial" w:hAnsi="Arial" w:cs="Arial"/>
            <w:sz w:val="18"/>
            <w:szCs w:val="18"/>
          </w:rPr>
          <w:t>Económico</w:t>
        </w:r>
        <w:proofErr w:type="spellEnd"/>
        <w:r w:rsidRPr="00925B5D">
          <w:rPr>
            <w:rStyle w:val="Hyperlink"/>
            <w:rFonts w:ascii="Arial" w:hAnsi="Arial" w:cs="Arial"/>
            <w:sz w:val="18"/>
            <w:szCs w:val="18"/>
          </w:rPr>
          <w:t xml:space="preserve"> del </w:t>
        </w:r>
        <w:proofErr w:type="spellStart"/>
        <w:r w:rsidR="00893F07" w:rsidRPr="00925B5D">
          <w:rPr>
            <w:rStyle w:val="Hyperlink"/>
            <w:rFonts w:ascii="Arial" w:hAnsi="Arial" w:cs="Arial"/>
            <w:sz w:val="18"/>
            <w:szCs w:val="18"/>
          </w:rPr>
          <w:t>p</w:t>
        </w:r>
        <w:r w:rsidRPr="00925B5D">
          <w:rPr>
            <w:rStyle w:val="Hyperlink"/>
            <w:rFonts w:ascii="Arial" w:hAnsi="Arial" w:cs="Arial"/>
            <w:sz w:val="18"/>
            <w:szCs w:val="18"/>
          </w:rPr>
          <w:t>rograma</w:t>
        </w:r>
        <w:proofErr w:type="spellEnd"/>
      </w:hyperlink>
      <w:r w:rsidR="00624A3A">
        <w:rPr>
          <w:rFonts w:ascii="Arial" w:hAnsi="Arial" w:cs="Arial"/>
          <w:sz w:val="18"/>
          <w:szCs w:val="18"/>
        </w:rPr>
        <w:t>.</w:t>
      </w:r>
      <w:r w:rsidRPr="00EA0D09">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9D151C5"/>
    <w:multiLevelType w:val="hybridMultilevel"/>
    <w:tmpl w:val="12A21160"/>
    <w:lvl w:ilvl="0" w:tplc="5BC4047A">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682"/>
        </w:tabs>
        <w:ind w:left="268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4F74534E"/>
    <w:multiLevelType w:val="hybridMultilevel"/>
    <w:tmpl w:val="12A21160"/>
    <w:lvl w:ilvl="0" w:tplc="5BC4047A">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2"/>
  </w:num>
  <w:num w:numId="7">
    <w:abstractNumId w:val="4"/>
  </w:num>
  <w:num w:numId="8">
    <w:abstractNumId w:val="2"/>
  </w:num>
  <w:num w:numId="9">
    <w:abstractNumId w:val="2"/>
  </w:num>
  <w:num w:numId="10">
    <w:abstractNumId w:val="2"/>
  </w:num>
  <w:num w:numId="11">
    <w:abstractNumId w:val="2"/>
  </w:num>
  <w:num w:numId="12">
    <w:abstractNumId w:val="1"/>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EB"/>
    <w:rsid w:val="0000799E"/>
    <w:rsid w:val="00040E5B"/>
    <w:rsid w:val="000728A9"/>
    <w:rsid w:val="000A60D6"/>
    <w:rsid w:val="0010080F"/>
    <w:rsid w:val="00103C83"/>
    <w:rsid w:val="001070EB"/>
    <w:rsid w:val="001210C3"/>
    <w:rsid w:val="00175E26"/>
    <w:rsid w:val="00180906"/>
    <w:rsid w:val="001B1E73"/>
    <w:rsid w:val="001C6555"/>
    <w:rsid w:val="001C72A9"/>
    <w:rsid w:val="001F47C7"/>
    <w:rsid w:val="00207CAD"/>
    <w:rsid w:val="002315E6"/>
    <w:rsid w:val="002350A1"/>
    <w:rsid w:val="0024622B"/>
    <w:rsid w:val="00250A86"/>
    <w:rsid w:val="002518F5"/>
    <w:rsid w:val="002650B4"/>
    <w:rsid w:val="002709DB"/>
    <w:rsid w:val="00276E84"/>
    <w:rsid w:val="00284A13"/>
    <w:rsid w:val="002902F9"/>
    <w:rsid w:val="00290948"/>
    <w:rsid w:val="002D3181"/>
    <w:rsid w:val="002E16F7"/>
    <w:rsid w:val="002E46B6"/>
    <w:rsid w:val="00317F1B"/>
    <w:rsid w:val="003322B4"/>
    <w:rsid w:val="00350414"/>
    <w:rsid w:val="00353385"/>
    <w:rsid w:val="00357029"/>
    <w:rsid w:val="003A25D6"/>
    <w:rsid w:val="003A4AA3"/>
    <w:rsid w:val="003C3DA6"/>
    <w:rsid w:val="003C4D85"/>
    <w:rsid w:val="003D1548"/>
    <w:rsid w:val="003E2A7F"/>
    <w:rsid w:val="003F6CF0"/>
    <w:rsid w:val="00407F3B"/>
    <w:rsid w:val="004163AD"/>
    <w:rsid w:val="004331AB"/>
    <w:rsid w:val="0043439C"/>
    <w:rsid w:val="00451992"/>
    <w:rsid w:val="00454783"/>
    <w:rsid w:val="00463281"/>
    <w:rsid w:val="00481E47"/>
    <w:rsid w:val="00490F2C"/>
    <w:rsid w:val="004B1AA6"/>
    <w:rsid w:val="004B3184"/>
    <w:rsid w:val="004C01A3"/>
    <w:rsid w:val="004C1910"/>
    <w:rsid w:val="004C30E9"/>
    <w:rsid w:val="004D026F"/>
    <w:rsid w:val="004D2AE4"/>
    <w:rsid w:val="004E304C"/>
    <w:rsid w:val="004E3A25"/>
    <w:rsid w:val="005277AA"/>
    <w:rsid w:val="005401BF"/>
    <w:rsid w:val="005638B0"/>
    <w:rsid w:val="00581A0D"/>
    <w:rsid w:val="005A0051"/>
    <w:rsid w:val="005C0340"/>
    <w:rsid w:val="005D19E6"/>
    <w:rsid w:val="005D5A7E"/>
    <w:rsid w:val="005E0DDA"/>
    <w:rsid w:val="00600256"/>
    <w:rsid w:val="00621BA7"/>
    <w:rsid w:val="00624A3A"/>
    <w:rsid w:val="006301C4"/>
    <w:rsid w:val="00632E89"/>
    <w:rsid w:val="00633561"/>
    <w:rsid w:val="00634A4F"/>
    <w:rsid w:val="006417B0"/>
    <w:rsid w:val="00654BA7"/>
    <w:rsid w:val="0066309F"/>
    <w:rsid w:val="00673A4C"/>
    <w:rsid w:val="00674717"/>
    <w:rsid w:val="0069059F"/>
    <w:rsid w:val="00697F7B"/>
    <w:rsid w:val="006A0C49"/>
    <w:rsid w:val="006B4B9F"/>
    <w:rsid w:val="006C5D44"/>
    <w:rsid w:val="006D04A6"/>
    <w:rsid w:val="006E6714"/>
    <w:rsid w:val="006F4C5F"/>
    <w:rsid w:val="00721080"/>
    <w:rsid w:val="007329A7"/>
    <w:rsid w:val="00742CD0"/>
    <w:rsid w:val="00746DF6"/>
    <w:rsid w:val="0079190E"/>
    <w:rsid w:val="007D01E9"/>
    <w:rsid w:val="007D629F"/>
    <w:rsid w:val="007F3414"/>
    <w:rsid w:val="00823047"/>
    <w:rsid w:val="008801FC"/>
    <w:rsid w:val="00893F07"/>
    <w:rsid w:val="008C07F9"/>
    <w:rsid w:val="008D12B9"/>
    <w:rsid w:val="008D5442"/>
    <w:rsid w:val="00912492"/>
    <w:rsid w:val="0092077C"/>
    <w:rsid w:val="00925B5D"/>
    <w:rsid w:val="00942FED"/>
    <w:rsid w:val="0099451E"/>
    <w:rsid w:val="009A1921"/>
    <w:rsid w:val="009A6CCF"/>
    <w:rsid w:val="009C3915"/>
    <w:rsid w:val="009C5F9D"/>
    <w:rsid w:val="009C7308"/>
    <w:rsid w:val="00A30104"/>
    <w:rsid w:val="00A53A38"/>
    <w:rsid w:val="00A57B13"/>
    <w:rsid w:val="00A57DAF"/>
    <w:rsid w:val="00A72FA9"/>
    <w:rsid w:val="00A94348"/>
    <w:rsid w:val="00AB276C"/>
    <w:rsid w:val="00AC1B4B"/>
    <w:rsid w:val="00AC2FE4"/>
    <w:rsid w:val="00AC5761"/>
    <w:rsid w:val="00AE4D8D"/>
    <w:rsid w:val="00B246A0"/>
    <w:rsid w:val="00B35AC4"/>
    <w:rsid w:val="00B44675"/>
    <w:rsid w:val="00B46618"/>
    <w:rsid w:val="00B50D7E"/>
    <w:rsid w:val="00B83E94"/>
    <w:rsid w:val="00B90C9B"/>
    <w:rsid w:val="00BF01F3"/>
    <w:rsid w:val="00BF3C50"/>
    <w:rsid w:val="00C17776"/>
    <w:rsid w:val="00C439F3"/>
    <w:rsid w:val="00C55BAE"/>
    <w:rsid w:val="00C67B21"/>
    <w:rsid w:val="00C82699"/>
    <w:rsid w:val="00C852E5"/>
    <w:rsid w:val="00CC3EB3"/>
    <w:rsid w:val="00CD3360"/>
    <w:rsid w:val="00CD598A"/>
    <w:rsid w:val="00D06A26"/>
    <w:rsid w:val="00D07841"/>
    <w:rsid w:val="00D130CD"/>
    <w:rsid w:val="00D22B67"/>
    <w:rsid w:val="00D43CD1"/>
    <w:rsid w:val="00D67531"/>
    <w:rsid w:val="00DE4364"/>
    <w:rsid w:val="00DF29CA"/>
    <w:rsid w:val="00E56D7C"/>
    <w:rsid w:val="00E673DC"/>
    <w:rsid w:val="00E70FF3"/>
    <w:rsid w:val="00E76750"/>
    <w:rsid w:val="00E84E2E"/>
    <w:rsid w:val="00E85AC5"/>
    <w:rsid w:val="00E973C1"/>
    <w:rsid w:val="00E9753A"/>
    <w:rsid w:val="00EA0D09"/>
    <w:rsid w:val="00ED4A98"/>
    <w:rsid w:val="00EE7FFE"/>
    <w:rsid w:val="00F20D6E"/>
    <w:rsid w:val="00F35D95"/>
    <w:rsid w:val="00F461F6"/>
    <w:rsid w:val="00F529F3"/>
    <w:rsid w:val="00F63080"/>
    <w:rsid w:val="00F65A95"/>
    <w:rsid w:val="00FA7D4A"/>
    <w:rsid w:val="00FB4503"/>
    <w:rsid w:val="00FD2996"/>
    <w:rsid w:val="00FF7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BAA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6CCF"/>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9A6CCF"/>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unhideWhenUsed/>
    <w:qFormat/>
    <w:rsid w:val="009A6CCF"/>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9A6CCF"/>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unhideWhenUsed/>
    <w:qFormat/>
    <w:rsid w:val="009A6CCF"/>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unhideWhenUsed/>
    <w:qFormat/>
    <w:rsid w:val="009A6CCF"/>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6CCF"/>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rsid w:val="009A6CCF"/>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9A6CCF"/>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rsid w:val="009A6CCF"/>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rsid w:val="009A6CCF"/>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9A6CCF"/>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9A6CCF"/>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9A6CCF"/>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A6CCF"/>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link w:val="Paragraph"/>
    <w:rsid w:val="009A6CCF"/>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9A6CCF"/>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9A6CCF"/>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9A6CCF"/>
    <w:rPr>
      <w:vertAlign w:val="superscript"/>
    </w:rPr>
  </w:style>
  <w:style w:type="paragraph" w:customStyle="1" w:styleId="Chapter">
    <w:name w:val="Chapter"/>
    <w:basedOn w:val="Normal"/>
    <w:next w:val="Normal"/>
    <w:qFormat/>
    <w:rsid w:val="009A6CCF"/>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9A6CCF"/>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9A6CCF"/>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9A6CCF"/>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9A6CCF"/>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A6CCF"/>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9A6CCF"/>
    <w:pPr>
      <w:numPr>
        <w:ilvl w:val="2"/>
      </w:numPr>
    </w:pPr>
    <w:rPr>
      <w:bCs w:val="0"/>
      <w:color w:val="auto"/>
    </w:rPr>
  </w:style>
  <w:style w:type="paragraph" w:customStyle="1" w:styleId="Subheading2">
    <w:name w:val="Subheading2"/>
    <w:basedOn w:val="SecHeading"/>
    <w:rsid w:val="009A6CCF"/>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9A6CCF"/>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rsid w:val="009A6CCF"/>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A6CCF"/>
    <w:pPr>
      <w:numPr>
        <w:ilvl w:val="3"/>
        <w:numId w:val="0"/>
      </w:numPr>
      <w:tabs>
        <w:tab w:val="left" w:pos="0"/>
        <w:tab w:val="num" w:pos="1296"/>
      </w:tabs>
      <w:ind w:left="1296"/>
    </w:pPr>
  </w:style>
  <w:style w:type="character" w:customStyle="1" w:styleId="SubSubParChar">
    <w:name w:val="SubSubPar Char"/>
    <w:basedOn w:val="DefaultParagraphFont"/>
    <w:link w:val="SubSubPar"/>
    <w:rsid w:val="009A6CCF"/>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9A6CCF"/>
    <w:rPr>
      <w:b/>
      <w:bCs/>
      <w:smallCaps/>
      <w:spacing w:val="5"/>
    </w:rPr>
  </w:style>
  <w:style w:type="paragraph" w:styleId="Footer">
    <w:name w:val="footer"/>
    <w:basedOn w:val="Normal"/>
    <w:link w:val="FooterChar"/>
    <w:uiPriority w:val="99"/>
    <w:unhideWhenUsed/>
    <w:rsid w:val="009A6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CCF"/>
    <w:rPr>
      <w:rFonts w:eastAsiaTheme="minorEastAsia"/>
      <w:lang w:val="en-GB" w:eastAsia="en-GB"/>
    </w:rPr>
  </w:style>
  <w:style w:type="character" w:styleId="Hyperlink">
    <w:name w:val="Hyperlink"/>
    <w:basedOn w:val="DefaultParagraphFont"/>
    <w:uiPriority w:val="99"/>
    <w:unhideWhenUsed/>
    <w:rsid w:val="009A6CCF"/>
    <w:rPr>
      <w:color w:val="0563C1" w:themeColor="hyperlink"/>
      <w:u w:val="single"/>
    </w:rPr>
  </w:style>
  <w:style w:type="paragraph" w:styleId="BodyTextIndent">
    <w:name w:val="Body Text Indent"/>
    <w:basedOn w:val="Normal"/>
    <w:link w:val="BodyTextIndentChar"/>
    <w:uiPriority w:val="99"/>
    <w:semiHidden/>
    <w:unhideWhenUsed/>
    <w:rsid w:val="009A6CCF"/>
    <w:pPr>
      <w:spacing w:after="120"/>
      <w:ind w:left="360"/>
    </w:pPr>
  </w:style>
  <w:style w:type="character" w:customStyle="1" w:styleId="BodyTextIndentChar">
    <w:name w:val="Body Text Indent Char"/>
    <w:basedOn w:val="DefaultParagraphFont"/>
    <w:link w:val="BodyTextIndent"/>
    <w:uiPriority w:val="99"/>
    <w:semiHidden/>
    <w:rsid w:val="009A6CCF"/>
    <w:rPr>
      <w:rFonts w:eastAsiaTheme="minorEastAsia"/>
      <w:lang w:val="en-GB" w:eastAsia="en-GB"/>
    </w:rPr>
  </w:style>
  <w:style w:type="paragraph" w:styleId="BodyTextIndent3">
    <w:name w:val="Body Text Indent 3"/>
    <w:basedOn w:val="Normal"/>
    <w:link w:val="BodyTextIndent3Char"/>
    <w:uiPriority w:val="99"/>
    <w:semiHidden/>
    <w:unhideWhenUsed/>
    <w:rsid w:val="009A6CC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A6CCF"/>
    <w:rPr>
      <w:rFonts w:eastAsiaTheme="minorEastAsia"/>
      <w:sz w:val="16"/>
      <w:szCs w:val="16"/>
      <w:lang w:val="en-GB" w:eastAsia="en-GB"/>
    </w:rPr>
  </w:style>
  <w:style w:type="paragraph" w:customStyle="1" w:styleId="Newpage">
    <w:name w:val="Newpage"/>
    <w:basedOn w:val="Normal"/>
    <w:link w:val="NewpageChar"/>
    <w:rsid w:val="009A6CCF"/>
    <w:pPr>
      <w:tabs>
        <w:tab w:val="left" w:pos="1440"/>
        <w:tab w:val="left" w:pos="3060"/>
      </w:tabs>
      <w:spacing w:after="0" w:line="240" w:lineRule="auto"/>
      <w:jc w:val="center"/>
    </w:pPr>
    <w:rPr>
      <w:rFonts w:ascii="Times New Roman" w:eastAsia="Times New Roman" w:hAnsi="Times New Roman" w:cs="Arial"/>
      <w:b/>
      <w:smallCaps/>
      <w:sz w:val="24"/>
      <w:szCs w:val="20"/>
      <w:lang w:val="en-US" w:eastAsia="en-US"/>
    </w:rPr>
  </w:style>
  <w:style w:type="character" w:customStyle="1" w:styleId="NewpageChar">
    <w:name w:val="Newpage Char"/>
    <w:basedOn w:val="DefaultParagraphFont"/>
    <w:link w:val="Newpage"/>
    <w:rsid w:val="009A6CCF"/>
    <w:rPr>
      <w:rFonts w:ascii="Times New Roman" w:eastAsia="Times New Roman" w:hAnsi="Times New Roman" w:cs="Arial"/>
      <w:b/>
      <w:smallCaps/>
      <w:sz w:val="24"/>
      <w:szCs w:val="20"/>
    </w:rPr>
  </w:style>
  <w:style w:type="character" w:customStyle="1" w:styleId="st">
    <w:name w:val="st"/>
    <w:basedOn w:val="DefaultParagraphFont"/>
    <w:rsid w:val="00CD598A"/>
  </w:style>
  <w:style w:type="character" w:styleId="Emphasis">
    <w:name w:val="Emphasis"/>
    <w:basedOn w:val="DefaultParagraphFont"/>
    <w:uiPriority w:val="20"/>
    <w:qFormat/>
    <w:rsid w:val="00CD598A"/>
    <w:rPr>
      <w:i/>
      <w:iCs/>
    </w:rPr>
  </w:style>
  <w:style w:type="paragraph" w:styleId="Header">
    <w:name w:val="header"/>
    <w:basedOn w:val="Normal"/>
    <w:link w:val="HeaderChar"/>
    <w:uiPriority w:val="99"/>
    <w:unhideWhenUsed/>
    <w:rsid w:val="00C177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776"/>
    <w:rPr>
      <w:rFonts w:eastAsiaTheme="minorEastAsia"/>
      <w:lang w:val="en-GB" w:eastAsia="en-GB"/>
    </w:rPr>
  </w:style>
  <w:style w:type="paragraph" w:styleId="BalloonText">
    <w:name w:val="Balloon Text"/>
    <w:basedOn w:val="Normal"/>
    <w:link w:val="BalloonTextChar"/>
    <w:uiPriority w:val="99"/>
    <w:semiHidden/>
    <w:unhideWhenUsed/>
    <w:rsid w:val="00B246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6A0"/>
    <w:rPr>
      <w:rFonts w:ascii="Segoe UI" w:eastAsiaTheme="minorEastAsia" w:hAnsi="Segoe UI" w:cs="Segoe UI"/>
      <w:sz w:val="18"/>
      <w:szCs w:val="18"/>
      <w:lang w:val="en-GB" w:eastAsia="en-GB"/>
    </w:rPr>
  </w:style>
  <w:style w:type="paragraph" w:styleId="Revision">
    <w:name w:val="Revision"/>
    <w:hidden/>
    <w:uiPriority w:val="99"/>
    <w:semiHidden/>
    <w:rsid w:val="00D22B67"/>
    <w:pPr>
      <w:spacing w:after="0" w:line="240" w:lineRule="auto"/>
    </w:pPr>
    <w:rPr>
      <w:rFonts w:eastAsiaTheme="minorEastAsia"/>
      <w:lang w:val="en-GB" w:eastAsia="en-GB"/>
    </w:rPr>
  </w:style>
  <w:style w:type="character" w:styleId="CommentReference">
    <w:name w:val="annotation reference"/>
    <w:basedOn w:val="DefaultParagraphFont"/>
    <w:uiPriority w:val="99"/>
    <w:semiHidden/>
    <w:unhideWhenUsed/>
    <w:rsid w:val="001C6555"/>
    <w:rPr>
      <w:sz w:val="16"/>
      <w:szCs w:val="16"/>
    </w:rPr>
  </w:style>
  <w:style w:type="paragraph" w:styleId="CommentText">
    <w:name w:val="annotation text"/>
    <w:basedOn w:val="Normal"/>
    <w:link w:val="CommentTextChar"/>
    <w:uiPriority w:val="99"/>
    <w:unhideWhenUsed/>
    <w:rsid w:val="001C6555"/>
    <w:pPr>
      <w:spacing w:line="240" w:lineRule="auto"/>
    </w:pPr>
    <w:rPr>
      <w:sz w:val="20"/>
      <w:szCs w:val="20"/>
    </w:rPr>
  </w:style>
  <w:style w:type="character" w:customStyle="1" w:styleId="CommentTextChar">
    <w:name w:val="Comment Text Char"/>
    <w:basedOn w:val="DefaultParagraphFont"/>
    <w:link w:val="CommentText"/>
    <w:uiPriority w:val="99"/>
    <w:rsid w:val="001C6555"/>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1C6555"/>
    <w:rPr>
      <w:b/>
      <w:bCs/>
    </w:rPr>
  </w:style>
  <w:style w:type="character" w:customStyle="1" w:styleId="CommentSubjectChar">
    <w:name w:val="Comment Subject Char"/>
    <w:basedOn w:val="CommentTextChar"/>
    <w:link w:val="CommentSubject"/>
    <w:uiPriority w:val="99"/>
    <w:semiHidden/>
    <w:rsid w:val="001C6555"/>
    <w:rPr>
      <w:rFonts w:eastAsiaTheme="minorEastAsia"/>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72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EZSHARE-29033304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65701019A864449EE5830BA61F17BD" ma:contentTypeVersion="0" ma:contentTypeDescription="A content type to manage public (operations) IDB documents" ma:contentTypeScope="" ma:versionID="33ddba319cce733e7d7fece265ada7d3">
  <xsd:schema xmlns:xsd="http://www.w3.org/2001/XMLSchema" xmlns:xs="http://www.w3.org/2001/XMLSchema" xmlns:p="http://schemas.microsoft.com/office/2006/metadata/properties" xmlns:ns2="cdc7663a-08f0-4737-9e8c-148ce897a09c" targetNamespace="http://schemas.microsoft.com/office/2006/metadata/properties" ma:root="true" ma:fieldsID="e57cc41487f8c81b40b014be79ef86a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U00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Guarante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R0002877058</Record_x0020_Number>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Prats Cabrera, Joan Oriol</Document_x0020_Author>
    <_dlc_DocId xmlns="cdc7663a-08f0-4737-9e8c-148ce897a09c">EZSHARE-290333042-8</_dlc_DocId>
    <Operation_x0020_Type xmlns="cdc7663a-08f0-4737-9e8c-148ce897a09c">Guarantee</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TaxCatchAll xmlns="cdc7663a-08f0-4737-9e8c-148ce897a09c">
      <Value>6</Value>
      <Value>5</Value>
      <Value>4</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EC-U0001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Document_x0020_Language_x0020_IDB xmlns="cdc7663a-08f0-4737-9e8c-148ce897a09c">Spanish</Document_x0020_Language_x0020_IDB>
    <_dlc_DocIdUrl xmlns="cdc7663a-08f0-4737-9e8c-148ce897a09c">
      <Url>https://idbg.sharepoint.com/teams/EZ-EC-GUA/EC-U0001/_layouts/15/DocIdRedir.aspx?ID=EZSHARE-290333042-8</Url>
      <Description>EZSHARE-290333042-8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79AA906-8C54-4D55-B755-20CEE90941A6}">
  <ds:schemaRefs>
    <ds:schemaRef ds:uri="http://schemas.openxmlformats.org/officeDocument/2006/bibliography"/>
  </ds:schemaRefs>
</ds:datastoreItem>
</file>

<file path=customXml/itemProps2.xml><?xml version="1.0" encoding="utf-8"?>
<ds:datastoreItem xmlns:ds="http://schemas.openxmlformats.org/officeDocument/2006/customXml" ds:itemID="{86322A63-FF40-40B1-9F49-9C3C8B3A386F}"/>
</file>

<file path=customXml/itemProps3.xml><?xml version="1.0" encoding="utf-8"?>
<ds:datastoreItem xmlns:ds="http://schemas.openxmlformats.org/officeDocument/2006/customXml" ds:itemID="{398E7073-6F74-4720-AF50-FDC497C3A55E}"/>
</file>

<file path=customXml/itemProps4.xml><?xml version="1.0" encoding="utf-8"?>
<ds:datastoreItem xmlns:ds="http://schemas.openxmlformats.org/officeDocument/2006/customXml" ds:itemID="{4C94B6D6-6036-48FC-A643-A2EAA361AE8E}"/>
</file>

<file path=customXml/itemProps5.xml><?xml version="1.0" encoding="utf-8"?>
<ds:datastoreItem xmlns:ds="http://schemas.openxmlformats.org/officeDocument/2006/customXml" ds:itemID="{53DD53AE-F032-4ECF-B844-64D85C539417}"/>
</file>

<file path=customXml/itemProps6.xml><?xml version="1.0" encoding="utf-8"?>
<ds:datastoreItem xmlns:ds="http://schemas.openxmlformats.org/officeDocument/2006/customXml" ds:itemID="{FF3654F4-73C4-4111-8425-9BB5288F52C3}"/>
</file>

<file path=customXml/itemProps7.xml><?xml version="1.0" encoding="utf-8"?>
<ds:datastoreItem xmlns:ds="http://schemas.openxmlformats.org/officeDocument/2006/customXml" ds:itemID="{41C337ED-C4D4-48BF-A395-449BDB3C9F21}"/>
</file>

<file path=docProps/app.xml><?xml version="1.0" encoding="utf-8"?>
<Properties xmlns="http://schemas.openxmlformats.org/officeDocument/2006/extended-properties" xmlns:vt="http://schemas.openxmlformats.org/officeDocument/2006/docPropsVTypes">
  <Template>Normal.dotm</Template>
  <TotalTime>0</TotalTime>
  <Pages>10</Pages>
  <Words>3084</Words>
  <Characters>17583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2018-11-05T22:30:00Z</dcterms:created>
  <dcterms:modified xsi:type="dcterms:W3CDTF">2018-11-06T20:07:00Z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6;#HOUSING|d64eac7c-6cd0-4be4-b4cc-4d2eef10277e</vt:lpwstr>
  </property>
  <property fmtid="{D5CDD505-2E9C-101B-9397-08002B2CF9AE}" pid="7" name="Country">
    <vt:lpwstr>4;#Ecuador|8f163189-00fa-4e7c-827d-28fb5798781c</vt:lpwstr>
  </property>
  <property fmtid="{D5CDD505-2E9C-101B-9397-08002B2CF9AE}" pid="8" name="Fund IDB">
    <vt:lpwstr/>
  </property>
  <property fmtid="{D5CDD505-2E9C-101B-9397-08002B2CF9AE}" pid="9" name="_dlc_DocIdItemGuid">
    <vt:lpwstr>617fb8fe-4d9f-4008-9158-e256722f36c3</vt:lpwstr>
  </property>
  <property fmtid="{D5CDD505-2E9C-101B-9397-08002B2CF9AE}" pid="10" name="Sector IDB">
    <vt:lpwstr>5;#URBAN DEVELOPMENT AND HOUSING|d14615ee-683d-4ec6-a5cf-ae743c6c4ac1</vt:lpwstr>
  </property>
  <property fmtid="{D5CDD505-2E9C-101B-9397-08002B2CF9AE}" pid="11" name="Function Operations IDB">
    <vt:lpwstr>8;#Project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0x0101001A458A224826124E8B45B1D613300CFC00A665701019A864449EE5830BA61F17BD</vt:lpwstr>
  </property>
</Properties>
</file>