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CCCC4B" w14:textId="77777777" w:rsidR="004F79B0" w:rsidRPr="00CC650D" w:rsidRDefault="004F79B0" w:rsidP="00CC650D">
      <w:pPr>
        <w:tabs>
          <w:tab w:val="left" w:pos="1440"/>
          <w:tab w:val="left" w:pos="3060"/>
        </w:tabs>
        <w:spacing w:after="0"/>
        <w:jc w:val="center"/>
        <w:rPr>
          <w:rFonts w:ascii="Times New Roman" w:hAnsi="Times New Roman"/>
          <w:b/>
          <w:smallCaps/>
          <w:lang w:val="es-ES_tradnl"/>
        </w:rPr>
      </w:pPr>
      <w:bookmarkStart w:id="0" w:name="_GoBack"/>
      <w:bookmarkEnd w:id="0"/>
    </w:p>
    <w:tbl>
      <w:tblPr>
        <w:tblStyle w:val="TableGrid"/>
        <w:tblW w:w="18085" w:type="dxa"/>
        <w:tblInd w:w="-702" w:type="dxa"/>
        <w:tblLook w:val="04A0" w:firstRow="1" w:lastRow="0" w:firstColumn="1" w:lastColumn="0" w:noHBand="0" w:noVBand="1"/>
      </w:tblPr>
      <w:tblGrid>
        <w:gridCol w:w="2430"/>
        <w:gridCol w:w="4860"/>
        <w:gridCol w:w="5940"/>
        <w:gridCol w:w="4855"/>
      </w:tblGrid>
      <w:tr w:rsidR="004F79B0" w:rsidRPr="003D7631" w14:paraId="00ECFCBB" w14:textId="77777777" w:rsidTr="00691289">
        <w:trPr>
          <w:tblHeader/>
        </w:trPr>
        <w:tc>
          <w:tcPr>
            <w:tcW w:w="18085" w:type="dxa"/>
            <w:gridSpan w:val="4"/>
            <w:shd w:val="clear" w:color="auto" w:fill="C6D9F1" w:themeFill="text2" w:themeFillTint="33"/>
          </w:tcPr>
          <w:p w14:paraId="56C60A53" w14:textId="77777777" w:rsidR="004F79B0" w:rsidRPr="003D7631" w:rsidRDefault="006860CD" w:rsidP="0078792C">
            <w:pPr>
              <w:contextualSpacing/>
              <w:jc w:val="center"/>
              <w:rPr>
                <w:rFonts w:ascii="Arial" w:hAnsi="Arial" w:cs="Arial"/>
                <w:b/>
                <w:smallCaps/>
                <w:sz w:val="22"/>
                <w:szCs w:val="22"/>
                <w:lang w:val="es-ES_tradnl"/>
              </w:rPr>
            </w:pPr>
            <w:r w:rsidRPr="006860CD">
              <w:rPr>
                <w:rFonts w:ascii="Arial" w:hAnsi="Arial" w:cs="Arial"/>
                <w:b/>
                <w:smallCaps/>
                <w:sz w:val="22"/>
                <w:szCs w:val="22"/>
                <w:lang w:val="es-ES_tradnl"/>
              </w:rPr>
              <w:t>Programa de Apoyo a la Preinversión para el Desarrollo II</w:t>
            </w:r>
          </w:p>
          <w:p w14:paraId="0686EB05" w14:textId="77777777" w:rsidR="004F79B0" w:rsidRPr="003D7631" w:rsidRDefault="004F79B0" w:rsidP="0078792C">
            <w:pPr>
              <w:tabs>
                <w:tab w:val="left" w:pos="1440"/>
                <w:tab w:val="left" w:pos="3060"/>
              </w:tabs>
              <w:contextualSpacing/>
              <w:jc w:val="center"/>
              <w:rPr>
                <w:rFonts w:ascii="Arial" w:hAnsi="Arial" w:cs="Arial"/>
                <w:b/>
                <w:smallCaps/>
                <w:sz w:val="22"/>
                <w:szCs w:val="22"/>
                <w:lang w:val="es-ES_tradnl"/>
              </w:rPr>
            </w:pPr>
            <w:r w:rsidRPr="003D7631">
              <w:rPr>
                <w:rFonts w:ascii="Arial" w:hAnsi="Arial" w:cs="Arial"/>
                <w:b/>
                <w:smallCaps/>
                <w:sz w:val="22"/>
                <w:szCs w:val="22"/>
                <w:lang w:val="es-ES_tradnl"/>
              </w:rPr>
              <w:t>(</w:t>
            </w:r>
            <w:bookmarkStart w:id="1" w:name="Book02"/>
            <w:r w:rsidR="00C84C2A">
              <w:rPr>
                <w:rFonts w:ascii="Arial" w:hAnsi="Arial" w:cs="Arial"/>
                <w:b/>
                <w:smallCaps/>
                <w:sz w:val="22"/>
                <w:szCs w:val="22"/>
                <w:lang w:val="es-ES_tradnl"/>
              </w:rPr>
              <w:t>BO</w:t>
            </w:r>
            <w:r w:rsidRPr="003D7631">
              <w:rPr>
                <w:rFonts w:ascii="Arial" w:hAnsi="Arial" w:cs="Arial"/>
                <w:b/>
                <w:smallCaps/>
                <w:sz w:val="22"/>
                <w:szCs w:val="22"/>
                <w:lang w:val="es-ES_tradnl"/>
              </w:rPr>
              <w:t>-L1</w:t>
            </w:r>
            <w:bookmarkEnd w:id="1"/>
            <w:r w:rsidR="006860CD">
              <w:rPr>
                <w:rFonts w:ascii="Arial" w:hAnsi="Arial" w:cs="Arial"/>
                <w:b/>
                <w:smallCaps/>
                <w:sz w:val="22"/>
                <w:szCs w:val="22"/>
                <w:lang w:val="es-ES_tradnl"/>
              </w:rPr>
              <w:t>111</w:t>
            </w:r>
            <w:r w:rsidRPr="003D7631">
              <w:rPr>
                <w:rFonts w:ascii="Arial" w:hAnsi="Arial" w:cs="Arial"/>
                <w:b/>
                <w:smallCaps/>
                <w:sz w:val="22"/>
                <w:szCs w:val="22"/>
                <w:lang w:val="es-ES_tradnl"/>
              </w:rPr>
              <w:t>)</w:t>
            </w:r>
          </w:p>
          <w:p w14:paraId="00F2E2A1" w14:textId="77777777" w:rsidR="004F79B0" w:rsidRPr="003D7631" w:rsidRDefault="0048183E" w:rsidP="00074F1D">
            <w:pPr>
              <w:tabs>
                <w:tab w:val="left" w:pos="1440"/>
                <w:tab w:val="left" w:pos="3060"/>
              </w:tabs>
              <w:contextualSpacing/>
              <w:jc w:val="center"/>
              <w:rPr>
                <w:rFonts w:ascii="Arial" w:hAnsi="Arial" w:cs="Arial"/>
                <w:b/>
                <w:smallCaps/>
                <w:sz w:val="22"/>
                <w:szCs w:val="22"/>
                <w:lang w:val="es-ES_tradnl"/>
              </w:rPr>
            </w:pPr>
            <w:r>
              <w:rPr>
                <w:rFonts w:ascii="Arial" w:hAnsi="Arial" w:cs="Arial"/>
                <w:b/>
                <w:smallCaps/>
                <w:sz w:val="22"/>
                <w:szCs w:val="22"/>
                <w:lang w:val="es-ES_tradnl"/>
              </w:rPr>
              <w:t>Matriz de Problemas / Causas</w:t>
            </w:r>
            <w:r w:rsidR="004F79B0" w:rsidRPr="003D7631">
              <w:rPr>
                <w:rFonts w:ascii="Arial" w:hAnsi="Arial" w:cs="Arial"/>
                <w:b/>
                <w:smallCaps/>
                <w:sz w:val="22"/>
                <w:szCs w:val="22"/>
                <w:lang w:val="es-ES_tradnl"/>
              </w:rPr>
              <w:t xml:space="preserve"> / Soluciones / Resultados</w:t>
            </w:r>
          </w:p>
        </w:tc>
      </w:tr>
      <w:tr w:rsidR="00B268F0" w:rsidRPr="003D7631" w14:paraId="5ED8CDFF" w14:textId="77777777" w:rsidTr="00691289">
        <w:trPr>
          <w:tblHeader/>
        </w:trPr>
        <w:tc>
          <w:tcPr>
            <w:tcW w:w="2430" w:type="dxa"/>
            <w:shd w:val="clear" w:color="auto" w:fill="FBD4B4" w:themeFill="accent6" w:themeFillTint="66"/>
          </w:tcPr>
          <w:p w14:paraId="1EA834EE" w14:textId="77777777" w:rsidR="00B268F0" w:rsidRPr="003D7631" w:rsidRDefault="00B268F0" w:rsidP="0078792C">
            <w:pPr>
              <w:contextualSpacing/>
              <w:jc w:val="center"/>
              <w:rPr>
                <w:rFonts w:ascii="Arial" w:hAnsi="Arial" w:cs="Arial"/>
                <w:b/>
                <w:sz w:val="22"/>
                <w:szCs w:val="22"/>
                <w:lang w:val="es-ES_tradnl"/>
              </w:rPr>
            </w:pPr>
            <w:r w:rsidRPr="003D7631">
              <w:rPr>
                <w:rFonts w:ascii="Arial" w:hAnsi="Arial" w:cs="Arial"/>
                <w:b/>
                <w:sz w:val="22"/>
                <w:szCs w:val="22"/>
                <w:lang w:val="es-ES_tradnl"/>
              </w:rPr>
              <w:t>Problemas Específicos</w:t>
            </w:r>
          </w:p>
        </w:tc>
        <w:tc>
          <w:tcPr>
            <w:tcW w:w="4860" w:type="dxa"/>
            <w:shd w:val="clear" w:color="auto" w:fill="FBD4B4" w:themeFill="accent6" w:themeFillTint="66"/>
          </w:tcPr>
          <w:p w14:paraId="360346C5" w14:textId="77777777" w:rsidR="00B268F0" w:rsidRPr="003D7631" w:rsidRDefault="00B268F0" w:rsidP="0078792C">
            <w:pPr>
              <w:contextualSpacing/>
              <w:jc w:val="center"/>
              <w:rPr>
                <w:rFonts w:ascii="Arial" w:hAnsi="Arial" w:cs="Arial"/>
                <w:b/>
                <w:sz w:val="22"/>
                <w:szCs w:val="22"/>
                <w:lang w:val="es-ES_tradnl"/>
              </w:rPr>
            </w:pPr>
            <w:r w:rsidRPr="003D7631">
              <w:rPr>
                <w:rFonts w:ascii="Arial" w:hAnsi="Arial" w:cs="Arial"/>
                <w:b/>
                <w:sz w:val="22"/>
                <w:szCs w:val="22"/>
                <w:lang w:val="es-ES_tradnl"/>
              </w:rPr>
              <w:t>Causas / Magnitud / Evidencias</w:t>
            </w:r>
          </w:p>
        </w:tc>
        <w:tc>
          <w:tcPr>
            <w:tcW w:w="5940" w:type="dxa"/>
            <w:shd w:val="clear" w:color="auto" w:fill="FBD4B4" w:themeFill="accent6" w:themeFillTint="66"/>
          </w:tcPr>
          <w:p w14:paraId="36BEB684" w14:textId="77777777" w:rsidR="00B268F0" w:rsidRPr="003D7631" w:rsidRDefault="00B268F0" w:rsidP="0078792C">
            <w:pPr>
              <w:contextualSpacing/>
              <w:jc w:val="center"/>
              <w:rPr>
                <w:rFonts w:ascii="Arial" w:hAnsi="Arial" w:cs="Arial"/>
                <w:b/>
                <w:sz w:val="22"/>
                <w:szCs w:val="22"/>
                <w:lang w:val="es-ES_tradnl"/>
              </w:rPr>
            </w:pPr>
            <w:r w:rsidRPr="003D7631">
              <w:rPr>
                <w:rFonts w:ascii="Arial" w:hAnsi="Arial" w:cs="Arial"/>
                <w:b/>
                <w:sz w:val="22"/>
                <w:szCs w:val="22"/>
                <w:lang w:val="es-ES_tradnl"/>
              </w:rPr>
              <w:t>Soluciones / Productos</w:t>
            </w:r>
          </w:p>
        </w:tc>
        <w:tc>
          <w:tcPr>
            <w:tcW w:w="4855" w:type="dxa"/>
            <w:shd w:val="clear" w:color="auto" w:fill="FBD4B4" w:themeFill="accent6" w:themeFillTint="66"/>
          </w:tcPr>
          <w:p w14:paraId="4D6CB7ED" w14:textId="77777777" w:rsidR="00B268F0" w:rsidRPr="003D7631" w:rsidRDefault="00B268F0" w:rsidP="0078792C">
            <w:pPr>
              <w:contextualSpacing/>
              <w:jc w:val="center"/>
              <w:rPr>
                <w:rFonts w:ascii="Arial" w:hAnsi="Arial" w:cs="Arial"/>
                <w:b/>
                <w:sz w:val="22"/>
                <w:szCs w:val="22"/>
                <w:lang w:val="es-ES_tradnl"/>
              </w:rPr>
            </w:pPr>
            <w:r w:rsidRPr="003D7631">
              <w:rPr>
                <w:rFonts w:ascii="Arial" w:hAnsi="Arial" w:cs="Arial"/>
                <w:b/>
                <w:sz w:val="22"/>
                <w:szCs w:val="22"/>
                <w:lang w:val="es-ES_tradnl"/>
              </w:rPr>
              <w:t>Resultados Esperados</w:t>
            </w:r>
          </w:p>
        </w:tc>
      </w:tr>
      <w:tr w:rsidR="00CC650D" w:rsidRPr="00F9005B" w14:paraId="0D27AD47" w14:textId="77777777" w:rsidTr="00691289">
        <w:tc>
          <w:tcPr>
            <w:tcW w:w="18085" w:type="dxa"/>
            <w:gridSpan w:val="4"/>
          </w:tcPr>
          <w:p w14:paraId="3E6393BE" w14:textId="77777777" w:rsidR="005E5F53" w:rsidRPr="003D7631" w:rsidRDefault="006850C9" w:rsidP="00EB0FAA">
            <w:pPr>
              <w:contextualSpacing/>
              <w:jc w:val="both"/>
              <w:rPr>
                <w:rFonts w:ascii="Arial" w:hAnsi="Arial" w:cs="Arial"/>
                <w:sz w:val="22"/>
                <w:szCs w:val="22"/>
                <w:lang w:val="es-ES_tradnl"/>
              </w:rPr>
            </w:pPr>
            <w:r w:rsidRPr="003D7631">
              <w:rPr>
                <w:rFonts w:ascii="Arial" w:hAnsi="Arial" w:cs="Arial"/>
                <w:b/>
                <w:sz w:val="22"/>
                <w:szCs w:val="22"/>
                <w:lang w:val="es-ES_tradnl"/>
              </w:rPr>
              <w:t xml:space="preserve">El </w:t>
            </w:r>
            <w:r w:rsidR="00F92EBD" w:rsidRPr="003D7631">
              <w:rPr>
                <w:rFonts w:ascii="Arial" w:hAnsi="Arial" w:cs="Arial"/>
                <w:b/>
                <w:sz w:val="22"/>
                <w:szCs w:val="22"/>
                <w:lang w:val="es-ES_tradnl"/>
              </w:rPr>
              <w:t>P</w:t>
            </w:r>
            <w:r w:rsidR="00CC650D" w:rsidRPr="003D7631">
              <w:rPr>
                <w:rFonts w:ascii="Arial" w:hAnsi="Arial" w:cs="Arial"/>
                <w:b/>
                <w:sz w:val="22"/>
                <w:szCs w:val="22"/>
                <w:lang w:val="es-ES_tradnl"/>
              </w:rPr>
              <w:t xml:space="preserve">roblema </w:t>
            </w:r>
            <w:r w:rsidR="00F92EBD" w:rsidRPr="003D7631">
              <w:rPr>
                <w:rFonts w:ascii="Arial" w:hAnsi="Arial" w:cs="Arial"/>
                <w:b/>
                <w:sz w:val="22"/>
                <w:szCs w:val="22"/>
                <w:lang w:val="es-ES_tradnl"/>
              </w:rPr>
              <w:t xml:space="preserve">principal </w:t>
            </w:r>
            <w:r w:rsidR="00EB0FAA" w:rsidRPr="00021D1B">
              <w:rPr>
                <w:rFonts w:ascii="Arial" w:hAnsi="Arial" w:cs="Arial"/>
                <w:sz w:val="22"/>
                <w:szCs w:val="22"/>
                <w:lang w:val="es-ES"/>
              </w:rPr>
              <w:t xml:space="preserve">identificado es </w:t>
            </w:r>
            <w:r w:rsidR="000B46A4" w:rsidRPr="000B46A4">
              <w:rPr>
                <w:rFonts w:ascii="Arial" w:hAnsi="Arial" w:cs="Arial"/>
                <w:sz w:val="22"/>
                <w:szCs w:val="22"/>
                <w:lang w:val="es-ES_tradnl"/>
              </w:rPr>
              <w:t>la baja calidad del gasto en inversión pública, debido a debilidades en la gestión de la preinversión.</w:t>
            </w:r>
          </w:p>
        </w:tc>
      </w:tr>
      <w:tr w:rsidR="00CC650D" w:rsidRPr="00172086" w14:paraId="1CEB26C4" w14:textId="77777777" w:rsidTr="00691289">
        <w:tc>
          <w:tcPr>
            <w:tcW w:w="18085" w:type="dxa"/>
            <w:gridSpan w:val="4"/>
          </w:tcPr>
          <w:p w14:paraId="462F3AAF" w14:textId="18010787" w:rsidR="00CC650D" w:rsidRPr="00C80362" w:rsidRDefault="00CC650D" w:rsidP="00692A06">
            <w:pPr>
              <w:contextualSpacing/>
              <w:jc w:val="both"/>
              <w:rPr>
                <w:rFonts w:ascii="Arial" w:hAnsi="Arial" w:cs="Arial"/>
                <w:sz w:val="22"/>
                <w:szCs w:val="22"/>
                <w:lang w:val="es-ES"/>
              </w:rPr>
            </w:pPr>
            <w:r w:rsidRPr="00C80362">
              <w:rPr>
                <w:rFonts w:ascii="Arial" w:hAnsi="Arial" w:cs="Arial"/>
                <w:b/>
                <w:sz w:val="22"/>
                <w:szCs w:val="22"/>
                <w:lang w:val="es-ES"/>
              </w:rPr>
              <w:t>Objetivo -</w:t>
            </w:r>
            <w:r w:rsidRPr="00C80362">
              <w:rPr>
                <w:rFonts w:ascii="Arial" w:hAnsi="Arial" w:cs="Arial"/>
                <w:sz w:val="22"/>
                <w:szCs w:val="22"/>
                <w:lang w:val="es-ES"/>
              </w:rPr>
              <w:t xml:space="preserve"> </w:t>
            </w:r>
            <w:bookmarkStart w:id="2" w:name="_Hlk511383983"/>
            <w:r w:rsidR="00643BB0" w:rsidRPr="00643BB0">
              <w:rPr>
                <w:rFonts w:ascii="Arial" w:hAnsi="Arial" w:cs="Arial"/>
                <w:sz w:val="22"/>
                <w:szCs w:val="22"/>
                <w:lang w:val="es-ES_tradnl"/>
              </w:rPr>
              <w:t xml:space="preserve">El objetivo general es </w:t>
            </w:r>
            <w:bookmarkEnd w:id="2"/>
            <w:r w:rsidR="00643BB0" w:rsidRPr="00643BB0">
              <w:rPr>
                <w:rFonts w:ascii="Arial" w:hAnsi="Arial" w:cs="Arial"/>
                <w:sz w:val="22"/>
                <w:szCs w:val="22"/>
                <w:lang w:val="es-ES"/>
              </w:rPr>
              <w:t>mejorar la calidad de ejecución del gasto en IP. Los objetivos específicos son</w:t>
            </w:r>
            <w:r w:rsidR="00643BB0" w:rsidRPr="00643BB0">
              <w:rPr>
                <w:rFonts w:ascii="Arial" w:hAnsi="Arial" w:cs="Arial"/>
                <w:sz w:val="22"/>
                <w:szCs w:val="22"/>
                <w:lang w:val="es-ES_tradnl"/>
              </w:rPr>
              <w:t>: (i) la mejora de los procesos de gestión de la preinversión y de la coordinación institucional de la IP; (ii) el incremento en la financiación de la preinversión; y (iii) la mejora de las capacidades de gestión de la preinversión</w:t>
            </w:r>
            <w:r w:rsidR="00643BB0" w:rsidRPr="00643BB0">
              <w:rPr>
                <w:rFonts w:ascii="Arial" w:hAnsi="Arial" w:cs="Arial"/>
                <w:sz w:val="22"/>
                <w:szCs w:val="22"/>
                <w:lang w:val="es-AR"/>
              </w:rPr>
              <w:t>. Esto se logrará a través de los siguientes componentes</w:t>
            </w:r>
            <w:r w:rsidRPr="00C80362">
              <w:rPr>
                <w:rFonts w:ascii="Arial" w:hAnsi="Arial" w:cs="Arial"/>
                <w:sz w:val="22"/>
                <w:szCs w:val="22"/>
                <w:lang w:val="es-ES"/>
              </w:rPr>
              <w:t>.</w:t>
            </w:r>
          </w:p>
        </w:tc>
      </w:tr>
      <w:tr w:rsidR="00F92EBD" w:rsidRPr="00F9005B" w14:paraId="621DA121" w14:textId="77777777" w:rsidTr="00691289">
        <w:tc>
          <w:tcPr>
            <w:tcW w:w="18085" w:type="dxa"/>
            <w:gridSpan w:val="4"/>
          </w:tcPr>
          <w:p w14:paraId="043AE2DB" w14:textId="77777777" w:rsidR="00F92EBD" w:rsidRPr="00C80362" w:rsidRDefault="00F92EBD" w:rsidP="00D15E81">
            <w:pPr>
              <w:contextualSpacing/>
              <w:jc w:val="both"/>
              <w:rPr>
                <w:rFonts w:ascii="Arial" w:hAnsi="Arial" w:cs="Arial"/>
                <w:sz w:val="22"/>
                <w:szCs w:val="22"/>
                <w:lang w:val="es-ES"/>
              </w:rPr>
            </w:pPr>
            <w:r w:rsidRPr="00C80362">
              <w:rPr>
                <w:rFonts w:ascii="Arial" w:hAnsi="Arial" w:cs="Arial"/>
                <w:b/>
                <w:sz w:val="22"/>
                <w:szCs w:val="22"/>
                <w:lang w:val="es-ES"/>
              </w:rPr>
              <w:t>Impactos:</w:t>
            </w:r>
            <w:r w:rsidRPr="00C80362">
              <w:rPr>
                <w:rFonts w:ascii="Arial" w:hAnsi="Arial" w:cs="Arial"/>
                <w:sz w:val="22"/>
                <w:szCs w:val="22"/>
                <w:lang w:val="es-ES"/>
              </w:rPr>
              <w:t xml:space="preserve"> </w:t>
            </w:r>
            <w:r w:rsidR="00C80362" w:rsidRPr="00C80362">
              <w:rPr>
                <w:rFonts w:ascii="Arial" w:hAnsi="Arial" w:cs="Arial"/>
                <w:sz w:val="22"/>
                <w:szCs w:val="22"/>
                <w:lang w:val="es-ES"/>
              </w:rPr>
              <w:t xml:space="preserve">El impacto esperado es </w:t>
            </w:r>
            <w:r w:rsidR="00BF75F7" w:rsidRPr="00BF75F7">
              <w:rPr>
                <w:rFonts w:ascii="Arial" w:hAnsi="Arial" w:cs="Arial"/>
                <w:sz w:val="22"/>
                <w:szCs w:val="22"/>
                <w:lang w:val="es-ES"/>
              </w:rPr>
              <w:t xml:space="preserve">la mejora de la calidad de </w:t>
            </w:r>
            <w:r w:rsidR="00BF75F7" w:rsidRPr="00B33C22">
              <w:rPr>
                <w:rFonts w:ascii="Arial" w:hAnsi="Arial" w:cs="Arial"/>
                <w:sz w:val="22"/>
                <w:szCs w:val="22"/>
                <w:lang w:val="es-ES"/>
              </w:rPr>
              <w:t>ejecución del gasto en inversión pública</w:t>
            </w:r>
            <w:r w:rsidR="00BF75F7">
              <w:rPr>
                <w:rFonts w:ascii="Arial" w:hAnsi="Arial" w:cs="Arial"/>
                <w:sz w:val="22"/>
                <w:szCs w:val="22"/>
                <w:lang w:val="es-ES"/>
              </w:rPr>
              <w:t xml:space="preserve">, mediante la </w:t>
            </w:r>
            <w:r w:rsidR="00BF75F7" w:rsidRPr="00B33C22">
              <w:rPr>
                <w:rFonts w:ascii="Arial" w:hAnsi="Arial" w:cs="Arial"/>
                <w:sz w:val="22"/>
                <w:szCs w:val="22"/>
                <w:lang w:val="es-ES"/>
              </w:rPr>
              <w:t>reducción de sobrecostos</w:t>
            </w:r>
            <w:r w:rsidR="00BF75F7">
              <w:rPr>
                <w:rFonts w:ascii="Arial" w:hAnsi="Arial" w:cs="Arial"/>
                <w:sz w:val="22"/>
                <w:szCs w:val="22"/>
                <w:lang w:val="es-ES"/>
              </w:rPr>
              <w:t xml:space="preserve"> de 21.6% en 2018 a 15% en 2023</w:t>
            </w:r>
            <w:r w:rsidR="007057F7" w:rsidRPr="007057F7">
              <w:rPr>
                <w:rFonts w:ascii="Arial" w:hAnsi="Arial" w:cs="Arial"/>
                <w:sz w:val="22"/>
                <w:szCs w:val="22"/>
                <w:lang w:val="es-ES"/>
              </w:rPr>
              <w:t>.</w:t>
            </w:r>
          </w:p>
        </w:tc>
      </w:tr>
      <w:tr w:rsidR="000E6F28" w:rsidRPr="00F9005B" w14:paraId="21EAA4E2" w14:textId="77777777" w:rsidTr="00691289">
        <w:tc>
          <w:tcPr>
            <w:tcW w:w="18085" w:type="dxa"/>
            <w:gridSpan w:val="4"/>
            <w:shd w:val="clear" w:color="auto" w:fill="C6D9F1" w:themeFill="text2" w:themeFillTint="33"/>
          </w:tcPr>
          <w:p w14:paraId="25BB6A52" w14:textId="77777777" w:rsidR="000E6F28" w:rsidRPr="003D7631" w:rsidRDefault="009937BE" w:rsidP="001D45B4">
            <w:pPr>
              <w:contextualSpacing/>
              <w:jc w:val="center"/>
              <w:rPr>
                <w:rFonts w:ascii="Arial" w:hAnsi="Arial" w:cs="Arial"/>
                <w:b/>
                <w:sz w:val="22"/>
                <w:szCs w:val="22"/>
                <w:lang w:val="es-ES"/>
              </w:rPr>
            </w:pPr>
            <w:r w:rsidRPr="003D7631">
              <w:rPr>
                <w:rFonts w:ascii="Arial" w:hAnsi="Arial" w:cs="Arial"/>
                <w:b/>
                <w:sz w:val="22"/>
                <w:szCs w:val="22"/>
                <w:lang w:val="es-ES"/>
              </w:rPr>
              <w:t>Componente I</w:t>
            </w:r>
            <w:r w:rsidR="000E6F28" w:rsidRPr="003D7631">
              <w:rPr>
                <w:rFonts w:ascii="Arial" w:hAnsi="Arial" w:cs="Arial"/>
                <w:b/>
                <w:sz w:val="22"/>
                <w:szCs w:val="22"/>
                <w:lang w:val="es-ES"/>
              </w:rPr>
              <w:t xml:space="preserve">. </w:t>
            </w:r>
            <w:r w:rsidR="00F72ED1" w:rsidRPr="00F72ED1">
              <w:rPr>
                <w:rFonts w:ascii="Arial" w:hAnsi="Arial" w:cs="Arial"/>
                <w:b/>
                <w:sz w:val="22"/>
                <w:szCs w:val="22"/>
                <w:lang w:val="es-ES_tradnl"/>
              </w:rPr>
              <w:t xml:space="preserve">Fortalecimiento de los procesos de gestión de la preinversión y de la coordinación institucional </w:t>
            </w:r>
          </w:p>
        </w:tc>
      </w:tr>
      <w:tr w:rsidR="000E6F28" w:rsidRPr="00F9005B" w14:paraId="1CB75261" w14:textId="77777777" w:rsidTr="00691289">
        <w:tc>
          <w:tcPr>
            <w:tcW w:w="18085" w:type="dxa"/>
            <w:gridSpan w:val="4"/>
            <w:shd w:val="clear" w:color="auto" w:fill="C6D9F1" w:themeFill="text2" w:themeFillTint="33"/>
          </w:tcPr>
          <w:p w14:paraId="41C42474" w14:textId="77777777" w:rsidR="000E6F28" w:rsidRPr="003D7631" w:rsidRDefault="000E6F28" w:rsidP="0078792C">
            <w:pPr>
              <w:contextualSpacing/>
              <w:rPr>
                <w:rFonts w:ascii="Arial" w:hAnsi="Arial" w:cs="Arial"/>
                <w:sz w:val="22"/>
                <w:szCs w:val="22"/>
                <w:lang w:val="es-ES"/>
              </w:rPr>
            </w:pPr>
            <w:r w:rsidRPr="003D7631">
              <w:rPr>
                <w:rFonts w:ascii="Arial" w:hAnsi="Arial" w:cs="Arial"/>
                <w:b/>
                <w:sz w:val="22"/>
                <w:szCs w:val="22"/>
                <w:lang w:val="es-ES"/>
              </w:rPr>
              <w:t>Objetivo:</w:t>
            </w:r>
            <w:r w:rsidRPr="003D7631">
              <w:rPr>
                <w:rFonts w:ascii="Arial" w:hAnsi="Arial" w:cs="Arial"/>
                <w:sz w:val="22"/>
                <w:szCs w:val="22"/>
                <w:lang w:val="es-ES"/>
              </w:rPr>
              <w:t xml:space="preserve"> </w:t>
            </w:r>
            <w:r w:rsidR="005E5011" w:rsidRPr="005E5011">
              <w:rPr>
                <w:rFonts w:ascii="Arial" w:hAnsi="Arial" w:cs="Arial"/>
                <w:sz w:val="22"/>
                <w:szCs w:val="22"/>
                <w:lang w:val="es-ES"/>
              </w:rPr>
              <w:t xml:space="preserve">fortalecer los instrumentos de gestión y la coordinación de la preinversión con </w:t>
            </w:r>
            <w:r w:rsidR="00552677">
              <w:rPr>
                <w:rFonts w:ascii="Arial" w:hAnsi="Arial" w:cs="Arial"/>
                <w:sz w:val="22"/>
                <w:szCs w:val="22"/>
                <w:lang w:val="es-ES"/>
              </w:rPr>
              <w:t>las restantes fases del</w:t>
            </w:r>
            <w:r w:rsidR="005E5011" w:rsidRPr="005E5011">
              <w:rPr>
                <w:rFonts w:ascii="Arial" w:hAnsi="Arial" w:cs="Arial"/>
                <w:sz w:val="22"/>
                <w:szCs w:val="22"/>
                <w:lang w:val="es-ES"/>
              </w:rPr>
              <w:t xml:space="preserve"> ciclo de inversión pública</w:t>
            </w:r>
            <w:r w:rsidR="004F1E72" w:rsidRPr="004F1E72">
              <w:rPr>
                <w:rFonts w:ascii="Arial" w:hAnsi="Arial" w:cs="Arial"/>
                <w:sz w:val="22"/>
                <w:szCs w:val="22"/>
                <w:lang w:val="es-ES"/>
              </w:rPr>
              <w:t>.</w:t>
            </w:r>
          </w:p>
        </w:tc>
      </w:tr>
      <w:tr w:rsidR="000E6F28" w:rsidRPr="003D7631" w14:paraId="362FB162" w14:textId="77777777" w:rsidTr="00CE3B08">
        <w:trPr>
          <w:tblHeader/>
        </w:trPr>
        <w:tc>
          <w:tcPr>
            <w:tcW w:w="2430" w:type="dxa"/>
            <w:shd w:val="clear" w:color="auto" w:fill="FBD4B4" w:themeFill="accent6" w:themeFillTint="66"/>
          </w:tcPr>
          <w:p w14:paraId="3FE01DB8" w14:textId="77777777" w:rsidR="000E6F28" w:rsidRPr="003D7631" w:rsidRDefault="000E6F28" w:rsidP="0078792C">
            <w:pPr>
              <w:contextualSpacing/>
              <w:jc w:val="center"/>
              <w:rPr>
                <w:rFonts w:ascii="Arial" w:hAnsi="Arial" w:cs="Arial"/>
                <w:b/>
                <w:sz w:val="22"/>
                <w:szCs w:val="22"/>
                <w:lang w:val="es-ES"/>
              </w:rPr>
            </w:pPr>
            <w:r w:rsidRPr="003D7631">
              <w:rPr>
                <w:rFonts w:ascii="Arial" w:hAnsi="Arial" w:cs="Arial"/>
                <w:b/>
                <w:sz w:val="22"/>
                <w:szCs w:val="22"/>
                <w:lang w:val="es-ES"/>
              </w:rPr>
              <w:t>Problemas Específicos</w:t>
            </w:r>
          </w:p>
        </w:tc>
        <w:tc>
          <w:tcPr>
            <w:tcW w:w="4860" w:type="dxa"/>
            <w:shd w:val="clear" w:color="auto" w:fill="FBD4B4" w:themeFill="accent6" w:themeFillTint="66"/>
          </w:tcPr>
          <w:p w14:paraId="13E0E474" w14:textId="77777777" w:rsidR="000E6F28" w:rsidRPr="003D7631" w:rsidRDefault="000E6F28" w:rsidP="0078792C">
            <w:pPr>
              <w:contextualSpacing/>
              <w:jc w:val="center"/>
              <w:rPr>
                <w:rFonts w:ascii="Arial" w:hAnsi="Arial" w:cs="Arial"/>
                <w:b/>
                <w:sz w:val="22"/>
                <w:szCs w:val="22"/>
                <w:lang w:val="es-ES"/>
              </w:rPr>
            </w:pPr>
            <w:r w:rsidRPr="003D7631">
              <w:rPr>
                <w:rFonts w:ascii="Arial" w:hAnsi="Arial" w:cs="Arial"/>
                <w:b/>
                <w:sz w:val="22"/>
                <w:szCs w:val="22"/>
                <w:lang w:val="es-ES"/>
              </w:rPr>
              <w:t>Causas / Magnitud / Evidencias</w:t>
            </w:r>
          </w:p>
        </w:tc>
        <w:tc>
          <w:tcPr>
            <w:tcW w:w="5940" w:type="dxa"/>
            <w:tcBorders>
              <w:bottom w:val="single" w:sz="4" w:space="0" w:color="auto"/>
            </w:tcBorders>
            <w:shd w:val="clear" w:color="auto" w:fill="FBD4B4" w:themeFill="accent6" w:themeFillTint="66"/>
          </w:tcPr>
          <w:p w14:paraId="35A8E9FE" w14:textId="77777777" w:rsidR="000E6F28" w:rsidRPr="003D7631" w:rsidRDefault="000E6F28" w:rsidP="0078792C">
            <w:pPr>
              <w:contextualSpacing/>
              <w:jc w:val="center"/>
              <w:rPr>
                <w:rFonts w:ascii="Arial" w:hAnsi="Arial" w:cs="Arial"/>
                <w:b/>
                <w:sz w:val="22"/>
                <w:szCs w:val="22"/>
                <w:lang w:val="es-ES"/>
              </w:rPr>
            </w:pPr>
            <w:r w:rsidRPr="003D7631">
              <w:rPr>
                <w:rFonts w:ascii="Arial" w:hAnsi="Arial" w:cs="Arial"/>
                <w:b/>
                <w:sz w:val="22"/>
                <w:szCs w:val="22"/>
                <w:lang w:val="es-ES"/>
              </w:rPr>
              <w:t>Soluciones / Productos</w:t>
            </w:r>
          </w:p>
        </w:tc>
        <w:tc>
          <w:tcPr>
            <w:tcW w:w="4855" w:type="dxa"/>
            <w:shd w:val="clear" w:color="auto" w:fill="FBD4B4" w:themeFill="accent6" w:themeFillTint="66"/>
          </w:tcPr>
          <w:p w14:paraId="2C25836D" w14:textId="77777777" w:rsidR="000E6F28" w:rsidRPr="003D7631" w:rsidRDefault="000E6F28" w:rsidP="0078792C">
            <w:pPr>
              <w:contextualSpacing/>
              <w:jc w:val="center"/>
              <w:rPr>
                <w:rFonts w:ascii="Arial" w:hAnsi="Arial" w:cs="Arial"/>
                <w:b/>
                <w:sz w:val="22"/>
                <w:szCs w:val="22"/>
                <w:lang w:val="es-ES"/>
              </w:rPr>
            </w:pPr>
            <w:r w:rsidRPr="003D7631">
              <w:rPr>
                <w:rFonts w:ascii="Arial" w:hAnsi="Arial" w:cs="Arial"/>
                <w:b/>
                <w:sz w:val="22"/>
                <w:szCs w:val="22"/>
                <w:lang w:val="es-ES"/>
              </w:rPr>
              <w:t>Resultados Esperados</w:t>
            </w:r>
          </w:p>
        </w:tc>
      </w:tr>
      <w:tr w:rsidR="00172086" w:rsidRPr="00F9005B" w14:paraId="753179FB" w14:textId="77777777" w:rsidTr="00CE3B08">
        <w:trPr>
          <w:trHeight w:val="1022"/>
        </w:trPr>
        <w:tc>
          <w:tcPr>
            <w:tcW w:w="2430" w:type="dxa"/>
            <w:vMerge w:val="restart"/>
          </w:tcPr>
          <w:p w14:paraId="5EB4CCB3" w14:textId="77777777" w:rsidR="00172086" w:rsidRPr="00021D1B" w:rsidRDefault="00172086" w:rsidP="00C92453">
            <w:pPr>
              <w:contextualSpacing/>
              <w:rPr>
                <w:rFonts w:ascii="Arial" w:hAnsi="Arial" w:cs="Arial"/>
                <w:sz w:val="22"/>
                <w:szCs w:val="22"/>
                <w:lang w:val="es-ES"/>
              </w:rPr>
            </w:pPr>
            <w:r w:rsidRPr="00021D1B">
              <w:rPr>
                <w:rFonts w:ascii="Arial" w:hAnsi="Arial" w:cs="Arial"/>
                <w:sz w:val="22"/>
                <w:szCs w:val="22"/>
                <w:lang w:val="es-ES"/>
              </w:rPr>
              <w:t xml:space="preserve">Debilidades en los instrumentos de gestión y la coordinación de la </w:t>
            </w:r>
            <w:r w:rsidRPr="00021D1B">
              <w:rPr>
                <w:rFonts w:ascii="Arial" w:hAnsi="Arial" w:cs="Arial"/>
                <w:sz w:val="22"/>
                <w:szCs w:val="22"/>
                <w:lang w:val="es-ES"/>
              </w:rPr>
              <w:lastRenderedPageBreak/>
              <w:t xml:space="preserve">preinversión con las restantes etapas del ciclo de inversión pública. </w:t>
            </w:r>
          </w:p>
        </w:tc>
        <w:tc>
          <w:tcPr>
            <w:tcW w:w="4860" w:type="dxa"/>
            <w:vMerge w:val="restart"/>
            <w:shd w:val="clear" w:color="auto" w:fill="auto"/>
          </w:tcPr>
          <w:p w14:paraId="591DCF89" w14:textId="77777777" w:rsidR="00172086" w:rsidRPr="00172086" w:rsidRDefault="00172086" w:rsidP="00F62699">
            <w:pPr>
              <w:contextualSpacing/>
              <w:jc w:val="both"/>
              <w:rPr>
                <w:lang w:val="es-ES"/>
              </w:rPr>
            </w:pPr>
            <w:r w:rsidRPr="00095219">
              <w:rPr>
                <w:rFonts w:ascii="Arial" w:hAnsi="Arial" w:cs="Arial"/>
                <w:sz w:val="22"/>
                <w:szCs w:val="22"/>
                <w:lang w:val="es-ES"/>
              </w:rPr>
              <w:lastRenderedPageBreak/>
              <w:t xml:space="preserve">(i) débil </w:t>
            </w:r>
            <w:r>
              <w:rPr>
                <w:rFonts w:ascii="Arial" w:hAnsi="Arial" w:cs="Arial"/>
                <w:sz w:val="22"/>
                <w:szCs w:val="22"/>
                <w:lang w:val="es-ES"/>
              </w:rPr>
              <w:t xml:space="preserve">registro y monitoreo de la preinversión en el sistema </w:t>
            </w:r>
            <w:r w:rsidRPr="00172086">
              <w:rPr>
                <w:rFonts w:ascii="Arial" w:hAnsi="Arial" w:cs="Arial"/>
                <w:sz w:val="22"/>
                <w:szCs w:val="22"/>
                <w:lang w:val="es-ES"/>
              </w:rPr>
              <w:t xml:space="preserve">de gestión de la inversión pública (SISIN), lo que permite la presentación de solicitudes de inversión sin los debidos estudios </w:t>
            </w:r>
            <w:r w:rsidRPr="00172086">
              <w:rPr>
                <w:rFonts w:ascii="Arial" w:hAnsi="Arial" w:cs="Arial"/>
                <w:sz w:val="22"/>
                <w:szCs w:val="22"/>
                <w:lang w:val="es-ES"/>
              </w:rPr>
              <w:lastRenderedPageBreak/>
              <w:t>asociados</w:t>
            </w:r>
            <w:r>
              <w:rPr>
                <w:rStyle w:val="FootnoteReference"/>
                <w:rFonts w:ascii="Arial" w:hAnsi="Arial" w:cs="Arial"/>
                <w:sz w:val="22"/>
                <w:szCs w:val="22"/>
              </w:rPr>
              <w:footnoteReference w:id="1"/>
            </w:r>
            <w:r w:rsidRPr="00172086">
              <w:rPr>
                <w:rFonts w:ascii="Arial" w:hAnsi="Arial" w:cs="Arial"/>
                <w:sz w:val="22"/>
                <w:szCs w:val="22"/>
                <w:lang w:val="es-ES"/>
              </w:rPr>
              <w:t>, así como una insuficiente coordinación e interoperabilidad del SISIN con otros sistemas de información nacionales, en especial con el sistema de compras públicas y el sistema de gestión de la información financiera pública</w:t>
            </w:r>
            <w:r>
              <w:rPr>
                <w:rFonts w:ascii="Arial" w:hAnsi="Arial" w:cs="Arial"/>
                <w:sz w:val="22"/>
                <w:szCs w:val="22"/>
                <w:lang w:val="es-ES"/>
              </w:rPr>
              <w:t>.</w:t>
            </w:r>
          </w:p>
        </w:tc>
        <w:tc>
          <w:tcPr>
            <w:tcW w:w="5940" w:type="dxa"/>
            <w:vMerge w:val="restart"/>
            <w:shd w:val="clear" w:color="auto" w:fill="auto"/>
          </w:tcPr>
          <w:p w14:paraId="67AF92CF" w14:textId="77777777" w:rsidR="00172086" w:rsidRPr="002071B7" w:rsidRDefault="002071B7" w:rsidP="0078792C">
            <w:pPr>
              <w:contextualSpacing/>
              <w:jc w:val="both"/>
              <w:rPr>
                <w:rFonts w:ascii="Arial" w:hAnsi="Arial" w:cs="Arial"/>
                <w:sz w:val="22"/>
                <w:szCs w:val="22"/>
                <w:lang w:val="es-ES"/>
              </w:rPr>
            </w:pPr>
            <w:r w:rsidRPr="002071B7">
              <w:rPr>
                <w:rFonts w:ascii="Arial" w:hAnsi="Arial" w:cs="Arial"/>
                <w:sz w:val="22"/>
                <w:szCs w:val="22"/>
                <w:lang w:val="es-ES"/>
              </w:rPr>
              <w:lastRenderedPageBreak/>
              <w:t xml:space="preserve">(i) el fortalecimiento del sistema gestión de la inversión pública (SISIN), a través del diseño de un módulo de registro de la preinversión y el desarrollo e implementación de una propuesta de interoperabilidad del sistema de </w:t>
            </w:r>
            <w:r w:rsidRPr="002071B7">
              <w:rPr>
                <w:rFonts w:ascii="Arial" w:hAnsi="Arial" w:cs="Arial"/>
                <w:sz w:val="22"/>
                <w:szCs w:val="22"/>
                <w:lang w:val="es-ES"/>
              </w:rPr>
              <w:lastRenderedPageBreak/>
              <w:t>registro y gestión de la preinversión con otros sistemas de información nacionales</w:t>
            </w:r>
            <w:r>
              <w:rPr>
                <w:rFonts w:ascii="Arial" w:hAnsi="Arial" w:cs="Arial"/>
                <w:sz w:val="22"/>
                <w:szCs w:val="22"/>
                <w:lang w:val="es-ES"/>
              </w:rPr>
              <w:t>;</w:t>
            </w:r>
          </w:p>
        </w:tc>
        <w:tc>
          <w:tcPr>
            <w:tcW w:w="4855" w:type="dxa"/>
            <w:shd w:val="clear" w:color="auto" w:fill="auto"/>
          </w:tcPr>
          <w:p w14:paraId="4778AA57" w14:textId="62C427F7" w:rsidR="00001EF1" w:rsidRDefault="00001EF1" w:rsidP="00001EF1">
            <w:pPr>
              <w:contextualSpacing/>
              <w:jc w:val="both"/>
              <w:rPr>
                <w:rFonts w:ascii="Arial" w:hAnsi="Arial" w:cs="Arial"/>
                <w:b/>
                <w:lang w:val="es-ES"/>
              </w:rPr>
            </w:pPr>
            <w:r w:rsidRPr="00373378">
              <w:rPr>
                <w:rFonts w:ascii="Arial" w:hAnsi="Arial" w:cs="Arial"/>
                <w:b/>
                <w:lang w:val="es-ES"/>
              </w:rPr>
              <w:lastRenderedPageBreak/>
              <w:t xml:space="preserve">RESULTADO </w:t>
            </w:r>
            <w:r>
              <w:rPr>
                <w:rFonts w:ascii="Arial" w:hAnsi="Arial" w:cs="Arial"/>
                <w:b/>
                <w:lang w:val="es-ES"/>
              </w:rPr>
              <w:t>1</w:t>
            </w:r>
            <w:r w:rsidRPr="00373378">
              <w:rPr>
                <w:rFonts w:ascii="Arial" w:hAnsi="Arial" w:cs="Arial"/>
                <w:b/>
                <w:lang w:val="es-ES"/>
              </w:rPr>
              <w:t>: Incremento en el número de proyectos con preinversión registrada</w:t>
            </w:r>
            <w:r>
              <w:rPr>
                <w:rFonts w:ascii="Arial" w:hAnsi="Arial" w:cs="Arial"/>
                <w:b/>
                <w:lang w:val="es-ES"/>
              </w:rPr>
              <w:t>.</w:t>
            </w:r>
          </w:p>
          <w:p w14:paraId="559FF972" w14:textId="7B2B9A21" w:rsidR="00172086" w:rsidRPr="003D7631" w:rsidRDefault="00001EF1" w:rsidP="00001EF1">
            <w:pPr>
              <w:contextualSpacing/>
              <w:rPr>
                <w:rFonts w:ascii="Arial" w:hAnsi="Arial" w:cs="Arial"/>
                <w:sz w:val="22"/>
                <w:szCs w:val="22"/>
                <w:lang w:val="es-ES"/>
              </w:rPr>
            </w:pPr>
            <w:r>
              <w:rPr>
                <w:rFonts w:ascii="Arial" w:hAnsi="Arial" w:cs="Arial"/>
                <w:lang w:val="es-ES"/>
              </w:rPr>
              <w:t>Número de proyectos revisados para certificación por la DGPP</w:t>
            </w:r>
          </w:p>
        </w:tc>
      </w:tr>
      <w:tr w:rsidR="00172086" w:rsidRPr="00F9005B" w14:paraId="51FBB1C1" w14:textId="77777777" w:rsidTr="007B6F2F">
        <w:trPr>
          <w:trHeight w:val="6071"/>
        </w:trPr>
        <w:tc>
          <w:tcPr>
            <w:tcW w:w="2430" w:type="dxa"/>
            <w:vMerge/>
            <w:tcBorders>
              <w:bottom w:val="single" w:sz="4" w:space="0" w:color="auto"/>
            </w:tcBorders>
          </w:tcPr>
          <w:p w14:paraId="06217DC9" w14:textId="77777777" w:rsidR="00172086" w:rsidRPr="003D7631" w:rsidRDefault="00172086" w:rsidP="00C92453">
            <w:pPr>
              <w:contextualSpacing/>
              <w:rPr>
                <w:rFonts w:ascii="Arial" w:hAnsi="Arial" w:cs="Arial"/>
                <w:sz w:val="22"/>
                <w:szCs w:val="22"/>
                <w:lang w:val="es-ES"/>
              </w:rPr>
            </w:pPr>
          </w:p>
        </w:tc>
        <w:tc>
          <w:tcPr>
            <w:tcW w:w="4860" w:type="dxa"/>
            <w:vMerge/>
            <w:tcBorders>
              <w:bottom w:val="single" w:sz="4" w:space="0" w:color="auto"/>
            </w:tcBorders>
            <w:shd w:val="clear" w:color="auto" w:fill="auto"/>
          </w:tcPr>
          <w:p w14:paraId="4DE33533" w14:textId="77777777" w:rsidR="00172086" w:rsidRPr="007669CD" w:rsidRDefault="00172086" w:rsidP="00F62699">
            <w:pPr>
              <w:contextualSpacing/>
              <w:jc w:val="both"/>
              <w:rPr>
                <w:rFonts w:ascii="Arial" w:hAnsi="Arial" w:cs="Arial"/>
                <w:b/>
                <w:sz w:val="22"/>
                <w:szCs w:val="22"/>
                <w:lang w:val="es-ES"/>
              </w:rPr>
            </w:pPr>
          </w:p>
        </w:tc>
        <w:tc>
          <w:tcPr>
            <w:tcW w:w="5940" w:type="dxa"/>
            <w:vMerge/>
            <w:tcBorders>
              <w:bottom w:val="single" w:sz="4" w:space="0" w:color="auto"/>
            </w:tcBorders>
            <w:shd w:val="clear" w:color="auto" w:fill="auto"/>
          </w:tcPr>
          <w:p w14:paraId="207CD3AD" w14:textId="77777777" w:rsidR="00172086" w:rsidRPr="00CE3B08" w:rsidRDefault="00172086" w:rsidP="0078792C">
            <w:pPr>
              <w:contextualSpacing/>
              <w:jc w:val="both"/>
              <w:rPr>
                <w:rFonts w:ascii="Arial" w:hAnsi="Arial" w:cs="Arial"/>
                <w:b/>
                <w:sz w:val="22"/>
                <w:szCs w:val="22"/>
                <w:lang w:val="es-ES"/>
              </w:rPr>
            </w:pPr>
          </w:p>
        </w:tc>
        <w:tc>
          <w:tcPr>
            <w:tcW w:w="4855" w:type="dxa"/>
            <w:vMerge w:val="restart"/>
            <w:tcBorders>
              <w:bottom w:val="single" w:sz="4" w:space="0" w:color="auto"/>
            </w:tcBorders>
            <w:shd w:val="clear" w:color="auto" w:fill="auto"/>
          </w:tcPr>
          <w:p w14:paraId="6FD147C5" w14:textId="77777777" w:rsidR="00172086" w:rsidRPr="003D7631" w:rsidRDefault="00172086" w:rsidP="0070292A">
            <w:pPr>
              <w:contextualSpacing/>
              <w:rPr>
                <w:rFonts w:ascii="Arial" w:hAnsi="Arial" w:cs="Arial"/>
                <w:sz w:val="22"/>
                <w:szCs w:val="22"/>
                <w:lang w:val="es-ES"/>
              </w:rPr>
            </w:pPr>
          </w:p>
          <w:p w14:paraId="462F5970" w14:textId="77777777" w:rsidR="00172086" w:rsidRPr="006720E8" w:rsidRDefault="00172086" w:rsidP="0070292A">
            <w:pPr>
              <w:contextualSpacing/>
              <w:rPr>
                <w:rFonts w:ascii="Arial" w:hAnsi="Arial" w:cs="Arial"/>
                <w:sz w:val="22"/>
                <w:szCs w:val="22"/>
                <w:lang w:val="es-ES_tradnl"/>
              </w:rPr>
            </w:pPr>
          </w:p>
          <w:p w14:paraId="524B8248" w14:textId="77777777" w:rsidR="00172086" w:rsidRDefault="00172086" w:rsidP="007D662F">
            <w:pPr>
              <w:contextualSpacing/>
              <w:rPr>
                <w:rFonts w:ascii="Arial" w:hAnsi="Arial" w:cs="Arial"/>
                <w:sz w:val="22"/>
                <w:szCs w:val="22"/>
                <w:lang w:val="es-ES"/>
              </w:rPr>
            </w:pPr>
          </w:p>
          <w:p w14:paraId="35D1F047" w14:textId="77777777" w:rsidR="00172086" w:rsidRPr="00643BB0" w:rsidRDefault="00172086" w:rsidP="002071B7">
            <w:pPr>
              <w:contextualSpacing/>
              <w:rPr>
                <w:rFonts w:ascii="Arial" w:hAnsi="Arial" w:cs="Arial"/>
                <w:color w:val="FF0000"/>
                <w:sz w:val="22"/>
                <w:szCs w:val="22"/>
                <w:lang w:val="es-ES"/>
              </w:rPr>
            </w:pPr>
          </w:p>
        </w:tc>
      </w:tr>
      <w:tr w:rsidR="00556134" w:rsidRPr="00F9005B" w14:paraId="03FA107D" w14:textId="77777777" w:rsidTr="001E5D78">
        <w:tc>
          <w:tcPr>
            <w:tcW w:w="2430" w:type="dxa"/>
            <w:vMerge/>
          </w:tcPr>
          <w:p w14:paraId="3FDF0A69" w14:textId="77777777" w:rsidR="00556134" w:rsidRPr="003D7631" w:rsidRDefault="00556134" w:rsidP="0078792C">
            <w:pPr>
              <w:contextualSpacing/>
              <w:jc w:val="both"/>
              <w:rPr>
                <w:rFonts w:ascii="Arial" w:hAnsi="Arial" w:cs="Arial"/>
                <w:sz w:val="22"/>
                <w:szCs w:val="22"/>
                <w:lang w:val="es-ES"/>
              </w:rPr>
            </w:pPr>
          </w:p>
        </w:tc>
        <w:tc>
          <w:tcPr>
            <w:tcW w:w="4860" w:type="dxa"/>
            <w:tcBorders>
              <w:top w:val="single" w:sz="4" w:space="0" w:color="auto"/>
              <w:bottom w:val="single" w:sz="4" w:space="0" w:color="auto"/>
              <w:right w:val="single" w:sz="4" w:space="0" w:color="auto"/>
            </w:tcBorders>
          </w:tcPr>
          <w:p w14:paraId="6A9F3B0E" w14:textId="77777777" w:rsidR="00172086" w:rsidRDefault="00172086" w:rsidP="00B614B3">
            <w:pPr>
              <w:pStyle w:val="Paragraph"/>
              <w:numPr>
                <w:ilvl w:val="0"/>
                <w:numId w:val="8"/>
              </w:numPr>
              <w:spacing w:after="0"/>
              <w:ind w:left="327" w:hanging="327"/>
              <w:rPr>
                <w:rFonts w:ascii="Arial" w:hAnsi="Arial" w:cs="Arial"/>
                <w:sz w:val="22"/>
                <w:szCs w:val="22"/>
              </w:rPr>
            </w:pPr>
            <w:r w:rsidRPr="00025858">
              <w:rPr>
                <w:rFonts w:ascii="Arial" w:hAnsi="Arial" w:cs="Arial"/>
                <w:sz w:val="22"/>
                <w:szCs w:val="22"/>
              </w:rPr>
              <w:t xml:space="preserve">ausencia de un sistema de monitoreo y evaluaciones ex-post de los proyectos de inversión, incluyendo evaluaciones de resultados y de impacto que informen las </w:t>
            </w:r>
            <w:r w:rsidRPr="00025858">
              <w:rPr>
                <w:rFonts w:ascii="Arial" w:hAnsi="Arial" w:cs="Arial"/>
                <w:sz w:val="22"/>
                <w:szCs w:val="22"/>
              </w:rPr>
              <w:lastRenderedPageBreak/>
              <w:t>prioridades de preinversión</w:t>
            </w:r>
            <w:r>
              <w:rPr>
                <w:rFonts w:ascii="Arial" w:hAnsi="Arial" w:cs="Arial"/>
                <w:sz w:val="22"/>
                <w:szCs w:val="22"/>
              </w:rPr>
              <w:t>, lo que limita que los resultados de las evaluaciones nutran las decisiones de priorización de nuevos proyectos</w:t>
            </w:r>
            <w:r>
              <w:rPr>
                <w:rStyle w:val="FootnoteReference"/>
                <w:rFonts w:ascii="Arial" w:hAnsi="Arial" w:cs="Arial"/>
                <w:sz w:val="22"/>
                <w:szCs w:val="22"/>
              </w:rPr>
              <w:footnoteReference w:id="2"/>
            </w:r>
            <w:r w:rsidRPr="00025858">
              <w:rPr>
                <w:rFonts w:ascii="Arial" w:hAnsi="Arial" w:cs="Arial"/>
                <w:sz w:val="22"/>
                <w:szCs w:val="22"/>
              </w:rPr>
              <w:t xml:space="preserve">; </w:t>
            </w:r>
          </w:p>
          <w:p w14:paraId="79A96AEA" w14:textId="77777777" w:rsidR="00556134" w:rsidRPr="00095219" w:rsidRDefault="00556134" w:rsidP="007405B3">
            <w:pPr>
              <w:contextualSpacing/>
              <w:jc w:val="both"/>
              <w:rPr>
                <w:rFonts w:ascii="Arial" w:hAnsi="Arial" w:cs="Arial"/>
                <w:sz w:val="22"/>
                <w:szCs w:val="22"/>
                <w:lang w:val="es-ES"/>
              </w:rPr>
            </w:pPr>
            <w:r w:rsidRPr="00095219">
              <w:rPr>
                <w:rFonts w:ascii="Arial" w:hAnsi="Arial" w:cs="Arial"/>
                <w:sz w:val="22"/>
                <w:szCs w:val="22"/>
                <w:lang w:val="es-ES"/>
              </w:rPr>
              <w:t xml:space="preserve">  </w:t>
            </w:r>
          </w:p>
        </w:tc>
        <w:tc>
          <w:tcPr>
            <w:tcW w:w="5940" w:type="dxa"/>
            <w:tcBorders>
              <w:top w:val="single" w:sz="4" w:space="0" w:color="auto"/>
              <w:left w:val="single" w:sz="4" w:space="0" w:color="auto"/>
              <w:bottom w:val="single" w:sz="4" w:space="0" w:color="auto"/>
            </w:tcBorders>
            <w:shd w:val="clear" w:color="auto" w:fill="auto"/>
          </w:tcPr>
          <w:p w14:paraId="7377833F" w14:textId="77777777" w:rsidR="00556134" w:rsidRPr="00021D1B" w:rsidRDefault="00556134" w:rsidP="0078792C">
            <w:pPr>
              <w:contextualSpacing/>
              <w:jc w:val="both"/>
              <w:rPr>
                <w:rFonts w:ascii="Arial" w:hAnsi="Arial" w:cs="Arial"/>
                <w:sz w:val="22"/>
                <w:szCs w:val="22"/>
                <w:lang w:val="es-ES"/>
              </w:rPr>
            </w:pPr>
            <w:r w:rsidRPr="00021D1B">
              <w:rPr>
                <w:rFonts w:ascii="Arial" w:hAnsi="Arial" w:cs="Arial"/>
                <w:sz w:val="22"/>
                <w:szCs w:val="22"/>
                <w:lang w:val="es-ES"/>
              </w:rPr>
              <w:lastRenderedPageBreak/>
              <w:t>(</w:t>
            </w:r>
            <w:r w:rsidR="002071B7">
              <w:rPr>
                <w:rFonts w:ascii="Arial" w:hAnsi="Arial" w:cs="Arial"/>
                <w:sz w:val="22"/>
                <w:szCs w:val="22"/>
                <w:lang w:val="es-ES"/>
              </w:rPr>
              <w:t>ii</w:t>
            </w:r>
            <w:r w:rsidRPr="00021D1B">
              <w:rPr>
                <w:rFonts w:ascii="Arial" w:hAnsi="Arial" w:cs="Arial"/>
                <w:sz w:val="22"/>
                <w:szCs w:val="22"/>
                <w:lang w:val="es-ES"/>
              </w:rPr>
              <w:t xml:space="preserve">) </w:t>
            </w:r>
            <w:r w:rsidRPr="00412556">
              <w:rPr>
                <w:rFonts w:ascii="Arial" w:hAnsi="Arial" w:cs="Arial"/>
                <w:sz w:val="22"/>
                <w:szCs w:val="22"/>
                <w:lang w:val="es-ES"/>
              </w:rPr>
              <w:t xml:space="preserve">la implementación de un plan piloto de evaluación de proyectos de inversión incluyendo evaluaciones de resultado e impacto; </w:t>
            </w:r>
          </w:p>
          <w:p w14:paraId="4AF30BFC" w14:textId="77777777" w:rsidR="00556134" w:rsidRPr="00021D1B" w:rsidRDefault="00556134" w:rsidP="0078792C">
            <w:pPr>
              <w:contextualSpacing/>
              <w:jc w:val="both"/>
              <w:rPr>
                <w:rFonts w:ascii="Arial" w:hAnsi="Arial" w:cs="Arial"/>
                <w:sz w:val="22"/>
                <w:szCs w:val="22"/>
                <w:lang w:val="es-ES"/>
              </w:rPr>
            </w:pPr>
          </w:p>
          <w:p w14:paraId="691FA560" w14:textId="77777777" w:rsidR="00556134" w:rsidRPr="00C33711" w:rsidRDefault="00556134" w:rsidP="0078792C">
            <w:pPr>
              <w:contextualSpacing/>
              <w:jc w:val="both"/>
              <w:rPr>
                <w:rFonts w:ascii="Arial" w:hAnsi="Arial" w:cs="Arial"/>
                <w:sz w:val="22"/>
                <w:szCs w:val="22"/>
                <w:lang w:val="es-ES"/>
              </w:rPr>
            </w:pPr>
          </w:p>
        </w:tc>
        <w:tc>
          <w:tcPr>
            <w:tcW w:w="4855" w:type="dxa"/>
            <w:vMerge/>
          </w:tcPr>
          <w:p w14:paraId="7E18441D" w14:textId="77777777" w:rsidR="00556134" w:rsidRPr="003D7631" w:rsidRDefault="00556134" w:rsidP="0078792C">
            <w:pPr>
              <w:contextualSpacing/>
              <w:jc w:val="both"/>
              <w:rPr>
                <w:rFonts w:ascii="Arial" w:hAnsi="Arial" w:cs="Arial"/>
                <w:sz w:val="22"/>
                <w:szCs w:val="22"/>
                <w:lang w:val="es-ES"/>
              </w:rPr>
            </w:pPr>
          </w:p>
        </w:tc>
      </w:tr>
      <w:tr w:rsidR="00556134" w:rsidRPr="00F9005B" w14:paraId="7D4474AA" w14:textId="77777777" w:rsidTr="00AB08C7">
        <w:trPr>
          <w:trHeight w:val="2550"/>
        </w:trPr>
        <w:tc>
          <w:tcPr>
            <w:tcW w:w="2430" w:type="dxa"/>
            <w:vMerge/>
          </w:tcPr>
          <w:p w14:paraId="2B5739F1" w14:textId="77777777" w:rsidR="00556134" w:rsidRPr="003D7631" w:rsidRDefault="00556134" w:rsidP="0078792C">
            <w:pPr>
              <w:contextualSpacing/>
              <w:jc w:val="both"/>
              <w:rPr>
                <w:rFonts w:ascii="Arial" w:hAnsi="Arial" w:cs="Arial"/>
                <w:b/>
                <w:sz w:val="22"/>
                <w:szCs w:val="22"/>
                <w:lang w:val="es-ES_tradnl"/>
              </w:rPr>
            </w:pPr>
          </w:p>
        </w:tc>
        <w:tc>
          <w:tcPr>
            <w:tcW w:w="4860" w:type="dxa"/>
            <w:tcBorders>
              <w:top w:val="single" w:sz="4" w:space="0" w:color="auto"/>
            </w:tcBorders>
            <w:shd w:val="clear" w:color="auto" w:fill="auto"/>
          </w:tcPr>
          <w:p w14:paraId="4C56A4AC" w14:textId="77777777" w:rsidR="00556134" w:rsidRPr="00021D1B" w:rsidRDefault="00556134" w:rsidP="00CC7CA5">
            <w:pPr>
              <w:contextualSpacing/>
              <w:jc w:val="both"/>
              <w:rPr>
                <w:rFonts w:ascii="Arial" w:hAnsi="Arial" w:cs="Arial"/>
                <w:sz w:val="22"/>
                <w:szCs w:val="22"/>
                <w:lang w:val="es-ES"/>
              </w:rPr>
            </w:pPr>
            <w:r w:rsidRPr="00021D1B">
              <w:rPr>
                <w:rFonts w:ascii="Arial" w:hAnsi="Arial" w:cs="Arial"/>
                <w:sz w:val="22"/>
                <w:szCs w:val="22"/>
                <w:lang w:val="es-ES"/>
              </w:rPr>
              <w:t>(</w:t>
            </w:r>
            <w:r w:rsidR="00222A2D">
              <w:rPr>
                <w:rFonts w:ascii="Arial" w:hAnsi="Arial" w:cs="Arial"/>
                <w:sz w:val="22"/>
                <w:szCs w:val="22"/>
                <w:lang w:val="es-ES"/>
              </w:rPr>
              <w:t>ii</w:t>
            </w:r>
            <w:r w:rsidR="00420CE9">
              <w:rPr>
                <w:rFonts w:ascii="Arial" w:hAnsi="Arial" w:cs="Arial"/>
                <w:sz w:val="22"/>
                <w:szCs w:val="22"/>
                <w:lang w:val="es-ES"/>
              </w:rPr>
              <w:t>i</w:t>
            </w:r>
            <w:r w:rsidRPr="00021D1B">
              <w:rPr>
                <w:rFonts w:ascii="Arial" w:hAnsi="Arial" w:cs="Arial"/>
                <w:sz w:val="22"/>
                <w:szCs w:val="22"/>
                <w:lang w:val="es-ES"/>
              </w:rPr>
              <w:t xml:space="preserve">) </w:t>
            </w:r>
            <w:r w:rsidRPr="00C21D15">
              <w:rPr>
                <w:lang w:val="es-ES"/>
              </w:rPr>
              <w:t>ausencia de un sistema de gestión de activos públicos que permita establecer el registro y la estimación de la vida útil de activos y apoye la priorización de inversiones</w:t>
            </w:r>
            <w:r w:rsidRPr="00021D1B">
              <w:rPr>
                <w:rFonts w:ascii="Arial" w:hAnsi="Arial" w:cs="Arial"/>
                <w:sz w:val="22"/>
                <w:szCs w:val="22"/>
                <w:lang w:val="es-ES"/>
              </w:rPr>
              <w:t>;</w:t>
            </w:r>
          </w:p>
        </w:tc>
        <w:tc>
          <w:tcPr>
            <w:tcW w:w="5940" w:type="dxa"/>
            <w:tcBorders>
              <w:top w:val="single" w:sz="4" w:space="0" w:color="auto"/>
            </w:tcBorders>
            <w:shd w:val="clear" w:color="auto" w:fill="auto"/>
          </w:tcPr>
          <w:p w14:paraId="32F83752" w14:textId="77777777" w:rsidR="00556134" w:rsidRPr="00021D1B" w:rsidRDefault="00556134" w:rsidP="0078792C">
            <w:pPr>
              <w:contextualSpacing/>
              <w:jc w:val="both"/>
              <w:rPr>
                <w:rFonts w:ascii="Arial" w:hAnsi="Arial" w:cs="Arial"/>
                <w:sz w:val="22"/>
                <w:szCs w:val="22"/>
                <w:lang w:val="es-ES"/>
              </w:rPr>
            </w:pPr>
            <w:r w:rsidRPr="00021D1B">
              <w:rPr>
                <w:rFonts w:ascii="Arial" w:hAnsi="Arial" w:cs="Arial"/>
                <w:sz w:val="22"/>
                <w:szCs w:val="22"/>
                <w:lang w:val="es-ES"/>
              </w:rPr>
              <w:t>(</w:t>
            </w:r>
            <w:r w:rsidR="002071B7">
              <w:rPr>
                <w:rFonts w:ascii="Arial" w:hAnsi="Arial" w:cs="Arial"/>
                <w:sz w:val="22"/>
                <w:szCs w:val="22"/>
                <w:lang w:val="es-ES"/>
              </w:rPr>
              <w:t>ii</w:t>
            </w:r>
            <w:r w:rsidR="00FF0AA3">
              <w:rPr>
                <w:rFonts w:ascii="Arial" w:hAnsi="Arial" w:cs="Arial"/>
                <w:sz w:val="22"/>
                <w:szCs w:val="22"/>
                <w:lang w:val="es-ES"/>
              </w:rPr>
              <w:t>i</w:t>
            </w:r>
            <w:r w:rsidRPr="00021D1B">
              <w:rPr>
                <w:rFonts w:ascii="Arial" w:hAnsi="Arial" w:cs="Arial"/>
                <w:sz w:val="22"/>
                <w:szCs w:val="22"/>
                <w:lang w:val="es-ES"/>
              </w:rPr>
              <w:t xml:space="preserve">) </w:t>
            </w:r>
            <w:r w:rsidRPr="00412556">
              <w:rPr>
                <w:rFonts w:ascii="Arial" w:hAnsi="Arial" w:cs="Arial"/>
                <w:sz w:val="22"/>
                <w:szCs w:val="22"/>
                <w:lang w:val="es-ES"/>
              </w:rPr>
              <w:t>el diseño de un sistema de Gestión Estratégica de Activos Públicos</w:t>
            </w:r>
            <w:r w:rsidRPr="00021D1B">
              <w:rPr>
                <w:rFonts w:ascii="Arial" w:hAnsi="Arial" w:cs="Arial"/>
                <w:sz w:val="22"/>
                <w:szCs w:val="22"/>
                <w:lang w:val="es-ES"/>
              </w:rPr>
              <w:t>;</w:t>
            </w:r>
          </w:p>
        </w:tc>
        <w:tc>
          <w:tcPr>
            <w:tcW w:w="4855" w:type="dxa"/>
            <w:vMerge/>
            <w:shd w:val="clear" w:color="auto" w:fill="auto"/>
          </w:tcPr>
          <w:p w14:paraId="776F20A6" w14:textId="77777777" w:rsidR="00556134" w:rsidRPr="003D7631" w:rsidRDefault="00556134" w:rsidP="0078792C">
            <w:pPr>
              <w:contextualSpacing/>
              <w:jc w:val="center"/>
              <w:rPr>
                <w:rFonts w:ascii="Arial" w:hAnsi="Arial" w:cs="Arial"/>
                <w:b/>
                <w:sz w:val="22"/>
                <w:szCs w:val="22"/>
                <w:lang w:val="es-ES_tradnl"/>
              </w:rPr>
            </w:pPr>
          </w:p>
        </w:tc>
      </w:tr>
      <w:tr w:rsidR="00556134" w:rsidRPr="00F9005B" w14:paraId="595241B6" w14:textId="77777777" w:rsidTr="00AB08C7">
        <w:trPr>
          <w:trHeight w:val="2550"/>
        </w:trPr>
        <w:tc>
          <w:tcPr>
            <w:tcW w:w="2430" w:type="dxa"/>
            <w:vMerge/>
          </w:tcPr>
          <w:p w14:paraId="463CA168" w14:textId="77777777" w:rsidR="00556134" w:rsidRPr="003D7631" w:rsidRDefault="00556134" w:rsidP="0078792C">
            <w:pPr>
              <w:contextualSpacing/>
              <w:jc w:val="both"/>
              <w:rPr>
                <w:rFonts w:ascii="Arial" w:hAnsi="Arial" w:cs="Arial"/>
                <w:b/>
                <w:sz w:val="22"/>
                <w:szCs w:val="22"/>
                <w:lang w:val="es-ES_tradnl"/>
              </w:rPr>
            </w:pPr>
          </w:p>
        </w:tc>
        <w:tc>
          <w:tcPr>
            <w:tcW w:w="4860" w:type="dxa"/>
            <w:tcBorders>
              <w:top w:val="single" w:sz="4" w:space="0" w:color="auto"/>
            </w:tcBorders>
            <w:shd w:val="clear" w:color="auto" w:fill="auto"/>
          </w:tcPr>
          <w:p w14:paraId="1F08F22B" w14:textId="77777777" w:rsidR="00556134" w:rsidRPr="00021D1B" w:rsidRDefault="00556134" w:rsidP="00CC7CA5">
            <w:pPr>
              <w:contextualSpacing/>
              <w:jc w:val="both"/>
              <w:rPr>
                <w:rFonts w:ascii="Arial" w:hAnsi="Arial" w:cs="Arial"/>
                <w:sz w:val="22"/>
                <w:szCs w:val="22"/>
                <w:lang w:val="es-ES"/>
              </w:rPr>
            </w:pPr>
            <w:r w:rsidRPr="00021D1B">
              <w:rPr>
                <w:rFonts w:ascii="Arial" w:hAnsi="Arial" w:cs="Arial"/>
                <w:sz w:val="22"/>
                <w:szCs w:val="22"/>
                <w:lang w:val="es-ES"/>
              </w:rPr>
              <w:t>(</w:t>
            </w:r>
            <w:r w:rsidR="00222A2D">
              <w:rPr>
                <w:rFonts w:ascii="Arial" w:hAnsi="Arial" w:cs="Arial"/>
                <w:sz w:val="22"/>
                <w:szCs w:val="22"/>
                <w:lang w:val="es-ES"/>
              </w:rPr>
              <w:t>i</w:t>
            </w:r>
            <w:r w:rsidRPr="00021D1B">
              <w:rPr>
                <w:rFonts w:ascii="Arial" w:hAnsi="Arial" w:cs="Arial"/>
                <w:sz w:val="22"/>
                <w:szCs w:val="22"/>
                <w:lang w:val="es-ES"/>
              </w:rPr>
              <w:t xml:space="preserve">v) </w:t>
            </w:r>
            <w:r w:rsidR="00222A2D">
              <w:rPr>
                <w:rFonts w:ascii="Arial" w:hAnsi="Arial" w:cs="Arial"/>
                <w:sz w:val="22"/>
                <w:szCs w:val="22"/>
                <w:lang w:val="es-ES"/>
              </w:rPr>
              <w:t>debilidades en los</w:t>
            </w:r>
            <w:r w:rsidRPr="00021D1B">
              <w:rPr>
                <w:rFonts w:ascii="Arial" w:hAnsi="Arial" w:cs="Arial"/>
                <w:sz w:val="22"/>
                <w:szCs w:val="22"/>
                <w:lang w:val="es-ES"/>
              </w:rPr>
              <w:t xml:space="preserve"> filtros metodológicos para la evaluación temprana de viabilidad socioeconómica de proyectos;</w:t>
            </w:r>
          </w:p>
        </w:tc>
        <w:tc>
          <w:tcPr>
            <w:tcW w:w="5940" w:type="dxa"/>
            <w:tcBorders>
              <w:top w:val="single" w:sz="4" w:space="0" w:color="auto"/>
            </w:tcBorders>
            <w:shd w:val="clear" w:color="auto" w:fill="auto"/>
          </w:tcPr>
          <w:p w14:paraId="353F17DD" w14:textId="77777777" w:rsidR="00556134" w:rsidRPr="00244EAC" w:rsidRDefault="00556134" w:rsidP="00277279">
            <w:pPr>
              <w:contextualSpacing/>
              <w:jc w:val="both"/>
              <w:rPr>
                <w:rFonts w:ascii="Arial" w:hAnsi="Arial" w:cs="Arial"/>
                <w:sz w:val="22"/>
                <w:szCs w:val="22"/>
                <w:lang w:val="es-ES"/>
              </w:rPr>
            </w:pPr>
            <w:r w:rsidRPr="00021D1B">
              <w:rPr>
                <w:rFonts w:ascii="Arial" w:hAnsi="Arial" w:cs="Arial"/>
                <w:sz w:val="22"/>
                <w:szCs w:val="22"/>
                <w:lang w:val="es-ES"/>
              </w:rPr>
              <w:t>(</w:t>
            </w:r>
            <w:r w:rsidR="002071B7">
              <w:rPr>
                <w:rFonts w:ascii="Arial" w:hAnsi="Arial" w:cs="Arial"/>
                <w:sz w:val="22"/>
                <w:szCs w:val="22"/>
                <w:lang w:val="es-ES"/>
              </w:rPr>
              <w:t>iv</w:t>
            </w:r>
            <w:r w:rsidRPr="00021D1B">
              <w:rPr>
                <w:rFonts w:ascii="Arial" w:hAnsi="Arial" w:cs="Arial"/>
                <w:sz w:val="22"/>
                <w:szCs w:val="22"/>
                <w:lang w:val="es-ES"/>
              </w:rPr>
              <w:t xml:space="preserve">) </w:t>
            </w:r>
            <w:r w:rsidRPr="00244EAC">
              <w:rPr>
                <w:rFonts w:ascii="Arial" w:hAnsi="Arial" w:cs="Arial"/>
                <w:sz w:val="22"/>
                <w:szCs w:val="22"/>
                <w:lang w:val="es-ES"/>
              </w:rPr>
              <w:t xml:space="preserve">el desarrollo de </w:t>
            </w:r>
            <w:r w:rsidR="008C3178">
              <w:rPr>
                <w:rFonts w:ascii="Arial" w:hAnsi="Arial" w:cs="Arial"/>
                <w:sz w:val="22"/>
                <w:szCs w:val="22"/>
                <w:lang w:val="es-ES"/>
              </w:rPr>
              <w:t>m</w:t>
            </w:r>
            <w:r w:rsidR="008C3178" w:rsidRPr="008C3178">
              <w:rPr>
                <w:rFonts w:ascii="Arial" w:hAnsi="Arial" w:cs="Arial"/>
                <w:sz w:val="22"/>
                <w:szCs w:val="22"/>
                <w:lang w:val="es-ES"/>
              </w:rPr>
              <w:t xml:space="preserve">etodologías para la evaluación temprana de viabilidad </w:t>
            </w:r>
            <w:r w:rsidR="002071B7">
              <w:rPr>
                <w:rFonts w:ascii="Arial" w:hAnsi="Arial" w:cs="Arial"/>
                <w:sz w:val="22"/>
                <w:szCs w:val="22"/>
                <w:lang w:val="es-ES"/>
              </w:rPr>
              <w:t>socio</w:t>
            </w:r>
            <w:r w:rsidR="008C3178" w:rsidRPr="008C3178">
              <w:rPr>
                <w:rFonts w:ascii="Arial" w:hAnsi="Arial" w:cs="Arial"/>
                <w:sz w:val="22"/>
                <w:szCs w:val="22"/>
                <w:lang w:val="es-ES"/>
              </w:rPr>
              <w:t>económica de proyectos</w:t>
            </w:r>
            <w:r w:rsidRPr="00244EAC">
              <w:rPr>
                <w:rFonts w:ascii="Arial" w:hAnsi="Arial" w:cs="Arial"/>
                <w:sz w:val="22"/>
                <w:szCs w:val="22"/>
                <w:lang w:val="es-ES"/>
              </w:rPr>
              <w:t>;</w:t>
            </w:r>
          </w:p>
        </w:tc>
        <w:tc>
          <w:tcPr>
            <w:tcW w:w="4855" w:type="dxa"/>
            <w:vMerge/>
            <w:shd w:val="clear" w:color="auto" w:fill="auto"/>
          </w:tcPr>
          <w:p w14:paraId="5083549F" w14:textId="77777777" w:rsidR="00556134" w:rsidRPr="003D7631" w:rsidRDefault="00556134" w:rsidP="0078792C">
            <w:pPr>
              <w:contextualSpacing/>
              <w:jc w:val="center"/>
              <w:rPr>
                <w:rFonts w:ascii="Arial" w:hAnsi="Arial" w:cs="Arial"/>
                <w:b/>
                <w:sz w:val="22"/>
                <w:szCs w:val="22"/>
                <w:lang w:val="es-ES_tradnl"/>
              </w:rPr>
            </w:pPr>
          </w:p>
        </w:tc>
      </w:tr>
      <w:tr w:rsidR="00556134" w:rsidRPr="00643BB0" w14:paraId="096F2977" w14:textId="77777777" w:rsidTr="00537E05">
        <w:trPr>
          <w:trHeight w:val="971"/>
        </w:trPr>
        <w:tc>
          <w:tcPr>
            <w:tcW w:w="2430" w:type="dxa"/>
            <w:vMerge/>
          </w:tcPr>
          <w:p w14:paraId="43AFB6D0" w14:textId="77777777" w:rsidR="00556134" w:rsidRPr="003D7631" w:rsidRDefault="00556134" w:rsidP="0078792C">
            <w:pPr>
              <w:contextualSpacing/>
              <w:jc w:val="both"/>
              <w:rPr>
                <w:rFonts w:ascii="Arial" w:hAnsi="Arial" w:cs="Arial"/>
                <w:b/>
                <w:sz w:val="22"/>
                <w:szCs w:val="22"/>
                <w:lang w:val="es-ES_tradnl"/>
              </w:rPr>
            </w:pPr>
          </w:p>
        </w:tc>
        <w:tc>
          <w:tcPr>
            <w:tcW w:w="4860" w:type="dxa"/>
            <w:tcBorders>
              <w:top w:val="single" w:sz="4" w:space="0" w:color="auto"/>
            </w:tcBorders>
            <w:shd w:val="clear" w:color="auto" w:fill="auto"/>
          </w:tcPr>
          <w:p w14:paraId="47051F48" w14:textId="77777777" w:rsidR="00556134" w:rsidRPr="00222A2D" w:rsidRDefault="00B614B3" w:rsidP="00222A2D">
            <w:pPr>
              <w:rPr>
                <w:rFonts w:ascii="Arial" w:hAnsi="Arial" w:cs="Arial"/>
                <w:sz w:val="22"/>
                <w:szCs w:val="22"/>
                <w:lang w:val="es-ES_tradnl"/>
              </w:rPr>
            </w:pPr>
            <w:r>
              <w:rPr>
                <w:rFonts w:ascii="Arial" w:hAnsi="Arial" w:cs="Arial"/>
                <w:sz w:val="22"/>
                <w:szCs w:val="22"/>
                <w:lang w:val="es-ES_tradnl"/>
              </w:rPr>
              <w:t xml:space="preserve">(v) </w:t>
            </w:r>
            <w:r w:rsidR="00222A2D" w:rsidRPr="00222A2D">
              <w:rPr>
                <w:rFonts w:ascii="Arial" w:hAnsi="Arial" w:cs="Arial"/>
                <w:sz w:val="22"/>
                <w:szCs w:val="22"/>
                <w:lang w:val="es-ES_tradnl"/>
              </w:rPr>
              <w:t xml:space="preserve">falta de conocimiento de nuevas tecnologías, como los </w:t>
            </w:r>
            <w:r w:rsidR="00222A2D" w:rsidRPr="00222A2D">
              <w:rPr>
                <w:rFonts w:ascii="Arial" w:hAnsi="Arial" w:cs="Arial"/>
                <w:i/>
                <w:sz w:val="22"/>
                <w:szCs w:val="22"/>
                <w:lang w:val="es-ES_tradnl"/>
              </w:rPr>
              <w:t>Building Information Models</w:t>
            </w:r>
            <w:r w:rsidR="00222A2D" w:rsidRPr="00222A2D">
              <w:rPr>
                <w:rFonts w:ascii="Arial" w:hAnsi="Arial" w:cs="Arial"/>
                <w:sz w:val="22"/>
                <w:szCs w:val="22"/>
                <w:lang w:val="es-ES_tradnl"/>
              </w:rPr>
              <w:t xml:space="preserve"> (BIM), que permitan reducir costes de ejecución con mejoras en la etapa de planificación y diseño de nuevas obras</w:t>
            </w:r>
            <w:r w:rsidR="00222A2D" w:rsidRPr="00222A2D">
              <w:rPr>
                <w:rFonts w:ascii="Arial" w:hAnsi="Arial" w:cs="Arial"/>
                <w:sz w:val="22"/>
                <w:szCs w:val="22"/>
                <w:vertAlign w:val="superscript"/>
                <w:lang w:val="es-ES_tradnl"/>
              </w:rPr>
              <w:footnoteReference w:id="3"/>
            </w:r>
          </w:p>
        </w:tc>
        <w:tc>
          <w:tcPr>
            <w:tcW w:w="5940" w:type="dxa"/>
            <w:tcBorders>
              <w:top w:val="single" w:sz="4" w:space="0" w:color="auto"/>
            </w:tcBorders>
            <w:shd w:val="clear" w:color="auto" w:fill="auto"/>
          </w:tcPr>
          <w:p w14:paraId="2A8DDF34" w14:textId="77777777" w:rsidR="00556134" w:rsidRPr="002071B7" w:rsidRDefault="002071B7" w:rsidP="0078792C">
            <w:pPr>
              <w:contextualSpacing/>
              <w:jc w:val="both"/>
              <w:rPr>
                <w:rFonts w:ascii="Arial" w:hAnsi="Arial" w:cs="Arial"/>
                <w:sz w:val="22"/>
                <w:szCs w:val="22"/>
                <w:lang w:val="es-ES"/>
              </w:rPr>
            </w:pPr>
            <w:r w:rsidRPr="002071B7">
              <w:rPr>
                <w:rFonts w:ascii="Arial" w:hAnsi="Arial" w:cs="Arial"/>
                <w:sz w:val="22"/>
                <w:szCs w:val="22"/>
                <w:lang w:val="es-ES"/>
              </w:rPr>
              <w:t>(v) la implementación de un plan piloto utilizando la tecnología BIM</w:t>
            </w:r>
            <w:r w:rsidRPr="00DF52FC">
              <w:rPr>
                <w:rStyle w:val="FootnoteReference"/>
                <w:rFonts w:ascii="Arial" w:hAnsi="Arial" w:cs="Arial"/>
                <w:sz w:val="22"/>
                <w:szCs w:val="22"/>
              </w:rPr>
              <w:footnoteReference w:id="4"/>
            </w:r>
            <w:r w:rsidRPr="002071B7">
              <w:rPr>
                <w:rFonts w:ascii="Arial" w:hAnsi="Arial" w:cs="Arial"/>
                <w:sz w:val="22"/>
                <w:szCs w:val="22"/>
                <w:lang w:val="es-ES"/>
              </w:rPr>
              <w:t>;</w:t>
            </w:r>
          </w:p>
        </w:tc>
        <w:tc>
          <w:tcPr>
            <w:tcW w:w="4855" w:type="dxa"/>
            <w:vMerge/>
            <w:shd w:val="clear" w:color="auto" w:fill="auto"/>
          </w:tcPr>
          <w:p w14:paraId="1FB8A3C3" w14:textId="77777777" w:rsidR="00556134" w:rsidRPr="003D7631" w:rsidRDefault="00556134" w:rsidP="0078792C">
            <w:pPr>
              <w:contextualSpacing/>
              <w:jc w:val="center"/>
              <w:rPr>
                <w:rFonts w:ascii="Arial" w:hAnsi="Arial" w:cs="Arial"/>
                <w:b/>
                <w:sz w:val="22"/>
                <w:szCs w:val="22"/>
                <w:lang w:val="es-ES_tradnl"/>
              </w:rPr>
            </w:pPr>
          </w:p>
        </w:tc>
      </w:tr>
      <w:tr w:rsidR="00222A2D" w:rsidRPr="00643BB0" w14:paraId="79FE9151" w14:textId="77777777" w:rsidTr="00537E05">
        <w:trPr>
          <w:trHeight w:val="971"/>
        </w:trPr>
        <w:tc>
          <w:tcPr>
            <w:tcW w:w="2430" w:type="dxa"/>
          </w:tcPr>
          <w:p w14:paraId="0896617F" w14:textId="77777777" w:rsidR="00222A2D" w:rsidRPr="003D7631" w:rsidRDefault="00222A2D" w:rsidP="00222A2D">
            <w:pPr>
              <w:contextualSpacing/>
              <w:jc w:val="both"/>
              <w:rPr>
                <w:rFonts w:ascii="Arial" w:hAnsi="Arial" w:cs="Arial"/>
                <w:b/>
                <w:sz w:val="22"/>
                <w:szCs w:val="22"/>
                <w:lang w:val="es-ES_tradnl"/>
              </w:rPr>
            </w:pPr>
          </w:p>
        </w:tc>
        <w:tc>
          <w:tcPr>
            <w:tcW w:w="4860" w:type="dxa"/>
            <w:tcBorders>
              <w:top w:val="single" w:sz="4" w:space="0" w:color="auto"/>
            </w:tcBorders>
            <w:shd w:val="clear" w:color="auto" w:fill="auto"/>
          </w:tcPr>
          <w:p w14:paraId="0C26FF82" w14:textId="77777777" w:rsidR="00222A2D" w:rsidRPr="00021D1B" w:rsidRDefault="00222A2D" w:rsidP="00222A2D">
            <w:pPr>
              <w:contextualSpacing/>
              <w:jc w:val="both"/>
              <w:rPr>
                <w:rFonts w:ascii="Arial" w:hAnsi="Arial" w:cs="Arial"/>
                <w:sz w:val="22"/>
                <w:szCs w:val="22"/>
                <w:lang w:val="es-ES"/>
              </w:rPr>
            </w:pPr>
            <w:r w:rsidRPr="00021D1B">
              <w:rPr>
                <w:rFonts w:ascii="Arial" w:hAnsi="Arial" w:cs="Arial"/>
                <w:sz w:val="22"/>
                <w:szCs w:val="22"/>
                <w:lang w:val="es-ES"/>
              </w:rPr>
              <w:t>(v</w:t>
            </w:r>
            <w:r w:rsidR="00B614B3">
              <w:rPr>
                <w:rFonts w:ascii="Arial" w:hAnsi="Arial" w:cs="Arial"/>
                <w:sz w:val="22"/>
                <w:szCs w:val="22"/>
                <w:lang w:val="es-ES"/>
              </w:rPr>
              <w:t>i</w:t>
            </w:r>
            <w:r w:rsidRPr="00021D1B">
              <w:rPr>
                <w:rFonts w:ascii="Arial" w:hAnsi="Arial" w:cs="Arial"/>
                <w:sz w:val="22"/>
                <w:szCs w:val="22"/>
                <w:lang w:val="es-ES"/>
              </w:rPr>
              <w:t>) ausencia de metodologías de análisis de brechas de inversión</w:t>
            </w:r>
            <w:r>
              <w:rPr>
                <w:rStyle w:val="FootnoteReference"/>
                <w:rFonts w:ascii="Arial" w:hAnsi="Arial" w:cs="Arial"/>
                <w:sz w:val="22"/>
                <w:szCs w:val="22"/>
              </w:rPr>
              <w:footnoteReference w:id="5"/>
            </w:r>
            <w:r w:rsidRPr="00021D1B">
              <w:rPr>
                <w:rFonts w:ascii="Arial" w:hAnsi="Arial" w:cs="Arial"/>
                <w:sz w:val="22"/>
                <w:szCs w:val="22"/>
                <w:lang w:val="es-ES"/>
              </w:rPr>
              <w:t>.</w:t>
            </w:r>
          </w:p>
        </w:tc>
        <w:tc>
          <w:tcPr>
            <w:tcW w:w="5940" w:type="dxa"/>
            <w:tcBorders>
              <w:top w:val="single" w:sz="4" w:space="0" w:color="auto"/>
            </w:tcBorders>
            <w:shd w:val="clear" w:color="auto" w:fill="auto"/>
          </w:tcPr>
          <w:p w14:paraId="4F24E4CF" w14:textId="77777777" w:rsidR="00222A2D" w:rsidRPr="00021D1B" w:rsidRDefault="00222A2D" w:rsidP="00222A2D">
            <w:pPr>
              <w:contextualSpacing/>
              <w:jc w:val="both"/>
              <w:rPr>
                <w:rFonts w:ascii="Arial" w:hAnsi="Arial" w:cs="Arial"/>
                <w:sz w:val="22"/>
                <w:szCs w:val="22"/>
                <w:lang w:val="es-ES"/>
              </w:rPr>
            </w:pPr>
            <w:r w:rsidRPr="00021D1B">
              <w:rPr>
                <w:rFonts w:ascii="Arial" w:hAnsi="Arial" w:cs="Arial"/>
                <w:sz w:val="22"/>
                <w:szCs w:val="22"/>
                <w:lang w:val="es-ES"/>
              </w:rPr>
              <w:t xml:space="preserve">(vi) </w:t>
            </w:r>
            <w:r w:rsidRPr="00244EAC">
              <w:rPr>
                <w:rFonts w:ascii="Arial" w:hAnsi="Arial" w:cs="Arial"/>
                <w:sz w:val="22"/>
                <w:szCs w:val="22"/>
                <w:lang w:val="es-ES"/>
              </w:rPr>
              <w:t xml:space="preserve">la </w:t>
            </w:r>
            <w:r w:rsidR="002071B7">
              <w:rPr>
                <w:rFonts w:ascii="Arial" w:hAnsi="Arial" w:cs="Arial"/>
                <w:sz w:val="22"/>
                <w:szCs w:val="22"/>
                <w:lang w:val="es-ES"/>
              </w:rPr>
              <w:t xml:space="preserve">implementación </w:t>
            </w:r>
            <w:r w:rsidRPr="00244EAC">
              <w:rPr>
                <w:rFonts w:ascii="Arial" w:hAnsi="Arial" w:cs="Arial"/>
                <w:sz w:val="22"/>
                <w:szCs w:val="22"/>
                <w:lang w:val="es-ES"/>
              </w:rPr>
              <w:t>de metodologías de análisis de brechas de inversión que faciliten la priorización de proyectos.</w:t>
            </w:r>
          </w:p>
        </w:tc>
        <w:tc>
          <w:tcPr>
            <w:tcW w:w="4855" w:type="dxa"/>
            <w:shd w:val="clear" w:color="auto" w:fill="auto"/>
          </w:tcPr>
          <w:p w14:paraId="556AB715" w14:textId="77777777" w:rsidR="00222A2D" w:rsidRPr="003D7631" w:rsidRDefault="00222A2D" w:rsidP="00222A2D">
            <w:pPr>
              <w:contextualSpacing/>
              <w:jc w:val="center"/>
              <w:rPr>
                <w:rFonts w:ascii="Arial" w:hAnsi="Arial" w:cs="Arial"/>
                <w:b/>
                <w:sz w:val="22"/>
                <w:szCs w:val="22"/>
                <w:lang w:val="es-ES_tradnl"/>
              </w:rPr>
            </w:pPr>
          </w:p>
        </w:tc>
      </w:tr>
      <w:tr w:rsidR="00222A2D" w:rsidRPr="00643BB0" w14:paraId="187975D3" w14:textId="77777777" w:rsidTr="00AB08C7">
        <w:tc>
          <w:tcPr>
            <w:tcW w:w="18085" w:type="dxa"/>
            <w:gridSpan w:val="4"/>
            <w:shd w:val="clear" w:color="auto" w:fill="auto"/>
          </w:tcPr>
          <w:p w14:paraId="3619D7D2" w14:textId="77777777" w:rsidR="00222A2D" w:rsidRPr="00F72ED1" w:rsidRDefault="00222A2D" w:rsidP="00222A2D">
            <w:pPr>
              <w:keepNext/>
              <w:contextualSpacing/>
              <w:jc w:val="center"/>
              <w:rPr>
                <w:rFonts w:ascii="Arial" w:hAnsi="Arial" w:cs="Arial"/>
                <w:sz w:val="22"/>
                <w:szCs w:val="22"/>
                <w:lang w:val="es-ES"/>
              </w:rPr>
            </w:pPr>
            <w:r>
              <w:rPr>
                <w:rFonts w:ascii="Arial" w:hAnsi="Arial" w:cs="Arial"/>
                <w:b/>
                <w:sz w:val="22"/>
                <w:szCs w:val="22"/>
                <w:lang w:val="es-ES_tradnl"/>
              </w:rPr>
              <w:t>Componente I</w:t>
            </w:r>
            <w:r w:rsidRPr="003D7631">
              <w:rPr>
                <w:rFonts w:ascii="Arial" w:hAnsi="Arial" w:cs="Arial"/>
                <w:b/>
                <w:sz w:val="22"/>
                <w:szCs w:val="22"/>
                <w:lang w:val="es-ES_tradnl"/>
              </w:rPr>
              <w:t xml:space="preserve">I. </w:t>
            </w:r>
            <w:r w:rsidRPr="00F72ED1">
              <w:rPr>
                <w:rFonts w:ascii="Arial" w:hAnsi="Arial" w:cs="Arial"/>
                <w:b/>
                <w:sz w:val="22"/>
                <w:szCs w:val="22"/>
                <w:lang w:val="es-ES_tradnl"/>
              </w:rPr>
              <w:t xml:space="preserve">Apoyo a la financiación de la preinversión </w:t>
            </w:r>
          </w:p>
        </w:tc>
      </w:tr>
      <w:tr w:rsidR="00222A2D" w:rsidRPr="00643BB0" w14:paraId="3B43941A" w14:textId="77777777" w:rsidTr="00AB08C7">
        <w:tc>
          <w:tcPr>
            <w:tcW w:w="18085" w:type="dxa"/>
            <w:gridSpan w:val="4"/>
            <w:shd w:val="clear" w:color="auto" w:fill="auto"/>
          </w:tcPr>
          <w:p w14:paraId="06A9CDAA" w14:textId="77777777" w:rsidR="00222A2D" w:rsidRPr="003D7631" w:rsidRDefault="00222A2D" w:rsidP="00222A2D">
            <w:pPr>
              <w:keepNext/>
              <w:contextualSpacing/>
              <w:rPr>
                <w:rFonts w:ascii="Arial" w:hAnsi="Arial" w:cs="Arial"/>
                <w:sz w:val="22"/>
                <w:szCs w:val="22"/>
                <w:lang w:val="es-ES_tradnl"/>
              </w:rPr>
            </w:pPr>
            <w:r w:rsidRPr="003D7631">
              <w:rPr>
                <w:rFonts w:ascii="Arial" w:hAnsi="Arial" w:cs="Arial"/>
                <w:b/>
                <w:sz w:val="22"/>
                <w:szCs w:val="22"/>
                <w:lang w:val="es-ES_tradnl"/>
              </w:rPr>
              <w:t xml:space="preserve">Objetivo: </w:t>
            </w:r>
            <w:r w:rsidRPr="00021D1B">
              <w:rPr>
                <w:rFonts w:ascii="Arial" w:hAnsi="Arial"/>
                <w:sz w:val="22"/>
                <w:szCs w:val="22"/>
                <w:lang w:val="es-ES"/>
              </w:rPr>
              <w:t>construir nuevos instrumentos técnicos y financieros que permitan la sostenibilidad de la preinversión en el largo plazo</w:t>
            </w:r>
            <w:r w:rsidRPr="00C400C0">
              <w:rPr>
                <w:rFonts w:ascii="Arial" w:hAnsi="Arial" w:cs="Arial"/>
                <w:sz w:val="22"/>
                <w:szCs w:val="22"/>
                <w:lang w:val="es-ES_tradnl"/>
              </w:rPr>
              <w:t>.</w:t>
            </w:r>
          </w:p>
        </w:tc>
      </w:tr>
      <w:tr w:rsidR="00222A2D" w:rsidRPr="003D7631" w14:paraId="312DAB32" w14:textId="77777777" w:rsidTr="001E5D78">
        <w:trPr>
          <w:tblHeader/>
        </w:trPr>
        <w:tc>
          <w:tcPr>
            <w:tcW w:w="2430" w:type="dxa"/>
            <w:shd w:val="clear" w:color="auto" w:fill="FBD4B4" w:themeFill="accent6" w:themeFillTint="66"/>
          </w:tcPr>
          <w:p w14:paraId="2A957CC4" w14:textId="77777777" w:rsidR="00222A2D" w:rsidRPr="003D7631" w:rsidRDefault="00222A2D" w:rsidP="00222A2D">
            <w:pPr>
              <w:contextualSpacing/>
              <w:jc w:val="center"/>
              <w:rPr>
                <w:rFonts w:ascii="Arial" w:hAnsi="Arial" w:cs="Arial"/>
                <w:b/>
                <w:sz w:val="22"/>
                <w:szCs w:val="22"/>
                <w:lang w:val="es-ES"/>
              </w:rPr>
            </w:pPr>
            <w:r w:rsidRPr="003D7631">
              <w:rPr>
                <w:rFonts w:ascii="Arial" w:hAnsi="Arial" w:cs="Arial"/>
                <w:b/>
                <w:sz w:val="22"/>
                <w:szCs w:val="22"/>
                <w:lang w:val="es-ES"/>
              </w:rPr>
              <w:t>Problemas Específicos</w:t>
            </w:r>
          </w:p>
        </w:tc>
        <w:tc>
          <w:tcPr>
            <w:tcW w:w="4860" w:type="dxa"/>
            <w:shd w:val="clear" w:color="auto" w:fill="FBD4B4" w:themeFill="accent6" w:themeFillTint="66"/>
          </w:tcPr>
          <w:p w14:paraId="43E04471" w14:textId="77777777" w:rsidR="00222A2D" w:rsidRPr="003D7631" w:rsidRDefault="00222A2D" w:rsidP="00222A2D">
            <w:pPr>
              <w:contextualSpacing/>
              <w:jc w:val="center"/>
              <w:rPr>
                <w:rFonts w:ascii="Arial" w:hAnsi="Arial" w:cs="Arial"/>
                <w:b/>
                <w:sz w:val="22"/>
                <w:szCs w:val="22"/>
                <w:lang w:val="es-ES"/>
              </w:rPr>
            </w:pPr>
            <w:r w:rsidRPr="003D7631">
              <w:rPr>
                <w:rFonts w:ascii="Arial" w:hAnsi="Arial" w:cs="Arial"/>
                <w:b/>
                <w:sz w:val="22"/>
                <w:szCs w:val="22"/>
                <w:lang w:val="es-ES"/>
              </w:rPr>
              <w:t>Causas / Magnitud / Evidencias</w:t>
            </w:r>
          </w:p>
        </w:tc>
        <w:tc>
          <w:tcPr>
            <w:tcW w:w="5940" w:type="dxa"/>
            <w:tcBorders>
              <w:bottom w:val="single" w:sz="4" w:space="0" w:color="auto"/>
            </w:tcBorders>
            <w:shd w:val="clear" w:color="auto" w:fill="FBD4B4" w:themeFill="accent6" w:themeFillTint="66"/>
          </w:tcPr>
          <w:p w14:paraId="0DAE89B5" w14:textId="77777777" w:rsidR="00222A2D" w:rsidRPr="003D7631" w:rsidRDefault="00222A2D" w:rsidP="00222A2D">
            <w:pPr>
              <w:contextualSpacing/>
              <w:jc w:val="center"/>
              <w:rPr>
                <w:rFonts w:ascii="Arial" w:hAnsi="Arial" w:cs="Arial"/>
                <w:b/>
                <w:sz w:val="22"/>
                <w:szCs w:val="22"/>
                <w:lang w:val="es-ES"/>
              </w:rPr>
            </w:pPr>
            <w:r w:rsidRPr="003D7631">
              <w:rPr>
                <w:rFonts w:ascii="Arial" w:hAnsi="Arial" w:cs="Arial"/>
                <w:b/>
                <w:sz w:val="22"/>
                <w:szCs w:val="22"/>
                <w:lang w:val="es-ES"/>
              </w:rPr>
              <w:t>Soluciones / Productos</w:t>
            </w:r>
          </w:p>
        </w:tc>
        <w:tc>
          <w:tcPr>
            <w:tcW w:w="4855" w:type="dxa"/>
            <w:shd w:val="clear" w:color="auto" w:fill="FBD4B4" w:themeFill="accent6" w:themeFillTint="66"/>
          </w:tcPr>
          <w:p w14:paraId="7BE59262" w14:textId="77777777" w:rsidR="00222A2D" w:rsidRPr="003D7631" w:rsidRDefault="00222A2D" w:rsidP="00222A2D">
            <w:pPr>
              <w:contextualSpacing/>
              <w:jc w:val="center"/>
              <w:rPr>
                <w:rFonts w:ascii="Arial" w:hAnsi="Arial" w:cs="Arial"/>
                <w:b/>
                <w:sz w:val="22"/>
                <w:szCs w:val="22"/>
                <w:lang w:val="es-ES"/>
              </w:rPr>
            </w:pPr>
            <w:r w:rsidRPr="003D7631">
              <w:rPr>
                <w:rFonts w:ascii="Arial" w:hAnsi="Arial" w:cs="Arial"/>
                <w:b/>
                <w:sz w:val="22"/>
                <w:szCs w:val="22"/>
                <w:lang w:val="es-ES"/>
              </w:rPr>
              <w:t>Resultados Esperados</w:t>
            </w:r>
          </w:p>
        </w:tc>
      </w:tr>
      <w:tr w:rsidR="00222A2D" w:rsidRPr="00643BB0" w14:paraId="0F792F3F" w14:textId="77777777" w:rsidTr="00AB08C7">
        <w:trPr>
          <w:trHeight w:val="2540"/>
        </w:trPr>
        <w:tc>
          <w:tcPr>
            <w:tcW w:w="2430" w:type="dxa"/>
            <w:vMerge w:val="restart"/>
          </w:tcPr>
          <w:p w14:paraId="400D5EBA" w14:textId="77777777" w:rsidR="00222A2D" w:rsidRPr="00021D1B" w:rsidRDefault="00222A2D" w:rsidP="00222A2D">
            <w:pPr>
              <w:contextualSpacing/>
              <w:jc w:val="both"/>
              <w:rPr>
                <w:rFonts w:ascii="Arial" w:hAnsi="Arial" w:cs="Arial"/>
                <w:sz w:val="22"/>
                <w:szCs w:val="22"/>
                <w:lang w:val="es-ES"/>
              </w:rPr>
            </w:pPr>
            <w:r w:rsidRPr="00021D1B">
              <w:rPr>
                <w:rFonts w:ascii="Arial" w:hAnsi="Arial" w:cs="Arial"/>
                <w:sz w:val="22"/>
                <w:szCs w:val="22"/>
                <w:lang w:val="es-ES"/>
              </w:rPr>
              <w:lastRenderedPageBreak/>
              <w:t>Limitados recursos financieros para la preinversión</w:t>
            </w:r>
          </w:p>
        </w:tc>
        <w:tc>
          <w:tcPr>
            <w:tcW w:w="4860" w:type="dxa"/>
            <w:shd w:val="clear" w:color="auto" w:fill="auto"/>
          </w:tcPr>
          <w:p w14:paraId="5BF7DCEF" w14:textId="77777777" w:rsidR="00222A2D" w:rsidRPr="00004D12" w:rsidRDefault="00222A2D" w:rsidP="00222A2D">
            <w:pPr>
              <w:pStyle w:val="ListParagraph"/>
              <w:numPr>
                <w:ilvl w:val="0"/>
                <w:numId w:val="5"/>
              </w:numPr>
              <w:jc w:val="both"/>
              <w:rPr>
                <w:rFonts w:ascii="Arial" w:hAnsi="Arial" w:cs="Arial"/>
                <w:sz w:val="22"/>
                <w:szCs w:val="22"/>
                <w:lang w:val="es-ES"/>
              </w:rPr>
            </w:pPr>
            <w:r w:rsidRPr="00004D12">
              <w:rPr>
                <w:rFonts w:ascii="Arial" w:hAnsi="Arial" w:cs="Arial"/>
                <w:sz w:val="22"/>
                <w:szCs w:val="22"/>
                <w:lang w:val="es-ES"/>
              </w:rPr>
              <w:t xml:space="preserve">insuficiente asignación de recursos para preinversión, </w:t>
            </w:r>
            <w:r w:rsidRPr="00004D12">
              <w:rPr>
                <w:rFonts w:ascii="Arial" w:hAnsi="Arial" w:cs="Arial"/>
                <w:sz w:val="22"/>
                <w:szCs w:val="22"/>
                <w:lang w:val="es-ES_tradnl"/>
              </w:rPr>
              <w:t>1,9% del monto total de la inversión (2007-2017), lejos de los estándares internacionales, 5%, e insuficientes para alcanzar los objetivos de inversión pública</w:t>
            </w:r>
            <w:r w:rsidRPr="00004D12">
              <w:rPr>
                <w:vertAlign w:val="superscript"/>
                <w:lang w:val="es-ES_tradnl"/>
              </w:rPr>
              <w:footnoteReference w:id="6"/>
            </w:r>
          </w:p>
          <w:p w14:paraId="4EE3B515" w14:textId="77777777" w:rsidR="00222A2D" w:rsidRPr="00021D1B" w:rsidRDefault="00222A2D" w:rsidP="00222A2D">
            <w:pPr>
              <w:contextualSpacing/>
              <w:jc w:val="both"/>
              <w:rPr>
                <w:rFonts w:ascii="Arial" w:hAnsi="Arial" w:cs="Arial"/>
                <w:sz w:val="22"/>
                <w:szCs w:val="22"/>
                <w:lang w:val="es-ES"/>
              </w:rPr>
            </w:pPr>
          </w:p>
        </w:tc>
        <w:tc>
          <w:tcPr>
            <w:tcW w:w="5940" w:type="dxa"/>
            <w:shd w:val="clear" w:color="auto" w:fill="auto"/>
          </w:tcPr>
          <w:p w14:paraId="10A6D4ED" w14:textId="77777777" w:rsidR="00222A2D" w:rsidRPr="002071B7" w:rsidRDefault="00222A2D" w:rsidP="00222A2D">
            <w:pPr>
              <w:contextualSpacing/>
              <w:jc w:val="both"/>
              <w:rPr>
                <w:rFonts w:ascii="Arial" w:hAnsi="Arial" w:cs="Arial"/>
                <w:b/>
                <w:sz w:val="22"/>
                <w:szCs w:val="22"/>
                <w:lang w:val="es-ES"/>
              </w:rPr>
            </w:pPr>
            <w:r w:rsidRPr="00021D1B">
              <w:rPr>
                <w:rFonts w:ascii="Arial" w:hAnsi="Arial"/>
                <w:sz w:val="22"/>
                <w:szCs w:val="22"/>
                <w:lang w:val="es-ES"/>
              </w:rPr>
              <w:t xml:space="preserve">(i) </w:t>
            </w:r>
            <w:r w:rsidR="002071B7" w:rsidRPr="002071B7">
              <w:rPr>
                <w:rFonts w:ascii="Arial" w:hAnsi="Arial" w:cs="Arial"/>
                <w:sz w:val="22"/>
                <w:szCs w:val="22"/>
                <w:lang w:val="es-ES"/>
              </w:rPr>
              <w:t>la financiación directa de estudios de preinversión</w:t>
            </w:r>
            <w:r w:rsidR="002071B7" w:rsidRPr="00DF52FC">
              <w:rPr>
                <w:rStyle w:val="FootnoteReference"/>
                <w:rFonts w:ascii="Arial" w:hAnsi="Arial" w:cs="Arial"/>
                <w:sz w:val="22"/>
                <w:szCs w:val="22"/>
              </w:rPr>
              <w:footnoteReference w:id="7"/>
            </w:r>
            <w:r w:rsidR="002071B7" w:rsidRPr="002071B7">
              <w:rPr>
                <w:rFonts w:ascii="Arial" w:hAnsi="Arial" w:cs="Arial"/>
                <w:sz w:val="22"/>
                <w:szCs w:val="22"/>
                <w:lang w:val="es-ES"/>
              </w:rPr>
              <w:t xml:space="preserve">, así como de especialistas técnicos de apoyo a las </w:t>
            </w:r>
            <w:r w:rsidR="002071B7" w:rsidRPr="002071B7">
              <w:rPr>
                <w:rFonts w:ascii="Arial" w:eastAsia="Arial" w:hAnsi="Arial" w:cs="Arial"/>
                <w:bCs/>
                <w:sz w:val="22"/>
                <w:szCs w:val="22"/>
                <w:lang w:val="es-ES"/>
              </w:rPr>
              <w:t>Entidades Subejecutoras</w:t>
            </w:r>
            <w:r w:rsidR="002071B7" w:rsidRPr="002071B7">
              <w:rPr>
                <w:rFonts w:ascii="Arial" w:hAnsi="Arial" w:cs="Arial"/>
                <w:sz w:val="22"/>
                <w:szCs w:val="22"/>
                <w:lang w:val="es-ES"/>
              </w:rPr>
              <w:t>;</w:t>
            </w:r>
          </w:p>
        </w:tc>
        <w:tc>
          <w:tcPr>
            <w:tcW w:w="4855" w:type="dxa"/>
            <w:shd w:val="clear" w:color="auto" w:fill="auto"/>
          </w:tcPr>
          <w:p w14:paraId="73DAF309" w14:textId="68233BCE" w:rsidR="00643BB0" w:rsidRDefault="00643BB0" w:rsidP="00643BB0">
            <w:pPr>
              <w:contextualSpacing/>
              <w:rPr>
                <w:rFonts w:ascii="Arial" w:hAnsi="Arial" w:cs="Arial"/>
                <w:sz w:val="22"/>
                <w:szCs w:val="22"/>
                <w:lang w:val="es-ES"/>
              </w:rPr>
            </w:pPr>
            <w:r w:rsidRPr="002972BD">
              <w:rPr>
                <w:rFonts w:ascii="Arial" w:hAnsi="Arial" w:cs="Arial"/>
                <w:b/>
                <w:lang w:val="es-ES"/>
              </w:rPr>
              <w:t>RESULTADO 2: Incremento de la calidad de la inversión</w:t>
            </w:r>
            <w:r>
              <w:rPr>
                <w:rFonts w:ascii="Arial" w:hAnsi="Arial" w:cs="Arial"/>
                <w:b/>
                <w:lang w:val="es-ES"/>
              </w:rPr>
              <w:t xml:space="preserve"> mediante el incremento de la preinversión</w:t>
            </w:r>
            <w:r w:rsidRPr="007D662F">
              <w:rPr>
                <w:rFonts w:ascii="Arial" w:hAnsi="Arial" w:cs="Arial"/>
                <w:sz w:val="22"/>
                <w:szCs w:val="22"/>
                <w:lang w:val="es-ES"/>
              </w:rPr>
              <w:t xml:space="preserve">: </w:t>
            </w:r>
            <w:r w:rsidRPr="002972BD">
              <w:rPr>
                <w:rFonts w:ascii="Arial" w:hAnsi="Arial" w:cs="Arial"/>
                <w:lang w:val="es-ES"/>
              </w:rPr>
              <w:t>Monto de preinversión / monto estimado de inversión</w:t>
            </w:r>
            <w:r>
              <w:rPr>
                <w:rFonts w:ascii="Arial" w:hAnsi="Arial" w:cs="Arial"/>
                <w:sz w:val="22"/>
                <w:szCs w:val="22"/>
                <w:lang w:val="es-ES"/>
              </w:rPr>
              <w:t xml:space="preserve"> </w:t>
            </w:r>
          </w:p>
          <w:p w14:paraId="6B4349F5" w14:textId="77777777" w:rsidR="00222A2D" w:rsidRPr="003D7631" w:rsidRDefault="00222A2D" w:rsidP="00222A2D">
            <w:pPr>
              <w:contextualSpacing/>
              <w:jc w:val="both"/>
              <w:rPr>
                <w:rFonts w:ascii="Arial" w:hAnsi="Arial" w:cs="Arial"/>
                <w:sz w:val="22"/>
                <w:szCs w:val="22"/>
                <w:lang w:val="es-ES_tradnl"/>
              </w:rPr>
            </w:pPr>
          </w:p>
        </w:tc>
      </w:tr>
      <w:tr w:rsidR="00222A2D" w:rsidRPr="00643BB0" w14:paraId="052B0E68" w14:textId="77777777" w:rsidTr="00AB08C7">
        <w:trPr>
          <w:trHeight w:val="2540"/>
        </w:trPr>
        <w:tc>
          <w:tcPr>
            <w:tcW w:w="2430" w:type="dxa"/>
            <w:vMerge/>
          </w:tcPr>
          <w:p w14:paraId="37164573" w14:textId="77777777" w:rsidR="00222A2D" w:rsidRPr="003D7631" w:rsidRDefault="00222A2D" w:rsidP="00222A2D">
            <w:pPr>
              <w:contextualSpacing/>
              <w:jc w:val="both"/>
              <w:rPr>
                <w:rFonts w:ascii="Arial" w:hAnsi="Arial" w:cs="Arial"/>
                <w:sz w:val="22"/>
                <w:szCs w:val="22"/>
                <w:lang w:val="es-ES_tradnl"/>
              </w:rPr>
            </w:pPr>
          </w:p>
        </w:tc>
        <w:tc>
          <w:tcPr>
            <w:tcW w:w="4860" w:type="dxa"/>
            <w:shd w:val="clear" w:color="auto" w:fill="auto"/>
          </w:tcPr>
          <w:p w14:paraId="6C732424" w14:textId="77777777" w:rsidR="00222A2D" w:rsidRPr="003D7631" w:rsidRDefault="00222A2D" w:rsidP="00222A2D">
            <w:pPr>
              <w:contextualSpacing/>
              <w:jc w:val="both"/>
              <w:rPr>
                <w:rFonts w:ascii="Arial" w:hAnsi="Arial" w:cs="Arial"/>
                <w:b/>
                <w:sz w:val="22"/>
                <w:szCs w:val="22"/>
                <w:lang w:val="es-ES_tradnl"/>
              </w:rPr>
            </w:pPr>
            <w:r w:rsidRPr="00021D1B">
              <w:rPr>
                <w:rFonts w:ascii="Arial" w:hAnsi="Arial" w:cs="Arial"/>
                <w:sz w:val="22"/>
                <w:szCs w:val="22"/>
                <w:lang w:val="es-ES"/>
              </w:rPr>
              <w:t xml:space="preserve">(ii) </w:t>
            </w:r>
            <w:r w:rsidR="00714773" w:rsidRPr="00714773">
              <w:rPr>
                <w:rFonts w:ascii="Arial" w:hAnsi="Arial" w:cs="Arial"/>
                <w:sz w:val="22"/>
                <w:szCs w:val="22"/>
                <w:lang w:val="es-ES"/>
              </w:rPr>
              <w:t>dificultades en estimar montos adecuados de preinversión, que como resultado arroja costes muy desiguales de preinversión para proyectos similares</w:t>
            </w:r>
            <w:r w:rsidRPr="00021D1B">
              <w:rPr>
                <w:rFonts w:ascii="Arial" w:hAnsi="Arial" w:cs="Arial"/>
                <w:sz w:val="22"/>
                <w:szCs w:val="22"/>
                <w:lang w:val="es-ES"/>
              </w:rPr>
              <w:t xml:space="preserve">. </w:t>
            </w:r>
          </w:p>
        </w:tc>
        <w:tc>
          <w:tcPr>
            <w:tcW w:w="5940" w:type="dxa"/>
            <w:shd w:val="clear" w:color="auto" w:fill="auto"/>
          </w:tcPr>
          <w:p w14:paraId="183E7157" w14:textId="77777777" w:rsidR="00222A2D" w:rsidRPr="003D7631" w:rsidRDefault="00222A2D" w:rsidP="00222A2D">
            <w:pPr>
              <w:contextualSpacing/>
              <w:jc w:val="both"/>
              <w:rPr>
                <w:rFonts w:ascii="Arial" w:hAnsi="Arial" w:cs="Arial"/>
                <w:b/>
                <w:sz w:val="22"/>
                <w:szCs w:val="22"/>
                <w:lang w:val="es-ES_tradnl"/>
              </w:rPr>
            </w:pPr>
            <w:r w:rsidRPr="00021D1B">
              <w:rPr>
                <w:rFonts w:ascii="Arial" w:hAnsi="Arial" w:cs="Arial"/>
                <w:sz w:val="22"/>
                <w:szCs w:val="22"/>
                <w:lang w:val="es-ES"/>
              </w:rPr>
              <w:t xml:space="preserve">(ii) </w:t>
            </w:r>
            <w:r w:rsidRPr="00021D1B">
              <w:rPr>
                <w:rFonts w:ascii="Arial" w:hAnsi="Arial"/>
                <w:sz w:val="22"/>
                <w:szCs w:val="22"/>
                <w:lang w:val="es-ES"/>
              </w:rPr>
              <w:t xml:space="preserve">el desarrollo de una base de datos de costos unitarios de la preinversión </w:t>
            </w:r>
            <w:r w:rsidRPr="00FC3A93">
              <w:rPr>
                <w:rFonts w:ascii="Arial" w:hAnsi="Arial"/>
                <w:sz w:val="22"/>
                <w:szCs w:val="22"/>
                <w:u w:val="single"/>
                <w:lang w:val="es-ES"/>
              </w:rPr>
              <w:t xml:space="preserve">que apoye la presupuestación de </w:t>
            </w:r>
            <w:r>
              <w:rPr>
                <w:rFonts w:ascii="Arial" w:hAnsi="Arial"/>
                <w:sz w:val="22"/>
                <w:szCs w:val="22"/>
                <w:u w:val="single"/>
                <w:lang w:val="es-ES"/>
              </w:rPr>
              <w:t>é</w:t>
            </w:r>
            <w:r w:rsidRPr="00FC3A93">
              <w:rPr>
                <w:rFonts w:ascii="Arial" w:hAnsi="Arial"/>
                <w:sz w:val="22"/>
                <w:szCs w:val="22"/>
                <w:u w:val="single"/>
                <w:lang w:val="es-ES"/>
              </w:rPr>
              <w:t>sta</w:t>
            </w:r>
            <w:r w:rsidRPr="00021D1B">
              <w:rPr>
                <w:rFonts w:ascii="Arial" w:hAnsi="Arial"/>
                <w:sz w:val="22"/>
                <w:szCs w:val="22"/>
                <w:lang w:val="es-ES"/>
              </w:rPr>
              <w:t>;</w:t>
            </w:r>
          </w:p>
        </w:tc>
        <w:tc>
          <w:tcPr>
            <w:tcW w:w="4855" w:type="dxa"/>
            <w:shd w:val="clear" w:color="auto" w:fill="auto"/>
          </w:tcPr>
          <w:p w14:paraId="2E8EDE9D" w14:textId="77777777" w:rsidR="00222A2D" w:rsidRPr="003D7631" w:rsidRDefault="00222A2D" w:rsidP="00222A2D">
            <w:pPr>
              <w:contextualSpacing/>
              <w:jc w:val="both"/>
              <w:rPr>
                <w:rFonts w:ascii="Arial" w:hAnsi="Arial" w:cs="Arial"/>
                <w:sz w:val="22"/>
                <w:szCs w:val="22"/>
                <w:lang w:val="es-ES_tradnl"/>
              </w:rPr>
            </w:pPr>
          </w:p>
          <w:p w14:paraId="39FEF5DE" w14:textId="77777777" w:rsidR="00222A2D" w:rsidRPr="003D7631" w:rsidRDefault="00222A2D" w:rsidP="00222A2D">
            <w:pPr>
              <w:contextualSpacing/>
              <w:rPr>
                <w:rFonts w:ascii="Arial" w:hAnsi="Arial" w:cs="Arial"/>
                <w:b/>
                <w:sz w:val="22"/>
                <w:szCs w:val="22"/>
                <w:lang w:val="es-ES_tradnl"/>
              </w:rPr>
            </w:pPr>
          </w:p>
        </w:tc>
      </w:tr>
      <w:tr w:rsidR="00222A2D" w:rsidRPr="00643BB0" w14:paraId="101493BE" w14:textId="77777777" w:rsidTr="00AB08C7">
        <w:trPr>
          <w:trHeight w:val="710"/>
        </w:trPr>
        <w:tc>
          <w:tcPr>
            <w:tcW w:w="2430" w:type="dxa"/>
            <w:vMerge/>
          </w:tcPr>
          <w:p w14:paraId="5FD46D91" w14:textId="77777777" w:rsidR="00222A2D" w:rsidRPr="003D7631" w:rsidRDefault="00222A2D" w:rsidP="00222A2D">
            <w:pPr>
              <w:contextualSpacing/>
              <w:jc w:val="both"/>
              <w:rPr>
                <w:rFonts w:ascii="Arial" w:hAnsi="Arial" w:cs="Arial"/>
                <w:sz w:val="22"/>
                <w:szCs w:val="22"/>
                <w:lang w:val="es-ES_tradnl"/>
              </w:rPr>
            </w:pPr>
          </w:p>
        </w:tc>
        <w:tc>
          <w:tcPr>
            <w:tcW w:w="4860" w:type="dxa"/>
            <w:tcBorders>
              <w:top w:val="nil"/>
            </w:tcBorders>
          </w:tcPr>
          <w:p w14:paraId="737C3FF2" w14:textId="77777777" w:rsidR="00222A2D" w:rsidRPr="003D7631" w:rsidRDefault="00222A2D" w:rsidP="00222A2D">
            <w:pPr>
              <w:contextualSpacing/>
              <w:jc w:val="both"/>
              <w:rPr>
                <w:rFonts w:ascii="Arial" w:hAnsi="Arial" w:cs="Arial"/>
                <w:sz w:val="22"/>
                <w:szCs w:val="22"/>
                <w:lang w:val="es-ES"/>
              </w:rPr>
            </w:pPr>
            <w:r w:rsidRPr="00021D1B">
              <w:rPr>
                <w:rFonts w:ascii="Arial" w:hAnsi="Arial" w:cs="Arial"/>
                <w:sz w:val="22"/>
                <w:szCs w:val="22"/>
                <w:lang w:val="es-ES"/>
              </w:rPr>
              <w:t xml:space="preserve">(iii) </w:t>
            </w:r>
            <w:r w:rsidR="00714773" w:rsidRPr="00714773">
              <w:rPr>
                <w:rFonts w:ascii="Arial" w:hAnsi="Arial" w:cs="Arial"/>
                <w:sz w:val="22"/>
                <w:szCs w:val="22"/>
                <w:lang w:val="es-ES"/>
              </w:rPr>
              <w:t>volatilidad en los montos anuales disponibles para la preinversión</w:t>
            </w:r>
            <w:r w:rsidR="00714773" w:rsidRPr="00DF52FC">
              <w:rPr>
                <w:rFonts w:ascii="Arial" w:hAnsi="Arial" w:cs="Arial"/>
                <w:sz w:val="22"/>
                <w:szCs w:val="22"/>
                <w:vertAlign w:val="superscript"/>
              </w:rPr>
              <w:footnoteReference w:id="8"/>
            </w:r>
            <w:r w:rsidR="00714773" w:rsidRPr="00714773">
              <w:rPr>
                <w:rFonts w:ascii="Arial" w:hAnsi="Arial" w:cs="Arial"/>
                <w:sz w:val="22"/>
                <w:szCs w:val="22"/>
                <w:lang w:val="es-ES"/>
              </w:rPr>
              <w:t xml:space="preserve"> medidos como porcentaje del monto total de inversión pública, </w:t>
            </w:r>
            <w:r w:rsidR="00714773" w:rsidRPr="00714773">
              <w:rPr>
                <w:rFonts w:ascii="Arial" w:hAnsi="Arial" w:cs="Arial"/>
                <w:sz w:val="22"/>
                <w:szCs w:val="22"/>
                <w:lang w:val="es-ES"/>
              </w:rPr>
              <w:lastRenderedPageBreak/>
              <w:t>al no aplicarse principios de mejores prácticas ni mecanismos de financiación de la preinversión que ofrezcan sostenibilidad</w:t>
            </w:r>
            <w:r w:rsidRPr="00021D1B">
              <w:rPr>
                <w:rFonts w:ascii="Arial" w:hAnsi="Arial" w:cs="Arial"/>
                <w:sz w:val="22"/>
                <w:szCs w:val="22"/>
                <w:lang w:val="es-ES"/>
              </w:rPr>
              <w:t>.</w:t>
            </w:r>
          </w:p>
        </w:tc>
        <w:tc>
          <w:tcPr>
            <w:tcW w:w="5940" w:type="dxa"/>
            <w:shd w:val="clear" w:color="auto" w:fill="auto"/>
          </w:tcPr>
          <w:p w14:paraId="00AE12D1" w14:textId="039F73E6" w:rsidR="00222A2D" w:rsidRPr="003D7631" w:rsidRDefault="00222A2D" w:rsidP="00222A2D">
            <w:pPr>
              <w:contextualSpacing/>
              <w:jc w:val="both"/>
              <w:rPr>
                <w:rFonts w:ascii="Arial" w:hAnsi="Arial" w:cs="Arial"/>
                <w:sz w:val="22"/>
                <w:szCs w:val="22"/>
                <w:lang w:val="es-ES_tradnl"/>
              </w:rPr>
            </w:pPr>
            <w:r w:rsidRPr="00021D1B">
              <w:rPr>
                <w:rFonts w:ascii="Arial" w:hAnsi="Arial" w:cs="Arial"/>
                <w:sz w:val="22"/>
                <w:szCs w:val="22"/>
                <w:lang w:val="es-ES"/>
              </w:rPr>
              <w:lastRenderedPageBreak/>
              <w:t xml:space="preserve">(iii) </w:t>
            </w:r>
            <w:r w:rsidR="00643BB0">
              <w:rPr>
                <w:rFonts w:ascii="Arial" w:hAnsi="Arial" w:cs="Arial"/>
                <w:sz w:val="22"/>
                <w:szCs w:val="22"/>
                <w:lang w:val="es-ES"/>
              </w:rPr>
              <w:t xml:space="preserve">la socialización </w:t>
            </w:r>
            <w:r w:rsidR="002071B7" w:rsidRPr="00B52FCF">
              <w:rPr>
                <w:rFonts w:ascii="Arial" w:hAnsi="Arial" w:cs="Arial"/>
                <w:sz w:val="22"/>
                <w:szCs w:val="22"/>
                <w:lang w:val="es-ES"/>
              </w:rPr>
              <w:t>de un Fondo de Preinversión que apoye la sostenibilidad de recursos disponibles</w:t>
            </w:r>
            <w:r w:rsidR="002071B7">
              <w:rPr>
                <w:rStyle w:val="FootnoteReference"/>
                <w:rFonts w:ascii="Arial" w:hAnsi="Arial" w:cs="Arial"/>
                <w:sz w:val="22"/>
                <w:szCs w:val="22"/>
              </w:rPr>
              <w:footnoteReference w:id="9"/>
            </w:r>
            <w:r w:rsidRPr="00021D1B">
              <w:rPr>
                <w:rFonts w:ascii="Arial" w:hAnsi="Arial"/>
                <w:sz w:val="22"/>
                <w:szCs w:val="22"/>
                <w:lang w:val="es-ES"/>
              </w:rPr>
              <w:t>.</w:t>
            </w:r>
          </w:p>
        </w:tc>
        <w:tc>
          <w:tcPr>
            <w:tcW w:w="4855" w:type="dxa"/>
          </w:tcPr>
          <w:p w14:paraId="31147E9E" w14:textId="77777777" w:rsidR="00222A2D" w:rsidRPr="003D7631" w:rsidRDefault="00222A2D" w:rsidP="00222A2D">
            <w:pPr>
              <w:contextualSpacing/>
              <w:jc w:val="both"/>
              <w:rPr>
                <w:rFonts w:ascii="Arial" w:hAnsi="Arial" w:cs="Arial"/>
                <w:sz w:val="22"/>
                <w:szCs w:val="22"/>
                <w:lang w:val="es-ES_tradnl"/>
              </w:rPr>
            </w:pPr>
          </w:p>
          <w:p w14:paraId="7A4A510F" w14:textId="77777777" w:rsidR="00222A2D" w:rsidRPr="003D7631" w:rsidRDefault="00222A2D" w:rsidP="00222A2D">
            <w:pPr>
              <w:contextualSpacing/>
              <w:jc w:val="both"/>
              <w:rPr>
                <w:rFonts w:ascii="Arial" w:hAnsi="Arial" w:cs="Arial"/>
                <w:sz w:val="22"/>
                <w:szCs w:val="22"/>
                <w:lang w:val="es-ES_tradnl"/>
              </w:rPr>
            </w:pPr>
          </w:p>
        </w:tc>
      </w:tr>
      <w:tr w:rsidR="00222A2D" w:rsidRPr="00643BB0" w14:paraId="12B02E29" w14:textId="77777777" w:rsidTr="00AB08C7">
        <w:tc>
          <w:tcPr>
            <w:tcW w:w="18085" w:type="dxa"/>
            <w:gridSpan w:val="4"/>
            <w:shd w:val="clear" w:color="auto" w:fill="auto"/>
          </w:tcPr>
          <w:p w14:paraId="00748F75" w14:textId="77777777" w:rsidR="00222A2D" w:rsidRPr="00F72ED1" w:rsidRDefault="00222A2D" w:rsidP="00222A2D">
            <w:pPr>
              <w:keepNext/>
              <w:contextualSpacing/>
              <w:jc w:val="center"/>
              <w:rPr>
                <w:rFonts w:ascii="Arial" w:hAnsi="Arial" w:cs="Arial"/>
                <w:sz w:val="22"/>
                <w:szCs w:val="22"/>
                <w:lang w:val="es-ES"/>
              </w:rPr>
            </w:pPr>
            <w:r w:rsidRPr="003D7631">
              <w:rPr>
                <w:rFonts w:ascii="Arial" w:hAnsi="Arial" w:cs="Arial"/>
                <w:b/>
                <w:sz w:val="22"/>
                <w:szCs w:val="22"/>
                <w:lang w:val="es-ES_tradnl"/>
              </w:rPr>
              <w:t>Componente II</w:t>
            </w:r>
            <w:r>
              <w:rPr>
                <w:rFonts w:ascii="Arial" w:hAnsi="Arial" w:cs="Arial"/>
                <w:b/>
                <w:sz w:val="22"/>
                <w:szCs w:val="22"/>
                <w:lang w:val="es-ES_tradnl"/>
              </w:rPr>
              <w:t>I</w:t>
            </w:r>
            <w:r w:rsidRPr="003D7631">
              <w:rPr>
                <w:rFonts w:ascii="Arial" w:hAnsi="Arial" w:cs="Arial"/>
                <w:b/>
                <w:sz w:val="22"/>
                <w:szCs w:val="22"/>
                <w:lang w:val="es-ES_tradnl"/>
              </w:rPr>
              <w:t xml:space="preserve">. </w:t>
            </w:r>
            <w:r w:rsidRPr="00F72ED1">
              <w:rPr>
                <w:rFonts w:ascii="Arial" w:hAnsi="Arial" w:cs="Arial"/>
                <w:b/>
                <w:sz w:val="22"/>
                <w:szCs w:val="22"/>
                <w:lang w:val="es-ES"/>
              </w:rPr>
              <w:t xml:space="preserve">Mejora de las capacidades de gestión de la preinversión </w:t>
            </w:r>
          </w:p>
        </w:tc>
      </w:tr>
      <w:tr w:rsidR="00222A2D" w:rsidRPr="00643BB0" w14:paraId="4C173DA7" w14:textId="77777777" w:rsidTr="00AB08C7">
        <w:tc>
          <w:tcPr>
            <w:tcW w:w="18085" w:type="dxa"/>
            <w:gridSpan w:val="4"/>
            <w:shd w:val="clear" w:color="auto" w:fill="auto"/>
          </w:tcPr>
          <w:p w14:paraId="0BE78648" w14:textId="77777777" w:rsidR="00222A2D" w:rsidRPr="003D7631" w:rsidRDefault="00222A2D" w:rsidP="00222A2D">
            <w:pPr>
              <w:keepNext/>
              <w:contextualSpacing/>
              <w:rPr>
                <w:rFonts w:ascii="Arial" w:hAnsi="Arial" w:cs="Arial"/>
                <w:sz w:val="22"/>
                <w:szCs w:val="22"/>
                <w:lang w:val="es-ES_tradnl"/>
              </w:rPr>
            </w:pPr>
            <w:r w:rsidRPr="003D7631">
              <w:rPr>
                <w:rFonts w:ascii="Arial" w:hAnsi="Arial" w:cs="Arial"/>
                <w:b/>
                <w:sz w:val="22"/>
                <w:szCs w:val="22"/>
                <w:lang w:val="es-ES_tradnl"/>
              </w:rPr>
              <w:t>Objetivo:</w:t>
            </w:r>
            <w:r w:rsidRPr="003D7631">
              <w:rPr>
                <w:rFonts w:ascii="Arial" w:hAnsi="Arial" w:cs="Arial"/>
                <w:sz w:val="22"/>
                <w:szCs w:val="22"/>
                <w:lang w:val="es-ES_tradnl"/>
              </w:rPr>
              <w:t xml:space="preserve"> </w:t>
            </w:r>
            <w:r w:rsidRPr="00021D1B">
              <w:rPr>
                <w:rFonts w:ascii="Arial" w:hAnsi="Arial" w:cs="Arial"/>
                <w:sz w:val="22"/>
                <w:szCs w:val="22"/>
                <w:lang w:val="es-ES"/>
              </w:rPr>
              <w:t xml:space="preserve">fortalecer la gestión de la preinversión a través de la capacitación y rediseño </w:t>
            </w:r>
            <w:r>
              <w:rPr>
                <w:rFonts w:ascii="Arial" w:hAnsi="Arial" w:cs="Arial"/>
                <w:sz w:val="22"/>
                <w:szCs w:val="22"/>
                <w:lang w:val="es-ES"/>
              </w:rPr>
              <w:t>organizacional</w:t>
            </w:r>
            <w:r w:rsidRPr="00021D1B">
              <w:rPr>
                <w:rFonts w:ascii="Arial" w:hAnsi="Arial" w:cs="Arial"/>
                <w:sz w:val="22"/>
                <w:szCs w:val="22"/>
                <w:lang w:val="es-ES"/>
              </w:rPr>
              <w:t xml:space="preserve"> </w:t>
            </w:r>
            <w:r>
              <w:rPr>
                <w:rFonts w:ascii="Arial" w:hAnsi="Arial" w:cs="Arial"/>
                <w:sz w:val="22"/>
                <w:szCs w:val="22"/>
                <w:lang w:val="es-ES"/>
              </w:rPr>
              <w:t>de l</w:t>
            </w:r>
            <w:r w:rsidR="00B52FCF">
              <w:rPr>
                <w:rFonts w:ascii="Arial" w:hAnsi="Arial" w:cs="Arial"/>
                <w:sz w:val="22"/>
                <w:szCs w:val="22"/>
                <w:lang w:val="es-ES"/>
              </w:rPr>
              <w:t xml:space="preserve">os organismos de gestión </w:t>
            </w:r>
            <w:r>
              <w:rPr>
                <w:rFonts w:ascii="Arial" w:hAnsi="Arial" w:cs="Arial"/>
                <w:sz w:val="22"/>
                <w:szCs w:val="22"/>
                <w:lang w:val="es-ES"/>
              </w:rPr>
              <w:t xml:space="preserve"> </w:t>
            </w:r>
          </w:p>
        </w:tc>
      </w:tr>
      <w:tr w:rsidR="00222A2D" w:rsidRPr="003D7631" w14:paraId="62AE6377" w14:textId="77777777" w:rsidTr="001E5D78">
        <w:trPr>
          <w:tblHeader/>
        </w:trPr>
        <w:tc>
          <w:tcPr>
            <w:tcW w:w="2430" w:type="dxa"/>
            <w:shd w:val="clear" w:color="auto" w:fill="FBD4B4" w:themeFill="accent6" w:themeFillTint="66"/>
          </w:tcPr>
          <w:p w14:paraId="32A5086C" w14:textId="77777777" w:rsidR="00222A2D" w:rsidRPr="003D7631" w:rsidRDefault="00222A2D" w:rsidP="00222A2D">
            <w:pPr>
              <w:contextualSpacing/>
              <w:jc w:val="center"/>
              <w:rPr>
                <w:rFonts w:ascii="Arial" w:hAnsi="Arial" w:cs="Arial"/>
                <w:b/>
                <w:sz w:val="22"/>
                <w:szCs w:val="22"/>
                <w:lang w:val="es-ES"/>
              </w:rPr>
            </w:pPr>
            <w:r w:rsidRPr="003D7631">
              <w:rPr>
                <w:rFonts w:ascii="Arial" w:hAnsi="Arial" w:cs="Arial"/>
                <w:b/>
                <w:sz w:val="22"/>
                <w:szCs w:val="22"/>
                <w:lang w:val="es-ES"/>
              </w:rPr>
              <w:t>Problemas Específicos</w:t>
            </w:r>
          </w:p>
        </w:tc>
        <w:tc>
          <w:tcPr>
            <w:tcW w:w="4860" w:type="dxa"/>
            <w:shd w:val="clear" w:color="auto" w:fill="FBD4B4" w:themeFill="accent6" w:themeFillTint="66"/>
          </w:tcPr>
          <w:p w14:paraId="0040E3D1" w14:textId="77777777" w:rsidR="00222A2D" w:rsidRPr="003D7631" w:rsidRDefault="00222A2D" w:rsidP="00222A2D">
            <w:pPr>
              <w:contextualSpacing/>
              <w:jc w:val="center"/>
              <w:rPr>
                <w:rFonts w:ascii="Arial" w:hAnsi="Arial" w:cs="Arial"/>
                <w:b/>
                <w:sz w:val="22"/>
                <w:szCs w:val="22"/>
                <w:lang w:val="es-ES"/>
              </w:rPr>
            </w:pPr>
            <w:r w:rsidRPr="003D7631">
              <w:rPr>
                <w:rFonts w:ascii="Arial" w:hAnsi="Arial" w:cs="Arial"/>
                <w:b/>
                <w:sz w:val="22"/>
                <w:szCs w:val="22"/>
                <w:lang w:val="es-ES"/>
              </w:rPr>
              <w:t>Causas / Magnitud / Evidencias</w:t>
            </w:r>
          </w:p>
        </w:tc>
        <w:tc>
          <w:tcPr>
            <w:tcW w:w="5940" w:type="dxa"/>
            <w:tcBorders>
              <w:bottom w:val="single" w:sz="4" w:space="0" w:color="auto"/>
            </w:tcBorders>
            <w:shd w:val="clear" w:color="auto" w:fill="FBD4B4" w:themeFill="accent6" w:themeFillTint="66"/>
          </w:tcPr>
          <w:p w14:paraId="54706E77" w14:textId="77777777" w:rsidR="00222A2D" w:rsidRPr="003D7631" w:rsidRDefault="00222A2D" w:rsidP="00222A2D">
            <w:pPr>
              <w:contextualSpacing/>
              <w:jc w:val="center"/>
              <w:rPr>
                <w:rFonts w:ascii="Arial" w:hAnsi="Arial" w:cs="Arial"/>
                <w:b/>
                <w:sz w:val="22"/>
                <w:szCs w:val="22"/>
                <w:lang w:val="es-ES"/>
              </w:rPr>
            </w:pPr>
            <w:r w:rsidRPr="003D7631">
              <w:rPr>
                <w:rFonts w:ascii="Arial" w:hAnsi="Arial" w:cs="Arial"/>
                <w:b/>
                <w:sz w:val="22"/>
                <w:szCs w:val="22"/>
                <w:lang w:val="es-ES"/>
              </w:rPr>
              <w:t>Soluciones / Productos</w:t>
            </w:r>
          </w:p>
        </w:tc>
        <w:tc>
          <w:tcPr>
            <w:tcW w:w="4855" w:type="dxa"/>
            <w:shd w:val="clear" w:color="auto" w:fill="FBD4B4" w:themeFill="accent6" w:themeFillTint="66"/>
          </w:tcPr>
          <w:p w14:paraId="784AA525" w14:textId="77777777" w:rsidR="00222A2D" w:rsidRPr="003D7631" w:rsidRDefault="00222A2D" w:rsidP="00222A2D">
            <w:pPr>
              <w:contextualSpacing/>
              <w:jc w:val="center"/>
              <w:rPr>
                <w:rFonts w:ascii="Arial" w:hAnsi="Arial" w:cs="Arial"/>
                <w:b/>
                <w:sz w:val="22"/>
                <w:szCs w:val="22"/>
                <w:lang w:val="es-ES"/>
              </w:rPr>
            </w:pPr>
            <w:r w:rsidRPr="003D7631">
              <w:rPr>
                <w:rFonts w:ascii="Arial" w:hAnsi="Arial" w:cs="Arial"/>
                <w:b/>
                <w:sz w:val="22"/>
                <w:szCs w:val="22"/>
                <w:lang w:val="es-ES"/>
              </w:rPr>
              <w:t>Resultados Esperados</w:t>
            </w:r>
          </w:p>
        </w:tc>
      </w:tr>
      <w:tr w:rsidR="00222A2D" w:rsidRPr="00643BB0" w14:paraId="0F06535F" w14:textId="77777777" w:rsidTr="00AC7348">
        <w:trPr>
          <w:trHeight w:val="890"/>
        </w:trPr>
        <w:tc>
          <w:tcPr>
            <w:tcW w:w="2430" w:type="dxa"/>
            <w:vMerge w:val="restart"/>
          </w:tcPr>
          <w:p w14:paraId="572AC324" w14:textId="77777777" w:rsidR="00222A2D" w:rsidRPr="00021D1B" w:rsidRDefault="00222A2D" w:rsidP="00222A2D">
            <w:pPr>
              <w:contextualSpacing/>
              <w:jc w:val="both"/>
              <w:rPr>
                <w:rFonts w:ascii="Arial" w:hAnsi="Arial" w:cs="Arial"/>
                <w:sz w:val="22"/>
                <w:szCs w:val="22"/>
                <w:lang w:val="es-ES"/>
              </w:rPr>
            </w:pPr>
            <w:r w:rsidRPr="00021D1B">
              <w:rPr>
                <w:rFonts w:ascii="Arial" w:hAnsi="Arial" w:cs="Arial"/>
                <w:sz w:val="22"/>
                <w:szCs w:val="22"/>
                <w:lang w:val="es-ES"/>
              </w:rPr>
              <w:t>Limitadas capacidades institucionales para la gestión de la inversión pública.</w:t>
            </w:r>
          </w:p>
        </w:tc>
        <w:tc>
          <w:tcPr>
            <w:tcW w:w="4860" w:type="dxa"/>
            <w:shd w:val="clear" w:color="auto" w:fill="auto"/>
          </w:tcPr>
          <w:p w14:paraId="1E8D2009" w14:textId="77777777" w:rsidR="00222A2D" w:rsidRPr="00021D1B" w:rsidRDefault="00222A2D" w:rsidP="00222A2D">
            <w:pPr>
              <w:contextualSpacing/>
              <w:jc w:val="both"/>
              <w:rPr>
                <w:rFonts w:ascii="Arial" w:hAnsi="Arial" w:cs="Arial"/>
                <w:sz w:val="22"/>
                <w:szCs w:val="22"/>
                <w:lang w:val="es-ES"/>
              </w:rPr>
            </w:pPr>
            <w:r w:rsidRPr="00021D1B">
              <w:rPr>
                <w:rFonts w:ascii="Arial" w:hAnsi="Arial" w:cs="Arial"/>
                <w:sz w:val="22"/>
                <w:szCs w:val="22"/>
                <w:lang w:val="es-ES"/>
              </w:rPr>
              <w:t xml:space="preserve">(i) </w:t>
            </w:r>
            <w:r w:rsidR="001A08E5" w:rsidRPr="001A08E5">
              <w:rPr>
                <w:rFonts w:ascii="Arial" w:hAnsi="Arial" w:cs="Arial"/>
                <w:sz w:val="22"/>
                <w:szCs w:val="22"/>
                <w:lang w:val="es-ES"/>
              </w:rPr>
              <w:t>debilidad en la gestión de la VIPFE, reflejada en insuficiente personal para enfrentar las necesidades que presenta la cobertura de preinversión pública nacional, y la imposibilidad de asumir funciones esenciales de mejora de la calidad de la preinversión, como la certificación de estudios o el desarrollo de conocimiento</w:t>
            </w:r>
            <w:r w:rsidR="001A08E5">
              <w:rPr>
                <w:rStyle w:val="FootnoteReference"/>
                <w:rFonts w:ascii="Arial" w:hAnsi="Arial" w:cs="Arial"/>
                <w:sz w:val="22"/>
                <w:szCs w:val="22"/>
              </w:rPr>
              <w:footnoteReference w:id="10"/>
            </w:r>
            <w:r w:rsidRPr="00021D1B">
              <w:rPr>
                <w:rFonts w:ascii="Arial" w:hAnsi="Arial" w:cs="Arial"/>
                <w:sz w:val="22"/>
                <w:szCs w:val="22"/>
                <w:lang w:val="es-ES"/>
              </w:rPr>
              <w:t>;</w:t>
            </w:r>
          </w:p>
        </w:tc>
        <w:tc>
          <w:tcPr>
            <w:tcW w:w="5940" w:type="dxa"/>
            <w:shd w:val="clear" w:color="auto" w:fill="auto"/>
          </w:tcPr>
          <w:p w14:paraId="2712B896" w14:textId="77777777" w:rsidR="00222A2D" w:rsidRPr="003D7631" w:rsidRDefault="00222A2D" w:rsidP="00222A2D">
            <w:pPr>
              <w:contextualSpacing/>
              <w:jc w:val="both"/>
              <w:rPr>
                <w:rFonts w:ascii="Arial" w:hAnsi="Arial" w:cs="Arial"/>
                <w:b/>
                <w:sz w:val="22"/>
                <w:szCs w:val="22"/>
                <w:lang w:val="es-ES_tradnl"/>
              </w:rPr>
            </w:pPr>
            <w:r w:rsidRPr="00021D1B">
              <w:rPr>
                <w:rFonts w:ascii="Arial" w:hAnsi="Arial" w:cs="Arial"/>
                <w:sz w:val="22"/>
                <w:szCs w:val="22"/>
                <w:lang w:val="es-ES"/>
              </w:rPr>
              <w:t xml:space="preserve">(i) </w:t>
            </w:r>
            <w:r w:rsidRPr="00095219">
              <w:rPr>
                <w:rFonts w:ascii="Arial" w:hAnsi="Arial" w:cs="Arial"/>
                <w:sz w:val="22"/>
                <w:szCs w:val="22"/>
                <w:lang w:val="es-ES"/>
              </w:rPr>
              <w:t>el</w:t>
            </w:r>
            <w:r w:rsidR="00213C38" w:rsidRPr="00213C38">
              <w:rPr>
                <w:rFonts w:ascii="Arial" w:hAnsi="Arial" w:cs="Arial"/>
                <w:sz w:val="22"/>
                <w:szCs w:val="22"/>
                <w:lang w:val="es-ES"/>
              </w:rPr>
              <w:t xml:space="preserve"> fortalecimiento de la estructura organización de la Dirección General de Programación y Preinversión </w:t>
            </w:r>
            <w:r w:rsidR="00213C38" w:rsidRPr="00DF52FC">
              <w:rPr>
                <w:rFonts w:ascii="Arial" w:eastAsia="Arial" w:hAnsi="Arial" w:cs="Arial"/>
                <w:sz w:val="22"/>
                <w:szCs w:val="22"/>
                <w:lang w:val="es-ES"/>
              </w:rPr>
              <w:t>(DGPP)</w:t>
            </w:r>
            <w:r w:rsidR="00213C38">
              <w:rPr>
                <w:rStyle w:val="FootnoteReference"/>
                <w:rFonts w:ascii="Arial" w:hAnsi="Arial" w:cs="Arial"/>
                <w:sz w:val="22"/>
                <w:szCs w:val="22"/>
              </w:rPr>
              <w:footnoteReference w:id="11"/>
            </w:r>
            <w:r w:rsidR="00213C38">
              <w:rPr>
                <w:rFonts w:ascii="Arial" w:eastAsia="Arial" w:hAnsi="Arial" w:cs="Arial"/>
                <w:sz w:val="22"/>
                <w:szCs w:val="22"/>
                <w:lang w:val="es-ES"/>
              </w:rPr>
              <w:t>, que</w:t>
            </w:r>
            <w:r w:rsidR="00213C38" w:rsidRPr="00213C38">
              <w:rPr>
                <w:rFonts w:ascii="Arial" w:hAnsi="Arial" w:cs="Arial"/>
                <w:sz w:val="22"/>
                <w:szCs w:val="22"/>
                <w:lang w:val="es-ES"/>
              </w:rPr>
              <w:t xml:space="preserve"> asignará responsabilidades de ejecución, certificación de inversión pública; desarrollará el plan de personal y permitirá nuevas contrataciones en base al rediseño incluyendo personal capacitado para la certificación de estudios de preinversión, así como la socialización de la nueva estructura de la DGPP</w:t>
            </w:r>
            <w:r w:rsidRPr="00021D1B">
              <w:rPr>
                <w:rFonts w:ascii="Arial" w:hAnsi="Arial" w:cs="Arial"/>
                <w:sz w:val="22"/>
                <w:szCs w:val="22"/>
                <w:lang w:val="es-ES"/>
              </w:rPr>
              <w:t>;</w:t>
            </w:r>
          </w:p>
        </w:tc>
        <w:tc>
          <w:tcPr>
            <w:tcW w:w="4855" w:type="dxa"/>
            <w:shd w:val="clear" w:color="auto" w:fill="auto"/>
          </w:tcPr>
          <w:p w14:paraId="79FD8C8F" w14:textId="11CB834C" w:rsidR="00CA3A9F" w:rsidRPr="003D7631" w:rsidRDefault="00CA3A9F" w:rsidP="00222A2D">
            <w:pPr>
              <w:contextualSpacing/>
              <w:jc w:val="both"/>
              <w:rPr>
                <w:rFonts w:ascii="Arial" w:hAnsi="Arial" w:cs="Arial"/>
                <w:sz w:val="22"/>
                <w:szCs w:val="22"/>
                <w:lang w:val="es-ES_tradnl"/>
              </w:rPr>
            </w:pPr>
          </w:p>
        </w:tc>
      </w:tr>
      <w:tr w:rsidR="00222A2D" w:rsidRPr="00643BB0" w14:paraId="0A40DFA2" w14:textId="77777777" w:rsidTr="00AC7348">
        <w:trPr>
          <w:trHeight w:val="890"/>
        </w:trPr>
        <w:tc>
          <w:tcPr>
            <w:tcW w:w="2430" w:type="dxa"/>
            <w:vMerge/>
          </w:tcPr>
          <w:p w14:paraId="00B91C16" w14:textId="77777777" w:rsidR="00222A2D" w:rsidRPr="00021D1B" w:rsidRDefault="00222A2D" w:rsidP="00222A2D">
            <w:pPr>
              <w:contextualSpacing/>
              <w:jc w:val="both"/>
              <w:rPr>
                <w:rFonts w:ascii="Arial" w:hAnsi="Arial" w:cs="Arial"/>
                <w:sz w:val="22"/>
                <w:szCs w:val="22"/>
                <w:lang w:val="es-ES"/>
              </w:rPr>
            </w:pPr>
          </w:p>
        </w:tc>
        <w:tc>
          <w:tcPr>
            <w:tcW w:w="4860" w:type="dxa"/>
            <w:shd w:val="clear" w:color="auto" w:fill="auto"/>
          </w:tcPr>
          <w:p w14:paraId="587730C9" w14:textId="77777777" w:rsidR="00222A2D" w:rsidRPr="00021D1B" w:rsidRDefault="00222A2D" w:rsidP="00222A2D">
            <w:pPr>
              <w:contextualSpacing/>
              <w:jc w:val="both"/>
              <w:rPr>
                <w:rFonts w:ascii="Arial" w:hAnsi="Arial" w:cs="Arial"/>
                <w:sz w:val="22"/>
                <w:szCs w:val="22"/>
                <w:lang w:val="es-ES"/>
              </w:rPr>
            </w:pPr>
            <w:r w:rsidRPr="00021D1B">
              <w:rPr>
                <w:rFonts w:ascii="Arial" w:hAnsi="Arial" w:cs="Arial"/>
                <w:sz w:val="22"/>
                <w:szCs w:val="22"/>
                <w:lang w:val="es-ES"/>
              </w:rPr>
              <w:t xml:space="preserve">(ii) </w:t>
            </w:r>
            <w:r w:rsidR="002071B7" w:rsidRPr="002071B7">
              <w:rPr>
                <w:rFonts w:ascii="Arial" w:hAnsi="Arial" w:cs="Arial"/>
                <w:sz w:val="22"/>
                <w:szCs w:val="22"/>
                <w:lang w:val="es-ES"/>
              </w:rPr>
              <w:t>escasa calidad de los estudios de preinversión gestionados por los ejecutores</w:t>
            </w:r>
            <w:r w:rsidR="002071B7" w:rsidRPr="00DF52FC">
              <w:rPr>
                <w:rStyle w:val="FootnoteReference"/>
                <w:rFonts w:ascii="Arial" w:hAnsi="Arial" w:cs="Arial"/>
                <w:sz w:val="22"/>
                <w:szCs w:val="22"/>
              </w:rPr>
              <w:footnoteReference w:id="12"/>
            </w:r>
            <w:r w:rsidRPr="00DD48C8">
              <w:rPr>
                <w:rFonts w:ascii="Arial" w:hAnsi="Arial" w:cs="Arial"/>
                <w:sz w:val="22"/>
                <w:szCs w:val="22"/>
                <w:lang w:val="es-ES"/>
              </w:rPr>
              <w:t>;</w:t>
            </w:r>
          </w:p>
        </w:tc>
        <w:tc>
          <w:tcPr>
            <w:tcW w:w="5940" w:type="dxa"/>
            <w:shd w:val="clear" w:color="auto" w:fill="auto"/>
          </w:tcPr>
          <w:p w14:paraId="6F978315" w14:textId="77777777" w:rsidR="00222A2D" w:rsidRPr="003D7631" w:rsidRDefault="00222A2D" w:rsidP="00222A2D">
            <w:pPr>
              <w:contextualSpacing/>
              <w:jc w:val="both"/>
              <w:rPr>
                <w:rFonts w:ascii="Arial" w:hAnsi="Arial" w:cs="Arial"/>
                <w:b/>
                <w:sz w:val="22"/>
                <w:szCs w:val="22"/>
                <w:lang w:val="es-ES_tradnl"/>
              </w:rPr>
            </w:pPr>
            <w:r w:rsidRPr="00021D1B">
              <w:rPr>
                <w:rFonts w:ascii="Arial" w:hAnsi="Arial" w:cs="Arial"/>
                <w:sz w:val="22"/>
                <w:szCs w:val="22"/>
                <w:lang w:val="es-ES"/>
              </w:rPr>
              <w:t xml:space="preserve">(ii) </w:t>
            </w:r>
            <w:r w:rsidRPr="009E7BF1">
              <w:rPr>
                <w:rFonts w:ascii="Arial" w:hAnsi="Arial" w:cs="Arial"/>
                <w:sz w:val="22"/>
                <w:szCs w:val="22"/>
                <w:lang w:val="es-ES"/>
              </w:rPr>
              <w:t xml:space="preserve">el fortalecimiento de </w:t>
            </w:r>
            <w:r w:rsidR="00370406" w:rsidRPr="00370406">
              <w:rPr>
                <w:rFonts w:ascii="Arial" w:hAnsi="Arial" w:cs="Arial"/>
                <w:sz w:val="22"/>
                <w:szCs w:val="22"/>
                <w:lang w:val="es-ES"/>
              </w:rPr>
              <w:t>las metodologías y aspectos técnicos del</w:t>
            </w:r>
            <w:r w:rsidRPr="009E7BF1">
              <w:rPr>
                <w:rFonts w:ascii="Arial" w:hAnsi="Arial" w:cs="Arial"/>
                <w:sz w:val="22"/>
                <w:szCs w:val="22"/>
                <w:lang w:val="es-ES"/>
              </w:rPr>
              <w:t>: (a) informe técnico de condiciones previas (ITCP) con una evaluación socioeconómica preliminar; y (b) estudio de diseño técnico de preinversión (EDTP) con términos de referencia y presupuestos detallados por sectores</w:t>
            </w:r>
            <w:r w:rsidRPr="00021D1B">
              <w:rPr>
                <w:rFonts w:ascii="Arial" w:hAnsi="Arial" w:cs="Arial"/>
                <w:sz w:val="22"/>
                <w:szCs w:val="22"/>
                <w:lang w:val="es-ES"/>
              </w:rPr>
              <w:t>;</w:t>
            </w:r>
            <w:r>
              <w:rPr>
                <w:rFonts w:ascii="Arial" w:hAnsi="Arial" w:cs="Arial"/>
                <w:sz w:val="22"/>
                <w:szCs w:val="22"/>
                <w:lang w:val="es-ES"/>
              </w:rPr>
              <w:t xml:space="preserve"> </w:t>
            </w:r>
          </w:p>
        </w:tc>
        <w:tc>
          <w:tcPr>
            <w:tcW w:w="4855" w:type="dxa"/>
            <w:shd w:val="clear" w:color="auto" w:fill="auto"/>
          </w:tcPr>
          <w:p w14:paraId="228CAFCC" w14:textId="77777777" w:rsidR="00222A2D" w:rsidRPr="003D7631" w:rsidRDefault="00222A2D" w:rsidP="00222A2D">
            <w:pPr>
              <w:contextualSpacing/>
              <w:jc w:val="both"/>
              <w:rPr>
                <w:rFonts w:ascii="Arial" w:hAnsi="Arial" w:cs="Arial"/>
                <w:sz w:val="22"/>
                <w:szCs w:val="22"/>
                <w:lang w:val="es-ES_tradnl"/>
              </w:rPr>
            </w:pPr>
          </w:p>
        </w:tc>
      </w:tr>
      <w:tr w:rsidR="00CA3A9F" w:rsidRPr="00CA3A9F" w14:paraId="1F00AD6F" w14:textId="77777777" w:rsidTr="00AB08C7">
        <w:tc>
          <w:tcPr>
            <w:tcW w:w="2430" w:type="dxa"/>
            <w:vMerge/>
          </w:tcPr>
          <w:p w14:paraId="75CFF801" w14:textId="77777777" w:rsidR="00CA3A9F" w:rsidRPr="003D7631" w:rsidRDefault="00CA3A9F" w:rsidP="00CA3A9F">
            <w:pPr>
              <w:contextualSpacing/>
              <w:jc w:val="both"/>
              <w:rPr>
                <w:rFonts w:ascii="Arial" w:hAnsi="Arial" w:cs="Arial"/>
                <w:sz w:val="22"/>
                <w:szCs w:val="22"/>
                <w:lang w:val="es-ES_tradnl"/>
              </w:rPr>
            </w:pPr>
          </w:p>
        </w:tc>
        <w:tc>
          <w:tcPr>
            <w:tcW w:w="4860" w:type="dxa"/>
            <w:shd w:val="clear" w:color="auto" w:fill="auto"/>
          </w:tcPr>
          <w:p w14:paraId="466A3A5F" w14:textId="77777777" w:rsidR="00CA3A9F" w:rsidRPr="005E5011" w:rsidRDefault="00CA3A9F" w:rsidP="00CA3A9F">
            <w:pPr>
              <w:contextualSpacing/>
              <w:jc w:val="both"/>
              <w:rPr>
                <w:rFonts w:ascii="Arial" w:hAnsi="Arial" w:cs="Arial"/>
                <w:sz w:val="22"/>
                <w:szCs w:val="22"/>
                <w:lang w:val="es-ES"/>
              </w:rPr>
            </w:pPr>
            <w:r w:rsidRPr="00021D1B">
              <w:rPr>
                <w:rFonts w:ascii="Arial" w:hAnsi="Arial" w:cs="Arial"/>
                <w:sz w:val="22"/>
                <w:szCs w:val="22"/>
                <w:lang w:val="es-ES"/>
              </w:rPr>
              <w:t xml:space="preserve">(iii) </w:t>
            </w:r>
            <w:r w:rsidRPr="002071B7">
              <w:rPr>
                <w:rFonts w:ascii="Arial" w:hAnsi="Arial" w:cs="Arial"/>
                <w:sz w:val="22"/>
                <w:szCs w:val="22"/>
                <w:lang w:val="es-ES"/>
              </w:rPr>
              <w:t>insuficientes recursos humanos para la aplicación de la normativa de preinversión</w:t>
            </w:r>
            <w:r w:rsidRPr="00DF52FC">
              <w:rPr>
                <w:rStyle w:val="FootnoteReference"/>
                <w:rFonts w:ascii="Arial" w:hAnsi="Arial" w:cs="Arial"/>
                <w:sz w:val="22"/>
                <w:szCs w:val="22"/>
              </w:rPr>
              <w:footnoteReference w:id="13"/>
            </w:r>
            <w:r w:rsidRPr="005E5011">
              <w:rPr>
                <w:rFonts w:ascii="Arial" w:hAnsi="Arial" w:cs="Arial"/>
                <w:sz w:val="22"/>
                <w:szCs w:val="22"/>
                <w:lang w:val="es-ES"/>
              </w:rPr>
              <w:t>;</w:t>
            </w:r>
          </w:p>
        </w:tc>
        <w:tc>
          <w:tcPr>
            <w:tcW w:w="5940" w:type="dxa"/>
            <w:shd w:val="clear" w:color="auto" w:fill="auto"/>
          </w:tcPr>
          <w:p w14:paraId="744E19A9" w14:textId="77777777" w:rsidR="00CA3A9F" w:rsidRPr="009E7BF1" w:rsidRDefault="00CA3A9F" w:rsidP="00CA3A9F">
            <w:pPr>
              <w:contextualSpacing/>
              <w:jc w:val="both"/>
              <w:rPr>
                <w:rFonts w:ascii="Arial" w:hAnsi="Arial" w:cs="Arial"/>
                <w:sz w:val="22"/>
                <w:szCs w:val="22"/>
                <w:lang w:val="es-ES"/>
              </w:rPr>
            </w:pPr>
            <w:r w:rsidRPr="00021D1B">
              <w:rPr>
                <w:rFonts w:ascii="Arial" w:hAnsi="Arial" w:cs="Arial"/>
                <w:sz w:val="22"/>
                <w:szCs w:val="22"/>
                <w:lang w:val="es-ES"/>
              </w:rPr>
              <w:t xml:space="preserve">(iii) </w:t>
            </w:r>
            <w:r w:rsidRPr="00370406">
              <w:rPr>
                <w:rFonts w:ascii="Arial" w:hAnsi="Arial" w:cs="Arial"/>
                <w:sz w:val="22"/>
                <w:szCs w:val="22"/>
                <w:lang w:val="es-ES"/>
              </w:rPr>
              <w:t>una estrategia de capacitación en preinversión, que incluya: (a) un sistema de pasantías para funcionarios con empresas privadas</w:t>
            </w:r>
            <w:r w:rsidRPr="00A12B72">
              <w:rPr>
                <w:rStyle w:val="FootnoteReference"/>
                <w:rFonts w:ascii="Arial" w:hAnsi="Arial" w:cs="Arial"/>
                <w:sz w:val="22"/>
                <w:szCs w:val="22"/>
              </w:rPr>
              <w:footnoteReference w:id="14"/>
            </w:r>
            <w:r w:rsidRPr="00370406">
              <w:rPr>
                <w:rFonts w:ascii="Arial" w:hAnsi="Arial" w:cs="Arial"/>
                <w:sz w:val="22"/>
                <w:szCs w:val="22"/>
                <w:lang w:val="es-ES"/>
              </w:rPr>
              <w:t>; (b) el desarrollo de un programa de capacitación a entidades seleccionadas</w:t>
            </w:r>
            <w:r w:rsidRPr="00A12B72">
              <w:rPr>
                <w:rStyle w:val="FootnoteReference"/>
                <w:rFonts w:ascii="Arial" w:hAnsi="Arial" w:cs="Arial"/>
                <w:sz w:val="22"/>
                <w:szCs w:val="22"/>
              </w:rPr>
              <w:footnoteReference w:id="15"/>
            </w:r>
            <w:r w:rsidRPr="00370406">
              <w:rPr>
                <w:rFonts w:ascii="Arial" w:hAnsi="Arial" w:cs="Arial"/>
                <w:sz w:val="22"/>
                <w:szCs w:val="22"/>
                <w:lang w:val="es-ES"/>
              </w:rPr>
              <w:t>; y (c) el desarrollo y difusión de Guías Técnicas de Preinversión</w:t>
            </w:r>
            <w:r w:rsidRPr="00444F94">
              <w:rPr>
                <w:rFonts w:ascii="Arial" w:hAnsi="Arial" w:cs="Arial"/>
                <w:color w:val="FF0000"/>
                <w:sz w:val="22"/>
                <w:szCs w:val="22"/>
                <w:lang w:val="es-ES_tradnl"/>
              </w:rPr>
              <w:t>;</w:t>
            </w:r>
          </w:p>
        </w:tc>
        <w:tc>
          <w:tcPr>
            <w:tcW w:w="4855" w:type="dxa"/>
          </w:tcPr>
          <w:p w14:paraId="733B6FB6" w14:textId="5B2E9FF0" w:rsidR="00CA3A9F" w:rsidRDefault="00CA3A9F" w:rsidP="00CA3A9F">
            <w:pPr>
              <w:contextualSpacing/>
              <w:rPr>
                <w:rFonts w:ascii="Arial" w:hAnsi="Arial" w:cs="Arial"/>
                <w:b/>
                <w:lang w:val="es-ES"/>
              </w:rPr>
            </w:pPr>
            <w:r w:rsidRPr="002972BD">
              <w:rPr>
                <w:rFonts w:ascii="Arial" w:hAnsi="Arial" w:cs="Arial"/>
                <w:b/>
                <w:lang w:val="es-ES"/>
              </w:rPr>
              <w:t xml:space="preserve">RESULTADO </w:t>
            </w:r>
            <w:r w:rsidR="00001EF1">
              <w:rPr>
                <w:rFonts w:ascii="Arial" w:hAnsi="Arial" w:cs="Arial"/>
                <w:b/>
                <w:lang w:val="es-ES"/>
              </w:rPr>
              <w:t>3</w:t>
            </w:r>
            <w:r w:rsidRPr="002972BD">
              <w:rPr>
                <w:rFonts w:ascii="Arial" w:hAnsi="Arial" w:cs="Arial"/>
                <w:b/>
                <w:lang w:val="es-ES"/>
              </w:rPr>
              <w:t xml:space="preserve">: Aumento del porcentaje de funcionarios públicos con conocimientos certificados en </w:t>
            </w:r>
            <w:r>
              <w:rPr>
                <w:rFonts w:ascii="Arial" w:hAnsi="Arial" w:cs="Arial"/>
                <w:b/>
                <w:lang w:val="es-ES"/>
              </w:rPr>
              <w:t>Preinversión.</w:t>
            </w:r>
          </w:p>
          <w:p w14:paraId="4A399B1E" w14:textId="77777777" w:rsidR="00CA3A9F" w:rsidRPr="00CA3A9F" w:rsidRDefault="00CA3A9F" w:rsidP="00CA3A9F">
            <w:pPr>
              <w:contextualSpacing/>
              <w:rPr>
                <w:rFonts w:ascii="Arial" w:hAnsi="Arial" w:cs="Arial"/>
                <w:sz w:val="22"/>
                <w:szCs w:val="22"/>
                <w:lang w:val="es-ES"/>
              </w:rPr>
            </w:pPr>
            <w:r w:rsidRPr="002972BD">
              <w:rPr>
                <w:rFonts w:ascii="Arial" w:hAnsi="Arial" w:cs="Arial"/>
                <w:lang w:val="es-ES"/>
              </w:rPr>
              <w:t xml:space="preserve">Número de </w:t>
            </w:r>
            <w:r>
              <w:rPr>
                <w:rFonts w:ascii="Arial" w:hAnsi="Arial" w:cs="Arial"/>
                <w:lang w:val="es-ES"/>
              </w:rPr>
              <w:t xml:space="preserve">entidades con </w:t>
            </w:r>
            <w:r w:rsidRPr="002972BD">
              <w:rPr>
                <w:rFonts w:ascii="Arial" w:hAnsi="Arial" w:cs="Arial"/>
                <w:lang w:val="es-ES"/>
              </w:rPr>
              <w:t>funcionarios públicos certificados</w:t>
            </w:r>
            <w:r>
              <w:rPr>
                <w:rFonts w:ascii="Arial" w:hAnsi="Arial" w:cs="Arial"/>
                <w:lang w:val="es-ES"/>
              </w:rPr>
              <w:t xml:space="preserve"> en preinversión</w:t>
            </w:r>
            <w:r w:rsidRPr="002972BD">
              <w:rPr>
                <w:rFonts w:ascii="Arial" w:hAnsi="Arial" w:cs="Arial"/>
                <w:lang w:val="es-ES"/>
              </w:rPr>
              <w:t xml:space="preserve"> / Número de </w:t>
            </w:r>
            <w:r>
              <w:rPr>
                <w:rFonts w:ascii="Arial" w:hAnsi="Arial" w:cs="Arial"/>
                <w:lang w:val="es-ES"/>
              </w:rPr>
              <w:t>entidades públicas</w:t>
            </w:r>
          </w:p>
        </w:tc>
      </w:tr>
      <w:tr w:rsidR="00CA3A9F" w:rsidRPr="00F9005B" w14:paraId="09D355A6" w14:textId="77777777" w:rsidTr="001E5D78">
        <w:trPr>
          <w:trHeight w:val="701"/>
        </w:trPr>
        <w:tc>
          <w:tcPr>
            <w:tcW w:w="2430" w:type="dxa"/>
            <w:vMerge/>
          </w:tcPr>
          <w:p w14:paraId="780A4580" w14:textId="77777777" w:rsidR="00CA3A9F" w:rsidRPr="003D7631" w:rsidRDefault="00CA3A9F" w:rsidP="00CA3A9F">
            <w:pPr>
              <w:contextualSpacing/>
              <w:jc w:val="both"/>
              <w:rPr>
                <w:rFonts w:ascii="Arial" w:hAnsi="Arial" w:cs="Arial"/>
                <w:sz w:val="22"/>
                <w:szCs w:val="22"/>
                <w:lang w:val="es-ES_tradnl"/>
              </w:rPr>
            </w:pPr>
          </w:p>
        </w:tc>
        <w:tc>
          <w:tcPr>
            <w:tcW w:w="4860" w:type="dxa"/>
            <w:shd w:val="clear" w:color="auto" w:fill="auto"/>
          </w:tcPr>
          <w:p w14:paraId="3D1938F6" w14:textId="77777777" w:rsidR="00CA3A9F" w:rsidRPr="00021D1B" w:rsidRDefault="00CA3A9F" w:rsidP="00CA3A9F">
            <w:pPr>
              <w:contextualSpacing/>
              <w:jc w:val="both"/>
              <w:rPr>
                <w:rFonts w:ascii="Arial" w:hAnsi="Arial" w:cs="Arial"/>
                <w:sz w:val="22"/>
                <w:szCs w:val="22"/>
                <w:lang w:val="es-ES"/>
              </w:rPr>
            </w:pPr>
            <w:r w:rsidRPr="00021D1B">
              <w:rPr>
                <w:rFonts w:ascii="Arial" w:hAnsi="Arial" w:cs="Arial"/>
                <w:sz w:val="22"/>
                <w:szCs w:val="22"/>
                <w:lang w:val="es-ES"/>
              </w:rPr>
              <w:t xml:space="preserve">(iv) </w:t>
            </w:r>
            <w:r w:rsidRPr="002071B7">
              <w:rPr>
                <w:rFonts w:ascii="Arial" w:hAnsi="Arial" w:cs="Arial"/>
                <w:sz w:val="22"/>
                <w:szCs w:val="22"/>
                <w:lang w:val="es-ES"/>
              </w:rPr>
              <w:t>limitada capacidad para apoyar la preinversión de las Entidades Territoriales Autónomas (ETA)</w:t>
            </w:r>
            <w:r>
              <w:rPr>
                <w:rStyle w:val="FootnoteReference"/>
                <w:rFonts w:ascii="Arial" w:hAnsi="Arial" w:cs="Arial"/>
                <w:sz w:val="22"/>
                <w:szCs w:val="22"/>
              </w:rPr>
              <w:footnoteReference w:id="16"/>
            </w:r>
            <w:r w:rsidRPr="00021D1B">
              <w:rPr>
                <w:rFonts w:ascii="Arial" w:hAnsi="Arial" w:cs="Arial"/>
                <w:sz w:val="22"/>
                <w:szCs w:val="22"/>
                <w:lang w:val="es-ES"/>
              </w:rPr>
              <w:t xml:space="preserve">; </w:t>
            </w:r>
          </w:p>
          <w:p w14:paraId="0BAAF9C8" w14:textId="77777777" w:rsidR="00CA3A9F" w:rsidRPr="004C47FE" w:rsidRDefault="00CA3A9F" w:rsidP="00CA3A9F">
            <w:pPr>
              <w:contextualSpacing/>
              <w:jc w:val="both"/>
              <w:rPr>
                <w:rFonts w:ascii="Arial" w:hAnsi="Arial" w:cs="Arial"/>
                <w:sz w:val="22"/>
                <w:szCs w:val="22"/>
                <w:lang w:val="es-ES"/>
              </w:rPr>
            </w:pPr>
          </w:p>
        </w:tc>
        <w:tc>
          <w:tcPr>
            <w:tcW w:w="5940" w:type="dxa"/>
            <w:shd w:val="clear" w:color="auto" w:fill="auto"/>
          </w:tcPr>
          <w:p w14:paraId="393D1AEA" w14:textId="77777777" w:rsidR="00CA3A9F" w:rsidRPr="003D7631" w:rsidRDefault="00CA3A9F" w:rsidP="00CA3A9F">
            <w:pPr>
              <w:contextualSpacing/>
              <w:jc w:val="both"/>
              <w:rPr>
                <w:rFonts w:ascii="Arial" w:hAnsi="Arial" w:cs="Arial"/>
                <w:color w:val="FF0000"/>
                <w:sz w:val="22"/>
                <w:szCs w:val="22"/>
                <w:lang w:val="es-ES_tradnl"/>
              </w:rPr>
            </w:pPr>
            <w:r w:rsidRPr="00021D1B">
              <w:rPr>
                <w:rFonts w:ascii="Arial" w:hAnsi="Arial" w:cs="Arial"/>
                <w:sz w:val="22"/>
                <w:szCs w:val="22"/>
                <w:lang w:val="es-ES"/>
              </w:rPr>
              <w:t xml:space="preserve">(iv) </w:t>
            </w:r>
            <w:r>
              <w:rPr>
                <w:rFonts w:ascii="Arial" w:hAnsi="Arial" w:cs="Arial"/>
                <w:sz w:val="22"/>
                <w:szCs w:val="22"/>
                <w:lang w:val="es-ES"/>
              </w:rPr>
              <w:t>definición de</w:t>
            </w:r>
            <w:r w:rsidRPr="00021D1B">
              <w:rPr>
                <w:rFonts w:ascii="Arial" w:hAnsi="Arial" w:cs="Arial"/>
                <w:sz w:val="22"/>
                <w:szCs w:val="22"/>
                <w:lang w:val="es-ES"/>
              </w:rPr>
              <w:t xml:space="preserve"> proyectos tipo-modulares en áreas relevantes para los municipios.</w:t>
            </w:r>
          </w:p>
        </w:tc>
        <w:tc>
          <w:tcPr>
            <w:tcW w:w="4855" w:type="dxa"/>
          </w:tcPr>
          <w:p w14:paraId="783E51C1" w14:textId="77777777" w:rsidR="00CA3A9F" w:rsidRPr="003D7631" w:rsidRDefault="00CA3A9F" w:rsidP="00CA3A9F">
            <w:pPr>
              <w:contextualSpacing/>
              <w:jc w:val="both"/>
              <w:rPr>
                <w:rFonts w:ascii="Arial" w:hAnsi="Arial" w:cs="Arial"/>
                <w:sz w:val="22"/>
                <w:szCs w:val="22"/>
                <w:lang w:val="es-ES_tradnl"/>
              </w:rPr>
            </w:pPr>
          </w:p>
        </w:tc>
      </w:tr>
      <w:tr w:rsidR="00CA3A9F" w:rsidRPr="00F9005B" w14:paraId="235A0151" w14:textId="77777777" w:rsidTr="00AB08C7">
        <w:tc>
          <w:tcPr>
            <w:tcW w:w="2430" w:type="dxa"/>
          </w:tcPr>
          <w:p w14:paraId="0B897097" w14:textId="77777777" w:rsidR="00CA3A9F" w:rsidRPr="003D7631" w:rsidRDefault="00CA3A9F" w:rsidP="00CA3A9F">
            <w:pPr>
              <w:contextualSpacing/>
              <w:jc w:val="both"/>
              <w:rPr>
                <w:rFonts w:ascii="Arial" w:hAnsi="Arial" w:cs="Arial"/>
                <w:sz w:val="22"/>
                <w:szCs w:val="22"/>
                <w:lang w:val="es-ES_tradnl"/>
              </w:rPr>
            </w:pPr>
          </w:p>
        </w:tc>
        <w:tc>
          <w:tcPr>
            <w:tcW w:w="4860" w:type="dxa"/>
            <w:shd w:val="clear" w:color="auto" w:fill="auto"/>
          </w:tcPr>
          <w:p w14:paraId="32B0F592" w14:textId="77777777" w:rsidR="00CA3A9F" w:rsidRPr="00021D1B" w:rsidRDefault="00CA3A9F" w:rsidP="00CA3A9F">
            <w:pPr>
              <w:contextualSpacing/>
              <w:jc w:val="both"/>
              <w:rPr>
                <w:rFonts w:ascii="Arial" w:hAnsi="Arial" w:cs="Arial"/>
                <w:sz w:val="22"/>
                <w:szCs w:val="22"/>
                <w:lang w:val="es-ES"/>
              </w:rPr>
            </w:pPr>
            <w:r w:rsidRPr="00021D1B">
              <w:rPr>
                <w:rFonts w:ascii="Arial" w:hAnsi="Arial" w:cs="Arial"/>
                <w:sz w:val="22"/>
                <w:szCs w:val="22"/>
                <w:lang w:val="es-ES"/>
              </w:rPr>
              <w:t>(v) limita</w:t>
            </w:r>
            <w:r>
              <w:rPr>
                <w:rFonts w:ascii="Arial" w:hAnsi="Arial" w:cs="Arial"/>
                <w:sz w:val="22"/>
                <w:szCs w:val="22"/>
                <w:lang w:val="es-ES"/>
              </w:rPr>
              <w:t>dos productos de conocimiento sobre preinversión, en particular ausencia de análisis de género en preinversión.</w:t>
            </w:r>
          </w:p>
        </w:tc>
        <w:tc>
          <w:tcPr>
            <w:tcW w:w="5940" w:type="dxa"/>
            <w:shd w:val="clear" w:color="auto" w:fill="auto"/>
          </w:tcPr>
          <w:p w14:paraId="49C9BC07" w14:textId="77777777" w:rsidR="00CA3A9F" w:rsidRPr="00021D1B" w:rsidRDefault="00CA3A9F" w:rsidP="00CA3A9F">
            <w:pPr>
              <w:contextualSpacing/>
              <w:jc w:val="both"/>
              <w:rPr>
                <w:rFonts w:ascii="Arial" w:hAnsi="Arial" w:cs="Arial"/>
                <w:sz w:val="22"/>
                <w:szCs w:val="22"/>
                <w:lang w:val="es-ES"/>
              </w:rPr>
            </w:pPr>
            <w:r w:rsidRPr="004C47FE">
              <w:rPr>
                <w:rFonts w:ascii="Arial" w:hAnsi="Arial" w:cs="Arial"/>
                <w:sz w:val="22"/>
                <w:szCs w:val="22"/>
                <w:lang w:val="es-ES"/>
              </w:rPr>
              <w:t xml:space="preserve">(v) </w:t>
            </w:r>
            <w:r>
              <w:rPr>
                <w:rFonts w:ascii="Arial" w:hAnsi="Arial" w:cs="Arial"/>
                <w:sz w:val="22"/>
                <w:szCs w:val="22"/>
                <w:lang w:val="es-ES"/>
              </w:rPr>
              <w:t>elaboración de</w:t>
            </w:r>
            <w:r w:rsidRPr="004C47FE">
              <w:rPr>
                <w:rFonts w:ascii="Arial" w:hAnsi="Arial" w:cs="Arial"/>
                <w:sz w:val="22"/>
                <w:szCs w:val="22"/>
                <w:lang w:val="es-ES"/>
              </w:rPr>
              <w:t xml:space="preserve"> un diagnóstico del análisis de género en la preinversión</w:t>
            </w:r>
          </w:p>
        </w:tc>
        <w:tc>
          <w:tcPr>
            <w:tcW w:w="4855" w:type="dxa"/>
          </w:tcPr>
          <w:p w14:paraId="5B3F3826" w14:textId="77777777" w:rsidR="00CA3A9F" w:rsidRPr="003D7631" w:rsidRDefault="00CA3A9F" w:rsidP="00CA3A9F">
            <w:pPr>
              <w:contextualSpacing/>
              <w:jc w:val="both"/>
              <w:rPr>
                <w:rFonts w:ascii="Arial" w:hAnsi="Arial" w:cs="Arial"/>
                <w:sz w:val="22"/>
                <w:szCs w:val="22"/>
                <w:lang w:val="es-ES_tradnl"/>
              </w:rPr>
            </w:pPr>
          </w:p>
        </w:tc>
      </w:tr>
    </w:tbl>
    <w:p w14:paraId="4EF14F66" w14:textId="77777777" w:rsidR="00AF7863" w:rsidRDefault="00AF7863">
      <w:pPr>
        <w:rPr>
          <w:rFonts w:ascii="Times New Roman" w:hAnsi="Times New Roman"/>
          <w:lang w:val="es-ES_tradnl"/>
        </w:rPr>
      </w:pPr>
    </w:p>
    <w:p w14:paraId="1A7FE721" w14:textId="77777777" w:rsidR="00AF7863" w:rsidRDefault="00AF7863">
      <w:pPr>
        <w:rPr>
          <w:rFonts w:ascii="Times New Roman" w:hAnsi="Times New Roman"/>
          <w:lang w:val="es-ES_tradnl"/>
        </w:rPr>
      </w:pPr>
    </w:p>
    <w:p w14:paraId="37D2A61E" w14:textId="77777777" w:rsidR="00AF7863" w:rsidRDefault="00AF7863">
      <w:pPr>
        <w:rPr>
          <w:rFonts w:ascii="Times New Roman" w:hAnsi="Times New Roman"/>
          <w:lang w:val="es-ES_tradnl"/>
        </w:rPr>
      </w:pPr>
    </w:p>
    <w:p w14:paraId="273BB187" w14:textId="77777777" w:rsidR="00AF7863" w:rsidRDefault="00AF7863">
      <w:pPr>
        <w:rPr>
          <w:rFonts w:ascii="Times New Roman" w:hAnsi="Times New Roman"/>
          <w:lang w:val="es-ES_tradnl"/>
        </w:rPr>
      </w:pPr>
    </w:p>
    <w:sectPr w:rsidR="00AF7863" w:rsidSect="00CE3B08">
      <w:headerReference w:type="default" r:id="rId8"/>
      <w:pgSz w:w="20160" w:h="12240" w:orient="landscape" w:code="5"/>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5637B1" w14:textId="77777777" w:rsidR="00D10E41" w:rsidRDefault="00D10E41" w:rsidP="00914786">
      <w:pPr>
        <w:spacing w:after="0" w:line="240" w:lineRule="auto"/>
      </w:pPr>
      <w:r>
        <w:separator/>
      </w:r>
    </w:p>
  </w:endnote>
  <w:endnote w:type="continuationSeparator" w:id="0">
    <w:p w14:paraId="6041FF57" w14:textId="77777777" w:rsidR="00D10E41" w:rsidRDefault="00D10E41" w:rsidP="009147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otham Book">
    <w:panose1 w:val="00000000000000000000"/>
    <w:charset w:val="00"/>
    <w:family w:val="modern"/>
    <w:notTrueType/>
    <w:pitch w:val="variable"/>
    <w:sig w:usb0="A10000FF" w:usb1="4000005B" w:usb2="00000000" w:usb3="00000000" w:csb0="0000009B"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8485A9" w14:textId="77777777" w:rsidR="00D10E41" w:rsidRDefault="00D10E41" w:rsidP="00914786">
      <w:pPr>
        <w:spacing w:after="0" w:line="240" w:lineRule="auto"/>
      </w:pPr>
      <w:r>
        <w:separator/>
      </w:r>
    </w:p>
  </w:footnote>
  <w:footnote w:type="continuationSeparator" w:id="0">
    <w:p w14:paraId="7B4C4E05" w14:textId="77777777" w:rsidR="00D10E41" w:rsidRDefault="00D10E41" w:rsidP="00914786">
      <w:pPr>
        <w:spacing w:after="0" w:line="240" w:lineRule="auto"/>
      </w:pPr>
      <w:r>
        <w:continuationSeparator/>
      </w:r>
    </w:p>
  </w:footnote>
  <w:footnote w:id="1">
    <w:p w14:paraId="0CAE3C1F" w14:textId="77777777" w:rsidR="00172086" w:rsidRPr="00877E5A" w:rsidRDefault="00172086" w:rsidP="00172086">
      <w:pPr>
        <w:pStyle w:val="FootnoteText"/>
        <w:ind w:left="180" w:hanging="180"/>
        <w:rPr>
          <w:rFonts w:ascii="Arial" w:hAnsi="Arial" w:cs="Arial"/>
          <w:sz w:val="18"/>
          <w:szCs w:val="18"/>
        </w:rPr>
      </w:pPr>
      <w:r w:rsidRPr="00877E5A">
        <w:rPr>
          <w:rStyle w:val="FootnoteReference"/>
          <w:rFonts w:ascii="Arial" w:hAnsi="Arial" w:cs="Arial"/>
          <w:sz w:val="18"/>
          <w:szCs w:val="18"/>
        </w:rPr>
        <w:footnoteRef/>
      </w:r>
      <w:r w:rsidRPr="00172086">
        <w:rPr>
          <w:rFonts w:ascii="Arial" w:hAnsi="Arial" w:cs="Arial"/>
          <w:sz w:val="18"/>
          <w:szCs w:val="18"/>
          <w:lang w:val="es-ES"/>
        </w:rPr>
        <w:t xml:space="preserve"> Mejoras en las tecnologías de monitoreo de la inversión pública pueden apoyar reducciones en la corrupción y mejoras en la eficiencia de ejecución de la obra pública (Olken, Benjamin A. 2007. </w:t>
      </w:r>
      <w:r w:rsidRPr="00877E5A">
        <w:rPr>
          <w:rFonts w:ascii="Arial" w:hAnsi="Arial" w:cs="Arial"/>
          <w:sz w:val="18"/>
          <w:szCs w:val="18"/>
        </w:rPr>
        <w:t xml:space="preserve">Monitoring Corruption: Evidence from a Field Experiment in Indonesia." </w:t>
      </w:r>
      <w:r w:rsidRPr="00877E5A">
        <w:rPr>
          <w:rFonts w:ascii="Arial" w:hAnsi="Arial" w:cs="Arial"/>
          <w:i/>
          <w:iCs/>
          <w:sz w:val="18"/>
          <w:szCs w:val="18"/>
        </w:rPr>
        <w:t>Journal of Political Economy</w:t>
      </w:r>
      <w:r w:rsidRPr="00877E5A">
        <w:rPr>
          <w:rFonts w:ascii="Arial" w:hAnsi="Arial" w:cs="Arial"/>
          <w:sz w:val="18"/>
          <w:szCs w:val="18"/>
        </w:rPr>
        <w:t xml:space="preserve"> 115 (2): 200{249</w:t>
      </w:r>
    </w:p>
  </w:footnote>
  <w:footnote w:id="2">
    <w:p w14:paraId="13453021" w14:textId="77777777" w:rsidR="00172086" w:rsidRPr="00172086" w:rsidRDefault="00172086" w:rsidP="00172086">
      <w:pPr>
        <w:pStyle w:val="FootnoteText"/>
        <w:ind w:left="180" w:hanging="180"/>
        <w:rPr>
          <w:rFonts w:ascii="Arial" w:hAnsi="Arial" w:cs="Arial"/>
          <w:sz w:val="18"/>
          <w:szCs w:val="18"/>
          <w:lang w:val="es-ES"/>
        </w:rPr>
      </w:pPr>
      <w:r w:rsidRPr="00877E5A">
        <w:rPr>
          <w:rStyle w:val="FootnoteReference"/>
          <w:rFonts w:ascii="Arial" w:hAnsi="Arial" w:cs="Arial"/>
          <w:sz w:val="18"/>
          <w:szCs w:val="18"/>
        </w:rPr>
        <w:footnoteRef/>
      </w:r>
      <w:r w:rsidRPr="00172086">
        <w:rPr>
          <w:rFonts w:ascii="Arial" w:hAnsi="Arial" w:cs="Arial"/>
          <w:sz w:val="18"/>
          <w:szCs w:val="18"/>
          <w:lang w:val="es-ES"/>
        </w:rPr>
        <w:t xml:space="preserve"> Salvo Chile y Colombia, pocos países de la región tienen sistemas de evaluación expost de la inversion bien desarrollados, mientras que la experiencia internacional indica la idoneidad de incluirlo como un aspecto mandatorio del ciclo de inversion (</w:t>
      </w:r>
      <w:r w:rsidRPr="00877E5A">
        <w:rPr>
          <w:rFonts w:ascii="Arial" w:hAnsi="Arial" w:cs="Arial"/>
          <w:sz w:val="18"/>
          <w:szCs w:val="18"/>
          <w:lang w:val="es-CO"/>
        </w:rPr>
        <w:t>Meunier, D. and M. Welden (2017) Ex-post evaluations in Norway and France. Transportation Research Procedia 26 (2017) 144–155.)</w:t>
      </w:r>
    </w:p>
  </w:footnote>
  <w:footnote w:id="3">
    <w:p w14:paraId="605424AC" w14:textId="77777777" w:rsidR="00222A2D" w:rsidRPr="00222A2D" w:rsidRDefault="00222A2D" w:rsidP="00222A2D">
      <w:pPr>
        <w:pStyle w:val="FootnoteText"/>
        <w:ind w:left="180" w:hanging="180"/>
        <w:rPr>
          <w:rFonts w:ascii="Arial" w:hAnsi="Arial" w:cs="Arial"/>
          <w:sz w:val="18"/>
          <w:szCs w:val="18"/>
          <w:lang w:val="es-ES"/>
        </w:rPr>
      </w:pPr>
      <w:r w:rsidRPr="00877E5A">
        <w:rPr>
          <w:rStyle w:val="FootnoteReference"/>
          <w:rFonts w:ascii="Arial" w:hAnsi="Arial" w:cs="Arial"/>
          <w:sz w:val="18"/>
          <w:szCs w:val="18"/>
        </w:rPr>
        <w:footnoteRef/>
      </w:r>
      <w:r w:rsidRPr="00222A2D">
        <w:rPr>
          <w:rFonts w:ascii="Arial" w:hAnsi="Arial" w:cs="Arial"/>
          <w:sz w:val="18"/>
          <w:szCs w:val="18"/>
          <w:lang w:val="es-ES"/>
        </w:rPr>
        <w:t xml:space="preserve"> Las tecnologías digitales como BIM pueden incrementar la eficiencia de la inversión pública ofreciendo información más exacta, integrada y en tiempo real a través de representaciones 3D. Diversos países de la UE están normando, como obligatorio, el uso de BIM en la preinversión en obra pública, mientras que Chile lidera el proceso en ALC. </w:t>
      </w:r>
    </w:p>
  </w:footnote>
  <w:footnote w:id="4">
    <w:p w14:paraId="170FCDA7" w14:textId="77777777" w:rsidR="002071B7" w:rsidRPr="002071B7" w:rsidRDefault="002071B7" w:rsidP="002071B7">
      <w:pPr>
        <w:pStyle w:val="FootnoteText"/>
        <w:rPr>
          <w:rFonts w:ascii="Arial" w:hAnsi="Arial" w:cs="Arial"/>
          <w:sz w:val="18"/>
          <w:szCs w:val="18"/>
          <w:lang w:val="es-ES"/>
        </w:rPr>
      </w:pPr>
      <w:r w:rsidRPr="00BA19FA">
        <w:rPr>
          <w:rStyle w:val="FootnoteReference"/>
          <w:rFonts w:ascii="Arial" w:hAnsi="Arial" w:cs="Arial"/>
          <w:sz w:val="18"/>
          <w:szCs w:val="18"/>
        </w:rPr>
        <w:footnoteRef/>
      </w:r>
      <w:r w:rsidRPr="002071B7">
        <w:rPr>
          <w:rFonts w:ascii="Arial" w:hAnsi="Arial" w:cs="Arial"/>
          <w:sz w:val="18"/>
          <w:szCs w:val="18"/>
          <w:lang w:val="es-ES"/>
        </w:rPr>
        <w:t xml:space="preserve"> Proceso inteligente en 3D de generación y gestión de datos de construcciones durante su ciclo de vida con software dinámico. </w:t>
      </w:r>
    </w:p>
  </w:footnote>
  <w:footnote w:id="5">
    <w:p w14:paraId="54513A1C" w14:textId="77777777" w:rsidR="00222A2D" w:rsidRPr="00021D1B" w:rsidRDefault="00222A2D" w:rsidP="00C7288C">
      <w:pPr>
        <w:pStyle w:val="FootnoteText"/>
        <w:spacing w:after="0"/>
        <w:ind w:left="270" w:hanging="270"/>
        <w:contextualSpacing/>
        <w:rPr>
          <w:rFonts w:ascii="Arial" w:hAnsi="Arial" w:cs="Arial"/>
          <w:sz w:val="18"/>
          <w:szCs w:val="18"/>
          <w:lang w:val="es-ES"/>
        </w:rPr>
      </w:pPr>
      <w:r w:rsidRPr="00F40E79">
        <w:rPr>
          <w:rStyle w:val="FootnoteReference"/>
          <w:rFonts w:ascii="Arial" w:hAnsi="Arial" w:cs="Arial"/>
          <w:sz w:val="18"/>
          <w:szCs w:val="18"/>
        </w:rPr>
        <w:footnoteRef/>
      </w:r>
      <w:r w:rsidRPr="00021D1B">
        <w:rPr>
          <w:rFonts w:ascii="Arial" w:hAnsi="Arial" w:cs="Arial"/>
          <w:sz w:val="18"/>
          <w:szCs w:val="18"/>
          <w:lang w:val="es-ES"/>
        </w:rPr>
        <w:t xml:space="preserve"> La implementación de metodologías de brechas de inversión (tanto de ejecución presupuestal como de necesidades sectoriales) puede ayudar a priorizar las iniciativas de inversión pública y mejorar su impacto en indicadores de desarrollo. </w:t>
      </w:r>
    </w:p>
  </w:footnote>
  <w:footnote w:id="6">
    <w:p w14:paraId="4B2F3816" w14:textId="77777777" w:rsidR="00222A2D" w:rsidRPr="007C5FE8" w:rsidRDefault="00222A2D" w:rsidP="00C7288C">
      <w:pPr>
        <w:pStyle w:val="FootnoteText"/>
        <w:spacing w:after="0"/>
        <w:ind w:left="270" w:hanging="270"/>
        <w:contextualSpacing/>
        <w:rPr>
          <w:rFonts w:ascii="Arial" w:hAnsi="Arial" w:cs="Arial"/>
          <w:sz w:val="18"/>
          <w:szCs w:val="18"/>
          <w:lang w:val="es-ES"/>
        </w:rPr>
      </w:pPr>
      <w:r w:rsidRPr="007C5FE8">
        <w:rPr>
          <w:rStyle w:val="FootnoteReference"/>
          <w:rFonts w:ascii="Arial" w:hAnsi="Arial" w:cs="Arial"/>
          <w:sz w:val="18"/>
          <w:szCs w:val="18"/>
        </w:rPr>
        <w:footnoteRef/>
      </w:r>
      <w:r w:rsidRPr="000107B8">
        <w:rPr>
          <w:rFonts w:ascii="Arial" w:hAnsi="Arial" w:cs="Arial"/>
          <w:sz w:val="18"/>
          <w:szCs w:val="18"/>
          <w:lang w:val="es-ES"/>
        </w:rPr>
        <w:t xml:space="preserve"> El PDES 2016-2020 estima que la inversión entre 2016-2020 ascenderá a US$48.574 millones, 2,4 veces mayor al del período 2006-2014.</w:t>
      </w:r>
    </w:p>
  </w:footnote>
  <w:footnote w:id="7">
    <w:p w14:paraId="6D877DC1" w14:textId="77777777" w:rsidR="002071B7" w:rsidRPr="002071B7" w:rsidRDefault="002071B7" w:rsidP="002071B7">
      <w:pPr>
        <w:pStyle w:val="FootnoteText"/>
        <w:rPr>
          <w:rFonts w:ascii="Arial" w:hAnsi="Arial" w:cs="Arial"/>
          <w:sz w:val="18"/>
          <w:szCs w:val="18"/>
          <w:lang w:val="es-ES"/>
        </w:rPr>
      </w:pPr>
      <w:r w:rsidRPr="003C063D">
        <w:rPr>
          <w:rStyle w:val="FootnoteReference"/>
          <w:rFonts w:ascii="Arial" w:hAnsi="Arial" w:cs="Arial"/>
          <w:sz w:val="18"/>
          <w:szCs w:val="18"/>
        </w:rPr>
        <w:footnoteRef/>
      </w:r>
      <w:r w:rsidRPr="002071B7">
        <w:rPr>
          <w:rFonts w:ascii="Arial" w:hAnsi="Arial" w:cs="Arial"/>
          <w:sz w:val="18"/>
          <w:szCs w:val="18"/>
          <w:lang w:val="es-ES"/>
        </w:rPr>
        <w:t xml:space="preserve"> La cartera de proyectos incluye: una terminal de autobuses, un parque industrial, un campo ferial, una ciudad científica (I+D), la conservación y rehabilitación de presas, un instituto neurológico, hospitales, y un centro de medicina nuclear, 2 tramos carreteros (construcción y rehabilitación), 2 proyectos de residuos sólidos, un programa de repotenciamiento de micro-centrales hidroeléctricas, un proyecto de drenaje de dos municipios y el estudio básico de cuencas hídricas para proyectos multipropósitos. La cartera preliminar de proyectos fue seleccionada según prioridades de la Agenda Patriótica 2025 y las prioridades sectoriales. Todos los proyectos fueron propuestos por las entidades cabezas de sector, y priorizados por el VIPFE y el MPD.</w:t>
      </w:r>
    </w:p>
  </w:footnote>
  <w:footnote w:id="8">
    <w:p w14:paraId="01F0462F" w14:textId="77777777" w:rsidR="00714773" w:rsidRPr="00877E5A" w:rsidRDefault="00714773" w:rsidP="00714773">
      <w:pPr>
        <w:pStyle w:val="FootnoteText"/>
        <w:ind w:left="180" w:hanging="180"/>
        <w:rPr>
          <w:rFonts w:ascii="Arial" w:hAnsi="Arial" w:cs="Arial"/>
          <w:sz w:val="18"/>
          <w:szCs w:val="18"/>
          <w:lang w:val="es-ES"/>
        </w:rPr>
      </w:pPr>
      <w:r w:rsidRPr="00F447E7">
        <w:rPr>
          <w:rStyle w:val="FootnoteReference"/>
          <w:rFonts w:ascii="Arial" w:hAnsi="Arial" w:cs="Arial"/>
          <w:sz w:val="18"/>
          <w:szCs w:val="18"/>
        </w:rPr>
        <w:footnoteRef/>
      </w:r>
      <w:r w:rsidRPr="00714773">
        <w:rPr>
          <w:rFonts w:ascii="Arial" w:hAnsi="Arial" w:cs="Arial"/>
          <w:sz w:val="18"/>
          <w:szCs w:val="18"/>
          <w:lang w:val="es-ES"/>
        </w:rPr>
        <w:t xml:space="preserve"> </w:t>
      </w:r>
      <w:r w:rsidRPr="00F447E7">
        <w:rPr>
          <w:rFonts w:ascii="Arial" w:hAnsi="Arial" w:cs="Arial"/>
          <w:sz w:val="18"/>
          <w:szCs w:val="18"/>
          <w:lang w:val="es-ES"/>
        </w:rPr>
        <w:t>La preinversión como porcentaje del monto de inversión ha variado desde niveles de 2,4% en el 2010; 1,2% en el 2013; hasta 2,8% en el 2016</w:t>
      </w:r>
      <w:r w:rsidRPr="005E577E">
        <w:rPr>
          <w:rFonts w:ascii="Arial" w:hAnsi="Arial" w:cs="Arial"/>
          <w:sz w:val="18"/>
          <w:szCs w:val="18"/>
          <w:lang w:val="es-ES"/>
        </w:rPr>
        <w:t xml:space="preserve"> (VIPFE).</w:t>
      </w:r>
    </w:p>
  </w:footnote>
  <w:footnote w:id="9">
    <w:p w14:paraId="79C1304B" w14:textId="77777777" w:rsidR="002071B7" w:rsidRPr="00B52FCF" w:rsidRDefault="002071B7" w:rsidP="002071B7">
      <w:pPr>
        <w:pStyle w:val="FootnoteText"/>
        <w:rPr>
          <w:lang w:val="es-ES"/>
        </w:rPr>
      </w:pPr>
      <w:r>
        <w:rPr>
          <w:rStyle w:val="FootnoteReference"/>
        </w:rPr>
        <w:footnoteRef/>
      </w:r>
      <w:r w:rsidRPr="00B52FCF">
        <w:rPr>
          <w:lang w:val="es-ES"/>
        </w:rPr>
        <w:t xml:space="preserve"> </w:t>
      </w:r>
      <w:r w:rsidRPr="00B52FCF">
        <w:rPr>
          <w:rFonts w:ascii="Arial" w:hAnsi="Arial" w:cs="Arial"/>
          <w:sz w:val="18"/>
          <w:szCs w:val="18"/>
          <w:lang w:val="es-ES"/>
        </w:rPr>
        <w:t>El diseño del fondo se financia con la BO-T1315, de apoyo a esta operación.</w:t>
      </w:r>
    </w:p>
  </w:footnote>
  <w:footnote w:id="10">
    <w:p w14:paraId="0366A86F" w14:textId="77777777" w:rsidR="001A08E5" w:rsidRPr="001A08E5" w:rsidRDefault="001A08E5" w:rsidP="001A08E5">
      <w:pPr>
        <w:pStyle w:val="FootnoteText"/>
        <w:ind w:left="180" w:hanging="180"/>
        <w:rPr>
          <w:rFonts w:ascii="Arial" w:hAnsi="Arial" w:cs="Arial"/>
          <w:sz w:val="18"/>
          <w:szCs w:val="18"/>
          <w:lang w:val="es-ES"/>
        </w:rPr>
      </w:pPr>
      <w:r w:rsidRPr="00877E5A">
        <w:rPr>
          <w:rStyle w:val="FootnoteReference"/>
          <w:rFonts w:ascii="Arial" w:hAnsi="Arial" w:cs="Arial"/>
          <w:sz w:val="18"/>
          <w:szCs w:val="18"/>
        </w:rPr>
        <w:footnoteRef/>
      </w:r>
      <w:r w:rsidRPr="001A08E5">
        <w:rPr>
          <w:rFonts w:ascii="Arial" w:hAnsi="Arial" w:cs="Arial"/>
          <w:sz w:val="18"/>
          <w:szCs w:val="18"/>
          <w:lang w:val="es-ES"/>
        </w:rPr>
        <w:t xml:space="preserve"> La DGPP cuenta con un total de 17 personas, con aproximadamente 8 dedicadas a la gestión de la preinversión. Las contrataciones de la unidad de preinversión son además dependientes de la existencia de programas de financiamiento externo de multilaterales (VIPFE 2018). La actividad asociada a dicho problema se va a financiar con fondos de la CT BO-T1315 que apoya la preparación de esta operación.</w:t>
      </w:r>
    </w:p>
  </w:footnote>
  <w:footnote w:id="11">
    <w:p w14:paraId="14586632" w14:textId="77777777" w:rsidR="00213C38" w:rsidRPr="00213C38" w:rsidRDefault="00213C38" w:rsidP="00213C38">
      <w:pPr>
        <w:pStyle w:val="FootnoteText"/>
        <w:rPr>
          <w:lang w:val="es-ES"/>
        </w:rPr>
      </w:pPr>
      <w:r>
        <w:rPr>
          <w:rStyle w:val="FootnoteReference"/>
        </w:rPr>
        <w:footnoteRef/>
      </w:r>
      <w:r w:rsidRPr="00213C38">
        <w:rPr>
          <w:lang w:val="es-ES"/>
        </w:rPr>
        <w:t xml:space="preserve"> </w:t>
      </w:r>
      <w:r w:rsidRPr="00213C38">
        <w:rPr>
          <w:rFonts w:ascii="Arial" w:hAnsi="Arial" w:cs="Arial"/>
          <w:sz w:val="18"/>
          <w:szCs w:val="18"/>
          <w:lang w:val="es-ES"/>
        </w:rPr>
        <w:t>El rediseño de la DGPP se financia con la BO-T1315, de apoyo a esta operación.</w:t>
      </w:r>
    </w:p>
  </w:footnote>
  <w:footnote w:id="12">
    <w:p w14:paraId="1E5544AA" w14:textId="77777777" w:rsidR="002071B7" w:rsidRPr="00F447E7" w:rsidRDefault="002071B7" w:rsidP="002071B7">
      <w:pPr>
        <w:pStyle w:val="FootnoteText"/>
        <w:ind w:left="180" w:hanging="180"/>
        <w:rPr>
          <w:rFonts w:ascii="Arial" w:hAnsi="Arial" w:cs="Arial"/>
          <w:sz w:val="18"/>
          <w:szCs w:val="18"/>
          <w:lang w:val="es-ES"/>
        </w:rPr>
      </w:pPr>
      <w:r w:rsidRPr="00F447E7">
        <w:rPr>
          <w:rStyle w:val="FootnoteReference"/>
          <w:rFonts w:ascii="Arial" w:hAnsi="Arial" w:cs="Arial"/>
          <w:sz w:val="18"/>
          <w:szCs w:val="18"/>
        </w:rPr>
        <w:footnoteRef/>
      </w:r>
      <w:r w:rsidRPr="002071B7">
        <w:rPr>
          <w:rFonts w:ascii="Arial" w:hAnsi="Arial" w:cs="Arial"/>
          <w:sz w:val="18"/>
          <w:szCs w:val="18"/>
          <w:lang w:val="es-ES"/>
        </w:rPr>
        <w:t xml:space="preserve"> </w:t>
      </w:r>
      <w:r w:rsidRPr="00F447E7">
        <w:rPr>
          <w:rFonts w:ascii="Arial" w:hAnsi="Arial" w:cs="Arial"/>
          <w:sz w:val="18"/>
          <w:szCs w:val="18"/>
          <w:lang w:val="es-ES"/>
        </w:rPr>
        <w:t>Evidenciada por los significativos niveles de reformulación de presupuestos y extensiones de plazo</w:t>
      </w:r>
      <w:r>
        <w:rPr>
          <w:rFonts w:ascii="Arial" w:hAnsi="Arial" w:cs="Arial"/>
          <w:sz w:val="18"/>
          <w:szCs w:val="18"/>
          <w:lang w:val="es-ES"/>
        </w:rPr>
        <w:t xml:space="preserve"> presentados en la sección anterior</w:t>
      </w:r>
      <w:r w:rsidRPr="00F447E7">
        <w:rPr>
          <w:rFonts w:ascii="Arial" w:hAnsi="Arial" w:cs="Arial"/>
          <w:sz w:val="18"/>
          <w:szCs w:val="18"/>
          <w:lang w:val="es-ES"/>
        </w:rPr>
        <w:t>.</w:t>
      </w:r>
      <w:r>
        <w:rPr>
          <w:rFonts w:ascii="Arial" w:hAnsi="Arial" w:cs="Arial"/>
          <w:sz w:val="18"/>
          <w:szCs w:val="18"/>
          <w:lang w:val="es-ES"/>
        </w:rPr>
        <w:t xml:space="preserve"> En la actualidad no existen mecanismos de medición de la calidad de la preinversión, que serán desarrollados con la CT BO-T1315, incluyendo mejores prácticas internacionales como los sistemas de peer reviewer. </w:t>
      </w:r>
    </w:p>
  </w:footnote>
  <w:footnote w:id="13">
    <w:p w14:paraId="4837DF96" w14:textId="77777777" w:rsidR="00CA3A9F" w:rsidRPr="00F447E7" w:rsidRDefault="00CA3A9F" w:rsidP="002071B7">
      <w:pPr>
        <w:pStyle w:val="FootnoteText"/>
        <w:ind w:left="180" w:hanging="180"/>
        <w:rPr>
          <w:rFonts w:ascii="Arial" w:hAnsi="Arial" w:cs="Arial"/>
          <w:sz w:val="18"/>
          <w:szCs w:val="18"/>
          <w:lang w:val="es-ES"/>
        </w:rPr>
      </w:pPr>
      <w:r w:rsidRPr="00F447E7">
        <w:rPr>
          <w:rStyle w:val="FootnoteReference"/>
          <w:rFonts w:ascii="Arial" w:hAnsi="Arial" w:cs="Arial"/>
          <w:sz w:val="18"/>
          <w:szCs w:val="18"/>
        </w:rPr>
        <w:footnoteRef/>
      </w:r>
      <w:r w:rsidRPr="002071B7">
        <w:rPr>
          <w:rFonts w:ascii="Arial" w:hAnsi="Arial" w:cs="Arial"/>
          <w:sz w:val="18"/>
          <w:szCs w:val="18"/>
          <w:lang w:val="es-ES"/>
        </w:rPr>
        <w:t xml:space="preserve"> </w:t>
      </w:r>
      <w:r w:rsidRPr="00F447E7">
        <w:rPr>
          <w:rFonts w:ascii="Arial" w:hAnsi="Arial" w:cs="Arial"/>
          <w:sz w:val="18"/>
          <w:szCs w:val="18"/>
          <w:lang w:val="es-ES"/>
        </w:rPr>
        <w:t>La prioridad de los proyectos y estudios de preinversión la da cada máxima autoridad ejecutiva (MAE) de la entidad ejecutora</w:t>
      </w:r>
      <w:r w:rsidRPr="005E577E">
        <w:rPr>
          <w:rFonts w:ascii="Arial" w:hAnsi="Arial" w:cs="Arial"/>
          <w:sz w:val="18"/>
          <w:szCs w:val="18"/>
          <w:lang w:val="es-ES"/>
        </w:rPr>
        <w:t>.</w:t>
      </w:r>
      <w:r>
        <w:rPr>
          <w:rFonts w:ascii="Arial" w:hAnsi="Arial" w:cs="Arial"/>
          <w:sz w:val="18"/>
          <w:szCs w:val="18"/>
          <w:lang w:val="es-ES"/>
        </w:rPr>
        <w:t xml:space="preserve"> Las direcciones de planificación de las agencias nacionales cuentan en promedio con 3 personas, y enfrentan alta rotación del personal especializado (VIPFE 2018). </w:t>
      </w:r>
    </w:p>
  </w:footnote>
  <w:footnote w:id="14">
    <w:p w14:paraId="22894F51" w14:textId="77777777" w:rsidR="00CA3A9F" w:rsidRPr="00370406" w:rsidRDefault="00CA3A9F" w:rsidP="00370406">
      <w:pPr>
        <w:pStyle w:val="FootnoteText"/>
        <w:rPr>
          <w:lang w:val="es-ES"/>
        </w:rPr>
      </w:pPr>
      <w:r>
        <w:rPr>
          <w:rStyle w:val="FootnoteReference"/>
        </w:rPr>
        <w:footnoteRef/>
      </w:r>
      <w:r w:rsidRPr="00370406">
        <w:rPr>
          <w:lang w:val="es-ES"/>
        </w:rPr>
        <w:t xml:space="preserve"> </w:t>
      </w:r>
      <w:r w:rsidRPr="00370406">
        <w:rPr>
          <w:rFonts w:ascii="Arial" w:hAnsi="Arial" w:cs="Arial"/>
          <w:sz w:val="18"/>
          <w:szCs w:val="18"/>
          <w:lang w:val="es-ES"/>
        </w:rPr>
        <w:t>Empresas que ganen licitaciones para estudios de preinversión.</w:t>
      </w:r>
    </w:p>
  </w:footnote>
  <w:footnote w:id="15">
    <w:p w14:paraId="08B49764" w14:textId="77777777" w:rsidR="00CA3A9F" w:rsidRPr="00370406" w:rsidRDefault="00CA3A9F" w:rsidP="00370406">
      <w:pPr>
        <w:pStyle w:val="FootnoteText"/>
        <w:rPr>
          <w:rFonts w:ascii="Arial" w:hAnsi="Arial" w:cs="Arial"/>
          <w:sz w:val="18"/>
          <w:szCs w:val="18"/>
          <w:lang w:val="es-ES"/>
        </w:rPr>
      </w:pPr>
      <w:r w:rsidRPr="00BA19FA">
        <w:rPr>
          <w:rStyle w:val="FootnoteReference"/>
          <w:rFonts w:ascii="Arial" w:hAnsi="Arial" w:cs="Arial"/>
          <w:sz w:val="18"/>
          <w:szCs w:val="18"/>
        </w:rPr>
        <w:footnoteRef/>
      </w:r>
      <w:r w:rsidRPr="00370406">
        <w:rPr>
          <w:rFonts w:ascii="Arial" w:hAnsi="Arial" w:cs="Arial"/>
          <w:sz w:val="18"/>
          <w:szCs w:val="18"/>
          <w:lang w:val="es-ES"/>
        </w:rPr>
        <w:t xml:space="preserve"> Priorizando municipios con interés en implementar proyectos tipo-modulares a ser diseñados bajo el programa (25 aproximadamente), así como todos los ministerios y algunas entidades (ENDE, ABC). </w:t>
      </w:r>
    </w:p>
  </w:footnote>
  <w:footnote w:id="16">
    <w:p w14:paraId="13209D50" w14:textId="77777777" w:rsidR="00CA3A9F" w:rsidRPr="002071B7" w:rsidRDefault="00CA3A9F" w:rsidP="002071B7">
      <w:pPr>
        <w:pStyle w:val="FootnoteText"/>
        <w:ind w:left="180" w:hanging="180"/>
        <w:rPr>
          <w:rFonts w:ascii="Arial" w:hAnsi="Arial" w:cs="Arial"/>
          <w:sz w:val="18"/>
          <w:szCs w:val="18"/>
          <w:lang w:val="es-ES"/>
        </w:rPr>
      </w:pPr>
      <w:r w:rsidRPr="00877E5A">
        <w:rPr>
          <w:rStyle w:val="FootnoteReference"/>
          <w:rFonts w:ascii="Arial" w:hAnsi="Arial" w:cs="Arial"/>
          <w:sz w:val="18"/>
          <w:szCs w:val="18"/>
        </w:rPr>
        <w:footnoteRef/>
      </w:r>
      <w:r w:rsidRPr="002071B7">
        <w:rPr>
          <w:rFonts w:ascii="Arial" w:hAnsi="Arial" w:cs="Arial"/>
          <w:sz w:val="18"/>
          <w:szCs w:val="18"/>
          <w:lang w:val="es-ES"/>
        </w:rPr>
        <w:t xml:space="preserve"> Bolivia cuenta con 339 gobiernos autónomos municipales y 9 gobernaciones. La amplia mayoría de propuestas de proyectos de inversión remitidos al VIPFE no cuenta con estudios de preinversión, solo aquellos de alto monto que precisan de financiamiento externo. Solo los centros urbanos de mayor tamaño cuentan con personal especializado en preinversión.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9164520"/>
      <w:docPartObj>
        <w:docPartGallery w:val="Page Numbers (Top of Page)"/>
        <w:docPartUnique/>
      </w:docPartObj>
    </w:sdtPr>
    <w:sdtEndPr>
      <w:rPr>
        <w:noProof/>
      </w:rPr>
    </w:sdtEndPr>
    <w:sdtContent>
      <w:p w14:paraId="39C0FB6C" w14:textId="77777777" w:rsidR="001E5D78" w:rsidRDefault="001E5D78">
        <w:pPr>
          <w:pStyle w:val="Header"/>
          <w:jc w:val="center"/>
        </w:pPr>
        <w:r>
          <w:fldChar w:fldCharType="begin"/>
        </w:r>
        <w:r>
          <w:instrText xml:space="preserve"> PAGE   \* MERGEFORMAT </w:instrText>
        </w:r>
        <w:r>
          <w:fldChar w:fldCharType="separate"/>
        </w:r>
        <w:r>
          <w:rPr>
            <w:noProof/>
          </w:rPr>
          <w:t>1</w:t>
        </w:r>
        <w:r>
          <w:rPr>
            <w:noProof/>
          </w:rPr>
          <w:fldChar w:fldCharType="end"/>
        </w:r>
      </w:p>
    </w:sdtContent>
  </w:sdt>
  <w:p w14:paraId="3B7A2664" w14:textId="77777777" w:rsidR="001E5D78" w:rsidRDefault="001E5D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F90463"/>
    <w:multiLevelType w:val="multilevel"/>
    <w:tmpl w:val="9BC4285C"/>
    <w:lvl w:ilvl="0">
      <w:start w:val="1"/>
      <w:numFmt w:val="upperRoman"/>
      <w:lvlRestart w:val="0"/>
      <w:pStyle w:val="Chapter"/>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rPr>
        <w:b w:val="0"/>
        <w:sz w:val="22"/>
        <w:szCs w:val="22"/>
      </w:rPr>
    </w:lvl>
    <w:lvl w:ilvl="2">
      <w:start w:val="1"/>
      <w:numFmt w:val="lowerLetter"/>
      <w:pStyle w:val="subpar"/>
      <w:lvlText w:val="%3."/>
      <w:lvlJc w:val="left"/>
      <w:pPr>
        <w:tabs>
          <w:tab w:val="num" w:pos="2592"/>
        </w:tabs>
        <w:ind w:left="259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 w15:restartNumberingAfterBreak="0">
    <w:nsid w:val="40123D3F"/>
    <w:multiLevelType w:val="hybridMultilevel"/>
    <w:tmpl w:val="85441BF6"/>
    <w:lvl w:ilvl="0" w:tplc="746E23D8">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51060FC5"/>
    <w:multiLevelType w:val="hybridMultilevel"/>
    <w:tmpl w:val="D19E5B34"/>
    <w:lvl w:ilvl="0" w:tplc="8ADCAA60">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69905A8"/>
    <w:multiLevelType w:val="multilevel"/>
    <w:tmpl w:val="98627342"/>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1836"/>
        </w:tabs>
        <w:ind w:left="1836" w:hanging="1296"/>
      </w:pPr>
      <w:rPr>
        <w:b w:val="0"/>
        <w:i w:val="0"/>
        <w:color w:val="auto"/>
      </w:rPr>
    </w:lvl>
    <w:lvl w:ilvl="2">
      <w:start w:val="1"/>
      <w:numFmt w:val="lowerRoman"/>
      <w:lvlText w:val="(%3)"/>
      <w:lvlJc w:val="left"/>
      <w:pPr>
        <w:tabs>
          <w:tab w:val="num" w:pos="2304"/>
        </w:tabs>
        <w:ind w:left="2304" w:hanging="432"/>
      </w:pPr>
      <w:rPr>
        <w:rFonts w:hint="default"/>
      </w:r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4" w15:restartNumberingAfterBreak="0">
    <w:nsid w:val="58B272AC"/>
    <w:multiLevelType w:val="hybridMultilevel"/>
    <w:tmpl w:val="24321522"/>
    <w:lvl w:ilvl="0" w:tplc="0B900F16">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CDB0300"/>
    <w:multiLevelType w:val="hybridMultilevel"/>
    <w:tmpl w:val="8084DBD4"/>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6" w15:restartNumberingAfterBreak="0">
    <w:nsid w:val="6F5B3D8C"/>
    <w:multiLevelType w:val="hybridMultilevel"/>
    <w:tmpl w:val="E5385554"/>
    <w:lvl w:ilvl="0" w:tplc="21C04AFE">
      <w:start w:val="1"/>
      <w:numFmt w:val="lowerRoman"/>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 w15:restartNumberingAfterBreak="0">
    <w:nsid w:val="6FFC6C78"/>
    <w:multiLevelType w:val="hybridMultilevel"/>
    <w:tmpl w:val="0E56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3"/>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24DC"/>
    <w:rsid w:val="00001D3D"/>
    <w:rsid w:val="00001EF1"/>
    <w:rsid w:val="000027DF"/>
    <w:rsid w:val="00004D12"/>
    <w:rsid w:val="00007B7A"/>
    <w:rsid w:val="00007DAC"/>
    <w:rsid w:val="00007FD6"/>
    <w:rsid w:val="000107B8"/>
    <w:rsid w:val="00011636"/>
    <w:rsid w:val="000137C3"/>
    <w:rsid w:val="000168CC"/>
    <w:rsid w:val="00017F5D"/>
    <w:rsid w:val="00021D1B"/>
    <w:rsid w:val="000300C7"/>
    <w:rsid w:val="00031D5F"/>
    <w:rsid w:val="00033F35"/>
    <w:rsid w:val="00036463"/>
    <w:rsid w:val="000459FA"/>
    <w:rsid w:val="0005322C"/>
    <w:rsid w:val="0005387B"/>
    <w:rsid w:val="00074F1D"/>
    <w:rsid w:val="00076F18"/>
    <w:rsid w:val="00080533"/>
    <w:rsid w:val="00084FD5"/>
    <w:rsid w:val="00087E6B"/>
    <w:rsid w:val="000901E6"/>
    <w:rsid w:val="00092117"/>
    <w:rsid w:val="00094564"/>
    <w:rsid w:val="00095219"/>
    <w:rsid w:val="00095469"/>
    <w:rsid w:val="00095A43"/>
    <w:rsid w:val="000A54A3"/>
    <w:rsid w:val="000B089B"/>
    <w:rsid w:val="000B46A4"/>
    <w:rsid w:val="000C25B1"/>
    <w:rsid w:val="000C2CA1"/>
    <w:rsid w:val="000C5580"/>
    <w:rsid w:val="000C714F"/>
    <w:rsid w:val="000D0BC7"/>
    <w:rsid w:val="000D1024"/>
    <w:rsid w:val="000E3CDF"/>
    <w:rsid w:val="000E6F28"/>
    <w:rsid w:val="000E6F3A"/>
    <w:rsid w:val="000F089F"/>
    <w:rsid w:val="000F1579"/>
    <w:rsid w:val="000F5DC0"/>
    <w:rsid w:val="000F730F"/>
    <w:rsid w:val="00104D36"/>
    <w:rsid w:val="001068F1"/>
    <w:rsid w:val="00113737"/>
    <w:rsid w:val="001249F4"/>
    <w:rsid w:val="00130F97"/>
    <w:rsid w:val="00137C49"/>
    <w:rsid w:val="00145FAA"/>
    <w:rsid w:val="00150AF9"/>
    <w:rsid w:val="00152259"/>
    <w:rsid w:val="00155459"/>
    <w:rsid w:val="00155750"/>
    <w:rsid w:val="0017178D"/>
    <w:rsid w:val="00171C81"/>
    <w:rsid w:val="00172086"/>
    <w:rsid w:val="00182BA6"/>
    <w:rsid w:val="001842B8"/>
    <w:rsid w:val="001A08E5"/>
    <w:rsid w:val="001A3776"/>
    <w:rsid w:val="001A4E92"/>
    <w:rsid w:val="001A5813"/>
    <w:rsid w:val="001B0DAC"/>
    <w:rsid w:val="001B5C01"/>
    <w:rsid w:val="001C4473"/>
    <w:rsid w:val="001C59E1"/>
    <w:rsid w:val="001D1B89"/>
    <w:rsid w:val="001D45B4"/>
    <w:rsid w:val="001D5F78"/>
    <w:rsid w:val="001E0C83"/>
    <w:rsid w:val="001E18A0"/>
    <w:rsid w:val="001E239B"/>
    <w:rsid w:val="001E5D78"/>
    <w:rsid w:val="001F22C2"/>
    <w:rsid w:val="001F47E7"/>
    <w:rsid w:val="001F4AC6"/>
    <w:rsid w:val="001F57BC"/>
    <w:rsid w:val="002046ED"/>
    <w:rsid w:val="00204873"/>
    <w:rsid w:val="002071B7"/>
    <w:rsid w:val="00210545"/>
    <w:rsid w:val="002137E1"/>
    <w:rsid w:val="00213C38"/>
    <w:rsid w:val="002169EF"/>
    <w:rsid w:val="00222A2D"/>
    <w:rsid w:val="00223224"/>
    <w:rsid w:val="00225817"/>
    <w:rsid w:val="00232924"/>
    <w:rsid w:val="00237EC1"/>
    <w:rsid w:val="002410A9"/>
    <w:rsid w:val="00243B9F"/>
    <w:rsid w:val="00244EAC"/>
    <w:rsid w:val="002478B7"/>
    <w:rsid w:val="002525ED"/>
    <w:rsid w:val="00253EA4"/>
    <w:rsid w:val="0026542E"/>
    <w:rsid w:val="002705CA"/>
    <w:rsid w:val="00270D37"/>
    <w:rsid w:val="0027210E"/>
    <w:rsid w:val="00277279"/>
    <w:rsid w:val="00277ED1"/>
    <w:rsid w:val="00280D8F"/>
    <w:rsid w:val="00281B76"/>
    <w:rsid w:val="00282991"/>
    <w:rsid w:val="00290766"/>
    <w:rsid w:val="00294509"/>
    <w:rsid w:val="002A097B"/>
    <w:rsid w:val="002A537E"/>
    <w:rsid w:val="002B6984"/>
    <w:rsid w:val="002C0B71"/>
    <w:rsid w:val="002C13A8"/>
    <w:rsid w:val="002D5547"/>
    <w:rsid w:val="002E3555"/>
    <w:rsid w:val="002E5C50"/>
    <w:rsid w:val="002F2D5F"/>
    <w:rsid w:val="002F427E"/>
    <w:rsid w:val="00300CE3"/>
    <w:rsid w:val="003029DD"/>
    <w:rsid w:val="00312F84"/>
    <w:rsid w:val="00323461"/>
    <w:rsid w:val="00332858"/>
    <w:rsid w:val="00350EF9"/>
    <w:rsid w:val="0035714F"/>
    <w:rsid w:val="003644B7"/>
    <w:rsid w:val="003678E9"/>
    <w:rsid w:val="00370406"/>
    <w:rsid w:val="00372910"/>
    <w:rsid w:val="00377997"/>
    <w:rsid w:val="003806EE"/>
    <w:rsid w:val="00381AF6"/>
    <w:rsid w:val="00387481"/>
    <w:rsid w:val="003875F4"/>
    <w:rsid w:val="00392F5F"/>
    <w:rsid w:val="0039443A"/>
    <w:rsid w:val="003A3A77"/>
    <w:rsid w:val="003B1CF6"/>
    <w:rsid w:val="003B4CFB"/>
    <w:rsid w:val="003C12C5"/>
    <w:rsid w:val="003C16FE"/>
    <w:rsid w:val="003C469F"/>
    <w:rsid w:val="003D7631"/>
    <w:rsid w:val="003F00A0"/>
    <w:rsid w:val="003F3024"/>
    <w:rsid w:val="004017E9"/>
    <w:rsid w:val="004027E2"/>
    <w:rsid w:val="00405FA5"/>
    <w:rsid w:val="004070C1"/>
    <w:rsid w:val="0041166F"/>
    <w:rsid w:val="00411EC1"/>
    <w:rsid w:val="00412556"/>
    <w:rsid w:val="004170CE"/>
    <w:rsid w:val="00420CE9"/>
    <w:rsid w:val="00423B4E"/>
    <w:rsid w:val="00426A61"/>
    <w:rsid w:val="0042736D"/>
    <w:rsid w:val="00436AA3"/>
    <w:rsid w:val="00437DC0"/>
    <w:rsid w:val="00444F94"/>
    <w:rsid w:val="00446100"/>
    <w:rsid w:val="0044750A"/>
    <w:rsid w:val="00450A04"/>
    <w:rsid w:val="00453CDE"/>
    <w:rsid w:val="004544B5"/>
    <w:rsid w:val="00455F2F"/>
    <w:rsid w:val="00470D3B"/>
    <w:rsid w:val="004772AA"/>
    <w:rsid w:val="004779FD"/>
    <w:rsid w:val="0048183E"/>
    <w:rsid w:val="004879AE"/>
    <w:rsid w:val="00492D7B"/>
    <w:rsid w:val="004971D1"/>
    <w:rsid w:val="004A00F7"/>
    <w:rsid w:val="004A2A30"/>
    <w:rsid w:val="004A2ED4"/>
    <w:rsid w:val="004A323A"/>
    <w:rsid w:val="004A46C8"/>
    <w:rsid w:val="004A6C3B"/>
    <w:rsid w:val="004A7692"/>
    <w:rsid w:val="004C07AA"/>
    <w:rsid w:val="004C1108"/>
    <w:rsid w:val="004C1F57"/>
    <w:rsid w:val="004C2707"/>
    <w:rsid w:val="004C47FE"/>
    <w:rsid w:val="004D2CC0"/>
    <w:rsid w:val="004E1251"/>
    <w:rsid w:val="004E2474"/>
    <w:rsid w:val="004E32C5"/>
    <w:rsid w:val="004E3A4B"/>
    <w:rsid w:val="004F08F3"/>
    <w:rsid w:val="004F1E72"/>
    <w:rsid w:val="004F2AC3"/>
    <w:rsid w:val="004F46DD"/>
    <w:rsid w:val="004F79B0"/>
    <w:rsid w:val="005044EF"/>
    <w:rsid w:val="0050492E"/>
    <w:rsid w:val="00514FA1"/>
    <w:rsid w:val="00523316"/>
    <w:rsid w:val="00524D09"/>
    <w:rsid w:val="00525E0F"/>
    <w:rsid w:val="00531B0B"/>
    <w:rsid w:val="00531B31"/>
    <w:rsid w:val="00537E05"/>
    <w:rsid w:val="00544DFA"/>
    <w:rsid w:val="00546B88"/>
    <w:rsid w:val="0055117E"/>
    <w:rsid w:val="00552677"/>
    <w:rsid w:val="00555A49"/>
    <w:rsid w:val="00556134"/>
    <w:rsid w:val="00557C50"/>
    <w:rsid w:val="005602CA"/>
    <w:rsid w:val="00570025"/>
    <w:rsid w:val="0057608F"/>
    <w:rsid w:val="00593ADC"/>
    <w:rsid w:val="005A0EB6"/>
    <w:rsid w:val="005A3267"/>
    <w:rsid w:val="005A5BBB"/>
    <w:rsid w:val="005A7893"/>
    <w:rsid w:val="005B6EEE"/>
    <w:rsid w:val="005D13E8"/>
    <w:rsid w:val="005D73C2"/>
    <w:rsid w:val="005E1CF4"/>
    <w:rsid w:val="005E28D7"/>
    <w:rsid w:val="005E5011"/>
    <w:rsid w:val="005E53E5"/>
    <w:rsid w:val="005E5F53"/>
    <w:rsid w:val="005E5F61"/>
    <w:rsid w:val="005E6067"/>
    <w:rsid w:val="005F00B6"/>
    <w:rsid w:val="005F4E6F"/>
    <w:rsid w:val="005F59A7"/>
    <w:rsid w:val="00612E26"/>
    <w:rsid w:val="00621FE1"/>
    <w:rsid w:val="0062226D"/>
    <w:rsid w:val="00626667"/>
    <w:rsid w:val="0063055C"/>
    <w:rsid w:val="00631F21"/>
    <w:rsid w:val="00633AD3"/>
    <w:rsid w:val="006340B5"/>
    <w:rsid w:val="006366DB"/>
    <w:rsid w:val="00642B96"/>
    <w:rsid w:val="00643BB0"/>
    <w:rsid w:val="0064455D"/>
    <w:rsid w:val="00651553"/>
    <w:rsid w:val="00654CE7"/>
    <w:rsid w:val="00655A5E"/>
    <w:rsid w:val="00670828"/>
    <w:rsid w:val="006720E8"/>
    <w:rsid w:val="006723AA"/>
    <w:rsid w:val="00676CB0"/>
    <w:rsid w:val="00682B25"/>
    <w:rsid w:val="006850C9"/>
    <w:rsid w:val="006860CD"/>
    <w:rsid w:val="00687FFC"/>
    <w:rsid w:val="00691289"/>
    <w:rsid w:val="00692A06"/>
    <w:rsid w:val="0069542E"/>
    <w:rsid w:val="00697773"/>
    <w:rsid w:val="006B194F"/>
    <w:rsid w:val="006C2BF7"/>
    <w:rsid w:val="006C5458"/>
    <w:rsid w:val="006D3534"/>
    <w:rsid w:val="006D3FA2"/>
    <w:rsid w:val="006D457C"/>
    <w:rsid w:val="006D7A28"/>
    <w:rsid w:val="006E0DB4"/>
    <w:rsid w:val="006E3B65"/>
    <w:rsid w:val="006E5C89"/>
    <w:rsid w:val="006E6CF6"/>
    <w:rsid w:val="006F3DB0"/>
    <w:rsid w:val="006F6E04"/>
    <w:rsid w:val="006F7872"/>
    <w:rsid w:val="007010E6"/>
    <w:rsid w:val="0070292A"/>
    <w:rsid w:val="0070531D"/>
    <w:rsid w:val="007057F7"/>
    <w:rsid w:val="00707FA5"/>
    <w:rsid w:val="0071441E"/>
    <w:rsid w:val="00714773"/>
    <w:rsid w:val="00714B22"/>
    <w:rsid w:val="00721C0A"/>
    <w:rsid w:val="00724B29"/>
    <w:rsid w:val="00727499"/>
    <w:rsid w:val="007337DB"/>
    <w:rsid w:val="00734586"/>
    <w:rsid w:val="007405B3"/>
    <w:rsid w:val="00742794"/>
    <w:rsid w:val="007457BC"/>
    <w:rsid w:val="00753345"/>
    <w:rsid w:val="0075387E"/>
    <w:rsid w:val="007669CD"/>
    <w:rsid w:val="007704F2"/>
    <w:rsid w:val="00773F57"/>
    <w:rsid w:val="00775FE9"/>
    <w:rsid w:val="00780258"/>
    <w:rsid w:val="0078669A"/>
    <w:rsid w:val="0078792C"/>
    <w:rsid w:val="00787C78"/>
    <w:rsid w:val="007A4006"/>
    <w:rsid w:val="007A4B7E"/>
    <w:rsid w:val="007A6776"/>
    <w:rsid w:val="007B1297"/>
    <w:rsid w:val="007B4A18"/>
    <w:rsid w:val="007C5256"/>
    <w:rsid w:val="007C6B15"/>
    <w:rsid w:val="007C7393"/>
    <w:rsid w:val="007D2E00"/>
    <w:rsid w:val="007D42F9"/>
    <w:rsid w:val="007D4C8B"/>
    <w:rsid w:val="007D662F"/>
    <w:rsid w:val="007E28FA"/>
    <w:rsid w:val="007E5933"/>
    <w:rsid w:val="007E7827"/>
    <w:rsid w:val="007F0D9E"/>
    <w:rsid w:val="007F1025"/>
    <w:rsid w:val="007F10E7"/>
    <w:rsid w:val="00804F95"/>
    <w:rsid w:val="0080587C"/>
    <w:rsid w:val="00811CCF"/>
    <w:rsid w:val="00822467"/>
    <w:rsid w:val="00824B25"/>
    <w:rsid w:val="00827654"/>
    <w:rsid w:val="008410F3"/>
    <w:rsid w:val="008449B3"/>
    <w:rsid w:val="00847177"/>
    <w:rsid w:val="00852B3B"/>
    <w:rsid w:val="00852F96"/>
    <w:rsid w:val="0086086D"/>
    <w:rsid w:val="00865277"/>
    <w:rsid w:val="008652DC"/>
    <w:rsid w:val="00865B68"/>
    <w:rsid w:val="00873319"/>
    <w:rsid w:val="008809C2"/>
    <w:rsid w:val="00881DAA"/>
    <w:rsid w:val="00885E42"/>
    <w:rsid w:val="00887B45"/>
    <w:rsid w:val="00890A70"/>
    <w:rsid w:val="008A1B36"/>
    <w:rsid w:val="008B4EBF"/>
    <w:rsid w:val="008B511B"/>
    <w:rsid w:val="008C2AB5"/>
    <w:rsid w:val="008C3178"/>
    <w:rsid w:val="008C6DF2"/>
    <w:rsid w:val="008D1878"/>
    <w:rsid w:val="008D4CAE"/>
    <w:rsid w:val="008D78C4"/>
    <w:rsid w:val="008E2C7F"/>
    <w:rsid w:val="008E7372"/>
    <w:rsid w:val="00907267"/>
    <w:rsid w:val="00914786"/>
    <w:rsid w:val="009175DE"/>
    <w:rsid w:val="00925614"/>
    <w:rsid w:val="0092765A"/>
    <w:rsid w:val="009313A4"/>
    <w:rsid w:val="00937FE9"/>
    <w:rsid w:val="0094269E"/>
    <w:rsid w:val="00942F17"/>
    <w:rsid w:val="009607A0"/>
    <w:rsid w:val="00971EB8"/>
    <w:rsid w:val="009840A6"/>
    <w:rsid w:val="0099089D"/>
    <w:rsid w:val="009937BE"/>
    <w:rsid w:val="0099454E"/>
    <w:rsid w:val="00996F04"/>
    <w:rsid w:val="009B272B"/>
    <w:rsid w:val="009B36CF"/>
    <w:rsid w:val="009B4D6E"/>
    <w:rsid w:val="009B6242"/>
    <w:rsid w:val="009B6BEB"/>
    <w:rsid w:val="009C1EB1"/>
    <w:rsid w:val="009C2018"/>
    <w:rsid w:val="009C3752"/>
    <w:rsid w:val="009D0032"/>
    <w:rsid w:val="009D5ADE"/>
    <w:rsid w:val="009E05E3"/>
    <w:rsid w:val="009E7BF1"/>
    <w:rsid w:val="009F6A7D"/>
    <w:rsid w:val="00A03F0E"/>
    <w:rsid w:val="00A05249"/>
    <w:rsid w:val="00A06640"/>
    <w:rsid w:val="00A1152E"/>
    <w:rsid w:val="00A1198E"/>
    <w:rsid w:val="00A22434"/>
    <w:rsid w:val="00A245D4"/>
    <w:rsid w:val="00A36671"/>
    <w:rsid w:val="00A4089E"/>
    <w:rsid w:val="00A51B9F"/>
    <w:rsid w:val="00A61241"/>
    <w:rsid w:val="00A7577E"/>
    <w:rsid w:val="00A82031"/>
    <w:rsid w:val="00A829F7"/>
    <w:rsid w:val="00A84D12"/>
    <w:rsid w:val="00A872DD"/>
    <w:rsid w:val="00A877A6"/>
    <w:rsid w:val="00AA41B6"/>
    <w:rsid w:val="00AA4383"/>
    <w:rsid w:val="00AA61F4"/>
    <w:rsid w:val="00AA6DDE"/>
    <w:rsid w:val="00AB08C7"/>
    <w:rsid w:val="00AB3527"/>
    <w:rsid w:val="00AC6DCE"/>
    <w:rsid w:val="00AC7348"/>
    <w:rsid w:val="00AC7BCE"/>
    <w:rsid w:val="00AD028F"/>
    <w:rsid w:val="00AD4C46"/>
    <w:rsid w:val="00AD7E34"/>
    <w:rsid w:val="00AE7BA8"/>
    <w:rsid w:val="00AF228E"/>
    <w:rsid w:val="00AF7863"/>
    <w:rsid w:val="00B0363E"/>
    <w:rsid w:val="00B0786D"/>
    <w:rsid w:val="00B10DBE"/>
    <w:rsid w:val="00B150CF"/>
    <w:rsid w:val="00B2191B"/>
    <w:rsid w:val="00B268F0"/>
    <w:rsid w:val="00B328E5"/>
    <w:rsid w:val="00B4238B"/>
    <w:rsid w:val="00B45689"/>
    <w:rsid w:val="00B45722"/>
    <w:rsid w:val="00B46A7E"/>
    <w:rsid w:val="00B52FCF"/>
    <w:rsid w:val="00B570B7"/>
    <w:rsid w:val="00B614B3"/>
    <w:rsid w:val="00B61739"/>
    <w:rsid w:val="00B709A2"/>
    <w:rsid w:val="00B81FD5"/>
    <w:rsid w:val="00B82BC8"/>
    <w:rsid w:val="00B870A4"/>
    <w:rsid w:val="00B93487"/>
    <w:rsid w:val="00B9762F"/>
    <w:rsid w:val="00BB2DCA"/>
    <w:rsid w:val="00BB59E5"/>
    <w:rsid w:val="00BD27A8"/>
    <w:rsid w:val="00BD293D"/>
    <w:rsid w:val="00BE78BB"/>
    <w:rsid w:val="00BF0CEA"/>
    <w:rsid w:val="00BF2A79"/>
    <w:rsid w:val="00BF2F65"/>
    <w:rsid w:val="00BF75F7"/>
    <w:rsid w:val="00BF76DC"/>
    <w:rsid w:val="00C02DA8"/>
    <w:rsid w:val="00C049DF"/>
    <w:rsid w:val="00C06F44"/>
    <w:rsid w:val="00C10CBB"/>
    <w:rsid w:val="00C15F72"/>
    <w:rsid w:val="00C17B64"/>
    <w:rsid w:val="00C20928"/>
    <w:rsid w:val="00C21830"/>
    <w:rsid w:val="00C21D15"/>
    <w:rsid w:val="00C262CB"/>
    <w:rsid w:val="00C27AE9"/>
    <w:rsid w:val="00C27C6F"/>
    <w:rsid w:val="00C323AF"/>
    <w:rsid w:val="00C33711"/>
    <w:rsid w:val="00C400C0"/>
    <w:rsid w:val="00C41576"/>
    <w:rsid w:val="00C51055"/>
    <w:rsid w:val="00C544EB"/>
    <w:rsid w:val="00C60252"/>
    <w:rsid w:val="00C65486"/>
    <w:rsid w:val="00C70817"/>
    <w:rsid w:val="00C7288C"/>
    <w:rsid w:val="00C76AC1"/>
    <w:rsid w:val="00C77C3C"/>
    <w:rsid w:val="00C80362"/>
    <w:rsid w:val="00C831B4"/>
    <w:rsid w:val="00C83DB2"/>
    <w:rsid w:val="00C84C2A"/>
    <w:rsid w:val="00C84E8C"/>
    <w:rsid w:val="00C873A0"/>
    <w:rsid w:val="00C9070A"/>
    <w:rsid w:val="00C92453"/>
    <w:rsid w:val="00C978B7"/>
    <w:rsid w:val="00CA0628"/>
    <w:rsid w:val="00CA3A9F"/>
    <w:rsid w:val="00CA3CDC"/>
    <w:rsid w:val="00CA7329"/>
    <w:rsid w:val="00CA756A"/>
    <w:rsid w:val="00CB0C69"/>
    <w:rsid w:val="00CC15EF"/>
    <w:rsid w:val="00CC419E"/>
    <w:rsid w:val="00CC650D"/>
    <w:rsid w:val="00CC7CA5"/>
    <w:rsid w:val="00CE3B08"/>
    <w:rsid w:val="00CE4528"/>
    <w:rsid w:val="00CE6323"/>
    <w:rsid w:val="00CF683A"/>
    <w:rsid w:val="00CF7A51"/>
    <w:rsid w:val="00D10E41"/>
    <w:rsid w:val="00D145EF"/>
    <w:rsid w:val="00D15E81"/>
    <w:rsid w:val="00D16DAD"/>
    <w:rsid w:val="00D16E63"/>
    <w:rsid w:val="00D22E8C"/>
    <w:rsid w:val="00D23F4F"/>
    <w:rsid w:val="00D31464"/>
    <w:rsid w:val="00D33370"/>
    <w:rsid w:val="00D40082"/>
    <w:rsid w:val="00D44AC1"/>
    <w:rsid w:val="00D47BA9"/>
    <w:rsid w:val="00D52AE5"/>
    <w:rsid w:val="00D53798"/>
    <w:rsid w:val="00D53EDE"/>
    <w:rsid w:val="00D60F6C"/>
    <w:rsid w:val="00D61846"/>
    <w:rsid w:val="00D6247F"/>
    <w:rsid w:val="00D707D5"/>
    <w:rsid w:val="00D7543F"/>
    <w:rsid w:val="00D84C0B"/>
    <w:rsid w:val="00D866E1"/>
    <w:rsid w:val="00D91C85"/>
    <w:rsid w:val="00DA2A42"/>
    <w:rsid w:val="00DA3A27"/>
    <w:rsid w:val="00DA56A7"/>
    <w:rsid w:val="00DA686D"/>
    <w:rsid w:val="00DB31F9"/>
    <w:rsid w:val="00DB638C"/>
    <w:rsid w:val="00DC3D6D"/>
    <w:rsid w:val="00DD23EA"/>
    <w:rsid w:val="00DD3FC2"/>
    <w:rsid w:val="00DD48C8"/>
    <w:rsid w:val="00DE2E43"/>
    <w:rsid w:val="00DE4BA5"/>
    <w:rsid w:val="00DF0EDA"/>
    <w:rsid w:val="00DF4249"/>
    <w:rsid w:val="00DF6849"/>
    <w:rsid w:val="00E11154"/>
    <w:rsid w:val="00E14868"/>
    <w:rsid w:val="00E176ED"/>
    <w:rsid w:val="00E272C7"/>
    <w:rsid w:val="00E276B3"/>
    <w:rsid w:val="00E27978"/>
    <w:rsid w:val="00E32362"/>
    <w:rsid w:val="00E37549"/>
    <w:rsid w:val="00E455E3"/>
    <w:rsid w:val="00E535BD"/>
    <w:rsid w:val="00E53CB7"/>
    <w:rsid w:val="00E63392"/>
    <w:rsid w:val="00E730C2"/>
    <w:rsid w:val="00E737C8"/>
    <w:rsid w:val="00E8162D"/>
    <w:rsid w:val="00E93D4A"/>
    <w:rsid w:val="00E94295"/>
    <w:rsid w:val="00EA02E7"/>
    <w:rsid w:val="00EA1C24"/>
    <w:rsid w:val="00EB0FAA"/>
    <w:rsid w:val="00EB3306"/>
    <w:rsid w:val="00EB6897"/>
    <w:rsid w:val="00EC5EE2"/>
    <w:rsid w:val="00EC7532"/>
    <w:rsid w:val="00ED3374"/>
    <w:rsid w:val="00ED4FB2"/>
    <w:rsid w:val="00ED7C00"/>
    <w:rsid w:val="00EE505A"/>
    <w:rsid w:val="00EE7069"/>
    <w:rsid w:val="00EE7442"/>
    <w:rsid w:val="00EF5380"/>
    <w:rsid w:val="00F1128B"/>
    <w:rsid w:val="00F12B42"/>
    <w:rsid w:val="00F222F9"/>
    <w:rsid w:val="00F24E37"/>
    <w:rsid w:val="00F40B63"/>
    <w:rsid w:val="00F4116E"/>
    <w:rsid w:val="00F424DC"/>
    <w:rsid w:val="00F5113D"/>
    <w:rsid w:val="00F513B1"/>
    <w:rsid w:val="00F536A4"/>
    <w:rsid w:val="00F53A93"/>
    <w:rsid w:val="00F56166"/>
    <w:rsid w:val="00F56905"/>
    <w:rsid w:val="00F62699"/>
    <w:rsid w:val="00F64AC9"/>
    <w:rsid w:val="00F65469"/>
    <w:rsid w:val="00F6561C"/>
    <w:rsid w:val="00F6702B"/>
    <w:rsid w:val="00F71209"/>
    <w:rsid w:val="00F72ED1"/>
    <w:rsid w:val="00F7783C"/>
    <w:rsid w:val="00F84290"/>
    <w:rsid w:val="00F85C41"/>
    <w:rsid w:val="00F86EBE"/>
    <w:rsid w:val="00F9005B"/>
    <w:rsid w:val="00F900D5"/>
    <w:rsid w:val="00F919D5"/>
    <w:rsid w:val="00F92EBD"/>
    <w:rsid w:val="00FA7179"/>
    <w:rsid w:val="00FC3060"/>
    <w:rsid w:val="00FC3A93"/>
    <w:rsid w:val="00FC4D01"/>
    <w:rsid w:val="00FC6B13"/>
    <w:rsid w:val="00FC7AE6"/>
    <w:rsid w:val="00FD6A91"/>
    <w:rsid w:val="00FE06B7"/>
    <w:rsid w:val="00FE0D13"/>
    <w:rsid w:val="00FE302B"/>
    <w:rsid w:val="00FE317E"/>
    <w:rsid w:val="00FE3226"/>
    <w:rsid w:val="00FE5430"/>
    <w:rsid w:val="00FF0AA3"/>
    <w:rsid w:val="00FF33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0AC43B5"/>
  <w15:docId w15:val="{DF646F64-1CEB-45D0-92E0-A0E5FC03B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650D"/>
    <w:rPr>
      <w:rFonts w:ascii="Gotham Book" w:hAnsi="Gotham Book"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07D5"/>
    <w:pPr>
      <w:ind w:left="720"/>
      <w:contextualSpacing/>
    </w:pPr>
  </w:style>
  <w:style w:type="table" w:styleId="TableGrid">
    <w:name w:val="Table Grid"/>
    <w:basedOn w:val="TableNormal"/>
    <w:uiPriority w:val="39"/>
    <w:rsid w:val="00CC65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F79B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79B0"/>
    <w:rPr>
      <w:rFonts w:ascii="Segoe UI" w:hAnsi="Segoe UI" w:cs="Segoe UI"/>
      <w:sz w:val="18"/>
      <w:szCs w:val="18"/>
      <w:lang w:val="en-US"/>
    </w:r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F,f,ft,FOOTNOTES"/>
    <w:basedOn w:val="Normal"/>
    <w:link w:val="FootnoteTextChar"/>
    <w:qFormat/>
    <w:rsid w:val="00914786"/>
    <w:pPr>
      <w:keepNext/>
      <w:keepLines/>
      <w:spacing w:after="120" w:line="240" w:lineRule="auto"/>
      <w:ind w:left="288" w:hanging="288"/>
      <w:jc w:val="both"/>
    </w:pPr>
    <w:rPr>
      <w:rFonts w:ascii="Times New Roman" w:hAnsi="Times New Roman"/>
      <w:spacing w:val="-3"/>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rsid w:val="00914786"/>
    <w:rPr>
      <w:rFonts w:ascii="Times New Roman" w:hAnsi="Times New Roman" w:cs="Times New Roman"/>
      <w:spacing w:val="-3"/>
      <w:sz w:val="20"/>
      <w:szCs w:val="20"/>
      <w:lang w:val="en-US"/>
    </w:rPr>
  </w:style>
  <w:style w:type="character" w:styleId="FootnoteReference">
    <w:name w:val="footnote reference"/>
    <w:aliases w:val="referencia nota al pie,Fußnotenzeichen DISS,16 Point,Superscript 6 Point,ftref,FC,Style 24,titulo 2,pie pddes,Ref,de nota al pie,Ref. de nota al pie.,Ref. de nota al pie EDEP,Footnote Reference Number,Footnote Reference_LVL6,fr,SUPERS"/>
    <w:basedOn w:val="DefaultParagraphFont"/>
    <w:link w:val="Char2"/>
    <w:uiPriority w:val="99"/>
    <w:qFormat/>
    <w:rsid w:val="00914786"/>
    <w:rPr>
      <w:vertAlign w:val="superscript"/>
    </w:rPr>
  </w:style>
  <w:style w:type="character" w:styleId="CommentReference">
    <w:name w:val="annotation reference"/>
    <w:basedOn w:val="DefaultParagraphFont"/>
    <w:uiPriority w:val="99"/>
    <w:unhideWhenUsed/>
    <w:rsid w:val="00914786"/>
    <w:rPr>
      <w:sz w:val="16"/>
      <w:szCs w:val="16"/>
    </w:rPr>
  </w:style>
  <w:style w:type="paragraph" w:styleId="CommentText">
    <w:name w:val="annotation text"/>
    <w:basedOn w:val="Normal"/>
    <w:link w:val="CommentTextChar"/>
    <w:unhideWhenUsed/>
    <w:rsid w:val="00914786"/>
  </w:style>
  <w:style w:type="character" w:customStyle="1" w:styleId="CommentTextChar">
    <w:name w:val="Comment Text Char"/>
    <w:basedOn w:val="DefaultParagraphFont"/>
    <w:link w:val="CommentText"/>
    <w:rsid w:val="00914786"/>
    <w:rPr>
      <w:rFonts w:ascii="Gotham Book" w:hAnsi="Gotham Book" w:cs="Times New Roman"/>
      <w:sz w:val="20"/>
      <w:szCs w:val="20"/>
      <w:lang w:val="en-US"/>
    </w:rPr>
  </w:style>
  <w:style w:type="paragraph" w:customStyle="1" w:styleId="Default">
    <w:name w:val="Default"/>
    <w:rsid w:val="00811CCF"/>
    <w:pPr>
      <w:autoSpaceDE w:val="0"/>
      <w:autoSpaceDN w:val="0"/>
      <w:adjustRightInd w:val="0"/>
      <w:spacing w:after="0" w:line="240" w:lineRule="auto"/>
    </w:pPr>
    <w:rPr>
      <w:rFonts w:ascii="Arial" w:hAnsi="Arial" w:cs="Arial"/>
      <w:color w:val="000000"/>
      <w:sz w:val="24"/>
      <w:szCs w:val="24"/>
      <w:lang w:val="en-US"/>
    </w:rPr>
  </w:style>
  <w:style w:type="paragraph" w:styleId="Header">
    <w:name w:val="header"/>
    <w:basedOn w:val="Normal"/>
    <w:link w:val="HeaderChar"/>
    <w:uiPriority w:val="99"/>
    <w:unhideWhenUsed/>
    <w:rsid w:val="00B268F0"/>
    <w:pPr>
      <w:tabs>
        <w:tab w:val="center" w:pos="4513"/>
        <w:tab w:val="right" w:pos="9026"/>
      </w:tabs>
      <w:spacing w:after="0" w:line="240" w:lineRule="auto"/>
    </w:pPr>
  </w:style>
  <w:style w:type="character" w:customStyle="1" w:styleId="HeaderChar">
    <w:name w:val="Header Char"/>
    <w:basedOn w:val="DefaultParagraphFont"/>
    <w:link w:val="Header"/>
    <w:uiPriority w:val="99"/>
    <w:rsid w:val="00B268F0"/>
    <w:rPr>
      <w:rFonts w:ascii="Gotham Book" w:hAnsi="Gotham Book" w:cs="Times New Roman"/>
      <w:sz w:val="20"/>
      <w:szCs w:val="20"/>
      <w:lang w:val="en-US"/>
    </w:rPr>
  </w:style>
  <w:style w:type="paragraph" w:styleId="Footer">
    <w:name w:val="footer"/>
    <w:basedOn w:val="Normal"/>
    <w:link w:val="FooterChar"/>
    <w:uiPriority w:val="99"/>
    <w:unhideWhenUsed/>
    <w:rsid w:val="00B268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B268F0"/>
    <w:rPr>
      <w:rFonts w:ascii="Gotham Book" w:hAnsi="Gotham Book" w:cs="Times New Roman"/>
      <w:sz w:val="20"/>
      <w:szCs w:val="20"/>
      <w:lang w:val="en-US"/>
    </w:rPr>
  </w:style>
  <w:style w:type="paragraph" w:customStyle="1" w:styleId="Chapter">
    <w:name w:val="Chapter"/>
    <w:basedOn w:val="Normal"/>
    <w:next w:val="Normal"/>
    <w:rsid w:val="00F900D5"/>
    <w:pPr>
      <w:keepNext/>
      <w:numPr>
        <w:numId w:val="1"/>
      </w:numPr>
      <w:tabs>
        <w:tab w:val="left" w:pos="1440"/>
      </w:tabs>
      <w:spacing w:before="240" w:after="240" w:line="240" w:lineRule="auto"/>
      <w:jc w:val="center"/>
    </w:pPr>
    <w:rPr>
      <w:rFonts w:ascii="Times New Roman" w:hAnsi="Times New Roman"/>
      <w:b/>
      <w:smallCaps/>
      <w:sz w:val="24"/>
      <w:lang w:val="es-ES"/>
    </w:rPr>
  </w:style>
  <w:style w:type="paragraph" w:customStyle="1" w:styleId="Paragraph">
    <w:name w:val="Paragraph"/>
    <w:aliases w:val="paragraph,p,PARAGRAPH,PG,pa,at"/>
    <w:basedOn w:val="BodyTextIndent"/>
    <w:link w:val="ParagraphChar"/>
    <w:qFormat/>
    <w:rsid w:val="00F900D5"/>
    <w:pPr>
      <w:spacing w:before="120" w:line="240" w:lineRule="auto"/>
      <w:ind w:left="0"/>
      <w:jc w:val="both"/>
      <w:outlineLvl w:val="1"/>
    </w:pPr>
    <w:rPr>
      <w:rFonts w:ascii="Times New Roman" w:hAnsi="Times New Roman"/>
      <w:sz w:val="24"/>
      <w:lang w:val="es-ES"/>
    </w:rPr>
  </w:style>
  <w:style w:type="paragraph" w:customStyle="1" w:styleId="subpar">
    <w:name w:val="subpar"/>
    <w:basedOn w:val="BodyTextIndent3"/>
    <w:uiPriority w:val="99"/>
    <w:rsid w:val="00F900D5"/>
    <w:pPr>
      <w:numPr>
        <w:ilvl w:val="2"/>
        <w:numId w:val="1"/>
      </w:numPr>
      <w:tabs>
        <w:tab w:val="clear" w:pos="2592"/>
        <w:tab w:val="num" w:pos="360"/>
      </w:tabs>
      <w:spacing w:before="120" w:line="240" w:lineRule="auto"/>
      <w:ind w:left="360" w:firstLine="0"/>
      <w:jc w:val="both"/>
      <w:outlineLvl w:val="2"/>
    </w:pPr>
    <w:rPr>
      <w:rFonts w:ascii="Times New Roman" w:hAnsi="Times New Roman"/>
      <w:sz w:val="24"/>
      <w:szCs w:val="20"/>
    </w:rPr>
  </w:style>
  <w:style w:type="paragraph" w:customStyle="1" w:styleId="SubSubPar">
    <w:name w:val="SubSubPar"/>
    <w:basedOn w:val="subpar"/>
    <w:uiPriority w:val="99"/>
    <w:rsid w:val="00F900D5"/>
    <w:pPr>
      <w:numPr>
        <w:ilvl w:val="3"/>
      </w:numPr>
      <w:tabs>
        <w:tab w:val="clear" w:pos="3024"/>
        <w:tab w:val="left" w:pos="0"/>
        <w:tab w:val="num" w:pos="360"/>
        <w:tab w:val="num" w:pos="1296"/>
        <w:tab w:val="num" w:pos="2592"/>
      </w:tabs>
      <w:ind w:left="1296"/>
    </w:pPr>
  </w:style>
  <w:style w:type="character" w:customStyle="1" w:styleId="ParagraphChar">
    <w:name w:val="Paragraph Char"/>
    <w:aliases w:val="p Char,PARAGRAPH Char,PG Char,pa Char,at Char,paragraph Char"/>
    <w:basedOn w:val="DefaultParagraphFont"/>
    <w:link w:val="Paragraph"/>
    <w:rsid w:val="00F900D5"/>
    <w:rPr>
      <w:rFonts w:ascii="Times New Roman" w:hAnsi="Times New Roman" w:cs="Times New Roman"/>
      <w:sz w:val="24"/>
      <w:szCs w:val="20"/>
      <w:lang w:val="es-ES"/>
    </w:rPr>
  </w:style>
  <w:style w:type="paragraph" w:styleId="BodyTextIndent">
    <w:name w:val="Body Text Indent"/>
    <w:basedOn w:val="Normal"/>
    <w:link w:val="BodyTextIndentChar"/>
    <w:uiPriority w:val="99"/>
    <w:semiHidden/>
    <w:unhideWhenUsed/>
    <w:rsid w:val="00F900D5"/>
    <w:pPr>
      <w:spacing w:after="120"/>
      <w:ind w:left="360"/>
    </w:pPr>
  </w:style>
  <w:style w:type="character" w:customStyle="1" w:styleId="BodyTextIndentChar">
    <w:name w:val="Body Text Indent Char"/>
    <w:basedOn w:val="DefaultParagraphFont"/>
    <w:link w:val="BodyTextIndent"/>
    <w:uiPriority w:val="99"/>
    <w:semiHidden/>
    <w:rsid w:val="00F900D5"/>
    <w:rPr>
      <w:rFonts w:ascii="Gotham Book" w:hAnsi="Gotham Book" w:cs="Times New Roman"/>
      <w:sz w:val="20"/>
      <w:szCs w:val="20"/>
      <w:lang w:val="en-US"/>
    </w:rPr>
  </w:style>
  <w:style w:type="paragraph" w:styleId="BodyTextIndent3">
    <w:name w:val="Body Text Indent 3"/>
    <w:basedOn w:val="Normal"/>
    <w:link w:val="BodyTextIndent3Char"/>
    <w:uiPriority w:val="99"/>
    <w:semiHidden/>
    <w:unhideWhenUsed/>
    <w:rsid w:val="00F900D5"/>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900D5"/>
    <w:rPr>
      <w:rFonts w:ascii="Gotham Book" w:hAnsi="Gotham Book" w:cs="Times New Roman"/>
      <w:sz w:val="16"/>
      <w:szCs w:val="16"/>
      <w:lang w:val="en-US"/>
    </w:rPr>
  </w:style>
  <w:style w:type="character" w:styleId="Hyperlink">
    <w:name w:val="Hyperlink"/>
    <w:basedOn w:val="DefaultParagraphFont"/>
    <w:rsid w:val="005E5F53"/>
    <w:rPr>
      <w:color w:val="0000FF"/>
      <w:u w:val="single"/>
    </w:rPr>
  </w:style>
  <w:style w:type="paragraph" w:customStyle="1" w:styleId="RegheadTab">
    <w:name w:val="RegheadTab"/>
    <w:basedOn w:val="Normal"/>
    <w:rsid w:val="00C323AF"/>
    <w:pPr>
      <w:keepNext/>
      <w:tabs>
        <w:tab w:val="left" w:pos="0"/>
        <w:tab w:val="left" w:pos="86"/>
        <w:tab w:val="num" w:pos="504"/>
      </w:tabs>
      <w:spacing w:before="120" w:after="0" w:line="240" w:lineRule="auto"/>
      <w:ind w:left="504" w:hanging="504"/>
      <w:jc w:val="center"/>
    </w:pPr>
    <w:rPr>
      <w:rFonts w:ascii="Times New Roman" w:hAnsi="Times New Roman"/>
      <w:b/>
      <w:sz w:val="24"/>
      <w:lang w:val="es-ES"/>
    </w:rPr>
  </w:style>
  <w:style w:type="paragraph" w:styleId="CommentSubject">
    <w:name w:val="annotation subject"/>
    <w:basedOn w:val="CommentText"/>
    <w:next w:val="CommentText"/>
    <w:link w:val="CommentSubjectChar"/>
    <w:uiPriority w:val="99"/>
    <w:semiHidden/>
    <w:unhideWhenUsed/>
    <w:rsid w:val="00095469"/>
    <w:pPr>
      <w:spacing w:line="240" w:lineRule="auto"/>
    </w:pPr>
    <w:rPr>
      <w:b/>
      <w:bCs/>
    </w:rPr>
  </w:style>
  <w:style w:type="character" w:customStyle="1" w:styleId="CommentSubjectChar">
    <w:name w:val="Comment Subject Char"/>
    <w:basedOn w:val="CommentTextChar"/>
    <w:link w:val="CommentSubject"/>
    <w:uiPriority w:val="99"/>
    <w:semiHidden/>
    <w:rsid w:val="00095469"/>
    <w:rPr>
      <w:rFonts w:ascii="Gotham Book" w:hAnsi="Gotham Book" w:cs="Times New Roman"/>
      <w:b/>
      <w:bCs/>
      <w:sz w:val="20"/>
      <w:szCs w:val="20"/>
      <w:lang w:val="en-US"/>
    </w:rPr>
  </w:style>
  <w:style w:type="paragraph" w:styleId="Revision">
    <w:name w:val="Revision"/>
    <w:hidden/>
    <w:uiPriority w:val="99"/>
    <w:semiHidden/>
    <w:rsid w:val="00A06640"/>
    <w:pPr>
      <w:spacing w:after="0" w:line="240" w:lineRule="auto"/>
    </w:pPr>
    <w:rPr>
      <w:rFonts w:ascii="Gotham Book" w:hAnsi="Gotham Book" w:cs="Times New Roman"/>
      <w:sz w:val="20"/>
      <w:szCs w:val="20"/>
      <w:lang w:val="en-US"/>
    </w:rPr>
  </w:style>
  <w:style w:type="paragraph" w:styleId="NormalWeb">
    <w:name w:val="Normal (Web)"/>
    <w:basedOn w:val="Normal"/>
    <w:uiPriority w:val="99"/>
    <w:semiHidden/>
    <w:unhideWhenUsed/>
    <w:rsid w:val="000B089B"/>
    <w:pPr>
      <w:spacing w:before="100" w:beforeAutospacing="1" w:after="100" w:afterAutospacing="1" w:line="240" w:lineRule="auto"/>
    </w:pPr>
    <w:rPr>
      <w:rFonts w:ascii="Times New Roman" w:eastAsia="Times New Roman" w:hAnsi="Times New Roman"/>
      <w:sz w:val="24"/>
      <w:szCs w:val="24"/>
    </w:rPr>
  </w:style>
  <w:style w:type="character" w:styleId="FollowedHyperlink">
    <w:name w:val="FollowedHyperlink"/>
    <w:basedOn w:val="DefaultParagraphFont"/>
    <w:uiPriority w:val="99"/>
    <w:semiHidden/>
    <w:unhideWhenUsed/>
    <w:rsid w:val="00621FE1"/>
    <w:rPr>
      <w:color w:val="800080" w:themeColor="followedHyperlink"/>
      <w:u w:val="single"/>
    </w:rPr>
  </w:style>
  <w:style w:type="paragraph" w:customStyle="1" w:styleId="Char2">
    <w:name w:val="Char2"/>
    <w:basedOn w:val="Normal"/>
    <w:link w:val="FootnoteReference"/>
    <w:uiPriority w:val="99"/>
    <w:rsid w:val="007669CD"/>
    <w:pPr>
      <w:spacing w:after="160" w:line="240" w:lineRule="exact"/>
    </w:pPr>
    <w:rPr>
      <w:rFonts w:asciiTheme="minorHAnsi" w:hAnsiTheme="minorHAnsi" w:cstheme="minorBidi"/>
      <w:sz w:val="22"/>
      <w:szCs w:val="22"/>
      <w:vertAlign w:val="superscript"/>
      <w:lang w:val="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09828">
      <w:bodyDiv w:val="1"/>
      <w:marLeft w:val="0"/>
      <w:marRight w:val="0"/>
      <w:marTop w:val="0"/>
      <w:marBottom w:val="0"/>
      <w:divBdr>
        <w:top w:val="none" w:sz="0" w:space="0" w:color="auto"/>
        <w:left w:val="none" w:sz="0" w:space="0" w:color="auto"/>
        <w:bottom w:val="none" w:sz="0" w:space="0" w:color="auto"/>
        <w:right w:val="none" w:sz="0" w:space="0" w:color="auto"/>
      </w:divBdr>
    </w:div>
    <w:div w:id="225990191">
      <w:bodyDiv w:val="1"/>
      <w:marLeft w:val="0"/>
      <w:marRight w:val="0"/>
      <w:marTop w:val="0"/>
      <w:marBottom w:val="0"/>
      <w:divBdr>
        <w:top w:val="none" w:sz="0" w:space="0" w:color="auto"/>
        <w:left w:val="none" w:sz="0" w:space="0" w:color="auto"/>
        <w:bottom w:val="none" w:sz="0" w:space="0" w:color="auto"/>
        <w:right w:val="none" w:sz="0" w:space="0" w:color="auto"/>
      </w:divBdr>
    </w:div>
    <w:div w:id="30057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29DA49-5F86-4805-BBF5-A42A36E293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1149</Words>
  <Characters>6552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7686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Marcio Cracel</dc:creator>
  <cp:lastModifiedBy>Gomez Reino, Juan Luis</cp:lastModifiedBy>
  <cp:revision>2</cp:revision>
  <cp:lastPrinted>2016-04-03T19:13:00Z</cp:lastPrinted>
  <dcterms:created xsi:type="dcterms:W3CDTF">2018-09-06T21:39:00Z</dcterms:created>
  <dcterms:modified xsi:type="dcterms:W3CDTF">2018-09-06T21:39:00Z</dcterms:modified>
</cp:coreProperties>
</file>