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618DA9" w14:textId="158F4960" w:rsidR="00F6391D" w:rsidRPr="001E02ED" w:rsidRDefault="00621F74" w:rsidP="002C4F9A">
      <w:pPr>
        <w:pStyle w:val="Paragraph"/>
        <w:numPr>
          <w:ilvl w:val="0"/>
          <w:numId w:val="0"/>
        </w:numPr>
        <w:tabs>
          <w:tab w:val="left" w:pos="720"/>
          <w:tab w:val="num" w:pos="2160"/>
          <w:tab w:val="num" w:pos="6066"/>
        </w:tabs>
        <w:suppressAutoHyphens/>
        <w:ind w:left="720"/>
        <w:rPr>
          <w:b/>
          <w:lang w:val="es-ES_tradnl"/>
        </w:rPr>
      </w:pPr>
      <w:r w:rsidRPr="001E02ED">
        <w:rPr>
          <w:b/>
          <w:lang w:val="es-ES_tradnl"/>
        </w:rPr>
        <w:t xml:space="preserve">Evidencia internacional. </w:t>
      </w:r>
      <w:r w:rsidR="001E02ED" w:rsidRPr="00CD6B9A">
        <w:t>La evidencia empírica parece mostrar un efecto positivo en general de la inversión en infraestructura pública en el crecimiento económico</w:t>
      </w:r>
      <w:r w:rsidR="001E02ED">
        <w:rPr>
          <w:rStyle w:val="FootnoteReference"/>
        </w:rPr>
        <w:footnoteReference w:id="1"/>
      </w:r>
      <w:r w:rsidR="001E02ED" w:rsidRPr="00CD6B9A">
        <w:t xml:space="preserve">. El impacto de la IP en el crecimiento económico y la mejora de los indicadores sociales </w:t>
      </w:r>
      <w:r w:rsidR="001E02ED" w:rsidRPr="00DB0FC5">
        <w:t>está determinado por la eficiencia de los sistemas de gestión de dicha inversión</w:t>
      </w:r>
      <w:r w:rsidR="001E02ED" w:rsidRPr="00DB0FC5">
        <w:rPr>
          <w:rStyle w:val="FootnoteReference"/>
        </w:rPr>
        <w:footnoteReference w:id="2"/>
      </w:r>
      <w:r w:rsidR="001E02ED" w:rsidRPr="00DB0FC5">
        <w:t>. La literatura muestra que la brecha de eficiencia promedio de la IP, entendida como la diferencia de la eficiencia de un país particular y la frontera de eficiencia</w:t>
      </w:r>
      <w:r w:rsidR="001E02ED">
        <w:rPr>
          <w:rStyle w:val="FootnoteReference"/>
        </w:rPr>
        <w:footnoteReference w:id="3"/>
      </w:r>
      <w:r w:rsidR="001E02ED" w:rsidRPr="00DB0FC5">
        <w:t>, se sitúa en 30%</w:t>
      </w:r>
      <w:r w:rsidR="001E02ED" w:rsidRPr="00DB0FC5">
        <w:rPr>
          <w:rStyle w:val="FootnoteReference"/>
        </w:rPr>
        <w:footnoteReference w:id="4"/>
      </w:r>
      <w:r w:rsidR="001E02ED" w:rsidRPr="00DB0FC5">
        <w:t>, y que es menor</w:t>
      </w:r>
      <w:r w:rsidR="001E02ED" w:rsidRPr="00CD6B9A">
        <w:t xml:space="preserve"> cuanto mayor es el ingreso promedio del país. El impacto en el crecimiento derivado del cierre de esta brecha es substancial. Un incremento de un 1</w:t>
      </w:r>
      <w:r w:rsidR="001E02ED">
        <w:t>%</w:t>
      </w:r>
      <w:r w:rsidR="001E02ED" w:rsidRPr="00CD6B9A">
        <w:t xml:space="preserve"> del PIB en IP incrementa en producto un 0</w:t>
      </w:r>
      <w:r w:rsidR="001E02ED">
        <w:t>,</w:t>
      </w:r>
      <w:r w:rsidR="001E02ED" w:rsidRPr="00CD6B9A">
        <w:t>6</w:t>
      </w:r>
      <w:r w:rsidR="001E02ED">
        <w:t xml:space="preserve">% </w:t>
      </w:r>
      <w:r w:rsidR="001E02ED" w:rsidRPr="00CD6B9A">
        <w:t>en países con alto nivel de eficiencia en la gestión de la inversión, mientras que el incremento sólo es del 0</w:t>
      </w:r>
      <w:r w:rsidR="001E02ED">
        <w:t>,</w:t>
      </w:r>
      <w:r w:rsidR="001E02ED" w:rsidRPr="00CD6B9A">
        <w:t>3</w:t>
      </w:r>
      <w:r w:rsidR="001E02ED">
        <w:t>%</w:t>
      </w:r>
      <w:r w:rsidR="001E02ED" w:rsidRPr="00CD6B9A">
        <w:t xml:space="preserve"> en países con menores niveles de eficiencia. La calidad de las instituciones define, en gran manera, la eficiencia de los sistemas de gestión de la IP, incluyendo las fases del ciclo de inversión: priorización de proyectos, preinversión, monitoreo y evaluación y sistemas de gestión de activos públicos. En </w:t>
      </w:r>
      <w:r w:rsidR="001E02ED">
        <w:t>ALC</w:t>
      </w:r>
      <w:r w:rsidR="001E02ED" w:rsidRPr="00CD6B9A">
        <w:t xml:space="preserve">, mejoras en la selección y priorización de proyectos de inversión, la reducción de sobrecostos y sobre plazos </w:t>
      </w:r>
      <w:r w:rsidR="001E02ED" w:rsidRPr="006F4185">
        <w:t>y la maximización de la vida útil de los activos a través de mejoras en su mantenimiento podrían generar ganancias de eficiencia de hasta un 1</w:t>
      </w:r>
      <w:r w:rsidR="001E02ED">
        <w:t xml:space="preserve">% </w:t>
      </w:r>
      <w:r w:rsidR="001E02ED" w:rsidRPr="006F4185">
        <w:t>del PIB regional</w:t>
      </w:r>
      <w:r w:rsidR="001E02ED" w:rsidRPr="006F4185">
        <w:rPr>
          <w:rStyle w:val="FootnoteReference"/>
        </w:rPr>
        <w:footnoteReference w:id="5"/>
      </w:r>
      <w:r w:rsidR="001E02ED" w:rsidRPr="006F4185">
        <w:t>. La evidencia empírica subraya</w:t>
      </w:r>
      <w:r w:rsidR="001E02ED">
        <w:t xml:space="preserve"> </w:t>
      </w:r>
      <w:r w:rsidR="001E02ED" w:rsidRPr="006F4185">
        <w:t>la importancia de enfrentar reformas al sistema de IP desde una perspectiva holística, incluyendo todas sus fases. Este es un aspecto especialmente importante para Bolivia, donde las oportunidades de mejora del ciclo se encuentran en la aplicación de guías estratégicas, evaluación ex ante y ex post de proyectos y criterios de selección, la gestión de activos, la capacitación de recursos humanos y uso de tecnología</w:t>
      </w:r>
      <w:r w:rsidR="001E02ED" w:rsidRPr="006F4185">
        <w:rPr>
          <w:rStyle w:val="FootnoteReference"/>
        </w:rPr>
        <w:footnoteReference w:id="6"/>
      </w:r>
      <w:r w:rsidR="001E02ED" w:rsidRPr="006F4185">
        <w:t xml:space="preserve">. </w:t>
      </w:r>
      <w:r w:rsidR="001E02ED">
        <w:t>En particular, la</w:t>
      </w:r>
      <w:r w:rsidR="001E02ED" w:rsidRPr="006F4185">
        <w:t xml:space="preserve"> preinversión, a nivel de </w:t>
      </w:r>
      <w:r w:rsidR="001E02ED">
        <w:t>ALC</w:t>
      </w:r>
      <w:r w:rsidR="001E02ED" w:rsidRPr="006F4185">
        <w:t xml:space="preserve"> muestra poca cobertura de proyectos con estudios de preinversión y escaso uso de estudios para la priorización de proyectos y su presupu</w:t>
      </w:r>
      <w:bookmarkStart w:id="0" w:name="_GoBack"/>
      <w:bookmarkEnd w:id="0"/>
      <w:r w:rsidR="001E02ED" w:rsidRPr="006F4185">
        <w:t>estación</w:t>
      </w:r>
      <w:r w:rsidR="001E02ED" w:rsidRPr="006F4185">
        <w:rPr>
          <w:rStyle w:val="FootnoteReference"/>
        </w:rPr>
        <w:footnoteReference w:id="7"/>
      </w:r>
      <w:r w:rsidR="001E02ED" w:rsidRPr="006F4185">
        <w:t>.</w:t>
      </w:r>
    </w:p>
    <w:sectPr w:rsidR="00F6391D" w:rsidRPr="001E02ED">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DB295A" w14:textId="77777777" w:rsidR="00FB38F4" w:rsidRDefault="00FB38F4">
      <w:pPr>
        <w:spacing w:after="0" w:line="240" w:lineRule="auto"/>
      </w:pPr>
      <w:r>
        <w:separator/>
      </w:r>
    </w:p>
  </w:endnote>
  <w:endnote w:type="continuationSeparator" w:id="0">
    <w:p w14:paraId="6552AB78" w14:textId="77777777" w:rsidR="00FB38F4" w:rsidRDefault="00FB3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613E5" w14:textId="77777777" w:rsidR="00FB38F4" w:rsidRDefault="00FB38F4">
      <w:pPr>
        <w:spacing w:after="0" w:line="240" w:lineRule="auto"/>
      </w:pPr>
      <w:r>
        <w:separator/>
      </w:r>
    </w:p>
  </w:footnote>
  <w:footnote w:type="continuationSeparator" w:id="0">
    <w:p w14:paraId="7B6F6C60" w14:textId="77777777" w:rsidR="00FB38F4" w:rsidRDefault="00FB38F4">
      <w:pPr>
        <w:spacing w:after="0" w:line="240" w:lineRule="auto"/>
      </w:pPr>
      <w:r>
        <w:continuationSeparator/>
      </w:r>
    </w:p>
  </w:footnote>
  <w:footnote w:id="1">
    <w:p w14:paraId="0284A9E6" w14:textId="77777777" w:rsidR="001E02ED" w:rsidRPr="00AF64E2" w:rsidRDefault="001E02ED" w:rsidP="001E02ED">
      <w:pPr>
        <w:pStyle w:val="FootnoteText"/>
        <w:spacing w:after="0"/>
        <w:ind w:left="270" w:hanging="270"/>
        <w:contextualSpacing/>
        <w:rPr>
          <w:sz w:val="18"/>
          <w:szCs w:val="18"/>
        </w:rPr>
      </w:pPr>
      <w:r w:rsidRPr="008B5D3B">
        <w:rPr>
          <w:rStyle w:val="FootnoteReference"/>
        </w:rPr>
        <w:footnoteRef/>
      </w:r>
      <w:r w:rsidRPr="008B5D3B">
        <w:rPr>
          <w:sz w:val="18"/>
          <w:szCs w:val="18"/>
        </w:rPr>
        <w:t xml:space="preserve"> </w:t>
      </w:r>
      <w:r w:rsidRPr="008B5D3B">
        <w:rPr>
          <w:sz w:val="18"/>
          <w:szCs w:val="18"/>
        </w:rPr>
        <w:tab/>
      </w:r>
      <w:r w:rsidRPr="00FB3CEA">
        <w:rPr>
          <w:sz w:val="18"/>
          <w:szCs w:val="18"/>
        </w:rPr>
        <w:t xml:space="preserve">Straub, S. and Terada-Hagiwara A. (2012): “Infrastructure and Growth in Developing Asia”. ADB Economics Working Paper Series, No. 23. Asian Development Bank; </w:t>
      </w:r>
      <w:proofErr w:type="spellStart"/>
      <w:r w:rsidRPr="00FB3CEA">
        <w:rPr>
          <w:sz w:val="18"/>
          <w:szCs w:val="18"/>
        </w:rPr>
        <w:t>Egert</w:t>
      </w:r>
      <w:proofErr w:type="spellEnd"/>
      <w:r w:rsidRPr="00FB3CEA">
        <w:rPr>
          <w:sz w:val="18"/>
          <w:szCs w:val="18"/>
        </w:rPr>
        <w:t xml:space="preserve">, B, T. </w:t>
      </w:r>
      <w:proofErr w:type="spellStart"/>
      <w:r w:rsidRPr="00FB3CEA">
        <w:rPr>
          <w:sz w:val="18"/>
          <w:szCs w:val="18"/>
        </w:rPr>
        <w:t>Kozluk</w:t>
      </w:r>
      <w:proofErr w:type="spellEnd"/>
      <w:r w:rsidRPr="00FB3CEA">
        <w:rPr>
          <w:sz w:val="18"/>
          <w:szCs w:val="18"/>
        </w:rPr>
        <w:t xml:space="preserve"> y D. Sutherland (2009): “Infrastructure and Growth: Empirical Evidence”, William Davidson Institute Working Paper 957 Calderón, C. and L. </w:t>
      </w:r>
      <w:proofErr w:type="spellStart"/>
      <w:r w:rsidRPr="00FB3CEA">
        <w:rPr>
          <w:sz w:val="18"/>
          <w:szCs w:val="18"/>
        </w:rPr>
        <w:t>Servén</w:t>
      </w:r>
      <w:proofErr w:type="spellEnd"/>
      <w:r w:rsidRPr="00FB3CEA">
        <w:rPr>
          <w:sz w:val="18"/>
          <w:szCs w:val="18"/>
        </w:rPr>
        <w:t xml:space="preserve"> (2004): “The effects of infrastructure development on growth and income distribution”, World Bank Policy Research Working Paper 3400; </w:t>
      </w:r>
      <w:proofErr w:type="spellStart"/>
      <w:r w:rsidRPr="00FB3CEA">
        <w:rPr>
          <w:sz w:val="18"/>
          <w:szCs w:val="18"/>
        </w:rPr>
        <w:t>Lanau</w:t>
      </w:r>
      <w:proofErr w:type="spellEnd"/>
      <w:r w:rsidRPr="00FB3CEA">
        <w:rPr>
          <w:sz w:val="18"/>
          <w:szCs w:val="18"/>
        </w:rPr>
        <w:t>, S. (2017): The Growth Return of Infrastructure in Latin America, IMF working papers, WP/17/35.</w:t>
      </w:r>
    </w:p>
  </w:footnote>
  <w:footnote w:id="2">
    <w:p w14:paraId="36768445" w14:textId="77777777" w:rsidR="001E02ED" w:rsidRPr="00FB3CEA" w:rsidRDefault="001E02ED" w:rsidP="001E02ED">
      <w:pPr>
        <w:pStyle w:val="FootnoteText"/>
        <w:spacing w:after="0"/>
        <w:ind w:left="270" w:hanging="270"/>
        <w:contextualSpacing/>
        <w:rPr>
          <w:sz w:val="18"/>
          <w:szCs w:val="18"/>
          <w:lang w:val="es-ES"/>
        </w:rPr>
      </w:pPr>
      <w:r w:rsidRPr="00AF64E2">
        <w:rPr>
          <w:rStyle w:val="FootnoteReference"/>
        </w:rPr>
        <w:footnoteRef/>
      </w:r>
      <w:r w:rsidRPr="00AF64E2">
        <w:rPr>
          <w:sz w:val="18"/>
          <w:szCs w:val="18"/>
        </w:rPr>
        <w:t xml:space="preserve"> </w:t>
      </w:r>
      <w:r w:rsidRPr="00AF64E2">
        <w:rPr>
          <w:sz w:val="18"/>
          <w:szCs w:val="18"/>
        </w:rPr>
        <w:tab/>
      </w:r>
      <w:r w:rsidRPr="00FB3CEA">
        <w:rPr>
          <w:sz w:val="18"/>
          <w:szCs w:val="18"/>
        </w:rPr>
        <w:t xml:space="preserve">Gupta, S., et al (2014): “Efficiency-Adjusted Public Capital and Growth,” World Economic Development, Vol. 57, Issue C: pp. 164–78; International Monetary Fund (IMF) (2014): Is it Time for an Infrastructure Push: The Macroeconomic Effects of Public Investment: World Economic Outlook (October Ed.). </w:t>
      </w:r>
      <w:r w:rsidRPr="00FB3CEA">
        <w:rPr>
          <w:sz w:val="18"/>
          <w:szCs w:val="18"/>
          <w:lang w:val="es-ES"/>
        </w:rPr>
        <w:t>Washington (</w:t>
      </w:r>
      <w:proofErr w:type="spellStart"/>
      <w:r w:rsidRPr="00FB3CEA">
        <w:rPr>
          <w:sz w:val="18"/>
          <w:szCs w:val="18"/>
          <w:lang w:val="es-ES"/>
        </w:rPr>
        <w:t>Chapter</w:t>
      </w:r>
      <w:proofErr w:type="spellEnd"/>
      <w:r w:rsidRPr="00FB3CEA">
        <w:rPr>
          <w:sz w:val="18"/>
          <w:szCs w:val="18"/>
          <w:lang w:val="es-ES"/>
        </w:rPr>
        <w:t xml:space="preserve"> 3).</w:t>
      </w:r>
    </w:p>
  </w:footnote>
  <w:footnote w:id="3">
    <w:p w14:paraId="7BBD08E2" w14:textId="77777777" w:rsidR="001E02ED" w:rsidRPr="001E02ED" w:rsidRDefault="001E02ED" w:rsidP="001E02ED">
      <w:pPr>
        <w:pStyle w:val="FootnoteText"/>
        <w:spacing w:after="0"/>
        <w:contextualSpacing/>
        <w:rPr>
          <w:lang w:val="es-ES"/>
        </w:rPr>
      </w:pPr>
      <w:r>
        <w:rPr>
          <w:rStyle w:val="FootnoteReference"/>
        </w:rPr>
        <w:footnoteRef/>
      </w:r>
      <w:r w:rsidRPr="001E02ED">
        <w:rPr>
          <w:lang w:val="es-ES"/>
        </w:rPr>
        <w:t xml:space="preserve">  </w:t>
      </w:r>
      <w:r w:rsidRPr="001E02ED">
        <w:rPr>
          <w:sz w:val="18"/>
          <w:szCs w:val="18"/>
          <w:lang w:val="es-ES"/>
        </w:rPr>
        <w:t>Países con los más altos niveles de cobertura y calidad de infraestructura</w:t>
      </w:r>
      <w:r>
        <w:rPr>
          <w:lang w:val="es-ES"/>
        </w:rPr>
        <w:t>.</w:t>
      </w:r>
    </w:p>
  </w:footnote>
  <w:footnote w:id="4">
    <w:p w14:paraId="1E0AB154" w14:textId="77777777" w:rsidR="001E02ED" w:rsidRPr="00497EED" w:rsidRDefault="001E02ED" w:rsidP="001E02ED">
      <w:pPr>
        <w:pStyle w:val="FootnoteText"/>
        <w:spacing w:after="0"/>
        <w:ind w:left="270" w:hanging="270"/>
        <w:contextualSpacing/>
        <w:rPr>
          <w:sz w:val="18"/>
          <w:szCs w:val="18"/>
        </w:rPr>
      </w:pPr>
      <w:r w:rsidRPr="00497EED">
        <w:rPr>
          <w:rStyle w:val="FootnoteReference"/>
        </w:rPr>
        <w:footnoteRef/>
      </w:r>
      <w:r w:rsidRPr="00FB3CEA">
        <w:rPr>
          <w:sz w:val="18"/>
          <w:szCs w:val="18"/>
          <w:lang w:val="es-ES"/>
        </w:rPr>
        <w:t xml:space="preserve"> </w:t>
      </w:r>
      <w:r w:rsidRPr="00FB3CEA">
        <w:rPr>
          <w:sz w:val="18"/>
          <w:szCs w:val="18"/>
          <w:lang w:val="es-ES"/>
        </w:rPr>
        <w:tab/>
      </w:r>
      <w:r w:rsidRPr="006D31E1">
        <w:rPr>
          <w:sz w:val="18"/>
          <w:szCs w:val="18"/>
          <w:lang w:val="es-ES"/>
        </w:rPr>
        <w:t xml:space="preserve">Mejoras en la gestión de la </w:t>
      </w:r>
      <w:r>
        <w:rPr>
          <w:sz w:val="18"/>
          <w:szCs w:val="18"/>
          <w:lang w:val="es-ES"/>
        </w:rPr>
        <w:t>IP</w:t>
      </w:r>
      <w:r w:rsidRPr="006D31E1">
        <w:rPr>
          <w:sz w:val="18"/>
          <w:szCs w:val="18"/>
          <w:lang w:val="es-ES"/>
        </w:rPr>
        <w:t xml:space="preserve"> de un país pueden reducir en 2/3 la brecha de eficiencia de la </w:t>
      </w:r>
      <w:r>
        <w:rPr>
          <w:sz w:val="18"/>
          <w:szCs w:val="18"/>
          <w:lang w:val="es-ES"/>
        </w:rPr>
        <w:t>IP</w:t>
      </w:r>
      <w:r w:rsidRPr="006D31E1">
        <w:rPr>
          <w:sz w:val="18"/>
          <w:szCs w:val="18"/>
          <w:lang w:val="es-ES"/>
        </w:rPr>
        <w:t xml:space="preserve">. Esta reducción es más grande en países en desarrollo de bajo ingreso y de economías emergentes. </w:t>
      </w:r>
      <w:r w:rsidRPr="001E02ED">
        <w:rPr>
          <w:sz w:val="18"/>
          <w:szCs w:val="18"/>
          <w:lang w:val="es-ES"/>
        </w:rPr>
        <w:t xml:space="preserve">Estas mejoras pueden determinarse por indicadores indirectos de las etapas de planeación, asignación (preinversión) e implementación; siendo las dos últimas etapas las más fuertes en predecir una inversión más eficiente (explicada por sus altas correlaciones). </w:t>
      </w:r>
      <w:r w:rsidRPr="002104A6">
        <w:rPr>
          <w:i/>
          <w:sz w:val="18"/>
          <w:szCs w:val="18"/>
        </w:rPr>
        <w:t xml:space="preserve">IMF (2015): Making Public Investment More Efficient. </w:t>
      </w:r>
      <w:r w:rsidRPr="00C846C0">
        <w:rPr>
          <w:i/>
          <w:sz w:val="18"/>
          <w:szCs w:val="18"/>
        </w:rPr>
        <w:t>Washington D.C.</w:t>
      </w:r>
    </w:p>
  </w:footnote>
  <w:footnote w:id="5">
    <w:p w14:paraId="1B41944C" w14:textId="77777777" w:rsidR="001E02ED" w:rsidRPr="00AF64E2" w:rsidRDefault="001E02ED" w:rsidP="001E02ED">
      <w:pPr>
        <w:pStyle w:val="FootnoteText"/>
        <w:spacing w:after="0"/>
        <w:ind w:left="270" w:hanging="270"/>
        <w:contextualSpacing/>
        <w:rPr>
          <w:sz w:val="18"/>
          <w:szCs w:val="18"/>
        </w:rPr>
      </w:pPr>
      <w:r w:rsidRPr="00497EED">
        <w:rPr>
          <w:rStyle w:val="FootnoteReference"/>
        </w:rPr>
        <w:footnoteRef/>
      </w:r>
      <w:r w:rsidRPr="00715304">
        <w:rPr>
          <w:sz w:val="18"/>
          <w:szCs w:val="18"/>
        </w:rPr>
        <w:t xml:space="preserve"> </w:t>
      </w:r>
      <w:r w:rsidRPr="00715304">
        <w:rPr>
          <w:sz w:val="18"/>
          <w:szCs w:val="18"/>
        </w:rPr>
        <w:tab/>
      </w:r>
      <w:proofErr w:type="spellStart"/>
      <w:r w:rsidRPr="00FB3CEA">
        <w:rPr>
          <w:sz w:val="18"/>
          <w:szCs w:val="18"/>
        </w:rPr>
        <w:t>Serebirsky</w:t>
      </w:r>
      <w:proofErr w:type="spellEnd"/>
      <w:r w:rsidRPr="00FB3CEA">
        <w:rPr>
          <w:sz w:val="18"/>
          <w:szCs w:val="18"/>
        </w:rPr>
        <w:t>, T., A. Suárez-Aleman and C. Pastor. 2018. Increasing the Efficiency of Public Infrastructure Investment in Latin America and the Caribbean, Chapter 9, DIA 2018 (forthcoming).</w:t>
      </w:r>
    </w:p>
  </w:footnote>
  <w:footnote w:id="6">
    <w:p w14:paraId="3DE2E49A" w14:textId="77777777" w:rsidR="001E02ED" w:rsidRPr="001E02ED" w:rsidRDefault="001E02ED" w:rsidP="001E02ED">
      <w:pPr>
        <w:pStyle w:val="FootnoteText"/>
        <w:spacing w:after="0"/>
        <w:ind w:left="270" w:hanging="270"/>
        <w:contextualSpacing/>
        <w:rPr>
          <w:sz w:val="18"/>
          <w:szCs w:val="18"/>
          <w:lang w:val="es-ES"/>
        </w:rPr>
      </w:pPr>
      <w:r w:rsidRPr="001A2345">
        <w:rPr>
          <w:rStyle w:val="FootnoteReference"/>
        </w:rPr>
        <w:footnoteRef/>
      </w:r>
      <w:r w:rsidRPr="001E02ED">
        <w:rPr>
          <w:sz w:val="18"/>
          <w:szCs w:val="18"/>
          <w:lang w:val="es-ES"/>
        </w:rPr>
        <w:t xml:space="preserve"> </w:t>
      </w:r>
      <w:r w:rsidRPr="001E02ED">
        <w:rPr>
          <w:sz w:val="18"/>
          <w:szCs w:val="18"/>
          <w:lang w:val="es-ES"/>
        </w:rPr>
        <w:tab/>
      </w:r>
      <w:proofErr w:type="spellStart"/>
      <w:r w:rsidRPr="001E02ED">
        <w:rPr>
          <w:sz w:val="18"/>
          <w:szCs w:val="18"/>
          <w:lang w:val="es-ES"/>
        </w:rPr>
        <w:t>Armendariz</w:t>
      </w:r>
      <w:proofErr w:type="spellEnd"/>
      <w:r w:rsidRPr="001E02ED">
        <w:rPr>
          <w:sz w:val="18"/>
          <w:szCs w:val="18"/>
          <w:lang w:val="es-ES"/>
        </w:rPr>
        <w:t xml:space="preserve"> y Contreras (2017)</w:t>
      </w:r>
    </w:p>
  </w:footnote>
  <w:footnote w:id="7">
    <w:p w14:paraId="4468BC3D" w14:textId="77777777" w:rsidR="001E02ED" w:rsidRPr="006B184B" w:rsidRDefault="001E02ED" w:rsidP="001E02ED">
      <w:pPr>
        <w:pStyle w:val="FootnoteText"/>
        <w:spacing w:after="0"/>
        <w:ind w:left="270" w:hanging="270"/>
        <w:contextualSpacing/>
        <w:rPr>
          <w:sz w:val="18"/>
          <w:szCs w:val="18"/>
        </w:rPr>
      </w:pPr>
      <w:r w:rsidRPr="006B184B">
        <w:rPr>
          <w:rStyle w:val="FootnoteReference"/>
        </w:rPr>
        <w:footnoteRef/>
      </w:r>
      <w:r w:rsidRPr="001E02ED">
        <w:rPr>
          <w:sz w:val="18"/>
          <w:szCs w:val="18"/>
          <w:lang w:val="es-ES"/>
        </w:rPr>
        <w:t xml:space="preserve"> </w:t>
      </w:r>
      <w:r w:rsidRPr="001E02ED">
        <w:rPr>
          <w:sz w:val="18"/>
          <w:szCs w:val="18"/>
          <w:lang w:val="es-ES"/>
        </w:rPr>
        <w:tab/>
        <w:t xml:space="preserve">Kaufman, J., </w:t>
      </w:r>
      <w:proofErr w:type="spellStart"/>
      <w:r w:rsidRPr="001E02ED">
        <w:rPr>
          <w:sz w:val="18"/>
          <w:szCs w:val="18"/>
          <w:lang w:val="es-ES"/>
        </w:rPr>
        <w:t>Sanginés</w:t>
      </w:r>
      <w:proofErr w:type="spellEnd"/>
      <w:r w:rsidRPr="001E02ED">
        <w:rPr>
          <w:sz w:val="18"/>
          <w:szCs w:val="18"/>
          <w:lang w:val="es-ES"/>
        </w:rPr>
        <w:t xml:space="preserve"> M., and Garcia Moreno, Mario. </w:t>
      </w:r>
      <w:r w:rsidRPr="006B184B">
        <w:rPr>
          <w:sz w:val="18"/>
          <w:szCs w:val="18"/>
        </w:rPr>
        <w:t>(2015) Building effective governments: achievements and challenges for results-based public administration for Latin America and the Caribbean; Washington, D.C.: IADB.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45CDA" w14:textId="77777777" w:rsidR="00F6391D" w:rsidRDefault="00621F74">
    <w:pPr>
      <w:pStyle w:val="Header"/>
      <w:jc w:val="right"/>
      <w:rPr>
        <w:rFonts w:ascii="Arial" w:hAnsi="Arial" w:cs="Arial"/>
        <w:sz w:val="20"/>
        <w:lang w:val="es-ES_tradnl"/>
      </w:rPr>
    </w:pPr>
    <w:r>
      <w:rPr>
        <w:rFonts w:ascii="Arial" w:hAnsi="Arial" w:cs="Arial"/>
        <w:sz w:val="20"/>
        <w:lang w:val="es-ES_tradnl"/>
      </w:rPr>
      <w:t>POD – Evidencia Internacional</w:t>
    </w:r>
  </w:p>
  <w:p w14:paraId="0F0B0A5D" w14:textId="6CAEBC6F" w:rsidR="00F6391D" w:rsidRDefault="003A0115">
    <w:pPr>
      <w:pStyle w:val="Header"/>
      <w:jc w:val="right"/>
      <w:rPr>
        <w:rFonts w:ascii="Arial" w:hAnsi="Arial" w:cs="Arial"/>
        <w:sz w:val="20"/>
      </w:rPr>
    </w:pPr>
    <w:r>
      <w:rPr>
        <w:rFonts w:ascii="Arial" w:hAnsi="Arial" w:cs="Arial"/>
        <w:sz w:val="20"/>
      </w:rPr>
      <w:t>BO</w:t>
    </w:r>
    <w:r w:rsidR="00621F74">
      <w:rPr>
        <w:rFonts w:ascii="Arial" w:hAnsi="Arial" w:cs="Arial"/>
        <w:sz w:val="20"/>
      </w:rPr>
      <w:t>-L1</w:t>
    </w:r>
    <w:r>
      <w:rPr>
        <w:rFonts w:ascii="Arial" w:hAnsi="Arial" w:cs="Arial"/>
        <w:sz w:val="20"/>
      </w:rPr>
      <w:t>11</w:t>
    </w:r>
    <w:r w:rsidR="00621F74">
      <w:rPr>
        <w:rFonts w:ascii="Arial" w:hAnsi="Arial" w:cs="Arial"/>
        <w:sz w:val="20"/>
      </w:rPr>
      <w:t>1</w:t>
    </w:r>
  </w:p>
  <w:p w14:paraId="35994C4E" w14:textId="77777777" w:rsidR="00F6391D" w:rsidRDefault="00F6391D">
    <w:pPr>
      <w:pStyle w:val="Header"/>
    </w:pPr>
  </w:p>
  <w:p w14:paraId="551120DB" w14:textId="77777777" w:rsidR="00F6391D" w:rsidRDefault="00F6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9B4991"/>
    <w:multiLevelType w:val="multilevel"/>
    <w:tmpl w:val="3300036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b w:val="0"/>
        <w:sz w:val="22"/>
        <w:szCs w:val="22"/>
      </w:rPr>
    </w:lvl>
    <w:lvl w:ilvl="2">
      <w:start w:val="1"/>
      <w:numFmt w:val="lowerLetter"/>
      <w:pStyle w:val="subpar"/>
      <w:lvlText w:val="%3."/>
      <w:lvlJc w:val="left"/>
      <w:pPr>
        <w:tabs>
          <w:tab w:val="num" w:pos="2304"/>
        </w:tabs>
        <w:ind w:left="2304" w:hanging="432"/>
      </w:pPr>
      <w:rPr>
        <w:rFonts w:ascii="Arial"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569905A8"/>
    <w:multiLevelType w:val="multilevel"/>
    <w:tmpl w:val="9A46025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6066"/>
        </w:tabs>
        <w:ind w:left="6066" w:hanging="1296"/>
      </w:pPr>
      <w:rPr>
        <w:b w:val="0"/>
        <w:i w:val="0"/>
      </w:rPr>
    </w:lvl>
    <w:lvl w:ilvl="2">
      <w:start w:val="1"/>
      <w:numFmt w:val="lowerLetter"/>
      <w:lvlText w:val="%3."/>
      <w:lvlJc w:val="left"/>
      <w:pPr>
        <w:tabs>
          <w:tab w:val="num" w:pos="2304"/>
        </w:tabs>
        <w:ind w:left="2304" w:hanging="432"/>
      </w:pPr>
      <w:rPr>
        <w:b w:val="0"/>
      </w:r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391D"/>
    <w:rsid w:val="001E02ED"/>
    <w:rsid w:val="002C4F9A"/>
    <w:rsid w:val="003A0115"/>
    <w:rsid w:val="005474FE"/>
    <w:rsid w:val="00621F74"/>
    <w:rsid w:val="00D208EA"/>
    <w:rsid w:val="00F6391D"/>
    <w:rsid w:val="00FB3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C8786"/>
  <w15:chartTrackingRefBased/>
  <w15:docId w15:val="{53A539B5-41B8-47FB-A28E-5282D5D5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pPr>
      <w:keepNext/>
      <w:numPr>
        <w:numId w:val="2"/>
      </w:numPr>
      <w:tabs>
        <w:tab w:val="clear" w:pos="1800"/>
        <w:tab w:val="num" w:pos="648"/>
        <w:tab w:val="left" w:pos="1440"/>
      </w:tabs>
      <w:spacing w:before="240" w:after="240" w:line="240" w:lineRule="auto"/>
      <w:ind w:left="0"/>
      <w:jc w:val="center"/>
    </w:pPr>
    <w:rPr>
      <w:rFonts w:ascii="Arial" w:hAnsi="Arial" w:cs="Arial"/>
      <w:b/>
      <w:smallCaps/>
      <w:sz w:val="24"/>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FOOTNOTES"/>
    <w:basedOn w:val="Normal"/>
    <w:link w:val="FootnoteTextChar"/>
    <w:qFormat/>
    <w:pPr>
      <w:keepNext/>
      <w:keepLines/>
      <w:spacing w:after="120" w:line="240" w:lineRule="auto"/>
      <w:ind w:left="288" w:hanging="288"/>
      <w:jc w:val="both"/>
    </w:pPr>
    <w:rPr>
      <w:rFonts w:ascii="Arial" w:hAnsi="Arial" w:cs="Arial"/>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Pr>
      <w:rFonts w:ascii="Arial" w:hAnsi="Arial" w:cs="Arial"/>
      <w:spacing w:val="-3"/>
      <w:sz w:val="20"/>
    </w:rPr>
  </w:style>
  <w:style w:type="paragraph" w:customStyle="1" w:styleId="Paragraph">
    <w:name w:val="Paragraph"/>
    <w:aliases w:val="paragraph,p,PARAGRAPH,PG,pa,at"/>
    <w:basedOn w:val="BodyTextIndent"/>
    <w:link w:val="ParagraphChar"/>
    <w:qFormat/>
    <w:pPr>
      <w:numPr>
        <w:ilvl w:val="1"/>
        <w:numId w:val="2"/>
      </w:numPr>
      <w:tabs>
        <w:tab w:val="clear" w:pos="2448"/>
        <w:tab w:val="num" w:pos="720"/>
      </w:tabs>
      <w:spacing w:before="120" w:line="240" w:lineRule="auto"/>
      <w:ind w:left="720" w:hanging="720"/>
      <w:jc w:val="both"/>
      <w:outlineLvl w:val="1"/>
    </w:pPr>
    <w:rPr>
      <w:rFonts w:ascii="Arial" w:hAnsi="Arial" w:cs="Arial"/>
      <w:lang w:val="es-ES"/>
    </w:rPr>
  </w:style>
  <w:style w:type="paragraph" w:customStyle="1" w:styleId="subpar">
    <w:name w:val="subpar"/>
    <w:basedOn w:val="BodyTextIndent3"/>
    <w:pPr>
      <w:numPr>
        <w:ilvl w:val="2"/>
        <w:numId w:val="2"/>
      </w:numPr>
      <w:tabs>
        <w:tab w:val="clear" w:pos="2304"/>
        <w:tab w:val="num" w:pos="360"/>
        <w:tab w:val="num" w:pos="1152"/>
      </w:tabs>
      <w:spacing w:before="120" w:line="240" w:lineRule="auto"/>
      <w:ind w:left="1152" w:firstLine="0"/>
      <w:jc w:val="both"/>
      <w:outlineLvl w:val="2"/>
    </w:pPr>
    <w:rPr>
      <w:rFonts w:ascii="Arial" w:hAnsi="Arial" w:cs="Arial"/>
      <w:sz w:val="22"/>
      <w:szCs w:val="20"/>
    </w:rPr>
  </w:style>
  <w:style w:type="character" w:styleId="Hyperlink">
    <w:name w:val="Hyperlink"/>
    <w:basedOn w:val="DefaultParagraphFont"/>
    <w:uiPriority w:val="99"/>
    <w:rPr>
      <w:color w:val="0000FF"/>
      <w:u w:val="single"/>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SUPERS"/>
    <w:basedOn w:val="DefaultParagraphFont"/>
    <w:link w:val="Char2"/>
    <w:uiPriority w:val="99"/>
    <w:qFormat/>
    <w:rPr>
      <w:vertAlign w:val="superscript"/>
    </w:rPr>
  </w:style>
  <w:style w:type="character" w:customStyle="1" w:styleId="ParagraphChar">
    <w:name w:val="Paragraph Char"/>
    <w:aliases w:val="p Char,PARAGRAPH Char,PG Char,pa Char,at Char,paragraph Char"/>
    <w:basedOn w:val="DefaultParagraphFont"/>
    <w:link w:val="Paragraph"/>
    <w:rPr>
      <w:rFonts w:ascii="Arial" w:hAnsi="Arial" w:cs="Arial"/>
      <w:lang w:val="es-ES"/>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CommentReference">
    <w:name w:val="annotation reference"/>
    <w:uiPriority w:val="99"/>
    <w:rsid w:val="002C4F9A"/>
    <w:rPr>
      <w:sz w:val="16"/>
      <w:szCs w:val="16"/>
    </w:rPr>
  </w:style>
  <w:style w:type="paragraph" w:styleId="CommentText">
    <w:name w:val="annotation text"/>
    <w:basedOn w:val="Normal"/>
    <w:link w:val="CommentTextChar"/>
    <w:uiPriority w:val="99"/>
    <w:rsid w:val="002C4F9A"/>
    <w:pPr>
      <w:spacing w:after="0" w:line="240" w:lineRule="auto"/>
    </w:pPr>
    <w:rPr>
      <w:rFonts w:ascii="Times New Roman" w:eastAsia="Times New Roman" w:hAnsi="Times New Roman" w:cs="Times New Roman"/>
      <w:sz w:val="20"/>
      <w:szCs w:val="20"/>
      <w:lang w:val="es-ES_tradnl"/>
    </w:rPr>
  </w:style>
  <w:style w:type="character" w:customStyle="1" w:styleId="CommentTextChar">
    <w:name w:val="Comment Text Char"/>
    <w:basedOn w:val="DefaultParagraphFont"/>
    <w:link w:val="CommentText"/>
    <w:uiPriority w:val="99"/>
    <w:rsid w:val="002C4F9A"/>
    <w:rPr>
      <w:rFonts w:ascii="Times New Roman" w:eastAsia="Times New Roman" w:hAnsi="Times New Roman" w:cs="Times New Roman"/>
      <w:sz w:val="20"/>
      <w:szCs w:val="20"/>
      <w:lang w:val="es-ES_tradnl"/>
    </w:rPr>
  </w:style>
  <w:style w:type="paragraph" w:styleId="BalloonText">
    <w:name w:val="Balloon Text"/>
    <w:basedOn w:val="Normal"/>
    <w:link w:val="BalloonTextChar"/>
    <w:uiPriority w:val="99"/>
    <w:semiHidden/>
    <w:unhideWhenUsed/>
    <w:rsid w:val="002C4F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4F9A"/>
    <w:rPr>
      <w:rFonts w:ascii="Segoe UI" w:hAnsi="Segoe UI" w:cs="Segoe UI"/>
      <w:sz w:val="18"/>
      <w:szCs w:val="18"/>
    </w:rPr>
  </w:style>
  <w:style w:type="paragraph" w:customStyle="1" w:styleId="Char2">
    <w:name w:val="Char2"/>
    <w:basedOn w:val="Normal"/>
    <w:link w:val="FootnoteReference"/>
    <w:uiPriority w:val="99"/>
    <w:rsid w:val="005474FE"/>
    <w:pPr>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Larios, Jose I.</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34</Value>
      <Value>3</Value>
      <Value>44</Value>
      <Value>31</Value>
      <Value>45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PE-L1231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R0001327193</Record_x0020_Number>
    <_dlc_DocId xmlns="cdc7663a-08f0-4737-9e8c-148ce897a09c">EZSHARE-239516867-62</_dlc_DocId>
    <_dlc_DocIdUrl xmlns="cdc7663a-08f0-4737-9e8c-148ce897a09c">
      <Url>https://idbg.sharepoint.com/teams/EZ-PE-LON/PE-L1231/_layouts/15/DocIdRedir.aspx?ID=EZSHARE-239516867-62</Url>
      <Description>EZSHARE-239516867-62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C25F54E5A7C1C4AB202542EE5197DAC" ma:contentTypeVersion="27" ma:contentTypeDescription="A content type to manage public (operations) IDB documents" ma:contentTypeScope="" ma:versionID="7e10df52c0c87ef3c521e445b78a5189">
  <xsd:schema xmlns:xsd="http://www.w3.org/2001/XMLSchema" xmlns:xs="http://www.w3.org/2001/XMLSchema" xmlns:p="http://schemas.microsoft.com/office/2006/metadata/properties" xmlns:ns2="cdc7663a-08f0-4737-9e8c-148ce897a09c" targetNamespace="http://schemas.microsoft.com/office/2006/metadata/properties" ma:root="true" ma:fieldsID="bcea056ba81274f896f5e7327bdd1ee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FD73-425F-426E-904A-E1A86FD08B4A}">
  <ds:schemaRefs>
    <ds:schemaRef ds:uri="http://schemas.microsoft.com/sharepoint/events"/>
  </ds:schemaRefs>
</ds:datastoreItem>
</file>

<file path=customXml/itemProps2.xml><?xml version="1.0" encoding="utf-8"?>
<ds:datastoreItem xmlns:ds="http://schemas.openxmlformats.org/officeDocument/2006/customXml" ds:itemID="{C6FF1C0E-2027-4A89-8D24-F3D77570FE1B}">
  <ds:schemaRefs>
    <ds:schemaRef ds:uri="http://schemas.microsoft.com/sharepoint/v3/contenttype/forms"/>
  </ds:schemaRefs>
</ds:datastoreItem>
</file>

<file path=customXml/itemProps3.xml><?xml version="1.0" encoding="utf-8"?>
<ds:datastoreItem xmlns:ds="http://schemas.openxmlformats.org/officeDocument/2006/customXml" ds:itemID="{AD33918D-E63F-4ECC-B8BA-81697F6D3533}">
  <ds:schemaRefs>
    <ds:schemaRef ds:uri="Microsoft.SharePoint.Taxonomy.ContentTypeSync"/>
  </ds:schemaRefs>
</ds:datastoreItem>
</file>

<file path=customXml/itemProps4.xml><?xml version="1.0" encoding="utf-8"?>
<ds:datastoreItem xmlns:ds="http://schemas.openxmlformats.org/officeDocument/2006/customXml" ds:itemID="{B88AAA4F-572F-4A49-8FED-0B649B0FDDA1}">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6487BEFB-6F26-4CAF-A6D1-D9F74025D8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64CB7B9-B9EF-4355-872D-85E6BC936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309</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Rojas, Agnes</dc:creator>
  <cp:keywords/>
  <dc:description/>
  <cp:lastModifiedBy>Calvo Langdon, Ana Adela</cp:lastModifiedBy>
  <cp:revision>5</cp:revision>
  <dcterms:created xsi:type="dcterms:W3CDTF">2018-07-10T00:25:00Z</dcterms:created>
  <dcterms:modified xsi:type="dcterms:W3CDTF">2018-09-21T20:53:00Z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unction Operations IDB">
    <vt:lpwstr>3;#Monitoring and Reporting|df3c2aa1-d63e-41aa-b1f5-bb15dee691ca</vt:lpwstr>
  </property>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45;#FISCAL POLICY FOR SUSTAINABILITY AND GROWTH|6e15b5e0-ae82-4b06-920a-eef6dd27cc8b</vt:lpwstr>
  </property>
  <property fmtid="{D5CDD505-2E9C-101B-9397-08002B2CF9AE}" pid="7" name="Fund IDB">
    <vt:lpwstr>34;#ORC|c028a4b2-ad8b-4cf4-9cac-a2ae6a778e23</vt:lpwstr>
  </property>
  <property fmtid="{D5CDD505-2E9C-101B-9397-08002B2CF9AE}" pid="8" name="Country">
    <vt:lpwstr>31;#Peru|c988f60b-81f1-4c24-8da7-d5473741c5b0</vt:lpwstr>
  </property>
  <property fmtid="{D5CDD505-2E9C-101B-9397-08002B2CF9AE}" pid="9" name="Sector IDB">
    <vt:lpwstr>44;#REFORM / MODERNIZATION OF THE STATE|c8fda4a7-691a-4c65-b227-9825197b5cd2</vt:lpwstr>
  </property>
  <property fmtid="{D5CDD505-2E9C-101B-9397-08002B2CF9AE}" pid="10" name="_dlc_DocIdItemGuid">
    <vt:lpwstr>20b3df22-799e-40a5-b27d-4e881725b980</vt:lpwstr>
  </property>
  <property fmtid="{D5CDD505-2E9C-101B-9397-08002B2CF9AE}" pid="11" name="Disclosure Activity">
    <vt:lpwstr>Loan Proposal</vt:lpwstr>
  </property>
  <property fmtid="{D5CDD505-2E9C-101B-9397-08002B2CF9AE}" pid="12" name="ContentTypeId">
    <vt:lpwstr>0x0101001A458A224826124E8B45B1D613300CFC007C25F54E5A7C1C4AB202542EE5197DAC</vt:lpwstr>
  </property>
</Properties>
</file>