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95B" w:rsidRPr="003A6035" w:rsidRDefault="00EB795B" w:rsidP="00801C75">
      <w:pPr>
        <w:pStyle w:val="Title"/>
        <w:tabs>
          <w:tab w:val="clear" w:pos="1440"/>
          <w:tab w:val="clear" w:pos="3060"/>
        </w:tabs>
        <w:spacing w:after="0" w:line="240" w:lineRule="auto"/>
        <w:rPr>
          <w:rFonts w:ascii="Arial" w:eastAsia="Times New Roman" w:hAnsi="Arial" w:cs="Arial"/>
          <w:b w:val="0"/>
          <w:sz w:val="24"/>
          <w:szCs w:val="20"/>
          <w:lang w:val="es-US"/>
        </w:rPr>
      </w:pPr>
      <w:r w:rsidRPr="003A6035">
        <w:rPr>
          <w:rFonts w:ascii="Arial" w:eastAsia="Times New Roman" w:hAnsi="Arial" w:cs="Arial"/>
          <w:b w:val="0"/>
          <w:sz w:val="24"/>
          <w:szCs w:val="20"/>
          <w:lang w:val="es-US"/>
        </w:rPr>
        <w:t>Document</w:t>
      </w:r>
      <w:r w:rsidR="00564001" w:rsidRPr="003A6035">
        <w:rPr>
          <w:rFonts w:ascii="Arial" w:eastAsia="Times New Roman" w:hAnsi="Arial" w:cs="Arial"/>
          <w:b w:val="0"/>
          <w:sz w:val="24"/>
          <w:szCs w:val="20"/>
          <w:lang w:val="es-US"/>
        </w:rPr>
        <w:t>o del Banco Interamericano de Desarrollo</w:t>
      </w:r>
    </w:p>
    <w:p w:rsidR="00C520E9" w:rsidRPr="003A6035" w:rsidRDefault="00C520E9" w:rsidP="00801C75">
      <w:pPr>
        <w:pStyle w:val="Title"/>
        <w:tabs>
          <w:tab w:val="clear" w:pos="1440"/>
          <w:tab w:val="clear" w:pos="3060"/>
        </w:tabs>
        <w:spacing w:after="0" w:line="240" w:lineRule="auto"/>
        <w:rPr>
          <w:rFonts w:ascii="Arial" w:eastAsia="Times New Roman" w:hAnsi="Arial" w:cs="Arial"/>
          <w:b w:val="0"/>
          <w:sz w:val="24"/>
          <w:szCs w:val="20"/>
          <w:lang w:val="es-US"/>
        </w:rPr>
      </w:pPr>
      <w:r w:rsidRPr="003A6035">
        <w:rPr>
          <w:rFonts w:ascii="Arial" w:eastAsia="Times New Roman" w:hAnsi="Arial" w:cs="Arial"/>
          <w:b w:val="0"/>
          <w:sz w:val="24"/>
          <w:szCs w:val="20"/>
          <w:lang w:val="es-US"/>
        </w:rPr>
        <w:t>No Autorizado para Uso Público</w:t>
      </w:r>
    </w:p>
    <w:p w:rsidR="00EB795B" w:rsidRPr="003A6035" w:rsidRDefault="00EB795B" w:rsidP="00801C75">
      <w:pPr>
        <w:tabs>
          <w:tab w:val="left" w:pos="1440"/>
          <w:tab w:val="left" w:pos="3060"/>
        </w:tabs>
        <w:jc w:val="center"/>
        <w:outlineLvl w:val="0"/>
        <w:rPr>
          <w:rFonts w:ascii="Arial" w:hAnsi="Arial" w:cs="Arial"/>
          <w:sz w:val="24"/>
          <w:szCs w:val="24"/>
          <w:lang w:val="es-US"/>
        </w:rPr>
      </w:pPr>
    </w:p>
    <w:p w:rsidR="00EB795B" w:rsidRPr="003A6035" w:rsidRDefault="00EB795B" w:rsidP="00EB795B">
      <w:pPr>
        <w:tabs>
          <w:tab w:val="left" w:pos="1440"/>
          <w:tab w:val="left" w:pos="3060"/>
        </w:tabs>
        <w:jc w:val="center"/>
        <w:rPr>
          <w:rFonts w:ascii="Arial" w:hAnsi="Arial" w:cs="Arial"/>
          <w:sz w:val="24"/>
          <w:szCs w:val="24"/>
          <w:lang w:val="es-US"/>
        </w:rPr>
      </w:pPr>
    </w:p>
    <w:p w:rsidR="00EB795B" w:rsidRPr="003A6035" w:rsidRDefault="00EB795B" w:rsidP="00EB795B">
      <w:pPr>
        <w:tabs>
          <w:tab w:val="left" w:pos="1440"/>
          <w:tab w:val="left" w:pos="3060"/>
        </w:tabs>
        <w:jc w:val="center"/>
        <w:rPr>
          <w:rFonts w:ascii="Arial" w:hAnsi="Arial" w:cs="Arial"/>
          <w:sz w:val="24"/>
          <w:szCs w:val="24"/>
          <w:lang w:val="es-US"/>
        </w:rPr>
      </w:pPr>
    </w:p>
    <w:p w:rsidR="00EB795B" w:rsidRPr="003A6035" w:rsidRDefault="00915CDB" w:rsidP="00EB795B">
      <w:pPr>
        <w:tabs>
          <w:tab w:val="left" w:pos="1440"/>
          <w:tab w:val="left" w:pos="3060"/>
        </w:tabs>
        <w:jc w:val="center"/>
        <w:rPr>
          <w:rFonts w:ascii="Arial" w:hAnsi="Arial" w:cs="Arial"/>
          <w:b/>
          <w:smallCaps/>
          <w:sz w:val="28"/>
          <w:szCs w:val="28"/>
          <w:lang w:val="es-US"/>
        </w:rPr>
      </w:pPr>
      <w:r w:rsidRPr="003A6035">
        <w:rPr>
          <w:rFonts w:ascii="Arial" w:hAnsi="Arial" w:cs="Arial"/>
          <w:b/>
          <w:smallCaps/>
          <w:sz w:val="28"/>
          <w:szCs w:val="28"/>
          <w:lang w:val="es-US"/>
        </w:rPr>
        <w:t>Perú</w:t>
      </w:r>
    </w:p>
    <w:p w:rsidR="00EB795B" w:rsidRPr="003A6035" w:rsidRDefault="00EB795B" w:rsidP="00EB795B">
      <w:pPr>
        <w:tabs>
          <w:tab w:val="left" w:pos="1440"/>
          <w:tab w:val="left" w:pos="3060"/>
        </w:tabs>
        <w:jc w:val="center"/>
        <w:rPr>
          <w:rFonts w:ascii="Arial" w:hAnsi="Arial" w:cs="Arial"/>
          <w:smallCaps/>
          <w:sz w:val="24"/>
          <w:szCs w:val="24"/>
          <w:lang w:val="es-US"/>
        </w:rPr>
      </w:pPr>
    </w:p>
    <w:p w:rsidR="00EB795B" w:rsidRPr="003A6035" w:rsidRDefault="00EB795B" w:rsidP="00EB795B">
      <w:pPr>
        <w:tabs>
          <w:tab w:val="left" w:pos="1440"/>
          <w:tab w:val="left" w:pos="3060"/>
        </w:tabs>
        <w:jc w:val="center"/>
        <w:rPr>
          <w:rFonts w:ascii="Arial" w:hAnsi="Arial" w:cs="Arial"/>
          <w:smallCaps/>
          <w:sz w:val="24"/>
          <w:szCs w:val="24"/>
          <w:lang w:val="es-US"/>
        </w:rPr>
      </w:pPr>
    </w:p>
    <w:p w:rsidR="00EB795B" w:rsidRPr="003A6035" w:rsidRDefault="00EB795B" w:rsidP="00EB795B">
      <w:pPr>
        <w:tabs>
          <w:tab w:val="left" w:pos="1440"/>
          <w:tab w:val="left" w:pos="3060"/>
        </w:tabs>
        <w:jc w:val="center"/>
        <w:rPr>
          <w:rFonts w:ascii="Arial" w:hAnsi="Arial" w:cs="Arial"/>
          <w:smallCaps/>
          <w:sz w:val="24"/>
          <w:szCs w:val="24"/>
          <w:lang w:val="es-US"/>
        </w:rPr>
      </w:pPr>
    </w:p>
    <w:p w:rsidR="00EB795B" w:rsidRPr="003A6035" w:rsidRDefault="00EB795B" w:rsidP="00EB795B">
      <w:pPr>
        <w:tabs>
          <w:tab w:val="left" w:pos="1440"/>
          <w:tab w:val="left" w:pos="3060"/>
        </w:tabs>
        <w:jc w:val="center"/>
        <w:rPr>
          <w:rFonts w:ascii="Arial" w:hAnsi="Arial" w:cs="Arial"/>
          <w:smallCaps/>
          <w:sz w:val="24"/>
          <w:szCs w:val="24"/>
          <w:lang w:val="es-US"/>
        </w:rPr>
      </w:pPr>
    </w:p>
    <w:p w:rsidR="00EB795B" w:rsidRPr="003A6035" w:rsidRDefault="00EB795B" w:rsidP="00EB795B">
      <w:pPr>
        <w:tabs>
          <w:tab w:val="left" w:pos="1440"/>
          <w:tab w:val="left" w:pos="3060"/>
        </w:tabs>
        <w:jc w:val="center"/>
        <w:rPr>
          <w:rFonts w:ascii="Arial" w:hAnsi="Arial" w:cs="Arial"/>
          <w:smallCaps/>
          <w:sz w:val="24"/>
          <w:szCs w:val="24"/>
          <w:lang w:val="es-US"/>
        </w:rPr>
      </w:pPr>
    </w:p>
    <w:p w:rsidR="00EB795B" w:rsidRPr="003A6035" w:rsidRDefault="0042635F" w:rsidP="00EB795B">
      <w:pPr>
        <w:tabs>
          <w:tab w:val="left" w:pos="1440"/>
          <w:tab w:val="left" w:pos="3060"/>
        </w:tabs>
        <w:jc w:val="center"/>
        <w:rPr>
          <w:rFonts w:ascii="Arial" w:hAnsi="Arial" w:cs="Arial"/>
          <w:b/>
          <w:smallCaps/>
          <w:sz w:val="28"/>
          <w:szCs w:val="28"/>
          <w:lang w:val="es-ES_tradnl"/>
        </w:rPr>
      </w:pPr>
      <w:r w:rsidRPr="003A6035">
        <w:rPr>
          <w:rFonts w:ascii="Arial" w:hAnsi="Arial" w:cs="Arial"/>
          <w:b/>
          <w:smallCaps/>
          <w:sz w:val="28"/>
          <w:szCs w:val="28"/>
          <w:lang w:val="es-ES_tradnl"/>
        </w:rPr>
        <w:t>Proyecto</w:t>
      </w:r>
    </w:p>
    <w:p w:rsidR="00EB795B" w:rsidRPr="003A6035" w:rsidRDefault="0042635F" w:rsidP="00EB795B">
      <w:pPr>
        <w:tabs>
          <w:tab w:val="left" w:pos="1440"/>
          <w:tab w:val="left" w:pos="3060"/>
        </w:tabs>
        <w:jc w:val="center"/>
        <w:rPr>
          <w:rFonts w:ascii="Arial" w:hAnsi="Arial" w:cs="Arial"/>
          <w:smallCaps/>
          <w:sz w:val="24"/>
          <w:szCs w:val="24"/>
          <w:lang w:val="es-US"/>
        </w:rPr>
      </w:pPr>
      <w:r w:rsidRPr="003A6035">
        <w:rPr>
          <w:rFonts w:ascii="Arial" w:hAnsi="Arial" w:cs="Arial"/>
          <w:b/>
          <w:smallCaps/>
          <w:sz w:val="28"/>
          <w:szCs w:val="28"/>
          <w:lang w:val="es-ES_tradnl"/>
        </w:rPr>
        <w:t>Mejoramiento de los Servicios de Facilitación del Comercio Exterior a través de la Ventanilla Única del Comercio Exterior (VUCE). Segunda Etapa – San Isidro - Lima</w:t>
      </w:r>
      <w:r w:rsidRPr="003A6035" w:rsidDel="0042635F">
        <w:rPr>
          <w:rFonts w:ascii="Arial" w:hAnsi="Arial" w:cs="Arial"/>
          <w:b/>
          <w:smallCaps/>
          <w:sz w:val="28"/>
          <w:szCs w:val="28"/>
          <w:lang w:val="es-ES_tradnl"/>
        </w:rPr>
        <w:t xml:space="preserve"> </w:t>
      </w:r>
      <w:r w:rsidR="003A6035" w:rsidRPr="003A6035">
        <w:rPr>
          <w:rFonts w:ascii="Arial" w:hAnsi="Arial" w:cs="Arial"/>
          <w:b/>
          <w:smallCaps/>
          <w:sz w:val="28"/>
          <w:szCs w:val="28"/>
          <w:lang w:val="es-ES_tradnl"/>
        </w:rPr>
        <w:t xml:space="preserve"> - Lima </w:t>
      </w:r>
      <w:r w:rsidR="00EB65B8" w:rsidRPr="003A6035">
        <w:rPr>
          <w:rFonts w:ascii="Arial" w:hAnsi="Arial" w:cs="Arial"/>
          <w:b/>
          <w:smallCaps/>
          <w:sz w:val="28"/>
          <w:szCs w:val="28"/>
          <w:lang w:val="es-ES_tradnl"/>
        </w:rPr>
        <w:t>Proyecto</w:t>
      </w:r>
    </w:p>
    <w:p w:rsidR="00EB795B" w:rsidRPr="003A6035" w:rsidRDefault="00EB795B" w:rsidP="00EB795B">
      <w:pPr>
        <w:tabs>
          <w:tab w:val="left" w:pos="1440"/>
          <w:tab w:val="left" w:pos="3060"/>
        </w:tabs>
        <w:jc w:val="center"/>
        <w:rPr>
          <w:rFonts w:ascii="Arial" w:hAnsi="Arial" w:cs="Arial"/>
          <w:b/>
          <w:smallCaps/>
          <w:sz w:val="28"/>
          <w:szCs w:val="28"/>
          <w:lang w:val="es-US"/>
        </w:rPr>
      </w:pPr>
      <w:r w:rsidRPr="003A6035">
        <w:rPr>
          <w:rFonts w:ascii="Arial" w:hAnsi="Arial" w:cs="Arial"/>
          <w:b/>
          <w:smallCaps/>
          <w:sz w:val="28"/>
          <w:szCs w:val="28"/>
          <w:lang w:val="es-US"/>
        </w:rPr>
        <w:t>(</w:t>
      </w:r>
      <w:r w:rsidR="00915CDB" w:rsidRPr="003A6035">
        <w:rPr>
          <w:rFonts w:ascii="Arial" w:hAnsi="Arial" w:cs="Arial"/>
          <w:b/>
          <w:smallCaps/>
          <w:sz w:val="28"/>
          <w:szCs w:val="28"/>
          <w:lang w:val="es-US"/>
        </w:rPr>
        <w:t>P</w:t>
      </w:r>
      <w:r w:rsidR="00AA6BA9" w:rsidRPr="003A6035">
        <w:rPr>
          <w:rFonts w:ascii="Arial" w:hAnsi="Arial" w:cs="Arial"/>
          <w:b/>
          <w:smallCaps/>
          <w:sz w:val="28"/>
          <w:szCs w:val="28"/>
          <w:lang w:val="es-US"/>
        </w:rPr>
        <w:t>E</w:t>
      </w:r>
      <w:r w:rsidRPr="003A6035">
        <w:rPr>
          <w:rFonts w:ascii="Arial" w:hAnsi="Arial" w:cs="Arial"/>
          <w:b/>
          <w:smallCaps/>
          <w:sz w:val="28"/>
          <w:szCs w:val="28"/>
          <w:lang w:val="es-US"/>
        </w:rPr>
        <w:t>-L1</w:t>
      </w:r>
      <w:r w:rsidR="00EA0C75" w:rsidRPr="003A6035">
        <w:rPr>
          <w:rFonts w:ascii="Arial" w:hAnsi="Arial" w:cs="Arial"/>
          <w:b/>
          <w:smallCaps/>
          <w:sz w:val="28"/>
          <w:szCs w:val="28"/>
          <w:lang w:val="es-US"/>
        </w:rPr>
        <w:t>1</w:t>
      </w:r>
      <w:r w:rsidR="00915CDB" w:rsidRPr="003A6035">
        <w:rPr>
          <w:rFonts w:ascii="Arial" w:hAnsi="Arial" w:cs="Arial"/>
          <w:b/>
          <w:smallCaps/>
          <w:sz w:val="28"/>
          <w:szCs w:val="28"/>
          <w:lang w:val="es-US"/>
        </w:rPr>
        <w:t>59</w:t>
      </w:r>
      <w:r w:rsidRPr="003A6035">
        <w:rPr>
          <w:rFonts w:ascii="Arial" w:hAnsi="Arial" w:cs="Arial"/>
          <w:b/>
          <w:smallCaps/>
          <w:sz w:val="28"/>
          <w:szCs w:val="28"/>
          <w:lang w:val="es-US"/>
        </w:rPr>
        <w:t>)</w:t>
      </w:r>
    </w:p>
    <w:p w:rsidR="00EB795B" w:rsidRPr="003A6035" w:rsidRDefault="00EB795B" w:rsidP="00EB795B">
      <w:pPr>
        <w:pStyle w:val="Newpage"/>
        <w:rPr>
          <w:rFonts w:ascii="Arial" w:hAnsi="Arial"/>
          <w:szCs w:val="24"/>
          <w:lang w:val="es-US"/>
        </w:rPr>
      </w:pPr>
    </w:p>
    <w:p w:rsidR="00EB795B" w:rsidRPr="003A6035" w:rsidRDefault="00EB795B" w:rsidP="00EB795B">
      <w:pPr>
        <w:tabs>
          <w:tab w:val="left" w:pos="1440"/>
          <w:tab w:val="left" w:pos="3060"/>
        </w:tabs>
        <w:jc w:val="center"/>
        <w:rPr>
          <w:rFonts w:ascii="Arial" w:hAnsi="Arial" w:cs="Arial"/>
          <w:smallCaps/>
          <w:sz w:val="24"/>
          <w:szCs w:val="24"/>
          <w:lang w:val="es-US"/>
        </w:rPr>
      </w:pPr>
    </w:p>
    <w:p w:rsidR="00EB795B" w:rsidRPr="003A6035" w:rsidRDefault="00EB795B" w:rsidP="00EB795B">
      <w:pPr>
        <w:tabs>
          <w:tab w:val="left" w:pos="1440"/>
          <w:tab w:val="left" w:pos="3060"/>
        </w:tabs>
        <w:jc w:val="center"/>
        <w:rPr>
          <w:rFonts w:ascii="Arial" w:hAnsi="Arial" w:cs="Arial"/>
          <w:smallCaps/>
          <w:sz w:val="24"/>
          <w:szCs w:val="24"/>
          <w:lang w:val="es-US"/>
        </w:rPr>
      </w:pPr>
    </w:p>
    <w:p w:rsidR="00EB795B" w:rsidRPr="003A6035" w:rsidRDefault="00EB795B" w:rsidP="00EB795B">
      <w:pPr>
        <w:tabs>
          <w:tab w:val="left" w:pos="1440"/>
          <w:tab w:val="left" w:pos="3060"/>
        </w:tabs>
        <w:jc w:val="center"/>
        <w:outlineLvl w:val="0"/>
        <w:rPr>
          <w:rFonts w:ascii="Arial" w:hAnsi="Arial" w:cs="Arial"/>
          <w:b/>
          <w:smallCaps/>
          <w:sz w:val="28"/>
          <w:szCs w:val="28"/>
          <w:lang w:val="es-US"/>
        </w:rPr>
      </w:pPr>
      <w:r w:rsidRPr="003A6035">
        <w:rPr>
          <w:rFonts w:ascii="Arial" w:hAnsi="Arial" w:cs="Arial"/>
          <w:b/>
          <w:smallCaps/>
          <w:sz w:val="28"/>
          <w:szCs w:val="28"/>
          <w:lang w:val="es-US"/>
        </w:rPr>
        <w:t>Análisis Económico</w:t>
      </w:r>
    </w:p>
    <w:p w:rsidR="00EB795B" w:rsidRPr="003A6035" w:rsidRDefault="00EB795B" w:rsidP="00EB795B">
      <w:pPr>
        <w:tabs>
          <w:tab w:val="left" w:pos="1440"/>
          <w:tab w:val="left" w:pos="3060"/>
        </w:tabs>
        <w:jc w:val="center"/>
        <w:rPr>
          <w:rFonts w:ascii="Arial" w:hAnsi="Arial" w:cs="Arial"/>
          <w:sz w:val="24"/>
          <w:szCs w:val="24"/>
          <w:lang w:val="es-US"/>
        </w:rPr>
      </w:pPr>
    </w:p>
    <w:p w:rsidR="00EB795B" w:rsidRPr="003A6035" w:rsidRDefault="00EB795B" w:rsidP="00EB795B">
      <w:pPr>
        <w:tabs>
          <w:tab w:val="left" w:pos="1440"/>
          <w:tab w:val="left" w:pos="3060"/>
        </w:tabs>
        <w:jc w:val="center"/>
        <w:rPr>
          <w:rFonts w:ascii="Arial" w:hAnsi="Arial" w:cs="Arial"/>
          <w:lang w:val="es-US"/>
        </w:rPr>
      </w:pPr>
    </w:p>
    <w:p w:rsidR="00EB795B" w:rsidRPr="003A6035" w:rsidRDefault="00EB795B" w:rsidP="00EB795B">
      <w:pPr>
        <w:tabs>
          <w:tab w:val="left" w:pos="1440"/>
          <w:tab w:val="left" w:pos="3060"/>
        </w:tabs>
        <w:jc w:val="center"/>
        <w:rPr>
          <w:rFonts w:ascii="Arial" w:hAnsi="Arial" w:cs="Arial"/>
          <w:lang w:val="es-US"/>
        </w:rPr>
      </w:pPr>
    </w:p>
    <w:p w:rsidR="00EB795B" w:rsidRPr="003A6035" w:rsidRDefault="00EB795B" w:rsidP="00EB795B">
      <w:pPr>
        <w:tabs>
          <w:tab w:val="left" w:pos="1440"/>
          <w:tab w:val="left" w:pos="3060"/>
        </w:tabs>
        <w:jc w:val="center"/>
        <w:rPr>
          <w:rFonts w:ascii="Arial" w:hAnsi="Arial" w:cs="Arial"/>
          <w:lang w:val="es-US"/>
        </w:rPr>
      </w:pPr>
    </w:p>
    <w:p w:rsidR="00EB795B" w:rsidRPr="003A6035" w:rsidRDefault="00EB795B" w:rsidP="00EB795B">
      <w:pPr>
        <w:tabs>
          <w:tab w:val="left" w:pos="1440"/>
          <w:tab w:val="left" w:pos="3060"/>
        </w:tabs>
        <w:outlineLvl w:val="0"/>
        <w:rPr>
          <w:rFonts w:ascii="Arial" w:hAnsi="Arial" w:cs="Arial"/>
          <w:lang w:val="es-US"/>
        </w:rPr>
      </w:pPr>
    </w:p>
    <w:p w:rsidR="00EB795B" w:rsidRPr="003A6035" w:rsidRDefault="00EB795B" w:rsidP="00EB795B">
      <w:pPr>
        <w:pStyle w:val="Annex"/>
        <w:tabs>
          <w:tab w:val="left" w:pos="1440"/>
          <w:tab w:val="left" w:pos="3060"/>
        </w:tabs>
        <w:outlineLvl w:val="0"/>
        <w:rPr>
          <w:rFonts w:ascii="Arial" w:hAnsi="Arial" w:cs="Arial"/>
          <w:caps w:val="0"/>
          <w:lang w:val="es-US"/>
        </w:rPr>
        <w:sectPr w:rsidR="00EB795B" w:rsidRPr="003A6035" w:rsidSect="00EB795B">
          <w:headerReference w:type="even" r:id="rId9"/>
          <w:headerReference w:type="default" r:id="rId10"/>
          <w:footerReference w:type="even" r:id="rId11"/>
          <w:footerReference w:type="default" r:id="rId12"/>
          <w:pgSz w:w="12240" w:h="15840" w:code="1"/>
          <w:pgMar w:top="1440" w:right="1800" w:bottom="1440" w:left="1800" w:header="706" w:footer="706" w:gutter="0"/>
          <w:pgNumType w:fmt="lowerRoman" w:start="1"/>
          <w:cols w:space="720"/>
          <w:formProt w:val="0"/>
          <w:titlePg/>
        </w:sectPr>
      </w:pPr>
    </w:p>
    <w:p w:rsidR="00DD527B" w:rsidRPr="00001959" w:rsidRDefault="00917316" w:rsidP="00001959">
      <w:pPr>
        <w:pStyle w:val="Heading1"/>
        <w:rPr>
          <w:rFonts w:ascii="Times New Roman" w:hAnsi="Times New Roman"/>
          <w:sz w:val="26"/>
        </w:rPr>
      </w:pPr>
      <w:r w:rsidRPr="003A6035">
        <w:rPr>
          <w:rFonts w:ascii="Arial" w:hAnsi="Arial" w:cs="Arial"/>
          <w:sz w:val="30"/>
        </w:rPr>
        <w:lastRenderedPageBreak/>
        <w:t xml:space="preserve">Análisis Costo-Beneficio del </w:t>
      </w:r>
      <w:r w:rsidR="00EB65B8" w:rsidRPr="003A6035">
        <w:rPr>
          <w:rFonts w:ascii="Arial" w:hAnsi="Arial" w:cs="Arial"/>
          <w:sz w:val="30"/>
        </w:rPr>
        <w:t>Pro</w:t>
      </w:r>
      <w:r w:rsidR="00EB65B8">
        <w:rPr>
          <w:rFonts w:ascii="Times New Roman" w:hAnsi="Times New Roman"/>
          <w:sz w:val="30"/>
        </w:rPr>
        <w:t>yecto</w:t>
      </w:r>
      <w:r w:rsidRPr="00001959">
        <w:rPr>
          <w:rFonts w:ascii="Times New Roman" w:hAnsi="Times New Roman"/>
          <w:sz w:val="30"/>
        </w:rPr>
        <w:t xml:space="preserve">  </w:t>
      </w:r>
      <w:r w:rsidRPr="00001959">
        <w:rPr>
          <w:rFonts w:ascii="Times New Roman" w:hAnsi="Times New Roman"/>
          <w:sz w:val="30"/>
        </w:rPr>
        <w:br/>
        <w:t xml:space="preserve">Informe </w:t>
      </w:r>
      <w:r w:rsidR="00997320" w:rsidRPr="00001959">
        <w:rPr>
          <w:rFonts w:ascii="Times New Roman" w:hAnsi="Times New Roman"/>
          <w:sz w:val="30"/>
        </w:rPr>
        <w:t>Final</w:t>
      </w:r>
    </w:p>
    <w:p w:rsidR="00EB795B" w:rsidRPr="003F062D" w:rsidRDefault="00EB795B" w:rsidP="002E3FBA">
      <w:pPr>
        <w:pStyle w:val="FirstHeading"/>
        <w:rPr>
          <w:lang w:val="es-US"/>
        </w:rPr>
      </w:pPr>
      <w:bookmarkStart w:id="0" w:name="_Toc390168920"/>
      <w:r w:rsidRPr="003F062D">
        <w:rPr>
          <w:lang w:val="es-US"/>
        </w:rPr>
        <w:t>I.</w:t>
      </w:r>
      <w:r w:rsidRPr="003F062D">
        <w:rPr>
          <w:lang w:val="es-US"/>
        </w:rPr>
        <w:tab/>
      </w:r>
      <w:bookmarkEnd w:id="0"/>
      <w:r w:rsidR="009574FA">
        <w:rPr>
          <w:lang w:val="es-US"/>
        </w:rPr>
        <w:t>Resumen ejecutivo</w:t>
      </w:r>
    </w:p>
    <w:p w:rsidR="00CB75F0" w:rsidRDefault="00CB75F0" w:rsidP="00CB75F0">
      <w:pPr>
        <w:pStyle w:val="Paragraph"/>
        <w:rPr>
          <w:lang w:val="es-CL"/>
        </w:rPr>
      </w:pPr>
      <w:r w:rsidRPr="00BF35C5">
        <w:rPr>
          <w:lang w:val="es-CL"/>
        </w:rPr>
        <w:t xml:space="preserve">El objetivo de este informe es evaluar </w:t>
      </w:r>
      <w:r w:rsidRPr="00FB21C5">
        <w:rPr>
          <w:i/>
          <w:lang w:val="es-CL"/>
        </w:rPr>
        <w:t>preliminarmente</w:t>
      </w:r>
      <w:r>
        <w:rPr>
          <w:lang w:val="es-CL"/>
        </w:rPr>
        <w:t xml:space="preserve"> </w:t>
      </w:r>
      <w:r w:rsidRPr="00BF35C5">
        <w:rPr>
          <w:lang w:val="es-CL"/>
        </w:rPr>
        <w:t>e</w:t>
      </w:r>
      <w:r w:rsidR="00422D55">
        <w:rPr>
          <w:lang w:val="es-CL"/>
        </w:rPr>
        <w:t xml:space="preserve">l impacto económico potencial del </w:t>
      </w:r>
      <w:r w:rsidR="00AA6BA9">
        <w:rPr>
          <w:lang w:val="es-CL"/>
        </w:rPr>
        <w:t xml:space="preserve"> “</w:t>
      </w:r>
      <w:r w:rsidR="00973A79">
        <w:rPr>
          <w:lang w:val="es-CL"/>
        </w:rPr>
        <w:t xml:space="preserve">Proyecto </w:t>
      </w:r>
      <w:r w:rsidR="00AA6BA9">
        <w:rPr>
          <w:lang w:val="es-CL"/>
        </w:rPr>
        <w:t xml:space="preserve">para el </w:t>
      </w:r>
      <w:r w:rsidR="00973A79" w:rsidRPr="003A6035">
        <w:rPr>
          <w:lang w:val="es-CL"/>
        </w:rPr>
        <w:t>Mejoramiento de los Servicios de Facilitación del Comercio Exterior a través de la Ventanilla Única del Comercio Exterior (VUCE). Segunda Etapa – San Isidro - Lima</w:t>
      </w:r>
      <w:r w:rsidR="00AA6BA9">
        <w:rPr>
          <w:lang w:val="es-CL"/>
        </w:rPr>
        <w:t>”</w:t>
      </w:r>
      <w:r w:rsidRPr="00BF35C5">
        <w:rPr>
          <w:lang w:val="es-CL"/>
        </w:rPr>
        <w:t xml:space="preserve">. Para esto, se </w:t>
      </w:r>
      <w:r>
        <w:rPr>
          <w:lang w:val="es-CL"/>
        </w:rPr>
        <w:t>comparó, a través de</w:t>
      </w:r>
      <w:r w:rsidRPr="00BF35C5">
        <w:rPr>
          <w:lang w:val="es-CL"/>
        </w:rPr>
        <w:t xml:space="preserve"> un análisis ex-ante</w:t>
      </w:r>
      <w:r>
        <w:rPr>
          <w:lang w:val="es-CL"/>
        </w:rPr>
        <w:t>,</w:t>
      </w:r>
      <w:r w:rsidRPr="00BF35C5">
        <w:rPr>
          <w:lang w:val="es-CL"/>
        </w:rPr>
        <w:t xml:space="preserve"> los potenciales beneficios y costos asociados a</w:t>
      </w:r>
      <w:r w:rsidR="00040B36">
        <w:rPr>
          <w:lang w:val="es-CL"/>
        </w:rPr>
        <w:t xml:space="preserve">l </w:t>
      </w:r>
      <w:r w:rsidR="00EB65B8">
        <w:rPr>
          <w:lang w:val="es-CL"/>
        </w:rPr>
        <w:t>Proyecto</w:t>
      </w:r>
      <w:r w:rsidRPr="00BF35C5">
        <w:rPr>
          <w:lang w:val="es-CL"/>
        </w:rPr>
        <w:t xml:space="preserve">. </w:t>
      </w:r>
    </w:p>
    <w:p w:rsidR="00422D55" w:rsidRPr="00985871" w:rsidRDefault="00422D55" w:rsidP="00422D55">
      <w:pPr>
        <w:pStyle w:val="Paragraph"/>
        <w:rPr>
          <w:lang w:val="es-CL"/>
        </w:rPr>
      </w:pPr>
      <w:r w:rsidRPr="000710E0">
        <w:rPr>
          <w:lang w:val="es-CL"/>
        </w:rPr>
        <w:t xml:space="preserve">Realizando supuestos sobre el impacto del </w:t>
      </w:r>
      <w:r w:rsidR="00EB65B8">
        <w:rPr>
          <w:lang w:val="es-CL"/>
        </w:rPr>
        <w:t>Proyecto</w:t>
      </w:r>
      <w:r w:rsidRPr="000710E0">
        <w:rPr>
          <w:lang w:val="es-CL"/>
        </w:rPr>
        <w:t xml:space="preserve"> en </w:t>
      </w:r>
      <w:r>
        <w:rPr>
          <w:lang w:val="es-CL"/>
        </w:rPr>
        <w:t>la reducción de</w:t>
      </w:r>
      <w:r w:rsidR="00981178">
        <w:rPr>
          <w:lang w:val="es-CL"/>
        </w:rPr>
        <w:t>:</w:t>
      </w:r>
      <w:r w:rsidRPr="000710E0">
        <w:rPr>
          <w:lang w:val="es-CL"/>
        </w:rPr>
        <w:t xml:space="preserve"> (1)</w:t>
      </w:r>
      <w:r>
        <w:rPr>
          <w:lang w:val="es-CL"/>
        </w:rPr>
        <w:t xml:space="preserve"> días de tramitación de exportaciones e importaciones que </w:t>
      </w:r>
      <w:r w:rsidR="0047450D">
        <w:rPr>
          <w:lang w:val="es-CL"/>
        </w:rPr>
        <w:t>utilizan</w:t>
      </w:r>
      <w:r>
        <w:rPr>
          <w:lang w:val="es-CL"/>
        </w:rPr>
        <w:t xml:space="preserve"> la VUCE</w:t>
      </w:r>
      <w:r w:rsidRPr="000710E0">
        <w:rPr>
          <w:lang w:val="es-CL"/>
        </w:rPr>
        <w:t xml:space="preserve">, y (2) </w:t>
      </w:r>
      <w:r>
        <w:rPr>
          <w:lang w:val="es-CL"/>
        </w:rPr>
        <w:t xml:space="preserve">costo de </w:t>
      </w:r>
      <w:r w:rsidR="00F67487">
        <w:rPr>
          <w:lang w:val="es-CL"/>
        </w:rPr>
        <w:t>coordinación</w:t>
      </w:r>
      <w:r>
        <w:rPr>
          <w:lang w:val="es-CL"/>
        </w:rPr>
        <w:t xml:space="preserve"> </w:t>
      </w:r>
      <w:r w:rsidR="00F67487">
        <w:rPr>
          <w:lang w:val="es-CL"/>
        </w:rPr>
        <w:t xml:space="preserve">portuaria </w:t>
      </w:r>
      <w:r>
        <w:rPr>
          <w:lang w:val="es-CL"/>
        </w:rPr>
        <w:t xml:space="preserve">del </w:t>
      </w:r>
      <w:r w:rsidRPr="00C113D7">
        <w:rPr>
          <w:sz w:val="22"/>
          <w:szCs w:val="22"/>
          <w:lang w:val="es-CL"/>
        </w:rPr>
        <w:t>Callao</w:t>
      </w:r>
      <w:r w:rsidR="00C113D7" w:rsidRPr="00C113D7">
        <w:rPr>
          <w:sz w:val="22"/>
          <w:szCs w:val="22"/>
          <w:lang w:val="es-CL"/>
        </w:rPr>
        <w:t xml:space="preserve"> </w:t>
      </w:r>
      <w:r w:rsidR="00C113D7" w:rsidRPr="00C113D7">
        <w:rPr>
          <w:rFonts w:eastAsia="Arial"/>
          <w:sz w:val="22"/>
          <w:szCs w:val="22"/>
          <w:lang w:val="es-ES_tradnl"/>
        </w:rPr>
        <w:t>(Provincia Constitucional del Callao)</w:t>
      </w:r>
      <w:r w:rsidRPr="00C113D7">
        <w:rPr>
          <w:sz w:val="22"/>
          <w:szCs w:val="22"/>
          <w:lang w:val="es-CL"/>
        </w:rPr>
        <w:t>,</w:t>
      </w:r>
      <w:r w:rsidRPr="000710E0">
        <w:rPr>
          <w:lang w:val="es-CL"/>
        </w:rPr>
        <w:t xml:space="preserve"> se concluye que el valor actualiz</w:t>
      </w:r>
      <w:r>
        <w:rPr>
          <w:lang w:val="es-CL"/>
        </w:rPr>
        <w:t xml:space="preserve">ado neto (VAN) de este </w:t>
      </w:r>
      <w:r w:rsidR="00EB65B8">
        <w:rPr>
          <w:lang w:val="es-CL"/>
        </w:rPr>
        <w:t>Proyecto</w:t>
      </w:r>
      <w:r w:rsidRPr="000710E0">
        <w:rPr>
          <w:lang w:val="es-CL"/>
        </w:rPr>
        <w:t xml:space="preserve"> </w:t>
      </w:r>
      <w:r>
        <w:rPr>
          <w:lang w:val="es-CL"/>
        </w:rPr>
        <w:t xml:space="preserve">sería de </w:t>
      </w:r>
      <w:r w:rsidR="0087103A">
        <w:rPr>
          <w:lang w:val="es-CL"/>
        </w:rPr>
        <w:t>35</w:t>
      </w:r>
      <w:r w:rsidR="00F67487">
        <w:rPr>
          <w:lang w:val="es-CL"/>
        </w:rPr>
        <w:t>.</w:t>
      </w:r>
      <w:r w:rsidR="0087103A">
        <w:rPr>
          <w:lang w:val="es-CL"/>
        </w:rPr>
        <w:t>7</w:t>
      </w:r>
      <w:r w:rsidRPr="00985871">
        <w:rPr>
          <w:lang w:val="es-CL"/>
        </w:rPr>
        <w:t xml:space="preserve"> MM USD; con una tasa interna de retorno (TIR) </w:t>
      </w:r>
      <w:r>
        <w:rPr>
          <w:lang w:val="es-CL"/>
        </w:rPr>
        <w:t xml:space="preserve">de </w:t>
      </w:r>
      <w:r w:rsidR="0020371E">
        <w:rPr>
          <w:lang w:val="es-CL"/>
        </w:rPr>
        <w:t>2</w:t>
      </w:r>
      <w:r w:rsidR="0087103A">
        <w:rPr>
          <w:lang w:val="es-CL"/>
        </w:rPr>
        <w:t>8</w:t>
      </w:r>
      <w:r>
        <w:rPr>
          <w:lang w:val="es-CL"/>
        </w:rPr>
        <w:t>%; para su escenario base</w:t>
      </w:r>
      <w:r w:rsidRPr="00985871">
        <w:rPr>
          <w:lang w:val="es-CL"/>
        </w:rPr>
        <w:t>.</w:t>
      </w:r>
    </w:p>
    <w:p w:rsidR="00CB75F0" w:rsidRDefault="006B1806" w:rsidP="0047450D">
      <w:pPr>
        <w:pStyle w:val="Paragraph"/>
        <w:rPr>
          <w:lang w:val="es-US"/>
        </w:rPr>
      </w:pPr>
      <w:r>
        <w:rPr>
          <w:lang w:val="es-US"/>
        </w:rPr>
        <w:t>Los supuestos de</w:t>
      </w:r>
      <w:r w:rsidR="00482121">
        <w:rPr>
          <w:lang w:val="es-US"/>
        </w:rPr>
        <w:t xml:space="preserve"> número de días ahorrados en tramitación de exportaciones o importaciones, y al </w:t>
      </w:r>
      <w:r w:rsidR="0086447C">
        <w:rPr>
          <w:lang w:val="es-US"/>
        </w:rPr>
        <w:t>costo de coordinación por contenedor</w:t>
      </w:r>
      <w:r w:rsidR="00482121">
        <w:rPr>
          <w:lang w:val="es-US"/>
        </w:rPr>
        <w:t xml:space="preserve"> que se ahorraría producto de la implementación de VUCE 2.0 son variables clave para la viabilidad del </w:t>
      </w:r>
      <w:r w:rsidR="00EB65B8">
        <w:rPr>
          <w:lang w:val="es-US"/>
        </w:rPr>
        <w:t>Proyecto</w:t>
      </w:r>
      <w:r w:rsidR="00482121">
        <w:rPr>
          <w:lang w:val="es-US"/>
        </w:rPr>
        <w:t xml:space="preserve">. </w:t>
      </w:r>
      <w:r w:rsidR="00742878">
        <w:rPr>
          <w:lang w:val="es-US"/>
        </w:rPr>
        <w:t xml:space="preserve">Por sí solo, un ahorro de </w:t>
      </w:r>
      <w:r w:rsidR="0020371E">
        <w:rPr>
          <w:lang w:val="es-US"/>
        </w:rPr>
        <w:t>2.37</w:t>
      </w:r>
      <w:r w:rsidR="00742878">
        <w:rPr>
          <w:lang w:val="es-US"/>
        </w:rPr>
        <w:t xml:space="preserve"> días </w:t>
      </w:r>
      <w:proofErr w:type="spellStart"/>
      <w:r w:rsidR="00742878">
        <w:rPr>
          <w:lang w:val="es-US"/>
        </w:rPr>
        <w:t>ó</w:t>
      </w:r>
      <w:proofErr w:type="spellEnd"/>
      <w:r w:rsidR="00742878">
        <w:rPr>
          <w:lang w:val="es-US"/>
        </w:rPr>
        <w:t xml:space="preserve"> </w:t>
      </w:r>
      <w:r w:rsidR="0087103A">
        <w:rPr>
          <w:lang w:val="es-US"/>
        </w:rPr>
        <w:t>10</w:t>
      </w:r>
      <w:r w:rsidR="00710C66">
        <w:rPr>
          <w:lang w:val="es-US"/>
        </w:rPr>
        <w:t>.</w:t>
      </w:r>
      <w:r w:rsidR="0087103A">
        <w:rPr>
          <w:lang w:val="es-US"/>
        </w:rPr>
        <w:t>2</w:t>
      </w:r>
      <w:r w:rsidR="0086447C">
        <w:rPr>
          <w:lang w:val="es-US"/>
        </w:rPr>
        <w:t xml:space="preserve"> USD</w:t>
      </w:r>
      <w:r w:rsidR="00742878">
        <w:rPr>
          <w:lang w:val="es-US"/>
        </w:rPr>
        <w:t xml:space="preserve"> </w:t>
      </w:r>
      <w:r w:rsidR="0086447C">
        <w:rPr>
          <w:lang w:val="es-US"/>
        </w:rPr>
        <w:t xml:space="preserve">por contenedor </w:t>
      </w:r>
      <w:r w:rsidR="00742878">
        <w:rPr>
          <w:lang w:val="es-US"/>
        </w:rPr>
        <w:t xml:space="preserve">haría económicamente viable al </w:t>
      </w:r>
      <w:r w:rsidR="00EB65B8">
        <w:rPr>
          <w:lang w:val="es-US"/>
        </w:rPr>
        <w:t>Proyecto</w:t>
      </w:r>
      <w:r w:rsidR="00742878">
        <w:rPr>
          <w:lang w:val="es-US"/>
        </w:rPr>
        <w:t>.</w:t>
      </w:r>
    </w:p>
    <w:p w:rsidR="00482121" w:rsidRDefault="00E553E9" w:rsidP="00482121">
      <w:pPr>
        <w:pStyle w:val="Paragraph"/>
        <w:rPr>
          <w:lang w:val="es-CL"/>
        </w:rPr>
      </w:pPr>
      <w:r>
        <w:rPr>
          <w:lang w:val="es-CL"/>
        </w:rPr>
        <w:t xml:space="preserve">El análisis realizado se concentró en estimar los valores críticos que hacen al </w:t>
      </w:r>
      <w:r w:rsidR="00EB65B8">
        <w:rPr>
          <w:lang w:val="es-CL"/>
        </w:rPr>
        <w:t>Proyecto</w:t>
      </w:r>
      <w:r>
        <w:rPr>
          <w:lang w:val="es-CL"/>
        </w:rPr>
        <w:t xml:space="preserve"> rentable, en vez de </w:t>
      </w:r>
      <w:r w:rsidR="00F221BD">
        <w:rPr>
          <w:lang w:val="es-CL"/>
        </w:rPr>
        <w:t>obtener una estimación precisa d</w:t>
      </w:r>
      <w:r>
        <w:rPr>
          <w:lang w:val="es-CL"/>
        </w:rPr>
        <w:t xml:space="preserve">el intervalo de confianza asociado al VAN del </w:t>
      </w:r>
      <w:r w:rsidR="00EB65B8">
        <w:rPr>
          <w:lang w:val="es-CL"/>
        </w:rPr>
        <w:t>Proyecto</w:t>
      </w:r>
      <w:r>
        <w:rPr>
          <w:lang w:val="es-CL"/>
        </w:rPr>
        <w:t xml:space="preserve">. Para la elaboración de este informe no se contó con documentación a detalle del </w:t>
      </w:r>
      <w:r w:rsidR="00EB65B8">
        <w:rPr>
          <w:lang w:val="es-CL"/>
        </w:rPr>
        <w:t>Proyecto</w:t>
      </w:r>
      <w:r>
        <w:rPr>
          <w:lang w:val="es-CL"/>
        </w:rPr>
        <w:t>, lim</w:t>
      </w:r>
      <w:bookmarkStart w:id="1" w:name="_GoBack"/>
      <w:bookmarkEnd w:id="1"/>
      <w:r>
        <w:rPr>
          <w:lang w:val="es-CL"/>
        </w:rPr>
        <w:t xml:space="preserve">itando la precisión del cálculo de los beneficios. </w:t>
      </w:r>
    </w:p>
    <w:p w:rsidR="000C0447" w:rsidRPr="00D019FE" w:rsidRDefault="006C46D3" w:rsidP="00482121">
      <w:pPr>
        <w:pStyle w:val="Paragraph"/>
        <w:rPr>
          <w:lang w:val="es-CL"/>
        </w:rPr>
      </w:pPr>
      <w:r>
        <w:rPr>
          <w:lang w:val="es-CL"/>
        </w:rPr>
        <w:t>Para medir la rentabilidad ex</w:t>
      </w:r>
      <w:r w:rsidR="00365349">
        <w:rPr>
          <w:lang w:val="es-CL"/>
        </w:rPr>
        <w:t xml:space="preserve"> </w:t>
      </w:r>
      <w:r>
        <w:rPr>
          <w:lang w:val="es-CL"/>
        </w:rPr>
        <w:t xml:space="preserve">post del </w:t>
      </w:r>
      <w:r w:rsidR="00EB65B8">
        <w:rPr>
          <w:lang w:val="es-CL"/>
        </w:rPr>
        <w:t>Proyecto</w:t>
      </w:r>
      <w:r>
        <w:rPr>
          <w:lang w:val="es-CL"/>
        </w:rPr>
        <w:t>, s</w:t>
      </w:r>
      <w:r w:rsidR="000C0447">
        <w:rPr>
          <w:lang w:val="es-CL"/>
        </w:rPr>
        <w:t xml:space="preserve">e recomienda la medición y monitoreo anual de las 3 variables clave para la viabilidad económica de este </w:t>
      </w:r>
      <w:r w:rsidR="00EB65B8">
        <w:rPr>
          <w:lang w:val="es-CL"/>
        </w:rPr>
        <w:t>Proyecto</w:t>
      </w:r>
      <w:r>
        <w:rPr>
          <w:lang w:val="es-CL"/>
        </w:rPr>
        <w:t>. Se identifican los mecanismos para una medición y evaluación básica</w:t>
      </w:r>
      <w:r w:rsidR="000C0447">
        <w:rPr>
          <w:lang w:val="es-CL"/>
        </w:rPr>
        <w:t>.</w:t>
      </w:r>
    </w:p>
    <w:p w:rsidR="00482121" w:rsidRPr="001B225A" w:rsidRDefault="00482121" w:rsidP="00482121">
      <w:pPr>
        <w:pStyle w:val="Paragraph"/>
        <w:rPr>
          <w:lang w:val="es-CL"/>
        </w:rPr>
      </w:pPr>
      <w:r>
        <w:rPr>
          <w:szCs w:val="24"/>
          <w:lang w:val="es-CL"/>
        </w:rPr>
        <w:t>El modelo de valorización del cual se desprenden estos resultados es parte íntegra de este informe.</w:t>
      </w:r>
      <w:r w:rsidR="00456C31">
        <w:rPr>
          <w:szCs w:val="24"/>
          <w:lang w:val="es-CL"/>
        </w:rPr>
        <w:t xml:space="preserve"> (“</w:t>
      </w:r>
      <w:proofErr w:type="spellStart"/>
      <w:r w:rsidR="00456C31">
        <w:rPr>
          <w:szCs w:val="24"/>
          <w:lang w:val="es-CL"/>
        </w:rPr>
        <w:t>Valuation</w:t>
      </w:r>
      <w:proofErr w:type="spellEnd"/>
      <w:r w:rsidR="00456C31">
        <w:rPr>
          <w:szCs w:val="24"/>
          <w:lang w:val="es-CL"/>
        </w:rPr>
        <w:t xml:space="preserve"> VUCE 2.0 vs0</w:t>
      </w:r>
      <w:r w:rsidR="0086447C">
        <w:rPr>
          <w:szCs w:val="24"/>
          <w:lang w:val="es-CL"/>
        </w:rPr>
        <w:t>5</w:t>
      </w:r>
      <w:r w:rsidR="00456C31">
        <w:rPr>
          <w:szCs w:val="24"/>
          <w:lang w:val="es-CL"/>
        </w:rPr>
        <w:t>.xls</w:t>
      </w:r>
      <w:r w:rsidR="0086447C">
        <w:rPr>
          <w:szCs w:val="24"/>
          <w:lang w:val="es-CL"/>
        </w:rPr>
        <w:t>x</w:t>
      </w:r>
      <w:r w:rsidR="00456C31">
        <w:rPr>
          <w:szCs w:val="24"/>
          <w:lang w:val="es-CL"/>
        </w:rPr>
        <w:t>”)</w:t>
      </w:r>
      <w:r>
        <w:rPr>
          <w:szCs w:val="24"/>
          <w:lang w:val="es-CL"/>
        </w:rPr>
        <w:t xml:space="preserve"> </w:t>
      </w:r>
    </w:p>
    <w:p w:rsidR="00720EA8" w:rsidRPr="00456C31" w:rsidRDefault="00720EA8" w:rsidP="00720EA8">
      <w:pPr>
        <w:pStyle w:val="FirstHeading"/>
        <w:numPr>
          <w:ilvl w:val="0"/>
          <w:numId w:val="1"/>
        </w:numPr>
        <w:ind w:firstLine="0"/>
        <w:rPr>
          <w:lang w:val="es-CL"/>
        </w:rPr>
      </w:pPr>
      <w:bookmarkStart w:id="2" w:name="_Toc373940836"/>
      <w:r w:rsidRPr="00456C31">
        <w:rPr>
          <w:lang w:val="es-CL"/>
        </w:rPr>
        <w:t>Metodología y supuestos</w:t>
      </w:r>
      <w:bookmarkEnd w:id="2"/>
    </w:p>
    <w:p w:rsidR="00E159BB" w:rsidRDefault="00E159BB" w:rsidP="00E159BB">
      <w:pPr>
        <w:pStyle w:val="Paragraph"/>
        <w:rPr>
          <w:lang w:val="es-CL"/>
        </w:rPr>
      </w:pPr>
      <w:r>
        <w:rPr>
          <w:lang w:val="es-CL"/>
        </w:rPr>
        <w:t xml:space="preserve">La evaluación económica preliminar del </w:t>
      </w:r>
      <w:r w:rsidR="00EB65B8">
        <w:rPr>
          <w:lang w:val="es-CL"/>
        </w:rPr>
        <w:t>Proyecto</w:t>
      </w:r>
      <w:r>
        <w:rPr>
          <w:lang w:val="es-CL"/>
        </w:rPr>
        <w:t xml:space="preserve"> se basa en una comparación entre el costo del </w:t>
      </w:r>
      <w:r w:rsidR="00EB65B8">
        <w:rPr>
          <w:lang w:val="es-CL"/>
        </w:rPr>
        <w:t>Proyecto</w:t>
      </w:r>
      <w:r>
        <w:rPr>
          <w:lang w:val="es-CL"/>
        </w:rPr>
        <w:t xml:space="preserve"> y los beneficios esperados de su implementación. Los beneficios esperados analizados son: </w:t>
      </w:r>
      <w:r w:rsidRPr="000710E0">
        <w:rPr>
          <w:lang w:val="es-CL"/>
        </w:rPr>
        <w:t>(1)</w:t>
      </w:r>
      <w:r>
        <w:rPr>
          <w:lang w:val="es-CL"/>
        </w:rPr>
        <w:t xml:space="preserve"> días de tramitación de exportaciones e importaciones que utilizan la VUCE</w:t>
      </w:r>
      <w:r w:rsidRPr="000710E0">
        <w:rPr>
          <w:lang w:val="es-CL"/>
        </w:rPr>
        <w:t xml:space="preserve">, y (2) </w:t>
      </w:r>
      <w:r>
        <w:rPr>
          <w:lang w:val="es-CL"/>
        </w:rPr>
        <w:t xml:space="preserve">costo de </w:t>
      </w:r>
      <w:r w:rsidR="00D744CB">
        <w:rPr>
          <w:lang w:val="es-CL"/>
        </w:rPr>
        <w:t>transacción portuaria</w:t>
      </w:r>
      <w:r>
        <w:rPr>
          <w:lang w:val="es-CL"/>
        </w:rPr>
        <w:t xml:space="preserve"> del </w:t>
      </w:r>
      <w:r w:rsidR="00D26BA1">
        <w:rPr>
          <w:lang w:val="es-CL"/>
        </w:rPr>
        <w:t>P</w:t>
      </w:r>
      <w:r>
        <w:rPr>
          <w:lang w:val="es-CL"/>
        </w:rPr>
        <w:t>uerto del Callao.</w:t>
      </w:r>
    </w:p>
    <w:p w:rsidR="00482121" w:rsidRDefault="00ED7A1E" w:rsidP="00E159BB">
      <w:pPr>
        <w:pStyle w:val="subpar"/>
        <w:rPr>
          <w:lang w:val="es-US"/>
        </w:rPr>
      </w:pPr>
      <w:r>
        <w:rPr>
          <w:lang w:val="es-US"/>
        </w:rPr>
        <w:t xml:space="preserve">El </w:t>
      </w:r>
      <w:r w:rsidR="00EB65B8">
        <w:rPr>
          <w:lang w:val="es-US"/>
        </w:rPr>
        <w:t>Proyecto</w:t>
      </w:r>
      <w:r>
        <w:rPr>
          <w:lang w:val="es-US"/>
        </w:rPr>
        <w:t xml:space="preserve"> VUCE 2.0 cuenta con 12 iniciativas d</w:t>
      </w:r>
      <w:r w:rsidR="00E159BB">
        <w:rPr>
          <w:lang w:val="es-US"/>
        </w:rPr>
        <w:t>e inversión. 11 de ellas apuntarían</w:t>
      </w:r>
      <w:r>
        <w:rPr>
          <w:lang w:val="es-US"/>
        </w:rPr>
        <w:t xml:space="preserve"> a optimizar la tramitación de exportaciones o importaciones que utilizan la VUCE actual, y 1 de ellas a reducir el costo de coordinación por el uso </w:t>
      </w:r>
      <w:r w:rsidR="00906256">
        <w:rPr>
          <w:lang w:val="es-US"/>
        </w:rPr>
        <w:t>de infraestructura portuaria</w:t>
      </w:r>
      <w:r w:rsidR="00E159BB">
        <w:rPr>
          <w:lang w:val="es-US"/>
        </w:rPr>
        <w:t>.</w:t>
      </w:r>
      <w:sdt>
        <w:sdtPr>
          <w:rPr>
            <w:lang w:val="es-US"/>
          </w:rPr>
          <w:id w:val="-1487237224"/>
          <w:citation/>
        </w:sdtPr>
        <w:sdtEndPr/>
        <w:sdtContent>
          <w:r w:rsidR="00BD2A50">
            <w:rPr>
              <w:lang w:val="es-US"/>
            </w:rPr>
            <w:fldChar w:fldCharType="begin"/>
          </w:r>
          <w:r w:rsidR="001D42C2">
            <w:rPr>
              <w:lang w:val="es-CL"/>
            </w:rPr>
            <w:instrText xml:space="preserve"> CITATION Min141 \l 13322 </w:instrText>
          </w:r>
          <w:r w:rsidR="00BD2A50">
            <w:rPr>
              <w:lang w:val="es-US"/>
            </w:rPr>
            <w:fldChar w:fldCharType="separate"/>
          </w:r>
          <w:r w:rsidR="00C53916">
            <w:rPr>
              <w:noProof/>
              <w:lang w:val="es-CL"/>
            </w:rPr>
            <w:t xml:space="preserve"> </w:t>
          </w:r>
          <w:r w:rsidR="00C53916" w:rsidRPr="00C53916">
            <w:rPr>
              <w:noProof/>
              <w:lang w:val="es-CL"/>
            </w:rPr>
            <w:t>(Ministerio de Comercio Exterior y Turismo, 2014)</w:t>
          </w:r>
          <w:r w:rsidR="00BD2A50">
            <w:rPr>
              <w:lang w:val="es-US"/>
            </w:rPr>
            <w:fldChar w:fldCharType="end"/>
          </w:r>
        </w:sdtContent>
      </w:sdt>
    </w:p>
    <w:p w:rsidR="00E159BB" w:rsidRDefault="00E159BB" w:rsidP="00E159BB">
      <w:pPr>
        <w:pStyle w:val="subpar"/>
        <w:rPr>
          <w:lang w:val="es-US"/>
        </w:rPr>
      </w:pPr>
      <w:r w:rsidRPr="003A49B5">
        <w:rPr>
          <w:lang w:val="es-US"/>
        </w:rPr>
        <w:t xml:space="preserve">Se concentró el análisis </w:t>
      </w:r>
      <w:r w:rsidR="00F354C6">
        <w:rPr>
          <w:lang w:val="es-US"/>
        </w:rPr>
        <w:t xml:space="preserve">de costo portuario </w:t>
      </w:r>
      <w:r w:rsidRPr="003A49B5">
        <w:rPr>
          <w:lang w:val="es-US"/>
        </w:rPr>
        <w:t xml:space="preserve">en el </w:t>
      </w:r>
      <w:r w:rsidR="00D26BA1">
        <w:rPr>
          <w:lang w:val="es-US"/>
        </w:rPr>
        <w:t>P</w:t>
      </w:r>
      <w:r w:rsidRPr="003A49B5">
        <w:rPr>
          <w:lang w:val="es-US"/>
        </w:rPr>
        <w:t xml:space="preserve">uerto del Callao pues representa el </w:t>
      </w:r>
      <w:r w:rsidR="003A49B5" w:rsidRPr="003A49B5">
        <w:rPr>
          <w:lang w:val="es-US"/>
        </w:rPr>
        <w:t>79.6</w:t>
      </w:r>
      <w:r w:rsidRPr="003A49B5">
        <w:rPr>
          <w:lang w:val="es-US"/>
        </w:rPr>
        <w:t xml:space="preserve">% de la </w:t>
      </w:r>
      <w:r w:rsidR="003A49B5" w:rsidRPr="003A49B5">
        <w:rPr>
          <w:lang w:val="es-US"/>
        </w:rPr>
        <w:t xml:space="preserve">carga trasladada a través de </w:t>
      </w:r>
      <w:r w:rsidRPr="003A49B5">
        <w:rPr>
          <w:lang w:val="es-US"/>
        </w:rPr>
        <w:t>infraestructura portuaria</w:t>
      </w:r>
      <w:sdt>
        <w:sdtPr>
          <w:rPr>
            <w:lang w:val="es-US"/>
          </w:rPr>
          <w:id w:val="-221604500"/>
          <w:citation/>
        </w:sdtPr>
        <w:sdtEndPr/>
        <w:sdtContent>
          <w:r w:rsidR="00BD2A50" w:rsidRPr="003A49B5">
            <w:rPr>
              <w:lang w:val="es-US"/>
            </w:rPr>
            <w:fldChar w:fldCharType="begin"/>
          </w:r>
          <w:r w:rsidR="003A49B5" w:rsidRPr="003A49B5">
            <w:rPr>
              <w:lang w:val="es-CL"/>
            </w:rPr>
            <w:instrText xml:space="preserve"> CITATION Emp09 \l 13322 </w:instrText>
          </w:r>
          <w:r w:rsidR="00BD2A50" w:rsidRPr="003A49B5">
            <w:rPr>
              <w:lang w:val="es-US"/>
            </w:rPr>
            <w:fldChar w:fldCharType="separate"/>
          </w:r>
          <w:r w:rsidR="00C53916">
            <w:rPr>
              <w:noProof/>
              <w:lang w:val="es-CL"/>
            </w:rPr>
            <w:t xml:space="preserve"> </w:t>
          </w:r>
          <w:r w:rsidR="00C53916" w:rsidRPr="00C53916">
            <w:rPr>
              <w:noProof/>
              <w:lang w:val="es-CL"/>
            </w:rPr>
            <w:t>(Empresa Nacional de Puertos S.A., 2009)</w:t>
          </w:r>
          <w:r w:rsidR="00BD2A50" w:rsidRPr="003A49B5">
            <w:rPr>
              <w:lang w:val="es-US"/>
            </w:rPr>
            <w:fldChar w:fldCharType="end"/>
          </w:r>
        </w:sdtContent>
      </w:sdt>
    </w:p>
    <w:p w:rsidR="004D0142" w:rsidRPr="003A49B5" w:rsidRDefault="004D0142" w:rsidP="00E159BB">
      <w:pPr>
        <w:pStyle w:val="subpar"/>
        <w:rPr>
          <w:lang w:val="es-US"/>
        </w:rPr>
      </w:pPr>
      <w:r>
        <w:rPr>
          <w:lang w:val="es-US"/>
        </w:rPr>
        <w:t xml:space="preserve">Considerar la reducción de días de tramitación como beneficio asociado al </w:t>
      </w:r>
      <w:r w:rsidR="00EB65B8">
        <w:rPr>
          <w:lang w:val="es-US"/>
        </w:rPr>
        <w:t>Proyecto</w:t>
      </w:r>
      <w:r>
        <w:rPr>
          <w:lang w:val="es-US"/>
        </w:rPr>
        <w:t xml:space="preserve"> está en línea con la literatura.</w:t>
      </w:r>
      <w:r w:rsidR="002C022F">
        <w:rPr>
          <w:lang w:val="es-US"/>
        </w:rPr>
        <w:t xml:space="preserve"> La demora de un día en tránsito equivaldría a una tarifa ad-</w:t>
      </w:r>
      <w:proofErr w:type="spellStart"/>
      <w:r w:rsidR="002C022F">
        <w:rPr>
          <w:lang w:val="es-US"/>
        </w:rPr>
        <w:t>valorem</w:t>
      </w:r>
      <w:proofErr w:type="spellEnd"/>
      <w:r w:rsidR="002C022F">
        <w:rPr>
          <w:lang w:val="es-US"/>
        </w:rPr>
        <w:t xml:space="preserve"> de 0.6-2.1 porciento. </w:t>
      </w:r>
      <w:r>
        <w:rPr>
          <w:lang w:val="es-US"/>
        </w:rPr>
        <w:t xml:space="preserve"> </w:t>
      </w:r>
      <w:sdt>
        <w:sdtPr>
          <w:rPr>
            <w:lang w:val="es-US"/>
          </w:rPr>
          <w:id w:val="1189332360"/>
          <w:citation/>
        </w:sdtPr>
        <w:sdtEndPr/>
        <w:sdtContent>
          <w:r w:rsidR="00BD2A50">
            <w:rPr>
              <w:lang w:val="es-US"/>
            </w:rPr>
            <w:fldChar w:fldCharType="begin"/>
          </w:r>
          <w:r w:rsidR="002C022F">
            <w:rPr>
              <w:lang w:val="es-CL"/>
            </w:rPr>
            <w:instrText xml:space="preserve"> CITATION Hum13 \l 13322 </w:instrText>
          </w:r>
          <w:r w:rsidR="00BD2A50">
            <w:rPr>
              <w:lang w:val="es-US"/>
            </w:rPr>
            <w:fldChar w:fldCharType="separate"/>
          </w:r>
          <w:r w:rsidR="00C53916" w:rsidRPr="00C53916">
            <w:rPr>
              <w:noProof/>
              <w:lang w:val="es-CL"/>
            </w:rPr>
            <w:t>(Hummels &amp; Schaur, 2013)</w:t>
          </w:r>
          <w:r w:rsidR="00BD2A50">
            <w:rPr>
              <w:lang w:val="es-US"/>
            </w:rPr>
            <w:fldChar w:fldCharType="end"/>
          </w:r>
        </w:sdtContent>
      </w:sdt>
    </w:p>
    <w:p w:rsidR="00617687" w:rsidRPr="00617687" w:rsidRDefault="00617687" w:rsidP="00617687">
      <w:pPr>
        <w:pStyle w:val="Paragraph"/>
        <w:rPr>
          <w:lang w:val="es-US"/>
        </w:rPr>
      </w:pPr>
      <w:r w:rsidRPr="00617687">
        <w:rPr>
          <w:lang w:val="es-US"/>
        </w:rPr>
        <w:t>Existen dos principales fuentes de datos para este estudio: l</w:t>
      </w:r>
      <w:r>
        <w:rPr>
          <w:lang w:val="es-US"/>
        </w:rPr>
        <w:t>as entrevistas conducidas con autoridades del gobierno peruano</w:t>
      </w:r>
      <w:r w:rsidRPr="00617687">
        <w:rPr>
          <w:lang w:val="es-US"/>
        </w:rPr>
        <w:t>, y</w:t>
      </w:r>
      <w:r>
        <w:rPr>
          <w:lang w:val="es-US"/>
        </w:rPr>
        <w:t>, estudios de carácter público. C</w:t>
      </w:r>
      <w:r w:rsidRPr="00617687">
        <w:rPr>
          <w:lang w:val="es-US"/>
        </w:rPr>
        <w:t xml:space="preserve">uando no existen datos, se realizan supuestos que corresponden a la mejor estimación posible con la información disponible al momento de desarrollar este análisis. Adicionalmente, se consultaron otras fuentes de información como </w:t>
      </w:r>
      <w:r>
        <w:rPr>
          <w:lang w:val="es-US"/>
        </w:rPr>
        <w:t xml:space="preserve">el Banco Central de Perú, </w:t>
      </w:r>
      <w:proofErr w:type="spellStart"/>
      <w:r>
        <w:rPr>
          <w:lang w:val="es-US"/>
        </w:rPr>
        <w:t>MarketWatch</w:t>
      </w:r>
      <w:proofErr w:type="spellEnd"/>
      <w:r>
        <w:rPr>
          <w:lang w:val="es-US"/>
        </w:rPr>
        <w:t xml:space="preserve">, </w:t>
      </w:r>
      <w:proofErr w:type="spellStart"/>
      <w:r>
        <w:rPr>
          <w:lang w:val="es-US"/>
        </w:rPr>
        <w:t>World</w:t>
      </w:r>
      <w:proofErr w:type="spellEnd"/>
      <w:r>
        <w:rPr>
          <w:lang w:val="es-US"/>
        </w:rPr>
        <w:t xml:space="preserve"> Bank</w:t>
      </w:r>
      <w:r w:rsidRPr="00617687">
        <w:rPr>
          <w:lang w:val="es-US"/>
        </w:rPr>
        <w:t>.</w:t>
      </w:r>
    </w:p>
    <w:p w:rsidR="009F405D" w:rsidRDefault="009F405D" w:rsidP="009F405D">
      <w:pPr>
        <w:pStyle w:val="Paragraph"/>
        <w:rPr>
          <w:lang w:val="es-CL"/>
        </w:rPr>
      </w:pPr>
      <w:r>
        <w:rPr>
          <w:lang w:val="es-CL"/>
        </w:rPr>
        <w:t>Los supuestos clave de esta valorización son:</w:t>
      </w:r>
    </w:p>
    <w:p w:rsidR="009F405D" w:rsidRDefault="005D5A35" w:rsidP="005D5A35">
      <w:pPr>
        <w:pStyle w:val="subpar"/>
        <w:rPr>
          <w:lang w:val="es-US"/>
        </w:rPr>
      </w:pPr>
      <w:r w:rsidRPr="004D1126">
        <w:rPr>
          <w:b/>
          <w:lang w:val="es-US"/>
        </w:rPr>
        <w:t>Fuente de beneficio 1:</w:t>
      </w:r>
      <w:r>
        <w:rPr>
          <w:lang w:val="es-US"/>
        </w:rPr>
        <w:t xml:space="preserve"> La implementación d</w:t>
      </w:r>
      <w:r w:rsidR="004D1126">
        <w:rPr>
          <w:lang w:val="es-US"/>
        </w:rPr>
        <w:t xml:space="preserve">el Port </w:t>
      </w:r>
      <w:proofErr w:type="spellStart"/>
      <w:r w:rsidR="004D1126">
        <w:rPr>
          <w:lang w:val="es-US"/>
        </w:rPr>
        <w:t>Community</w:t>
      </w:r>
      <w:proofErr w:type="spellEnd"/>
      <w:r w:rsidR="004D1126">
        <w:rPr>
          <w:lang w:val="es-US"/>
        </w:rPr>
        <w:t xml:space="preserve"> </w:t>
      </w:r>
      <w:proofErr w:type="spellStart"/>
      <w:r w:rsidR="004D1126">
        <w:rPr>
          <w:lang w:val="es-US"/>
        </w:rPr>
        <w:t>System</w:t>
      </w:r>
      <w:proofErr w:type="spellEnd"/>
      <w:r w:rsidR="004D1126">
        <w:rPr>
          <w:lang w:val="es-US"/>
        </w:rPr>
        <w:t xml:space="preserve"> permitiría</w:t>
      </w:r>
      <w:r>
        <w:rPr>
          <w:lang w:val="es-US"/>
        </w:rPr>
        <w:t xml:space="preserve"> reducir parte </w:t>
      </w:r>
      <w:r w:rsidR="00D744CB">
        <w:rPr>
          <w:lang w:val="es-US"/>
        </w:rPr>
        <w:t xml:space="preserve">de los </w:t>
      </w:r>
      <w:r>
        <w:rPr>
          <w:lang w:val="es-US"/>
        </w:rPr>
        <w:t>costos de coordinación asociados al uso de la infraestructura portuaria</w:t>
      </w:r>
    </w:p>
    <w:p w:rsidR="00717B3D" w:rsidRDefault="00EF3129" w:rsidP="00717B3D">
      <w:pPr>
        <w:pStyle w:val="SubSubPar"/>
        <w:rPr>
          <w:lang w:val="es-CL"/>
        </w:rPr>
      </w:pPr>
      <w:r>
        <w:rPr>
          <w:lang w:val="es-US"/>
        </w:rPr>
        <w:t xml:space="preserve">Se asume, de forma conservadora, que la implementación del </w:t>
      </w:r>
      <w:r w:rsidR="00EB65B8">
        <w:rPr>
          <w:lang w:val="es-US"/>
        </w:rPr>
        <w:t>Proyecto</w:t>
      </w:r>
      <w:r>
        <w:rPr>
          <w:lang w:val="es-US"/>
        </w:rPr>
        <w:t xml:space="preserve"> permitiría capturar </w:t>
      </w:r>
      <w:r w:rsidR="00D744CB">
        <w:rPr>
          <w:lang w:val="es-US"/>
        </w:rPr>
        <w:t xml:space="preserve">un ahorro de </w:t>
      </w:r>
      <w:r w:rsidR="0087103A">
        <w:rPr>
          <w:lang w:val="es-US"/>
        </w:rPr>
        <w:t>8</w:t>
      </w:r>
      <w:r w:rsidR="0020371E">
        <w:rPr>
          <w:lang w:val="es-US"/>
        </w:rPr>
        <w:t>.</w:t>
      </w:r>
      <w:r w:rsidR="0087103A">
        <w:rPr>
          <w:lang w:val="es-US"/>
        </w:rPr>
        <w:t>88</w:t>
      </w:r>
      <w:r w:rsidR="00D744CB">
        <w:rPr>
          <w:lang w:val="es-US"/>
        </w:rPr>
        <w:t xml:space="preserve"> USD por contenedor</w:t>
      </w:r>
      <w:r>
        <w:rPr>
          <w:lang w:val="es-US"/>
        </w:rPr>
        <w:t xml:space="preserve">. </w:t>
      </w:r>
      <w:r w:rsidR="00D744CB">
        <w:rPr>
          <w:lang w:val="es-US"/>
        </w:rPr>
        <w:t>Este ahorro equivaldría a una reducción de 0.</w:t>
      </w:r>
      <w:r w:rsidR="0087103A">
        <w:rPr>
          <w:lang w:val="es-US"/>
        </w:rPr>
        <w:t>9</w:t>
      </w:r>
      <w:r w:rsidR="00D744CB">
        <w:rPr>
          <w:lang w:val="es-US"/>
        </w:rPr>
        <w:t>% del costo de coordinación promedio por contenedor procesado en el Callao</w:t>
      </w:r>
      <w:r w:rsidR="00710C66">
        <w:rPr>
          <w:rStyle w:val="FootnoteReference"/>
          <w:lang w:val="es-US"/>
        </w:rPr>
        <w:footnoteReference w:id="1"/>
      </w:r>
      <w:r w:rsidR="00D744CB">
        <w:rPr>
          <w:lang w:val="es-US"/>
        </w:rPr>
        <w:t xml:space="preserve">. </w:t>
      </w:r>
      <w:r>
        <w:rPr>
          <w:lang w:val="es-US"/>
        </w:rPr>
        <w:t xml:space="preserve">Adicionalmente, se asume que la captura de beneficios sería paulatina, llegando a su máximo en 5 años. </w:t>
      </w:r>
      <w:r>
        <w:rPr>
          <w:lang w:val="es-CL"/>
        </w:rPr>
        <w:t xml:space="preserve">Este supuesto permite incorporar al análisis los costos de ajuste y aprendizaje generados por el </w:t>
      </w:r>
      <w:r w:rsidR="00EB65B8">
        <w:rPr>
          <w:lang w:val="es-CL"/>
        </w:rPr>
        <w:t>Proyecto</w:t>
      </w:r>
      <w:r>
        <w:rPr>
          <w:lang w:val="es-CL"/>
        </w:rPr>
        <w:t xml:space="preserve">. </w:t>
      </w:r>
    </w:p>
    <w:p w:rsidR="00717B3D" w:rsidRPr="0063584C" w:rsidRDefault="00717B3D" w:rsidP="0063584C">
      <w:pPr>
        <w:pStyle w:val="SubSubPar"/>
        <w:rPr>
          <w:lang w:val="es-CL"/>
        </w:rPr>
      </w:pPr>
      <w:r w:rsidRPr="0063584C">
        <w:rPr>
          <w:lang w:val="es-CL"/>
        </w:rPr>
        <w:t xml:space="preserve">Se utiliza </w:t>
      </w:r>
      <w:r w:rsidR="00D744CB" w:rsidRPr="0063584C">
        <w:rPr>
          <w:lang w:val="es-CL"/>
        </w:rPr>
        <w:t>este supuesto</w:t>
      </w:r>
      <w:r w:rsidR="00907C5E" w:rsidRPr="0063584C">
        <w:rPr>
          <w:lang w:val="es-CL"/>
        </w:rPr>
        <w:t xml:space="preserve"> </w:t>
      </w:r>
      <w:r w:rsidRPr="0063584C">
        <w:rPr>
          <w:lang w:val="es-CL"/>
        </w:rPr>
        <w:t xml:space="preserve">pues, al no existir estimaciones del eventual impacto del </w:t>
      </w:r>
      <w:r w:rsidRPr="0047450D">
        <w:rPr>
          <w:i/>
          <w:lang w:val="es-CL"/>
        </w:rPr>
        <w:t>P</w:t>
      </w:r>
      <w:r w:rsidR="0047450D" w:rsidRPr="0047450D">
        <w:rPr>
          <w:i/>
          <w:lang w:val="es-CL"/>
        </w:rPr>
        <w:t xml:space="preserve">ort </w:t>
      </w:r>
      <w:proofErr w:type="spellStart"/>
      <w:r w:rsidRPr="0047450D">
        <w:rPr>
          <w:i/>
          <w:lang w:val="es-CL"/>
        </w:rPr>
        <w:t>C</w:t>
      </w:r>
      <w:r w:rsidR="0047450D" w:rsidRPr="0047450D">
        <w:rPr>
          <w:i/>
          <w:lang w:val="es-CL"/>
        </w:rPr>
        <w:t>ommunity</w:t>
      </w:r>
      <w:proofErr w:type="spellEnd"/>
      <w:r w:rsidR="0047450D" w:rsidRPr="0047450D">
        <w:rPr>
          <w:i/>
          <w:lang w:val="es-CL"/>
        </w:rPr>
        <w:t xml:space="preserve"> </w:t>
      </w:r>
      <w:proofErr w:type="spellStart"/>
      <w:r w:rsidRPr="0047450D">
        <w:rPr>
          <w:i/>
          <w:lang w:val="es-CL"/>
        </w:rPr>
        <w:t>S</w:t>
      </w:r>
      <w:r w:rsidR="0047450D" w:rsidRPr="0047450D">
        <w:rPr>
          <w:i/>
          <w:lang w:val="es-CL"/>
        </w:rPr>
        <w:t>ystem</w:t>
      </w:r>
      <w:proofErr w:type="spellEnd"/>
      <w:r w:rsidR="0047450D">
        <w:rPr>
          <w:lang w:val="es-CL"/>
        </w:rPr>
        <w:t xml:space="preserve"> (PCS)</w:t>
      </w:r>
      <w:r w:rsidRPr="0063584C">
        <w:rPr>
          <w:lang w:val="es-CL"/>
        </w:rPr>
        <w:t xml:space="preserve">, se utiliza el mínimo valor que justificaría económicamente el </w:t>
      </w:r>
      <w:r w:rsidR="00EB65B8">
        <w:rPr>
          <w:lang w:val="es-CL"/>
        </w:rPr>
        <w:t>Proyecto</w:t>
      </w:r>
      <w:r w:rsidRPr="0063584C">
        <w:rPr>
          <w:lang w:val="es-CL"/>
        </w:rPr>
        <w:t xml:space="preserve"> (valor crítico).</w:t>
      </w:r>
    </w:p>
    <w:p w:rsidR="008A68EE" w:rsidRPr="008A68EE" w:rsidRDefault="008A68EE" w:rsidP="008A68EE">
      <w:pPr>
        <w:pStyle w:val="Caption"/>
        <w:spacing w:before="240"/>
        <w:ind w:left="288"/>
      </w:pPr>
      <w:bookmarkStart w:id="3" w:name="_Ref373490685"/>
      <w:r w:rsidRPr="00344EF9">
        <w:t xml:space="preserve">Tabla </w:t>
      </w:r>
      <w:r w:rsidR="00BD2A50">
        <w:fldChar w:fldCharType="begin"/>
      </w:r>
      <w:r w:rsidR="00682773">
        <w:instrText xml:space="preserve"> SEQ Tabla \* ARABIC </w:instrText>
      </w:r>
      <w:r w:rsidR="00BD2A50">
        <w:fldChar w:fldCharType="separate"/>
      </w:r>
      <w:r w:rsidR="00D26BA1">
        <w:rPr>
          <w:noProof/>
        </w:rPr>
        <w:t>1</w:t>
      </w:r>
      <w:r w:rsidR="00BD2A50">
        <w:rPr>
          <w:noProof/>
        </w:rPr>
        <w:fldChar w:fldCharType="end"/>
      </w:r>
      <w:bookmarkEnd w:id="3"/>
      <w:r w:rsidRPr="00344EF9">
        <w:t xml:space="preserve">: Se asume que la </w:t>
      </w:r>
      <w:r>
        <w:t>máxima captura de ahorros</w:t>
      </w:r>
      <w:r w:rsidRPr="00344EF9">
        <w:t xml:space="preserve"> </w:t>
      </w:r>
      <w:r>
        <w:t>se alcanza</w:t>
      </w:r>
      <w:r w:rsidR="00F354C6">
        <w:t>ría</w:t>
      </w:r>
      <w:r w:rsidRPr="00344EF9">
        <w:t xml:space="preserve"> partir del 20</w:t>
      </w:r>
      <w:r w:rsidR="008A5388">
        <w:t>20</w:t>
      </w:r>
    </w:p>
    <w:tbl>
      <w:tblPr>
        <w:tblW w:w="0" w:type="auto"/>
        <w:jc w:val="center"/>
        <w:tblInd w:w="6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6"/>
        <w:gridCol w:w="596"/>
        <w:gridCol w:w="596"/>
        <w:gridCol w:w="596"/>
        <w:gridCol w:w="596"/>
        <w:gridCol w:w="596"/>
        <w:gridCol w:w="596"/>
        <w:gridCol w:w="596"/>
        <w:gridCol w:w="596"/>
        <w:gridCol w:w="596"/>
        <w:gridCol w:w="596"/>
      </w:tblGrid>
      <w:tr w:rsidR="008A68EE" w:rsidRPr="00F92BEF" w:rsidTr="001B433A">
        <w:trPr>
          <w:trHeight w:val="285"/>
          <w:jc w:val="center"/>
        </w:trPr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68EE" w:rsidRPr="00F92BEF" w:rsidRDefault="008A68EE" w:rsidP="008A68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8EE" w:rsidRPr="008A68EE" w:rsidRDefault="008A68EE" w:rsidP="008A53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A68E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  <w:t>201</w:t>
            </w:r>
            <w:r w:rsidR="008A53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8EE" w:rsidRPr="008A68EE" w:rsidRDefault="008A68EE" w:rsidP="008A53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A68E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  <w:t>201</w:t>
            </w:r>
            <w:r w:rsidR="008A53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8EE" w:rsidRPr="008A68EE" w:rsidRDefault="008A68EE" w:rsidP="008A53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A68E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  <w:t>201</w:t>
            </w:r>
            <w:r w:rsidR="008A53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8EE" w:rsidRPr="008A68EE" w:rsidRDefault="008A68EE" w:rsidP="008A53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A68E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  <w:t>201</w:t>
            </w:r>
            <w:r w:rsidR="008A53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8EE" w:rsidRPr="008A68EE" w:rsidRDefault="008A68EE" w:rsidP="008A53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A68E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  <w:t>20</w:t>
            </w:r>
            <w:r w:rsidR="008A53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8EE" w:rsidRPr="008A68EE" w:rsidRDefault="008A68EE" w:rsidP="008A53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A68E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  <w:t>202</w:t>
            </w:r>
            <w:r w:rsidR="008A53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8EE" w:rsidRPr="008A68EE" w:rsidRDefault="008A68EE" w:rsidP="008A53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A68E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  <w:t>202</w:t>
            </w:r>
            <w:r w:rsidR="008A53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8EE" w:rsidRPr="008A68EE" w:rsidRDefault="008A68EE" w:rsidP="008A53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A68E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  <w:t>202</w:t>
            </w:r>
            <w:r w:rsidR="008A53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8EE" w:rsidRPr="008A68EE" w:rsidRDefault="008A68EE" w:rsidP="008A53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A68E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  <w:t>202</w:t>
            </w:r>
            <w:r w:rsidR="008A53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8EE" w:rsidRPr="008A68EE" w:rsidRDefault="008A68EE" w:rsidP="008A53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A68E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  <w:t>202</w:t>
            </w:r>
            <w:r w:rsidR="008A53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  <w:t>5</w:t>
            </w:r>
          </w:p>
        </w:tc>
      </w:tr>
      <w:tr w:rsidR="0087103A" w:rsidRPr="00F92BEF" w:rsidTr="001B433A">
        <w:trPr>
          <w:trHeight w:val="285"/>
          <w:jc w:val="center"/>
        </w:trPr>
        <w:tc>
          <w:tcPr>
            <w:tcW w:w="2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7103A" w:rsidRPr="00631562" w:rsidRDefault="0087103A" w:rsidP="008A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631562"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  <w:t>Factor de realización de ahorros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03A" w:rsidRDefault="0087103A" w:rsidP="00871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 w:eastAsia="es-C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CL"/>
              </w:rPr>
              <w:t>0.0%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03A" w:rsidRDefault="0087103A" w:rsidP="00871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 w:eastAsia="es-C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CL"/>
              </w:rPr>
              <w:t>0.2%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03A" w:rsidRDefault="0087103A" w:rsidP="00871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 w:eastAsia="es-C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CL"/>
              </w:rPr>
              <w:t>0.5%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03A" w:rsidRDefault="0087103A" w:rsidP="00871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 w:eastAsia="es-C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CL"/>
              </w:rPr>
              <w:t>0.7%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03A" w:rsidRDefault="0087103A" w:rsidP="00871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 w:eastAsia="es-C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CL"/>
              </w:rPr>
              <w:t>0.9%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03A" w:rsidRDefault="0087103A" w:rsidP="00871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 w:eastAsia="es-C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CL"/>
              </w:rPr>
              <w:t>0.9%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03A" w:rsidRDefault="0087103A" w:rsidP="00871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 w:eastAsia="es-C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CL"/>
              </w:rPr>
              <w:t>0.9%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03A" w:rsidRDefault="0087103A" w:rsidP="00871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 w:eastAsia="es-C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CL"/>
              </w:rPr>
              <w:t>0.9%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03A" w:rsidRDefault="0087103A" w:rsidP="00871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 w:eastAsia="es-C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CL"/>
              </w:rPr>
              <w:t>0.9%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03A" w:rsidRDefault="0087103A" w:rsidP="00871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 w:eastAsia="es-C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CL"/>
              </w:rPr>
              <w:t>0.9%</w:t>
            </w:r>
          </w:p>
        </w:tc>
      </w:tr>
    </w:tbl>
    <w:p w:rsidR="005330E6" w:rsidRDefault="00710C66" w:rsidP="005330E6">
      <w:pPr>
        <w:pStyle w:val="SubSubPar"/>
        <w:rPr>
          <w:lang w:val="es-CL"/>
        </w:rPr>
      </w:pPr>
      <w:r>
        <w:rPr>
          <w:lang w:val="es-CL"/>
        </w:rPr>
        <w:t xml:space="preserve">El escenario base de la valoración supone un </w:t>
      </w:r>
      <w:r w:rsidR="0013182C" w:rsidRPr="001F315B">
        <w:rPr>
          <w:lang w:val="es-CL"/>
        </w:rPr>
        <w:t>crecimiento anual de 5% de</w:t>
      </w:r>
      <w:r w:rsidR="00D744CB">
        <w:rPr>
          <w:lang w:val="es-CL"/>
        </w:rPr>
        <w:t xml:space="preserve"> </w:t>
      </w:r>
      <w:r w:rsidR="0013182C" w:rsidRPr="001F315B">
        <w:rPr>
          <w:lang w:val="es-CL"/>
        </w:rPr>
        <w:t>l</w:t>
      </w:r>
      <w:r w:rsidR="00D744CB">
        <w:rPr>
          <w:lang w:val="es-CL"/>
        </w:rPr>
        <w:t>a cantidad de contenedores procesados</w:t>
      </w:r>
      <w:r w:rsidR="0013182C" w:rsidRPr="001F315B">
        <w:rPr>
          <w:lang w:val="es-CL"/>
        </w:rPr>
        <w:t xml:space="preserve"> por el Puerto del Callao</w:t>
      </w:r>
    </w:p>
    <w:p w:rsidR="0020371E" w:rsidRPr="0020371E" w:rsidRDefault="0020371E" w:rsidP="0020371E">
      <w:pPr>
        <w:pStyle w:val="SubSubPar"/>
        <w:rPr>
          <w:lang w:val="es-US"/>
        </w:rPr>
      </w:pPr>
      <w:r>
        <w:rPr>
          <w:lang w:val="es-US"/>
        </w:rPr>
        <w:t xml:space="preserve">Estudios anteriores sugieren que los costos de coordinación portuarios asociados al </w:t>
      </w:r>
      <w:r w:rsidR="00D26BA1">
        <w:rPr>
          <w:lang w:val="es-US"/>
        </w:rPr>
        <w:t>P</w:t>
      </w:r>
      <w:r>
        <w:rPr>
          <w:lang w:val="es-US"/>
        </w:rPr>
        <w:t>uerto del Callao estarían en torno a los 161.7 MM USD por año</w:t>
      </w:r>
      <w:r w:rsidR="001F3F35">
        <w:rPr>
          <w:lang w:val="es-US"/>
        </w:rPr>
        <w:t xml:space="preserve"> o 178 USD por contenedor</w:t>
      </w:r>
      <w:r>
        <w:rPr>
          <w:lang w:val="es-US"/>
        </w:rPr>
        <w:t>.</w:t>
      </w:r>
      <w:sdt>
        <w:sdtPr>
          <w:rPr>
            <w:lang w:val="es-US"/>
          </w:rPr>
          <w:id w:val="-1770156172"/>
          <w:citation/>
        </w:sdtPr>
        <w:sdtEndPr/>
        <w:sdtContent>
          <w:r w:rsidR="00BD2A50">
            <w:rPr>
              <w:lang w:val="es-US"/>
            </w:rPr>
            <w:fldChar w:fldCharType="begin"/>
          </w:r>
          <w:r>
            <w:rPr>
              <w:lang w:val="es-CL"/>
            </w:rPr>
            <w:instrText xml:space="preserve"> CITATION Aut11 \l 13322 </w:instrText>
          </w:r>
          <w:r w:rsidR="00BD2A50">
            <w:rPr>
              <w:lang w:val="es-US"/>
            </w:rPr>
            <w:fldChar w:fldCharType="separate"/>
          </w:r>
          <w:r>
            <w:rPr>
              <w:noProof/>
              <w:lang w:val="es-CL"/>
            </w:rPr>
            <w:t xml:space="preserve"> </w:t>
          </w:r>
          <w:r w:rsidRPr="00C53916">
            <w:rPr>
              <w:noProof/>
              <w:lang w:val="es-CL"/>
            </w:rPr>
            <w:t>(Autoridad Portuaria Nacional de Perú, 2011)</w:t>
          </w:r>
          <w:r w:rsidR="00BD2A50">
            <w:rPr>
              <w:lang w:val="es-US"/>
            </w:rPr>
            <w:fldChar w:fldCharType="end"/>
          </w:r>
        </w:sdtContent>
      </w:sdt>
      <w:r>
        <w:rPr>
          <w:lang w:val="es-US"/>
        </w:rPr>
        <w:t xml:space="preserve">. Estos costos de coordinación corresponderían a: (1) falta de transparencia en los servicios de </w:t>
      </w:r>
      <w:proofErr w:type="spellStart"/>
      <w:r>
        <w:rPr>
          <w:lang w:val="es-US"/>
        </w:rPr>
        <w:t>agenciamiento</w:t>
      </w:r>
      <w:proofErr w:type="spellEnd"/>
      <w:r>
        <w:rPr>
          <w:lang w:val="es-US"/>
        </w:rPr>
        <w:t xml:space="preserve"> marítimo – 47%, (2) uso de depósitos temporales </w:t>
      </w:r>
      <w:proofErr w:type="spellStart"/>
      <w:r>
        <w:rPr>
          <w:lang w:val="es-US"/>
        </w:rPr>
        <w:t>extraportuarios</w:t>
      </w:r>
      <w:proofErr w:type="spellEnd"/>
      <w:r>
        <w:rPr>
          <w:lang w:val="es-US"/>
        </w:rPr>
        <w:t xml:space="preserve"> – 34%, y (3) uso de depósitos de contenedores vacíos – 19%.</w:t>
      </w:r>
    </w:p>
    <w:p w:rsidR="004D1126" w:rsidRDefault="004D1126" w:rsidP="0063584C">
      <w:pPr>
        <w:pStyle w:val="subpar"/>
        <w:rPr>
          <w:lang w:val="es-CL"/>
        </w:rPr>
      </w:pPr>
      <w:r w:rsidRPr="00C9599E">
        <w:rPr>
          <w:b/>
          <w:lang w:val="es-CL"/>
        </w:rPr>
        <w:t>Fuente de beneficio 2:</w:t>
      </w:r>
      <w:r>
        <w:rPr>
          <w:lang w:val="es-CL"/>
        </w:rPr>
        <w:t xml:space="preserve"> la implementación de las 11 iniciativas de inversión asociadas a la VUCE 2.0 permitiría reducir el tiempo de tramitación de </w:t>
      </w:r>
      <w:r w:rsidR="00A659E5">
        <w:rPr>
          <w:lang w:val="es-CL"/>
        </w:rPr>
        <w:t xml:space="preserve">una fracción de las </w:t>
      </w:r>
      <w:r>
        <w:rPr>
          <w:lang w:val="es-CL"/>
        </w:rPr>
        <w:t>e</w:t>
      </w:r>
      <w:r w:rsidR="00A659E5">
        <w:rPr>
          <w:lang w:val="es-CL"/>
        </w:rPr>
        <w:t>xportaciones e importaciones</w:t>
      </w:r>
      <w:r>
        <w:rPr>
          <w:lang w:val="es-CL"/>
        </w:rPr>
        <w:t>.</w:t>
      </w:r>
      <w:r w:rsidR="00934E70">
        <w:rPr>
          <w:lang w:val="es-CL"/>
        </w:rPr>
        <w:t xml:space="preserve"> Esto se lograría a través de optimización del flujo de trámites e inversiones en tecnologías de la información (TI)</w:t>
      </w:r>
    </w:p>
    <w:p w:rsidR="00763D21" w:rsidRDefault="00763D21" w:rsidP="00763D21">
      <w:pPr>
        <w:pStyle w:val="SubSubPar"/>
        <w:rPr>
          <w:lang w:val="es-CL"/>
        </w:rPr>
      </w:pPr>
      <w:r>
        <w:rPr>
          <w:lang w:val="es-CL"/>
        </w:rPr>
        <w:t xml:space="preserve">Se asume un ahorro de 2 días por la implementación del </w:t>
      </w:r>
      <w:r w:rsidR="00EB65B8">
        <w:rPr>
          <w:lang w:val="es-CL"/>
        </w:rPr>
        <w:t>Proyecto</w:t>
      </w:r>
      <w:r w:rsidR="00297934">
        <w:rPr>
          <w:rStyle w:val="FootnoteReference"/>
          <w:lang w:val="es-CL"/>
        </w:rPr>
        <w:footnoteReference w:id="2"/>
      </w:r>
      <w:r>
        <w:rPr>
          <w:lang w:val="es-CL"/>
        </w:rPr>
        <w:t>.</w:t>
      </w:r>
      <w:r w:rsidR="00297934">
        <w:rPr>
          <w:lang w:val="es-CL"/>
        </w:rPr>
        <w:t xml:space="preserve"> </w:t>
      </w:r>
    </w:p>
    <w:p w:rsidR="00CF46BB" w:rsidRDefault="00CF46BB" w:rsidP="00763D21">
      <w:pPr>
        <w:pStyle w:val="SubSubPar"/>
        <w:rPr>
          <w:lang w:val="es-CL"/>
        </w:rPr>
      </w:pPr>
      <w:r>
        <w:rPr>
          <w:lang w:val="es-CL"/>
        </w:rPr>
        <w:t>Para proyectar el valor total futuro de las exportaciones e importaciones, se utiliza el crecimiento anual compuesto promedio histórico de 9.1% (1950-2013)</w:t>
      </w:r>
    </w:p>
    <w:p w:rsidR="000F2461" w:rsidRDefault="000F2461" w:rsidP="000F2461">
      <w:pPr>
        <w:pStyle w:val="SubSubPar"/>
        <w:rPr>
          <w:lang w:val="es-CL"/>
        </w:rPr>
      </w:pPr>
      <w:r>
        <w:rPr>
          <w:lang w:val="es-CL"/>
        </w:rPr>
        <w:t>El valor de las exportaciones e importaciones del 2013 es de 42,177 y 42,</w:t>
      </w:r>
      <w:r w:rsidR="000545B3">
        <w:rPr>
          <w:lang w:val="es-CL"/>
        </w:rPr>
        <w:t>2</w:t>
      </w:r>
      <w:r>
        <w:rPr>
          <w:lang w:val="es-CL"/>
        </w:rPr>
        <w:t>77 MM USD, respectivamente. (Banco Central de Perú)</w:t>
      </w:r>
    </w:p>
    <w:p w:rsidR="009D1B32" w:rsidRDefault="0031610D" w:rsidP="00763D21">
      <w:pPr>
        <w:pStyle w:val="SubSubPar"/>
        <w:rPr>
          <w:lang w:val="es-CL"/>
        </w:rPr>
      </w:pPr>
      <w:r>
        <w:rPr>
          <w:lang w:val="es-CL"/>
        </w:rPr>
        <w:t>Sólo el 20% de las exportaciones e importaciones utiliza la VUCE.</w:t>
      </w:r>
      <w:sdt>
        <w:sdtPr>
          <w:rPr>
            <w:lang w:val="es-CL"/>
          </w:rPr>
          <w:id w:val="-1536655728"/>
          <w:citation/>
        </w:sdtPr>
        <w:sdtEndPr/>
        <w:sdtContent>
          <w:r w:rsidR="00BD2A50">
            <w:rPr>
              <w:lang w:val="es-CL"/>
            </w:rPr>
            <w:fldChar w:fldCharType="begin"/>
          </w:r>
          <w:r w:rsidR="00BF6B87">
            <w:rPr>
              <w:lang w:val="es-CL"/>
            </w:rPr>
            <w:instrText xml:space="preserve"> CITATION Min14 \l 13322 </w:instrText>
          </w:r>
          <w:r w:rsidR="00BD2A50">
            <w:rPr>
              <w:lang w:val="es-CL"/>
            </w:rPr>
            <w:fldChar w:fldCharType="separate"/>
          </w:r>
          <w:r w:rsidR="00C53916">
            <w:rPr>
              <w:noProof/>
              <w:lang w:val="es-CL"/>
            </w:rPr>
            <w:t xml:space="preserve"> </w:t>
          </w:r>
          <w:r w:rsidR="00C53916" w:rsidRPr="00C53916">
            <w:rPr>
              <w:noProof/>
              <w:lang w:val="es-CL"/>
            </w:rPr>
            <w:t>(Ministerio de Comercio Exterior y Turismo)</w:t>
          </w:r>
          <w:r w:rsidR="00BD2A50">
            <w:rPr>
              <w:lang w:val="es-CL"/>
            </w:rPr>
            <w:fldChar w:fldCharType="end"/>
          </w:r>
        </w:sdtContent>
      </w:sdt>
    </w:p>
    <w:p w:rsidR="0031610D" w:rsidRDefault="009D1B32" w:rsidP="00763D21">
      <w:pPr>
        <w:pStyle w:val="SubSubPar"/>
        <w:rPr>
          <w:lang w:val="es-CL"/>
        </w:rPr>
      </w:pPr>
      <w:r>
        <w:rPr>
          <w:lang w:val="es-CL"/>
        </w:rPr>
        <w:t xml:space="preserve">El costo privado del capital se calcula en función de los días de espera ahorrados y el costo anual privado del capital de 5%. </w:t>
      </w:r>
      <w:sdt>
        <w:sdtPr>
          <w:rPr>
            <w:lang w:val="es-CL"/>
          </w:rPr>
          <w:id w:val="-388187089"/>
          <w:citation/>
        </w:sdtPr>
        <w:sdtEndPr/>
        <w:sdtContent>
          <w:r w:rsidR="00BD2A50">
            <w:rPr>
              <w:lang w:val="es-CL"/>
            </w:rPr>
            <w:fldChar w:fldCharType="begin"/>
          </w:r>
          <w:r>
            <w:rPr>
              <w:lang w:val="es-CL"/>
            </w:rPr>
            <w:instrText xml:space="preserve"> CITATION Asw14 \l 13322 </w:instrText>
          </w:r>
          <w:r w:rsidR="00BD2A50">
            <w:rPr>
              <w:lang w:val="es-CL"/>
            </w:rPr>
            <w:fldChar w:fldCharType="separate"/>
          </w:r>
          <w:r w:rsidR="00C53916" w:rsidRPr="00C53916">
            <w:rPr>
              <w:noProof/>
              <w:lang w:val="es-CL"/>
            </w:rPr>
            <w:t>(Damodaran)</w:t>
          </w:r>
          <w:r w:rsidR="00BD2A50">
            <w:rPr>
              <w:lang w:val="es-CL"/>
            </w:rPr>
            <w:fldChar w:fldCharType="end"/>
          </w:r>
        </w:sdtContent>
      </w:sdt>
      <w:r w:rsidR="0031610D">
        <w:rPr>
          <w:lang w:val="es-CL"/>
        </w:rPr>
        <w:t xml:space="preserve"> </w:t>
      </w:r>
    </w:p>
    <w:p w:rsidR="00430F94" w:rsidRDefault="00430F94" w:rsidP="00430F94">
      <w:pPr>
        <w:pStyle w:val="subpar"/>
        <w:rPr>
          <w:lang w:val="es-CL"/>
        </w:rPr>
      </w:pPr>
      <w:r w:rsidRPr="00BD517F">
        <w:rPr>
          <w:b/>
          <w:lang w:val="es-CL"/>
        </w:rPr>
        <w:t>Cost</w:t>
      </w:r>
      <w:r w:rsidR="00DC5EFB" w:rsidRPr="00BD517F">
        <w:rPr>
          <w:b/>
          <w:lang w:val="es-CL"/>
        </w:rPr>
        <w:t>o</w:t>
      </w:r>
      <w:r w:rsidRPr="00BD517F">
        <w:rPr>
          <w:b/>
          <w:lang w:val="es-CL"/>
        </w:rPr>
        <w:t xml:space="preserve"> del </w:t>
      </w:r>
      <w:r w:rsidR="00EB65B8">
        <w:rPr>
          <w:b/>
          <w:lang w:val="es-CL"/>
        </w:rPr>
        <w:t>Proyecto</w:t>
      </w:r>
      <w:r>
        <w:rPr>
          <w:lang w:val="es-CL"/>
        </w:rPr>
        <w:t>.</w:t>
      </w:r>
      <w:r w:rsidR="00520CF3">
        <w:rPr>
          <w:lang w:val="es-CL"/>
        </w:rPr>
        <w:t xml:space="preserve"> El coste del </w:t>
      </w:r>
      <w:r w:rsidR="00EB65B8">
        <w:rPr>
          <w:lang w:val="es-CL"/>
        </w:rPr>
        <w:t>Proyecto</w:t>
      </w:r>
      <w:r w:rsidR="00520CF3">
        <w:rPr>
          <w:lang w:val="es-CL"/>
        </w:rPr>
        <w:t xml:space="preserve"> sería de 49.9 MM USD, que resulta del promedio de las dos alternativas presentadas en el estudio – 48.2 y 51.6 MM USD</w:t>
      </w:r>
      <w:r>
        <w:rPr>
          <w:lang w:val="es-CL"/>
        </w:rPr>
        <w:t xml:space="preserve"> </w:t>
      </w:r>
      <w:sdt>
        <w:sdtPr>
          <w:rPr>
            <w:lang w:val="es-CL"/>
          </w:rPr>
          <w:id w:val="-513070740"/>
          <w:citation/>
        </w:sdtPr>
        <w:sdtEndPr/>
        <w:sdtContent>
          <w:r w:rsidR="00BD2A50">
            <w:rPr>
              <w:lang w:val="es-CL"/>
            </w:rPr>
            <w:fldChar w:fldCharType="begin"/>
          </w:r>
          <w:r w:rsidR="00520CF3">
            <w:rPr>
              <w:lang w:val="es-CL"/>
            </w:rPr>
            <w:instrText xml:space="preserve"> CITATION Mig \l 13322 </w:instrText>
          </w:r>
          <w:r w:rsidR="00BD2A50">
            <w:rPr>
              <w:lang w:val="es-CL"/>
            </w:rPr>
            <w:fldChar w:fldCharType="separate"/>
          </w:r>
          <w:r w:rsidR="00C53916" w:rsidRPr="00C53916">
            <w:rPr>
              <w:noProof/>
              <w:lang w:val="es-CL"/>
            </w:rPr>
            <w:t>(Prialé &amp; Valenzuela, 2014)</w:t>
          </w:r>
          <w:r w:rsidR="00BD2A50">
            <w:rPr>
              <w:lang w:val="es-CL"/>
            </w:rPr>
            <w:fldChar w:fldCharType="end"/>
          </w:r>
        </w:sdtContent>
      </w:sdt>
      <w:r w:rsidR="00520CF3">
        <w:rPr>
          <w:lang w:val="es-CL"/>
        </w:rPr>
        <w:t>.</w:t>
      </w:r>
    </w:p>
    <w:p w:rsidR="00904498" w:rsidRDefault="00904498" w:rsidP="00904498">
      <w:pPr>
        <w:pStyle w:val="SubSubPar"/>
        <w:rPr>
          <w:lang w:val="es-CL"/>
        </w:rPr>
      </w:pPr>
      <w:r>
        <w:rPr>
          <w:lang w:val="es-CL"/>
        </w:rPr>
        <w:t>88% del monto corresponde a la inversión inicial (CAPEX) y 12% al costo de mantención (OPEX)</w:t>
      </w:r>
      <w:r w:rsidR="007023FE">
        <w:rPr>
          <w:lang w:val="es-CL"/>
        </w:rPr>
        <w:t xml:space="preserve"> </w:t>
      </w:r>
      <w:sdt>
        <w:sdtPr>
          <w:rPr>
            <w:lang w:val="es-CL"/>
          </w:rPr>
          <w:id w:val="2115400709"/>
          <w:citation/>
        </w:sdtPr>
        <w:sdtEndPr/>
        <w:sdtContent>
          <w:r w:rsidR="00BD2A50">
            <w:rPr>
              <w:lang w:val="es-CL"/>
            </w:rPr>
            <w:fldChar w:fldCharType="begin"/>
          </w:r>
          <w:r w:rsidR="007023FE">
            <w:rPr>
              <w:lang w:val="es-CL"/>
            </w:rPr>
            <w:instrText xml:space="preserve"> CITATION Mig \l 13322 </w:instrText>
          </w:r>
          <w:r w:rsidR="00BD2A50">
            <w:rPr>
              <w:lang w:val="es-CL"/>
            </w:rPr>
            <w:fldChar w:fldCharType="separate"/>
          </w:r>
          <w:r w:rsidR="007023FE" w:rsidRPr="00C53916">
            <w:rPr>
              <w:noProof/>
              <w:lang w:val="es-CL"/>
            </w:rPr>
            <w:t>(Prialé &amp; Valenzuela, 2014)</w:t>
          </w:r>
          <w:r w:rsidR="00BD2A50">
            <w:rPr>
              <w:lang w:val="es-CL"/>
            </w:rPr>
            <w:fldChar w:fldCharType="end"/>
          </w:r>
        </w:sdtContent>
      </w:sdt>
      <w:r w:rsidR="007023FE">
        <w:rPr>
          <w:lang w:val="es-CL"/>
        </w:rPr>
        <w:t>.</w:t>
      </w:r>
    </w:p>
    <w:p w:rsidR="002A5AC4" w:rsidRDefault="002A5AC4" w:rsidP="002A5AC4">
      <w:pPr>
        <w:pStyle w:val="subpar"/>
        <w:rPr>
          <w:lang w:val="es-US"/>
        </w:rPr>
      </w:pPr>
      <w:r w:rsidRPr="00682C9A">
        <w:rPr>
          <w:b/>
          <w:lang w:val="es-CL"/>
        </w:rPr>
        <w:t>Costo de capital.</w:t>
      </w:r>
      <w:r>
        <w:rPr>
          <w:lang w:val="es-CL"/>
        </w:rPr>
        <w:t xml:space="preserve"> </w:t>
      </w:r>
      <w:r>
        <w:rPr>
          <w:lang w:val="es-US"/>
        </w:rPr>
        <w:t xml:space="preserve">Para comparar los beneficios del </w:t>
      </w:r>
      <w:r w:rsidR="00EB65B8">
        <w:rPr>
          <w:lang w:val="es-US"/>
        </w:rPr>
        <w:t>Proyecto</w:t>
      </w:r>
      <w:r w:rsidRPr="003F062D">
        <w:rPr>
          <w:lang w:val="es-US"/>
        </w:rPr>
        <w:t xml:space="preserve"> con el uso alternativo de los recursos</w:t>
      </w:r>
      <w:r>
        <w:rPr>
          <w:lang w:val="es-US"/>
        </w:rPr>
        <w:t>, se utiliza</w:t>
      </w:r>
      <w:r w:rsidRPr="007E283A">
        <w:rPr>
          <w:lang w:val="es-US"/>
        </w:rPr>
        <w:t xml:space="preserve"> una tasa de descuento de 10,49% anual. </w:t>
      </w:r>
    </w:p>
    <w:p w:rsidR="002A5AC4" w:rsidRPr="007E283A" w:rsidRDefault="002A5AC4" w:rsidP="002A5AC4">
      <w:pPr>
        <w:pStyle w:val="SubSubPar"/>
        <w:rPr>
          <w:lang w:val="es-US"/>
        </w:rPr>
      </w:pPr>
      <w:r w:rsidRPr="007E283A">
        <w:rPr>
          <w:lang w:val="es-US"/>
        </w:rPr>
        <w:t>Esta tasa corresponde al costo oportunidad social de los fondos  medidos como la suma del riesgo país asociado a Perú 2.85%</w:t>
      </w:r>
      <w:sdt>
        <w:sdtPr>
          <w:rPr>
            <w:lang w:val="es-US"/>
          </w:rPr>
          <w:id w:val="2135516768"/>
          <w:citation/>
        </w:sdtPr>
        <w:sdtEndPr/>
        <w:sdtContent>
          <w:r w:rsidR="00BD2A50" w:rsidRPr="007E283A">
            <w:rPr>
              <w:lang w:val="es-US"/>
            </w:rPr>
            <w:fldChar w:fldCharType="begin"/>
          </w:r>
          <w:r w:rsidRPr="007E283A">
            <w:rPr>
              <w:lang w:val="es-US"/>
            </w:rPr>
            <w:instrText xml:space="preserve"> CITATION Asw14 \l 13322 </w:instrText>
          </w:r>
          <w:r w:rsidR="00BD2A50" w:rsidRPr="007E283A">
            <w:rPr>
              <w:lang w:val="es-US"/>
            </w:rPr>
            <w:fldChar w:fldCharType="separate"/>
          </w:r>
          <w:r w:rsidR="00C53916">
            <w:rPr>
              <w:noProof/>
              <w:lang w:val="es-US"/>
            </w:rPr>
            <w:t xml:space="preserve"> </w:t>
          </w:r>
          <w:r w:rsidR="00C53916" w:rsidRPr="00C53916">
            <w:rPr>
              <w:noProof/>
              <w:lang w:val="es-US"/>
            </w:rPr>
            <w:t>(Damodaran)</w:t>
          </w:r>
          <w:r w:rsidR="00BD2A50" w:rsidRPr="007E283A">
            <w:rPr>
              <w:lang w:val="es-US"/>
            </w:rPr>
            <w:fldChar w:fldCharType="end"/>
          </w:r>
        </w:sdtContent>
      </w:sdt>
      <w:r w:rsidRPr="007E283A">
        <w:rPr>
          <w:lang w:val="es-US"/>
        </w:rPr>
        <w:t xml:space="preserve">, más una tasa libre de riesgo de 2.64% que corresponde  a la tasa de los bonos soberados a 10 años de Estados Unidos </w:t>
      </w:r>
      <w:sdt>
        <w:sdtPr>
          <w:rPr>
            <w:lang w:val="es-US"/>
          </w:rPr>
          <w:id w:val="-856432276"/>
          <w:citation/>
        </w:sdtPr>
        <w:sdtEndPr/>
        <w:sdtContent>
          <w:r w:rsidR="00BD2A50" w:rsidRPr="007E283A">
            <w:rPr>
              <w:lang w:val="es-US"/>
            </w:rPr>
            <w:fldChar w:fldCharType="begin"/>
          </w:r>
          <w:r w:rsidRPr="007E283A">
            <w:rPr>
              <w:lang w:val="es-US"/>
            </w:rPr>
            <w:instrText xml:space="preserve"> CITATION Mar14 \l 13322 </w:instrText>
          </w:r>
          <w:r w:rsidR="00BD2A50" w:rsidRPr="007E283A">
            <w:rPr>
              <w:lang w:val="es-US"/>
            </w:rPr>
            <w:fldChar w:fldCharType="separate"/>
          </w:r>
          <w:r w:rsidR="00C53916" w:rsidRPr="00C53916">
            <w:rPr>
              <w:noProof/>
              <w:lang w:val="es-US"/>
            </w:rPr>
            <w:t>(MarketWatch)</w:t>
          </w:r>
          <w:r w:rsidR="00BD2A50" w:rsidRPr="007E283A">
            <w:rPr>
              <w:lang w:val="es-US"/>
            </w:rPr>
            <w:fldChar w:fldCharType="end"/>
          </w:r>
        </w:sdtContent>
      </w:sdt>
      <w:r w:rsidRPr="007E283A">
        <w:rPr>
          <w:lang w:val="es-US"/>
        </w:rPr>
        <w:t xml:space="preserve"> y 5% de retorno asociado a mercados de acciones desarrollados </w:t>
      </w:r>
      <w:sdt>
        <w:sdtPr>
          <w:rPr>
            <w:lang w:val="es-US"/>
          </w:rPr>
          <w:id w:val="1160814742"/>
          <w:citation/>
        </w:sdtPr>
        <w:sdtEndPr/>
        <w:sdtContent>
          <w:r w:rsidR="00BD2A50" w:rsidRPr="007E283A">
            <w:rPr>
              <w:lang w:val="es-US"/>
            </w:rPr>
            <w:fldChar w:fldCharType="begin"/>
          </w:r>
          <w:r w:rsidRPr="007E283A">
            <w:rPr>
              <w:lang w:val="es-US"/>
            </w:rPr>
            <w:instrText xml:space="preserve"> CITATION Asw14 \l 13322 </w:instrText>
          </w:r>
          <w:r w:rsidR="00BD2A50" w:rsidRPr="007E283A">
            <w:rPr>
              <w:lang w:val="es-US"/>
            </w:rPr>
            <w:fldChar w:fldCharType="separate"/>
          </w:r>
          <w:r w:rsidR="00C53916" w:rsidRPr="00C53916">
            <w:rPr>
              <w:noProof/>
              <w:lang w:val="es-US"/>
            </w:rPr>
            <w:t>(Damodaran)</w:t>
          </w:r>
          <w:r w:rsidR="00BD2A50" w:rsidRPr="007E283A">
            <w:rPr>
              <w:lang w:val="es-US"/>
            </w:rPr>
            <w:fldChar w:fldCharType="end"/>
          </w:r>
        </w:sdtContent>
      </w:sdt>
      <w:r w:rsidRPr="007E283A">
        <w:rPr>
          <w:lang w:val="es-US"/>
        </w:rPr>
        <w:t>.</w:t>
      </w:r>
    </w:p>
    <w:p w:rsidR="002A5AC4" w:rsidRDefault="002A5AC4" w:rsidP="002A5AC4">
      <w:pPr>
        <w:pStyle w:val="SubSubPar"/>
        <w:rPr>
          <w:lang w:val="es-US"/>
        </w:rPr>
      </w:pPr>
      <w:r>
        <w:rPr>
          <w:lang w:val="es-US"/>
        </w:rPr>
        <w:t xml:space="preserve">La tasa de descuento elegida está dentro del rango aceptable </w:t>
      </w:r>
      <w:r>
        <w:rPr>
          <w:rFonts w:ascii="Courier New" w:hAnsi="Courier New" w:cs="Courier New"/>
          <w:lang w:val="es-US"/>
        </w:rPr>
        <w:t>-</w:t>
      </w:r>
      <w:r>
        <w:rPr>
          <w:lang w:val="es-US"/>
        </w:rPr>
        <w:t xml:space="preserve"> entre 6 y 8% real </w:t>
      </w:r>
      <w:r>
        <w:rPr>
          <w:rFonts w:ascii="Courier New" w:hAnsi="Courier New" w:cs="Courier New"/>
          <w:lang w:val="es-US"/>
        </w:rPr>
        <w:t>-</w:t>
      </w:r>
      <w:r>
        <w:rPr>
          <w:lang w:val="es-US"/>
        </w:rPr>
        <w:t xml:space="preserve"> para análisis costo beneficio </w:t>
      </w:r>
      <w:sdt>
        <w:sdtPr>
          <w:rPr>
            <w:lang w:val="es-US"/>
          </w:rPr>
          <w:id w:val="69467161"/>
          <w:citation/>
        </w:sdtPr>
        <w:sdtEndPr/>
        <w:sdtContent>
          <w:r w:rsidR="00BD2A50" w:rsidRPr="007E283A">
            <w:rPr>
              <w:lang w:val="es-US"/>
            </w:rPr>
            <w:fldChar w:fldCharType="begin"/>
          </w:r>
          <w:r w:rsidRPr="007E283A">
            <w:rPr>
              <w:lang w:val="es-CL"/>
            </w:rPr>
            <w:instrText xml:space="preserve"> CITATION Bur11 \l 13322 </w:instrText>
          </w:r>
          <w:r w:rsidR="00BD2A50" w:rsidRPr="007E283A">
            <w:rPr>
              <w:lang w:val="es-US"/>
            </w:rPr>
            <w:fldChar w:fldCharType="separate"/>
          </w:r>
          <w:r w:rsidR="00C53916" w:rsidRPr="00C53916">
            <w:rPr>
              <w:noProof/>
              <w:lang w:val="es-CL"/>
            </w:rPr>
            <w:t>(Burgess, 2011)</w:t>
          </w:r>
          <w:r w:rsidR="00BD2A50" w:rsidRPr="007E283A">
            <w:rPr>
              <w:lang w:val="es-US"/>
            </w:rPr>
            <w:fldChar w:fldCharType="end"/>
          </w:r>
        </w:sdtContent>
      </w:sdt>
    </w:p>
    <w:p w:rsidR="004320B1" w:rsidRPr="009B266E" w:rsidRDefault="004320B1" w:rsidP="004320B1">
      <w:pPr>
        <w:pStyle w:val="FirstHeading"/>
        <w:numPr>
          <w:ilvl w:val="0"/>
          <w:numId w:val="1"/>
        </w:numPr>
        <w:ind w:firstLine="0"/>
        <w:rPr>
          <w:lang w:val="es-CL"/>
        </w:rPr>
      </w:pPr>
      <w:bookmarkStart w:id="4" w:name="_Toc373940837"/>
      <w:r w:rsidRPr="009B266E">
        <w:rPr>
          <w:lang w:val="es-CL"/>
        </w:rPr>
        <w:t xml:space="preserve">Valorización del </w:t>
      </w:r>
      <w:bookmarkEnd w:id="4"/>
      <w:r w:rsidR="00EB65B8">
        <w:rPr>
          <w:lang w:val="es-CL"/>
        </w:rPr>
        <w:t>Proyecto</w:t>
      </w:r>
      <w:r w:rsidR="009B266E" w:rsidRPr="009B266E">
        <w:rPr>
          <w:lang w:val="es-CL"/>
        </w:rPr>
        <w:t>, análisis de sensibilidad y valor c</w:t>
      </w:r>
      <w:r w:rsidR="009B266E">
        <w:rPr>
          <w:lang w:val="es-CL"/>
        </w:rPr>
        <w:t>rítico</w:t>
      </w:r>
    </w:p>
    <w:p w:rsidR="007B4A97" w:rsidRPr="002066DF" w:rsidRDefault="007B4A97" w:rsidP="007B4A97">
      <w:pPr>
        <w:pStyle w:val="Paragraph"/>
        <w:rPr>
          <w:szCs w:val="24"/>
          <w:lang w:val="es-CL"/>
        </w:rPr>
      </w:pPr>
      <w:r w:rsidRPr="002066DF">
        <w:rPr>
          <w:szCs w:val="24"/>
          <w:lang w:val="es-CL"/>
        </w:rPr>
        <w:t xml:space="preserve">En función a los supuestos y proyecciones presentadas en las secciones anteriores, el cálculo del VAN (valor actual neto) y de la TIR (tasa interna de retorno) para el caso base es de </w:t>
      </w:r>
      <w:r w:rsidR="00F9112F">
        <w:rPr>
          <w:szCs w:val="24"/>
          <w:lang w:val="es-CL"/>
        </w:rPr>
        <w:t>35</w:t>
      </w:r>
      <w:r w:rsidR="00E03959">
        <w:rPr>
          <w:szCs w:val="24"/>
          <w:lang w:val="es-CL"/>
        </w:rPr>
        <w:t>.</w:t>
      </w:r>
      <w:r w:rsidR="00F9112F">
        <w:rPr>
          <w:szCs w:val="24"/>
          <w:lang w:val="es-CL"/>
        </w:rPr>
        <w:t>7</w:t>
      </w:r>
      <w:r w:rsidRPr="002066DF">
        <w:rPr>
          <w:szCs w:val="24"/>
          <w:lang w:val="es-CL"/>
        </w:rPr>
        <w:t xml:space="preserve"> MM USD y </w:t>
      </w:r>
      <w:r>
        <w:rPr>
          <w:szCs w:val="24"/>
          <w:lang w:val="es-CL"/>
        </w:rPr>
        <w:t>2</w:t>
      </w:r>
      <w:r w:rsidR="00F9112F">
        <w:rPr>
          <w:szCs w:val="24"/>
          <w:lang w:val="es-CL"/>
        </w:rPr>
        <w:t>8</w:t>
      </w:r>
      <w:r w:rsidRPr="002066DF">
        <w:rPr>
          <w:szCs w:val="24"/>
          <w:lang w:val="es-CL"/>
        </w:rPr>
        <w:t>%, respectivamente.</w:t>
      </w:r>
    </w:p>
    <w:p w:rsidR="00623C7C" w:rsidRDefault="00F9112F" w:rsidP="007B4A97">
      <w:pPr>
        <w:pStyle w:val="subpar"/>
        <w:rPr>
          <w:lang w:val="es-US"/>
        </w:rPr>
      </w:pPr>
      <w:r>
        <w:rPr>
          <w:lang w:val="es-US"/>
        </w:rPr>
        <w:t>51</w:t>
      </w:r>
      <w:r w:rsidR="00122C0B" w:rsidRPr="00122C0B">
        <w:rPr>
          <w:lang w:val="es-US"/>
        </w:rPr>
        <w:t>% de</w:t>
      </w:r>
      <w:r w:rsidR="00122C0B">
        <w:rPr>
          <w:lang w:val="es-US"/>
        </w:rPr>
        <w:t xml:space="preserve"> los beneficios del </w:t>
      </w:r>
      <w:r w:rsidR="00EB65B8">
        <w:rPr>
          <w:lang w:val="es-US"/>
        </w:rPr>
        <w:t>Proyecto</w:t>
      </w:r>
      <w:r w:rsidR="00122C0B">
        <w:rPr>
          <w:lang w:val="es-US"/>
        </w:rPr>
        <w:t xml:space="preserve"> se explicarían por la implementación del PCS y el </w:t>
      </w:r>
      <w:r>
        <w:rPr>
          <w:lang w:val="es-US"/>
        </w:rPr>
        <w:t>49</w:t>
      </w:r>
      <w:r w:rsidR="00122C0B">
        <w:rPr>
          <w:lang w:val="es-US"/>
        </w:rPr>
        <w:t>% restante lo explicaría la reducción de 2 días en tiempos de tramitación de exportaciones e importaciones.</w:t>
      </w:r>
    </w:p>
    <w:p w:rsidR="005F4AD3" w:rsidRPr="00122C0B" w:rsidRDefault="005F4AD3" w:rsidP="005F4AD3">
      <w:pPr>
        <w:pStyle w:val="SubSubPar"/>
        <w:rPr>
          <w:lang w:val="es-US"/>
        </w:rPr>
      </w:pPr>
      <w:r>
        <w:rPr>
          <w:lang w:val="es-US"/>
        </w:rPr>
        <w:t xml:space="preserve">La brecha actual </w:t>
      </w:r>
      <w:r w:rsidR="00861412">
        <w:rPr>
          <w:lang w:val="es-US"/>
        </w:rPr>
        <w:t>entre Perú y el mejor desempeño de la región es de 4 y 9 días de tramitación de exportación e importaciones, respectivamente</w:t>
      </w:r>
      <w:r w:rsidR="00B91247" w:rsidRPr="00B91247">
        <w:rPr>
          <w:lang w:val="es-US"/>
        </w:rPr>
        <w:t xml:space="preserve"> </w:t>
      </w:r>
      <w:sdt>
        <w:sdtPr>
          <w:rPr>
            <w:lang w:val="es-US"/>
          </w:rPr>
          <w:id w:val="-762299372"/>
          <w:citation/>
        </w:sdtPr>
        <w:sdtEndPr/>
        <w:sdtContent>
          <w:r w:rsidR="00BD2A50">
            <w:rPr>
              <w:lang w:val="es-US"/>
            </w:rPr>
            <w:fldChar w:fldCharType="begin"/>
          </w:r>
          <w:r w:rsidR="00B91247">
            <w:rPr>
              <w:lang w:val="es-CL"/>
            </w:rPr>
            <w:instrText xml:space="preserve"> CITATION Wor14 \l 13322 </w:instrText>
          </w:r>
          <w:r w:rsidR="00BD2A50">
            <w:rPr>
              <w:lang w:val="es-US"/>
            </w:rPr>
            <w:fldChar w:fldCharType="separate"/>
          </w:r>
          <w:r w:rsidR="00C53916" w:rsidRPr="00C53916">
            <w:rPr>
              <w:noProof/>
              <w:lang w:val="es-CL"/>
            </w:rPr>
            <w:t>(World Bank, 2014)</w:t>
          </w:r>
          <w:r w:rsidR="00BD2A50">
            <w:rPr>
              <w:lang w:val="es-US"/>
            </w:rPr>
            <w:fldChar w:fldCharType="end"/>
          </w:r>
        </w:sdtContent>
      </w:sdt>
      <w:r w:rsidR="00861412">
        <w:rPr>
          <w:lang w:val="es-US"/>
        </w:rPr>
        <w:t>. Esto sugiere que habría espacio de mejora a capturar.</w:t>
      </w:r>
    </w:p>
    <w:p w:rsidR="00927B7B" w:rsidRDefault="00D93CE0" w:rsidP="00BC2967">
      <w:pPr>
        <w:pStyle w:val="Paragraph"/>
        <w:jc w:val="left"/>
        <w:rPr>
          <w:lang w:val="es-US"/>
        </w:rPr>
      </w:pPr>
      <w:r>
        <w:rPr>
          <w:lang w:val="es-US"/>
        </w:rPr>
        <w:t xml:space="preserve">El valor crítico del </w:t>
      </w:r>
      <w:r w:rsidR="00EB65B8">
        <w:rPr>
          <w:lang w:val="es-US"/>
        </w:rPr>
        <w:t>Proyecto</w:t>
      </w:r>
      <w:r>
        <w:rPr>
          <w:lang w:val="es-US"/>
        </w:rPr>
        <w:t xml:space="preserve"> sería </w:t>
      </w:r>
      <w:r w:rsidR="00092B17">
        <w:rPr>
          <w:lang w:val="es-US"/>
        </w:rPr>
        <w:t>2</w:t>
      </w:r>
      <w:r w:rsidR="0020371E">
        <w:rPr>
          <w:lang w:val="es-US"/>
        </w:rPr>
        <w:t>.</w:t>
      </w:r>
      <w:r w:rsidR="00092B17">
        <w:rPr>
          <w:lang w:val="es-US"/>
        </w:rPr>
        <w:t>37</w:t>
      </w:r>
      <w:r>
        <w:rPr>
          <w:lang w:val="es-US"/>
        </w:rPr>
        <w:t xml:space="preserve"> días de ahorro </w:t>
      </w:r>
      <w:proofErr w:type="spellStart"/>
      <w:r>
        <w:rPr>
          <w:lang w:val="es-US"/>
        </w:rPr>
        <w:t>ó</w:t>
      </w:r>
      <w:proofErr w:type="spellEnd"/>
      <w:r>
        <w:rPr>
          <w:lang w:val="es-US"/>
        </w:rPr>
        <w:t xml:space="preserve"> </w:t>
      </w:r>
      <w:r w:rsidR="00F9112F">
        <w:rPr>
          <w:lang w:val="es-US"/>
        </w:rPr>
        <w:t>10</w:t>
      </w:r>
      <w:r w:rsidR="00710C66">
        <w:rPr>
          <w:lang w:val="es-US"/>
        </w:rPr>
        <w:t>.</w:t>
      </w:r>
      <w:r w:rsidR="00F9112F">
        <w:rPr>
          <w:lang w:val="es-US"/>
        </w:rPr>
        <w:t>2</w:t>
      </w:r>
      <w:r w:rsidR="0057057F">
        <w:rPr>
          <w:lang w:val="es-US"/>
        </w:rPr>
        <w:t xml:space="preserve"> USD por contenedor</w:t>
      </w:r>
      <w:r>
        <w:rPr>
          <w:lang w:val="es-US"/>
        </w:rPr>
        <w:t xml:space="preserve"> de ahorro de costos </w:t>
      </w:r>
      <w:r w:rsidR="0057057F">
        <w:rPr>
          <w:lang w:val="es-US"/>
        </w:rPr>
        <w:t xml:space="preserve">de coordinación </w:t>
      </w:r>
      <w:r>
        <w:rPr>
          <w:lang w:val="es-US"/>
        </w:rPr>
        <w:t>portuarios. Ambos ahorros,</w:t>
      </w:r>
      <w:r w:rsidR="006223AF">
        <w:rPr>
          <w:lang w:val="es-US"/>
        </w:rPr>
        <w:t xml:space="preserve"> por sí </w:t>
      </w:r>
      <w:r>
        <w:rPr>
          <w:lang w:val="es-US"/>
        </w:rPr>
        <w:t>solos</w:t>
      </w:r>
      <w:r w:rsidR="006223AF">
        <w:rPr>
          <w:lang w:val="es-US"/>
        </w:rPr>
        <w:t>,</w:t>
      </w:r>
      <w:r>
        <w:rPr>
          <w:lang w:val="es-US"/>
        </w:rPr>
        <w:t xml:space="preserve"> harían viable – </w:t>
      </w:r>
      <w:r w:rsidR="000B564F">
        <w:rPr>
          <w:lang w:val="es-US"/>
        </w:rPr>
        <w:t>VAN</w:t>
      </w:r>
      <w:r>
        <w:rPr>
          <w:lang w:val="es-US"/>
        </w:rPr>
        <w:t xml:space="preserve"> positivo – el </w:t>
      </w:r>
      <w:r w:rsidR="00EB65B8">
        <w:rPr>
          <w:lang w:val="es-US"/>
        </w:rPr>
        <w:t>Proyecto</w:t>
      </w:r>
      <w:r w:rsidR="00E974A6">
        <w:rPr>
          <w:lang w:val="es-US"/>
        </w:rPr>
        <w:t xml:space="preserve"> (</w:t>
      </w:r>
      <w:r w:rsidR="00BD2A50">
        <w:rPr>
          <w:lang w:val="es-US"/>
        </w:rPr>
        <w:fldChar w:fldCharType="begin"/>
      </w:r>
      <w:r w:rsidR="00E974A6">
        <w:rPr>
          <w:lang w:val="es-US"/>
        </w:rPr>
        <w:instrText xml:space="preserve"> REF _Ref394499294 \h </w:instrText>
      </w:r>
      <w:r w:rsidR="00BD2A50">
        <w:rPr>
          <w:lang w:val="es-US"/>
        </w:rPr>
      </w:r>
      <w:r w:rsidR="00BD2A50">
        <w:rPr>
          <w:lang w:val="es-US"/>
        </w:rPr>
        <w:fldChar w:fldCharType="separate"/>
      </w:r>
      <w:r w:rsidR="00D26BA1" w:rsidRPr="0047450D">
        <w:rPr>
          <w:lang w:val="es-ES_tradnl"/>
        </w:rPr>
        <w:t xml:space="preserve">Tabla </w:t>
      </w:r>
      <w:r w:rsidR="00D26BA1" w:rsidRPr="0047450D">
        <w:rPr>
          <w:noProof/>
          <w:lang w:val="es-ES_tradnl"/>
        </w:rPr>
        <w:t>2</w:t>
      </w:r>
      <w:r w:rsidR="00BD2A50">
        <w:rPr>
          <w:lang w:val="es-US"/>
        </w:rPr>
        <w:fldChar w:fldCharType="end"/>
      </w:r>
      <w:r w:rsidR="00E974A6">
        <w:rPr>
          <w:lang w:val="es-US"/>
        </w:rPr>
        <w:t>)</w:t>
      </w:r>
      <w:r w:rsidR="00720114">
        <w:rPr>
          <w:lang w:val="es-US"/>
        </w:rPr>
        <w:t>.</w:t>
      </w:r>
    </w:p>
    <w:p w:rsidR="009A339B" w:rsidRPr="001F3F35" w:rsidRDefault="009A339B" w:rsidP="009A339B">
      <w:pPr>
        <w:pStyle w:val="Caption"/>
        <w:spacing w:before="240"/>
        <w:ind w:left="288"/>
      </w:pPr>
      <w:bookmarkStart w:id="5" w:name="_Ref394499294"/>
      <w:r w:rsidRPr="00344EF9">
        <w:t xml:space="preserve">Tabla </w:t>
      </w:r>
      <w:r w:rsidR="00BD2A50">
        <w:fldChar w:fldCharType="begin"/>
      </w:r>
      <w:r w:rsidR="00682773">
        <w:instrText xml:space="preserve"> SEQ Tabla \* ARABIC </w:instrText>
      </w:r>
      <w:r w:rsidR="00BD2A50">
        <w:fldChar w:fldCharType="separate"/>
      </w:r>
      <w:r w:rsidR="00D26BA1">
        <w:rPr>
          <w:noProof/>
        </w:rPr>
        <w:t>2</w:t>
      </w:r>
      <w:r w:rsidR="00BD2A50">
        <w:rPr>
          <w:noProof/>
        </w:rPr>
        <w:fldChar w:fldCharType="end"/>
      </w:r>
      <w:bookmarkEnd w:id="5"/>
      <w:r w:rsidRPr="00344EF9">
        <w:t xml:space="preserve">: </w:t>
      </w:r>
      <w:r w:rsidRPr="009A339B">
        <w:t xml:space="preserve">El VAN del </w:t>
      </w:r>
      <w:r w:rsidR="00EB65B8">
        <w:t>Proyecto</w:t>
      </w:r>
      <w:r w:rsidRPr="009A339B">
        <w:t xml:space="preserve"> es altamente sensible </w:t>
      </w:r>
      <w:r>
        <w:br/>
      </w:r>
      <w:r w:rsidRPr="009A339B">
        <w:t xml:space="preserve">a los supuestos de sobre las dos fuentes de ahorro del </w:t>
      </w:r>
      <w:r w:rsidR="00EB65B8">
        <w:t>Proyecto</w:t>
      </w:r>
    </w:p>
    <w:p w:rsidR="001F3F35" w:rsidRPr="001F3F35" w:rsidRDefault="00F9112F" w:rsidP="001F3F35">
      <w:pPr>
        <w:jc w:val="center"/>
        <w:rPr>
          <w:lang w:val="es-CL"/>
        </w:rPr>
      </w:pPr>
      <w:r>
        <w:rPr>
          <w:lang w:val="es-CL"/>
        </w:rPr>
        <w:object w:dxaOrig="6834" w:dyaOrig="22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1.65pt;height:110.05pt" o:ole="">
            <v:imagedata r:id="rId13" o:title=""/>
          </v:shape>
          <o:OLEObject Type="Embed" ProgID="Excel.Sheet.12" ShapeID="_x0000_i1025" DrawAspect="Content" ObjectID="_1503300783" r:id="rId14"/>
        </w:object>
      </w:r>
    </w:p>
    <w:p w:rsidR="00BC2967" w:rsidRPr="00710C66" w:rsidRDefault="00AB0635" w:rsidP="00BC2967">
      <w:pPr>
        <w:pStyle w:val="Paragraph"/>
        <w:jc w:val="left"/>
        <w:rPr>
          <w:lang w:val="es-US"/>
        </w:rPr>
      </w:pPr>
      <w:r>
        <w:rPr>
          <w:lang w:val="es-US"/>
        </w:rPr>
        <w:t>Si los supuestos del escenario base se cumplen, l</w:t>
      </w:r>
      <w:r w:rsidR="00F95FF2" w:rsidRPr="00710C66">
        <w:rPr>
          <w:lang w:val="es-US"/>
        </w:rPr>
        <w:t xml:space="preserve">a </w:t>
      </w:r>
      <w:r w:rsidR="00B810B1" w:rsidRPr="00710C66">
        <w:rPr>
          <w:lang w:val="es-US"/>
        </w:rPr>
        <w:t>viabilidad económica</w:t>
      </w:r>
      <w:r w:rsidR="00F95FF2" w:rsidRPr="00710C66">
        <w:rPr>
          <w:lang w:val="es-US"/>
        </w:rPr>
        <w:t xml:space="preserve"> del </w:t>
      </w:r>
      <w:r w:rsidR="00EB65B8">
        <w:rPr>
          <w:lang w:val="es-US"/>
        </w:rPr>
        <w:t>Proyecto</w:t>
      </w:r>
      <w:r w:rsidR="00F95FF2" w:rsidRPr="00710C66">
        <w:rPr>
          <w:lang w:val="es-US"/>
        </w:rPr>
        <w:t xml:space="preserve"> no depende </w:t>
      </w:r>
      <w:r w:rsidR="004E2475" w:rsidRPr="00710C66">
        <w:rPr>
          <w:lang w:val="es-US"/>
        </w:rPr>
        <w:t>del</w:t>
      </w:r>
      <w:r w:rsidR="00B810B1" w:rsidRPr="00710C66">
        <w:rPr>
          <w:lang w:val="es-US"/>
        </w:rPr>
        <w:t xml:space="preserve"> crecimiento de las importaciones o exportaciones, ni del </w:t>
      </w:r>
      <w:r w:rsidR="00912417" w:rsidRPr="00710C66">
        <w:rPr>
          <w:lang w:val="es-US"/>
        </w:rPr>
        <w:t xml:space="preserve">crecimiento de </w:t>
      </w:r>
      <w:r w:rsidR="00B810B1" w:rsidRPr="00710C66">
        <w:rPr>
          <w:lang w:val="es-US"/>
        </w:rPr>
        <w:t xml:space="preserve">tráfico </w:t>
      </w:r>
      <w:r w:rsidR="00912417" w:rsidRPr="00710C66">
        <w:rPr>
          <w:lang w:val="es-US"/>
        </w:rPr>
        <w:t>en</w:t>
      </w:r>
      <w:r w:rsidR="00B810B1" w:rsidRPr="00710C66">
        <w:rPr>
          <w:lang w:val="es-US"/>
        </w:rPr>
        <w:t xml:space="preserve"> </w:t>
      </w:r>
      <w:r>
        <w:rPr>
          <w:lang w:val="es-US"/>
        </w:rPr>
        <w:t xml:space="preserve">Puerto </w:t>
      </w:r>
      <w:r w:rsidR="00B810B1" w:rsidRPr="00710C66">
        <w:rPr>
          <w:lang w:val="es-US"/>
        </w:rPr>
        <w:t>Callao.</w:t>
      </w:r>
      <w:r w:rsidR="001F315B" w:rsidRPr="00710C66">
        <w:rPr>
          <w:lang w:val="es-US"/>
        </w:rPr>
        <w:t xml:space="preserve"> Un escenario </w:t>
      </w:r>
      <w:r w:rsidR="009F357F" w:rsidRPr="00710C66">
        <w:rPr>
          <w:lang w:val="es-US"/>
        </w:rPr>
        <w:t xml:space="preserve">de </w:t>
      </w:r>
      <w:r w:rsidR="00092B17">
        <w:rPr>
          <w:lang w:val="es-US"/>
        </w:rPr>
        <w:t xml:space="preserve">nulo </w:t>
      </w:r>
      <w:r w:rsidR="009F357F" w:rsidRPr="00710C66">
        <w:rPr>
          <w:lang w:val="es-US"/>
        </w:rPr>
        <w:t xml:space="preserve">crecimiento </w:t>
      </w:r>
      <w:r w:rsidR="00092B17">
        <w:rPr>
          <w:lang w:val="es-US"/>
        </w:rPr>
        <w:t xml:space="preserve">anual </w:t>
      </w:r>
      <w:r w:rsidR="00C04430" w:rsidRPr="00710C66">
        <w:rPr>
          <w:lang w:val="es-US"/>
        </w:rPr>
        <w:t>para ambas variables</w:t>
      </w:r>
      <w:r w:rsidR="001F315B" w:rsidRPr="00710C66">
        <w:rPr>
          <w:lang w:val="es-US"/>
        </w:rPr>
        <w:t xml:space="preserve"> tendría asociado un VAN de </w:t>
      </w:r>
      <w:r w:rsidR="00F9112F">
        <w:rPr>
          <w:lang w:val="es-US"/>
        </w:rPr>
        <w:t>9</w:t>
      </w:r>
      <w:r w:rsidR="001F315B" w:rsidRPr="00710C66">
        <w:rPr>
          <w:lang w:val="es-US"/>
        </w:rPr>
        <w:t>.</w:t>
      </w:r>
      <w:r w:rsidR="00F9112F">
        <w:rPr>
          <w:lang w:val="es-US"/>
        </w:rPr>
        <w:t>3</w:t>
      </w:r>
      <w:r w:rsidR="001F315B" w:rsidRPr="00710C66">
        <w:rPr>
          <w:lang w:val="es-US"/>
        </w:rPr>
        <w:t xml:space="preserve"> MM USD.</w:t>
      </w:r>
    </w:p>
    <w:p w:rsidR="00AB78AA" w:rsidRDefault="00AB78AA" w:rsidP="00AB78AA">
      <w:pPr>
        <w:pStyle w:val="Caption"/>
        <w:spacing w:before="240"/>
        <w:ind w:left="288"/>
        <w:rPr>
          <w:lang w:val="es-US"/>
        </w:rPr>
      </w:pPr>
      <w:r w:rsidRPr="00344EF9">
        <w:t xml:space="preserve">Tabla </w:t>
      </w:r>
      <w:r w:rsidR="00BD2A50">
        <w:fldChar w:fldCharType="begin"/>
      </w:r>
      <w:r w:rsidR="00682773">
        <w:instrText xml:space="preserve"> SEQ Tabla \* ARABIC </w:instrText>
      </w:r>
      <w:r w:rsidR="00BD2A50">
        <w:fldChar w:fldCharType="separate"/>
      </w:r>
      <w:r w:rsidR="00D26BA1">
        <w:rPr>
          <w:noProof/>
        </w:rPr>
        <w:t>3</w:t>
      </w:r>
      <w:r w:rsidR="00BD2A50">
        <w:rPr>
          <w:noProof/>
        </w:rPr>
        <w:fldChar w:fldCharType="end"/>
      </w:r>
      <w:r w:rsidRPr="00344EF9">
        <w:t xml:space="preserve">: </w:t>
      </w:r>
      <w:r>
        <w:rPr>
          <w:lang w:val="es-US"/>
        </w:rPr>
        <w:t xml:space="preserve">La viabilidad económica del </w:t>
      </w:r>
      <w:r w:rsidR="00EB65B8">
        <w:rPr>
          <w:lang w:val="es-US"/>
        </w:rPr>
        <w:t>Proyecto</w:t>
      </w:r>
      <w:r>
        <w:rPr>
          <w:lang w:val="es-US"/>
        </w:rPr>
        <w:t xml:space="preserve"> no depende </w:t>
      </w:r>
      <w:r w:rsidR="00860727">
        <w:rPr>
          <w:lang w:val="es-US"/>
        </w:rPr>
        <w:t>del</w:t>
      </w:r>
      <w:r>
        <w:rPr>
          <w:lang w:val="es-US"/>
        </w:rPr>
        <w:t xml:space="preserve"> crecimiento </w:t>
      </w:r>
      <w:r w:rsidR="00AB0635">
        <w:rPr>
          <w:lang w:val="es-US"/>
        </w:rPr>
        <w:br/>
      </w:r>
      <w:r>
        <w:rPr>
          <w:lang w:val="es-US"/>
        </w:rPr>
        <w:t>de las importaciones o exportaciones, ni del crecimiento de tráfico en Callao</w:t>
      </w:r>
    </w:p>
    <w:p w:rsidR="00092B17" w:rsidRPr="00092B17" w:rsidRDefault="00F9112F" w:rsidP="003D32F3">
      <w:pPr>
        <w:jc w:val="center"/>
        <w:rPr>
          <w:lang w:val="es-US"/>
        </w:rPr>
      </w:pPr>
      <w:r>
        <w:rPr>
          <w:lang w:val="es-US"/>
        </w:rPr>
        <w:object w:dxaOrig="6546" w:dyaOrig="2209">
          <v:shape id="_x0000_i1026" type="#_x0000_t75" style="width:327.4pt;height:110.05pt" o:ole="">
            <v:imagedata r:id="rId15" o:title=""/>
          </v:shape>
          <o:OLEObject Type="Embed" ProgID="Excel.Sheet.12" ShapeID="_x0000_i1026" DrawAspect="Content" ObjectID="_1503300784" r:id="rId16"/>
        </w:object>
      </w:r>
    </w:p>
    <w:p w:rsidR="006B0315" w:rsidRPr="009B266E" w:rsidRDefault="006B0315" w:rsidP="006B0315">
      <w:pPr>
        <w:pStyle w:val="FirstHeading"/>
        <w:numPr>
          <w:ilvl w:val="0"/>
          <w:numId w:val="1"/>
        </w:numPr>
        <w:ind w:firstLine="0"/>
        <w:rPr>
          <w:lang w:val="es-CL"/>
        </w:rPr>
      </w:pPr>
      <w:r>
        <w:rPr>
          <w:lang w:val="es-CL"/>
        </w:rPr>
        <w:t xml:space="preserve">Propuesta para evaluación expost del </w:t>
      </w:r>
      <w:r w:rsidR="00EB65B8">
        <w:rPr>
          <w:lang w:val="es-CL"/>
        </w:rPr>
        <w:t>Proyecto</w:t>
      </w:r>
    </w:p>
    <w:p w:rsidR="00851D6B" w:rsidRDefault="00506188" w:rsidP="00C80328">
      <w:pPr>
        <w:pStyle w:val="Paragraph"/>
        <w:rPr>
          <w:szCs w:val="24"/>
          <w:lang w:val="es-CL"/>
        </w:rPr>
      </w:pPr>
      <w:r>
        <w:rPr>
          <w:szCs w:val="24"/>
          <w:lang w:val="es-CL"/>
        </w:rPr>
        <w:t xml:space="preserve">Para evaluar la rentabilidad </w:t>
      </w:r>
      <w:proofErr w:type="spellStart"/>
      <w:r>
        <w:rPr>
          <w:szCs w:val="24"/>
          <w:lang w:val="es-CL"/>
        </w:rPr>
        <w:t>expost</w:t>
      </w:r>
      <w:proofErr w:type="spellEnd"/>
      <w:r>
        <w:rPr>
          <w:szCs w:val="24"/>
          <w:lang w:val="es-CL"/>
        </w:rPr>
        <w:t xml:space="preserve"> de este </w:t>
      </w:r>
      <w:r w:rsidR="00EB65B8">
        <w:rPr>
          <w:szCs w:val="24"/>
          <w:lang w:val="es-CL"/>
        </w:rPr>
        <w:t>Proyecto</w:t>
      </w:r>
      <w:r>
        <w:rPr>
          <w:szCs w:val="24"/>
          <w:lang w:val="es-CL"/>
        </w:rPr>
        <w:t xml:space="preserve">, se recomienda </w:t>
      </w:r>
      <w:r w:rsidR="00F36E2D">
        <w:rPr>
          <w:szCs w:val="24"/>
          <w:lang w:val="es-CL"/>
        </w:rPr>
        <w:t>actualizar los insumos del modelo de valoración (“</w:t>
      </w:r>
      <w:proofErr w:type="spellStart"/>
      <w:r w:rsidR="00F36E2D">
        <w:rPr>
          <w:szCs w:val="24"/>
          <w:lang w:val="es-CL"/>
        </w:rPr>
        <w:t>Valuation</w:t>
      </w:r>
      <w:proofErr w:type="spellEnd"/>
      <w:r w:rsidR="00F36E2D">
        <w:rPr>
          <w:szCs w:val="24"/>
          <w:lang w:val="es-CL"/>
        </w:rPr>
        <w:t xml:space="preserve"> VUCE 2.0 vs0</w:t>
      </w:r>
      <w:r w:rsidR="00B31611">
        <w:rPr>
          <w:szCs w:val="24"/>
          <w:lang w:val="es-CL"/>
        </w:rPr>
        <w:t>5</w:t>
      </w:r>
      <w:r w:rsidR="00F36E2D">
        <w:rPr>
          <w:szCs w:val="24"/>
          <w:lang w:val="es-CL"/>
        </w:rPr>
        <w:t xml:space="preserve">.xlsm”) al menos 2 veces: antes de comenzar el </w:t>
      </w:r>
      <w:r w:rsidR="00EB65B8">
        <w:rPr>
          <w:szCs w:val="24"/>
          <w:lang w:val="es-CL"/>
        </w:rPr>
        <w:t>Proyecto</w:t>
      </w:r>
      <w:r w:rsidR="00F36E2D">
        <w:rPr>
          <w:szCs w:val="24"/>
          <w:lang w:val="es-CL"/>
        </w:rPr>
        <w:t xml:space="preserve"> y </w:t>
      </w:r>
      <w:r w:rsidR="00365349">
        <w:rPr>
          <w:szCs w:val="24"/>
          <w:lang w:val="es-CL"/>
        </w:rPr>
        <w:t>cinco (</w:t>
      </w:r>
      <w:r w:rsidR="00F36E2D">
        <w:rPr>
          <w:szCs w:val="24"/>
          <w:lang w:val="es-CL"/>
        </w:rPr>
        <w:t>5</w:t>
      </w:r>
      <w:r w:rsidR="00365349">
        <w:rPr>
          <w:szCs w:val="24"/>
          <w:lang w:val="es-CL"/>
        </w:rPr>
        <w:t>)</w:t>
      </w:r>
      <w:r w:rsidR="00F36E2D">
        <w:rPr>
          <w:szCs w:val="24"/>
          <w:lang w:val="es-CL"/>
        </w:rPr>
        <w:t xml:space="preserve"> años después. </w:t>
      </w:r>
    </w:p>
    <w:p w:rsidR="00C80328" w:rsidRPr="00C80328" w:rsidRDefault="00F36E2D" w:rsidP="00B63115">
      <w:pPr>
        <w:pStyle w:val="subpar"/>
        <w:rPr>
          <w:lang w:val="es-CL"/>
        </w:rPr>
      </w:pPr>
      <w:r>
        <w:rPr>
          <w:lang w:val="es-CL"/>
        </w:rPr>
        <w:t xml:space="preserve">Se requiere </w:t>
      </w:r>
      <w:r w:rsidR="00506188">
        <w:rPr>
          <w:lang w:val="es-CL"/>
        </w:rPr>
        <w:t xml:space="preserve">establecer una línea base </w:t>
      </w:r>
      <w:r w:rsidR="006E7283">
        <w:rPr>
          <w:lang w:val="es-CL"/>
        </w:rPr>
        <w:t>para</w:t>
      </w:r>
      <w:r w:rsidR="00506188">
        <w:rPr>
          <w:lang w:val="es-CL"/>
        </w:rPr>
        <w:t xml:space="preserve"> las tres variables clave que </w:t>
      </w:r>
      <w:r w:rsidR="00C80328">
        <w:rPr>
          <w:lang w:val="es-CL"/>
        </w:rPr>
        <w:t>determinará</w:t>
      </w:r>
      <w:r w:rsidR="00892796">
        <w:rPr>
          <w:lang w:val="es-CL"/>
        </w:rPr>
        <w:t>n</w:t>
      </w:r>
      <w:r w:rsidR="00506188">
        <w:rPr>
          <w:lang w:val="es-CL"/>
        </w:rPr>
        <w:t xml:space="preserve"> la viabilidad económica </w:t>
      </w:r>
      <w:r w:rsidR="00B31611">
        <w:rPr>
          <w:lang w:val="es-CL"/>
        </w:rPr>
        <w:t xml:space="preserve">del </w:t>
      </w:r>
      <w:r w:rsidR="00EB65B8">
        <w:rPr>
          <w:lang w:val="es-CL"/>
        </w:rPr>
        <w:t>Proyecto</w:t>
      </w:r>
      <w:r w:rsidR="00B31611">
        <w:rPr>
          <w:lang w:val="es-CL"/>
        </w:rPr>
        <w:t xml:space="preserve">: (1) reducción de </w:t>
      </w:r>
      <w:r w:rsidR="00506188">
        <w:rPr>
          <w:lang w:val="es-CL"/>
        </w:rPr>
        <w:t xml:space="preserve">costos de coordinación portuaria en Puerto Callao, (2) reducción de días de tramitación de exportaciones e importaciones, y (3) los costos incurridos en el </w:t>
      </w:r>
      <w:r w:rsidR="00EB65B8">
        <w:rPr>
          <w:lang w:val="es-CL"/>
        </w:rPr>
        <w:t>Proyecto</w:t>
      </w:r>
      <w:r w:rsidR="00506188">
        <w:rPr>
          <w:lang w:val="es-CL"/>
        </w:rPr>
        <w:t>.</w:t>
      </w:r>
    </w:p>
    <w:p w:rsidR="006B0315" w:rsidRDefault="00506188" w:rsidP="006B0315">
      <w:pPr>
        <w:pStyle w:val="Paragraph"/>
        <w:rPr>
          <w:szCs w:val="24"/>
          <w:lang w:val="es-CL"/>
        </w:rPr>
      </w:pPr>
      <w:r>
        <w:rPr>
          <w:szCs w:val="24"/>
          <w:lang w:val="es-CL"/>
        </w:rPr>
        <w:t xml:space="preserve">Se recomienda incorporar en los costos del </w:t>
      </w:r>
      <w:r w:rsidR="00EB65B8">
        <w:rPr>
          <w:szCs w:val="24"/>
          <w:lang w:val="es-CL"/>
        </w:rPr>
        <w:t>Proyecto</w:t>
      </w:r>
      <w:r>
        <w:rPr>
          <w:szCs w:val="24"/>
          <w:lang w:val="es-CL"/>
        </w:rPr>
        <w:t xml:space="preserve"> </w:t>
      </w:r>
      <w:r w:rsidR="00C80328">
        <w:rPr>
          <w:szCs w:val="24"/>
          <w:lang w:val="es-CL"/>
        </w:rPr>
        <w:t xml:space="preserve">la medición de las 3 variables clave para la rentabilidad del </w:t>
      </w:r>
      <w:r w:rsidR="00EB65B8">
        <w:rPr>
          <w:szCs w:val="24"/>
          <w:lang w:val="es-CL"/>
        </w:rPr>
        <w:t>Proyecto</w:t>
      </w:r>
      <w:r w:rsidR="00C80328">
        <w:rPr>
          <w:szCs w:val="24"/>
          <w:lang w:val="es-CL"/>
        </w:rPr>
        <w:t>. Estas mediciones debiesen contemplar, al menos:</w:t>
      </w:r>
    </w:p>
    <w:p w:rsidR="00C80328" w:rsidRDefault="00B31611" w:rsidP="00C80328">
      <w:pPr>
        <w:pStyle w:val="subpar"/>
        <w:rPr>
          <w:lang w:val="es-CL"/>
        </w:rPr>
      </w:pPr>
      <w:r>
        <w:rPr>
          <w:lang w:val="es-CL"/>
        </w:rPr>
        <w:t xml:space="preserve">Relevar, a través de muestras, el costo de coordinación portuaria promedio </w:t>
      </w:r>
      <w:r w:rsidR="00C80328">
        <w:rPr>
          <w:lang w:val="es-CL"/>
        </w:rPr>
        <w:t xml:space="preserve">asociados al Puerto de Callao. Esta actualización debiese realizarse antes de comenzar el </w:t>
      </w:r>
      <w:r w:rsidR="00EB65B8">
        <w:rPr>
          <w:lang w:val="es-CL"/>
        </w:rPr>
        <w:t>Proyecto</w:t>
      </w:r>
      <w:r w:rsidR="00C80328">
        <w:rPr>
          <w:lang w:val="es-CL"/>
        </w:rPr>
        <w:t xml:space="preserve"> (año 0) y al año </w:t>
      </w:r>
      <w:r w:rsidR="00E16245">
        <w:rPr>
          <w:lang w:val="es-CL"/>
        </w:rPr>
        <w:t xml:space="preserve">cinco </w:t>
      </w:r>
      <w:r w:rsidR="00C80328">
        <w:rPr>
          <w:lang w:val="es-CL"/>
        </w:rPr>
        <w:t>(5).</w:t>
      </w:r>
    </w:p>
    <w:p w:rsidR="00C80328" w:rsidRDefault="00354098" w:rsidP="00C80328">
      <w:pPr>
        <w:pStyle w:val="subpar"/>
        <w:rPr>
          <w:lang w:val="es-CL"/>
        </w:rPr>
      </w:pPr>
      <w:r>
        <w:rPr>
          <w:lang w:val="es-CL"/>
        </w:rPr>
        <w:t>Monitoreo de la evolución de los tiempos de tramitación de exportaciones e importaciones, medidos por el Banco Mundial a través de su reporte anual “</w:t>
      </w:r>
      <w:proofErr w:type="spellStart"/>
      <w:r>
        <w:rPr>
          <w:lang w:val="es-CL"/>
        </w:rPr>
        <w:t>Doing</w:t>
      </w:r>
      <w:proofErr w:type="spellEnd"/>
      <w:r>
        <w:rPr>
          <w:lang w:val="es-CL"/>
        </w:rPr>
        <w:t xml:space="preserve"> Business”</w:t>
      </w:r>
    </w:p>
    <w:p w:rsidR="00354098" w:rsidRDefault="00354098" w:rsidP="00C80328">
      <w:pPr>
        <w:pStyle w:val="subpar"/>
        <w:rPr>
          <w:lang w:val="es-CL"/>
        </w:rPr>
      </w:pPr>
      <w:r>
        <w:rPr>
          <w:lang w:val="es-CL"/>
        </w:rPr>
        <w:t xml:space="preserve">Generación de un presupuesto anualizado para el </w:t>
      </w:r>
      <w:r w:rsidR="00EB65B8">
        <w:rPr>
          <w:lang w:val="es-CL"/>
        </w:rPr>
        <w:t>Proyecto</w:t>
      </w:r>
      <w:r>
        <w:rPr>
          <w:lang w:val="es-CL"/>
        </w:rPr>
        <w:t xml:space="preserve"> y monitoreo anual de su cumplimiento</w:t>
      </w:r>
    </w:p>
    <w:p w:rsidR="00A84F4D" w:rsidRDefault="00A84F4D" w:rsidP="00F147C3">
      <w:pPr>
        <w:pStyle w:val="Paragraph"/>
        <w:rPr>
          <w:lang w:val="es-CL"/>
        </w:rPr>
      </w:pPr>
      <w:r>
        <w:rPr>
          <w:lang w:val="es-CL"/>
        </w:rPr>
        <w:t xml:space="preserve">Adicionalmente, se recomienda la elaboración de un plan de acción orientado a maximizar </w:t>
      </w:r>
      <w:r w:rsidR="009A486A">
        <w:rPr>
          <w:lang w:val="es-CL"/>
        </w:rPr>
        <w:t>la rentabilidad</w:t>
      </w:r>
      <w:r>
        <w:rPr>
          <w:lang w:val="es-CL"/>
        </w:rPr>
        <w:t xml:space="preserve"> del </w:t>
      </w:r>
      <w:r w:rsidR="00EB65B8">
        <w:rPr>
          <w:lang w:val="es-CL"/>
        </w:rPr>
        <w:t>Proyecto</w:t>
      </w:r>
      <w:r>
        <w:rPr>
          <w:lang w:val="es-CL"/>
        </w:rPr>
        <w:t xml:space="preserve">. Se recomienda analizar el impacto y factibilidad asociado a cada iniciativa de inversión del </w:t>
      </w:r>
      <w:r w:rsidR="00EB65B8">
        <w:rPr>
          <w:lang w:val="es-CL"/>
        </w:rPr>
        <w:t>Proyecto</w:t>
      </w:r>
      <w:r>
        <w:rPr>
          <w:lang w:val="es-CL"/>
        </w:rPr>
        <w:t xml:space="preserve">, y focalizar los esfuerzos iniciales en aquellas que (1) tienen mayor impacto sobre las 3 variables clave del </w:t>
      </w:r>
      <w:r w:rsidR="00EB65B8">
        <w:rPr>
          <w:lang w:val="es-CL"/>
        </w:rPr>
        <w:t>Proyecto</w:t>
      </w:r>
      <w:r>
        <w:rPr>
          <w:lang w:val="es-CL"/>
        </w:rPr>
        <w:t xml:space="preserve"> </w:t>
      </w:r>
      <w:r w:rsidR="00592C40">
        <w:rPr>
          <w:lang w:val="es-CL"/>
        </w:rPr>
        <w:t xml:space="preserve">– sobrecostos portuarios, tiempos de tramitación y costo de inversión </w:t>
      </w:r>
      <w:r w:rsidR="004D38BC">
        <w:rPr>
          <w:lang w:val="es-CL"/>
        </w:rPr>
        <w:t>–</w:t>
      </w:r>
      <w:r w:rsidR="00592C40">
        <w:rPr>
          <w:lang w:val="es-CL"/>
        </w:rPr>
        <w:t xml:space="preserve"> </w:t>
      </w:r>
      <w:r>
        <w:rPr>
          <w:lang w:val="es-CL"/>
        </w:rPr>
        <w:t>y (2) son relativament</w:t>
      </w:r>
      <w:r w:rsidR="00E97C3D">
        <w:rPr>
          <w:lang w:val="es-CL"/>
        </w:rPr>
        <w:t>e más factibles de implementar.</w:t>
      </w:r>
      <w:r w:rsidR="00441D85">
        <w:rPr>
          <w:lang w:val="es-CL"/>
        </w:rPr>
        <w:t xml:space="preserve"> </w:t>
      </w:r>
    </w:p>
    <w:p w:rsidR="00912417" w:rsidRPr="00992655" w:rsidRDefault="00912417" w:rsidP="00912417">
      <w:pPr>
        <w:pStyle w:val="Paragraph"/>
        <w:numPr>
          <w:ilvl w:val="0"/>
          <w:numId w:val="0"/>
        </w:numPr>
        <w:jc w:val="left"/>
        <w:rPr>
          <w:lang w:val="es-CL"/>
        </w:rPr>
      </w:pPr>
    </w:p>
    <w:sdt>
      <w:sdtPr>
        <w:rPr>
          <w:rFonts w:ascii="Calibri" w:eastAsia="Calibri" w:hAnsi="Calibri"/>
          <w:b/>
          <w:bCs w:val="0"/>
          <w:iCs w:val="0"/>
          <w:smallCaps w:val="0"/>
          <w:noProof w:val="0"/>
          <w:sz w:val="20"/>
          <w:szCs w:val="20"/>
          <w:lang w:val="en-US"/>
        </w:rPr>
        <w:id w:val="1650943114"/>
        <w:docPartObj>
          <w:docPartGallery w:val="Bibliographies"/>
          <w:docPartUnique/>
        </w:docPartObj>
      </w:sdtPr>
      <w:sdtEndPr>
        <w:rPr>
          <w:b w:val="0"/>
          <w:sz w:val="22"/>
          <w:szCs w:val="22"/>
        </w:rPr>
      </w:sdtEndPr>
      <w:sdtContent>
        <w:p w:rsidR="003F062D" w:rsidRPr="0063584C" w:rsidRDefault="003F062D" w:rsidP="0063584C">
          <w:pPr>
            <w:pStyle w:val="Heading1"/>
            <w:rPr>
              <w:sz w:val="20"/>
              <w:szCs w:val="20"/>
            </w:rPr>
          </w:pPr>
          <w:r w:rsidRPr="0063584C">
            <w:rPr>
              <w:sz w:val="20"/>
              <w:szCs w:val="20"/>
            </w:rPr>
            <w:t>BIBLIOGRAFÍA</w:t>
          </w:r>
        </w:p>
        <w:p w:rsidR="00C53916" w:rsidRPr="0063584C" w:rsidRDefault="00BD2A50" w:rsidP="00C53916">
          <w:pPr>
            <w:pStyle w:val="Bibliography"/>
            <w:ind w:left="720" w:hanging="720"/>
            <w:rPr>
              <w:noProof/>
              <w:sz w:val="20"/>
              <w:szCs w:val="20"/>
            </w:rPr>
          </w:pPr>
          <w:r w:rsidRPr="0063584C">
            <w:rPr>
              <w:sz w:val="20"/>
              <w:szCs w:val="20"/>
            </w:rPr>
            <w:fldChar w:fldCharType="begin"/>
          </w:r>
          <w:r w:rsidR="003F062D" w:rsidRPr="0063584C">
            <w:rPr>
              <w:sz w:val="20"/>
              <w:szCs w:val="20"/>
              <w:lang w:val="es-CL"/>
            </w:rPr>
            <w:instrText xml:space="preserve"> BIBLIOGRAPHY </w:instrText>
          </w:r>
          <w:r w:rsidRPr="0063584C">
            <w:rPr>
              <w:sz w:val="20"/>
              <w:szCs w:val="20"/>
            </w:rPr>
            <w:fldChar w:fldCharType="separate"/>
          </w:r>
          <w:r w:rsidR="00C53916" w:rsidRPr="0063584C">
            <w:rPr>
              <w:noProof/>
              <w:sz w:val="20"/>
              <w:szCs w:val="20"/>
              <w:lang w:val="es-CL"/>
            </w:rPr>
            <w:t xml:space="preserve">Autoridad Portuaria Nacional de Perú. (2011). Estudio de Costos y Sobrecostos de la Cadena de Servicios Logísticos en los Terminales Portuarios de Uso Público. </w:t>
          </w:r>
          <w:r w:rsidR="00C53916" w:rsidRPr="0063584C">
            <w:rPr>
              <w:noProof/>
              <w:sz w:val="20"/>
              <w:szCs w:val="20"/>
            </w:rPr>
            <w:t>XIII-5.</w:t>
          </w:r>
        </w:p>
        <w:p w:rsidR="00C53916" w:rsidRPr="0063584C" w:rsidRDefault="00C53916" w:rsidP="00C53916">
          <w:pPr>
            <w:pStyle w:val="Bibliography"/>
            <w:ind w:left="720" w:hanging="720"/>
            <w:rPr>
              <w:noProof/>
              <w:sz w:val="20"/>
              <w:szCs w:val="20"/>
            </w:rPr>
          </w:pPr>
          <w:r w:rsidRPr="0063584C">
            <w:rPr>
              <w:noProof/>
              <w:sz w:val="20"/>
              <w:szCs w:val="20"/>
            </w:rPr>
            <w:t xml:space="preserve">Burgess, D. F. (2011). Appropriate discounting for benefit-cost analysis. </w:t>
          </w:r>
          <w:r w:rsidRPr="0063584C">
            <w:rPr>
              <w:i/>
              <w:iCs/>
              <w:noProof/>
              <w:sz w:val="20"/>
              <w:szCs w:val="20"/>
            </w:rPr>
            <w:t>Journal of Benefit-Cost Analysis</w:t>
          </w:r>
          <w:r w:rsidRPr="0063584C">
            <w:rPr>
              <w:noProof/>
              <w:sz w:val="20"/>
              <w:szCs w:val="20"/>
            </w:rPr>
            <w:t>.</w:t>
          </w:r>
        </w:p>
        <w:p w:rsidR="00C53916" w:rsidRPr="0063584C" w:rsidRDefault="00C53916" w:rsidP="00C53916">
          <w:pPr>
            <w:pStyle w:val="Bibliography"/>
            <w:ind w:left="720" w:hanging="720"/>
            <w:rPr>
              <w:noProof/>
              <w:sz w:val="20"/>
              <w:szCs w:val="20"/>
            </w:rPr>
          </w:pPr>
          <w:r w:rsidRPr="0063584C">
            <w:rPr>
              <w:noProof/>
              <w:sz w:val="20"/>
              <w:szCs w:val="20"/>
            </w:rPr>
            <w:t xml:space="preserve">Damodaran, A. (n.d.). </w:t>
          </w:r>
          <w:r w:rsidRPr="0063584C">
            <w:rPr>
              <w:i/>
              <w:iCs/>
              <w:noProof/>
              <w:sz w:val="20"/>
              <w:szCs w:val="20"/>
            </w:rPr>
            <w:t>Country Default Spreads and Risk Premiums</w:t>
          </w:r>
          <w:r w:rsidRPr="0063584C">
            <w:rPr>
              <w:noProof/>
              <w:sz w:val="20"/>
              <w:szCs w:val="20"/>
            </w:rPr>
            <w:t>. Retrieved Junio 10, 2014, from Damodaran Online: http://people.stern.nyu.edu/adamodar/</w:t>
          </w:r>
        </w:p>
        <w:p w:rsidR="00C53916" w:rsidRPr="0063584C" w:rsidRDefault="00C53916" w:rsidP="00C53916">
          <w:pPr>
            <w:pStyle w:val="Bibliography"/>
            <w:ind w:left="720" w:hanging="720"/>
            <w:rPr>
              <w:noProof/>
              <w:sz w:val="20"/>
              <w:szCs w:val="20"/>
            </w:rPr>
          </w:pPr>
          <w:r w:rsidRPr="0063584C">
            <w:rPr>
              <w:noProof/>
              <w:sz w:val="20"/>
              <w:szCs w:val="20"/>
            </w:rPr>
            <w:t xml:space="preserve">DataMarket. (n.d.). </w:t>
          </w:r>
          <w:r w:rsidRPr="0063584C">
            <w:rPr>
              <w:i/>
              <w:iCs/>
              <w:noProof/>
              <w:sz w:val="20"/>
              <w:szCs w:val="20"/>
            </w:rPr>
            <w:t>J.P. Morgan Emerging Markets Bond Index (EMBI+)</w:t>
          </w:r>
          <w:r w:rsidRPr="0063584C">
            <w:rPr>
              <w:noProof/>
              <w:sz w:val="20"/>
              <w:szCs w:val="20"/>
            </w:rPr>
            <w:t>. Retrieved Junio 10, 2014, from DataMarket: http://datamarket.com/data/set/1dme/jp-morgan-emerging-markets-bond-index-embi#!ds=1dme!x88=k.d&amp;display=line</w:t>
          </w:r>
        </w:p>
        <w:p w:rsidR="00C53916" w:rsidRPr="0063584C" w:rsidRDefault="00C53916" w:rsidP="00C53916">
          <w:pPr>
            <w:pStyle w:val="Bibliography"/>
            <w:ind w:left="720" w:hanging="720"/>
            <w:rPr>
              <w:noProof/>
              <w:sz w:val="20"/>
              <w:szCs w:val="20"/>
            </w:rPr>
          </w:pPr>
          <w:r w:rsidRPr="00C6406F">
            <w:rPr>
              <w:noProof/>
              <w:sz w:val="20"/>
              <w:szCs w:val="20"/>
            </w:rPr>
            <w:t xml:space="preserve">Empresa Nacional de Puertos S.A. (2009). </w:t>
          </w:r>
          <w:r w:rsidRPr="0063584C">
            <w:rPr>
              <w:i/>
              <w:iCs/>
              <w:noProof/>
              <w:sz w:val="20"/>
              <w:szCs w:val="20"/>
            </w:rPr>
            <w:t>Memoria Anual.</w:t>
          </w:r>
          <w:r w:rsidRPr="0063584C">
            <w:rPr>
              <w:noProof/>
              <w:sz w:val="20"/>
              <w:szCs w:val="20"/>
            </w:rPr>
            <w:t xml:space="preserve"> </w:t>
          </w:r>
        </w:p>
        <w:p w:rsidR="00C53916" w:rsidRPr="0063584C" w:rsidRDefault="00C53916" w:rsidP="00C53916">
          <w:pPr>
            <w:pStyle w:val="Bibliography"/>
            <w:ind w:left="720" w:hanging="720"/>
            <w:rPr>
              <w:noProof/>
              <w:sz w:val="20"/>
              <w:szCs w:val="20"/>
            </w:rPr>
          </w:pPr>
          <w:r w:rsidRPr="0063584C">
            <w:rPr>
              <w:noProof/>
              <w:sz w:val="20"/>
              <w:szCs w:val="20"/>
            </w:rPr>
            <w:t xml:space="preserve">Hummels, D. L., &amp; Schaur, G. (2013). Time as a Trade Barrier. </w:t>
          </w:r>
          <w:r w:rsidRPr="0063584C">
            <w:rPr>
              <w:i/>
              <w:iCs/>
              <w:noProof/>
              <w:sz w:val="20"/>
              <w:szCs w:val="20"/>
            </w:rPr>
            <w:t>American Economic Review</w:t>
          </w:r>
          <w:r w:rsidRPr="0063584C">
            <w:rPr>
              <w:noProof/>
              <w:sz w:val="20"/>
              <w:szCs w:val="20"/>
            </w:rPr>
            <w:t>.</w:t>
          </w:r>
        </w:p>
        <w:p w:rsidR="00C53916" w:rsidRPr="0063584C" w:rsidRDefault="00C53916" w:rsidP="00C53916">
          <w:pPr>
            <w:pStyle w:val="Bibliography"/>
            <w:ind w:left="720" w:hanging="720"/>
            <w:rPr>
              <w:noProof/>
              <w:sz w:val="20"/>
              <w:szCs w:val="20"/>
            </w:rPr>
          </w:pPr>
          <w:r w:rsidRPr="0063584C">
            <w:rPr>
              <w:noProof/>
              <w:sz w:val="20"/>
              <w:szCs w:val="20"/>
            </w:rPr>
            <w:t xml:space="preserve">MarketWatch. (n.d.). </w:t>
          </w:r>
          <w:r w:rsidRPr="0063584C">
            <w:rPr>
              <w:i/>
              <w:iCs/>
              <w:noProof/>
              <w:sz w:val="20"/>
              <w:szCs w:val="20"/>
            </w:rPr>
            <w:t>10 Year Treasury Note</w:t>
          </w:r>
          <w:r w:rsidRPr="0063584C">
            <w:rPr>
              <w:noProof/>
              <w:sz w:val="20"/>
              <w:szCs w:val="20"/>
            </w:rPr>
            <w:t>. Retrieved June 10, 2014, from MarketWatch: http://www.marketwatch.com/investing/bond/10_year</w:t>
          </w:r>
        </w:p>
        <w:p w:rsidR="00C53916" w:rsidRPr="0063584C" w:rsidRDefault="00C53916" w:rsidP="00C53916">
          <w:pPr>
            <w:pStyle w:val="Bibliography"/>
            <w:ind w:left="720" w:hanging="720"/>
            <w:rPr>
              <w:noProof/>
              <w:sz w:val="20"/>
              <w:szCs w:val="20"/>
              <w:lang w:val="es-CL"/>
            </w:rPr>
          </w:pPr>
          <w:r w:rsidRPr="0063584C">
            <w:rPr>
              <w:noProof/>
              <w:sz w:val="20"/>
              <w:szCs w:val="20"/>
              <w:lang w:val="es-CL"/>
            </w:rPr>
            <w:t xml:space="preserve">Ministerio de Comercio Exterior y Turismo. (2014). </w:t>
          </w:r>
          <w:r w:rsidRPr="0063584C">
            <w:rPr>
              <w:i/>
              <w:iCs/>
              <w:noProof/>
              <w:sz w:val="20"/>
              <w:szCs w:val="20"/>
              <w:lang w:val="es-CL"/>
            </w:rPr>
            <w:t>VUCE - Ventanilla Única de Comercio Exterior.</w:t>
          </w:r>
          <w:r w:rsidRPr="0063584C">
            <w:rPr>
              <w:noProof/>
              <w:sz w:val="20"/>
              <w:szCs w:val="20"/>
              <w:lang w:val="es-CL"/>
            </w:rPr>
            <w:t xml:space="preserve"> Borrador de presentación.</w:t>
          </w:r>
        </w:p>
        <w:p w:rsidR="00C53916" w:rsidRPr="0063584C" w:rsidRDefault="00C53916" w:rsidP="00C53916">
          <w:pPr>
            <w:pStyle w:val="Bibliography"/>
            <w:ind w:left="720" w:hanging="720"/>
            <w:rPr>
              <w:noProof/>
              <w:sz w:val="20"/>
              <w:szCs w:val="20"/>
              <w:lang w:val="es-CL"/>
            </w:rPr>
          </w:pPr>
          <w:r w:rsidRPr="0063584C">
            <w:rPr>
              <w:noProof/>
              <w:sz w:val="20"/>
              <w:szCs w:val="20"/>
              <w:lang w:val="es-CL"/>
            </w:rPr>
            <w:t xml:space="preserve">Ministerio de Comercio Exterior y Turismo. (n.d.). </w:t>
          </w:r>
          <w:r w:rsidRPr="0063584C">
            <w:rPr>
              <w:i/>
              <w:iCs/>
              <w:noProof/>
              <w:sz w:val="20"/>
              <w:szCs w:val="20"/>
              <w:lang w:val="es-CL"/>
            </w:rPr>
            <w:t>VUCE en números</w:t>
          </w:r>
          <w:r w:rsidRPr="0063584C">
            <w:rPr>
              <w:noProof/>
              <w:sz w:val="20"/>
              <w:szCs w:val="20"/>
              <w:lang w:val="es-CL"/>
            </w:rPr>
            <w:t>. Retrieved Julio 30, 2014, from VUCE - Ventanilla única de comercio exterior: https://www.vuce.gob.pe/</w:t>
          </w:r>
        </w:p>
        <w:p w:rsidR="00C53916" w:rsidRPr="0063584C" w:rsidRDefault="00C53916" w:rsidP="00C53916">
          <w:pPr>
            <w:pStyle w:val="Bibliography"/>
            <w:ind w:left="720" w:hanging="720"/>
            <w:rPr>
              <w:noProof/>
              <w:sz w:val="20"/>
              <w:szCs w:val="20"/>
              <w:lang w:val="es-CL"/>
            </w:rPr>
          </w:pPr>
          <w:r w:rsidRPr="0063584C">
            <w:rPr>
              <w:noProof/>
              <w:sz w:val="20"/>
              <w:szCs w:val="20"/>
              <w:lang w:val="es-CL"/>
            </w:rPr>
            <w:t xml:space="preserve">Prialé, M., &amp; Valenzuela, F. (2014). </w:t>
          </w:r>
          <w:r w:rsidRPr="0063584C">
            <w:rPr>
              <w:i/>
              <w:iCs/>
              <w:noProof/>
              <w:sz w:val="20"/>
              <w:szCs w:val="20"/>
              <w:lang w:val="es-CL"/>
            </w:rPr>
            <w:t>Mejoramiento de los servicios de facilitación del comercio exterior a través de la Ventanilla Única del Comercio Exterior (VUCE) en el Perú. Segunda etapa.</w:t>
          </w:r>
          <w:r w:rsidRPr="0063584C">
            <w:rPr>
              <w:noProof/>
              <w:sz w:val="20"/>
              <w:szCs w:val="20"/>
              <w:lang w:val="es-CL"/>
            </w:rPr>
            <w:t xml:space="preserve"> Banco Interamericano de Desarrollo.</w:t>
          </w:r>
        </w:p>
        <w:p w:rsidR="00500B3D" w:rsidRDefault="00C53916" w:rsidP="0063584C">
          <w:pPr>
            <w:pStyle w:val="Bibliography"/>
            <w:ind w:left="720" w:hanging="720"/>
            <w:rPr>
              <w:b/>
            </w:rPr>
          </w:pPr>
          <w:r w:rsidRPr="0063584C">
            <w:rPr>
              <w:noProof/>
              <w:sz w:val="20"/>
              <w:szCs w:val="20"/>
              <w:lang w:val="es-CL"/>
            </w:rPr>
            <w:t xml:space="preserve">World Bank. (2014). </w:t>
          </w:r>
          <w:r w:rsidRPr="0063584C">
            <w:rPr>
              <w:i/>
              <w:iCs/>
              <w:noProof/>
              <w:sz w:val="20"/>
              <w:szCs w:val="20"/>
              <w:lang w:val="es-CL"/>
            </w:rPr>
            <w:t>Doing Business.</w:t>
          </w:r>
          <w:r w:rsidRPr="0063584C">
            <w:rPr>
              <w:noProof/>
              <w:sz w:val="20"/>
              <w:szCs w:val="20"/>
              <w:lang w:val="es-CL"/>
            </w:rPr>
            <w:t xml:space="preserve"> </w:t>
          </w:r>
          <w:r w:rsidR="00BD2A50" w:rsidRPr="0063584C">
            <w:rPr>
              <w:b/>
              <w:bCs/>
              <w:sz w:val="20"/>
              <w:szCs w:val="20"/>
            </w:rPr>
            <w:fldChar w:fldCharType="end"/>
          </w:r>
        </w:p>
      </w:sdtContent>
    </w:sdt>
    <w:p w:rsidR="00B92D8E" w:rsidRDefault="00500B3D" w:rsidP="00B92D8E">
      <w:pPr>
        <w:pStyle w:val="FirstHeading"/>
        <w:numPr>
          <w:ilvl w:val="0"/>
          <w:numId w:val="1"/>
        </w:numPr>
        <w:ind w:firstLine="0"/>
        <w:rPr>
          <w:lang w:val="es-CL"/>
        </w:rPr>
      </w:pPr>
      <w:r>
        <w:rPr>
          <w:lang w:val="es-CL"/>
        </w:rPr>
        <w:t>Anexos</w:t>
      </w:r>
    </w:p>
    <w:p w:rsidR="00B92D8E" w:rsidRPr="00B92D8E" w:rsidRDefault="00B92D8E" w:rsidP="00B92D8E">
      <w:pPr>
        <w:pStyle w:val="Caption"/>
        <w:spacing w:before="240"/>
        <w:ind w:left="288"/>
      </w:pPr>
      <w:r w:rsidRPr="00344EF9">
        <w:t xml:space="preserve">Ilustración </w:t>
      </w:r>
      <w:r w:rsidR="00BD2A50">
        <w:fldChar w:fldCharType="begin"/>
      </w:r>
      <w:r w:rsidRPr="00344EF9">
        <w:instrText xml:space="preserve"> SEQ Ilustración \* ARABIC </w:instrText>
      </w:r>
      <w:r w:rsidR="00BD2A50">
        <w:fldChar w:fldCharType="separate"/>
      </w:r>
      <w:r w:rsidR="00D26BA1">
        <w:rPr>
          <w:noProof/>
        </w:rPr>
        <w:t>1</w:t>
      </w:r>
      <w:r w:rsidR="00BD2A50">
        <w:fldChar w:fldCharType="end"/>
      </w:r>
      <w:r w:rsidRPr="00344EF9">
        <w:t>: Va</w:t>
      </w:r>
      <w:r>
        <w:t>lorización a detalle, caso base</w:t>
      </w:r>
      <w:r w:rsidR="00991181">
        <w:t xml:space="preserve"> y sensibilidad</w:t>
      </w:r>
    </w:p>
    <w:p w:rsidR="003F062D" w:rsidRPr="00500B3D" w:rsidRDefault="00F9112F" w:rsidP="006277A2">
      <w:pPr>
        <w:jc w:val="center"/>
        <w:rPr>
          <w:lang w:val="es-CL"/>
        </w:rPr>
      </w:pPr>
      <w:r>
        <w:rPr>
          <w:noProof/>
          <w:lang w:val="es-ES" w:eastAsia="es-ES"/>
        </w:rPr>
        <w:object w:dxaOrig="15537" w:dyaOrig="17889">
          <v:shape id="_x0000_i1027" type="#_x0000_t75" style="width:418.4pt;height:482.25pt;mso-position-horizontal:absolute" o:ole="">
            <v:imagedata r:id="rId17" o:title=""/>
          </v:shape>
          <o:OLEObject Type="Embed" ProgID="Excel.Sheet.12" ShapeID="_x0000_i1027" DrawAspect="Content" ObjectID="_1503300785" r:id="rId18"/>
        </w:object>
      </w:r>
    </w:p>
    <w:sectPr w:rsidR="003F062D" w:rsidRPr="00500B3D" w:rsidSect="00DD527B">
      <w:headerReference w:type="even" r:id="rId19"/>
      <w:headerReference w:type="default" r:id="rId20"/>
      <w:footerReference w:type="default" r:id="rId21"/>
      <w:headerReference w:type="first" r:id="rId22"/>
      <w:pgSz w:w="12240" w:h="15840"/>
      <w:pgMar w:top="1440" w:right="1440" w:bottom="1440" w:left="1627" w:header="720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CB6" w:rsidRDefault="00657CB6" w:rsidP="00CF5271">
      <w:pPr>
        <w:spacing w:after="0" w:line="240" w:lineRule="auto"/>
      </w:pPr>
      <w:r>
        <w:separator/>
      </w:r>
    </w:p>
    <w:p w:rsidR="00657CB6" w:rsidRDefault="00657CB6"/>
  </w:endnote>
  <w:endnote w:type="continuationSeparator" w:id="0">
    <w:p w:rsidR="00657CB6" w:rsidRDefault="00657CB6" w:rsidP="00CF5271">
      <w:pPr>
        <w:spacing w:after="0" w:line="240" w:lineRule="auto"/>
      </w:pPr>
      <w:r>
        <w:continuationSeparator/>
      </w:r>
    </w:p>
    <w:p w:rsidR="00657CB6" w:rsidRDefault="00657C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95B" w:rsidRDefault="00EB795B">
    <w:pPr>
      <w:pStyle w:val="Footer"/>
      <w:framePr w:wrap="around" w:vAnchor="text" w:hAnchor="margin" w:xAlign="right" w:y="1"/>
      <w:rPr>
        <w:rStyle w:val="PageNumber"/>
      </w:rPr>
    </w:pPr>
  </w:p>
  <w:p w:rsidR="00EB795B" w:rsidRDefault="00EB795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27B" w:rsidRDefault="00BD2A50">
    <w:pPr>
      <w:pStyle w:val="Footer"/>
      <w:jc w:val="center"/>
    </w:pPr>
    <w:r>
      <w:fldChar w:fldCharType="begin"/>
    </w:r>
    <w:r w:rsidR="00DD527B">
      <w:instrText xml:space="preserve"> PAGE   \* MERGEFORMAT </w:instrText>
    </w:r>
    <w:r>
      <w:fldChar w:fldCharType="separate"/>
    </w:r>
    <w:r w:rsidR="003A6035">
      <w:rPr>
        <w:noProof/>
      </w:rPr>
      <w:t>ii</w:t>
    </w:r>
    <w:r>
      <w:fldChar w:fldCharType="end"/>
    </w:r>
  </w:p>
  <w:p w:rsidR="00DD527B" w:rsidRDefault="00DD527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240" w:rsidRPr="0063584C" w:rsidRDefault="00956240" w:rsidP="006358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CB6" w:rsidRDefault="00657CB6" w:rsidP="00CF5271">
      <w:pPr>
        <w:spacing w:after="0" w:line="240" w:lineRule="auto"/>
      </w:pPr>
      <w:r>
        <w:separator/>
      </w:r>
    </w:p>
    <w:p w:rsidR="00657CB6" w:rsidRDefault="00657CB6"/>
  </w:footnote>
  <w:footnote w:type="continuationSeparator" w:id="0">
    <w:p w:rsidR="00657CB6" w:rsidRDefault="00657CB6" w:rsidP="00CF5271">
      <w:pPr>
        <w:spacing w:after="0" w:line="240" w:lineRule="auto"/>
      </w:pPr>
      <w:r>
        <w:continuationSeparator/>
      </w:r>
    </w:p>
    <w:p w:rsidR="00657CB6" w:rsidRDefault="00657CB6"/>
  </w:footnote>
  <w:footnote w:id="1">
    <w:p w:rsidR="00710C66" w:rsidRPr="0063584C" w:rsidRDefault="00710C66" w:rsidP="0063584C">
      <w:pPr>
        <w:pStyle w:val="FootnoteText"/>
        <w:ind w:left="288" w:hanging="288"/>
        <w:rPr>
          <w:rFonts w:ascii="Times New Roman" w:hAnsi="Times New Roman"/>
          <w:sz w:val="20"/>
          <w:szCs w:val="20"/>
          <w:lang w:val="es-ES"/>
        </w:rPr>
      </w:pPr>
      <w:r w:rsidRPr="0063584C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63584C">
        <w:rPr>
          <w:rFonts w:ascii="Times New Roman" w:hAnsi="Times New Roman"/>
          <w:sz w:val="20"/>
          <w:szCs w:val="20"/>
          <w:lang w:val="es-ES"/>
        </w:rPr>
        <w:t xml:space="preserve"> </w:t>
      </w:r>
      <w:r w:rsidR="0063584C">
        <w:rPr>
          <w:rFonts w:ascii="Times New Roman" w:hAnsi="Times New Roman"/>
          <w:sz w:val="20"/>
          <w:szCs w:val="20"/>
          <w:lang w:val="es-ES"/>
        </w:rPr>
        <w:tab/>
      </w:r>
      <w:r w:rsidRPr="0063584C">
        <w:rPr>
          <w:rFonts w:ascii="Times New Roman" w:hAnsi="Times New Roman"/>
          <w:sz w:val="20"/>
          <w:szCs w:val="20"/>
          <w:lang w:val="es-ES"/>
        </w:rPr>
        <w:t xml:space="preserve">Elaboración propia en base a datos reportados en </w:t>
      </w:r>
      <w:proofErr w:type="spellStart"/>
      <w:r w:rsidRPr="0063584C">
        <w:rPr>
          <w:rFonts w:ascii="Times New Roman" w:hAnsi="Times New Roman"/>
          <w:sz w:val="20"/>
          <w:szCs w:val="20"/>
          <w:lang w:val="es-ES"/>
        </w:rPr>
        <w:t>Doing</w:t>
      </w:r>
      <w:proofErr w:type="spellEnd"/>
      <w:r w:rsidRPr="0063584C">
        <w:rPr>
          <w:rFonts w:ascii="Times New Roman" w:hAnsi="Times New Roman"/>
          <w:sz w:val="20"/>
          <w:szCs w:val="20"/>
          <w:lang w:val="es-ES"/>
        </w:rPr>
        <w:t xml:space="preserve"> Business 2015, </w:t>
      </w:r>
      <w:proofErr w:type="spellStart"/>
      <w:r w:rsidRPr="0063584C">
        <w:rPr>
          <w:rFonts w:ascii="Times New Roman" w:hAnsi="Times New Roman"/>
          <w:sz w:val="20"/>
          <w:szCs w:val="20"/>
          <w:lang w:val="es-ES"/>
        </w:rPr>
        <w:t>World</w:t>
      </w:r>
      <w:proofErr w:type="spellEnd"/>
      <w:r w:rsidRPr="0063584C">
        <w:rPr>
          <w:rFonts w:ascii="Times New Roman" w:hAnsi="Times New Roman"/>
          <w:sz w:val="20"/>
          <w:szCs w:val="20"/>
          <w:lang w:val="es-ES"/>
        </w:rPr>
        <w:t xml:space="preserve"> Bank </w:t>
      </w:r>
      <w:sdt>
        <w:sdtPr>
          <w:rPr>
            <w:rFonts w:ascii="Times New Roman" w:hAnsi="Times New Roman"/>
            <w:sz w:val="20"/>
            <w:szCs w:val="20"/>
            <w:lang w:val="es-ES"/>
          </w:rPr>
          <w:id w:val="11069985"/>
          <w:citation/>
        </w:sdtPr>
        <w:sdtEndPr/>
        <w:sdtContent>
          <w:r w:rsidR="00BD2A50" w:rsidRPr="0063584C">
            <w:rPr>
              <w:rFonts w:ascii="Times New Roman" w:hAnsi="Times New Roman"/>
              <w:sz w:val="20"/>
              <w:szCs w:val="20"/>
              <w:lang w:val="es-ES"/>
            </w:rPr>
            <w:fldChar w:fldCharType="begin"/>
          </w:r>
          <w:r w:rsidRPr="0063584C">
            <w:rPr>
              <w:rFonts w:ascii="Times New Roman" w:hAnsi="Times New Roman"/>
              <w:sz w:val="20"/>
              <w:szCs w:val="20"/>
              <w:lang w:val="es-MX"/>
            </w:rPr>
            <w:instrText xml:space="preserve"> CITATION Wor14 \l 2058 </w:instrText>
          </w:r>
          <w:r w:rsidR="00BD2A50" w:rsidRPr="0063584C">
            <w:rPr>
              <w:rFonts w:ascii="Times New Roman" w:hAnsi="Times New Roman"/>
              <w:sz w:val="20"/>
              <w:szCs w:val="20"/>
              <w:lang w:val="es-ES"/>
            </w:rPr>
            <w:fldChar w:fldCharType="separate"/>
          </w:r>
          <w:r w:rsidRPr="0063584C">
            <w:rPr>
              <w:rFonts w:ascii="Times New Roman" w:hAnsi="Times New Roman"/>
              <w:noProof/>
              <w:sz w:val="20"/>
              <w:szCs w:val="20"/>
              <w:lang w:val="es-MX"/>
            </w:rPr>
            <w:t>(World Bank, 2014)</w:t>
          </w:r>
          <w:r w:rsidR="00BD2A50" w:rsidRPr="0063584C">
            <w:rPr>
              <w:rFonts w:ascii="Times New Roman" w:hAnsi="Times New Roman"/>
              <w:sz w:val="20"/>
              <w:szCs w:val="20"/>
              <w:lang w:val="es-ES"/>
            </w:rPr>
            <w:fldChar w:fldCharType="end"/>
          </w:r>
        </w:sdtContent>
      </w:sdt>
    </w:p>
  </w:footnote>
  <w:footnote w:id="2">
    <w:p w:rsidR="00297934" w:rsidRPr="0063584C" w:rsidRDefault="00297934" w:rsidP="0063584C">
      <w:pPr>
        <w:pStyle w:val="FootnoteText"/>
        <w:ind w:left="288" w:hanging="288"/>
        <w:rPr>
          <w:rFonts w:ascii="Times New Roman" w:hAnsi="Times New Roman"/>
          <w:sz w:val="20"/>
          <w:szCs w:val="20"/>
          <w:lang w:val="es-CL"/>
        </w:rPr>
      </w:pPr>
      <w:r w:rsidRPr="0063584C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63584C">
        <w:rPr>
          <w:rFonts w:ascii="Times New Roman" w:hAnsi="Times New Roman"/>
          <w:sz w:val="20"/>
          <w:szCs w:val="20"/>
          <w:lang w:val="es-CL"/>
        </w:rPr>
        <w:t xml:space="preserve"> </w:t>
      </w:r>
      <w:r w:rsidR="0063584C">
        <w:rPr>
          <w:rFonts w:ascii="Times New Roman" w:hAnsi="Times New Roman"/>
          <w:sz w:val="20"/>
          <w:szCs w:val="20"/>
          <w:lang w:val="es-CL"/>
        </w:rPr>
        <w:tab/>
      </w:r>
      <w:r w:rsidRPr="0063584C">
        <w:rPr>
          <w:rFonts w:ascii="Times New Roman" w:hAnsi="Times New Roman"/>
          <w:sz w:val="20"/>
          <w:szCs w:val="20"/>
          <w:lang w:val="es-CL"/>
        </w:rPr>
        <w:t xml:space="preserve">Al realizar este estudio, no se cuentan con antecedentes del potencial impacto que tendría la VUCE 2.0 sobre el tiempo de procesamiento de exportaciones o importaciones. El dato de 2 días </w:t>
      </w:r>
      <w:r w:rsidR="000B3F6C" w:rsidRPr="0063584C">
        <w:rPr>
          <w:rFonts w:ascii="Times New Roman" w:hAnsi="Times New Roman"/>
          <w:sz w:val="20"/>
          <w:szCs w:val="20"/>
          <w:lang w:val="es-CL"/>
        </w:rPr>
        <w:t xml:space="preserve">corresponde a </w:t>
      </w:r>
      <w:r w:rsidR="00067A52" w:rsidRPr="0063584C">
        <w:rPr>
          <w:rFonts w:ascii="Times New Roman" w:hAnsi="Times New Roman"/>
          <w:sz w:val="20"/>
          <w:szCs w:val="20"/>
          <w:lang w:val="es-CL"/>
        </w:rPr>
        <w:t>estimaciones</w:t>
      </w:r>
      <w:r w:rsidR="000B3F6C" w:rsidRPr="0063584C">
        <w:rPr>
          <w:rFonts w:ascii="Times New Roman" w:hAnsi="Times New Roman"/>
          <w:sz w:val="20"/>
          <w:szCs w:val="20"/>
          <w:lang w:val="es-CL"/>
        </w:rPr>
        <w:t xml:space="preserve"> preliminares de DIGESA, que </w:t>
      </w:r>
      <w:r w:rsidRPr="0063584C">
        <w:rPr>
          <w:rFonts w:ascii="Times New Roman" w:hAnsi="Times New Roman"/>
          <w:sz w:val="20"/>
          <w:szCs w:val="20"/>
          <w:lang w:val="es-CL"/>
        </w:rPr>
        <w:t>fue</w:t>
      </w:r>
      <w:r w:rsidR="000B3F6C" w:rsidRPr="0063584C">
        <w:rPr>
          <w:rFonts w:ascii="Times New Roman" w:hAnsi="Times New Roman"/>
          <w:sz w:val="20"/>
          <w:szCs w:val="20"/>
          <w:lang w:val="es-CL"/>
        </w:rPr>
        <w:t>ron obtenidas</w:t>
      </w:r>
      <w:r w:rsidRPr="0063584C">
        <w:rPr>
          <w:rFonts w:ascii="Times New Roman" w:hAnsi="Times New Roman"/>
          <w:sz w:val="20"/>
          <w:szCs w:val="20"/>
          <w:lang w:val="es-CL"/>
        </w:rPr>
        <w:t xml:space="preserve"> en una entrevista</w:t>
      </w:r>
      <w:r w:rsidR="006E7283" w:rsidRPr="0063584C">
        <w:rPr>
          <w:rFonts w:ascii="Times New Roman" w:hAnsi="Times New Roman"/>
          <w:sz w:val="20"/>
          <w:szCs w:val="20"/>
          <w:lang w:val="es-CL"/>
        </w:rPr>
        <w:t>; y es consistente con el valor crítico asociado a esta variable.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95B" w:rsidRDefault="00EB795B">
    <w:pPr>
      <w:pStyle w:val="Header"/>
      <w:ind w:right="360"/>
      <w:jc w:val="center"/>
      <w:rPr>
        <w:rStyle w:val="PageNumber"/>
        <w:snapToGrid w:val="0"/>
      </w:rPr>
    </w:pPr>
    <w:r>
      <w:rPr>
        <w:rStyle w:val="PageNumber"/>
        <w:snapToGrid w:val="0"/>
      </w:rPr>
      <w:t xml:space="preserve">- </w:t>
    </w:r>
    <w:r w:rsidR="00BD2A50">
      <w:rPr>
        <w:rStyle w:val="PageNumber"/>
        <w:snapToGrid w:val="0"/>
      </w:rPr>
      <w:fldChar w:fldCharType="begin"/>
    </w:r>
    <w:r>
      <w:rPr>
        <w:rStyle w:val="PageNumber"/>
        <w:snapToGrid w:val="0"/>
      </w:rPr>
      <w:instrText xml:space="preserve"> PAGE </w:instrText>
    </w:r>
    <w:r w:rsidR="00BD2A50">
      <w:rPr>
        <w:rStyle w:val="PageNumber"/>
        <w:snapToGrid w:val="0"/>
      </w:rPr>
      <w:fldChar w:fldCharType="separate"/>
    </w:r>
    <w:r>
      <w:rPr>
        <w:rStyle w:val="PageNumber"/>
        <w:noProof/>
        <w:snapToGrid w:val="0"/>
      </w:rPr>
      <w:t>iii</w:t>
    </w:r>
    <w:r w:rsidR="00BD2A50">
      <w:rPr>
        <w:rStyle w:val="PageNumber"/>
        <w:snapToGrid w:val="0"/>
      </w:rPr>
      <w:fldChar w:fldCharType="end"/>
    </w:r>
    <w:r>
      <w:rPr>
        <w:rStyle w:val="PageNumber"/>
        <w:snapToGrid w:val="0"/>
      </w:rPr>
      <w:t xml:space="preserve"> -</w:t>
    </w:r>
  </w:p>
  <w:p w:rsidR="00EB795B" w:rsidRDefault="00EB795B">
    <w:pPr>
      <w:pStyle w:val="Header"/>
      <w:ind w:right="360"/>
      <w:jc w:val="center"/>
    </w:pPr>
  </w:p>
  <w:p w:rsidR="00EB795B" w:rsidRDefault="00EB795B">
    <w:pPr>
      <w:pStyle w:val="Header"/>
      <w:ind w:right="3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95B" w:rsidRDefault="00EB795B">
    <w:pPr>
      <w:pStyle w:val="Header"/>
      <w:jc w:val="center"/>
      <w:rPr>
        <w:snapToGrid w:val="0"/>
      </w:rPr>
    </w:pPr>
    <w:r>
      <w:rPr>
        <w:snapToGrid w:val="0"/>
      </w:rPr>
      <w:t xml:space="preserve">- </w:t>
    </w:r>
    <w:r w:rsidR="00BD2A50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BD2A50">
      <w:rPr>
        <w:snapToGrid w:val="0"/>
      </w:rPr>
      <w:fldChar w:fldCharType="separate"/>
    </w:r>
    <w:r w:rsidR="003A6035">
      <w:rPr>
        <w:noProof/>
        <w:snapToGrid w:val="0"/>
      </w:rPr>
      <w:t>ii</w:t>
    </w:r>
    <w:r w:rsidR="00BD2A50">
      <w:rPr>
        <w:snapToGrid w:val="0"/>
      </w:rPr>
      <w:fldChar w:fldCharType="end"/>
    </w:r>
    <w:r>
      <w:rPr>
        <w:snapToGrid w:val="0"/>
      </w:rPr>
      <w:t xml:space="preserve"> - </w:t>
    </w:r>
  </w:p>
  <w:p w:rsidR="00EB795B" w:rsidRDefault="00EB795B">
    <w:pPr>
      <w:pStyle w:val="Header"/>
      <w:jc w:val="center"/>
      <w:rPr>
        <w:snapToGrid w:val="0"/>
      </w:rPr>
    </w:pPr>
  </w:p>
  <w:p w:rsidR="00EB795B" w:rsidRDefault="00EB795B">
    <w:pPr>
      <w:pStyle w:val="Header"/>
      <w:jc w:val="center"/>
      <w:rPr>
        <w:snapToGrid w:val="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535" w:rsidRDefault="00F81535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33A" w:rsidRPr="00C6406F" w:rsidRDefault="001B433A" w:rsidP="001B433A">
    <w:pPr>
      <w:pStyle w:val="Header"/>
      <w:jc w:val="right"/>
      <w:rPr>
        <w:rFonts w:ascii="Times New Roman" w:hAnsi="Times New Roman"/>
        <w:sz w:val="20"/>
        <w:szCs w:val="20"/>
        <w:lang w:val="pt-BR"/>
      </w:rPr>
    </w:pPr>
    <w:r w:rsidRPr="00C6406F">
      <w:rPr>
        <w:rFonts w:ascii="Times New Roman" w:hAnsi="Times New Roman"/>
        <w:sz w:val="20"/>
        <w:szCs w:val="20"/>
        <w:lang w:val="pt-BR"/>
      </w:rPr>
      <w:t>Anexo Electrónico Opcional I – PE-L1159</w:t>
    </w:r>
  </w:p>
  <w:p w:rsidR="001B433A" w:rsidRPr="001B433A" w:rsidRDefault="003A6035">
    <w:pPr>
      <w:pStyle w:val="Header"/>
      <w:jc w:val="right"/>
      <w:rPr>
        <w:rFonts w:ascii="Times New Roman" w:hAnsi="Times New Roman"/>
        <w:sz w:val="20"/>
        <w:szCs w:val="20"/>
      </w:rPr>
    </w:pPr>
    <w:sdt>
      <w:sdtPr>
        <w:rPr>
          <w:rFonts w:ascii="Times New Roman" w:hAnsi="Times New Roman"/>
          <w:sz w:val="20"/>
          <w:szCs w:val="20"/>
        </w:rPr>
        <w:id w:val="1477648756"/>
        <w:docPartObj>
          <w:docPartGallery w:val="Page Numbers (Top of Page)"/>
          <w:docPartUnique/>
        </w:docPartObj>
      </w:sdtPr>
      <w:sdtEndPr/>
      <w:sdtContent>
        <w:r w:rsidR="001B433A" w:rsidRPr="001B433A">
          <w:rPr>
            <w:rFonts w:ascii="Times New Roman" w:hAnsi="Times New Roman"/>
            <w:sz w:val="20"/>
            <w:szCs w:val="20"/>
          </w:rPr>
          <w:t xml:space="preserve">Page </w:t>
        </w:r>
        <w:r w:rsidR="001B433A" w:rsidRPr="001B433A">
          <w:rPr>
            <w:rFonts w:ascii="Times New Roman" w:hAnsi="Times New Roman"/>
            <w:bCs/>
            <w:sz w:val="20"/>
            <w:szCs w:val="20"/>
          </w:rPr>
          <w:fldChar w:fldCharType="begin"/>
        </w:r>
        <w:r w:rsidR="001B433A" w:rsidRPr="001B433A">
          <w:rPr>
            <w:rFonts w:ascii="Times New Roman" w:hAnsi="Times New Roman"/>
            <w:bCs/>
            <w:sz w:val="20"/>
            <w:szCs w:val="20"/>
          </w:rPr>
          <w:instrText xml:space="preserve"> PAGE </w:instrText>
        </w:r>
        <w:r w:rsidR="001B433A" w:rsidRPr="001B433A">
          <w:rPr>
            <w:rFonts w:ascii="Times New Roman" w:hAnsi="Times New Roman"/>
            <w:bCs/>
            <w:sz w:val="20"/>
            <w:szCs w:val="20"/>
          </w:rPr>
          <w:fldChar w:fldCharType="separate"/>
        </w:r>
        <w:r>
          <w:rPr>
            <w:rFonts w:ascii="Times New Roman" w:hAnsi="Times New Roman"/>
            <w:bCs/>
            <w:noProof/>
            <w:sz w:val="20"/>
            <w:szCs w:val="20"/>
          </w:rPr>
          <w:t>1</w:t>
        </w:r>
        <w:r w:rsidR="001B433A" w:rsidRPr="001B433A">
          <w:rPr>
            <w:rFonts w:ascii="Times New Roman" w:hAnsi="Times New Roman"/>
            <w:bCs/>
            <w:sz w:val="20"/>
            <w:szCs w:val="20"/>
          </w:rPr>
          <w:fldChar w:fldCharType="end"/>
        </w:r>
        <w:r w:rsidR="001B433A" w:rsidRPr="001B433A">
          <w:rPr>
            <w:rFonts w:ascii="Times New Roman" w:hAnsi="Times New Roman"/>
            <w:sz w:val="20"/>
            <w:szCs w:val="20"/>
          </w:rPr>
          <w:t xml:space="preserve"> of </w:t>
        </w:r>
        <w:r w:rsidR="001B433A" w:rsidRPr="001B433A">
          <w:rPr>
            <w:rFonts w:ascii="Times New Roman" w:hAnsi="Times New Roman"/>
            <w:bCs/>
            <w:sz w:val="20"/>
            <w:szCs w:val="20"/>
          </w:rPr>
          <w:fldChar w:fldCharType="begin"/>
        </w:r>
        <w:r w:rsidR="001B433A" w:rsidRPr="001B433A">
          <w:rPr>
            <w:rFonts w:ascii="Times New Roman" w:hAnsi="Times New Roman"/>
            <w:bCs/>
            <w:sz w:val="20"/>
            <w:szCs w:val="20"/>
          </w:rPr>
          <w:instrText xml:space="preserve"> NUMPAGES  </w:instrText>
        </w:r>
        <w:r w:rsidR="001B433A" w:rsidRPr="001B433A">
          <w:rPr>
            <w:rFonts w:ascii="Times New Roman" w:hAnsi="Times New Roman"/>
            <w:bCs/>
            <w:sz w:val="20"/>
            <w:szCs w:val="20"/>
          </w:rPr>
          <w:fldChar w:fldCharType="separate"/>
        </w:r>
        <w:r>
          <w:rPr>
            <w:rFonts w:ascii="Times New Roman" w:hAnsi="Times New Roman"/>
            <w:bCs/>
            <w:noProof/>
            <w:sz w:val="20"/>
            <w:szCs w:val="20"/>
          </w:rPr>
          <w:t>7</w:t>
        </w:r>
        <w:r w:rsidR="001B433A" w:rsidRPr="001B433A">
          <w:rPr>
            <w:rFonts w:ascii="Times New Roman" w:hAnsi="Times New Roman"/>
            <w:bCs/>
            <w:sz w:val="20"/>
            <w:szCs w:val="20"/>
          </w:rPr>
          <w:fldChar w:fldCharType="end"/>
        </w:r>
      </w:sdtContent>
    </w:sdt>
  </w:p>
  <w:p w:rsidR="001B433A" w:rsidRPr="001B433A" w:rsidRDefault="001B433A" w:rsidP="001B433A">
    <w:pPr>
      <w:pStyle w:val="Header"/>
      <w:jc w:val="right"/>
      <w:rPr>
        <w:rFonts w:ascii="Times New Roman" w:hAnsi="Times New Roman"/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535" w:rsidRDefault="00F815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787"/>
    <w:multiLevelType w:val="hybridMultilevel"/>
    <w:tmpl w:val="8526A71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077DDE"/>
    <w:multiLevelType w:val="hybridMultilevel"/>
    <w:tmpl w:val="F4A02CC8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DAB7FC9"/>
    <w:multiLevelType w:val="multilevel"/>
    <w:tmpl w:val="8F5EA2AC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3">
    <w:nsid w:val="1D79533A"/>
    <w:multiLevelType w:val="multilevel"/>
    <w:tmpl w:val="79924744"/>
    <w:lvl w:ilvl="0">
      <w:start w:val="1"/>
      <w:numFmt w:val="none"/>
      <w:pStyle w:val="FirstHeading"/>
      <w:suff w:val="nothing"/>
      <w:lvlText w:val=""/>
      <w:lvlJc w:val="left"/>
      <w:pPr>
        <w:ind w:left="720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1296"/>
        </w:tabs>
        <w:ind w:left="1296" w:hanging="576"/>
      </w:pPr>
    </w:lvl>
    <w:lvl w:ilvl="2">
      <w:start w:val="1"/>
      <w:numFmt w:val="lowerLetter"/>
      <w:pStyle w:val="SubHeading1"/>
      <w:lvlText w:val="%3)"/>
      <w:lvlJc w:val="left"/>
      <w:pPr>
        <w:tabs>
          <w:tab w:val="num" w:pos="1872"/>
        </w:tabs>
        <w:ind w:left="1872" w:hanging="576"/>
      </w:pPr>
    </w:lvl>
    <w:lvl w:ilvl="3">
      <w:start w:val="1"/>
      <w:numFmt w:val="lowerRoman"/>
      <w:pStyle w:val="Subheading2"/>
      <w:lvlText w:val="(%4)"/>
      <w:lvlJc w:val="right"/>
      <w:pPr>
        <w:tabs>
          <w:tab w:val="num" w:pos="2376"/>
        </w:tabs>
        <w:ind w:left="2376" w:hanging="288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F772CF3"/>
    <w:multiLevelType w:val="multilevel"/>
    <w:tmpl w:val="5A504ABA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</w:lvl>
    <w:lvl w:ilvl="2">
      <w:start w:val="1"/>
      <w:numFmt w:val="lowerLetter"/>
      <w:lvlText w:val="%3)"/>
      <w:lvlJc w:val="left"/>
      <w:pPr>
        <w:tabs>
          <w:tab w:val="num" w:pos="1872"/>
        </w:tabs>
        <w:ind w:left="1872" w:hanging="576"/>
      </w:pPr>
    </w:lvl>
    <w:lvl w:ilvl="3">
      <w:start w:val="1"/>
      <w:numFmt w:val="lowerRoman"/>
      <w:lvlText w:val="(%4)"/>
      <w:lvlJc w:val="right"/>
      <w:pPr>
        <w:tabs>
          <w:tab w:val="num" w:pos="2376"/>
        </w:tabs>
        <w:ind w:left="2376" w:hanging="288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C93077A"/>
    <w:multiLevelType w:val="hybridMultilevel"/>
    <w:tmpl w:val="2AA21210"/>
    <w:lvl w:ilvl="0" w:tplc="04090005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>
    <w:nsid w:val="79561F51"/>
    <w:multiLevelType w:val="hybridMultilevel"/>
    <w:tmpl w:val="25524706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A84"/>
    <w:rsid w:val="000012D1"/>
    <w:rsid w:val="00001552"/>
    <w:rsid w:val="00001959"/>
    <w:rsid w:val="000028B3"/>
    <w:rsid w:val="00004975"/>
    <w:rsid w:val="00004C43"/>
    <w:rsid w:val="00006BAF"/>
    <w:rsid w:val="00010DE9"/>
    <w:rsid w:val="000116F5"/>
    <w:rsid w:val="00012ED8"/>
    <w:rsid w:val="000144E0"/>
    <w:rsid w:val="00015476"/>
    <w:rsid w:val="00017B12"/>
    <w:rsid w:val="000228EF"/>
    <w:rsid w:val="00022E44"/>
    <w:rsid w:val="00027F7A"/>
    <w:rsid w:val="0003042F"/>
    <w:rsid w:val="000334AC"/>
    <w:rsid w:val="00035395"/>
    <w:rsid w:val="00040555"/>
    <w:rsid w:val="0004079D"/>
    <w:rsid w:val="00040B36"/>
    <w:rsid w:val="00040BBC"/>
    <w:rsid w:val="00040DB3"/>
    <w:rsid w:val="00041389"/>
    <w:rsid w:val="000414EF"/>
    <w:rsid w:val="0004411A"/>
    <w:rsid w:val="00045E81"/>
    <w:rsid w:val="00046570"/>
    <w:rsid w:val="00046797"/>
    <w:rsid w:val="00047147"/>
    <w:rsid w:val="00047FB3"/>
    <w:rsid w:val="0005248F"/>
    <w:rsid w:val="0005339C"/>
    <w:rsid w:val="000544FC"/>
    <w:rsid w:val="000545B3"/>
    <w:rsid w:val="000547A5"/>
    <w:rsid w:val="00062346"/>
    <w:rsid w:val="00065F55"/>
    <w:rsid w:val="0006667E"/>
    <w:rsid w:val="00067A52"/>
    <w:rsid w:val="00070793"/>
    <w:rsid w:val="000710E0"/>
    <w:rsid w:val="00071449"/>
    <w:rsid w:val="00072FC8"/>
    <w:rsid w:val="0007402A"/>
    <w:rsid w:val="00076822"/>
    <w:rsid w:val="00077291"/>
    <w:rsid w:val="0007779C"/>
    <w:rsid w:val="00083155"/>
    <w:rsid w:val="0008414C"/>
    <w:rsid w:val="00085E43"/>
    <w:rsid w:val="00092B17"/>
    <w:rsid w:val="000939F5"/>
    <w:rsid w:val="00097EC7"/>
    <w:rsid w:val="000B07E4"/>
    <w:rsid w:val="000B3F6C"/>
    <w:rsid w:val="000B564F"/>
    <w:rsid w:val="000C0447"/>
    <w:rsid w:val="000C0BD4"/>
    <w:rsid w:val="000C3A77"/>
    <w:rsid w:val="000C5F84"/>
    <w:rsid w:val="000C64D5"/>
    <w:rsid w:val="000D5E7C"/>
    <w:rsid w:val="000E0EFA"/>
    <w:rsid w:val="000E2783"/>
    <w:rsid w:val="000E2DDD"/>
    <w:rsid w:val="000E3D1C"/>
    <w:rsid w:val="000E458A"/>
    <w:rsid w:val="000E4A1B"/>
    <w:rsid w:val="000E6186"/>
    <w:rsid w:val="000F0752"/>
    <w:rsid w:val="000F0EB7"/>
    <w:rsid w:val="000F2461"/>
    <w:rsid w:val="000F4BF7"/>
    <w:rsid w:val="000F4CAA"/>
    <w:rsid w:val="00105386"/>
    <w:rsid w:val="00106781"/>
    <w:rsid w:val="0011103D"/>
    <w:rsid w:val="00111647"/>
    <w:rsid w:val="00111EEB"/>
    <w:rsid w:val="00113EEB"/>
    <w:rsid w:val="001203C3"/>
    <w:rsid w:val="00121814"/>
    <w:rsid w:val="00121DFD"/>
    <w:rsid w:val="00122C0B"/>
    <w:rsid w:val="00123220"/>
    <w:rsid w:val="001232B3"/>
    <w:rsid w:val="00123EC0"/>
    <w:rsid w:val="00126B57"/>
    <w:rsid w:val="0013182C"/>
    <w:rsid w:val="00132EF3"/>
    <w:rsid w:val="00143BAE"/>
    <w:rsid w:val="001464EC"/>
    <w:rsid w:val="0014709C"/>
    <w:rsid w:val="001527CC"/>
    <w:rsid w:val="001533A0"/>
    <w:rsid w:val="001533BC"/>
    <w:rsid w:val="001546DF"/>
    <w:rsid w:val="00156298"/>
    <w:rsid w:val="0016144F"/>
    <w:rsid w:val="00163EF3"/>
    <w:rsid w:val="00166619"/>
    <w:rsid w:val="00166CED"/>
    <w:rsid w:val="001674DC"/>
    <w:rsid w:val="001700AB"/>
    <w:rsid w:val="0017063C"/>
    <w:rsid w:val="00170CFD"/>
    <w:rsid w:val="00171A01"/>
    <w:rsid w:val="00171C8A"/>
    <w:rsid w:val="00171D9F"/>
    <w:rsid w:val="00174A5A"/>
    <w:rsid w:val="00175CD5"/>
    <w:rsid w:val="001761CD"/>
    <w:rsid w:val="00177D6A"/>
    <w:rsid w:val="001802AC"/>
    <w:rsid w:val="001816EC"/>
    <w:rsid w:val="00181ABB"/>
    <w:rsid w:val="00183417"/>
    <w:rsid w:val="00183AF9"/>
    <w:rsid w:val="00184875"/>
    <w:rsid w:val="001868DB"/>
    <w:rsid w:val="00190BDE"/>
    <w:rsid w:val="001913BB"/>
    <w:rsid w:val="00191D68"/>
    <w:rsid w:val="00192CED"/>
    <w:rsid w:val="001953A8"/>
    <w:rsid w:val="00195A88"/>
    <w:rsid w:val="00197880"/>
    <w:rsid w:val="001A0CF2"/>
    <w:rsid w:val="001A1222"/>
    <w:rsid w:val="001A1CB5"/>
    <w:rsid w:val="001B1AA0"/>
    <w:rsid w:val="001B225A"/>
    <w:rsid w:val="001B433A"/>
    <w:rsid w:val="001B4BAA"/>
    <w:rsid w:val="001B647A"/>
    <w:rsid w:val="001B73BE"/>
    <w:rsid w:val="001B7D64"/>
    <w:rsid w:val="001C2679"/>
    <w:rsid w:val="001C3972"/>
    <w:rsid w:val="001C3DCA"/>
    <w:rsid w:val="001C6B16"/>
    <w:rsid w:val="001C756E"/>
    <w:rsid w:val="001C7CD4"/>
    <w:rsid w:val="001D110C"/>
    <w:rsid w:val="001D1FF6"/>
    <w:rsid w:val="001D2791"/>
    <w:rsid w:val="001D42C2"/>
    <w:rsid w:val="001D6936"/>
    <w:rsid w:val="001D6BFA"/>
    <w:rsid w:val="001E3C24"/>
    <w:rsid w:val="001E6925"/>
    <w:rsid w:val="001F08DD"/>
    <w:rsid w:val="001F315B"/>
    <w:rsid w:val="001F37DB"/>
    <w:rsid w:val="001F3F35"/>
    <w:rsid w:val="001F508B"/>
    <w:rsid w:val="001F7947"/>
    <w:rsid w:val="002014A2"/>
    <w:rsid w:val="00202C09"/>
    <w:rsid w:val="0020371E"/>
    <w:rsid w:val="00203D42"/>
    <w:rsid w:val="00204F79"/>
    <w:rsid w:val="002052F2"/>
    <w:rsid w:val="002066DF"/>
    <w:rsid w:val="00206E7B"/>
    <w:rsid w:val="00210F39"/>
    <w:rsid w:val="002140EC"/>
    <w:rsid w:val="002169E8"/>
    <w:rsid w:val="0022321A"/>
    <w:rsid w:val="00224121"/>
    <w:rsid w:val="00225624"/>
    <w:rsid w:val="00231AEE"/>
    <w:rsid w:val="00231F46"/>
    <w:rsid w:val="002334DC"/>
    <w:rsid w:val="00235AE2"/>
    <w:rsid w:val="00242107"/>
    <w:rsid w:val="002423F8"/>
    <w:rsid w:val="0024317D"/>
    <w:rsid w:val="00245C01"/>
    <w:rsid w:val="002509F7"/>
    <w:rsid w:val="00254A0F"/>
    <w:rsid w:val="00255FED"/>
    <w:rsid w:val="0025791B"/>
    <w:rsid w:val="00257BF9"/>
    <w:rsid w:val="002617CE"/>
    <w:rsid w:val="00263A37"/>
    <w:rsid w:val="00263F76"/>
    <w:rsid w:val="0026504F"/>
    <w:rsid w:val="0026726E"/>
    <w:rsid w:val="00270410"/>
    <w:rsid w:val="00270D49"/>
    <w:rsid w:val="00271AC2"/>
    <w:rsid w:val="00272FBC"/>
    <w:rsid w:val="00273F6C"/>
    <w:rsid w:val="00274028"/>
    <w:rsid w:val="002765A6"/>
    <w:rsid w:val="00281B64"/>
    <w:rsid w:val="00283C7D"/>
    <w:rsid w:val="00286537"/>
    <w:rsid w:val="00287337"/>
    <w:rsid w:val="00292120"/>
    <w:rsid w:val="002922DB"/>
    <w:rsid w:val="00294B61"/>
    <w:rsid w:val="00295816"/>
    <w:rsid w:val="00296F7F"/>
    <w:rsid w:val="00297934"/>
    <w:rsid w:val="002A2694"/>
    <w:rsid w:val="002A2A60"/>
    <w:rsid w:val="002A3BFD"/>
    <w:rsid w:val="002A5AC4"/>
    <w:rsid w:val="002A7D94"/>
    <w:rsid w:val="002B24F1"/>
    <w:rsid w:val="002B3E6F"/>
    <w:rsid w:val="002B72E9"/>
    <w:rsid w:val="002C01E7"/>
    <w:rsid w:val="002C022F"/>
    <w:rsid w:val="002C03DA"/>
    <w:rsid w:val="002C11D4"/>
    <w:rsid w:val="002C14FB"/>
    <w:rsid w:val="002C1AAB"/>
    <w:rsid w:val="002C23E4"/>
    <w:rsid w:val="002C32B3"/>
    <w:rsid w:val="002C3ED8"/>
    <w:rsid w:val="002C5127"/>
    <w:rsid w:val="002C6D04"/>
    <w:rsid w:val="002D2EF5"/>
    <w:rsid w:val="002D5970"/>
    <w:rsid w:val="002D67D2"/>
    <w:rsid w:val="002D707C"/>
    <w:rsid w:val="002D73DC"/>
    <w:rsid w:val="002E00B6"/>
    <w:rsid w:val="002E1854"/>
    <w:rsid w:val="002E2150"/>
    <w:rsid w:val="002E3FBA"/>
    <w:rsid w:val="002E52D7"/>
    <w:rsid w:val="002E5CA6"/>
    <w:rsid w:val="002F3361"/>
    <w:rsid w:val="002F35A1"/>
    <w:rsid w:val="00300DE6"/>
    <w:rsid w:val="0030470D"/>
    <w:rsid w:val="00304736"/>
    <w:rsid w:val="00306D6D"/>
    <w:rsid w:val="003077FA"/>
    <w:rsid w:val="00310431"/>
    <w:rsid w:val="00310E26"/>
    <w:rsid w:val="0031610D"/>
    <w:rsid w:val="003305A0"/>
    <w:rsid w:val="00330F07"/>
    <w:rsid w:val="0033433F"/>
    <w:rsid w:val="00334646"/>
    <w:rsid w:val="00336338"/>
    <w:rsid w:val="00337A04"/>
    <w:rsid w:val="00337B87"/>
    <w:rsid w:val="00341215"/>
    <w:rsid w:val="00341313"/>
    <w:rsid w:val="00344C0D"/>
    <w:rsid w:val="00344EF9"/>
    <w:rsid w:val="003463C2"/>
    <w:rsid w:val="00346FD4"/>
    <w:rsid w:val="003531BA"/>
    <w:rsid w:val="0035334F"/>
    <w:rsid w:val="00353989"/>
    <w:rsid w:val="00353AA0"/>
    <w:rsid w:val="00354098"/>
    <w:rsid w:val="0035461F"/>
    <w:rsid w:val="00365349"/>
    <w:rsid w:val="003701C4"/>
    <w:rsid w:val="003730E8"/>
    <w:rsid w:val="00374544"/>
    <w:rsid w:val="00374D1A"/>
    <w:rsid w:val="00376623"/>
    <w:rsid w:val="003777FD"/>
    <w:rsid w:val="0039063C"/>
    <w:rsid w:val="0039349B"/>
    <w:rsid w:val="0039387C"/>
    <w:rsid w:val="003952BE"/>
    <w:rsid w:val="00397196"/>
    <w:rsid w:val="003A49B5"/>
    <w:rsid w:val="003A6035"/>
    <w:rsid w:val="003A622B"/>
    <w:rsid w:val="003B1BDB"/>
    <w:rsid w:val="003B318B"/>
    <w:rsid w:val="003B72CF"/>
    <w:rsid w:val="003B7C5C"/>
    <w:rsid w:val="003C01F6"/>
    <w:rsid w:val="003C0446"/>
    <w:rsid w:val="003C30C4"/>
    <w:rsid w:val="003C4B6D"/>
    <w:rsid w:val="003C67AA"/>
    <w:rsid w:val="003D08B6"/>
    <w:rsid w:val="003D2567"/>
    <w:rsid w:val="003D2C71"/>
    <w:rsid w:val="003D32F3"/>
    <w:rsid w:val="003D6372"/>
    <w:rsid w:val="003D7966"/>
    <w:rsid w:val="003E34A8"/>
    <w:rsid w:val="003E7911"/>
    <w:rsid w:val="003F062D"/>
    <w:rsid w:val="003F0E73"/>
    <w:rsid w:val="003F481E"/>
    <w:rsid w:val="003F7953"/>
    <w:rsid w:val="003F7C52"/>
    <w:rsid w:val="00400FBA"/>
    <w:rsid w:val="004020E8"/>
    <w:rsid w:val="00404BAF"/>
    <w:rsid w:val="00405978"/>
    <w:rsid w:val="00405A8D"/>
    <w:rsid w:val="00410204"/>
    <w:rsid w:val="00412F38"/>
    <w:rsid w:val="00414A10"/>
    <w:rsid w:val="00415240"/>
    <w:rsid w:val="004169F1"/>
    <w:rsid w:val="00420CCC"/>
    <w:rsid w:val="00422D55"/>
    <w:rsid w:val="00423B3E"/>
    <w:rsid w:val="0042635F"/>
    <w:rsid w:val="004265D4"/>
    <w:rsid w:val="00427C2F"/>
    <w:rsid w:val="00430F94"/>
    <w:rsid w:val="004320B1"/>
    <w:rsid w:val="004347BE"/>
    <w:rsid w:val="00434909"/>
    <w:rsid w:val="00435C4B"/>
    <w:rsid w:val="00435D67"/>
    <w:rsid w:val="0044024A"/>
    <w:rsid w:val="004413FF"/>
    <w:rsid w:val="00441D85"/>
    <w:rsid w:val="00441FBA"/>
    <w:rsid w:val="00442557"/>
    <w:rsid w:val="00442680"/>
    <w:rsid w:val="00443124"/>
    <w:rsid w:val="0044338D"/>
    <w:rsid w:val="00446A1F"/>
    <w:rsid w:val="00446D6A"/>
    <w:rsid w:val="004470DE"/>
    <w:rsid w:val="00447355"/>
    <w:rsid w:val="004477EF"/>
    <w:rsid w:val="0045266D"/>
    <w:rsid w:val="004531C0"/>
    <w:rsid w:val="004542F7"/>
    <w:rsid w:val="00456C31"/>
    <w:rsid w:val="004575C3"/>
    <w:rsid w:val="00461987"/>
    <w:rsid w:val="00461DD7"/>
    <w:rsid w:val="004652EC"/>
    <w:rsid w:val="00465566"/>
    <w:rsid w:val="00465D07"/>
    <w:rsid w:val="0047450D"/>
    <w:rsid w:val="004770B7"/>
    <w:rsid w:val="004800A8"/>
    <w:rsid w:val="00482121"/>
    <w:rsid w:val="004837F2"/>
    <w:rsid w:val="00484DD5"/>
    <w:rsid w:val="00486653"/>
    <w:rsid w:val="00493C5B"/>
    <w:rsid w:val="004A2C09"/>
    <w:rsid w:val="004A4B41"/>
    <w:rsid w:val="004A4E41"/>
    <w:rsid w:val="004B03A2"/>
    <w:rsid w:val="004B5485"/>
    <w:rsid w:val="004B76D4"/>
    <w:rsid w:val="004C4D3E"/>
    <w:rsid w:val="004C5F92"/>
    <w:rsid w:val="004D0142"/>
    <w:rsid w:val="004D0E2A"/>
    <w:rsid w:val="004D1126"/>
    <w:rsid w:val="004D1C54"/>
    <w:rsid w:val="004D38BC"/>
    <w:rsid w:val="004E1514"/>
    <w:rsid w:val="004E18E2"/>
    <w:rsid w:val="004E2475"/>
    <w:rsid w:val="004E3B7E"/>
    <w:rsid w:val="004F3AC6"/>
    <w:rsid w:val="004F443F"/>
    <w:rsid w:val="004F4A14"/>
    <w:rsid w:val="004F56BE"/>
    <w:rsid w:val="0050065C"/>
    <w:rsid w:val="00500B3D"/>
    <w:rsid w:val="00502D95"/>
    <w:rsid w:val="005046E9"/>
    <w:rsid w:val="00504D82"/>
    <w:rsid w:val="00506188"/>
    <w:rsid w:val="00510C38"/>
    <w:rsid w:val="00512309"/>
    <w:rsid w:val="00512E2B"/>
    <w:rsid w:val="005158EC"/>
    <w:rsid w:val="00516CA8"/>
    <w:rsid w:val="0052061F"/>
    <w:rsid w:val="0052078B"/>
    <w:rsid w:val="005207A1"/>
    <w:rsid w:val="00520CF3"/>
    <w:rsid w:val="0052358F"/>
    <w:rsid w:val="00524B27"/>
    <w:rsid w:val="00532496"/>
    <w:rsid w:val="005330E6"/>
    <w:rsid w:val="0053388C"/>
    <w:rsid w:val="00536005"/>
    <w:rsid w:val="00537FB8"/>
    <w:rsid w:val="00541EAE"/>
    <w:rsid w:val="005435DC"/>
    <w:rsid w:val="00545869"/>
    <w:rsid w:val="0055009B"/>
    <w:rsid w:val="00553D77"/>
    <w:rsid w:val="00553E83"/>
    <w:rsid w:val="00556F49"/>
    <w:rsid w:val="005611BD"/>
    <w:rsid w:val="00564001"/>
    <w:rsid w:val="00566F0C"/>
    <w:rsid w:val="0057057F"/>
    <w:rsid w:val="005706BA"/>
    <w:rsid w:val="00571386"/>
    <w:rsid w:val="0057370D"/>
    <w:rsid w:val="005740C3"/>
    <w:rsid w:val="00583945"/>
    <w:rsid w:val="00583E23"/>
    <w:rsid w:val="00583F79"/>
    <w:rsid w:val="005848C3"/>
    <w:rsid w:val="005857F7"/>
    <w:rsid w:val="00585D5A"/>
    <w:rsid w:val="0058701B"/>
    <w:rsid w:val="00590139"/>
    <w:rsid w:val="005908FF"/>
    <w:rsid w:val="00591C0F"/>
    <w:rsid w:val="00592C40"/>
    <w:rsid w:val="0059300D"/>
    <w:rsid w:val="00595C9B"/>
    <w:rsid w:val="00595F6A"/>
    <w:rsid w:val="00597960"/>
    <w:rsid w:val="005A3848"/>
    <w:rsid w:val="005A5D9A"/>
    <w:rsid w:val="005A65F9"/>
    <w:rsid w:val="005B0AA7"/>
    <w:rsid w:val="005B2222"/>
    <w:rsid w:val="005B2F24"/>
    <w:rsid w:val="005B34BD"/>
    <w:rsid w:val="005B76D4"/>
    <w:rsid w:val="005C000B"/>
    <w:rsid w:val="005C30E6"/>
    <w:rsid w:val="005C36E7"/>
    <w:rsid w:val="005C54A6"/>
    <w:rsid w:val="005C61F0"/>
    <w:rsid w:val="005D07A4"/>
    <w:rsid w:val="005D091E"/>
    <w:rsid w:val="005D231B"/>
    <w:rsid w:val="005D5A35"/>
    <w:rsid w:val="005D71AE"/>
    <w:rsid w:val="005D7932"/>
    <w:rsid w:val="005D797A"/>
    <w:rsid w:val="005E619C"/>
    <w:rsid w:val="005E751F"/>
    <w:rsid w:val="005E7AC8"/>
    <w:rsid w:val="005F20C4"/>
    <w:rsid w:val="005F2B98"/>
    <w:rsid w:val="005F4AD3"/>
    <w:rsid w:val="005F4BFB"/>
    <w:rsid w:val="005F6075"/>
    <w:rsid w:val="005F64ED"/>
    <w:rsid w:val="005F7A38"/>
    <w:rsid w:val="00600582"/>
    <w:rsid w:val="00600E36"/>
    <w:rsid w:val="00601737"/>
    <w:rsid w:val="00602137"/>
    <w:rsid w:val="00604CFC"/>
    <w:rsid w:val="00615CDD"/>
    <w:rsid w:val="006167A1"/>
    <w:rsid w:val="00617687"/>
    <w:rsid w:val="0062122B"/>
    <w:rsid w:val="00621890"/>
    <w:rsid w:val="006218BB"/>
    <w:rsid w:val="0062213F"/>
    <w:rsid w:val="006223AF"/>
    <w:rsid w:val="00622F5B"/>
    <w:rsid w:val="006230A5"/>
    <w:rsid w:val="00623C7C"/>
    <w:rsid w:val="00625213"/>
    <w:rsid w:val="00626A02"/>
    <w:rsid w:val="006277A2"/>
    <w:rsid w:val="00631562"/>
    <w:rsid w:val="00632EAA"/>
    <w:rsid w:val="00633F34"/>
    <w:rsid w:val="0063448C"/>
    <w:rsid w:val="00634555"/>
    <w:rsid w:val="0063584C"/>
    <w:rsid w:val="00636FCD"/>
    <w:rsid w:val="006370D7"/>
    <w:rsid w:val="0063730E"/>
    <w:rsid w:val="00637A31"/>
    <w:rsid w:val="00645080"/>
    <w:rsid w:val="00646939"/>
    <w:rsid w:val="0065079E"/>
    <w:rsid w:val="00653EA3"/>
    <w:rsid w:val="006551D9"/>
    <w:rsid w:val="006558D2"/>
    <w:rsid w:val="00656C80"/>
    <w:rsid w:val="00656EEA"/>
    <w:rsid w:val="00657248"/>
    <w:rsid w:val="00657CB6"/>
    <w:rsid w:val="0066089B"/>
    <w:rsid w:val="006617E5"/>
    <w:rsid w:val="00662A3E"/>
    <w:rsid w:val="00664D9B"/>
    <w:rsid w:val="006662FF"/>
    <w:rsid w:val="006671E8"/>
    <w:rsid w:val="006675B8"/>
    <w:rsid w:val="00671465"/>
    <w:rsid w:val="00672260"/>
    <w:rsid w:val="006734A9"/>
    <w:rsid w:val="006739C1"/>
    <w:rsid w:val="00674C23"/>
    <w:rsid w:val="0067657F"/>
    <w:rsid w:val="00676A00"/>
    <w:rsid w:val="00680862"/>
    <w:rsid w:val="006810F4"/>
    <w:rsid w:val="00682773"/>
    <w:rsid w:val="00682C9A"/>
    <w:rsid w:val="00683C92"/>
    <w:rsid w:val="0068487F"/>
    <w:rsid w:val="00685E2F"/>
    <w:rsid w:val="006862D9"/>
    <w:rsid w:val="00686DCA"/>
    <w:rsid w:val="006906FE"/>
    <w:rsid w:val="0069256C"/>
    <w:rsid w:val="006929EB"/>
    <w:rsid w:val="00693492"/>
    <w:rsid w:val="006A2B10"/>
    <w:rsid w:val="006A5499"/>
    <w:rsid w:val="006A5527"/>
    <w:rsid w:val="006A7F71"/>
    <w:rsid w:val="006B0315"/>
    <w:rsid w:val="006B1806"/>
    <w:rsid w:val="006B23D2"/>
    <w:rsid w:val="006B31D7"/>
    <w:rsid w:val="006C12C3"/>
    <w:rsid w:val="006C244D"/>
    <w:rsid w:val="006C3209"/>
    <w:rsid w:val="006C46D3"/>
    <w:rsid w:val="006C7407"/>
    <w:rsid w:val="006C7423"/>
    <w:rsid w:val="006C7DDE"/>
    <w:rsid w:val="006D2845"/>
    <w:rsid w:val="006D2E7A"/>
    <w:rsid w:val="006D41A0"/>
    <w:rsid w:val="006D4549"/>
    <w:rsid w:val="006E0764"/>
    <w:rsid w:val="006E1433"/>
    <w:rsid w:val="006E3950"/>
    <w:rsid w:val="006E5040"/>
    <w:rsid w:val="006E5BDD"/>
    <w:rsid w:val="006E7283"/>
    <w:rsid w:val="006E7AEE"/>
    <w:rsid w:val="006F192C"/>
    <w:rsid w:val="006F24A6"/>
    <w:rsid w:val="006F3298"/>
    <w:rsid w:val="00702263"/>
    <w:rsid w:val="007023FE"/>
    <w:rsid w:val="007059AE"/>
    <w:rsid w:val="00705CD9"/>
    <w:rsid w:val="007063CA"/>
    <w:rsid w:val="0070694A"/>
    <w:rsid w:val="00706D22"/>
    <w:rsid w:val="00710460"/>
    <w:rsid w:val="00710548"/>
    <w:rsid w:val="00710C66"/>
    <w:rsid w:val="007117F3"/>
    <w:rsid w:val="0071239E"/>
    <w:rsid w:val="00712A06"/>
    <w:rsid w:val="00712EA4"/>
    <w:rsid w:val="00713E7B"/>
    <w:rsid w:val="0071697F"/>
    <w:rsid w:val="00716BF6"/>
    <w:rsid w:val="00717B3D"/>
    <w:rsid w:val="00717D7B"/>
    <w:rsid w:val="00720114"/>
    <w:rsid w:val="007203B5"/>
    <w:rsid w:val="00720EA8"/>
    <w:rsid w:val="00725E03"/>
    <w:rsid w:val="007277C2"/>
    <w:rsid w:val="00727BF6"/>
    <w:rsid w:val="00727C45"/>
    <w:rsid w:val="007301B6"/>
    <w:rsid w:val="00730F26"/>
    <w:rsid w:val="00734E8C"/>
    <w:rsid w:val="00735875"/>
    <w:rsid w:val="00735AA0"/>
    <w:rsid w:val="00740A67"/>
    <w:rsid w:val="00741768"/>
    <w:rsid w:val="00742878"/>
    <w:rsid w:val="007456D9"/>
    <w:rsid w:val="007469B1"/>
    <w:rsid w:val="00751907"/>
    <w:rsid w:val="00752521"/>
    <w:rsid w:val="00753487"/>
    <w:rsid w:val="00754DC5"/>
    <w:rsid w:val="00756B72"/>
    <w:rsid w:val="00763753"/>
    <w:rsid w:val="00763D21"/>
    <w:rsid w:val="007645E5"/>
    <w:rsid w:val="00766390"/>
    <w:rsid w:val="0077063C"/>
    <w:rsid w:val="00773FF3"/>
    <w:rsid w:val="00781470"/>
    <w:rsid w:val="00781C81"/>
    <w:rsid w:val="0078280A"/>
    <w:rsid w:val="0078774E"/>
    <w:rsid w:val="00790495"/>
    <w:rsid w:val="00791EE2"/>
    <w:rsid w:val="00792E8A"/>
    <w:rsid w:val="00794AFC"/>
    <w:rsid w:val="007A1F5D"/>
    <w:rsid w:val="007A3EC7"/>
    <w:rsid w:val="007A6205"/>
    <w:rsid w:val="007A6B28"/>
    <w:rsid w:val="007B1291"/>
    <w:rsid w:val="007B1851"/>
    <w:rsid w:val="007B24FE"/>
    <w:rsid w:val="007B4A97"/>
    <w:rsid w:val="007B54CB"/>
    <w:rsid w:val="007B758E"/>
    <w:rsid w:val="007C084C"/>
    <w:rsid w:val="007C08EF"/>
    <w:rsid w:val="007C3A4E"/>
    <w:rsid w:val="007D1272"/>
    <w:rsid w:val="007D1C79"/>
    <w:rsid w:val="007D1CF6"/>
    <w:rsid w:val="007D2CFA"/>
    <w:rsid w:val="007D751A"/>
    <w:rsid w:val="007E1BE2"/>
    <w:rsid w:val="007E1D98"/>
    <w:rsid w:val="007E283A"/>
    <w:rsid w:val="007F16A4"/>
    <w:rsid w:val="007F482E"/>
    <w:rsid w:val="0080081E"/>
    <w:rsid w:val="008015E0"/>
    <w:rsid w:val="00801C75"/>
    <w:rsid w:val="00803325"/>
    <w:rsid w:val="0080486E"/>
    <w:rsid w:val="00805016"/>
    <w:rsid w:val="008102C5"/>
    <w:rsid w:val="00810D20"/>
    <w:rsid w:val="008130D1"/>
    <w:rsid w:val="0081738F"/>
    <w:rsid w:val="00817919"/>
    <w:rsid w:val="00820E0D"/>
    <w:rsid w:val="008249E5"/>
    <w:rsid w:val="008306E0"/>
    <w:rsid w:val="00834A16"/>
    <w:rsid w:val="008366E8"/>
    <w:rsid w:val="00836E89"/>
    <w:rsid w:val="008409C4"/>
    <w:rsid w:val="00840DD8"/>
    <w:rsid w:val="008410E5"/>
    <w:rsid w:val="00844821"/>
    <w:rsid w:val="00850F28"/>
    <w:rsid w:val="0085145A"/>
    <w:rsid w:val="00851D6B"/>
    <w:rsid w:val="008521F9"/>
    <w:rsid w:val="00860727"/>
    <w:rsid w:val="00860C99"/>
    <w:rsid w:val="00861412"/>
    <w:rsid w:val="00861EF8"/>
    <w:rsid w:val="0086447C"/>
    <w:rsid w:val="00864807"/>
    <w:rsid w:val="00867908"/>
    <w:rsid w:val="0087103A"/>
    <w:rsid w:val="0087516A"/>
    <w:rsid w:val="00877406"/>
    <w:rsid w:val="00887411"/>
    <w:rsid w:val="00892796"/>
    <w:rsid w:val="008957AF"/>
    <w:rsid w:val="008979D3"/>
    <w:rsid w:val="008A1AEC"/>
    <w:rsid w:val="008A4204"/>
    <w:rsid w:val="008A5388"/>
    <w:rsid w:val="008A539F"/>
    <w:rsid w:val="008A5C0C"/>
    <w:rsid w:val="008A68EE"/>
    <w:rsid w:val="008C1CA0"/>
    <w:rsid w:val="008C2DC7"/>
    <w:rsid w:val="008C6218"/>
    <w:rsid w:val="008D3B29"/>
    <w:rsid w:val="008D5CF6"/>
    <w:rsid w:val="008D5EA7"/>
    <w:rsid w:val="008D78F7"/>
    <w:rsid w:val="008E0A21"/>
    <w:rsid w:val="008E1446"/>
    <w:rsid w:val="008F4B03"/>
    <w:rsid w:val="008F69B7"/>
    <w:rsid w:val="008F69BC"/>
    <w:rsid w:val="008F77D7"/>
    <w:rsid w:val="008F7E21"/>
    <w:rsid w:val="00900CF6"/>
    <w:rsid w:val="00904498"/>
    <w:rsid w:val="00906256"/>
    <w:rsid w:val="00907C5E"/>
    <w:rsid w:val="00912417"/>
    <w:rsid w:val="00912CE4"/>
    <w:rsid w:val="00915CDB"/>
    <w:rsid w:val="00917316"/>
    <w:rsid w:val="009204EC"/>
    <w:rsid w:val="0092072D"/>
    <w:rsid w:val="00920AF9"/>
    <w:rsid w:val="00921B8D"/>
    <w:rsid w:val="00924C34"/>
    <w:rsid w:val="00924E33"/>
    <w:rsid w:val="0092518D"/>
    <w:rsid w:val="00927B7B"/>
    <w:rsid w:val="009301A7"/>
    <w:rsid w:val="00931733"/>
    <w:rsid w:val="00933986"/>
    <w:rsid w:val="00934E70"/>
    <w:rsid w:val="00934F2D"/>
    <w:rsid w:val="00942D92"/>
    <w:rsid w:val="00943876"/>
    <w:rsid w:val="00946B1F"/>
    <w:rsid w:val="00951AEF"/>
    <w:rsid w:val="00953185"/>
    <w:rsid w:val="009538C6"/>
    <w:rsid w:val="00956240"/>
    <w:rsid w:val="009574FA"/>
    <w:rsid w:val="00960412"/>
    <w:rsid w:val="00961502"/>
    <w:rsid w:val="009663F6"/>
    <w:rsid w:val="00967926"/>
    <w:rsid w:val="00971532"/>
    <w:rsid w:val="00971778"/>
    <w:rsid w:val="00973A79"/>
    <w:rsid w:val="00974433"/>
    <w:rsid w:val="009770A6"/>
    <w:rsid w:val="00977591"/>
    <w:rsid w:val="009775C3"/>
    <w:rsid w:val="0098000A"/>
    <w:rsid w:val="00981178"/>
    <w:rsid w:val="009836D5"/>
    <w:rsid w:val="00983AD3"/>
    <w:rsid w:val="00985871"/>
    <w:rsid w:val="00986E5F"/>
    <w:rsid w:val="009876CA"/>
    <w:rsid w:val="0099005B"/>
    <w:rsid w:val="009907D4"/>
    <w:rsid w:val="00991044"/>
    <w:rsid w:val="00991181"/>
    <w:rsid w:val="00992655"/>
    <w:rsid w:val="0099437E"/>
    <w:rsid w:val="00995D08"/>
    <w:rsid w:val="00996A1C"/>
    <w:rsid w:val="00997320"/>
    <w:rsid w:val="009975A5"/>
    <w:rsid w:val="009A147C"/>
    <w:rsid w:val="009A339B"/>
    <w:rsid w:val="009A486A"/>
    <w:rsid w:val="009B266E"/>
    <w:rsid w:val="009B5C52"/>
    <w:rsid w:val="009B6AC6"/>
    <w:rsid w:val="009C6F06"/>
    <w:rsid w:val="009C7DC8"/>
    <w:rsid w:val="009D19E5"/>
    <w:rsid w:val="009D1B32"/>
    <w:rsid w:val="009D35F0"/>
    <w:rsid w:val="009D42DE"/>
    <w:rsid w:val="009D43E8"/>
    <w:rsid w:val="009D4C95"/>
    <w:rsid w:val="009D4DA8"/>
    <w:rsid w:val="009D4DCC"/>
    <w:rsid w:val="009D61D8"/>
    <w:rsid w:val="009D651C"/>
    <w:rsid w:val="009E19EF"/>
    <w:rsid w:val="009E4F1F"/>
    <w:rsid w:val="009E5BC4"/>
    <w:rsid w:val="009E7A5E"/>
    <w:rsid w:val="009F193E"/>
    <w:rsid w:val="009F268C"/>
    <w:rsid w:val="009F357F"/>
    <w:rsid w:val="009F3806"/>
    <w:rsid w:val="009F3CB1"/>
    <w:rsid w:val="009F405D"/>
    <w:rsid w:val="009F53F5"/>
    <w:rsid w:val="009F7751"/>
    <w:rsid w:val="00A01A68"/>
    <w:rsid w:val="00A0299A"/>
    <w:rsid w:val="00A058A3"/>
    <w:rsid w:val="00A1360F"/>
    <w:rsid w:val="00A20676"/>
    <w:rsid w:val="00A2087A"/>
    <w:rsid w:val="00A20CAE"/>
    <w:rsid w:val="00A2280C"/>
    <w:rsid w:val="00A23E15"/>
    <w:rsid w:val="00A25279"/>
    <w:rsid w:val="00A25E8D"/>
    <w:rsid w:val="00A2691A"/>
    <w:rsid w:val="00A26FE7"/>
    <w:rsid w:val="00A32601"/>
    <w:rsid w:val="00A34D9B"/>
    <w:rsid w:val="00A34F52"/>
    <w:rsid w:val="00A37A4A"/>
    <w:rsid w:val="00A41BC7"/>
    <w:rsid w:val="00A43067"/>
    <w:rsid w:val="00A46137"/>
    <w:rsid w:val="00A5181E"/>
    <w:rsid w:val="00A51BA1"/>
    <w:rsid w:val="00A54F7B"/>
    <w:rsid w:val="00A5539C"/>
    <w:rsid w:val="00A55935"/>
    <w:rsid w:val="00A563A2"/>
    <w:rsid w:val="00A5709A"/>
    <w:rsid w:val="00A6266B"/>
    <w:rsid w:val="00A659E5"/>
    <w:rsid w:val="00A66F4B"/>
    <w:rsid w:val="00A701D9"/>
    <w:rsid w:val="00A7023E"/>
    <w:rsid w:val="00A7112E"/>
    <w:rsid w:val="00A71716"/>
    <w:rsid w:val="00A71B90"/>
    <w:rsid w:val="00A72645"/>
    <w:rsid w:val="00A767D7"/>
    <w:rsid w:val="00A7700E"/>
    <w:rsid w:val="00A77401"/>
    <w:rsid w:val="00A84F4D"/>
    <w:rsid w:val="00A860E1"/>
    <w:rsid w:val="00A91F48"/>
    <w:rsid w:val="00A91F79"/>
    <w:rsid w:val="00A93A84"/>
    <w:rsid w:val="00A93C98"/>
    <w:rsid w:val="00A942C5"/>
    <w:rsid w:val="00A96396"/>
    <w:rsid w:val="00A968AC"/>
    <w:rsid w:val="00A97878"/>
    <w:rsid w:val="00AA0413"/>
    <w:rsid w:val="00AA2C07"/>
    <w:rsid w:val="00AA6BA9"/>
    <w:rsid w:val="00AA7076"/>
    <w:rsid w:val="00AB0635"/>
    <w:rsid w:val="00AB453A"/>
    <w:rsid w:val="00AB47E7"/>
    <w:rsid w:val="00AB78AA"/>
    <w:rsid w:val="00AC02CF"/>
    <w:rsid w:val="00AC1775"/>
    <w:rsid w:val="00AC39AC"/>
    <w:rsid w:val="00AC5430"/>
    <w:rsid w:val="00AC6808"/>
    <w:rsid w:val="00AD1383"/>
    <w:rsid w:val="00AD378D"/>
    <w:rsid w:val="00AD52FC"/>
    <w:rsid w:val="00AE19AD"/>
    <w:rsid w:val="00AE653C"/>
    <w:rsid w:val="00AF1168"/>
    <w:rsid w:val="00AF1435"/>
    <w:rsid w:val="00AF5CC8"/>
    <w:rsid w:val="00B02D32"/>
    <w:rsid w:val="00B04D12"/>
    <w:rsid w:val="00B10EF0"/>
    <w:rsid w:val="00B15F99"/>
    <w:rsid w:val="00B222AE"/>
    <w:rsid w:val="00B23B9D"/>
    <w:rsid w:val="00B23F5D"/>
    <w:rsid w:val="00B26B21"/>
    <w:rsid w:val="00B26D7A"/>
    <w:rsid w:val="00B31611"/>
    <w:rsid w:val="00B32EA7"/>
    <w:rsid w:val="00B3393B"/>
    <w:rsid w:val="00B3433C"/>
    <w:rsid w:val="00B3725E"/>
    <w:rsid w:val="00B4182E"/>
    <w:rsid w:val="00B44BBB"/>
    <w:rsid w:val="00B45B79"/>
    <w:rsid w:val="00B60C4C"/>
    <w:rsid w:val="00B63115"/>
    <w:rsid w:val="00B6396C"/>
    <w:rsid w:val="00B64B6F"/>
    <w:rsid w:val="00B670E6"/>
    <w:rsid w:val="00B6744B"/>
    <w:rsid w:val="00B70A21"/>
    <w:rsid w:val="00B77F00"/>
    <w:rsid w:val="00B810B1"/>
    <w:rsid w:val="00B87745"/>
    <w:rsid w:val="00B91247"/>
    <w:rsid w:val="00B9231D"/>
    <w:rsid w:val="00B92D8E"/>
    <w:rsid w:val="00B93925"/>
    <w:rsid w:val="00B96317"/>
    <w:rsid w:val="00B9656A"/>
    <w:rsid w:val="00B974A1"/>
    <w:rsid w:val="00BA085E"/>
    <w:rsid w:val="00BA13A7"/>
    <w:rsid w:val="00BA18A1"/>
    <w:rsid w:val="00BA2D36"/>
    <w:rsid w:val="00BA7A6B"/>
    <w:rsid w:val="00BB0230"/>
    <w:rsid w:val="00BB75F3"/>
    <w:rsid w:val="00BB7A85"/>
    <w:rsid w:val="00BC1671"/>
    <w:rsid w:val="00BC1A73"/>
    <w:rsid w:val="00BC1B65"/>
    <w:rsid w:val="00BC2305"/>
    <w:rsid w:val="00BC2967"/>
    <w:rsid w:val="00BC2FFD"/>
    <w:rsid w:val="00BC414A"/>
    <w:rsid w:val="00BD2A50"/>
    <w:rsid w:val="00BD33CE"/>
    <w:rsid w:val="00BD517F"/>
    <w:rsid w:val="00BD56AD"/>
    <w:rsid w:val="00BD6093"/>
    <w:rsid w:val="00BD6A9B"/>
    <w:rsid w:val="00BD6AD9"/>
    <w:rsid w:val="00BD79BA"/>
    <w:rsid w:val="00BE1CB8"/>
    <w:rsid w:val="00BE1D8D"/>
    <w:rsid w:val="00BE3402"/>
    <w:rsid w:val="00BE3D51"/>
    <w:rsid w:val="00BE3F01"/>
    <w:rsid w:val="00BE4C62"/>
    <w:rsid w:val="00BE6C60"/>
    <w:rsid w:val="00BF0648"/>
    <w:rsid w:val="00BF35C5"/>
    <w:rsid w:val="00BF6147"/>
    <w:rsid w:val="00BF6B87"/>
    <w:rsid w:val="00BF746E"/>
    <w:rsid w:val="00C00208"/>
    <w:rsid w:val="00C004B6"/>
    <w:rsid w:val="00C00915"/>
    <w:rsid w:val="00C04430"/>
    <w:rsid w:val="00C04C22"/>
    <w:rsid w:val="00C04CDB"/>
    <w:rsid w:val="00C05D69"/>
    <w:rsid w:val="00C106F3"/>
    <w:rsid w:val="00C113D1"/>
    <w:rsid w:val="00C113D7"/>
    <w:rsid w:val="00C124AF"/>
    <w:rsid w:val="00C12CC9"/>
    <w:rsid w:val="00C132E0"/>
    <w:rsid w:val="00C13F3E"/>
    <w:rsid w:val="00C14CF3"/>
    <w:rsid w:val="00C14DC2"/>
    <w:rsid w:val="00C16784"/>
    <w:rsid w:val="00C221C5"/>
    <w:rsid w:val="00C24FD3"/>
    <w:rsid w:val="00C262E3"/>
    <w:rsid w:val="00C32A84"/>
    <w:rsid w:val="00C33335"/>
    <w:rsid w:val="00C34700"/>
    <w:rsid w:val="00C359E8"/>
    <w:rsid w:val="00C41F6D"/>
    <w:rsid w:val="00C43B95"/>
    <w:rsid w:val="00C46E97"/>
    <w:rsid w:val="00C520E9"/>
    <w:rsid w:val="00C5222D"/>
    <w:rsid w:val="00C52996"/>
    <w:rsid w:val="00C53916"/>
    <w:rsid w:val="00C53B29"/>
    <w:rsid w:val="00C5424E"/>
    <w:rsid w:val="00C548C1"/>
    <w:rsid w:val="00C55A87"/>
    <w:rsid w:val="00C6406F"/>
    <w:rsid w:val="00C6453C"/>
    <w:rsid w:val="00C6671A"/>
    <w:rsid w:val="00C7126E"/>
    <w:rsid w:val="00C71B59"/>
    <w:rsid w:val="00C71D04"/>
    <w:rsid w:val="00C75DEF"/>
    <w:rsid w:val="00C761A7"/>
    <w:rsid w:val="00C80328"/>
    <w:rsid w:val="00C81A99"/>
    <w:rsid w:val="00C82A83"/>
    <w:rsid w:val="00C87B8E"/>
    <w:rsid w:val="00C9136B"/>
    <w:rsid w:val="00C91663"/>
    <w:rsid w:val="00C92094"/>
    <w:rsid w:val="00C931CA"/>
    <w:rsid w:val="00C93C90"/>
    <w:rsid w:val="00C9599E"/>
    <w:rsid w:val="00C970A1"/>
    <w:rsid w:val="00CA4391"/>
    <w:rsid w:val="00CA4447"/>
    <w:rsid w:val="00CA576E"/>
    <w:rsid w:val="00CA5A6C"/>
    <w:rsid w:val="00CB1348"/>
    <w:rsid w:val="00CB41DB"/>
    <w:rsid w:val="00CB4662"/>
    <w:rsid w:val="00CB75F0"/>
    <w:rsid w:val="00CC0BD4"/>
    <w:rsid w:val="00CC1F63"/>
    <w:rsid w:val="00CC29E8"/>
    <w:rsid w:val="00CD2A09"/>
    <w:rsid w:val="00CD2C93"/>
    <w:rsid w:val="00CE2860"/>
    <w:rsid w:val="00CE3A1F"/>
    <w:rsid w:val="00CE7D2C"/>
    <w:rsid w:val="00CF0E00"/>
    <w:rsid w:val="00CF4687"/>
    <w:rsid w:val="00CF46BB"/>
    <w:rsid w:val="00CF5271"/>
    <w:rsid w:val="00CF5D9B"/>
    <w:rsid w:val="00D01295"/>
    <w:rsid w:val="00D019FE"/>
    <w:rsid w:val="00D02310"/>
    <w:rsid w:val="00D03C7F"/>
    <w:rsid w:val="00D049DA"/>
    <w:rsid w:val="00D06A32"/>
    <w:rsid w:val="00D07CBC"/>
    <w:rsid w:val="00D149D9"/>
    <w:rsid w:val="00D20ACC"/>
    <w:rsid w:val="00D22269"/>
    <w:rsid w:val="00D22F43"/>
    <w:rsid w:val="00D236D6"/>
    <w:rsid w:val="00D24F61"/>
    <w:rsid w:val="00D26AE3"/>
    <w:rsid w:val="00D26BA1"/>
    <w:rsid w:val="00D272EE"/>
    <w:rsid w:val="00D32E5C"/>
    <w:rsid w:val="00D332FF"/>
    <w:rsid w:val="00D37495"/>
    <w:rsid w:val="00D400DD"/>
    <w:rsid w:val="00D41620"/>
    <w:rsid w:val="00D4186D"/>
    <w:rsid w:val="00D41CF7"/>
    <w:rsid w:val="00D468C8"/>
    <w:rsid w:val="00D5157C"/>
    <w:rsid w:val="00D53FF2"/>
    <w:rsid w:val="00D546C9"/>
    <w:rsid w:val="00D57824"/>
    <w:rsid w:val="00D607DE"/>
    <w:rsid w:val="00D60B9F"/>
    <w:rsid w:val="00D638BA"/>
    <w:rsid w:val="00D67B7C"/>
    <w:rsid w:val="00D73A52"/>
    <w:rsid w:val="00D744CB"/>
    <w:rsid w:val="00D74BCF"/>
    <w:rsid w:val="00D7630C"/>
    <w:rsid w:val="00D8646A"/>
    <w:rsid w:val="00D90ACF"/>
    <w:rsid w:val="00D90BDB"/>
    <w:rsid w:val="00D923D0"/>
    <w:rsid w:val="00D9384B"/>
    <w:rsid w:val="00D93CE0"/>
    <w:rsid w:val="00D96A30"/>
    <w:rsid w:val="00DA03C6"/>
    <w:rsid w:val="00DA1AFD"/>
    <w:rsid w:val="00DA2CCE"/>
    <w:rsid w:val="00DB3383"/>
    <w:rsid w:val="00DB3BF6"/>
    <w:rsid w:val="00DB68CB"/>
    <w:rsid w:val="00DC47D9"/>
    <w:rsid w:val="00DC5EFB"/>
    <w:rsid w:val="00DC71D3"/>
    <w:rsid w:val="00DC7227"/>
    <w:rsid w:val="00DD527B"/>
    <w:rsid w:val="00DD6B7C"/>
    <w:rsid w:val="00DE0BAB"/>
    <w:rsid w:val="00DE1162"/>
    <w:rsid w:val="00DE208B"/>
    <w:rsid w:val="00DE71A8"/>
    <w:rsid w:val="00DE7EA4"/>
    <w:rsid w:val="00DF3C59"/>
    <w:rsid w:val="00DF4506"/>
    <w:rsid w:val="00E012EE"/>
    <w:rsid w:val="00E038FE"/>
    <w:rsid w:val="00E03959"/>
    <w:rsid w:val="00E04DA7"/>
    <w:rsid w:val="00E10961"/>
    <w:rsid w:val="00E12911"/>
    <w:rsid w:val="00E12BA0"/>
    <w:rsid w:val="00E12BBA"/>
    <w:rsid w:val="00E14CF5"/>
    <w:rsid w:val="00E159BB"/>
    <w:rsid w:val="00E15A0E"/>
    <w:rsid w:val="00E16245"/>
    <w:rsid w:val="00E171ED"/>
    <w:rsid w:val="00E20E00"/>
    <w:rsid w:val="00E2189A"/>
    <w:rsid w:val="00E22F40"/>
    <w:rsid w:val="00E33BFC"/>
    <w:rsid w:val="00E350E7"/>
    <w:rsid w:val="00E5413B"/>
    <w:rsid w:val="00E553E9"/>
    <w:rsid w:val="00E622A5"/>
    <w:rsid w:val="00E6374D"/>
    <w:rsid w:val="00E65264"/>
    <w:rsid w:val="00E6574A"/>
    <w:rsid w:val="00E7322D"/>
    <w:rsid w:val="00E854BA"/>
    <w:rsid w:val="00E927E8"/>
    <w:rsid w:val="00E9391B"/>
    <w:rsid w:val="00E941EE"/>
    <w:rsid w:val="00E974A6"/>
    <w:rsid w:val="00E97C3D"/>
    <w:rsid w:val="00EA046E"/>
    <w:rsid w:val="00EA0C75"/>
    <w:rsid w:val="00EA3612"/>
    <w:rsid w:val="00EA6177"/>
    <w:rsid w:val="00EB17E2"/>
    <w:rsid w:val="00EB5904"/>
    <w:rsid w:val="00EB65B8"/>
    <w:rsid w:val="00EB69C7"/>
    <w:rsid w:val="00EB76BA"/>
    <w:rsid w:val="00EB795B"/>
    <w:rsid w:val="00EC11E9"/>
    <w:rsid w:val="00EC2BAD"/>
    <w:rsid w:val="00EC64CC"/>
    <w:rsid w:val="00EC6706"/>
    <w:rsid w:val="00ED2980"/>
    <w:rsid w:val="00ED3BCE"/>
    <w:rsid w:val="00ED45B8"/>
    <w:rsid w:val="00ED46B3"/>
    <w:rsid w:val="00ED7A1E"/>
    <w:rsid w:val="00EE0318"/>
    <w:rsid w:val="00EE0DA1"/>
    <w:rsid w:val="00EE2E13"/>
    <w:rsid w:val="00EE39AF"/>
    <w:rsid w:val="00EF0A51"/>
    <w:rsid w:val="00EF1BEC"/>
    <w:rsid w:val="00EF2228"/>
    <w:rsid w:val="00EF2F6E"/>
    <w:rsid w:val="00EF3129"/>
    <w:rsid w:val="00EF34F9"/>
    <w:rsid w:val="00EF54C4"/>
    <w:rsid w:val="00EF72BE"/>
    <w:rsid w:val="00F00957"/>
    <w:rsid w:val="00F0263F"/>
    <w:rsid w:val="00F03D13"/>
    <w:rsid w:val="00F11080"/>
    <w:rsid w:val="00F147C3"/>
    <w:rsid w:val="00F158FC"/>
    <w:rsid w:val="00F15C5B"/>
    <w:rsid w:val="00F221BD"/>
    <w:rsid w:val="00F23259"/>
    <w:rsid w:val="00F23901"/>
    <w:rsid w:val="00F256E1"/>
    <w:rsid w:val="00F26BA9"/>
    <w:rsid w:val="00F27E9C"/>
    <w:rsid w:val="00F303C2"/>
    <w:rsid w:val="00F3545B"/>
    <w:rsid w:val="00F354C6"/>
    <w:rsid w:val="00F36E2D"/>
    <w:rsid w:val="00F375DD"/>
    <w:rsid w:val="00F43AC4"/>
    <w:rsid w:val="00F445EA"/>
    <w:rsid w:val="00F45701"/>
    <w:rsid w:val="00F470CF"/>
    <w:rsid w:val="00F54DCA"/>
    <w:rsid w:val="00F55C92"/>
    <w:rsid w:val="00F57E08"/>
    <w:rsid w:val="00F640C5"/>
    <w:rsid w:val="00F648E6"/>
    <w:rsid w:val="00F64AD4"/>
    <w:rsid w:val="00F6588D"/>
    <w:rsid w:val="00F65CEE"/>
    <w:rsid w:val="00F66024"/>
    <w:rsid w:val="00F673F0"/>
    <w:rsid w:val="00F67487"/>
    <w:rsid w:val="00F7014E"/>
    <w:rsid w:val="00F7274F"/>
    <w:rsid w:val="00F72CB6"/>
    <w:rsid w:val="00F74506"/>
    <w:rsid w:val="00F7657B"/>
    <w:rsid w:val="00F80EB1"/>
    <w:rsid w:val="00F81006"/>
    <w:rsid w:val="00F8116E"/>
    <w:rsid w:val="00F81535"/>
    <w:rsid w:val="00F82E89"/>
    <w:rsid w:val="00F83C79"/>
    <w:rsid w:val="00F851AC"/>
    <w:rsid w:val="00F9112F"/>
    <w:rsid w:val="00F9232C"/>
    <w:rsid w:val="00F92BB3"/>
    <w:rsid w:val="00F92BEF"/>
    <w:rsid w:val="00F93085"/>
    <w:rsid w:val="00F9316C"/>
    <w:rsid w:val="00F95FF2"/>
    <w:rsid w:val="00F960BC"/>
    <w:rsid w:val="00F97CB3"/>
    <w:rsid w:val="00FA1D11"/>
    <w:rsid w:val="00FA33F3"/>
    <w:rsid w:val="00FA6E3C"/>
    <w:rsid w:val="00FB158E"/>
    <w:rsid w:val="00FB21C5"/>
    <w:rsid w:val="00FB457F"/>
    <w:rsid w:val="00FB77BE"/>
    <w:rsid w:val="00FB7D51"/>
    <w:rsid w:val="00FC1D35"/>
    <w:rsid w:val="00FC61AC"/>
    <w:rsid w:val="00FD4698"/>
    <w:rsid w:val="00FD57AF"/>
    <w:rsid w:val="00FD76F7"/>
    <w:rsid w:val="00FE2F46"/>
    <w:rsid w:val="00FE43A8"/>
    <w:rsid w:val="00FE54A8"/>
    <w:rsid w:val="00FE6D2B"/>
    <w:rsid w:val="00FF5D94"/>
    <w:rsid w:val="00FF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E2C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Chapter"/>
    <w:next w:val="Normal"/>
    <w:link w:val="Heading1Char"/>
    <w:uiPriority w:val="9"/>
    <w:qFormat/>
    <w:rsid w:val="002E3FBA"/>
    <w:pPr>
      <w:outlineLvl w:val="0"/>
    </w:pPr>
    <w:rPr>
      <w:lang w:val="es-CL"/>
    </w:rPr>
  </w:style>
  <w:style w:type="paragraph" w:styleId="Heading2">
    <w:name w:val="heading 2"/>
    <w:basedOn w:val="FirstHeading"/>
    <w:next w:val="Normal"/>
    <w:link w:val="Heading2Char"/>
    <w:uiPriority w:val="9"/>
    <w:unhideWhenUsed/>
    <w:qFormat/>
    <w:rsid w:val="002E3FBA"/>
    <w:pPr>
      <w:outlineLvl w:val="1"/>
    </w:pPr>
    <w:rPr>
      <w:lang w:val="es-C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DEC"/>
    <w:pPr>
      <w:ind w:left="720"/>
      <w:contextualSpacing/>
    </w:pPr>
  </w:style>
  <w:style w:type="table" w:styleId="TableGrid">
    <w:name w:val="Table Grid"/>
    <w:basedOn w:val="TableNormal"/>
    <w:uiPriority w:val="59"/>
    <w:rsid w:val="00CA6D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FC0621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C0621"/>
    <w:rPr>
      <w:rFonts w:ascii="Tahoma" w:eastAsia="Times New Roman" w:hAnsi="Tahoma" w:cs="Tahoma"/>
      <w:sz w:val="16"/>
      <w:szCs w:val="16"/>
    </w:rPr>
  </w:style>
  <w:style w:type="paragraph" w:styleId="FootnoteText">
    <w:name w:val="footnote text"/>
    <w:aliases w:val="fn"/>
    <w:basedOn w:val="Normal"/>
    <w:link w:val="FootnoteTextChar"/>
    <w:uiPriority w:val="99"/>
    <w:unhideWhenUsed/>
    <w:rsid w:val="00902F77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aliases w:val="fn Char"/>
    <w:link w:val="FootnoteText"/>
    <w:uiPriority w:val="99"/>
    <w:rsid w:val="00902F77"/>
    <w:rPr>
      <w:sz w:val="24"/>
      <w:szCs w:val="24"/>
    </w:rPr>
  </w:style>
  <w:style w:type="character" w:styleId="FootnoteReference">
    <w:name w:val="footnote reference"/>
    <w:semiHidden/>
    <w:unhideWhenUsed/>
    <w:rsid w:val="00902F7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7B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B44"/>
  </w:style>
  <w:style w:type="paragraph" w:styleId="Footer">
    <w:name w:val="footer"/>
    <w:basedOn w:val="Normal"/>
    <w:link w:val="FooterChar"/>
    <w:uiPriority w:val="99"/>
    <w:unhideWhenUsed/>
    <w:rsid w:val="002C7B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B44"/>
  </w:style>
  <w:style w:type="paragraph" w:styleId="Title">
    <w:name w:val="Title"/>
    <w:basedOn w:val="Normal"/>
    <w:link w:val="TitleChar"/>
    <w:qFormat/>
    <w:rsid w:val="002E3FBA"/>
    <w:pPr>
      <w:tabs>
        <w:tab w:val="left" w:pos="1440"/>
        <w:tab w:val="left" w:pos="3060"/>
      </w:tabs>
      <w:jc w:val="center"/>
    </w:pPr>
    <w:rPr>
      <w:rFonts w:ascii="Times New Roman" w:hAnsi="Times New Roman"/>
      <w:b/>
      <w:smallCaps/>
      <w:sz w:val="32"/>
      <w:szCs w:val="32"/>
      <w:lang w:val="es-CL"/>
    </w:rPr>
  </w:style>
  <w:style w:type="character" w:customStyle="1" w:styleId="TitleChar">
    <w:name w:val="Title Char"/>
    <w:link w:val="Title"/>
    <w:rsid w:val="002E3FBA"/>
    <w:rPr>
      <w:rFonts w:ascii="Times New Roman" w:hAnsi="Times New Roman"/>
      <w:b/>
      <w:smallCaps/>
      <w:sz w:val="32"/>
      <w:szCs w:val="32"/>
      <w:lang w:eastAsia="en-US"/>
    </w:rPr>
  </w:style>
  <w:style w:type="paragraph" w:customStyle="1" w:styleId="Newpage">
    <w:name w:val="Newpage"/>
    <w:basedOn w:val="Normal"/>
    <w:rsid w:val="00B52681"/>
    <w:pPr>
      <w:tabs>
        <w:tab w:val="left" w:pos="1440"/>
        <w:tab w:val="left" w:pos="3060"/>
      </w:tabs>
      <w:spacing w:after="0" w:line="240" w:lineRule="auto"/>
      <w:jc w:val="center"/>
    </w:pPr>
    <w:rPr>
      <w:rFonts w:ascii="Times New Roman" w:eastAsia="Times New Roman" w:hAnsi="Times New Roman" w:cs="Arial"/>
      <w:b/>
      <w:smallCaps/>
      <w:sz w:val="24"/>
      <w:szCs w:val="20"/>
    </w:rPr>
  </w:style>
  <w:style w:type="paragraph" w:styleId="BodyText">
    <w:name w:val="Body Text"/>
    <w:basedOn w:val="Normal"/>
    <w:link w:val="BodyTextChar"/>
    <w:rsid w:val="00B52681"/>
    <w:pPr>
      <w:tabs>
        <w:tab w:val="left" w:pos="3060"/>
      </w:tabs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link w:val="BodyText"/>
    <w:rsid w:val="00B52681"/>
    <w:rPr>
      <w:rFonts w:ascii="Times New Roman" w:eastAsia="Times New Roman" w:hAnsi="Times New Roman"/>
      <w:sz w:val="24"/>
    </w:rPr>
  </w:style>
  <w:style w:type="character" w:customStyle="1" w:styleId="gt-icon-text1">
    <w:name w:val="gt-icon-text1"/>
    <w:basedOn w:val="DefaultParagraphFont"/>
    <w:rsid w:val="00B0248F"/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B463B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rsid w:val="00B463BF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B463B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rsid w:val="00B463BF"/>
    <w:rPr>
      <w:rFonts w:ascii="Arial" w:eastAsia="Times New Roman" w:hAnsi="Arial" w:cs="Arial"/>
      <w:vanish/>
      <w:sz w:val="16"/>
      <w:szCs w:val="16"/>
    </w:rPr>
  </w:style>
  <w:style w:type="character" w:styleId="CommentReference">
    <w:name w:val="annotation reference"/>
    <w:rsid w:val="009365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9365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365EC"/>
  </w:style>
  <w:style w:type="paragraph" w:styleId="CommentSubject">
    <w:name w:val="annotation subject"/>
    <w:basedOn w:val="CommentText"/>
    <w:next w:val="CommentText"/>
    <w:link w:val="CommentSubjectChar"/>
    <w:rsid w:val="009365EC"/>
    <w:rPr>
      <w:b/>
      <w:bCs/>
    </w:rPr>
  </w:style>
  <w:style w:type="character" w:customStyle="1" w:styleId="CommentSubjectChar">
    <w:name w:val="Comment Subject Char"/>
    <w:link w:val="CommentSubject"/>
    <w:rsid w:val="009365EC"/>
    <w:rPr>
      <w:b/>
      <w:bCs/>
    </w:rPr>
  </w:style>
  <w:style w:type="table" w:customStyle="1" w:styleId="NoteLevel31">
    <w:name w:val="Note Level 31"/>
    <w:basedOn w:val="TableNormal"/>
    <w:uiPriority w:val="60"/>
    <w:rsid w:val="004102C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4102C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102C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102C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102C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102C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MediumShading2-Accent11">
    <w:name w:val="Medium Shading 2 - Accent 11"/>
    <w:basedOn w:val="TableNormal"/>
    <w:uiPriority w:val="64"/>
    <w:rsid w:val="004102C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Heading1Char">
    <w:name w:val="Heading 1 Char"/>
    <w:link w:val="Heading1"/>
    <w:uiPriority w:val="9"/>
    <w:rsid w:val="002E3FBA"/>
    <w:rPr>
      <w:rFonts w:ascii="Times New Roman Bold" w:eastAsia="Times New Roman" w:hAnsi="Times New Roman Bold"/>
      <w:bCs/>
      <w:iCs/>
      <w:smallCaps/>
      <w:noProof/>
      <w:sz w:val="24"/>
      <w:szCs w:val="24"/>
      <w:lang w:eastAsia="en-US"/>
    </w:rPr>
  </w:style>
  <w:style w:type="paragraph" w:styleId="BodyTextIndent">
    <w:name w:val="Body Text Indent"/>
    <w:basedOn w:val="Normal"/>
    <w:rsid w:val="009663F6"/>
    <w:pPr>
      <w:spacing w:after="120"/>
      <w:ind w:left="283"/>
    </w:pPr>
  </w:style>
  <w:style w:type="paragraph" w:customStyle="1" w:styleId="ListParagraph1">
    <w:name w:val="List Paragraph1"/>
    <w:basedOn w:val="Normal"/>
    <w:rsid w:val="002D5970"/>
    <w:pPr>
      <w:ind w:left="720"/>
      <w:contextualSpacing/>
    </w:pPr>
    <w:rPr>
      <w:rFonts w:eastAsia="Times New Roman"/>
      <w:lang w:val="es-CL"/>
    </w:rPr>
  </w:style>
  <w:style w:type="paragraph" w:customStyle="1" w:styleId="Annex">
    <w:name w:val="Annex"/>
    <w:basedOn w:val="Normal"/>
    <w:rsid w:val="00EB795B"/>
    <w:pPr>
      <w:spacing w:after="0" w:line="240" w:lineRule="auto"/>
    </w:pPr>
    <w:rPr>
      <w:rFonts w:ascii="Times New Roman" w:eastAsia="Times New Roman" w:hAnsi="Times New Roman"/>
      <w:caps/>
      <w:sz w:val="24"/>
      <w:szCs w:val="20"/>
    </w:rPr>
  </w:style>
  <w:style w:type="paragraph" w:customStyle="1" w:styleId="Chapter">
    <w:name w:val="Chapter"/>
    <w:basedOn w:val="Normal"/>
    <w:next w:val="Normal"/>
    <w:autoRedefine/>
    <w:rsid w:val="00EB795B"/>
    <w:pPr>
      <w:spacing w:before="240" w:after="240" w:line="240" w:lineRule="auto"/>
      <w:jc w:val="center"/>
    </w:pPr>
    <w:rPr>
      <w:rFonts w:ascii="Times New Roman Bold" w:eastAsia="Times New Roman" w:hAnsi="Times New Roman Bold"/>
      <w:bCs/>
      <w:iCs/>
      <w:smallCaps/>
      <w:noProof/>
      <w:sz w:val="24"/>
      <w:szCs w:val="24"/>
      <w:lang w:val="es-ES"/>
    </w:rPr>
  </w:style>
  <w:style w:type="paragraph" w:customStyle="1" w:styleId="FirstHeading">
    <w:name w:val="FirstHeading"/>
    <w:basedOn w:val="Normal"/>
    <w:rsid w:val="00EB795B"/>
    <w:pPr>
      <w:keepNext/>
      <w:numPr>
        <w:numId w:val="2"/>
      </w:numPr>
      <w:tabs>
        <w:tab w:val="left" w:pos="0"/>
        <w:tab w:val="left" w:pos="90"/>
      </w:tabs>
      <w:spacing w:before="120" w:after="120" w:line="240" w:lineRule="auto"/>
    </w:pPr>
    <w:rPr>
      <w:rFonts w:ascii="Times New Roman" w:eastAsia="Times New Roman" w:hAnsi="Times New Roman"/>
      <w:b/>
      <w:noProof/>
      <w:sz w:val="24"/>
      <w:szCs w:val="20"/>
    </w:rPr>
  </w:style>
  <w:style w:type="character" w:styleId="PageNumber">
    <w:name w:val="page number"/>
    <w:basedOn w:val="DefaultParagraphFont"/>
    <w:rsid w:val="00EB795B"/>
  </w:style>
  <w:style w:type="paragraph" w:customStyle="1" w:styleId="Paragraph">
    <w:name w:val="Paragraph"/>
    <w:basedOn w:val="BodyTextIndent"/>
    <w:rsid w:val="00EB795B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</w:rPr>
  </w:style>
  <w:style w:type="paragraph" w:customStyle="1" w:styleId="SecHeading">
    <w:name w:val="SecHeading"/>
    <w:basedOn w:val="Normal"/>
    <w:next w:val="Paragraph"/>
    <w:rsid w:val="00EB795B"/>
    <w:pPr>
      <w:keepNext/>
      <w:numPr>
        <w:ilvl w:val="1"/>
        <w:numId w:val="2"/>
      </w:numPr>
      <w:spacing w:before="120" w:after="120" w:line="240" w:lineRule="auto"/>
    </w:pPr>
    <w:rPr>
      <w:rFonts w:ascii="Times New Roman" w:eastAsia="Times New Roman" w:hAnsi="Times New Roman"/>
      <w:b/>
      <w:sz w:val="24"/>
      <w:szCs w:val="20"/>
    </w:rPr>
  </w:style>
  <w:style w:type="paragraph" w:customStyle="1" w:styleId="SubHeading1">
    <w:name w:val="SubHeading1"/>
    <w:basedOn w:val="SecHeading"/>
    <w:rsid w:val="00EB795B"/>
    <w:pPr>
      <w:numPr>
        <w:ilvl w:val="2"/>
      </w:numPr>
    </w:pPr>
  </w:style>
  <w:style w:type="paragraph" w:customStyle="1" w:styleId="Subheading2">
    <w:name w:val="Subheading2"/>
    <w:basedOn w:val="SecHeading"/>
    <w:rsid w:val="00EB795B"/>
    <w:pPr>
      <w:numPr>
        <w:ilvl w:val="3"/>
      </w:numPr>
    </w:pPr>
  </w:style>
  <w:style w:type="paragraph" w:customStyle="1" w:styleId="subpar">
    <w:name w:val="subpar"/>
    <w:basedOn w:val="BodyTextIndent3"/>
    <w:rsid w:val="00EB795B"/>
    <w:pPr>
      <w:numPr>
        <w:ilvl w:val="2"/>
        <w:numId w:val="1"/>
      </w:numPr>
      <w:spacing w:before="120" w:line="240" w:lineRule="auto"/>
      <w:jc w:val="both"/>
      <w:outlineLvl w:val="2"/>
    </w:pPr>
    <w:rPr>
      <w:rFonts w:ascii="Times New Roman" w:eastAsia="Times New Roman" w:hAnsi="Times New Roman"/>
      <w:sz w:val="24"/>
      <w:szCs w:val="20"/>
    </w:rPr>
  </w:style>
  <w:style w:type="paragraph" w:customStyle="1" w:styleId="SubSubPar">
    <w:name w:val="SubSubPar"/>
    <w:basedOn w:val="subpar"/>
    <w:rsid w:val="00EB795B"/>
    <w:pPr>
      <w:numPr>
        <w:ilvl w:val="3"/>
      </w:numPr>
      <w:tabs>
        <w:tab w:val="left" w:pos="0"/>
      </w:tabs>
    </w:pPr>
  </w:style>
  <w:style w:type="paragraph" w:styleId="TOC1">
    <w:name w:val="toc 1"/>
    <w:basedOn w:val="Normal"/>
    <w:next w:val="Normal"/>
    <w:autoRedefine/>
    <w:uiPriority w:val="39"/>
    <w:rsid w:val="00EB795B"/>
    <w:pPr>
      <w:tabs>
        <w:tab w:val="left" w:pos="540"/>
        <w:tab w:val="right" w:leader="dot" w:pos="8741"/>
      </w:tabs>
      <w:spacing w:before="240" w:after="240" w:line="240" w:lineRule="auto"/>
      <w:ind w:left="547" w:hanging="547"/>
    </w:pPr>
    <w:rPr>
      <w:rFonts w:ascii="Times New Roman" w:eastAsia="Times New Roman" w:hAnsi="Times New Roman"/>
      <w:smallCaps/>
      <w:noProof/>
      <w:sz w:val="24"/>
      <w:szCs w:val="20"/>
    </w:rPr>
  </w:style>
  <w:style w:type="paragraph" w:styleId="TOC2">
    <w:name w:val="toc 2"/>
    <w:basedOn w:val="Normal"/>
    <w:next w:val="Normal"/>
    <w:autoRedefine/>
    <w:uiPriority w:val="39"/>
    <w:rsid w:val="00EB795B"/>
    <w:pPr>
      <w:tabs>
        <w:tab w:val="left" w:pos="540"/>
        <w:tab w:val="left" w:pos="600"/>
        <w:tab w:val="left" w:pos="1166"/>
        <w:tab w:val="right" w:leader="dot" w:pos="8741"/>
      </w:tabs>
      <w:spacing w:before="40" w:after="40" w:line="240" w:lineRule="auto"/>
      <w:ind w:left="1167" w:hanging="605"/>
    </w:pPr>
    <w:rPr>
      <w:rFonts w:ascii="Times New Roman" w:eastAsia="Times New Roman" w:hAnsi="Times New Roman"/>
      <w:noProof/>
      <w:sz w:val="24"/>
      <w:szCs w:val="24"/>
    </w:rPr>
  </w:style>
  <w:style w:type="paragraph" w:customStyle="1" w:styleId="xl29">
    <w:name w:val="xl29"/>
    <w:basedOn w:val="Normal"/>
    <w:rsid w:val="00EB79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Textodebalo">
    <w:name w:val="Texto de balão"/>
    <w:basedOn w:val="Normal"/>
    <w:semiHidden/>
    <w:rsid w:val="00EB795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B795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EB795B"/>
    <w:rPr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E3FBA"/>
    <w:rPr>
      <w:rFonts w:ascii="Times New Roman" w:eastAsia="Times New Roman" w:hAnsi="Times New Roman"/>
      <w:b/>
      <w:noProof/>
      <w:sz w:val="24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344EF9"/>
    <w:pPr>
      <w:keepNext/>
      <w:spacing w:after="120" w:line="240" w:lineRule="auto"/>
      <w:jc w:val="center"/>
    </w:pPr>
    <w:rPr>
      <w:rFonts w:ascii="Times New Roman" w:hAnsi="Times New Roman"/>
      <w:b/>
      <w:bCs/>
      <w:sz w:val="20"/>
      <w:szCs w:val="18"/>
      <w:lang w:val="es-CL"/>
    </w:rPr>
  </w:style>
  <w:style w:type="paragraph" w:styleId="Bibliography">
    <w:name w:val="Bibliography"/>
    <w:basedOn w:val="Normal"/>
    <w:next w:val="Normal"/>
    <w:uiPriority w:val="37"/>
    <w:unhideWhenUsed/>
    <w:rsid w:val="003F06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E2C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Chapter"/>
    <w:next w:val="Normal"/>
    <w:link w:val="Heading1Char"/>
    <w:uiPriority w:val="9"/>
    <w:qFormat/>
    <w:rsid w:val="002E3FBA"/>
    <w:pPr>
      <w:outlineLvl w:val="0"/>
    </w:pPr>
    <w:rPr>
      <w:lang w:val="es-CL"/>
    </w:rPr>
  </w:style>
  <w:style w:type="paragraph" w:styleId="Heading2">
    <w:name w:val="heading 2"/>
    <w:basedOn w:val="FirstHeading"/>
    <w:next w:val="Normal"/>
    <w:link w:val="Heading2Char"/>
    <w:uiPriority w:val="9"/>
    <w:unhideWhenUsed/>
    <w:qFormat/>
    <w:rsid w:val="002E3FBA"/>
    <w:pPr>
      <w:outlineLvl w:val="1"/>
    </w:pPr>
    <w:rPr>
      <w:lang w:val="es-C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DEC"/>
    <w:pPr>
      <w:ind w:left="720"/>
      <w:contextualSpacing/>
    </w:pPr>
  </w:style>
  <w:style w:type="table" w:styleId="TableGrid">
    <w:name w:val="Table Grid"/>
    <w:basedOn w:val="TableNormal"/>
    <w:uiPriority w:val="59"/>
    <w:rsid w:val="00CA6D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FC0621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C0621"/>
    <w:rPr>
      <w:rFonts w:ascii="Tahoma" w:eastAsia="Times New Roman" w:hAnsi="Tahoma" w:cs="Tahoma"/>
      <w:sz w:val="16"/>
      <w:szCs w:val="16"/>
    </w:rPr>
  </w:style>
  <w:style w:type="paragraph" w:styleId="FootnoteText">
    <w:name w:val="footnote text"/>
    <w:aliases w:val="fn"/>
    <w:basedOn w:val="Normal"/>
    <w:link w:val="FootnoteTextChar"/>
    <w:uiPriority w:val="99"/>
    <w:unhideWhenUsed/>
    <w:rsid w:val="00902F77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aliases w:val="fn Char"/>
    <w:link w:val="FootnoteText"/>
    <w:uiPriority w:val="99"/>
    <w:rsid w:val="00902F77"/>
    <w:rPr>
      <w:sz w:val="24"/>
      <w:szCs w:val="24"/>
    </w:rPr>
  </w:style>
  <w:style w:type="character" w:styleId="FootnoteReference">
    <w:name w:val="footnote reference"/>
    <w:semiHidden/>
    <w:unhideWhenUsed/>
    <w:rsid w:val="00902F7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7B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B44"/>
  </w:style>
  <w:style w:type="paragraph" w:styleId="Footer">
    <w:name w:val="footer"/>
    <w:basedOn w:val="Normal"/>
    <w:link w:val="FooterChar"/>
    <w:uiPriority w:val="99"/>
    <w:unhideWhenUsed/>
    <w:rsid w:val="002C7B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B44"/>
  </w:style>
  <w:style w:type="paragraph" w:styleId="Title">
    <w:name w:val="Title"/>
    <w:basedOn w:val="Normal"/>
    <w:link w:val="TitleChar"/>
    <w:qFormat/>
    <w:rsid w:val="002E3FBA"/>
    <w:pPr>
      <w:tabs>
        <w:tab w:val="left" w:pos="1440"/>
        <w:tab w:val="left" w:pos="3060"/>
      </w:tabs>
      <w:jc w:val="center"/>
    </w:pPr>
    <w:rPr>
      <w:rFonts w:ascii="Times New Roman" w:hAnsi="Times New Roman"/>
      <w:b/>
      <w:smallCaps/>
      <w:sz w:val="32"/>
      <w:szCs w:val="32"/>
      <w:lang w:val="es-CL"/>
    </w:rPr>
  </w:style>
  <w:style w:type="character" w:customStyle="1" w:styleId="TitleChar">
    <w:name w:val="Title Char"/>
    <w:link w:val="Title"/>
    <w:rsid w:val="002E3FBA"/>
    <w:rPr>
      <w:rFonts w:ascii="Times New Roman" w:hAnsi="Times New Roman"/>
      <w:b/>
      <w:smallCaps/>
      <w:sz w:val="32"/>
      <w:szCs w:val="32"/>
      <w:lang w:eastAsia="en-US"/>
    </w:rPr>
  </w:style>
  <w:style w:type="paragraph" w:customStyle="1" w:styleId="Newpage">
    <w:name w:val="Newpage"/>
    <w:basedOn w:val="Normal"/>
    <w:rsid w:val="00B52681"/>
    <w:pPr>
      <w:tabs>
        <w:tab w:val="left" w:pos="1440"/>
        <w:tab w:val="left" w:pos="3060"/>
      </w:tabs>
      <w:spacing w:after="0" w:line="240" w:lineRule="auto"/>
      <w:jc w:val="center"/>
    </w:pPr>
    <w:rPr>
      <w:rFonts w:ascii="Times New Roman" w:eastAsia="Times New Roman" w:hAnsi="Times New Roman" w:cs="Arial"/>
      <w:b/>
      <w:smallCaps/>
      <w:sz w:val="24"/>
      <w:szCs w:val="20"/>
    </w:rPr>
  </w:style>
  <w:style w:type="paragraph" w:styleId="BodyText">
    <w:name w:val="Body Text"/>
    <w:basedOn w:val="Normal"/>
    <w:link w:val="BodyTextChar"/>
    <w:rsid w:val="00B52681"/>
    <w:pPr>
      <w:tabs>
        <w:tab w:val="left" w:pos="3060"/>
      </w:tabs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link w:val="BodyText"/>
    <w:rsid w:val="00B52681"/>
    <w:rPr>
      <w:rFonts w:ascii="Times New Roman" w:eastAsia="Times New Roman" w:hAnsi="Times New Roman"/>
      <w:sz w:val="24"/>
    </w:rPr>
  </w:style>
  <w:style w:type="character" w:customStyle="1" w:styleId="gt-icon-text1">
    <w:name w:val="gt-icon-text1"/>
    <w:basedOn w:val="DefaultParagraphFont"/>
    <w:rsid w:val="00B0248F"/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B463B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rsid w:val="00B463BF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B463B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rsid w:val="00B463BF"/>
    <w:rPr>
      <w:rFonts w:ascii="Arial" w:eastAsia="Times New Roman" w:hAnsi="Arial" w:cs="Arial"/>
      <w:vanish/>
      <w:sz w:val="16"/>
      <w:szCs w:val="16"/>
    </w:rPr>
  </w:style>
  <w:style w:type="character" w:styleId="CommentReference">
    <w:name w:val="annotation reference"/>
    <w:rsid w:val="009365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9365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365EC"/>
  </w:style>
  <w:style w:type="paragraph" w:styleId="CommentSubject">
    <w:name w:val="annotation subject"/>
    <w:basedOn w:val="CommentText"/>
    <w:next w:val="CommentText"/>
    <w:link w:val="CommentSubjectChar"/>
    <w:rsid w:val="009365EC"/>
    <w:rPr>
      <w:b/>
      <w:bCs/>
    </w:rPr>
  </w:style>
  <w:style w:type="character" w:customStyle="1" w:styleId="CommentSubjectChar">
    <w:name w:val="Comment Subject Char"/>
    <w:link w:val="CommentSubject"/>
    <w:rsid w:val="009365EC"/>
    <w:rPr>
      <w:b/>
      <w:bCs/>
    </w:rPr>
  </w:style>
  <w:style w:type="table" w:customStyle="1" w:styleId="NoteLevel31">
    <w:name w:val="Note Level 31"/>
    <w:basedOn w:val="TableNormal"/>
    <w:uiPriority w:val="60"/>
    <w:rsid w:val="004102C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4102C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102C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102C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102C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102C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MediumShading2-Accent11">
    <w:name w:val="Medium Shading 2 - Accent 11"/>
    <w:basedOn w:val="TableNormal"/>
    <w:uiPriority w:val="64"/>
    <w:rsid w:val="004102C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Heading1Char">
    <w:name w:val="Heading 1 Char"/>
    <w:link w:val="Heading1"/>
    <w:uiPriority w:val="9"/>
    <w:rsid w:val="002E3FBA"/>
    <w:rPr>
      <w:rFonts w:ascii="Times New Roman Bold" w:eastAsia="Times New Roman" w:hAnsi="Times New Roman Bold"/>
      <w:bCs/>
      <w:iCs/>
      <w:smallCaps/>
      <w:noProof/>
      <w:sz w:val="24"/>
      <w:szCs w:val="24"/>
      <w:lang w:eastAsia="en-US"/>
    </w:rPr>
  </w:style>
  <w:style w:type="paragraph" w:styleId="BodyTextIndent">
    <w:name w:val="Body Text Indent"/>
    <w:basedOn w:val="Normal"/>
    <w:rsid w:val="009663F6"/>
    <w:pPr>
      <w:spacing w:after="120"/>
      <w:ind w:left="283"/>
    </w:pPr>
  </w:style>
  <w:style w:type="paragraph" w:customStyle="1" w:styleId="ListParagraph1">
    <w:name w:val="List Paragraph1"/>
    <w:basedOn w:val="Normal"/>
    <w:rsid w:val="002D5970"/>
    <w:pPr>
      <w:ind w:left="720"/>
      <w:contextualSpacing/>
    </w:pPr>
    <w:rPr>
      <w:rFonts w:eastAsia="Times New Roman"/>
      <w:lang w:val="es-CL"/>
    </w:rPr>
  </w:style>
  <w:style w:type="paragraph" w:customStyle="1" w:styleId="Annex">
    <w:name w:val="Annex"/>
    <w:basedOn w:val="Normal"/>
    <w:rsid w:val="00EB795B"/>
    <w:pPr>
      <w:spacing w:after="0" w:line="240" w:lineRule="auto"/>
    </w:pPr>
    <w:rPr>
      <w:rFonts w:ascii="Times New Roman" w:eastAsia="Times New Roman" w:hAnsi="Times New Roman"/>
      <w:caps/>
      <w:sz w:val="24"/>
      <w:szCs w:val="20"/>
    </w:rPr>
  </w:style>
  <w:style w:type="paragraph" w:customStyle="1" w:styleId="Chapter">
    <w:name w:val="Chapter"/>
    <w:basedOn w:val="Normal"/>
    <w:next w:val="Normal"/>
    <w:autoRedefine/>
    <w:rsid w:val="00EB795B"/>
    <w:pPr>
      <w:spacing w:before="240" w:after="240" w:line="240" w:lineRule="auto"/>
      <w:jc w:val="center"/>
    </w:pPr>
    <w:rPr>
      <w:rFonts w:ascii="Times New Roman Bold" w:eastAsia="Times New Roman" w:hAnsi="Times New Roman Bold"/>
      <w:bCs/>
      <w:iCs/>
      <w:smallCaps/>
      <w:noProof/>
      <w:sz w:val="24"/>
      <w:szCs w:val="24"/>
      <w:lang w:val="es-ES"/>
    </w:rPr>
  </w:style>
  <w:style w:type="paragraph" w:customStyle="1" w:styleId="FirstHeading">
    <w:name w:val="FirstHeading"/>
    <w:basedOn w:val="Normal"/>
    <w:rsid w:val="00EB795B"/>
    <w:pPr>
      <w:keepNext/>
      <w:numPr>
        <w:numId w:val="2"/>
      </w:numPr>
      <w:tabs>
        <w:tab w:val="left" w:pos="0"/>
        <w:tab w:val="left" w:pos="90"/>
      </w:tabs>
      <w:spacing w:before="120" w:after="120" w:line="240" w:lineRule="auto"/>
    </w:pPr>
    <w:rPr>
      <w:rFonts w:ascii="Times New Roman" w:eastAsia="Times New Roman" w:hAnsi="Times New Roman"/>
      <w:b/>
      <w:noProof/>
      <w:sz w:val="24"/>
      <w:szCs w:val="20"/>
    </w:rPr>
  </w:style>
  <w:style w:type="character" w:styleId="PageNumber">
    <w:name w:val="page number"/>
    <w:basedOn w:val="DefaultParagraphFont"/>
    <w:rsid w:val="00EB795B"/>
  </w:style>
  <w:style w:type="paragraph" w:customStyle="1" w:styleId="Paragraph">
    <w:name w:val="Paragraph"/>
    <w:basedOn w:val="BodyTextIndent"/>
    <w:rsid w:val="00EB795B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</w:rPr>
  </w:style>
  <w:style w:type="paragraph" w:customStyle="1" w:styleId="SecHeading">
    <w:name w:val="SecHeading"/>
    <w:basedOn w:val="Normal"/>
    <w:next w:val="Paragraph"/>
    <w:rsid w:val="00EB795B"/>
    <w:pPr>
      <w:keepNext/>
      <w:numPr>
        <w:ilvl w:val="1"/>
        <w:numId w:val="2"/>
      </w:numPr>
      <w:spacing w:before="120" w:after="120" w:line="240" w:lineRule="auto"/>
    </w:pPr>
    <w:rPr>
      <w:rFonts w:ascii="Times New Roman" w:eastAsia="Times New Roman" w:hAnsi="Times New Roman"/>
      <w:b/>
      <w:sz w:val="24"/>
      <w:szCs w:val="20"/>
    </w:rPr>
  </w:style>
  <w:style w:type="paragraph" w:customStyle="1" w:styleId="SubHeading1">
    <w:name w:val="SubHeading1"/>
    <w:basedOn w:val="SecHeading"/>
    <w:rsid w:val="00EB795B"/>
    <w:pPr>
      <w:numPr>
        <w:ilvl w:val="2"/>
      </w:numPr>
    </w:pPr>
  </w:style>
  <w:style w:type="paragraph" w:customStyle="1" w:styleId="Subheading2">
    <w:name w:val="Subheading2"/>
    <w:basedOn w:val="SecHeading"/>
    <w:rsid w:val="00EB795B"/>
    <w:pPr>
      <w:numPr>
        <w:ilvl w:val="3"/>
      </w:numPr>
    </w:pPr>
  </w:style>
  <w:style w:type="paragraph" w:customStyle="1" w:styleId="subpar">
    <w:name w:val="subpar"/>
    <w:basedOn w:val="BodyTextIndent3"/>
    <w:rsid w:val="00EB795B"/>
    <w:pPr>
      <w:numPr>
        <w:ilvl w:val="2"/>
        <w:numId w:val="1"/>
      </w:numPr>
      <w:spacing w:before="120" w:line="240" w:lineRule="auto"/>
      <w:jc w:val="both"/>
      <w:outlineLvl w:val="2"/>
    </w:pPr>
    <w:rPr>
      <w:rFonts w:ascii="Times New Roman" w:eastAsia="Times New Roman" w:hAnsi="Times New Roman"/>
      <w:sz w:val="24"/>
      <w:szCs w:val="20"/>
    </w:rPr>
  </w:style>
  <w:style w:type="paragraph" w:customStyle="1" w:styleId="SubSubPar">
    <w:name w:val="SubSubPar"/>
    <w:basedOn w:val="subpar"/>
    <w:rsid w:val="00EB795B"/>
    <w:pPr>
      <w:numPr>
        <w:ilvl w:val="3"/>
      </w:numPr>
      <w:tabs>
        <w:tab w:val="left" w:pos="0"/>
      </w:tabs>
    </w:pPr>
  </w:style>
  <w:style w:type="paragraph" w:styleId="TOC1">
    <w:name w:val="toc 1"/>
    <w:basedOn w:val="Normal"/>
    <w:next w:val="Normal"/>
    <w:autoRedefine/>
    <w:uiPriority w:val="39"/>
    <w:rsid w:val="00EB795B"/>
    <w:pPr>
      <w:tabs>
        <w:tab w:val="left" w:pos="540"/>
        <w:tab w:val="right" w:leader="dot" w:pos="8741"/>
      </w:tabs>
      <w:spacing w:before="240" w:after="240" w:line="240" w:lineRule="auto"/>
      <w:ind w:left="547" w:hanging="547"/>
    </w:pPr>
    <w:rPr>
      <w:rFonts w:ascii="Times New Roman" w:eastAsia="Times New Roman" w:hAnsi="Times New Roman"/>
      <w:smallCaps/>
      <w:noProof/>
      <w:sz w:val="24"/>
      <w:szCs w:val="20"/>
    </w:rPr>
  </w:style>
  <w:style w:type="paragraph" w:styleId="TOC2">
    <w:name w:val="toc 2"/>
    <w:basedOn w:val="Normal"/>
    <w:next w:val="Normal"/>
    <w:autoRedefine/>
    <w:uiPriority w:val="39"/>
    <w:rsid w:val="00EB795B"/>
    <w:pPr>
      <w:tabs>
        <w:tab w:val="left" w:pos="540"/>
        <w:tab w:val="left" w:pos="600"/>
        <w:tab w:val="left" w:pos="1166"/>
        <w:tab w:val="right" w:leader="dot" w:pos="8741"/>
      </w:tabs>
      <w:spacing w:before="40" w:after="40" w:line="240" w:lineRule="auto"/>
      <w:ind w:left="1167" w:hanging="605"/>
    </w:pPr>
    <w:rPr>
      <w:rFonts w:ascii="Times New Roman" w:eastAsia="Times New Roman" w:hAnsi="Times New Roman"/>
      <w:noProof/>
      <w:sz w:val="24"/>
      <w:szCs w:val="24"/>
    </w:rPr>
  </w:style>
  <w:style w:type="paragraph" w:customStyle="1" w:styleId="xl29">
    <w:name w:val="xl29"/>
    <w:basedOn w:val="Normal"/>
    <w:rsid w:val="00EB79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Textodebalo">
    <w:name w:val="Texto de balão"/>
    <w:basedOn w:val="Normal"/>
    <w:semiHidden/>
    <w:rsid w:val="00EB795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B795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EB795B"/>
    <w:rPr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E3FBA"/>
    <w:rPr>
      <w:rFonts w:ascii="Times New Roman" w:eastAsia="Times New Roman" w:hAnsi="Times New Roman"/>
      <w:b/>
      <w:noProof/>
      <w:sz w:val="24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344EF9"/>
    <w:pPr>
      <w:keepNext/>
      <w:spacing w:after="120" w:line="240" w:lineRule="auto"/>
      <w:jc w:val="center"/>
    </w:pPr>
    <w:rPr>
      <w:rFonts w:ascii="Times New Roman" w:hAnsi="Times New Roman"/>
      <w:b/>
      <w:bCs/>
      <w:sz w:val="20"/>
      <w:szCs w:val="18"/>
      <w:lang w:val="es-CL"/>
    </w:rPr>
  </w:style>
  <w:style w:type="paragraph" w:styleId="Bibliography">
    <w:name w:val="Bibliography"/>
    <w:basedOn w:val="Normal"/>
    <w:next w:val="Normal"/>
    <w:uiPriority w:val="37"/>
    <w:unhideWhenUsed/>
    <w:rsid w:val="003F0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package" Target="embeddings/Microsoft_Excel_Worksheet3.xlsx"/><Relationship Id="rId26" Type="http://schemas.openxmlformats.org/officeDocument/2006/relationships/customXml" Target="../customXml/item3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3.emf"/><Relationship Id="rId25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package" Target="embeddings/Microsoft_Excel_Worksheet2.xlsx"/><Relationship Id="rId20" Type="http://schemas.openxmlformats.org/officeDocument/2006/relationships/header" Target="header4.xml"/><Relationship Id="rId29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emf"/><Relationship Id="rId23" Type="http://schemas.openxmlformats.org/officeDocument/2006/relationships/fontTable" Target="fontTable.xml"/><Relationship Id="rId28" Type="http://schemas.openxmlformats.org/officeDocument/2006/relationships/customXml" Target="../customXml/item5.xml"/><Relationship Id="rId10" Type="http://schemas.openxmlformats.org/officeDocument/2006/relationships/header" Target="header2.xm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Relationship Id="rId22" Type="http://schemas.openxmlformats.org/officeDocument/2006/relationships/header" Target="header5.xml"/><Relationship Id="rId27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C09DEBB59D4C54488ECB477B48B36A85" ma:contentTypeVersion="0" ma:contentTypeDescription="A content type to manage public (operations) IDB documents" ma:contentTypeScope="" ma:versionID="73107e0d47547c99cf27649a8d2e0e7e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8abbafa966629a57eee85f3e23f08021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fd8db7d-50da-443c-8653-131f97d320a8}" ma:internalName="TaxCatchAll" ma:showField="CatchAllData" ma:web="106c4bfc-cac0-47ed-afe3-97dfb807a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fd8db7d-50da-443c-8653-131f97d320a8}" ma:internalName="TaxCatchAllLabel" ma:readOnly="true" ma:showField="CatchAllDataLabel" ma:web="106c4bfc-cac0-47ed-afe3-97dfb807a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>
  <b:Source>
    <b:Tag>Dat14</b:Tag>
    <b:SourceType>InternetSite</b:SourceType>
    <b:Guid>{C386C09C-BDAF-40CA-89B1-F3535B4690C2}</b:Guid>
    <b:Author>
      <b:Author>
        <b:NameList>
          <b:Person>
            <b:Last>DataMarket</b:Last>
          </b:Person>
        </b:NameList>
      </b:Author>
    </b:Author>
    <b:Title>J.P. Morgan Emerging Markets Bond Index (EMBI+)</b:Title>
    <b:InternetSiteTitle>DataMarket</b:InternetSiteTitle>
    <b:YearAccessed>2014</b:YearAccessed>
    <b:MonthAccessed>Junio</b:MonthAccessed>
    <b:DayAccessed>10</b:DayAccessed>
    <b:URL>http://datamarket.com/data/set/1dme/jp-morgan-emerging-markets-bond-index-embi#!ds=1dme!x88=k.d&amp;display=line</b:URL>
    <b:RefOrder>11</b:RefOrder>
  </b:Source>
  <b:Source>
    <b:Tag>Mar14</b:Tag>
    <b:SourceType>InternetSite</b:SourceType>
    <b:Guid>{23743116-0FB0-4763-ACDB-7B0CE4B3C9D9}</b:Guid>
    <b:Author>
      <b:Author>
        <b:NameList>
          <b:Person>
            <b:Last>MarketWatch</b:Last>
          </b:Person>
        </b:NameList>
      </b:Author>
    </b:Author>
    <b:Title>10 Year Treasury Note</b:Title>
    <b:InternetSiteTitle>MarketWatch</b:InternetSiteTitle>
    <b:YearAccessed>2014</b:YearAccessed>
    <b:MonthAccessed>June</b:MonthAccessed>
    <b:DayAccessed>10</b:DayAccessed>
    <b:URL>http://www.marketwatch.com/investing/bond/10_year</b:URL>
    <b:RefOrder>8</b:RefOrder>
  </b:Source>
  <b:Source>
    <b:Tag>Asw14</b:Tag>
    <b:SourceType>InternetSite</b:SourceType>
    <b:Guid>{6861ACE0-D367-4A65-8040-A064EEFA6C50}</b:Guid>
    <b:Author>
      <b:Author>
        <b:NameList>
          <b:Person>
            <b:Last>Damodaran</b:Last>
            <b:First>Aswath</b:First>
          </b:Person>
        </b:NameList>
      </b:Author>
    </b:Author>
    <b:Title>Country Default Spreads and Risk Premiums</b:Title>
    <b:InternetSiteTitle>Damodaran Online</b:InternetSiteTitle>
    <b:YearAccessed>2014</b:YearAccessed>
    <b:MonthAccessed>Junio</b:MonthAccessed>
    <b:DayAccessed>10</b:DayAccessed>
    <b:URL>http://people.stern.nyu.edu/adamodar/</b:URL>
    <b:RefOrder>6</b:RefOrder>
  </b:Source>
  <b:Source>
    <b:Tag>Bur11</b:Tag>
    <b:SourceType>JournalArticle</b:SourceType>
    <b:Guid>{592B5A9A-B549-4731-8C4E-AE6E425D6946}</b:Guid>
    <b:Title>Appropriate discounting for benefit-cost analysis</b:Title>
    <b:Year>2011</b:Year>
    <b:Author>
      <b:Author>
        <b:NameList>
          <b:Person>
            <b:Last>Burgess</b:Last>
            <b:First>David</b:First>
            <b:Middle>F y Zerbe, Richard O</b:Middle>
          </b:Person>
        </b:NameList>
      </b:Author>
    </b:Author>
    <b:JournalName>Journal of Benefit-Cost Analysis</b:JournalName>
    <b:RefOrder>9</b:RefOrder>
  </b:Source>
  <b:Source>
    <b:Tag>Mig</b:Tag>
    <b:SourceType>Report</b:SourceType>
    <b:Guid>{F2CBB4BE-B136-4FEA-ADBD-B5862D2BE24E}</b:Guid>
    <b:Author>
      <b:Author>
        <b:NameList>
          <b:Person>
            <b:Last>Prialé</b:Last>
            <b:First>Miguel</b:First>
          </b:Person>
          <b:Person>
            <b:Last>Valenzuela</b:Last>
            <b:First>Fernando</b:First>
          </b:Person>
        </b:NameList>
      </b:Author>
    </b:Author>
    <b:Title>Mejoramiento de los servicios de facilitación del comercio exterior a través de la Ventanilla Única del Comercio Exterior (VUCE) en el Perú. Segunda etapa</b:Title>
    <b:Year>2014</b:Year>
    <b:Publisher>Banco Interamericano de Desarrollo</b:Publisher>
    <b:RefOrder>7</b:RefOrder>
  </b:Source>
  <b:Source>
    <b:Tag>Aut11</b:Tag>
    <b:SourceType>JournalArticle</b:SourceType>
    <b:Guid>{78D8F16F-D1CA-4BE2-934B-32C918264053}</b:Guid>
    <b:Title>Estudio de Costos y Sobrecostos de la Cadena de Servicios Logísticos en los Terminales Portuarios de Uso Público</b:Title>
    <b:Year>2011</b:Year>
    <b:Author>
      <b:Author>
        <b:Corporate>Autoridad Portuaria Nacional de Perú</b:Corporate>
      </b:Author>
    </b:Author>
    <b:Pages>XIII-5</b:Pages>
    <b:RefOrder>4</b:RefOrder>
  </b:Source>
  <b:Source>
    <b:Tag>Min14</b:Tag>
    <b:SourceType>InternetSite</b:SourceType>
    <b:Guid>{0E135322-5047-4148-8E40-DCCD83AF69C4}</b:Guid>
    <b:Title>VUCE en números</b:Title>
    <b:Author>
      <b:Author>
        <b:Corporate>Ministerio de Comercio Exterior y Turismo</b:Corporate>
      </b:Author>
    </b:Author>
    <b:InternetSiteTitle>VUCE - Ventanilla única de comercio exterior</b:InternetSiteTitle>
    <b:YearAccessed>2014</b:YearAccessed>
    <b:MonthAccessed>Julio</b:MonthAccessed>
    <b:DayAccessed>30</b:DayAccessed>
    <b:URL>https://www.vuce.gob.pe/</b:URL>
    <b:RefOrder>5</b:RefOrder>
  </b:Source>
  <b:Source>
    <b:Tag>Wor14</b:Tag>
    <b:SourceType>Report</b:SourceType>
    <b:Guid>{B0F78E17-0954-40FC-812A-03E519A557ED}</b:Guid>
    <b:Title>Doing Business</b:Title>
    <b:Year>2014</b:Year>
    <b:Author>
      <b:Author>
        <b:Corporate>World Bank</b:Corporate>
      </b:Author>
    </b:Author>
    <b:RefOrder>10</b:RefOrder>
  </b:Source>
  <b:Source>
    <b:Tag>Emp09</b:Tag>
    <b:SourceType>Report</b:SourceType>
    <b:Guid>{3E241BA0-B02A-46C2-A56E-884C8FC31AB1}</b:Guid>
    <b:Author>
      <b:Author>
        <b:Corporate>Empresa Nacional de Puertos S.A.</b:Corporate>
      </b:Author>
    </b:Author>
    <b:Title>Memoria Anual</b:Title>
    <b:Year>2009</b:Year>
    <b:RefOrder>2</b:RefOrder>
  </b:Source>
  <b:Source>
    <b:Tag>Min141</b:Tag>
    <b:SourceType>Report</b:SourceType>
    <b:Guid>{575FA730-5BB1-40B5-A5C3-D92FF8AC3687}</b:Guid>
    <b:Author>
      <b:Author>
        <b:Corporate>Ministerio de Comercio Exterior y Turismo</b:Corporate>
      </b:Author>
    </b:Author>
    <b:Title>VUCE - Ventanilla Única de Comercio Exterior</b:Title>
    <b:Year>2014</b:Year>
    <b:Publisher>Borrador de presentación</b:Publisher>
    <b:RefOrder>1</b:RefOrder>
  </b:Source>
  <b:Source>
    <b:Tag>Hum13</b:Tag>
    <b:SourceType>JournalArticle</b:SourceType>
    <b:Guid>{354C1D10-7FFC-4E7A-B388-8874666117B0}</b:Guid>
    <b:Title>Time as a Trade Barrier</b:Title>
    <b:Year>2013</b:Year>
    <b:Author>
      <b:Author>
        <b:NameList>
          <b:Person>
            <b:Last>Hummels</b:Last>
            <b:First>David</b:First>
            <b:Middle>L.</b:Middle>
          </b:Person>
          <b:Person>
            <b:Last>Schaur</b:Last>
            <b:First>Georg</b:First>
          </b:Person>
        </b:NameList>
      </b:Author>
    </b:Author>
    <b:JournalName>American Economic Review</b:JournalName>
    <b:RefOrder>3</b:RefOrder>
  </b:Source>
</b:Sourc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INT/INT</Division_x0020_or_x0020_Unit>
    <Other_x0020_Author xmlns="9c571b2f-e523-4ab2-ba2e-09e151a03ef4" xsi:nil="true"/>
    <Region xmlns="9c571b2f-e523-4ab2-ba2e-09e151a03ef4" xsi:nil="true"/>
    <IDBDocs_x0020_Number xmlns="9c571b2f-e523-4ab2-ba2e-09e151a03ef4">39718722</IDBDocs_x0020_Number>
    <Document_x0020_Author xmlns="9c571b2f-e523-4ab2-ba2e-09e151a03ef4">Robert, Carolyn</Document_x0020_Author>
    <Publication_x0020_Type xmlns="9c571b2f-e523-4ab2-ba2e-09e151a03ef4" xsi:nil="true"/>
    <Operation_x0020_Type xmlns="9c571b2f-e523-4ab2-ba2e-09e151a03ef4" xsi:nil="true"/>
    <TaxCatchAll xmlns="9c571b2f-e523-4ab2-ba2e-09e151a03ef4">
      <Value>5</Value>
      <Value>4</Value>
    </TaxCatchAll>
    <Fiscal_x0020_Year_x0020_IDB xmlns="9c571b2f-e523-4ab2-ba2e-09e151a03ef4">2015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PE-L1159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Proposal&lt;/USER_STAGE&gt;&lt;PD_OBJ_TYPE&gt;0&lt;/PD_OBJ_TYPE&gt;&lt;MAKERECORD&gt;Y&lt;/MAKERECORD&gt;&lt;/Data&gt;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CE-ACU</Webtopic>
    <Identifier xmlns="9c571b2f-e523-4ab2-ba2e-09e151a03ef4"> FULL DOC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9636EAC5-5107-4838-B17F-B70BCE654E04}"/>
</file>

<file path=customXml/itemProps2.xml><?xml version="1.0" encoding="utf-8"?>
<ds:datastoreItem xmlns:ds="http://schemas.openxmlformats.org/officeDocument/2006/customXml" ds:itemID="{74ABBD70-16D1-4AED-88DB-33BDE2D42321}"/>
</file>

<file path=customXml/itemProps3.xml><?xml version="1.0" encoding="utf-8"?>
<ds:datastoreItem xmlns:ds="http://schemas.openxmlformats.org/officeDocument/2006/customXml" ds:itemID="{D5BFE489-4DAF-4125-AF95-3B99819AC65F}"/>
</file>

<file path=customXml/itemProps4.xml><?xml version="1.0" encoding="utf-8"?>
<ds:datastoreItem xmlns:ds="http://schemas.openxmlformats.org/officeDocument/2006/customXml" ds:itemID="{4FF12143-37CD-4172-8B59-F7521AE4F220}"/>
</file>

<file path=customXml/itemProps5.xml><?xml version="1.0" encoding="utf-8"?>
<ds:datastoreItem xmlns:ds="http://schemas.openxmlformats.org/officeDocument/2006/customXml" ds:itemID="{B7D49E0E-C9AF-4066-8A75-7F3AA4F81CAC}"/>
</file>

<file path=customXml/itemProps6.xml><?xml version="1.0" encoding="utf-8"?>
<ds:datastoreItem xmlns:ds="http://schemas.openxmlformats.org/officeDocument/2006/customXml" ds:itemID="{67295C21-AD1A-481D-8A5F-8137E40FB4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1887</Words>
  <Characters>10758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Análisis Económico del Proyecto</dc:title>
  <dc:creator/>
  <cp:lastModifiedBy/>
  <cp:revision>1</cp:revision>
  <dcterms:created xsi:type="dcterms:W3CDTF">2015-09-04T19:39:00Z</dcterms:created>
  <dcterms:modified xsi:type="dcterms:W3CDTF">2015-09-09T14:47:00Z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0x01010046CF21643EE8D14686A648AA6DAD089200C09DEBB59D4C54488ECB477B48B36A85</vt:lpwstr>
  </property>
  <property fmtid="{D5CDD505-2E9C-101B-9397-08002B2CF9AE}" pid="5" name="TaxKeywordTaxHTField">
    <vt:lpwstr/>
  </property>
  <property fmtid="{D5CDD505-2E9C-101B-9397-08002B2CF9AE}" pid="6" name="Series Operations IDB">
    <vt:lpwstr>4;#Unclassified|a6dff32e-d477-44cd-a56b-85efe9e0a56c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4;#Unclassified|a6dff32e-d477-44cd-a56b-85efe9e0a56c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5;#IDBDocs|cca77002-e150-4b2d-ab1f-1d7a7cdcae16</vt:lpwstr>
  </property>
</Properties>
</file>