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21972" w14:textId="77777777" w:rsidR="00AA6EC7" w:rsidRPr="008E3494" w:rsidRDefault="007F5B37">
      <w:pPr>
        <w:spacing w:after="0" w:line="240" w:lineRule="auto"/>
        <w:jc w:val="center"/>
        <w:rPr>
          <w:rFonts w:ascii="Arial" w:hAnsi="Arial" w:cs="Arial"/>
          <w:b/>
        </w:rPr>
      </w:pPr>
      <w:r w:rsidRPr="008E3494">
        <w:rPr>
          <w:rFonts w:ascii="Arial" w:hAnsi="Arial" w:cs="Arial"/>
          <w:b/>
        </w:rPr>
        <w:t>Línea de Crédito Condicional para Proyectos de Inversión (CCLIP), Programa Sectorial Casa Para Todos; y primera operación individual bajo la CCLIP, Soluciones de Vivienda para hogares pobres y vulnerables</w:t>
      </w:r>
      <w:r w:rsidR="00670180" w:rsidRPr="008E3494">
        <w:rPr>
          <w:rFonts w:ascii="Arial" w:hAnsi="Arial" w:cs="Arial"/>
          <w:b/>
        </w:rPr>
        <w:t xml:space="preserve"> </w:t>
      </w:r>
    </w:p>
    <w:p w14:paraId="333704C7" w14:textId="4F87F215" w:rsidR="00AA6EC7" w:rsidRDefault="007F5B37">
      <w:pPr>
        <w:spacing w:after="0" w:line="240" w:lineRule="auto"/>
        <w:jc w:val="center"/>
        <w:rPr>
          <w:rFonts w:ascii="Arial" w:hAnsi="Arial" w:cs="Arial"/>
          <w:b/>
        </w:rPr>
      </w:pPr>
      <w:r w:rsidRPr="008E3494">
        <w:rPr>
          <w:rFonts w:ascii="Arial" w:hAnsi="Arial" w:cs="Arial"/>
          <w:b/>
        </w:rPr>
        <w:t>Enlace Electrónico Obligatorio: Plan de Monitoreo y Evaluación</w:t>
      </w:r>
    </w:p>
    <w:p w14:paraId="2D5EF0F6" w14:textId="2E4EE556" w:rsidR="0012236B" w:rsidRDefault="0012236B">
      <w:pPr>
        <w:spacing w:after="0" w:line="240" w:lineRule="auto"/>
        <w:jc w:val="center"/>
        <w:rPr>
          <w:rFonts w:ascii="Arial" w:hAnsi="Arial" w:cs="Arial"/>
          <w:b/>
        </w:rPr>
      </w:pPr>
    </w:p>
    <w:p w14:paraId="23C0D129" w14:textId="3724DF39" w:rsidR="0012236B" w:rsidRDefault="0012236B">
      <w:pPr>
        <w:spacing w:after="0" w:line="240" w:lineRule="auto"/>
        <w:jc w:val="center"/>
        <w:rPr>
          <w:rFonts w:ascii="Arial" w:hAnsi="Arial" w:cs="Arial"/>
          <w:b/>
        </w:rPr>
      </w:pPr>
    </w:p>
    <w:p w14:paraId="1C945292" w14:textId="01305BBF" w:rsidR="0012236B" w:rsidRDefault="0012236B">
      <w:pPr>
        <w:spacing w:after="0" w:line="240" w:lineRule="auto"/>
        <w:jc w:val="center"/>
        <w:rPr>
          <w:rFonts w:ascii="Arial" w:hAnsi="Arial" w:cs="Arial"/>
          <w:b/>
        </w:rPr>
      </w:pPr>
    </w:p>
    <w:p w14:paraId="373C6469" w14:textId="77777777" w:rsidR="0012236B" w:rsidRPr="008E3494" w:rsidRDefault="0012236B">
      <w:pPr>
        <w:spacing w:after="0" w:line="240" w:lineRule="auto"/>
        <w:jc w:val="center"/>
        <w:rPr>
          <w:rFonts w:ascii="Arial" w:hAnsi="Arial" w:cs="Arial"/>
          <w:b/>
        </w:rPr>
      </w:pPr>
    </w:p>
    <w:p w14:paraId="60BF2261" w14:textId="77777777" w:rsidR="00AA6EC7" w:rsidRPr="008E3494" w:rsidRDefault="00AA6EC7">
      <w:pPr>
        <w:spacing w:after="0" w:line="240" w:lineRule="auto"/>
        <w:jc w:val="center"/>
        <w:rPr>
          <w:rFonts w:ascii="Arial" w:hAnsi="Arial" w:cs="Arial"/>
          <w:b/>
        </w:rPr>
      </w:pPr>
    </w:p>
    <w:sdt>
      <w:sdtPr>
        <w:rPr>
          <w:rFonts w:ascii="Arial" w:hAnsi="Arial" w:cs="Arial"/>
        </w:rPr>
        <w:id w:val="-1087149369"/>
        <w:docPartObj>
          <w:docPartGallery w:val="Table of Contents"/>
          <w:docPartUnique/>
        </w:docPartObj>
      </w:sdtPr>
      <w:sdtEndPr>
        <w:rPr>
          <w:b/>
          <w:bCs/>
        </w:rPr>
      </w:sdtEndPr>
      <w:sdtContent>
        <w:p w14:paraId="1F96C625" w14:textId="77777777" w:rsidR="00AA6EC7" w:rsidRPr="008E3494" w:rsidRDefault="007F5B37">
          <w:pPr>
            <w:spacing w:after="0" w:line="240" w:lineRule="auto"/>
            <w:jc w:val="center"/>
            <w:rPr>
              <w:rFonts w:ascii="Arial" w:eastAsia="SimSun" w:hAnsi="Arial" w:cs="Arial"/>
              <w:b/>
            </w:rPr>
          </w:pPr>
          <w:r w:rsidRPr="008E3494">
            <w:rPr>
              <w:rFonts w:ascii="Arial" w:eastAsia="SimSun" w:hAnsi="Arial" w:cs="Arial"/>
              <w:b/>
            </w:rPr>
            <w:t>Tabla de contenido</w:t>
          </w:r>
        </w:p>
        <w:p w14:paraId="763C4A49" w14:textId="77777777" w:rsidR="00DC5A77" w:rsidRPr="008E3494" w:rsidRDefault="00DC5A77">
          <w:pPr>
            <w:spacing w:after="0" w:line="240" w:lineRule="auto"/>
            <w:jc w:val="center"/>
            <w:rPr>
              <w:rFonts w:ascii="Arial" w:hAnsi="Arial" w:cs="Arial"/>
              <w:b/>
              <w:sz w:val="24"/>
            </w:rPr>
          </w:pPr>
        </w:p>
        <w:p w14:paraId="0542BFBB" w14:textId="373F10D0" w:rsidR="0012236B" w:rsidRDefault="007F5B37" w:rsidP="0012236B">
          <w:pPr>
            <w:pStyle w:val="TOC1"/>
            <w:tabs>
              <w:tab w:val="left" w:pos="440"/>
              <w:tab w:val="right" w:leader="dot" w:pos="9017"/>
            </w:tabs>
            <w:spacing w:line="360" w:lineRule="auto"/>
            <w:rPr>
              <w:rFonts w:eastAsiaTheme="minorEastAsia"/>
              <w:noProof/>
              <w:lang w:eastAsia="es-EC"/>
            </w:rPr>
          </w:pPr>
          <w:r w:rsidRPr="008E3494">
            <w:rPr>
              <w:rFonts w:ascii="Arial" w:hAnsi="Arial" w:cs="Arial"/>
            </w:rPr>
            <w:fldChar w:fldCharType="begin"/>
          </w:r>
          <w:r w:rsidRPr="008E3494">
            <w:rPr>
              <w:rFonts w:ascii="Arial" w:hAnsi="Arial" w:cs="Arial"/>
            </w:rPr>
            <w:instrText xml:space="preserve"> TOC \o "1-3" \h \z \u </w:instrText>
          </w:r>
          <w:r w:rsidRPr="008E3494">
            <w:rPr>
              <w:rFonts w:ascii="Arial" w:hAnsi="Arial" w:cs="Arial"/>
            </w:rPr>
            <w:fldChar w:fldCharType="separate"/>
          </w:r>
          <w:hyperlink w:anchor="_Toc1373063" w:history="1">
            <w:r w:rsidR="0012236B" w:rsidRPr="00C64B51">
              <w:rPr>
                <w:rStyle w:val="Hyperlink"/>
                <w:noProof/>
              </w:rPr>
              <w:t>I.</w:t>
            </w:r>
            <w:r w:rsidR="0012236B">
              <w:rPr>
                <w:rFonts w:eastAsiaTheme="minorEastAsia"/>
                <w:noProof/>
                <w:lang w:eastAsia="es-EC"/>
              </w:rPr>
              <w:tab/>
            </w:r>
            <w:r w:rsidR="0012236B" w:rsidRPr="00C64B51">
              <w:rPr>
                <w:rStyle w:val="Hyperlink"/>
                <w:noProof/>
              </w:rPr>
              <w:t>Introducción</w:t>
            </w:r>
            <w:r w:rsidR="0012236B">
              <w:rPr>
                <w:noProof/>
                <w:webHidden/>
              </w:rPr>
              <w:tab/>
            </w:r>
            <w:r w:rsidR="0012236B">
              <w:rPr>
                <w:noProof/>
                <w:webHidden/>
              </w:rPr>
              <w:fldChar w:fldCharType="begin"/>
            </w:r>
            <w:r w:rsidR="0012236B">
              <w:rPr>
                <w:noProof/>
                <w:webHidden/>
              </w:rPr>
              <w:instrText xml:space="preserve"> PAGEREF _Toc1373063 \h </w:instrText>
            </w:r>
            <w:r w:rsidR="0012236B">
              <w:rPr>
                <w:noProof/>
                <w:webHidden/>
              </w:rPr>
            </w:r>
            <w:r w:rsidR="0012236B">
              <w:rPr>
                <w:noProof/>
                <w:webHidden/>
              </w:rPr>
              <w:fldChar w:fldCharType="separate"/>
            </w:r>
            <w:r w:rsidR="0012236B">
              <w:rPr>
                <w:noProof/>
                <w:webHidden/>
              </w:rPr>
              <w:t>2</w:t>
            </w:r>
            <w:r w:rsidR="0012236B">
              <w:rPr>
                <w:noProof/>
                <w:webHidden/>
              </w:rPr>
              <w:fldChar w:fldCharType="end"/>
            </w:r>
          </w:hyperlink>
        </w:p>
        <w:p w14:paraId="6CC22686" w14:textId="1243D8DD" w:rsidR="0012236B" w:rsidRDefault="0012236B">
          <w:pPr>
            <w:pStyle w:val="TOC1"/>
            <w:tabs>
              <w:tab w:val="left" w:pos="440"/>
              <w:tab w:val="right" w:leader="dot" w:pos="9017"/>
            </w:tabs>
            <w:rPr>
              <w:rFonts w:eastAsiaTheme="minorEastAsia"/>
              <w:noProof/>
              <w:lang w:eastAsia="es-EC"/>
            </w:rPr>
          </w:pPr>
          <w:hyperlink w:anchor="_Toc1373064" w:history="1">
            <w:r w:rsidRPr="00C64B51">
              <w:rPr>
                <w:rStyle w:val="Hyperlink"/>
                <w:noProof/>
              </w:rPr>
              <w:t>II.</w:t>
            </w:r>
            <w:r>
              <w:rPr>
                <w:rFonts w:eastAsiaTheme="minorEastAsia"/>
                <w:noProof/>
                <w:lang w:eastAsia="es-EC"/>
              </w:rPr>
              <w:tab/>
            </w:r>
            <w:r w:rsidRPr="00C64B51">
              <w:rPr>
                <w:rStyle w:val="Hyperlink"/>
                <w:noProof/>
              </w:rPr>
              <w:t>Monitoreo</w:t>
            </w:r>
            <w:r>
              <w:rPr>
                <w:noProof/>
                <w:webHidden/>
              </w:rPr>
              <w:tab/>
            </w:r>
            <w:r>
              <w:rPr>
                <w:noProof/>
                <w:webHidden/>
              </w:rPr>
              <w:fldChar w:fldCharType="begin"/>
            </w:r>
            <w:r>
              <w:rPr>
                <w:noProof/>
                <w:webHidden/>
              </w:rPr>
              <w:instrText xml:space="preserve"> PAGEREF _Toc1373064 \h </w:instrText>
            </w:r>
            <w:r>
              <w:rPr>
                <w:noProof/>
                <w:webHidden/>
              </w:rPr>
            </w:r>
            <w:r>
              <w:rPr>
                <w:noProof/>
                <w:webHidden/>
              </w:rPr>
              <w:fldChar w:fldCharType="separate"/>
            </w:r>
            <w:r>
              <w:rPr>
                <w:noProof/>
                <w:webHidden/>
              </w:rPr>
              <w:t>7</w:t>
            </w:r>
            <w:r>
              <w:rPr>
                <w:noProof/>
                <w:webHidden/>
              </w:rPr>
              <w:fldChar w:fldCharType="end"/>
            </w:r>
          </w:hyperlink>
        </w:p>
        <w:p w14:paraId="6F4CC85B" w14:textId="4C852CC1" w:rsidR="0012236B" w:rsidRDefault="0012236B">
          <w:pPr>
            <w:pStyle w:val="TOC1"/>
            <w:tabs>
              <w:tab w:val="left" w:pos="660"/>
              <w:tab w:val="right" w:leader="dot" w:pos="9017"/>
            </w:tabs>
            <w:rPr>
              <w:rFonts w:eastAsiaTheme="minorEastAsia"/>
              <w:noProof/>
              <w:lang w:eastAsia="es-EC"/>
            </w:rPr>
          </w:pPr>
          <w:hyperlink w:anchor="_Toc1373065" w:history="1">
            <w:r w:rsidRPr="00C64B51">
              <w:rPr>
                <w:rStyle w:val="Hyperlink"/>
                <w:noProof/>
              </w:rPr>
              <w:t>III.</w:t>
            </w:r>
            <w:r>
              <w:rPr>
                <w:rFonts w:eastAsiaTheme="minorEastAsia"/>
                <w:noProof/>
                <w:lang w:eastAsia="es-EC"/>
              </w:rPr>
              <w:tab/>
            </w:r>
            <w:r w:rsidRPr="00C64B51">
              <w:rPr>
                <w:rStyle w:val="Hyperlink"/>
                <w:noProof/>
              </w:rPr>
              <w:t>Evaluación:</w:t>
            </w:r>
            <w:r>
              <w:rPr>
                <w:noProof/>
                <w:webHidden/>
              </w:rPr>
              <w:tab/>
            </w:r>
            <w:r>
              <w:rPr>
                <w:noProof/>
                <w:webHidden/>
              </w:rPr>
              <w:fldChar w:fldCharType="begin"/>
            </w:r>
            <w:r>
              <w:rPr>
                <w:noProof/>
                <w:webHidden/>
              </w:rPr>
              <w:instrText xml:space="preserve"> PAGEREF _Toc1373065 \h </w:instrText>
            </w:r>
            <w:r>
              <w:rPr>
                <w:noProof/>
                <w:webHidden/>
              </w:rPr>
            </w:r>
            <w:r>
              <w:rPr>
                <w:noProof/>
                <w:webHidden/>
              </w:rPr>
              <w:fldChar w:fldCharType="separate"/>
            </w:r>
            <w:r>
              <w:rPr>
                <w:noProof/>
                <w:webHidden/>
              </w:rPr>
              <w:t>13</w:t>
            </w:r>
            <w:r>
              <w:rPr>
                <w:noProof/>
                <w:webHidden/>
              </w:rPr>
              <w:fldChar w:fldCharType="end"/>
            </w:r>
          </w:hyperlink>
        </w:p>
        <w:p w14:paraId="6FAF37A1" w14:textId="69214C4C" w:rsidR="0012236B" w:rsidRDefault="0012236B">
          <w:pPr>
            <w:pStyle w:val="TOC2"/>
            <w:tabs>
              <w:tab w:val="left" w:pos="660"/>
              <w:tab w:val="right" w:leader="dot" w:pos="9017"/>
            </w:tabs>
            <w:rPr>
              <w:rFonts w:eastAsiaTheme="minorEastAsia"/>
              <w:noProof/>
              <w:lang w:eastAsia="es-EC"/>
            </w:rPr>
          </w:pPr>
          <w:hyperlink w:anchor="_Toc1373066" w:history="1">
            <w:r w:rsidRPr="00C64B51">
              <w:rPr>
                <w:rStyle w:val="Hyperlink"/>
                <w:noProof/>
              </w:rPr>
              <w:t>a.</w:t>
            </w:r>
            <w:r>
              <w:rPr>
                <w:rFonts w:eastAsiaTheme="minorEastAsia"/>
                <w:noProof/>
                <w:lang w:eastAsia="es-EC"/>
              </w:rPr>
              <w:tab/>
            </w:r>
            <w:r w:rsidRPr="00C64B51">
              <w:rPr>
                <w:rStyle w:val="Hyperlink"/>
                <w:noProof/>
              </w:rPr>
              <w:t>Evaluación de impacto</w:t>
            </w:r>
            <w:r>
              <w:rPr>
                <w:noProof/>
                <w:webHidden/>
              </w:rPr>
              <w:tab/>
            </w:r>
            <w:r>
              <w:rPr>
                <w:noProof/>
                <w:webHidden/>
              </w:rPr>
              <w:fldChar w:fldCharType="begin"/>
            </w:r>
            <w:r>
              <w:rPr>
                <w:noProof/>
                <w:webHidden/>
              </w:rPr>
              <w:instrText xml:space="preserve"> PAGEREF _Toc1373066 \h </w:instrText>
            </w:r>
            <w:r>
              <w:rPr>
                <w:noProof/>
                <w:webHidden/>
              </w:rPr>
            </w:r>
            <w:r>
              <w:rPr>
                <w:noProof/>
                <w:webHidden/>
              </w:rPr>
              <w:fldChar w:fldCharType="separate"/>
            </w:r>
            <w:r>
              <w:rPr>
                <w:noProof/>
                <w:webHidden/>
              </w:rPr>
              <w:t>13</w:t>
            </w:r>
            <w:r>
              <w:rPr>
                <w:noProof/>
                <w:webHidden/>
              </w:rPr>
              <w:fldChar w:fldCharType="end"/>
            </w:r>
          </w:hyperlink>
        </w:p>
        <w:p w14:paraId="2FF5FCF9" w14:textId="726B8E39" w:rsidR="0012236B" w:rsidRDefault="0012236B">
          <w:pPr>
            <w:pStyle w:val="TOC3"/>
            <w:tabs>
              <w:tab w:val="left" w:pos="880"/>
              <w:tab w:val="right" w:leader="dot" w:pos="9017"/>
            </w:tabs>
            <w:rPr>
              <w:noProof/>
            </w:rPr>
          </w:pPr>
          <w:hyperlink w:anchor="_Toc1373067" w:history="1">
            <w:r w:rsidRPr="00C64B51">
              <w:rPr>
                <w:rStyle w:val="Hyperlink"/>
                <w:noProof/>
              </w:rPr>
              <w:t>i.</w:t>
            </w:r>
            <w:r>
              <w:rPr>
                <w:noProof/>
              </w:rPr>
              <w:tab/>
            </w:r>
            <w:r w:rsidRPr="00C64B51">
              <w:rPr>
                <w:rStyle w:val="Hyperlink"/>
                <w:noProof/>
              </w:rPr>
              <w:t>Literatura de impactos de programas similares</w:t>
            </w:r>
            <w:r>
              <w:rPr>
                <w:noProof/>
                <w:webHidden/>
              </w:rPr>
              <w:tab/>
            </w:r>
            <w:r>
              <w:rPr>
                <w:noProof/>
                <w:webHidden/>
              </w:rPr>
              <w:fldChar w:fldCharType="begin"/>
            </w:r>
            <w:r>
              <w:rPr>
                <w:noProof/>
                <w:webHidden/>
              </w:rPr>
              <w:instrText xml:space="preserve"> PAGEREF _Toc1373067 \h </w:instrText>
            </w:r>
            <w:r>
              <w:rPr>
                <w:noProof/>
                <w:webHidden/>
              </w:rPr>
            </w:r>
            <w:r>
              <w:rPr>
                <w:noProof/>
                <w:webHidden/>
              </w:rPr>
              <w:fldChar w:fldCharType="separate"/>
            </w:r>
            <w:r>
              <w:rPr>
                <w:noProof/>
                <w:webHidden/>
              </w:rPr>
              <w:t>13</w:t>
            </w:r>
            <w:r>
              <w:rPr>
                <w:noProof/>
                <w:webHidden/>
              </w:rPr>
              <w:fldChar w:fldCharType="end"/>
            </w:r>
          </w:hyperlink>
        </w:p>
        <w:p w14:paraId="0AF69C13" w14:textId="2FB69C88" w:rsidR="0012236B" w:rsidRDefault="0012236B">
          <w:pPr>
            <w:pStyle w:val="TOC3"/>
            <w:tabs>
              <w:tab w:val="left" w:pos="880"/>
              <w:tab w:val="right" w:leader="dot" w:pos="9017"/>
            </w:tabs>
            <w:rPr>
              <w:noProof/>
            </w:rPr>
          </w:pPr>
          <w:hyperlink w:anchor="_Toc1373068" w:history="1">
            <w:r w:rsidRPr="00C64B51">
              <w:rPr>
                <w:rStyle w:val="Hyperlink"/>
                <w:noProof/>
              </w:rPr>
              <w:t>ii.</w:t>
            </w:r>
            <w:r>
              <w:rPr>
                <w:noProof/>
              </w:rPr>
              <w:tab/>
            </w:r>
            <w:r w:rsidRPr="00C64B51">
              <w:rPr>
                <w:rStyle w:val="Hyperlink"/>
                <w:noProof/>
              </w:rPr>
              <w:t>Pregunta de evaluación</w:t>
            </w:r>
            <w:r>
              <w:rPr>
                <w:noProof/>
                <w:webHidden/>
              </w:rPr>
              <w:tab/>
            </w:r>
            <w:r>
              <w:rPr>
                <w:noProof/>
                <w:webHidden/>
              </w:rPr>
              <w:fldChar w:fldCharType="begin"/>
            </w:r>
            <w:r>
              <w:rPr>
                <w:noProof/>
                <w:webHidden/>
              </w:rPr>
              <w:instrText xml:space="preserve"> PAGEREF _Toc1373068 \h </w:instrText>
            </w:r>
            <w:r>
              <w:rPr>
                <w:noProof/>
                <w:webHidden/>
              </w:rPr>
            </w:r>
            <w:r>
              <w:rPr>
                <w:noProof/>
                <w:webHidden/>
              </w:rPr>
              <w:fldChar w:fldCharType="separate"/>
            </w:r>
            <w:r>
              <w:rPr>
                <w:noProof/>
                <w:webHidden/>
              </w:rPr>
              <w:t>15</w:t>
            </w:r>
            <w:r>
              <w:rPr>
                <w:noProof/>
                <w:webHidden/>
              </w:rPr>
              <w:fldChar w:fldCharType="end"/>
            </w:r>
          </w:hyperlink>
        </w:p>
        <w:p w14:paraId="31CE408C" w14:textId="6E5827DC" w:rsidR="0012236B" w:rsidRDefault="0012236B">
          <w:pPr>
            <w:pStyle w:val="TOC3"/>
            <w:tabs>
              <w:tab w:val="left" w:pos="880"/>
              <w:tab w:val="right" w:leader="dot" w:pos="9017"/>
            </w:tabs>
            <w:rPr>
              <w:noProof/>
            </w:rPr>
          </w:pPr>
          <w:hyperlink w:anchor="_Toc1373069" w:history="1">
            <w:r w:rsidRPr="00C64B51">
              <w:rPr>
                <w:rStyle w:val="Hyperlink"/>
                <w:noProof/>
              </w:rPr>
              <w:t>iii.</w:t>
            </w:r>
            <w:r>
              <w:rPr>
                <w:noProof/>
              </w:rPr>
              <w:tab/>
            </w:r>
            <w:r w:rsidRPr="00C64B51">
              <w:rPr>
                <w:rStyle w:val="Hyperlink"/>
                <w:noProof/>
              </w:rPr>
              <w:t>Metodología de evaluación</w:t>
            </w:r>
            <w:r>
              <w:rPr>
                <w:noProof/>
                <w:webHidden/>
              </w:rPr>
              <w:tab/>
            </w:r>
            <w:r>
              <w:rPr>
                <w:noProof/>
                <w:webHidden/>
              </w:rPr>
              <w:fldChar w:fldCharType="begin"/>
            </w:r>
            <w:r>
              <w:rPr>
                <w:noProof/>
                <w:webHidden/>
              </w:rPr>
              <w:instrText xml:space="preserve"> PAGEREF _Toc1373069 \h </w:instrText>
            </w:r>
            <w:r>
              <w:rPr>
                <w:noProof/>
                <w:webHidden/>
              </w:rPr>
            </w:r>
            <w:r>
              <w:rPr>
                <w:noProof/>
                <w:webHidden/>
              </w:rPr>
              <w:fldChar w:fldCharType="separate"/>
            </w:r>
            <w:r>
              <w:rPr>
                <w:noProof/>
                <w:webHidden/>
              </w:rPr>
              <w:t>16</w:t>
            </w:r>
            <w:r>
              <w:rPr>
                <w:noProof/>
                <w:webHidden/>
              </w:rPr>
              <w:fldChar w:fldCharType="end"/>
            </w:r>
          </w:hyperlink>
        </w:p>
        <w:p w14:paraId="508F04D0" w14:textId="61C73DFF" w:rsidR="0012236B" w:rsidRDefault="0012236B">
          <w:pPr>
            <w:pStyle w:val="TOC3"/>
            <w:tabs>
              <w:tab w:val="left" w:pos="880"/>
              <w:tab w:val="right" w:leader="dot" w:pos="9017"/>
            </w:tabs>
            <w:rPr>
              <w:noProof/>
            </w:rPr>
          </w:pPr>
          <w:hyperlink w:anchor="_Toc1373070" w:history="1">
            <w:r w:rsidRPr="00C64B51">
              <w:rPr>
                <w:rStyle w:val="Hyperlink"/>
                <w:noProof/>
              </w:rPr>
              <w:t>iv.</w:t>
            </w:r>
            <w:r>
              <w:rPr>
                <w:noProof/>
              </w:rPr>
              <w:tab/>
            </w:r>
            <w:r w:rsidRPr="00C64B51">
              <w:rPr>
                <w:rStyle w:val="Hyperlink"/>
                <w:noProof/>
              </w:rPr>
              <w:t>Indicador de impacto y fuentes de datos</w:t>
            </w:r>
            <w:r>
              <w:rPr>
                <w:noProof/>
                <w:webHidden/>
              </w:rPr>
              <w:tab/>
            </w:r>
            <w:r>
              <w:rPr>
                <w:noProof/>
                <w:webHidden/>
              </w:rPr>
              <w:fldChar w:fldCharType="begin"/>
            </w:r>
            <w:r>
              <w:rPr>
                <w:noProof/>
                <w:webHidden/>
              </w:rPr>
              <w:instrText xml:space="preserve"> PAGEREF _Toc1373070 \h </w:instrText>
            </w:r>
            <w:r>
              <w:rPr>
                <w:noProof/>
                <w:webHidden/>
              </w:rPr>
            </w:r>
            <w:r>
              <w:rPr>
                <w:noProof/>
                <w:webHidden/>
              </w:rPr>
              <w:fldChar w:fldCharType="separate"/>
            </w:r>
            <w:r>
              <w:rPr>
                <w:noProof/>
                <w:webHidden/>
              </w:rPr>
              <w:t>20</w:t>
            </w:r>
            <w:r>
              <w:rPr>
                <w:noProof/>
                <w:webHidden/>
              </w:rPr>
              <w:fldChar w:fldCharType="end"/>
            </w:r>
          </w:hyperlink>
        </w:p>
        <w:p w14:paraId="19B8841E" w14:textId="5D5FB987" w:rsidR="0012236B" w:rsidRDefault="0012236B">
          <w:pPr>
            <w:pStyle w:val="TOC3"/>
            <w:tabs>
              <w:tab w:val="left" w:pos="880"/>
              <w:tab w:val="right" w:leader="dot" w:pos="9017"/>
            </w:tabs>
            <w:rPr>
              <w:noProof/>
            </w:rPr>
          </w:pPr>
          <w:hyperlink w:anchor="_Toc1373071" w:history="1">
            <w:r w:rsidRPr="00C64B51">
              <w:rPr>
                <w:rStyle w:val="Hyperlink"/>
                <w:noProof/>
              </w:rPr>
              <w:t>v.</w:t>
            </w:r>
            <w:r>
              <w:rPr>
                <w:noProof/>
              </w:rPr>
              <w:tab/>
            </w:r>
            <w:r w:rsidRPr="00C64B51">
              <w:rPr>
                <w:rStyle w:val="Hyperlink"/>
                <w:noProof/>
              </w:rPr>
              <w:t>Selección de la muestra y potencia estadística</w:t>
            </w:r>
            <w:r>
              <w:rPr>
                <w:noProof/>
                <w:webHidden/>
              </w:rPr>
              <w:tab/>
            </w:r>
            <w:r>
              <w:rPr>
                <w:noProof/>
                <w:webHidden/>
              </w:rPr>
              <w:fldChar w:fldCharType="begin"/>
            </w:r>
            <w:r>
              <w:rPr>
                <w:noProof/>
                <w:webHidden/>
              </w:rPr>
              <w:instrText xml:space="preserve"> PAGEREF _Toc1373071 \h </w:instrText>
            </w:r>
            <w:r>
              <w:rPr>
                <w:noProof/>
                <w:webHidden/>
              </w:rPr>
            </w:r>
            <w:r>
              <w:rPr>
                <w:noProof/>
                <w:webHidden/>
              </w:rPr>
              <w:fldChar w:fldCharType="separate"/>
            </w:r>
            <w:r>
              <w:rPr>
                <w:noProof/>
                <w:webHidden/>
              </w:rPr>
              <w:t>23</w:t>
            </w:r>
            <w:r>
              <w:rPr>
                <w:noProof/>
                <w:webHidden/>
              </w:rPr>
              <w:fldChar w:fldCharType="end"/>
            </w:r>
          </w:hyperlink>
        </w:p>
        <w:p w14:paraId="56B14398" w14:textId="4A57863B" w:rsidR="0012236B" w:rsidRDefault="0012236B">
          <w:pPr>
            <w:pStyle w:val="TOC3"/>
            <w:tabs>
              <w:tab w:val="left" w:pos="880"/>
              <w:tab w:val="right" w:leader="dot" w:pos="9017"/>
            </w:tabs>
            <w:rPr>
              <w:noProof/>
            </w:rPr>
          </w:pPr>
          <w:hyperlink w:anchor="_Toc1373072" w:history="1">
            <w:r w:rsidRPr="00C64B51">
              <w:rPr>
                <w:rStyle w:val="Hyperlink"/>
                <w:noProof/>
              </w:rPr>
              <w:t>vi.</w:t>
            </w:r>
            <w:r>
              <w:rPr>
                <w:noProof/>
              </w:rPr>
              <w:tab/>
            </w:r>
            <w:r w:rsidRPr="00C64B51">
              <w:rPr>
                <w:rStyle w:val="Hyperlink"/>
                <w:noProof/>
              </w:rPr>
              <w:t>Equipo técnico de la evaluación de impacto</w:t>
            </w:r>
            <w:r>
              <w:rPr>
                <w:noProof/>
                <w:webHidden/>
              </w:rPr>
              <w:tab/>
            </w:r>
            <w:r>
              <w:rPr>
                <w:noProof/>
                <w:webHidden/>
              </w:rPr>
              <w:fldChar w:fldCharType="begin"/>
            </w:r>
            <w:r>
              <w:rPr>
                <w:noProof/>
                <w:webHidden/>
              </w:rPr>
              <w:instrText xml:space="preserve"> PAGEREF _Toc1373072 \h </w:instrText>
            </w:r>
            <w:r>
              <w:rPr>
                <w:noProof/>
                <w:webHidden/>
              </w:rPr>
            </w:r>
            <w:r>
              <w:rPr>
                <w:noProof/>
                <w:webHidden/>
              </w:rPr>
              <w:fldChar w:fldCharType="separate"/>
            </w:r>
            <w:r>
              <w:rPr>
                <w:noProof/>
                <w:webHidden/>
              </w:rPr>
              <w:t>24</w:t>
            </w:r>
            <w:r>
              <w:rPr>
                <w:noProof/>
                <w:webHidden/>
              </w:rPr>
              <w:fldChar w:fldCharType="end"/>
            </w:r>
          </w:hyperlink>
        </w:p>
        <w:p w14:paraId="697B101C" w14:textId="14CA5B9C" w:rsidR="0012236B" w:rsidRDefault="0012236B">
          <w:pPr>
            <w:pStyle w:val="TOC3"/>
            <w:tabs>
              <w:tab w:val="left" w:pos="1100"/>
              <w:tab w:val="right" w:leader="dot" w:pos="9017"/>
            </w:tabs>
            <w:rPr>
              <w:noProof/>
            </w:rPr>
          </w:pPr>
          <w:hyperlink w:anchor="_Toc1373073" w:history="1">
            <w:r w:rsidRPr="00C64B51">
              <w:rPr>
                <w:rStyle w:val="Hyperlink"/>
                <w:noProof/>
              </w:rPr>
              <w:t>vii.</w:t>
            </w:r>
            <w:r>
              <w:rPr>
                <w:noProof/>
              </w:rPr>
              <w:t xml:space="preserve">    </w:t>
            </w:r>
            <w:r w:rsidRPr="00C64B51">
              <w:rPr>
                <w:rStyle w:val="Hyperlink"/>
                <w:noProof/>
              </w:rPr>
              <w:t>Consideraciones éticas y protección de sujetos humanos</w:t>
            </w:r>
            <w:r>
              <w:rPr>
                <w:noProof/>
                <w:webHidden/>
              </w:rPr>
              <w:tab/>
            </w:r>
            <w:r>
              <w:rPr>
                <w:noProof/>
                <w:webHidden/>
              </w:rPr>
              <w:fldChar w:fldCharType="begin"/>
            </w:r>
            <w:r>
              <w:rPr>
                <w:noProof/>
                <w:webHidden/>
              </w:rPr>
              <w:instrText xml:space="preserve"> PAGEREF _Toc1373073 \h </w:instrText>
            </w:r>
            <w:r>
              <w:rPr>
                <w:noProof/>
                <w:webHidden/>
              </w:rPr>
            </w:r>
            <w:r>
              <w:rPr>
                <w:noProof/>
                <w:webHidden/>
              </w:rPr>
              <w:fldChar w:fldCharType="separate"/>
            </w:r>
            <w:r>
              <w:rPr>
                <w:noProof/>
                <w:webHidden/>
              </w:rPr>
              <w:t>26</w:t>
            </w:r>
            <w:r>
              <w:rPr>
                <w:noProof/>
                <w:webHidden/>
              </w:rPr>
              <w:fldChar w:fldCharType="end"/>
            </w:r>
          </w:hyperlink>
        </w:p>
        <w:p w14:paraId="3125DF9C" w14:textId="40032005" w:rsidR="0012236B" w:rsidRDefault="0012236B">
          <w:pPr>
            <w:pStyle w:val="TOC2"/>
            <w:tabs>
              <w:tab w:val="left" w:pos="660"/>
              <w:tab w:val="right" w:leader="dot" w:pos="9017"/>
            </w:tabs>
            <w:rPr>
              <w:rFonts w:eastAsiaTheme="minorEastAsia"/>
              <w:noProof/>
              <w:lang w:eastAsia="es-EC"/>
            </w:rPr>
          </w:pPr>
          <w:hyperlink w:anchor="_Toc1373074" w:history="1">
            <w:r w:rsidRPr="00C64B51">
              <w:rPr>
                <w:rStyle w:val="Hyperlink"/>
                <w:noProof/>
              </w:rPr>
              <w:t>b.</w:t>
            </w:r>
            <w:r>
              <w:rPr>
                <w:rFonts w:eastAsiaTheme="minorEastAsia"/>
                <w:noProof/>
                <w:lang w:eastAsia="es-EC"/>
              </w:rPr>
              <w:tab/>
            </w:r>
            <w:r w:rsidRPr="00C64B51">
              <w:rPr>
                <w:rStyle w:val="Hyperlink"/>
                <w:noProof/>
              </w:rPr>
              <w:t>Evaluación de procesos y resultados</w:t>
            </w:r>
            <w:r>
              <w:rPr>
                <w:noProof/>
                <w:webHidden/>
              </w:rPr>
              <w:tab/>
            </w:r>
            <w:r>
              <w:rPr>
                <w:noProof/>
                <w:webHidden/>
              </w:rPr>
              <w:fldChar w:fldCharType="begin"/>
            </w:r>
            <w:r>
              <w:rPr>
                <w:noProof/>
                <w:webHidden/>
              </w:rPr>
              <w:instrText xml:space="preserve"> PAGEREF _Toc1373074 \h </w:instrText>
            </w:r>
            <w:r>
              <w:rPr>
                <w:noProof/>
                <w:webHidden/>
              </w:rPr>
            </w:r>
            <w:r>
              <w:rPr>
                <w:noProof/>
                <w:webHidden/>
              </w:rPr>
              <w:fldChar w:fldCharType="separate"/>
            </w:r>
            <w:r>
              <w:rPr>
                <w:noProof/>
                <w:webHidden/>
              </w:rPr>
              <w:t>26</w:t>
            </w:r>
            <w:r>
              <w:rPr>
                <w:noProof/>
                <w:webHidden/>
              </w:rPr>
              <w:fldChar w:fldCharType="end"/>
            </w:r>
          </w:hyperlink>
        </w:p>
        <w:p w14:paraId="15002A8F" w14:textId="75A8384A" w:rsidR="0012236B" w:rsidRDefault="0012236B">
          <w:pPr>
            <w:pStyle w:val="TOC2"/>
            <w:tabs>
              <w:tab w:val="left" w:pos="660"/>
              <w:tab w:val="right" w:leader="dot" w:pos="9017"/>
            </w:tabs>
            <w:rPr>
              <w:rFonts w:eastAsiaTheme="minorEastAsia"/>
              <w:noProof/>
              <w:lang w:eastAsia="es-EC"/>
            </w:rPr>
          </w:pPr>
          <w:hyperlink w:anchor="_Toc1373075" w:history="1">
            <w:r w:rsidRPr="00C64B51">
              <w:rPr>
                <w:rStyle w:val="Hyperlink"/>
                <w:noProof/>
              </w:rPr>
              <w:t>c.</w:t>
            </w:r>
            <w:r>
              <w:rPr>
                <w:rFonts w:eastAsiaTheme="minorEastAsia"/>
                <w:noProof/>
                <w:lang w:eastAsia="es-EC"/>
              </w:rPr>
              <w:tab/>
            </w:r>
            <w:r w:rsidRPr="00C64B51">
              <w:rPr>
                <w:rStyle w:val="Hyperlink"/>
                <w:noProof/>
              </w:rPr>
              <w:t>Plan de diseminación de las evaluaciones</w:t>
            </w:r>
            <w:r>
              <w:rPr>
                <w:noProof/>
                <w:webHidden/>
              </w:rPr>
              <w:tab/>
            </w:r>
            <w:r>
              <w:rPr>
                <w:noProof/>
                <w:webHidden/>
              </w:rPr>
              <w:fldChar w:fldCharType="begin"/>
            </w:r>
            <w:r>
              <w:rPr>
                <w:noProof/>
                <w:webHidden/>
              </w:rPr>
              <w:instrText xml:space="preserve"> PAGEREF _Toc1373075 \h </w:instrText>
            </w:r>
            <w:r>
              <w:rPr>
                <w:noProof/>
                <w:webHidden/>
              </w:rPr>
            </w:r>
            <w:r>
              <w:rPr>
                <w:noProof/>
                <w:webHidden/>
              </w:rPr>
              <w:fldChar w:fldCharType="separate"/>
            </w:r>
            <w:r>
              <w:rPr>
                <w:noProof/>
                <w:webHidden/>
              </w:rPr>
              <w:t>34</w:t>
            </w:r>
            <w:r>
              <w:rPr>
                <w:noProof/>
                <w:webHidden/>
              </w:rPr>
              <w:fldChar w:fldCharType="end"/>
            </w:r>
          </w:hyperlink>
        </w:p>
        <w:p w14:paraId="426D5CFB" w14:textId="0F0FC2EE" w:rsidR="0012236B" w:rsidRDefault="0012236B">
          <w:pPr>
            <w:pStyle w:val="TOC2"/>
            <w:tabs>
              <w:tab w:val="left" w:pos="660"/>
              <w:tab w:val="right" w:leader="dot" w:pos="9017"/>
            </w:tabs>
            <w:rPr>
              <w:rFonts w:eastAsiaTheme="minorEastAsia"/>
              <w:noProof/>
              <w:lang w:eastAsia="es-EC"/>
            </w:rPr>
          </w:pPr>
          <w:hyperlink w:anchor="_Toc1373076" w:history="1">
            <w:r w:rsidRPr="00C64B51">
              <w:rPr>
                <w:rStyle w:val="Hyperlink"/>
                <w:noProof/>
              </w:rPr>
              <w:t>d.</w:t>
            </w:r>
            <w:r>
              <w:rPr>
                <w:rFonts w:eastAsiaTheme="minorEastAsia"/>
                <w:noProof/>
                <w:lang w:eastAsia="es-EC"/>
              </w:rPr>
              <w:tab/>
            </w:r>
            <w:r w:rsidRPr="00C64B51">
              <w:rPr>
                <w:rStyle w:val="Hyperlink"/>
                <w:noProof/>
              </w:rPr>
              <w:t>Coordinación, cronogramas, informes y presupuesto de las evaluaciones</w:t>
            </w:r>
            <w:r>
              <w:rPr>
                <w:noProof/>
                <w:webHidden/>
              </w:rPr>
              <w:tab/>
            </w:r>
            <w:r>
              <w:rPr>
                <w:noProof/>
                <w:webHidden/>
              </w:rPr>
              <w:fldChar w:fldCharType="begin"/>
            </w:r>
            <w:r>
              <w:rPr>
                <w:noProof/>
                <w:webHidden/>
              </w:rPr>
              <w:instrText xml:space="preserve"> PAGEREF _Toc1373076 \h </w:instrText>
            </w:r>
            <w:r>
              <w:rPr>
                <w:noProof/>
                <w:webHidden/>
              </w:rPr>
            </w:r>
            <w:r>
              <w:rPr>
                <w:noProof/>
                <w:webHidden/>
              </w:rPr>
              <w:fldChar w:fldCharType="separate"/>
            </w:r>
            <w:r>
              <w:rPr>
                <w:noProof/>
                <w:webHidden/>
              </w:rPr>
              <w:t>34</w:t>
            </w:r>
            <w:r>
              <w:rPr>
                <w:noProof/>
                <w:webHidden/>
              </w:rPr>
              <w:fldChar w:fldCharType="end"/>
            </w:r>
          </w:hyperlink>
        </w:p>
        <w:p w14:paraId="7894E963" w14:textId="0331C4AE" w:rsidR="0012236B" w:rsidRDefault="0012236B">
          <w:pPr>
            <w:pStyle w:val="TOC2"/>
            <w:tabs>
              <w:tab w:val="left" w:pos="660"/>
              <w:tab w:val="right" w:leader="dot" w:pos="9017"/>
            </w:tabs>
            <w:rPr>
              <w:rFonts w:eastAsiaTheme="minorEastAsia"/>
              <w:noProof/>
              <w:lang w:eastAsia="es-EC"/>
            </w:rPr>
          </w:pPr>
          <w:hyperlink w:anchor="_Toc1373077" w:history="1">
            <w:r w:rsidRPr="00C64B51">
              <w:rPr>
                <w:rStyle w:val="Hyperlink"/>
                <w:noProof/>
              </w:rPr>
              <w:t>e.</w:t>
            </w:r>
            <w:r>
              <w:rPr>
                <w:rFonts w:eastAsiaTheme="minorEastAsia"/>
                <w:noProof/>
                <w:lang w:eastAsia="es-EC"/>
              </w:rPr>
              <w:tab/>
            </w:r>
            <w:r w:rsidRPr="00C64B51">
              <w:rPr>
                <w:rStyle w:val="Hyperlink"/>
                <w:noProof/>
              </w:rPr>
              <w:t>Bibliografía</w:t>
            </w:r>
            <w:r>
              <w:rPr>
                <w:noProof/>
                <w:webHidden/>
              </w:rPr>
              <w:tab/>
            </w:r>
            <w:r>
              <w:rPr>
                <w:noProof/>
                <w:webHidden/>
              </w:rPr>
              <w:fldChar w:fldCharType="begin"/>
            </w:r>
            <w:r>
              <w:rPr>
                <w:noProof/>
                <w:webHidden/>
              </w:rPr>
              <w:instrText xml:space="preserve"> PAGEREF _Toc1373077 \h </w:instrText>
            </w:r>
            <w:r>
              <w:rPr>
                <w:noProof/>
                <w:webHidden/>
              </w:rPr>
            </w:r>
            <w:r>
              <w:rPr>
                <w:noProof/>
                <w:webHidden/>
              </w:rPr>
              <w:fldChar w:fldCharType="separate"/>
            </w:r>
            <w:r>
              <w:rPr>
                <w:noProof/>
                <w:webHidden/>
              </w:rPr>
              <w:t>36</w:t>
            </w:r>
            <w:r>
              <w:rPr>
                <w:noProof/>
                <w:webHidden/>
              </w:rPr>
              <w:fldChar w:fldCharType="end"/>
            </w:r>
          </w:hyperlink>
        </w:p>
        <w:p w14:paraId="01AA8344" w14:textId="56869D05" w:rsidR="00AA6EC7" w:rsidRPr="008E3494" w:rsidRDefault="007F5B37">
          <w:pPr>
            <w:spacing w:after="0"/>
            <w:jc w:val="both"/>
            <w:rPr>
              <w:rFonts w:ascii="Arial" w:hAnsi="Arial" w:cs="Arial"/>
            </w:rPr>
          </w:pPr>
          <w:r w:rsidRPr="008E3494">
            <w:rPr>
              <w:rFonts w:ascii="Arial" w:hAnsi="Arial" w:cs="Arial"/>
              <w:bCs/>
            </w:rPr>
            <w:fldChar w:fldCharType="end"/>
          </w:r>
        </w:p>
      </w:sdtContent>
    </w:sdt>
    <w:p w14:paraId="057A762A" w14:textId="77777777" w:rsidR="00AA6EC7" w:rsidRPr="008E3494" w:rsidRDefault="00AA6EC7">
      <w:pPr>
        <w:spacing w:after="0" w:line="240" w:lineRule="auto"/>
        <w:jc w:val="both"/>
        <w:rPr>
          <w:rFonts w:ascii="Arial" w:hAnsi="Arial" w:cs="Arial"/>
        </w:rPr>
      </w:pPr>
    </w:p>
    <w:p w14:paraId="4613D98C" w14:textId="77777777" w:rsidR="00AA6EC7" w:rsidRPr="008E3494" w:rsidRDefault="007F5B37">
      <w:pPr>
        <w:spacing w:after="0" w:line="240" w:lineRule="auto"/>
        <w:rPr>
          <w:rFonts w:ascii="Arial" w:hAnsi="Arial" w:cs="Arial"/>
        </w:rPr>
      </w:pPr>
      <w:r w:rsidRPr="008E3494">
        <w:rPr>
          <w:rFonts w:ascii="Arial" w:hAnsi="Arial" w:cs="Arial"/>
        </w:rPr>
        <w:br w:type="page"/>
      </w:r>
    </w:p>
    <w:p w14:paraId="028DA87A" w14:textId="77777777" w:rsidR="00AA6EC7" w:rsidRPr="008E3494" w:rsidRDefault="00AA6EC7">
      <w:pPr>
        <w:spacing w:after="0" w:line="240" w:lineRule="auto"/>
        <w:jc w:val="both"/>
        <w:rPr>
          <w:rFonts w:ascii="Arial" w:hAnsi="Arial" w:cs="Arial"/>
        </w:rPr>
      </w:pPr>
    </w:p>
    <w:p w14:paraId="0F84F7D0" w14:textId="77777777" w:rsidR="00AA6EC7" w:rsidRPr="008E3494" w:rsidRDefault="007F5B37" w:rsidP="008E3494">
      <w:pPr>
        <w:pStyle w:val="Heading1"/>
      </w:pPr>
      <w:bookmarkStart w:id="0" w:name="_Toc1373063"/>
      <w:r w:rsidRPr="008E3494">
        <w:t>Introducción</w:t>
      </w:r>
      <w:bookmarkEnd w:id="0"/>
    </w:p>
    <w:p w14:paraId="7B238F79" w14:textId="77777777" w:rsidR="00AA6EC7" w:rsidRPr="008E3494" w:rsidRDefault="00AA6EC7">
      <w:pPr>
        <w:spacing w:after="0" w:line="240" w:lineRule="auto"/>
        <w:jc w:val="both"/>
        <w:rPr>
          <w:rFonts w:ascii="Arial" w:hAnsi="Arial" w:cs="Arial"/>
          <w:lang w:val="en-US"/>
        </w:rPr>
      </w:pPr>
    </w:p>
    <w:p w14:paraId="1E440C8C"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El Plan Nacional de Vivienda, Casa para Todos, tiene como objetivo aumentar al 95% la tenencia propia de vivienda digna en los hogares de condición vulnerable del Ecuador. A través de este programa, que es parte del Plan Nacional de Desarrollo 2017-2021, se pretende que las familias beneficiadas mejoren sus condiciones de habitabilidad, lo cual según la evidencia empírica, puede devenir en un aumento de sus ingresos netos y una mejora en la salud física de sus habitantes.</w:t>
      </w:r>
    </w:p>
    <w:p w14:paraId="33A20671"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69DDDDA3"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El programa está orientado a hogares cuyos ingresos se encuentren en los quintiles I y II, y que carecen de un inmueble propio en condiciones de habitabilidad; priorizando a aquellos hogares que se caractericen por una o más de las siguientes condiciones: </w:t>
      </w:r>
      <w:r w:rsidR="00BA3900" w:rsidRPr="008E3494">
        <w:rPr>
          <w:rFonts w:ascii="Arial" w:eastAsia="Times New Roman" w:hAnsi="Arial" w:cs="Arial"/>
          <w:spacing w:val="-2"/>
          <w:lang w:eastAsia="zh-CN"/>
        </w:rPr>
        <w:t xml:space="preserve">1) </w:t>
      </w:r>
      <w:r w:rsidRPr="008E3494">
        <w:rPr>
          <w:rFonts w:ascii="Arial" w:eastAsia="Times New Roman" w:hAnsi="Arial" w:cs="Arial"/>
          <w:spacing w:val="-2"/>
          <w:lang w:eastAsia="zh-CN"/>
        </w:rPr>
        <w:t xml:space="preserve">miembros con discapacidad, </w:t>
      </w:r>
      <w:r w:rsidR="00BA3900" w:rsidRPr="008E3494">
        <w:rPr>
          <w:rFonts w:ascii="Arial" w:eastAsia="Times New Roman" w:hAnsi="Arial" w:cs="Arial"/>
          <w:spacing w:val="-2"/>
          <w:lang w:eastAsia="zh-CN"/>
        </w:rPr>
        <w:t xml:space="preserve">2) </w:t>
      </w:r>
      <w:r w:rsidRPr="008E3494">
        <w:rPr>
          <w:rFonts w:ascii="Arial" w:eastAsia="Times New Roman" w:hAnsi="Arial" w:cs="Arial"/>
          <w:spacing w:val="-2"/>
          <w:lang w:eastAsia="zh-CN"/>
        </w:rPr>
        <w:t xml:space="preserve">monoparentales, </w:t>
      </w:r>
      <w:r w:rsidR="00BA3900" w:rsidRPr="008E3494">
        <w:rPr>
          <w:rFonts w:ascii="Arial" w:eastAsia="Times New Roman" w:hAnsi="Arial" w:cs="Arial"/>
          <w:spacing w:val="-2"/>
          <w:lang w:eastAsia="zh-CN"/>
        </w:rPr>
        <w:t xml:space="preserve">3) </w:t>
      </w:r>
      <w:r w:rsidRPr="008E3494">
        <w:rPr>
          <w:rFonts w:ascii="Arial" w:eastAsia="Times New Roman" w:hAnsi="Arial" w:cs="Arial"/>
          <w:spacing w:val="-2"/>
          <w:lang w:eastAsia="zh-CN"/>
        </w:rPr>
        <w:t xml:space="preserve">con personas mayores o menores a cargo, y/o </w:t>
      </w:r>
      <w:r w:rsidR="00BA3900" w:rsidRPr="008E3494">
        <w:rPr>
          <w:rFonts w:ascii="Arial" w:eastAsia="Times New Roman" w:hAnsi="Arial" w:cs="Arial"/>
          <w:spacing w:val="-2"/>
          <w:lang w:eastAsia="zh-CN"/>
        </w:rPr>
        <w:t xml:space="preserve">4) </w:t>
      </w:r>
      <w:r w:rsidRPr="008E3494">
        <w:rPr>
          <w:rFonts w:ascii="Arial" w:eastAsia="Times New Roman" w:hAnsi="Arial" w:cs="Arial"/>
          <w:spacing w:val="-2"/>
          <w:lang w:eastAsia="zh-CN"/>
        </w:rPr>
        <w:t xml:space="preserve">pertenecientes a poblaciones indígenas, afroecuatorianas o montubios. </w:t>
      </w:r>
    </w:p>
    <w:p w14:paraId="7F8CA614"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51CC54BC"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La ejecución del programa está a cargo del Ministerio de Desarrollo Urbano y Vivienda (MIDUVI) y está estructurado en tres componentes que se describen a continuación:</w:t>
      </w:r>
    </w:p>
    <w:p w14:paraId="26DB99B9"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51A5177C" w14:textId="77777777" w:rsidR="00AA6EC7" w:rsidRPr="0012236B" w:rsidRDefault="007F5B37">
      <w:pPr>
        <w:numPr>
          <w:ilvl w:val="1"/>
          <w:numId w:val="0"/>
        </w:numPr>
        <w:tabs>
          <w:tab w:val="left" w:pos="720"/>
        </w:tabs>
        <w:spacing w:after="0" w:line="240" w:lineRule="auto"/>
        <w:jc w:val="both"/>
        <w:rPr>
          <w:rFonts w:ascii="Arial" w:eastAsia="Times New Roman" w:hAnsi="Arial" w:cs="Arial"/>
          <w:spacing w:val="-2"/>
          <w:lang w:eastAsia="zh-CN"/>
        </w:rPr>
      </w:pPr>
      <w:bookmarkStart w:id="1" w:name="_Hlk534206046"/>
      <w:bookmarkEnd w:id="1"/>
      <w:r w:rsidRPr="008E3494">
        <w:rPr>
          <w:rFonts w:ascii="Arial" w:eastAsia="Times New Roman" w:hAnsi="Arial" w:cs="Arial"/>
          <w:b/>
          <w:bCs/>
          <w:spacing w:val="-2"/>
          <w:lang w:eastAsia="zh-CN"/>
        </w:rPr>
        <w:t>Componente 1. Subsidios para construcción de vivienda nueva en terreno propio rural o urbano marginal (US$</w:t>
      </w:r>
      <w:r w:rsidR="00BA3900" w:rsidRPr="008E3494">
        <w:rPr>
          <w:rFonts w:ascii="Arial" w:eastAsia="Times New Roman" w:hAnsi="Arial" w:cs="Arial"/>
          <w:b/>
          <w:bCs/>
          <w:spacing w:val="-2"/>
          <w:lang w:eastAsia="zh-CN"/>
        </w:rPr>
        <w:t xml:space="preserve"> </w:t>
      </w:r>
      <w:r w:rsidRPr="008E3494">
        <w:rPr>
          <w:rFonts w:ascii="Arial" w:eastAsia="Times New Roman" w:hAnsi="Arial" w:cs="Arial"/>
          <w:b/>
          <w:bCs/>
          <w:spacing w:val="-2"/>
          <w:lang w:eastAsia="zh-CN"/>
        </w:rPr>
        <w:t>42 millones)</w:t>
      </w:r>
      <w:r w:rsidRPr="008E3494">
        <w:rPr>
          <w:rFonts w:ascii="Arial" w:eastAsia="Times New Roman" w:hAnsi="Arial" w:cs="Arial"/>
          <w:spacing w:val="-2"/>
          <w:lang w:eastAsia="zh-CN"/>
        </w:rPr>
        <w:t xml:space="preserve">. El objetivo de este componente es ampliar el acceso de hogares ecuatorianos en situación de pobreza o vulnerabilidad a una vivienda social nueva y asequible en áreas rurales y urbano marginales mediante el otorgamiento de subsidios monetarios. Serán elegibles los hogares del primer quintil de ingresos, que cuentan con un terreno propio y que </w:t>
      </w:r>
      <w:r w:rsidRPr="0012236B">
        <w:rPr>
          <w:rFonts w:ascii="Arial" w:eastAsia="Times New Roman" w:hAnsi="Arial" w:cs="Arial"/>
          <w:spacing w:val="-2"/>
          <w:lang w:eastAsia="zh-CN"/>
        </w:rPr>
        <w:t>demandan la construcción de una solución nueva y habitable con un costo total de hasta US$</w:t>
      </w:r>
      <w:r w:rsidR="00BA3900" w:rsidRPr="0012236B">
        <w:rPr>
          <w:rFonts w:ascii="Arial" w:eastAsia="Times New Roman" w:hAnsi="Arial" w:cs="Arial"/>
          <w:spacing w:val="-2"/>
          <w:lang w:eastAsia="zh-CN"/>
        </w:rPr>
        <w:t xml:space="preserve"> </w:t>
      </w:r>
      <w:r w:rsidRPr="0012236B">
        <w:rPr>
          <w:rFonts w:ascii="Arial" w:eastAsia="Times New Roman" w:hAnsi="Arial" w:cs="Arial"/>
          <w:spacing w:val="-2"/>
          <w:lang w:eastAsia="zh-CN"/>
        </w:rPr>
        <w:t>21 mil. Con los recursos del componente se espera otorgar cerca de 4.200 subsidios monetarios a igual número de hogares, considerando un valor promedio de subsidio de US$</w:t>
      </w:r>
      <w:r w:rsidR="00BA3900" w:rsidRPr="0012236B">
        <w:rPr>
          <w:rFonts w:ascii="Arial" w:eastAsia="Times New Roman" w:hAnsi="Arial" w:cs="Arial"/>
          <w:spacing w:val="-2"/>
          <w:lang w:eastAsia="zh-CN"/>
        </w:rPr>
        <w:t xml:space="preserve"> </w:t>
      </w:r>
      <w:r w:rsidRPr="0012236B">
        <w:rPr>
          <w:rFonts w:ascii="Arial" w:eastAsia="Times New Roman" w:hAnsi="Arial" w:cs="Arial"/>
          <w:spacing w:val="-2"/>
          <w:lang w:eastAsia="zh-CN"/>
        </w:rPr>
        <w:t>10 mil. El valor de subsidio no excederá US$</w:t>
      </w:r>
      <w:r w:rsidR="00BA3900" w:rsidRPr="0012236B">
        <w:rPr>
          <w:rFonts w:ascii="Arial" w:eastAsia="Times New Roman" w:hAnsi="Arial" w:cs="Arial"/>
          <w:spacing w:val="-2"/>
          <w:lang w:eastAsia="zh-CN"/>
        </w:rPr>
        <w:t xml:space="preserve"> </w:t>
      </w:r>
      <w:r w:rsidRPr="0012236B">
        <w:rPr>
          <w:rFonts w:ascii="Arial" w:eastAsia="Times New Roman" w:hAnsi="Arial" w:cs="Arial"/>
          <w:spacing w:val="-2"/>
          <w:lang w:eastAsia="zh-CN"/>
        </w:rPr>
        <w:t xml:space="preserve">15 mil. </w:t>
      </w:r>
    </w:p>
    <w:p w14:paraId="4582E29D" w14:textId="77777777" w:rsidR="00AA6EC7" w:rsidRPr="0012236B" w:rsidRDefault="00AA6EC7">
      <w:pPr>
        <w:numPr>
          <w:ilvl w:val="1"/>
          <w:numId w:val="0"/>
        </w:numPr>
        <w:tabs>
          <w:tab w:val="left" w:pos="720"/>
        </w:tabs>
        <w:spacing w:after="0" w:line="240" w:lineRule="auto"/>
        <w:jc w:val="both"/>
        <w:rPr>
          <w:rFonts w:ascii="Arial" w:eastAsia="Times New Roman" w:hAnsi="Arial" w:cs="Arial"/>
          <w:spacing w:val="-2"/>
          <w:lang w:eastAsia="zh-CN"/>
        </w:rPr>
      </w:pPr>
      <w:bookmarkStart w:id="2" w:name="_Hlk534206036"/>
      <w:bookmarkStart w:id="3" w:name="_Ref534379009"/>
      <w:bookmarkEnd w:id="2"/>
      <w:bookmarkEnd w:id="3"/>
    </w:p>
    <w:p w14:paraId="493C7075"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12236B">
        <w:rPr>
          <w:rFonts w:ascii="Arial" w:eastAsia="Times New Roman" w:hAnsi="Arial" w:cs="Arial"/>
          <w:b/>
          <w:bCs/>
          <w:spacing w:val="-2"/>
          <w:lang w:eastAsia="zh-CN"/>
        </w:rPr>
        <w:t>Componente 2. Subsidios parciales para la adquisición de vivienda urbana (US$</w:t>
      </w:r>
      <w:r w:rsidR="00BA3900" w:rsidRPr="0012236B">
        <w:rPr>
          <w:rFonts w:ascii="Arial" w:eastAsia="Times New Roman" w:hAnsi="Arial" w:cs="Arial"/>
          <w:b/>
          <w:bCs/>
          <w:spacing w:val="-2"/>
          <w:lang w:eastAsia="zh-CN"/>
        </w:rPr>
        <w:t xml:space="preserve"> </w:t>
      </w:r>
      <w:r w:rsidRPr="0012236B">
        <w:rPr>
          <w:rFonts w:ascii="Arial" w:eastAsia="Times New Roman" w:hAnsi="Arial" w:cs="Arial"/>
          <w:b/>
          <w:bCs/>
          <w:spacing w:val="-2"/>
          <w:lang w:eastAsia="zh-CN"/>
        </w:rPr>
        <w:t xml:space="preserve">45,9 millones). </w:t>
      </w:r>
      <w:r w:rsidRPr="0012236B">
        <w:rPr>
          <w:rFonts w:ascii="Arial" w:eastAsia="Times New Roman" w:hAnsi="Arial" w:cs="Arial"/>
          <w:spacing w:val="-2"/>
          <w:lang w:eastAsia="zh-CN"/>
        </w:rPr>
        <w:t>El objetivo de este componente es ampliar el acceso de hogares ecuatorianos en situación de pobreza o vulnerabilidad a una vivienda social nueva y asequible en áreas urbanas mediante el otorgamiento de subsidios monetarios. Serán elegibles y podrán postularse aquellos hogares carentes de una vivienda, que cuenten con un ingreso familiar correspondiente al primer y segundo quintil de ingresos y que demandan una solución de entre US$</w:t>
      </w:r>
      <w:r w:rsidR="00BA3900" w:rsidRPr="0012236B">
        <w:rPr>
          <w:rFonts w:ascii="Arial" w:eastAsia="Times New Roman" w:hAnsi="Arial" w:cs="Arial"/>
          <w:spacing w:val="-2"/>
          <w:lang w:eastAsia="zh-CN"/>
        </w:rPr>
        <w:t xml:space="preserve"> </w:t>
      </w:r>
      <w:r w:rsidRPr="0012236B">
        <w:rPr>
          <w:rFonts w:ascii="Arial" w:eastAsia="Times New Roman" w:hAnsi="Arial" w:cs="Arial"/>
          <w:spacing w:val="-2"/>
          <w:lang w:eastAsia="zh-CN"/>
        </w:rPr>
        <w:t>21 mil y US$</w:t>
      </w:r>
      <w:r w:rsidR="00BA3900" w:rsidRPr="0012236B">
        <w:rPr>
          <w:rFonts w:ascii="Arial" w:eastAsia="Times New Roman" w:hAnsi="Arial" w:cs="Arial"/>
          <w:spacing w:val="-2"/>
          <w:lang w:eastAsia="zh-CN"/>
        </w:rPr>
        <w:t xml:space="preserve"> </w:t>
      </w:r>
      <w:r w:rsidRPr="0012236B">
        <w:rPr>
          <w:rFonts w:ascii="Arial" w:eastAsia="Times New Roman" w:hAnsi="Arial" w:cs="Arial"/>
          <w:spacing w:val="-2"/>
          <w:lang w:eastAsia="zh-CN"/>
        </w:rPr>
        <w:t>40 mil. Con los recursos del componente se espera beneficiar a 7.650 hogares, considerando el monto máximo de subsidio de US$</w:t>
      </w:r>
      <w:r w:rsidR="00BA3900" w:rsidRPr="0012236B">
        <w:rPr>
          <w:rFonts w:ascii="Arial" w:eastAsia="Times New Roman" w:hAnsi="Arial" w:cs="Arial"/>
          <w:spacing w:val="-2"/>
          <w:lang w:eastAsia="zh-CN"/>
        </w:rPr>
        <w:t xml:space="preserve"> </w:t>
      </w:r>
      <w:r w:rsidRPr="0012236B">
        <w:rPr>
          <w:rFonts w:ascii="Arial" w:eastAsia="Times New Roman" w:hAnsi="Arial" w:cs="Arial"/>
          <w:spacing w:val="-2"/>
          <w:lang w:eastAsia="zh-CN"/>
        </w:rPr>
        <w:t>6 mil. Este subsidio parcial, sumado a recursos propios de los hogares y/o créditos del sector financiero</w:t>
      </w:r>
      <w:r w:rsidRPr="008E3494">
        <w:rPr>
          <w:rFonts w:ascii="Arial" w:eastAsia="Times New Roman" w:hAnsi="Arial" w:cs="Arial"/>
          <w:spacing w:val="-2"/>
          <w:lang w:eastAsia="zh-CN"/>
        </w:rPr>
        <w:t xml:space="preserve"> o cooperativo, permitirá que los beneficiarios tengan la capacidad de adquirir su vivienda realizando esfuerzos económicos acorde con sus ingresos. En este y en el componente 1 del programa, la construcción de las viviendas estará a cargo del sector privado, organizaciones no gubernamentales u asociaciones público-privadas y los procesos de contratación y supervisión se guiarán por las normas nacionales vigentes. En los componentes 1 y 2, se garantizará que la vivienda cuyo acceso se facilite sea accesible, además de sostenible y sustentable en su definición integral.</w:t>
      </w:r>
    </w:p>
    <w:p w14:paraId="2EB32706"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29ECE7F3"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bookmarkStart w:id="4" w:name="_Ref534378957"/>
      <w:bookmarkEnd w:id="4"/>
      <w:r w:rsidRPr="008E3494">
        <w:rPr>
          <w:rFonts w:ascii="Arial" w:eastAsia="Times New Roman" w:hAnsi="Arial" w:cs="Arial"/>
          <w:b/>
          <w:bCs/>
          <w:spacing w:val="-2"/>
          <w:lang w:eastAsia="zh-CN"/>
        </w:rPr>
        <w:t>Componente 3. Fortalecimiento de capacidades (US$4 millones).</w:t>
      </w:r>
      <w:r w:rsidRPr="008E3494">
        <w:rPr>
          <w:rFonts w:ascii="Arial" w:eastAsia="Times New Roman" w:hAnsi="Arial" w:cs="Arial"/>
          <w:spacing w:val="-2"/>
          <w:lang w:eastAsia="zh-CN"/>
        </w:rPr>
        <w:t xml:space="preserve"> El objetivo de este componente es fortalecer las capacidades de gestión del MIDUVI. La institucionalidad fortalecida optimizará la calidad de los procesos de planeación, s</w:t>
      </w:r>
      <w:r w:rsidR="00704718" w:rsidRPr="008E3494">
        <w:rPr>
          <w:rFonts w:ascii="Arial" w:eastAsia="Times New Roman" w:hAnsi="Arial" w:cs="Arial"/>
          <w:spacing w:val="-2"/>
          <w:lang w:eastAsia="zh-CN"/>
        </w:rPr>
        <w:t>eguimiento y evaluación, y con é</w:t>
      </w:r>
      <w:r w:rsidRPr="008E3494">
        <w:rPr>
          <w:rFonts w:ascii="Arial" w:eastAsia="Times New Roman" w:hAnsi="Arial" w:cs="Arial"/>
          <w:spacing w:val="-2"/>
          <w:lang w:eastAsia="zh-CN"/>
        </w:rPr>
        <w:t xml:space="preserve">sta, los resultados de la implementación del programa. Del lado de la demanda, se financiarán actividades específicas de asistencia técnica que introduzcan mejoras (técnicas y tecnológicas) en los procesos de: (i) distribución equitativa de recursos provinciales y cantonales, (ii) determinación de la elegibilidad de beneficiarios, (iii) postulación de hogares beneficiarios, (iv) </w:t>
      </w:r>
      <w:r w:rsidRPr="008E3494">
        <w:rPr>
          <w:rFonts w:ascii="Arial" w:eastAsia="Times New Roman" w:hAnsi="Arial" w:cs="Arial"/>
          <w:spacing w:val="-2"/>
          <w:lang w:eastAsia="zh-CN"/>
        </w:rPr>
        <w:lastRenderedPageBreak/>
        <w:t>calificación de postulantes elegibles, (v) priorización de beneficiarios mediante puntajes de ponderación y (vi) asignación y entrega de subsidios a los beneficiarios. Del lado de la oferta se financiarán actividades de asistencia técnica enfocadas en la generación de altos estándares constructivos y de habitabilidad. Estas incluyen la incorporación, en los procesos de selección de oferentes, de metodologías que prioricen a aquellos oferentes con capacidad de introducir -en los procesos constructivos- innovaciones relacionadas con la mitigación de riesgos de desastres, la resiliencia, la eficiencia energética/de gas y de agua y la sostenibilidad ambiental. Los diagnósticos, propuestas y planes de mejora de este componente están siendo preparados con cargo a la TC no reembolsable EC-T1410.</w:t>
      </w:r>
    </w:p>
    <w:p w14:paraId="008B15CB"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72CFCF48"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Los resultados esperados de esta operación incluyen: (i) el aumento en el stock de vivienda nueva, sostenible y de acceso universal asequible para hogares con niveles de los dos primeros quintiles en todo el país; (ii) la asertividad en la focalización del programa tal y como se establece en su objetivo general; y (iii) el fortalecimiento de capacidades técnicas y tecnológicas del MIDUVI, incluyendo la habilitación y uso de sistemas robustos de información, planeación, seguimiento y evaluación. </w:t>
      </w:r>
    </w:p>
    <w:p w14:paraId="294FE263"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78ACBE43"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En el marco de la ejecución de esta operación, el propósito de este documento es plantear las directrices para la implementación de un sistema integral de monitoreo y evaluación del programa que facilite la toma de decisiones basadas en evidencia, ofreciendo un conjunto de instrumentos que tanto el Banco como el ente ejecutor pueden utilizar para identificar las buenas prácticas y corregir posibles deficiencias, centrándose en los resultados. </w:t>
      </w:r>
    </w:p>
    <w:p w14:paraId="160C096D"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66D26274"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Un sistema de monitoreo y evaluación define un proceso objetivo, participativo, articulado y sistemático para medir la implementación o ejecución de políticas, programas, proyectos y acciones realizadas por las instituciones d</w:t>
      </w:r>
      <w:r w:rsidR="00704718" w:rsidRPr="008E3494">
        <w:rPr>
          <w:rFonts w:ascii="Arial" w:eastAsia="Times New Roman" w:hAnsi="Arial" w:cs="Arial"/>
          <w:spacing w:val="-2"/>
          <w:lang w:eastAsia="zh-CN"/>
        </w:rPr>
        <w:t>el sector público; b</w:t>
      </w:r>
      <w:r w:rsidRPr="008E3494">
        <w:rPr>
          <w:rFonts w:ascii="Arial" w:eastAsia="Times New Roman" w:hAnsi="Arial" w:cs="Arial"/>
          <w:spacing w:val="-2"/>
          <w:lang w:eastAsia="zh-CN"/>
        </w:rPr>
        <w:t xml:space="preserve">ajo la premisa de que </w:t>
      </w:r>
      <w:r w:rsidRPr="008E3494">
        <w:rPr>
          <w:rFonts w:ascii="Arial" w:eastAsia="Times New Roman" w:hAnsi="Arial" w:cs="Arial"/>
          <w:i/>
          <w:spacing w:val="-2"/>
          <w:lang w:eastAsia="zh-CN"/>
        </w:rPr>
        <w:t>“medir es el único medio por el cual se puede diagnosticar y evaluar el funcionamiento de una organización en relación con el cumplimiento de su misión y objetivos”</w:t>
      </w:r>
      <w:r w:rsidRPr="008E3494">
        <w:rPr>
          <w:rFonts w:ascii="Arial" w:eastAsia="Times New Roman" w:hAnsi="Arial" w:cs="Arial"/>
          <w:spacing w:val="-2"/>
          <w:lang w:eastAsia="zh-CN"/>
        </w:rPr>
        <w:t xml:space="preserve"> (Halliburton, 2006).</w:t>
      </w:r>
    </w:p>
    <w:p w14:paraId="3017DD66"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1E95630E"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Al respecto </w:t>
      </w:r>
      <w:proofErr w:type="spellStart"/>
      <w:r w:rsidRPr="008E3494">
        <w:rPr>
          <w:rFonts w:ascii="Arial" w:eastAsia="Times New Roman" w:hAnsi="Arial" w:cs="Arial"/>
          <w:spacing w:val="-2"/>
          <w:lang w:eastAsia="zh-CN"/>
        </w:rPr>
        <w:t>Rummler</w:t>
      </w:r>
      <w:proofErr w:type="spellEnd"/>
      <w:r w:rsidRPr="008E3494">
        <w:rPr>
          <w:rFonts w:ascii="Arial" w:eastAsia="Times New Roman" w:hAnsi="Arial" w:cs="Arial"/>
          <w:spacing w:val="-2"/>
          <w:lang w:eastAsia="zh-CN"/>
        </w:rPr>
        <w:t xml:space="preserve"> (1993), textualmente, señala lo siguiente: </w:t>
      </w:r>
    </w:p>
    <w:p w14:paraId="6405D11F" w14:textId="77777777" w:rsidR="00AA6EC7" w:rsidRPr="008E3494" w:rsidRDefault="007F5B37">
      <w:pPr>
        <w:numPr>
          <w:ilvl w:val="1"/>
          <w:numId w:val="0"/>
        </w:numPr>
        <w:tabs>
          <w:tab w:val="left" w:pos="720"/>
        </w:tabs>
        <w:spacing w:after="0" w:line="240" w:lineRule="auto"/>
        <w:jc w:val="both"/>
        <w:rPr>
          <w:rFonts w:ascii="Arial" w:eastAsia="Times New Roman" w:hAnsi="Arial" w:cs="Arial"/>
          <w:i/>
          <w:iCs/>
          <w:spacing w:val="-2"/>
          <w:lang w:eastAsia="zh-CN"/>
        </w:rPr>
      </w:pPr>
      <w:r w:rsidRPr="008E3494">
        <w:rPr>
          <w:rFonts w:ascii="Arial" w:eastAsia="Times New Roman" w:hAnsi="Arial" w:cs="Arial"/>
          <w:i/>
          <w:iCs/>
          <w:spacing w:val="-2"/>
          <w:lang w:eastAsia="zh-CN"/>
        </w:rPr>
        <w:t xml:space="preserve">[…] sin mediciones, los responsables de una organización no tendrían base </w:t>
      </w:r>
    </w:p>
    <w:p w14:paraId="4E348593" w14:textId="77777777" w:rsidR="00AA6EC7" w:rsidRPr="008E3494" w:rsidRDefault="007F5B37">
      <w:pPr>
        <w:numPr>
          <w:ilvl w:val="1"/>
          <w:numId w:val="0"/>
        </w:numPr>
        <w:tabs>
          <w:tab w:val="left" w:pos="720"/>
        </w:tabs>
        <w:spacing w:after="0" w:line="240" w:lineRule="auto"/>
        <w:jc w:val="both"/>
        <w:rPr>
          <w:rFonts w:ascii="Arial" w:eastAsia="Times New Roman" w:hAnsi="Arial" w:cs="Arial"/>
          <w:i/>
          <w:iCs/>
          <w:spacing w:val="-2"/>
          <w:lang w:eastAsia="zh-CN"/>
        </w:rPr>
      </w:pPr>
      <w:r w:rsidRPr="008E3494">
        <w:rPr>
          <w:rFonts w:ascii="Arial" w:eastAsia="Times New Roman" w:hAnsi="Arial" w:cs="Arial"/>
          <w:i/>
          <w:iCs/>
          <w:spacing w:val="-2"/>
          <w:lang w:eastAsia="zh-CN"/>
        </w:rPr>
        <w:t>para:</w:t>
      </w:r>
    </w:p>
    <w:p w14:paraId="4FF54725" w14:textId="77777777" w:rsidR="00AA6EC7" w:rsidRPr="008E3494" w:rsidRDefault="007F5B37" w:rsidP="00704718">
      <w:pPr>
        <w:numPr>
          <w:ilvl w:val="0"/>
          <w:numId w:val="11"/>
        </w:numPr>
        <w:tabs>
          <w:tab w:val="left" w:pos="420"/>
          <w:tab w:val="left" w:pos="720"/>
        </w:tabs>
        <w:spacing w:after="0" w:line="240" w:lineRule="auto"/>
        <w:jc w:val="both"/>
        <w:rPr>
          <w:rFonts w:ascii="Arial" w:eastAsia="Times New Roman" w:hAnsi="Arial" w:cs="Arial"/>
          <w:i/>
          <w:iCs/>
          <w:spacing w:val="-2"/>
          <w:lang w:eastAsia="zh-CN"/>
        </w:rPr>
      </w:pPr>
      <w:r w:rsidRPr="008E3494">
        <w:rPr>
          <w:rFonts w:ascii="Arial" w:eastAsia="Times New Roman" w:hAnsi="Arial" w:cs="Arial"/>
          <w:i/>
          <w:iCs/>
          <w:spacing w:val="-2"/>
          <w:lang w:eastAsia="zh-CN"/>
        </w:rPr>
        <w:t>Comunicar a los empleados, de forma concreta y esp</w:t>
      </w:r>
      <w:r w:rsidR="00704718" w:rsidRPr="008E3494">
        <w:rPr>
          <w:rFonts w:ascii="Arial" w:eastAsia="Times New Roman" w:hAnsi="Arial" w:cs="Arial"/>
          <w:i/>
          <w:iCs/>
          <w:spacing w:val="-2"/>
          <w:lang w:eastAsia="zh-CN"/>
        </w:rPr>
        <w:t xml:space="preserve">ecífica, lo que se espera de su </w:t>
      </w:r>
      <w:r w:rsidRPr="008E3494">
        <w:rPr>
          <w:rFonts w:ascii="Arial" w:eastAsia="Times New Roman" w:hAnsi="Arial" w:cs="Arial"/>
          <w:i/>
          <w:iCs/>
          <w:spacing w:val="-2"/>
          <w:lang w:eastAsia="zh-CN"/>
        </w:rPr>
        <w:t xml:space="preserve">actividad </w:t>
      </w:r>
    </w:p>
    <w:p w14:paraId="0FB7421E" w14:textId="77777777" w:rsidR="00AA6EC7" w:rsidRPr="008E3494" w:rsidRDefault="007F5B37" w:rsidP="00704718">
      <w:pPr>
        <w:numPr>
          <w:ilvl w:val="0"/>
          <w:numId w:val="11"/>
        </w:numPr>
        <w:tabs>
          <w:tab w:val="left" w:pos="420"/>
          <w:tab w:val="left" w:pos="720"/>
        </w:tabs>
        <w:spacing w:after="0" w:line="240" w:lineRule="auto"/>
        <w:jc w:val="both"/>
        <w:rPr>
          <w:rFonts w:ascii="Arial" w:eastAsia="Times New Roman" w:hAnsi="Arial" w:cs="Arial"/>
          <w:i/>
          <w:iCs/>
          <w:spacing w:val="-2"/>
          <w:lang w:eastAsia="zh-CN"/>
        </w:rPr>
      </w:pPr>
      <w:r w:rsidRPr="008E3494">
        <w:rPr>
          <w:rFonts w:ascii="Arial" w:eastAsia="Times New Roman" w:hAnsi="Arial" w:cs="Arial"/>
          <w:i/>
          <w:iCs/>
          <w:spacing w:val="-2"/>
          <w:lang w:eastAsia="zh-CN"/>
        </w:rPr>
        <w:t>Saber lo que está pasando en la organización</w:t>
      </w:r>
    </w:p>
    <w:p w14:paraId="04702D0D" w14:textId="77777777" w:rsidR="00AA6EC7" w:rsidRPr="008E3494" w:rsidRDefault="007F5B37" w:rsidP="00704718">
      <w:pPr>
        <w:numPr>
          <w:ilvl w:val="0"/>
          <w:numId w:val="11"/>
        </w:numPr>
        <w:tabs>
          <w:tab w:val="left" w:pos="420"/>
          <w:tab w:val="left" w:pos="720"/>
        </w:tabs>
        <w:spacing w:after="0" w:line="240" w:lineRule="auto"/>
        <w:jc w:val="both"/>
        <w:rPr>
          <w:rFonts w:ascii="Arial" w:eastAsia="Times New Roman" w:hAnsi="Arial" w:cs="Arial"/>
          <w:i/>
          <w:iCs/>
          <w:spacing w:val="-2"/>
          <w:lang w:eastAsia="zh-CN"/>
        </w:rPr>
      </w:pPr>
      <w:r w:rsidRPr="008E3494">
        <w:rPr>
          <w:rFonts w:ascii="Arial" w:eastAsia="Times New Roman" w:hAnsi="Arial" w:cs="Arial"/>
          <w:i/>
          <w:iCs/>
          <w:spacing w:val="-2"/>
          <w:lang w:eastAsia="zh-CN"/>
        </w:rPr>
        <w:t xml:space="preserve">Detectar desviaciones de la actividad que deben ser analizadas y corregidas </w:t>
      </w:r>
    </w:p>
    <w:p w14:paraId="5E7D0F62" w14:textId="77777777" w:rsidR="00AA6EC7" w:rsidRPr="008E3494" w:rsidRDefault="007F5B37" w:rsidP="00704718">
      <w:pPr>
        <w:numPr>
          <w:ilvl w:val="0"/>
          <w:numId w:val="11"/>
        </w:numPr>
        <w:tabs>
          <w:tab w:val="left" w:pos="420"/>
          <w:tab w:val="left" w:pos="720"/>
        </w:tabs>
        <w:spacing w:after="0" w:line="240" w:lineRule="auto"/>
        <w:jc w:val="both"/>
        <w:rPr>
          <w:rFonts w:ascii="Arial" w:eastAsia="Times New Roman" w:hAnsi="Arial" w:cs="Arial"/>
          <w:i/>
          <w:iCs/>
          <w:spacing w:val="-2"/>
          <w:lang w:eastAsia="zh-CN"/>
        </w:rPr>
      </w:pPr>
      <w:r w:rsidRPr="008E3494">
        <w:rPr>
          <w:rFonts w:ascii="Arial" w:eastAsia="Times New Roman" w:hAnsi="Arial" w:cs="Arial"/>
          <w:i/>
          <w:iCs/>
          <w:spacing w:val="-2"/>
          <w:lang w:eastAsia="zh-CN"/>
        </w:rPr>
        <w:t xml:space="preserve">Ofrecer información que compare la actividad real y la prevista o estándar Tomar y respaldar efectivamente decisiones respecto de recursos, planes, normas, programas y estructuras. </w:t>
      </w:r>
    </w:p>
    <w:p w14:paraId="7EC3FD43"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3FD7EB4D"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No obstante, es importante señalar que el simple establecim</w:t>
      </w:r>
      <w:r w:rsidR="00704718" w:rsidRPr="008E3494">
        <w:rPr>
          <w:rFonts w:ascii="Arial" w:eastAsia="Times New Roman" w:hAnsi="Arial" w:cs="Arial"/>
          <w:spacing w:val="-2"/>
          <w:lang w:eastAsia="zh-CN"/>
        </w:rPr>
        <w:t xml:space="preserve">iento de las medidas no basta. </w:t>
      </w:r>
      <w:r w:rsidRPr="008E3494">
        <w:rPr>
          <w:rFonts w:ascii="Arial" w:eastAsia="Times New Roman" w:hAnsi="Arial" w:cs="Arial"/>
          <w:spacing w:val="-2"/>
          <w:lang w:eastAsia="zh-CN"/>
        </w:rPr>
        <w:t>Según Halliburton, para gestionar adecuadamente una organización es necesario lo siguiente:</w:t>
      </w:r>
    </w:p>
    <w:p w14:paraId="596ABB78" w14:textId="77777777" w:rsidR="00AA6EC7" w:rsidRPr="008E3494" w:rsidRDefault="007F5B37" w:rsidP="00704718">
      <w:pPr>
        <w:numPr>
          <w:ilvl w:val="0"/>
          <w:numId w:val="10"/>
        </w:numPr>
        <w:tabs>
          <w:tab w:val="left" w:pos="420"/>
          <w:tab w:val="left" w:pos="720"/>
        </w:tabs>
        <w:spacing w:after="0" w:line="240" w:lineRule="auto"/>
        <w:jc w:val="both"/>
        <w:rPr>
          <w:rFonts w:ascii="Arial" w:eastAsia="Times New Roman" w:hAnsi="Arial" w:cs="Arial"/>
          <w:i/>
          <w:iCs/>
          <w:spacing w:val="-2"/>
          <w:lang w:eastAsia="zh-CN"/>
        </w:rPr>
      </w:pPr>
      <w:r w:rsidRPr="008E3494">
        <w:rPr>
          <w:rFonts w:ascii="Arial" w:eastAsia="Times New Roman" w:hAnsi="Arial" w:cs="Arial"/>
          <w:i/>
          <w:iCs/>
          <w:spacing w:val="-2"/>
          <w:lang w:eastAsia="zh-CN"/>
        </w:rPr>
        <w:t>“Contar con buenas medidas que den seguridad de que se están evaluando los aspectos apropiados”</w:t>
      </w:r>
    </w:p>
    <w:p w14:paraId="6EA6C3E8" w14:textId="77777777" w:rsidR="00AA6EC7" w:rsidRPr="008E3494" w:rsidRDefault="007F5B37" w:rsidP="00704718">
      <w:pPr>
        <w:numPr>
          <w:ilvl w:val="0"/>
          <w:numId w:val="10"/>
        </w:numPr>
        <w:tabs>
          <w:tab w:val="left" w:pos="420"/>
          <w:tab w:val="left" w:pos="720"/>
        </w:tabs>
        <w:spacing w:after="0" w:line="240" w:lineRule="auto"/>
        <w:jc w:val="both"/>
        <w:rPr>
          <w:rFonts w:ascii="Arial" w:eastAsia="Times New Roman" w:hAnsi="Arial" w:cs="Arial"/>
          <w:i/>
          <w:iCs/>
          <w:spacing w:val="-2"/>
          <w:lang w:eastAsia="zh-CN"/>
        </w:rPr>
      </w:pPr>
      <w:r w:rsidRPr="008E3494">
        <w:rPr>
          <w:rFonts w:ascii="Arial" w:eastAsia="Times New Roman" w:hAnsi="Arial" w:cs="Arial"/>
          <w:i/>
          <w:iCs/>
          <w:spacing w:val="-2"/>
          <w:lang w:eastAsia="zh-CN"/>
        </w:rPr>
        <w:t xml:space="preserve">“Disponer de un sistema global de medidas, mas no de una serie de medidas inconexas y potencialmente contraproducentes” </w:t>
      </w:r>
    </w:p>
    <w:p w14:paraId="0EB688E8" w14:textId="77777777" w:rsidR="00AA6EC7" w:rsidRPr="008E3494" w:rsidRDefault="007F5B37" w:rsidP="00704718">
      <w:pPr>
        <w:numPr>
          <w:ilvl w:val="0"/>
          <w:numId w:val="10"/>
        </w:numPr>
        <w:tabs>
          <w:tab w:val="left" w:pos="420"/>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i/>
          <w:iCs/>
          <w:spacing w:val="-2"/>
          <w:lang w:eastAsia="zh-CN"/>
        </w:rPr>
        <w:t>“Un proceso de gestión que permita transformar los datos que proporciona el sistema de medición y los convierta en acciones inteligentes.”</w:t>
      </w:r>
      <w:r w:rsidRPr="008E3494">
        <w:rPr>
          <w:rFonts w:ascii="Arial" w:eastAsia="Times New Roman" w:hAnsi="Arial" w:cs="Arial"/>
          <w:spacing w:val="-2"/>
          <w:lang w:eastAsia="zh-CN"/>
        </w:rPr>
        <w:t xml:space="preserve"> (2006).</w:t>
      </w:r>
    </w:p>
    <w:p w14:paraId="0BAED5DF"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4D4F7838"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En este sentido, el sistema de monitoreo y evaluación aquí propuesto está diseñado con base en los siguientes principios: </w:t>
      </w:r>
    </w:p>
    <w:p w14:paraId="7CC3DCA0"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00F3CFA1" w14:textId="77777777" w:rsidR="00AA6EC7" w:rsidRPr="008E3494" w:rsidRDefault="007F5B37">
      <w:pPr>
        <w:pStyle w:val="ListParagraph"/>
        <w:numPr>
          <w:ilvl w:val="0"/>
          <w:numId w:val="5"/>
        </w:numPr>
        <w:tabs>
          <w:tab w:val="left" w:pos="720"/>
        </w:tabs>
        <w:spacing w:after="0" w:line="240" w:lineRule="auto"/>
        <w:ind w:left="709"/>
        <w:jc w:val="both"/>
        <w:rPr>
          <w:rFonts w:ascii="Arial" w:eastAsia="Times New Roman" w:hAnsi="Arial" w:cs="Arial"/>
          <w:spacing w:val="-2"/>
          <w:lang w:eastAsia="zh-CN"/>
        </w:rPr>
      </w:pPr>
      <w:r w:rsidRPr="008E3494">
        <w:rPr>
          <w:rFonts w:ascii="Arial" w:eastAsia="Times New Roman" w:hAnsi="Arial" w:cs="Arial"/>
          <w:b/>
          <w:spacing w:val="-2"/>
          <w:lang w:eastAsia="zh-CN"/>
        </w:rPr>
        <w:lastRenderedPageBreak/>
        <w:t>Orientación a la toma de decisiones:</w:t>
      </w:r>
      <w:r w:rsidRPr="008E3494">
        <w:rPr>
          <w:rFonts w:ascii="Arial" w:eastAsia="Times New Roman" w:hAnsi="Arial" w:cs="Arial"/>
          <w:spacing w:val="-2"/>
          <w:lang w:eastAsia="zh-CN"/>
        </w:rPr>
        <w:t xml:space="preserve"> el sistema se considerará efectivo en la medida en la</w:t>
      </w:r>
      <w:r w:rsidR="00704718" w:rsidRPr="008E3494">
        <w:rPr>
          <w:rFonts w:ascii="Arial" w:eastAsia="Times New Roman" w:hAnsi="Arial" w:cs="Arial"/>
          <w:spacing w:val="-2"/>
          <w:lang w:eastAsia="zh-CN"/>
        </w:rPr>
        <w:t xml:space="preserve"> que pueda ser</w:t>
      </w:r>
      <w:r w:rsidRPr="008E3494">
        <w:rPr>
          <w:rFonts w:ascii="Arial" w:eastAsia="Times New Roman" w:hAnsi="Arial" w:cs="Arial"/>
          <w:spacing w:val="-2"/>
          <w:lang w:eastAsia="zh-CN"/>
        </w:rPr>
        <w:t xml:space="preserve"> utilizado por los tomadores de decisiones para la formulación de acciones de mejora sobre la política pública evaluada.</w:t>
      </w:r>
    </w:p>
    <w:p w14:paraId="2470FD60" w14:textId="77777777" w:rsidR="00AA6EC7" w:rsidRPr="008E3494" w:rsidRDefault="007F5B37">
      <w:pPr>
        <w:pStyle w:val="ListParagraph"/>
        <w:numPr>
          <w:ilvl w:val="0"/>
          <w:numId w:val="5"/>
        </w:numPr>
        <w:tabs>
          <w:tab w:val="left" w:pos="720"/>
        </w:tabs>
        <w:spacing w:after="0" w:line="240" w:lineRule="auto"/>
        <w:ind w:left="709"/>
        <w:jc w:val="both"/>
        <w:rPr>
          <w:rFonts w:ascii="Arial" w:eastAsia="Times New Roman" w:hAnsi="Arial" w:cs="Arial"/>
          <w:spacing w:val="-2"/>
          <w:lang w:eastAsia="zh-CN"/>
        </w:rPr>
      </w:pPr>
      <w:r w:rsidRPr="008E3494">
        <w:rPr>
          <w:rFonts w:ascii="Arial" w:eastAsia="Times New Roman" w:hAnsi="Arial" w:cs="Arial"/>
          <w:b/>
          <w:spacing w:val="-2"/>
          <w:lang w:eastAsia="zh-CN"/>
        </w:rPr>
        <w:t>Procesos estandarizados:</w:t>
      </w:r>
      <w:r w:rsidRPr="008E3494">
        <w:rPr>
          <w:rFonts w:ascii="Arial" w:eastAsia="Times New Roman" w:hAnsi="Arial" w:cs="Arial"/>
          <w:spacing w:val="-2"/>
          <w:lang w:eastAsia="zh-CN"/>
        </w:rPr>
        <w:t xml:space="preserve"> la estandarización de los pasos dentro del sistema de monitoreo y evaluación, viabiliza su implementación a la vez que potencializa la pertinencia y calidad de sus resultados, así como el posible uso que se le pueda dar a ellos.</w:t>
      </w:r>
    </w:p>
    <w:p w14:paraId="1DB513F6" w14:textId="77777777" w:rsidR="00AA6EC7" w:rsidRPr="008E3494" w:rsidRDefault="007F5B37">
      <w:pPr>
        <w:pStyle w:val="ListParagraph"/>
        <w:numPr>
          <w:ilvl w:val="0"/>
          <w:numId w:val="5"/>
        </w:numPr>
        <w:tabs>
          <w:tab w:val="left" w:pos="720"/>
        </w:tabs>
        <w:spacing w:after="0" w:line="240" w:lineRule="auto"/>
        <w:ind w:left="709"/>
        <w:jc w:val="both"/>
        <w:rPr>
          <w:rFonts w:ascii="Arial" w:eastAsia="Times New Roman" w:hAnsi="Arial" w:cs="Arial"/>
          <w:spacing w:val="-2"/>
          <w:lang w:eastAsia="zh-CN"/>
        </w:rPr>
      </w:pPr>
      <w:r w:rsidRPr="008E3494">
        <w:rPr>
          <w:rFonts w:ascii="Arial" w:eastAsia="Times New Roman" w:hAnsi="Arial" w:cs="Arial"/>
          <w:b/>
          <w:spacing w:val="-2"/>
          <w:lang w:eastAsia="zh-CN"/>
        </w:rPr>
        <w:t>Resultados basados en evidencia actualizada y pertinente:</w:t>
      </w:r>
      <w:r w:rsidRPr="008E3494">
        <w:rPr>
          <w:rFonts w:ascii="Arial" w:eastAsia="Times New Roman" w:hAnsi="Arial" w:cs="Arial"/>
          <w:spacing w:val="-2"/>
          <w:lang w:eastAsia="zh-CN"/>
        </w:rPr>
        <w:t xml:space="preserve"> la actualización permanente del sistema de monitoreo permite que las recomendaciones y conclusiones generadas se fundamenten en evidencia, garantizando que la evaluación brinde información confiable para la toma de decisiones.</w:t>
      </w:r>
    </w:p>
    <w:p w14:paraId="46CB794E" w14:textId="77777777" w:rsidR="00AA6EC7" w:rsidRPr="008E3494" w:rsidRDefault="007F5B37">
      <w:pPr>
        <w:pStyle w:val="ListParagraph"/>
        <w:numPr>
          <w:ilvl w:val="0"/>
          <w:numId w:val="5"/>
        </w:numPr>
        <w:tabs>
          <w:tab w:val="left" w:pos="720"/>
        </w:tabs>
        <w:spacing w:after="0" w:line="240" w:lineRule="auto"/>
        <w:ind w:left="709"/>
        <w:jc w:val="both"/>
        <w:rPr>
          <w:rFonts w:ascii="Arial" w:eastAsia="Times New Roman" w:hAnsi="Arial" w:cs="Arial"/>
          <w:spacing w:val="-2"/>
          <w:lang w:eastAsia="zh-CN"/>
        </w:rPr>
      </w:pPr>
      <w:r w:rsidRPr="008E3494">
        <w:rPr>
          <w:rFonts w:ascii="Arial" w:eastAsia="Times New Roman" w:hAnsi="Arial" w:cs="Arial"/>
          <w:b/>
          <w:spacing w:val="-2"/>
          <w:lang w:eastAsia="zh-CN"/>
        </w:rPr>
        <w:t>Participación de los involucrados:</w:t>
      </w:r>
      <w:r w:rsidRPr="008E3494">
        <w:rPr>
          <w:rFonts w:ascii="Arial" w:eastAsia="Times New Roman" w:hAnsi="Arial" w:cs="Arial"/>
          <w:spacing w:val="-2"/>
          <w:lang w:eastAsia="zh-CN"/>
        </w:rPr>
        <w:t xml:space="preserve"> la evaluación aumenta su efectividad si cuenta, desde su diseño, con la participación de los gestores de los programas. La construcción y acompañamiento de la evaluación por parte de los actores involucrados hace que se legitime el proceso y sus resultados.</w:t>
      </w:r>
    </w:p>
    <w:p w14:paraId="06F9789F" w14:textId="77777777" w:rsidR="00AA6EC7" w:rsidRPr="008E3494" w:rsidRDefault="00AA6EC7">
      <w:pPr>
        <w:tabs>
          <w:tab w:val="left" w:pos="720"/>
        </w:tabs>
        <w:spacing w:after="0" w:line="240" w:lineRule="auto"/>
        <w:jc w:val="both"/>
        <w:rPr>
          <w:rFonts w:ascii="Arial" w:eastAsia="Times New Roman" w:hAnsi="Arial" w:cs="Arial"/>
          <w:spacing w:val="-2"/>
          <w:lang w:eastAsia="zh-CN"/>
        </w:rPr>
      </w:pPr>
    </w:p>
    <w:p w14:paraId="2B952E4D"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151DFED7"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Los procesos de monitoreo y evaluación son complementarios entre sí y parte integral del proceso de formulación de políticas públicas.  Por una parte, el monitoreo permite describir el cumplimiento del plan de trabajo y la evaluación permite ver si dicho cumplimiento, ha conllevado al logro de los impactos esperados. En la medida en que la evaluación revela un logro de mejoras en las condiciones de vida de la población objetivo, el</w:t>
      </w:r>
      <w:r w:rsidR="00045448" w:rsidRPr="008E3494">
        <w:rPr>
          <w:rFonts w:ascii="Arial" w:eastAsia="Times New Roman" w:hAnsi="Arial" w:cs="Arial"/>
          <w:spacing w:val="-2"/>
          <w:lang w:eastAsia="zh-CN"/>
        </w:rPr>
        <w:t xml:space="preserve"> </w:t>
      </w:r>
      <w:r w:rsidRPr="008E3494">
        <w:rPr>
          <w:rFonts w:ascii="Arial" w:eastAsia="Times New Roman" w:hAnsi="Arial" w:cs="Arial"/>
          <w:spacing w:val="-2"/>
          <w:lang w:eastAsia="zh-CN"/>
        </w:rPr>
        <w:t xml:space="preserve">monitoreo genera valiosa información para analizar las relaciones causales entre las actividades de la iniciativa que se evalúa y dicho cumplimiento. </w:t>
      </w:r>
    </w:p>
    <w:p w14:paraId="3AC640CB"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62B0788C"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Se insiste en la necesidad de plantear un sistema integral que incluya el monitoreo y evaluación del programa, en la medida en la que la evaluación de procesos si</w:t>
      </w:r>
      <w:r w:rsidR="00045448" w:rsidRPr="008E3494">
        <w:rPr>
          <w:rFonts w:ascii="Arial" w:eastAsia="Times New Roman" w:hAnsi="Arial" w:cs="Arial"/>
          <w:spacing w:val="-2"/>
          <w:lang w:eastAsia="zh-CN"/>
        </w:rPr>
        <w:t>n</w:t>
      </w:r>
      <w:r w:rsidRPr="008E3494">
        <w:rPr>
          <w:rFonts w:ascii="Arial" w:eastAsia="Times New Roman" w:hAnsi="Arial" w:cs="Arial"/>
          <w:spacing w:val="-2"/>
          <w:lang w:eastAsia="zh-CN"/>
        </w:rPr>
        <w:t xml:space="preserve"> la evaluación de objetivos solo permitiría analizar la ejecución de una iniciativa, sin poder concluir nada con respecto a su impacto o a la sensatez de continuarla o suspenderla. De igual forma, la evaluación de resultados resulta inviable sin el monitoreo. La evaluación requiere de buena información generada por el monitoreo, pues para juzgar la eficacia y eficiencia de unas determinadas acciones en el logro de mejoras en las condiciones de vida, va a ser indispensable conocer los aspectos cuantitativos y cualitativos de la ejecución de dichas actividades. (</w:t>
      </w:r>
      <w:proofErr w:type="spellStart"/>
      <w:r w:rsidRPr="008E3494">
        <w:rPr>
          <w:rFonts w:ascii="Arial" w:eastAsia="Times New Roman" w:hAnsi="Arial" w:cs="Arial"/>
          <w:spacing w:val="-2"/>
          <w:lang w:eastAsia="zh-CN"/>
        </w:rPr>
        <w:t>Mokate</w:t>
      </w:r>
      <w:proofErr w:type="spellEnd"/>
      <w:r w:rsidRPr="008E3494">
        <w:rPr>
          <w:rFonts w:ascii="Arial" w:eastAsia="Times New Roman" w:hAnsi="Arial" w:cs="Arial"/>
          <w:spacing w:val="-2"/>
          <w:lang w:eastAsia="zh-CN"/>
        </w:rPr>
        <w:t>, 2002)</w:t>
      </w:r>
      <w:r w:rsidRPr="008E3494">
        <w:rPr>
          <w:rStyle w:val="FootnoteReference"/>
          <w:rFonts w:ascii="Arial" w:eastAsia="Times New Roman" w:hAnsi="Arial" w:cs="Arial"/>
          <w:spacing w:val="-2"/>
          <w:lang w:val="en-US" w:eastAsia="zh-CN"/>
        </w:rPr>
        <w:footnoteReference w:id="1"/>
      </w:r>
    </w:p>
    <w:p w14:paraId="270D73AB"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4A1B34AC"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Si</w:t>
      </w:r>
      <w:r w:rsidR="00045448" w:rsidRPr="008E3494">
        <w:rPr>
          <w:rFonts w:ascii="Arial" w:eastAsia="Times New Roman" w:hAnsi="Arial" w:cs="Arial"/>
          <w:spacing w:val="-2"/>
          <w:lang w:eastAsia="zh-CN"/>
        </w:rPr>
        <w:t xml:space="preserve">guiendo esta línea argumental, en el documento </w:t>
      </w:r>
      <w:r w:rsidRPr="008E3494">
        <w:rPr>
          <w:rFonts w:ascii="Arial" w:eastAsia="Times New Roman" w:hAnsi="Arial" w:cs="Arial"/>
          <w:spacing w:val="-2"/>
          <w:lang w:eastAsia="zh-CN"/>
        </w:rPr>
        <w:t xml:space="preserve">se expone el sistema en dos secciones: (i) el monitoreo del programa, y (ii) la evaluación de los resultados e impacto de esta operación en el bienestar de los hogares beneficiados y en la capacidad de gestión institucional del MIDUVI.  </w:t>
      </w:r>
    </w:p>
    <w:p w14:paraId="10C08440"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449E55F4"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La primera sección medirá el avance de cada componente; la cantidad de subsidios otorga</w:t>
      </w:r>
      <w:r w:rsidR="00045448" w:rsidRPr="008E3494">
        <w:rPr>
          <w:rFonts w:ascii="Arial" w:eastAsia="Times New Roman" w:hAnsi="Arial" w:cs="Arial"/>
          <w:spacing w:val="-2"/>
          <w:lang w:eastAsia="zh-CN"/>
        </w:rPr>
        <w:t>dos, localización geográfica, gé</w:t>
      </w:r>
      <w:r w:rsidRPr="008E3494">
        <w:rPr>
          <w:rFonts w:ascii="Arial" w:eastAsia="Times New Roman" w:hAnsi="Arial" w:cs="Arial"/>
          <w:spacing w:val="-2"/>
          <w:lang w:eastAsia="zh-CN"/>
        </w:rPr>
        <w:t xml:space="preserve">nero de jefatura de hogar, indicador de vulnerabilidad (eficiencia de focalización); número de viviendas adecuadas construidas; y la implementación de las acciones de fortalecimiento del MIDUVI. Se contabilizará como vivienda adecuada aquella construida con materiales durables, con acceso a servicios sanitarios, de electricidad, y saneamiento, con superficie no menor a 36 m2, y con tenencia segura, y en todo acorde a los reglamentos vigentes del MIDUVI y del ROP correspondiente a esta operación. La implementación de acciones de fortalecimiento se medirá con un indicador binario para cada acción a apoyar. El objetivo de esta primera sección es fungir como herramienta de planificación y seguimiento para el ente ejecutor.  </w:t>
      </w:r>
    </w:p>
    <w:p w14:paraId="09544F28"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026D5906"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La segunda sección consiste en la evaluación de los resultados e impacto</w:t>
      </w:r>
      <w:r w:rsidR="00045448" w:rsidRPr="008E3494">
        <w:rPr>
          <w:rFonts w:ascii="Arial" w:eastAsia="Times New Roman" w:hAnsi="Arial" w:cs="Arial"/>
          <w:spacing w:val="-2"/>
          <w:lang w:eastAsia="zh-CN"/>
        </w:rPr>
        <w:t>s</w:t>
      </w:r>
      <w:r w:rsidRPr="008E3494">
        <w:rPr>
          <w:rFonts w:ascii="Arial" w:eastAsia="Times New Roman" w:hAnsi="Arial" w:cs="Arial"/>
          <w:spacing w:val="-2"/>
          <w:lang w:eastAsia="zh-CN"/>
        </w:rPr>
        <w:t xml:space="preserve"> de la operación. De acuerdo a la OECD (2002), la evaluación se refiere al proceso, tan sistemático y objetivo como </w:t>
      </w:r>
      <w:r w:rsidRPr="008E3494">
        <w:rPr>
          <w:rFonts w:ascii="Arial" w:eastAsia="Times New Roman" w:hAnsi="Arial" w:cs="Arial"/>
          <w:spacing w:val="-2"/>
          <w:lang w:eastAsia="zh-CN"/>
        </w:rPr>
        <w:lastRenderedPageBreak/>
        <w:t>sea posible, de determinar el valor o la significación de una actividad, política o programa, en curso o concluida.</w:t>
      </w:r>
      <w:r w:rsidRPr="008E3494">
        <w:rPr>
          <w:rStyle w:val="FootnoteReference"/>
          <w:rFonts w:ascii="Arial" w:eastAsia="Times New Roman" w:hAnsi="Arial" w:cs="Arial"/>
          <w:spacing w:val="-2"/>
          <w:lang w:val="en-US" w:eastAsia="zh-CN"/>
        </w:rPr>
        <w:footnoteReference w:id="2"/>
      </w:r>
      <w:r w:rsidRPr="008E3494">
        <w:rPr>
          <w:rFonts w:ascii="Arial" w:eastAsia="Times New Roman" w:hAnsi="Arial" w:cs="Arial"/>
          <w:spacing w:val="-2"/>
          <w:lang w:eastAsia="zh-CN"/>
        </w:rPr>
        <w:t xml:space="preserve"> La evaluación se aplica con la finalidad de valorar la utilidad y los beneficios generados por esta intervención mediante la aplicación de una serie de indicadores, que permiten determinar el impacto en el buen vivir de la población. </w:t>
      </w:r>
    </w:p>
    <w:p w14:paraId="37FCE417"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7BC726F0"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A continuación, se presenta el esquema de teoría de cambio del programa y los indicadores de producto, resultado e impacto que se proponen medir, por componente: </w:t>
      </w:r>
    </w:p>
    <w:p w14:paraId="222DBB34" w14:textId="77777777" w:rsidR="00AA6EC7" w:rsidRPr="008E3494" w:rsidRDefault="00AA6EC7">
      <w:pPr>
        <w:numPr>
          <w:ilvl w:val="1"/>
          <w:numId w:val="0"/>
        </w:numPr>
        <w:tabs>
          <w:tab w:val="left" w:pos="720"/>
        </w:tabs>
        <w:spacing w:before="120" w:after="120" w:line="240" w:lineRule="auto"/>
        <w:jc w:val="both"/>
        <w:rPr>
          <w:rFonts w:ascii="Arial" w:hAnsi="Arial" w:cs="Arial"/>
          <w:lang w:eastAsia="zh-CN"/>
        </w:rPr>
      </w:pPr>
    </w:p>
    <w:p w14:paraId="4F7370AA" w14:textId="77777777" w:rsidR="00AA6EC7" w:rsidRPr="008E3494" w:rsidRDefault="00AA6EC7">
      <w:pPr>
        <w:numPr>
          <w:ilvl w:val="1"/>
          <w:numId w:val="0"/>
        </w:numPr>
        <w:tabs>
          <w:tab w:val="left" w:pos="720"/>
        </w:tabs>
        <w:spacing w:before="120" w:after="120" w:line="240" w:lineRule="auto"/>
        <w:jc w:val="both"/>
        <w:rPr>
          <w:rFonts w:ascii="Arial" w:hAnsi="Arial" w:cs="Arial"/>
          <w:lang w:eastAsia="zh-CN"/>
        </w:rPr>
        <w:sectPr w:rsidR="00AA6EC7" w:rsidRPr="008E3494">
          <w:headerReference w:type="default" r:id="rId15"/>
          <w:footerReference w:type="default" r:id="rId16"/>
          <w:pgSz w:w="11907" w:h="16839"/>
          <w:pgMar w:top="1440" w:right="1440" w:bottom="1440" w:left="1440" w:header="720" w:footer="720" w:gutter="0"/>
          <w:cols w:space="720"/>
          <w:docGrid w:linePitch="360"/>
        </w:sectPr>
      </w:pPr>
    </w:p>
    <w:p w14:paraId="1AB5FB22" w14:textId="5F2B3F03" w:rsidR="00AA6EC7" w:rsidRPr="000070B7" w:rsidRDefault="000070B7" w:rsidP="000070B7">
      <w:pPr>
        <w:numPr>
          <w:ilvl w:val="1"/>
          <w:numId w:val="0"/>
        </w:numPr>
        <w:tabs>
          <w:tab w:val="left" w:pos="720"/>
        </w:tabs>
        <w:spacing w:before="120" w:after="120" w:line="240" w:lineRule="auto"/>
        <w:jc w:val="center"/>
        <w:rPr>
          <w:rFonts w:ascii="Arial" w:hAnsi="Arial" w:cs="Arial"/>
          <w:b/>
          <w:lang w:eastAsia="zh-CN"/>
        </w:rPr>
      </w:pPr>
      <w:r w:rsidRPr="000070B7">
        <w:rPr>
          <w:rFonts w:ascii="Arial" w:hAnsi="Arial" w:cs="Arial"/>
          <w:b/>
          <w:lang w:eastAsia="zh-CN"/>
        </w:rPr>
        <w:lastRenderedPageBreak/>
        <w:t>Teoría de Cambio</w:t>
      </w:r>
    </w:p>
    <w:p w14:paraId="527004DE" w14:textId="77777777" w:rsidR="00AA6EC7" w:rsidRPr="008E3494" w:rsidRDefault="00AA6EC7">
      <w:pPr>
        <w:numPr>
          <w:ilvl w:val="1"/>
          <w:numId w:val="0"/>
        </w:numPr>
        <w:tabs>
          <w:tab w:val="left" w:pos="720"/>
        </w:tabs>
        <w:spacing w:before="120" w:after="120" w:line="240" w:lineRule="auto"/>
        <w:jc w:val="both"/>
        <w:rPr>
          <w:rFonts w:ascii="Arial" w:hAnsi="Arial" w:cs="Arial"/>
          <w:lang w:eastAsia="zh-CN"/>
        </w:rPr>
      </w:pPr>
    </w:p>
    <w:p w14:paraId="2E77975C" w14:textId="77777777" w:rsidR="00AA6EC7" w:rsidRPr="008E3494" w:rsidRDefault="00AA6EC7">
      <w:pPr>
        <w:numPr>
          <w:ilvl w:val="1"/>
          <w:numId w:val="0"/>
        </w:numPr>
        <w:tabs>
          <w:tab w:val="left" w:pos="720"/>
        </w:tabs>
        <w:spacing w:before="120" w:after="120" w:line="240" w:lineRule="auto"/>
        <w:jc w:val="both"/>
        <w:rPr>
          <w:rFonts w:ascii="Arial" w:hAnsi="Arial" w:cs="Arial"/>
          <w:lang w:eastAsia="zh-CN"/>
        </w:rPr>
      </w:pPr>
    </w:p>
    <w:p w14:paraId="3CF66EAD" w14:textId="77777777" w:rsidR="00AA6EC7" w:rsidRPr="008E3494" w:rsidRDefault="007F5B37">
      <w:pPr>
        <w:numPr>
          <w:ilvl w:val="1"/>
          <w:numId w:val="0"/>
        </w:numPr>
        <w:tabs>
          <w:tab w:val="left" w:pos="720"/>
        </w:tabs>
        <w:spacing w:before="120" w:after="120" w:line="240" w:lineRule="auto"/>
        <w:jc w:val="both"/>
        <w:rPr>
          <w:rFonts w:ascii="Arial" w:hAnsi="Arial" w:cs="Arial"/>
          <w:lang w:val="en-US" w:eastAsia="zh-CN"/>
        </w:rPr>
        <w:sectPr w:rsidR="00AA6EC7" w:rsidRPr="008E3494" w:rsidSect="000070B7">
          <w:pgSz w:w="15840" w:h="12240" w:orient="landscape"/>
          <w:pgMar w:top="720" w:right="720" w:bottom="720" w:left="720" w:header="720" w:footer="720" w:gutter="0"/>
          <w:cols w:space="720"/>
          <w:docGrid w:linePitch="360"/>
        </w:sectPr>
      </w:pPr>
      <w:r w:rsidRPr="008E3494">
        <w:rPr>
          <w:rFonts w:ascii="Arial" w:hAnsi="Arial" w:cs="Arial"/>
          <w:noProof/>
          <w:lang w:eastAsia="es-EC"/>
        </w:rPr>
        <w:drawing>
          <wp:inline distT="0" distB="0" distL="114300" distR="114300" wp14:anchorId="621FB1B2" wp14:editId="1E282591">
            <wp:extent cx="9053830" cy="5133975"/>
            <wp:effectExtent l="0" t="0" r="0" b="9525"/>
            <wp:docPr id="169" name="Imagen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Imagen 169"/>
                    <pic:cNvPicPr>
                      <a:picLocks noChangeAspect="1"/>
                    </pic:cNvPicPr>
                  </pic:nvPicPr>
                  <pic:blipFill>
                    <a:blip r:embed="rId17"/>
                    <a:stretch>
                      <a:fillRect/>
                    </a:stretch>
                  </pic:blipFill>
                  <pic:spPr>
                    <a:xfrm>
                      <a:off x="0" y="0"/>
                      <a:ext cx="9059653" cy="5137277"/>
                    </a:xfrm>
                    <a:prstGeom prst="rect">
                      <a:avLst/>
                    </a:prstGeom>
                    <a:noFill/>
                    <a:ln w="9525">
                      <a:noFill/>
                    </a:ln>
                  </pic:spPr>
                </pic:pic>
              </a:graphicData>
            </a:graphic>
          </wp:inline>
        </w:drawing>
      </w:r>
      <w:bookmarkStart w:id="5" w:name="_GoBack"/>
      <w:bookmarkEnd w:id="5"/>
    </w:p>
    <w:p w14:paraId="5500BCE9" w14:textId="77777777" w:rsidR="00AA6EC7" w:rsidRPr="008E3494" w:rsidRDefault="007F5B37" w:rsidP="008E3494">
      <w:pPr>
        <w:pStyle w:val="Heading1"/>
      </w:pPr>
      <w:bookmarkStart w:id="6" w:name="_Toc1373064"/>
      <w:r w:rsidRPr="008E3494">
        <w:lastRenderedPageBreak/>
        <w:t>Monitoreo</w:t>
      </w:r>
      <w:bookmarkEnd w:id="6"/>
    </w:p>
    <w:p w14:paraId="185C1D39" w14:textId="77777777" w:rsidR="00AA6EC7" w:rsidRPr="008E3494" w:rsidRDefault="00AA6EC7">
      <w:pPr>
        <w:pStyle w:val="BodyText"/>
        <w:rPr>
          <w:lang w:val="en-US"/>
        </w:rPr>
      </w:pPr>
      <w:bookmarkStart w:id="7" w:name="_Toc522114406"/>
    </w:p>
    <w:p w14:paraId="20D9E0BC"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En la práctica del análisis de políticas públicas, se ha distinguido el monitoreo o evaluación de los procesos, de la evaluación de resultados. El monitoreo es un proceso continuo que utiliza la recopilación y análisis sistemático de datos sobre indicadores determinados para proporcionar información sobre el avance y el logro de los objetivos, así como sobre la utilización de los fondos asignados a los administradores y a las principales partes interesadas de una intervención para el desarrollo. La función del monitoreo es contribuir a una gestión por resultados que permita una mayor articulación entre lo planificado y lo ejecutado. </w:t>
      </w:r>
    </w:p>
    <w:p w14:paraId="618F5BA5"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53BBB07E"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El monitoreo se centra en el seguimiento de las acciones de la iniciativa a evaluar. En este sentido, el BID (1997) señala que el monitoreo busca </w:t>
      </w:r>
      <w:r w:rsidRPr="008E3494">
        <w:rPr>
          <w:rFonts w:ascii="Arial" w:eastAsia="Times New Roman" w:hAnsi="Arial" w:cs="Arial"/>
          <w:i/>
          <w:spacing w:val="-2"/>
          <w:lang w:eastAsia="zh-CN"/>
        </w:rPr>
        <w:t>“comprobar la efectividad y eficiencia del proceso de ejecución, mediante la identificación los aspectos limitantes y/o ventajosos”</w:t>
      </w:r>
      <w:r w:rsidRPr="008E3494">
        <w:rPr>
          <w:rFonts w:ascii="Arial" w:eastAsia="Times New Roman" w:hAnsi="Arial" w:cs="Arial"/>
          <w:spacing w:val="-2"/>
          <w:lang w:eastAsia="zh-CN"/>
        </w:rPr>
        <w:t xml:space="preserve">. </w:t>
      </w:r>
    </w:p>
    <w:p w14:paraId="626EACA9"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4AE2B5E5" w14:textId="77777777" w:rsidR="00B81923"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Con este antecedente, los objetivos de este plan de monitoreo son: </w:t>
      </w:r>
    </w:p>
    <w:p w14:paraId="7668FE9C" w14:textId="77777777" w:rsidR="00B81923" w:rsidRPr="008E3494" w:rsidRDefault="00B81923" w:rsidP="00B81923">
      <w:pPr>
        <w:pStyle w:val="ListParagraph"/>
        <w:numPr>
          <w:ilvl w:val="0"/>
          <w:numId w:val="12"/>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i) </w:t>
      </w:r>
      <w:r w:rsidR="007F5B37" w:rsidRPr="008E3494">
        <w:rPr>
          <w:rFonts w:ascii="Arial" w:eastAsia="Times New Roman" w:hAnsi="Arial" w:cs="Arial"/>
          <w:spacing w:val="-2"/>
          <w:lang w:eastAsia="zh-CN"/>
        </w:rPr>
        <w:t>generar alertas tempranas en torno a la ejecución del programa;</w:t>
      </w:r>
    </w:p>
    <w:p w14:paraId="34FCA082" w14:textId="77777777" w:rsidR="00B81923" w:rsidRPr="008E3494" w:rsidRDefault="007F5B37" w:rsidP="00B81923">
      <w:pPr>
        <w:pStyle w:val="ListParagraph"/>
        <w:numPr>
          <w:ilvl w:val="0"/>
          <w:numId w:val="12"/>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ii) producir información pertinente para la acertada toma de decisiones; </w:t>
      </w:r>
    </w:p>
    <w:p w14:paraId="5AA65C30" w14:textId="77777777" w:rsidR="00B81923" w:rsidRPr="008E3494" w:rsidRDefault="007F5B37" w:rsidP="00B81923">
      <w:pPr>
        <w:pStyle w:val="ListParagraph"/>
        <w:numPr>
          <w:ilvl w:val="0"/>
          <w:numId w:val="12"/>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iii) incrementar la transparencia y fortalecer el proceso de rendición de cuentas; y</w:t>
      </w:r>
    </w:p>
    <w:p w14:paraId="3B2B89C9" w14:textId="77777777" w:rsidR="00B81923" w:rsidRPr="008E3494" w:rsidRDefault="007F5B37" w:rsidP="00B81923">
      <w:pPr>
        <w:pStyle w:val="ListParagraph"/>
        <w:numPr>
          <w:ilvl w:val="0"/>
          <w:numId w:val="12"/>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iv) evaluar el desempeño.  </w:t>
      </w:r>
    </w:p>
    <w:p w14:paraId="1051B086" w14:textId="77777777" w:rsidR="00B81923" w:rsidRPr="008E3494" w:rsidRDefault="00B81923" w:rsidP="00B81923">
      <w:pPr>
        <w:tabs>
          <w:tab w:val="left" w:pos="720"/>
        </w:tabs>
        <w:spacing w:after="0" w:line="240" w:lineRule="auto"/>
        <w:jc w:val="both"/>
        <w:rPr>
          <w:rFonts w:ascii="Arial" w:eastAsia="Times New Roman" w:hAnsi="Arial" w:cs="Arial"/>
          <w:spacing w:val="-2"/>
          <w:lang w:eastAsia="zh-CN"/>
        </w:rPr>
      </w:pPr>
    </w:p>
    <w:p w14:paraId="28EDC99E" w14:textId="77777777" w:rsidR="00AA6EC7" w:rsidRPr="008E3494" w:rsidRDefault="00B81923" w:rsidP="00B81923">
      <w:p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p</w:t>
      </w:r>
      <w:r w:rsidR="007F5B37" w:rsidRPr="008E3494">
        <w:rPr>
          <w:rFonts w:ascii="Arial" w:eastAsia="Times New Roman" w:hAnsi="Arial" w:cs="Arial"/>
          <w:spacing w:val="-2"/>
          <w:lang w:eastAsia="zh-CN"/>
        </w:rPr>
        <w:t xml:space="preserve">or lo que debería de fungir como una herramienta de acompañamiento a la ejecución de actividad, la entrega de productos y el uso de recursos. </w:t>
      </w:r>
    </w:p>
    <w:p w14:paraId="455C6A12"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055E0CCF" w14:textId="77777777" w:rsidR="00AA6EC7" w:rsidRPr="008E3494" w:rsidRDefault="007F5B37">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A través del plan de monitoreo, se espera responder las siguientes preguntas: </w:t>
      </w:r>
    </w:p>
    <w:p w14:paraId="041E13A1" w14:textId="77777777" w:rsidR="00B81923" w:rsidRPr="008E3494" w:rsidRDefault="00B81923">
      <w:pPr>
        <w:numPr>
          <w:ilvl w:val="1"/>
          <w:numId w:val="0"/>
        </w:numPr>
        <w:tabs>
          <w:tab w:val="left" w:pos="720"/>
        </w:tabs>
        <w:spacing w:after="0" w:line="240" w:lineRule="auto"/>
        <w:jc w:val="both"/>
        <w:rPr>
          <w:rFonts w:ascii="Arial" w:eastAsia="Times New Roman" w:hAnsi="Arial" w:cs="Arial"/>
          <w:spacing w:val="-2"/>
          <w:lang w:eastAsia="zh-CN"/>
        </w:rPr>
      </w:pPr>
    </w:p>
    <w:p w14:paraId="10E3C455" w14:textId="77777777" w:rsidR="00AA6EC7" w:rsidRPr="008E3494" w:rsidRDefault="007F5B37" w:rsidP="00B81923">
      <w:pPr>
        <w:pStyle w:val="ListParagraph"/>
        <w:numPr>
          <w:ilvl w:val="0"/>
          <w:numId w:val="6"/>
        </w:numPr>
        <w:tabs>
          <w:tab w:val="left" w:pos="720"/>
        </w:tabs>
        <w:spacing w:after="0" w:line="240" w:lineRule="auto"/>
        <w:ind w:left="850"/>
        <w:jc w:val="both"/>
        <w:rPr>
          <w:rFonts w:ascii="Arial" w:eastAsia="Times New Roman" w:hAnsi="Arial" w:cs="Arial"/>
          <w:spacing w:val="-2"/>
          <w:lang w:eastAsia="zh-CN"/>
        </w:rPr>
      </w:pPr>
      <w:r w:rsidRPr="008E3494">
        <w:rPr>
          <w:rFonts w:ascii="Arial" w:eastAsia="Times New Roman" w:hAnsi="Arial" w:cs="Arial"/>
          <w:spacing w:val="-2"/>
          <w:lang w:eastAsia="zh-CN"/>
        </w:rPr>
        <w:t>¿en qué medida cumple la iniciativa las actividades especificadas en su programación?</w:t>
      </w:r>
    </w:p>
    <w:p w14:paraId="0CEFB73D" w14:textId="77777777" w:rsidR="00AA6EC7" w:rsidRPr="008E3494" w:rsidRDefault="007F5B37" w:rsidP="00B81923">
      <w:pPr>
        <w:pStyle w:val="ListParagraph"/>
        <w:numPr>
          <w:ilvl w:val="0"/>
          <w:numId w:val="6"/>
        </w:numPr>
        <w:tabs>
          <w:tab w:val="left" w:pos="720"/>
        </w:tabs>
        <w:spacing w:after="0" w:line="240" w:lineRule="auto"/>
        <w:ind w:left="850"/>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¿qué coincidencia se presenta entre la cantidad y calidad </w:t>
      </w:r>
      <w:r w:rsidR="00B81923" w:rsidRPr="008E3494">
        <w:rPr>
          <w:rFonts w:ascii="Arial" w:eastAsia="Times New Roman" w:hAnsi="Arial" w:cs="Arial"/>
          <w:spacing w:val="-2"/>
          <w:lang w:eastAsia="zh-CN"/>
        </w:rPr>
        <w:t xml:space="preserve">de los servicios o actividades </w:t>
      </w:r>
      <w:r w:rsidRPr="008E3494">
        <w:rPr>
          <w:rFonts w:ascii="Arial" w:eastAsia="Times New Roman" w:hAnsi="Arial" w:cs="Arial"/>
          <w:spacing w:val="-2"/>
          <w:lang w:eastAsia="zh-CN"/>
        </w:rPr>
        <w:t>esperados y los que se están generando?</w:t>
      </w:r>
    </w:p>
    <w:p w14:paraId="63556823" w14:textId="77777777" w:rsidR="00AA6EC7" w:rsidRPr="008E3494" w:rsidRDefault="00B81923" w:rsidP="00B81923">
      <w:pPr>
        <w:pStyle w:val="ListParagraph"/>
        <w:numPr>
          <w:ilvl w:val="0"/>
          <w:numId w:val="6"/>
        </w:numPr>
        <w:tabs>
          <w:tab w:val="left" w:pos="720"/>
        </w:tabs>
        <w:spacing w:after="0" w:line="240" w:lineRule="auto"/>
        <w:ind w:left="850"/>
        <w:jc w:val="both"/>
        <w:rPr>
          <w:rFonts w:ascii="Arial" w:eastAsia="Times New Roman" w:hAnsi="Arial" w:cs="Arial"/>
          <w:spacing w:val="-2"/>
          <w:lang w:eastAsia="zh-CN"/>
        </w:rPr>
      </w:pPr>
      <w:r w:rsidRPr="008E3494">
        <w:rPr>
          <w:rFonts w:ascii="Arial" w:eastAsia="Times New Roman" w:hAnsi="Arial" w:cs="Arial"/>
          <w:spacing w:val="-2"/>
          <w:lang w:eastAsia="zh-CN"/>
        </w:rPr>
        <w:t>¿</w:t>
      </w:r>
      <w:r w:rsidR="007F5B37" w:rsidRPr="008E3494">
        <w:rPr>
          <w:rFonts w:ascii="Arial" w:eastAsia="Times New Roman" w:hAnsi="Arial" w:cs="Arial"/>
          <w:spacing w:val="-2"/>
          <w:lang w:eastAsia="zh-CN"/>
        </w:rPr>
        <w:t>en qué medida está la iniciativa llegando a los beneficiarios apropiados?</w:t>
      </w:r>
    </w:p>
    <w:p w14:paraId="5E8903C5" w14:textId="77777777" w:rsidR="00AA6EC7" w:rsidRPr="008E3494" w:rsidRDefault="007F5B37" w:rsidP="00B81923">
      <w:pPr>
        <w:pStyle w:val="ListParagraph"/>
        <w:numPr>
          <w:ilvl w:val="0"/>
          <w:numId w:val="6"/>
        </w:numPr>
        <w:tabs>
          <w:tab w:val="left" w:pos="720"/>
        </w:tabs>
        <w:spacing w:after="0" w:line="240" w:lineRule="auto"/>
        <w:ind w:left="850"/>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¿los recursos del programa se utilizan de manera apropiada? </w:t>
      </w:r>
    </w:p>
    <w:p w14:paraId="49627C79" w14:textId="77777777" w:rsidR="00AA6EC7" w:rsidRPr="008E3494" w:rsidRDefault="00AA6EC7">
      <w:pPr>
        <w:numPr>
          <w:ilvl w:val="1"/>
          <w:numId w:val="0"/>
        </w:numPr>
        <w:tabs>
          <w:tab w:val="left" w:pos="720"/>
        </w:tabs>
        <w:spacing w:after="0" w:line="240" w:lineRule="auto"/>
        <w:jc w:val="both"/>
        <w:rPr>
          <w:rFonts w:ascii="Arial" w:eastAsia="Times New Roman" w:hAnsi="Arial" w:cs="Arial"/>
          <w:spacing w:val="-2"/>
          <w:lang w:eastAsia="zh-CN"/>
        </w:rPr>
      </w:pPr>
    </w:p>
    <w:p w14:paraId="624E1AFA" w14:textId="77777777" w:rsidR="00AA6EC7" w:rsidRPr="008E3494" w:rsidRDefault="00B81923">
      <w:pPr>
        <w:pStyle w:val="NormalWeb"/>
        <w:spacing w:beforeAutospacing="0"/>
        <w:jc w:val="both"/>
        <w:rPr>
          <w:rFonts w:ascii="Arial" w:eastAsia="Times New Roman" w:hAnsi="Arial" w:cs="Arial"/>
          <w:spacing w:val="-2"/>
          <w:sz w:val="22"/>
          <w:szCs w:val="22"/>
          <w:lang w:val="es-EC"/>
        </w:rPr>
      </w:pPr>
      <w:r w:rsidRPr="008E3494">
        <w:rPr>
          <w:rFonts w:ascii="Arial" w:eastAsia="Times New Roman" w:hAnsi="Arial" w:cs="Arial"/>
          <w:spacing w:val="-2"/>
          <w:sz w:val="22"/>
          <w:szCs w:val="22"/>
          <w:lang w:val="es-EC"/>
        </w:rPr>
        <w:t>El monitoreo del p</w:t>
      </w:r>
      <w:r w:rsidR="007F5B37" w:rsidRPr="008E3494">
        <w:rPr>
          <w:rFonts w:ascii="Arial" w:eastAsia="Times New Roman" w:hAnsi="Arial" w:cs="Arial"/>
          <w:spacing w:val="-2"/>
          <w:sz w:val="22"/>
          <w:szCs w:val="22"/>
          <w:lang w:val="es-EC"/>
        </w:rPr>
        <w:t xml:space="preserve">rograma se realizará a través de actividades de supervisión periódica e informes de ejecución </w:t>
      </w:r>
      <w:r w:rsidRPr="008E3494">
        <w:rPr>
          <w:rFonts w:ascii="Arial" w:eastAsia="Times New Roman" w:hAnsi="Arial" w:cs="Arial"/>
          <w:spacing w:val="-2"/>
          <w:sz w:val="22"/>
          <w:szCs w:val="22"/>
          <w:lang w:val="es-EC"/>
        </w:rPr>
        <w:t>trimestrales</w:t>
      </w:r>
      <w:r w:rsidR="007F5B37" w:rsidRPr="008E3494">
        <w:rPr>
          <w:rFonts w:ascii="Arial" w:eastAsia="Times New Roman" w:hAnsi="Arial" w:cs="Arial"/>
          <w:spacing w:val="-2"/>
          <w:sz w:val="22"/>
          <w:szCs w:val="22"/>
          <w:lang w:val="es-EC"/>
        </w:rPr>
        <w:t>. El sistema de reportes y contenidos se muestra a continuación:</w:t>
      </w:r>
    </w:p>
    <w:p w14:paraId="696DCDAC" w14:textId="77777777" w:rsidR="00AA6EC7" w:rsidRPr="008E3494" w:rsidRDefault="00AA6EC7">
      <w:pPr>
        <w:pStyle w:val="NormalWeb"/>
        <w:spacing w:beforeAutospacing="0"/>
        <w:jc w:val="both"/>
        <w:rPr>
          <w:rFonts w:ascii="Arial" w:eastAsia="Times New Roman" w:hAnsi="Arial" w:cs="Arial"/>
          <w:spacing w:val="-2"/>
          <w:sz w:val="22"/>
          <w:szCs w:val="22"/>
          <w:lang w:val="es-EC"/>
        </w:rPr>
      </w:pPr>
    </w:p>
    <w:tbl>
      <w:tblPr>
        <w:tblW w:w="9341" w:type="dxa"/>
        <w:tblCellSpacing w:w="0" w:type="dxa"/>
        <w:tblInd w:w="10" w:type="dxa"/>
        <w:tblLayout w:type="fixed"/>
        <w:tblCellMar>
          <w:top w:w="90" w:type="dxa"/>
          <w:left w:w="90" w:type="dxa"/>
          <w:bottom w:w="90" w:type="dxa"/>
          <w:right w:w="90" w:type="dxa"/>
        </w:tblCellMar>
        <w:tblLook w:val="04A0" w:firstRow="1" w:lastRow="0" w:firstColumn="1" w:lastColumn="0" w:noHBand="0" w:noVBand="1"/>
      </w:tblPr>
      <w:tblGrid>
        <w:gridCol w:w="1332"/>
        <w:gridCol w:w="6450"/>
        <w:gridCol w:w="1559"/>
      </w:tblGrid>
      <w:tr w:rsidR="00AA6EC7" w:rsidRPr="008E3494" w14:paraId="2C3DE4EA" w14:textId="77777777">
        <w:trPr>
          <w:trHeight w:val="326"/>
          <w:tblHeader/>
          <w:tblCellSpacing w:w="0" w:type="dxa"/>
        </w:trPr>
        <w:tc>
          <w:tcPr>
            <w:tcW w:w="1332" w:type="dxa"/>
            <w:tcBorders>
              <w:top w:val="single" w:sz="4" w:space="0" w:color="999999"/>
              <w:left w:val="single" w:sz="4" w:space="0" w:color="999999"/>
              <w:bottom w:val="single" w:sz="4" w:space="0" w:color="999999"/>
              <w:right w:val="single" w:sz="4" w:space="0" w:color="999999"/>
            </w:tcBorders>
            <w:shd w:val="clear" w:color="auto" w:fill="E0E0E0"/>
            <w:tcMar>
              <w:top w:w="0" w:type="dxa"/>
              <w:left w:w="72" w:type="dxa"/>
              <w:bottom w:w="0" w:type="dxa"/>
              <w:right w:w="72" w:type="dxa"/>
            </w:tcMar>
            <w:vAlign w:val="center"/>
          </w:tcPr>
          <w:p w14:paraId="34782C0E" w14:textId="77777777" w:rsidR="00AA6EC7" w:rsidRPr="008E3494" w:rsidRDefault="007F5B37">
            <w:pPr>
              <w:pStyle w:val="NormalWeb"/>
              <w:ind w:right="101"/>
              <w:rPr>
                <w:rFonts w:ascii="Arial" w:hAnsi="Arial" w:cs="Arial"/>
              </w:rPr>
            </w:pPr>
            <w:proofErr w:type="spellStart"/>
            <w:r w:rsidRPr="008E3494">
              <w:rPr>
                <w:rFonts w:ascii="Arial" w:hAnsi="Arial" w:cs="Arial"/>
                <w:b/>
                <w:smallCaps/>
                <w:sz w:val="18"/>
                <w:szCs w:val="18"/>
                <w:lang w:bidi="ar"/>
              </w:rPr>
              <w:t>Instrumento</w:t>
            </w:r>
            <w:proofErr w:type="spellEnd"/>
          </w:p>
        </w:tc>
        <w:tc>
          <w:tcPr>
            <w:tcW w:w="6450" w:type="dxa"/>
            <w:tcBorders>
              <w:top w:val="single" w:sz="4" w:space="0" w:color="999999"/>
              <w:left w:val="single" w:sz="4" w:space="0" w:color="999999"/>
              <w:bottom w:val="single" w:sz="4" w:space="0" w:color="999999"/>
              <w:right w:val="single" w:sz="4" w:space="0" w:color="999999"/>
            </w:tcBorders>
            <w:shd w:val="clear" w:color="auto" w:fill="E0E0E0"/>
            <w:tcMar>
              <w:top w:w="0" w:type="dxa"/>
              <w:left w:w="72" w:type="dxa"/>
              <w:bottom w:w="0" w:type="dxa"/>
              <w:right w:w="72" w:type="dxa"/>
            </w:tcMar>
            <w:vAlign w:val="center"/>
          </w:tcPr>
          <w:p w14:paraId="013EF67F" w14:textId="77777777" w:rsidR="00AA6EC7" w:rsidRPr="008E3494" w:rsidRDefault="007F5B37">
            <w:pPr>
              <w:pStyle w:val="NormalWeb"/>
              <w:ind w:right="101"/>
              <w:rPr>
                <w:rFonts w:ascii="Arial" w:hAnsi="Arial" w:cs="Arial"/>
              </w:rPr>
            </w:pPr>
            <w:proofErr w:type="spellStart"/>
            <w:r w:rsidRPr="008E3494">
              <w:rPr>
                <w:rFonts w:ascii="Arial" w:hAnsi="Arial" w:cs="Arial"/>
                <w:b/>
                <w:smallCaps/>
                <w:sz w:val="18"/>
                <w:szCs w:val="18"/>
                <w:lang w:bidi="ar"/>
              </w:rPr>
              <w:t>Objetivo</w:t>
            </w:r>
            <w:proofErr w:type="spellEnd"/>
          </w:p>
        </w:tc>
        <w:tc>
          <w:tcPr>
            <w:tcW w:w="1559" w:type="dxa"/>
            <w:tcBorders>
              <w:top w:val="single" w:sz="4" w:space="0" w:color="999999"/>
              <w:left w:val="single" w:sz="4" w:space="0" w:color="999999"/>
              <w:bottom w:val="single" w:sz="4" w:space="0" w:color="999999"/>
              <w:right w:val="single" w:sz="4" w:space="0" w:color="999999"/>
            </w:tcBorders>
            <w:shd w:val="clear" w:color="auto" w:fill="E0E0E0"/>
            <w:tcMar>
              <w:top w:w="0" w:type="dxa"/>
              <w:left w:w="72" w:type="dxa"/>
              <w:bottom w:w="0" w:type="dxa"/>
              <w:right w:w="72" w:type="dxa"/>
            </w:tcMar>
            <w:vAlign w:val="center"/>
          </w:tcPr>
          <w:p w14:paraId="67831EB5" w14:textId="77777777" w:rsidR="00AA6EC7" w:rsidRPr="008E3494" w:rsidRDefault="007F5B37">
            <w:pPr>
              <w:pStyle w:val="NormalWeb"/>
              <w:ind w:right="101"/>
              <w:rPr>
                <w:rFonts w:ascii="Arial" w:hAnsi="Arial" w:cs="Arial"/>
              </w:rPr>
            </w:pPr>
            <w:proofErr w:type="spellStart"/>
            <w:r w:rsidRPr="008E3494">
              <w:rPr>
                <w:rFonts w:ascii="Arial" w:hAnsi="Arial" w:cs="Arial"/>
                <w:b/>
                <w:smallCaps/>
                <w:sz w:val="18"/>
                <w:szCs w:val="18"/>
                <w:lang w:bidi="ar"/>
              </w:rPr>
              <w:t>Plazo</w:t>
            </w:r>
            <w:proofErr w:type="spellEnd"/>
          </w:p>
        </w:tc>
      </w:tr>
      <w:tr w:rsidR="00AA6EC7" w:rsidRPr="008E3494" w14:paraId="2E26C454" w14:textId="77777777">
        <w:trPr>
          <w:tblCellSpacing w:w="0" w:type="dxa"/>
        </w:trPr>
        <w:tc>
          <w:tcPr>
            <w:tcW w:w="1332" w:type="dxa"/>
            <w:tcBorders>
              <w:top w:val="single" w:sz="4" w:space="0" w:color="999999"/>
              <w:left w:val="single" w:sz="4" w:space="0" w:color="999999"/>
              <w:bottom w:val="single" w:sz="4" w:space="0" w:color="999999"/>
              <w:right w:val="single" w:sz="4" w:space="0" w:color="999999"/>
            </w:tcBorders>
            <w:shd w:val="clear" w:color="auto" w:fill="auto"/>
            <w:tcMar>
              <w:top w:w="0" w:type="dxa"/>
              <w:left w:w="72" w:type="dxa"/>
              <w:bottom w:w="0" w:type="dxa"/>
              <w:right w:w="72" w:type="dxa"/>
            </w:tcMar>
            <w:vAlign w:val="center"/>
          </w:tcPr>
          <w:p w14:paraId="5D83BE2C" w14:textId="77777777" w:rsidR="00AA6EC7" w:rsidRPr="008E3494" w:rsidRDefault="007F5B37">
            <w:pPr>
              <w:pStyle w:val="NormalWeb"/>
              <w:rPr>
                <w:rFonts w:ascii="Arial" w:hAnsi="Arial" w:cs="Arial"/>
              </w:rPr>
            </w:pPr>
            <w:proofErr w:type="spellStart"/>
            <w:r w:rsidRPr="008E3494">
              <w:rPr>
                <w:rFonts w:ascii="Arial" w:hAnsi="Arial" w:cs="Arial"/>
                <w:sz w:val="18"/>
                <w:szCs w:val="18"/>
                <w:lang w:bidi="ar"/>
              </w:rPr>
              <w:t>Supervisión</w:t>
            </w:r>
            <w:proofErr w:type="spellEnd"/>
            <w:r w:rsidRPr="008E3494">
              <w:rPr>
                <w:rFonts w:ascii="Arial" w:hAnsi="Arial" w:cs="Arial"/>
                <w:sz w:val="18"/>
                <w:szCs w:val="18"/>
                <w:lang w:bidi="ar"/>
              </w:rPr>
              <w:t xml:space="preserve"> </w:t>
            </w:r>
            <w:proofErr w:type="spellStart"/>
            <w:r w:rsidRPr="008E3494">
              <w:rPr>
                <w:rFonts w:ascii="Arial" w:hAnsi="Arial" w:cs="Arial"/>
                <w:sz w:val="18"/>
                <w:szCs w:val="18"/>
                <w:lang w:bidi="ar"/>
              </w:rPr>
              <w:t>Periódica</w:t>
            </w:r>
            <w:proofErr w:type="spellEnd"/>
          </w:p>
        </w:tc>
        <w:tc>
          <w:tcPr>
            <w:tcW w:w="6450" w:type="dxa"/>
            <w:tcBorders>
              <w:top w:val="single" w:sz="4" w:space="0" w:color="999999"/>
              <w:left w:val="single" w:sz="4" w:space="0" w:color="999999"/>
              <w:bottom w:val="single" w:sz="4" w:space="0" w:color="999999"/>
              <w:right w:val="single" w:sz="4" w:space="0" w:color="999999"/>
            </w:tcBorders>
            <w:shd w:val="clear" w:color="auto" w:fill="auto"/>
            <w:tcMar>
              <w:top w:w="0" w:type="dxa"/>
              <w:left w:w="72" w:type="dxa"/>
              <w:bottom w:w="0" w:type="dxa"/>
              <w:right w:w="72" w:type="dxa"/>
            </w:tcMar>
            <w:vAlign w:val="center"/>
          </w:tcPr>
          <w:p w14:paraId="22237DAC" w14:textId="77777777" w:rsidR="00AA6EC7" w:rsidRPr="008E3494" w:rsidRDefault="007F5B37">
            <w:pPr>
              <w:pStyle w:val="NormalWeb"/>
              <w:spacing w:before="100" w:after="43"/>
              <w:jc w:val="both"/>
              <w:rPr>
                <w:rFonts w:ascii="Arial" w:hAnsi="Arial" w:cs="Arial"/>
                <w:lang w:val="es-EC"/>
              </w:rPr>
            </w:pPr>
            <w:bookmarkStart w:id="8" w:name="_Toc522114405"/>
            <w:bookmarkEnd w:id="8"/>
            <w:r w:rsidRPr="008E3494">
              <w:rPr>
                <w:rFonts w:ascii="Arial" w:hAnsi="Arial" w:cs="Arial"/>
                <w:sz w:val="18"/>
                <w:szCs w:val="18"/>
                <w:lang w:val="es-EC" w:bidi="ar"/>
              </w:rPr>
              <w:t>Incluye: reuniones periódicas BID-MIDUVI y visitas de evaluación institucional/financiera; visitas al terreno; elegibilidad de las actividades; revisión de informes respecto a cumplimiento de compromisos, avances en ejecución; revisión de procesos de adquisiciones; revisión de rendiciones de anticipos, revisión de términos de referencia y especificaciones técnicas, entre otros.</w:t>
            </w:r>
          </w:p>
          <w:p w14:paraId="4698E13D" w14:textId="77777777" w:rsidR="00AA6EC7" w:rsidRPr="008E3494" w:rsidRDefault="007F5B37">
            <w:pPr>
              <w:pStyle w:val="NormalWeb"/>
              <w:spacing w:after="43"/>
              <w:jc w:val="left"/>
              <w:rPr>
                <w:rFonts w:ascii="Arial" w:hAnsi="Arial" w:cs="Arial"/>
                <w:lang w:val="es-EC"/>
              </w:rPr>
            </w:pPr>
            <w:r w:rsidRPr="008E3494">
              <w:rPr>
                <w:rFonts w:ascii="Arial" w:hAnsi="Arial" w:cs="Arial"/>
                <w:sz w:val="18"/>
                <w:szCs w:val="18"/>
                <w:lang w:val="es-EC" w:bidi="ar"/>
              </w:rPr>
              <w:t xml:space="preserve">Su objetivo es asegurar el cumplimiento de aspectos técnicos, contractuales y de los plazos del Programa, en particular en lo referente a: </w:t>
            </w:r>
          </w:p>
          <w:p w14:paraId="7205AC03" w14:textId="77777777" w:rsidR="00AA6EC7" w:rsidRPr="008E3494" w:rsidRDefault="007F5B37">
            <w:pPr>
              <w:pStyle w:val="NormalWeb"/>
              <w:numPr>
                <w:ilvl w:val="0"/>
                <w:numId w:val="7"/>
              </w:numPr>
              <w:snapToGrid w:val="0"/>
              <w:spacing w:beforeAutospacing="0"/>
              <w:ind w:left="357" w:hanging="227"/>
              <w:jc w:val="left"/>
              <w:rPr>
                <w:rFonts w:ascii="Arial" w:hAnsi="Arial" w:cs="Arial"/>
                <w:sz w:val="18"/>
                <w:szCs w:val="18"/>
                <w:lang w:val="es-EC"/>
              </w:rPr>
            </w:pPr>
            <w:r w:rsidRPr="008E3494">
              <w:rPr>
                <w:rFonts w:ascii="Arial" w:hAnsi="Arial" w:cs="Arial"/>
                <w:sz w:val="18"/>
                <w:szCs w:val="18"/>
                <w:lang w:val="es-EC" w:bidi="ar"/>
              </w:rPr>
              <w:t>Criterios de elegibilidad y aprobación, declaración de elegibilidad y evidencia de documentación de respaldo.</w:t>
            </w:r>
          </w:p>
          <w:p w14:paraId="5EA4DA89" w14:textId="77777777" w:rsidR="00AA6EC7" w:rsidRPr="008E3494" w:rsidRDefault="007F5B37">
            <w:pPr>
              <w:pStyle w:val="NormalWeb"/>
              <w:numPr>
                <w:ilvl w:val="0"/>
                <w:numId w:val="7"/>
              </w:numPr>
              <w:snapToGrid w:val="0"/>
              <w:spacing w:beforeAutospacing="0"/>
              <w:ind w:left="357" w:hanging="227"/>
              <w:jc w:val="left"/>
              <w:rPr>
                <w:rFonts w:ascii="Arial" w:hAnsi="Arial" w:cs="Arial"/>
                <w:sz w:val="18"/>
                <w:szCs w:val="18"/>
                <w:lang w:val="es-EC"/>
              </w:rPr>
            </w:pPr>
            <w:r w:rsidRPr="008E3494">
              <w:rPr>
                <w:rFonts w:ascii="Arial" w:hAnsi="Arial" w:cs="Arial"/>
                <w:sz w:val="18"/>
                <w:szCs w:val="18"/>
                <w:lang w:val="es-EC" w:bidi="ar"/>
              </w:rPr>
              <w:t>Evolución de indicadores de producto, según se incluyen en la matriz de resultados.</w:t>
            </w:r>
          </w:p>
          <w:p w14:paraId="7560A5E3" w14:textId="77777777" w:rsidR="00AA6EC7" w:rsidRPr="008E3494" w:rsidRDefault="007F5B37">
            <w:pPr>
              <w:pStyle w:val="NormalWeb"/>
              <w:numPr>
                <w:ilvl w:val="0"/>
                <w:numId w:val="7"/>
              </w:numPr>
              <w:snapToGrid w:val="0"/>
              <w:spacing w:beforeAutospacing="0"/>
              <w:ind w:left="357" w:hanging="227"/>
              <w:jc w:val="left"/>
              <w:rPr>
                <w:rFonts w:ascii="Arial" w:hAnsi="Arial" w:cs="Arial"/>
                <w:sz w:val="18"/>
                <w:szCs w:val="18"/>
                <w:lang w:val="es-EC"/>
              </w:rPr>
            </w:pPr>
            <w:r w:rsidRPr="008E3494">
              <w:rPr>
                <w:rFonts w:ascii="Arial" w:hAnsi="Arial" w:cs="Arial"/>
                <w:sz w:val="18"/>
                <w:szCs w:val="18"/>
                <w:lang w:val="es-EC" w:bidi="ar"/>
              </w:rPr>
              <w:t>Cumplimiento de políticas, normas y procedimientos del BID, incluidos los de adquisiciones.</w:t>
            </w:r>
          </w:p>
          <w:p w14:paraId="17C8F9CA" w14:textId="77777777" w:rsidR="00AA6EC7" w:rsidRPr="008E3494" w:rsidRDefault="007F5B37">
            <w:pPr>
              <w:pStyle w:val="NormalWeb"/>
              <w:numPr>
                <w:ilvl w:val="0"/>
                <w:numId w:val="7"/>
              </w:numPr>
              <w:snapToGrid w:val="0"/>
              <w:spacing w:beforeAutospacing="0"/>
              <w:ind w:left="357" w:hanging="227"/>
              <w:jc w:val="left"/>
              <w:rPr>
                <w:rFonts w:ascii="Arial" w:hAnsi="Arial" w:cs="Arial"/>
                <w:sz w:val="18"/>
                <w:szCs w:val="18"/>
                <w:lang w:val="es-EC"/>
              </w:rPr>
            </w:pPr>
            <w:r w:rsidRPr="008E3494">
              <w:rPr>
                <w:rFonts w:ascii="Arial" w:hAnsi="Arial" w:cs="Arial"/>
                <w:sz w:val="18"/>
                <w:szCs w:val="18"/>
                <w:lang w:val="es-EC" w:bidi="ar"/>
              </w:rPr>
              <w:t>Actualización de registros contables.</w:t>
            </w:r>
          </w:p>
          <w:p w14:paraId="14238BD5" w14:textId="77777777" w:rsidR="00AA6EC7" w:rsidRPr="008E3494" w:rsidRDefault="007F5B37">
            <w:pPr>
              <w:pStyle w:val="NormalWeb"/>
              <w:numPr>
                <w:ilvl w:val="0"/>
                <w:numId w:val="7"/>
              </w:numPr>
              <w:snapToGrid w:val="0"/>
              <w:spacing w:beforeAutospacing="0"/>
              <w:ind w:left="357" w:hanging="227"/>
              <w:jc w:val="left"/>
              <w:rPr>
                <w:rFonts w:ascii="Arial" w:hAnsi="Arial" w:cs="Arial"/>
                <w:sz w:val="18"/>
                <w:szCs w:val="18"/>
                <w:lang w:val="es-EC"/>
              </w:rPr>
            </w:pPr>
            <w:r w:rsidRPr="008E3494">
              <w:rPr>
                <w:rFonts w:ascii="Arial" w:hAnsi="Arial" w:cs="Arial"/>
                <w:sz w:val="18"/>
                <w:szCs w:val="18"/>
                <w:lang w:val="es-EC" w:bidi="ar"/>
              </w:rPr>
              <w:t>Revisión de contratos, informes finales, evaluaciones de desempeño.</w:t>
            </w:r>
          </w:p>
          <w:p w14:paraId="32B82EDD" w14:textId="77777777" w:rsidR="00AA6EC7" w:rsidRPr="008E3494" w:rsidRDefault="007F5B37">
            <w:pPr>
              <w:pStyle w:val="NormalWeb"/>
              <w:numPr>
                <w:ilvl w:val="0"/>
                <w:numId w:val="7"/>
              </w:numPr>
              <w:snapToGrid w:val="0"/>
              <w:spacing w:beforeAutospacing="0"/>
              <w:ind w:left="357" w:hanging="227"/>
              <w:jc w:val="left"/>
              <w:rPr>
                <w:rFonts w:ascii="Arial" w:hAnsi="Arial" w:cs="Arial"/>
                <w:sz w:val="18"/>
                <w:szCs w:val="18"/>
                <w:lang w:val="es-EC"/>
              </w:rPr>
            </w:pPr>
            <w:r w:rsidRPr="008E3494">
              <w:rPr>
                <w:rFonts w:ascii="Arial" w:hAnsi="Arial" w:cs="Arial"/>
                <w:sz w:val="18"/>
                <w:szCs w:val="18"/>
                <w:lang w:val="es-EC" w:bidi="ar"/>
              </w:rPr>
              <w:lastRenderedPageBreak/>
              <w:t>Cumplimiento de cláusulas contractuales.</w:t>
            </w:r>
          </w:p>
          <w:p w14:paraId="5EEAAEDF" w14:textId="77777777" w:rsidR="00AA6EC7" w:rsidRPr="008E3494" w:rsidRDefault="007F5B37">
            <w:pPr>
              <w:pStyle w:val="NormalWeb"/>
              <w:numPr>
                <w:ilvl w:val="0"/>
                <w:numId w:val="7"/>
              </w:numPr>
              <w:snapToGrid w:val="0"/>
              <w:spacing w:beforeAutospacing="0"/>
              <w:ind w:left="357" w:hanging="227"/>
              <w:jc w:val="left"/>
              <w:rPr>
                <w:rFonts w:ascii="Arial" w:hAnsi="Arial" w:cs="Arial"/>
                <w:sz w:val="18"/>
                <w:szCs w:val="18"/>
                <w:lang w:val="es-EC"/>
              </w:rPr>
            </w:pPr>
            <w:r w:rsidRPr="008E3494">
              <w:rPr>
                <w:rFonts w:ascii="Arial" w:hAnsi="Arial" w:cs="Arial"/>
                <w:sz w:val="18"/>
                <w:szCs w:val="18"/>
                <w:lang w:val="es-EC" w:bidi="ar"/>
              </w:rPr>
              <w:t>Avances en la ejecución del POA y del Plan de Adquisiciones.</w:t>
            </w:r>
          </w:p>
          <w:p w14:paraId="6C439200" w14:textId="77777777" w:rsidR="00AA6EC7" w:rsidRPr="008E3494" w:rsidRDefault="007F5B37" w:rsidP="00B81923">
            <w:pPr>
              <w:pStyle w:val="NormalWeb"/>
              <w:numPr>
                <w:ilvl w:val="0"/>
                <w:numId w:val="7"/>
              </w:numPr>
              <w:snapToGrid w:val="0"/>
              <w:spacing w:beforeAutospacing="0"/>
              <w:ind w:left="357" w:hanging="227"/>
              <w:jc w:val="left"/>
              <w:rPr>
                <w:rFonts w:ascii="Arial" w:hAnsi="Arial" w:cs="Arial"/>
                <w:sz w:val="18"/>
                <w:szCs w:val="18"/>
                <w:lang w:val="es-EC"/>
              </w:rPr>
            </w:pPr>
            <w:r w:rsidRPr="008E3494">
              <w:rPr>
                <w:rFonts w:ascii="Arial" w:hAnsi="Arial" w:cs="Arial"/>
                <w:sz w:val="18"/>
                <w:szCs w:val="18"/>
                <w:lang w:val="es-EC" w:bidi="ar"/>
              </w:rPr>
              <w:t>Cumplimiento de la programación financiera y de desembolsos.</w:t>
            </w:r>
          </w:p>
        </w:tc>
        <w:tc>
          <w:tcPr>
            <w:tcW w:w="1559" w:type="dxa"/>
            <w:tcBorders>
              <w:top w:val="single" w:sz="4" w:space="0" w:color="999999"/>
              <w:left w:val="single" w:sz="4" w:space="0" w:color="999999"/>
              <w:bottom w:val="single" w:sz="4" w:space="0" w:color="999999"/>
              <w:right w:val="single" w:sz="4" w:space="0" w:color="999999"/>
            </w:tcBorders>
            <w:shd w:val="clear" w:color="auto" w:fill="FFFFFF"/>
            <w:tcMar>
              <w:top w:w="0" w:type="dxa"/>
              <w:left w:w="72" w:type="dxa"/>
              <w:bottom w:w="0" w:type="dxa"/>
              <w:right w:w="72" w:type="dxa"/>
            </w:tcMar>
            <w:vAlign w:val="center"/>
          </w:tcPr>
          <w:p w14:paraId="774506E7" w14:textId="77777777" w:rsidR="00AA6EC7" w:rsidRPr="008E3494" w:rsidRDefault="007F5B37">
            <w:pPr>
              <w:pStyle w:val="NormalWeb"/>
              <w:jc w:val="left"/>
              <w:rPr>
                <w:rFonts w:ascii="Arial" w:hAnsi="Arial" w:cs="Arial"/>
                <w:lang w:val="es-EC"/>
              </w:rPr>
            </w:pPr>
            <w:r w:rsidRPr="008E3494">
              <w:rPr>
                <w:rFonts w:ascii="Arial" w:hAnsi="Arial" w:cs="Arial"/>
                <w:sz w:val="18"/>
                <w:szCs w:val="18"/>
                <w:lang w:val="es-EC" w:bidi="ar"/>
              </w:rPr>
              <w:lastRenderedPageBreak/>
              <w:t>Periódica según calendario que se establezca con equipo del MIDUVI</w:t>
            </w:r>
          </w:p>
        </w:tc>
      </w:tr>
      <w:tr w:rsidR="00AA6EC7" w:rsidRPr="008E3494" w14:paraId="37763ED6" w14:textId="77777777">
        <w:trPr>
          <w:tblCellSpacing w:w="0" w:type="dxa"/>
        </w:trPr>
        <w:tc>
          <w:tcPr>
            <w:tcW w:w="1332" w:type="dxa"/>
            <w:tcBorders>
              <w:top w:val="single" w:sz="4" w:space="0" w:color="999999"/>
              <w:left w:val="single" w:sz="4" w:space="0" w:color="999999"/>
              <w:bottom w:val="single" w:sz="4" w:space="0" w:color="999999"/>
              <w:right w:val="single" w:sz="4" w:space="0" w:color="999999"/>
            </w:tcBorders>
            <w:shd w:val="clear" w:color="auto" w:fill="auto"/>
            <w:tcMar>
              <w:top w:w="0" w:type="dxa"/>
              <w:left w:w="72" w:type="dxa"/>
              <w:bottom w:w="0" w:type="dxa"/>
              <w:right w:w="72" w:type="dxa"/>
            </w:tcMar>
            <w:vAlign w:val="center"/>
          </w:tcPr>
          <w:p w14:paraId="2046A076" w14:textId="77777777" w:rsidR="00AA6EC7" w:rsidRPr="008E3494" w:rsidRDefault="007F5B37">
            <w:pPr>
              <w:pStyle w:val="NormalWeb"/>
              <w:snapToGrid w:val="0"/>
              <w:spacing w:beforeAutospacing="0"/>
              <w:rPr>
                <w:rFonts w:ascii="Arial" w:hAnsi="Arial" w:cs="Arial"/>
                <w:sz w:val="18"/>
                <w:szCs w:val="18"/>
              </w:rPr>
            </w:pPr>
            <w:proofErr w:type="spellStart"/>
            <w:r w:rsidRPr="008E3494">
              <w:rPr>
                <w:rFonts w:ascii="Arial" w:hAnsi="Arial" w:cs="Arial"/>
                <w:sz w:val="18"/>
                <w:szCs w:val="18"/>
                <w:lang w:bidi="ar"/>
              </w:rPr>
              <w:t>Informes</w:t>
            </w:r>
            <w:proofErr w:type="spellEnd"/>
            <w:r w:rsidRPr="008E3494">
              <w:rPr>
                <w:rFonts w:ascii="Arial" w:hAnsi="Arial" w:cs="Arial"/>
                <w:sz w:val="18"/>
                <w:szCs w:val="18"/>
                <w:lang w:bidi="ar"/>
              </w:rPr>
              <w:t xml:space="preserve"> de </w:t>
            </w:r>
            <w:proofErr w:type="spellStart"/>
            <w:r w:rsidRPr="008E3494">
              <w:rPr>
                <w:rFonts w:ascii="Arial" w:hAnsi="Arial" w:cs="Arial"/>
                <w:sz w:val="18"/>
                <w:szCs w:val="18"/>
                <w:lang w:bidi="ar"/>
              </w:rPr>
              <w:t>ejecución</w:t>
            </w:r>
            <w:proofErr w:type="spellEnd"/>
            <w:r w:rsidRPr="008E3494">
              <w:rPr>
                <w:rFonts w:ascii="Arial" w:hAnsi="Arial" w:cs="Arial"/>
                <w:sz w:val="18"/>
                <w:szCs w:val="18"/>
                <w:lang w:bidi="ar"/>
              </w:rPr>
              <w:t xml:space="preserve"> </w:t>
            </w:r>
            <w:proofErr w:type="spellStart"/>
            <w:r w:rsidRPr="008E3494">
              <w:rPr>
                <w:rFonts w:ascii="Arial" w:hAnsi="Arial" w:cs="Arial"/>
                <w:sz w:val="18"/>
                <w:szCs w:val="18"/>
                <w:lang w:bidi="ar"/>
              </w:rPr>
              <w:t>trimestrales</w:t>
            </w:r>
            <w:proofErr w:type="spellEnd"/>
          </w:p>
        </w:tc>
        <w:tc>
          <w:tcPr>
            <w:tcW w:w="6450" w:type="dxa"/>
            <w:tcBorders>
              <w:top w:val="single" w:sz="4" w:space="0" w:color="999999"/>
              <w:left w:val="single" w:sz="4" w:space="0" w:color="999999"/>
              <w:bottom w:val="single" w:sz="4" w:space="0" w:color="999999"/>
              <w:right w:val="single" w:sz="4" w:space="0" w:color="999999"/>
            </w:tcBorders>
            <w:shd w:val="clear" w:color="auto" w:fill="auto"/>
            <w:tcMar>
              <w:top w:w="0" w:type="dxa"/>
              <w:left w:w="72" w:type="dxa"/>
              <w:bottom w:w="0" w:type="dxa"/>
              <w:right w:w="72" w:type="dxa"/>
            </w:tcMar>
            <w:vAlign w:val="center"/>
          </w:tcPr>
          <w:p w14:paraId="50868F74" w14:textId="77777777" w:rsidR="00AA6EC7" w:rsidRPr="008E3494" w:rsidRDefault="007F5B37" w:rsidP="00B81923">
            <w:pPr>
              <w:pStyle w:val="NormalWeb"/>
              <w:snapToGrid w:val="0"/>
              <w:spacing w:beforeAutospacing="0"/>
              <w:jc w:val="left"/>
              <w:rPr>
                <w:rFonts w:ascii="Arial" w:hAnsi="Arial" w:cs="Arial"/>
                <w:sz w:val="18"/>
                <w:szCs w:val="18"/>
                <w:lang w:val="es-EC"/>
              </w:rPr>
            </w:pPr>
            <w:r w:rsidRPr="008E3494">
              <w:rPr>
                <w:rFonts w:ascii="Arial" w:hAnsi="Arial" w:cs="Arial"/>
                <w:sz w:val="18"/>
                <w:szCs w:val="18"/>
                <w:lang w:val="es-EC" w:bidi="ar"/>
              </w:rPr>
              <w:t xml:space="preserve">Serán elaborados por el equipo técnico del MIDUVI en apego al sistema de monitoreo propuesto. Considerará los avances logrados respecto de lo previsto en el POA, en el Plan de Adquisiciones y en el avance de las metas de productos y resultados de la Matriz de Resultados, así como los obstáculos encontrados y acciones correctivas instrumentadas. El periodo considerado será el </w:t>
            </w:r>
            <w:r w:rsidR="00B81923" w:rsidRPr="008E3494">
              <w:rPr>
                <w:rFonts w:ascii="Arial" w:hAnsi="Arial" w:cs="Arial"/>
                <w:sz w:val="18"/>
                <w:szCs w:val="18"/>
                <w:lang w:val="es-EC" w:bidi="ar"/>
              </w:rPr>
              <w:t>tri</w:t>
            </w:r>
            <w:r w:rsidRPr="008E3494">
              <w:rPr>
                <w:rFonts w:ascii="Arial" w:hAnsi="Arial" w:cs="Arial"/>
                <w:sz w:val="18"/>
                <w:szCs w:val="18"/>
                <w:lang w:val="es-EC" w:bidi="ar"/>
              </w:rPr>
              <w:t xml:space="preserve">mestre calendario. Estarán sujetos a aprobación del Banco. </w:t>
            </w:r>
          </w:p>
        </w:tc>
        <w:tc>
          <w:tcPr>
            <w:tcW w:w="1559" w:type="dxa"/>
            <w:tcBorders>
              <w:top w:val="single" w:sz="4" w:space="0" w:color="999999"/>
              <w:left w:val="single" w:sz="4" w:space="0" w:color="999999"/>
              <w:bottom w:val="single" w:sz="4" w:space="0" w:color="999999"/>
              <w:right w:val="single" w:sz="4" w:space="0" w:color="999999"/>
            </w:tcBorders>
            <w:shd w:val="clear" w:color="auto" w:fill="FFFFFF"/>
            <w:tcMar>
              <w:top w:w="0" w:type="dxa"/>
              <w:left w:w="72" w:type="dxa"/>
              <w:bottom w:w="0" w:type="dxa"/>
              <w:right w:w="72" w:type="dxa"/>
            </w:tcMar>
            <w:vAlign w:val="center"/>
          </w:tcPr>
          <w:p w14:paraId="553A4502" w14:textId="77777777" w:rsidR="00AA6EC7" w:rsidRPr="008E3494" w:rsidRDefault="007F5B37">
            <w:pPr>
              <w:pStyle w:val="NormalWeb"/>
              <w:snapToGrid w:val="0"/>
              <w:spacing w:beforeAutospacing="0"/>
              <w:jc w:val="left"/>
              <w:rPr>
                <w:rFonts w:ascii="Arial" w:hAnsi="Arial" w:cs="Arial"/>
                <w:sz w:val="18"/>
                <w:szCs w:val="18"/>
              </w:rPr>
            </w:pPr>
            <w:r w:rsidRPr="008E3494">
              <w:rPr>
                <w:rFonts w:ascii="Arial" w:hAnsi="Arial" w:cs="Arial"/>
                <w:sz w:val="18"/>
                <w:szCs w:val="18"/>
                <w:lang w:bidi="ar"/>
              </w:rPr>
              <w:t xml:space="preserve">30 </w:t>
            </w:r>
            <w:proofErr w:type="spellStart"/>
            <w:r w:rsidRPr="008E3494">
              <w:rPr>
                <w:rFonts w:ascii="Arial" w:hAnsi="Arial" w:cs="Arial"/>
                <w:sz w:val="18"/>
                <w:szCs w:val="18"/>
                <w:lang w:bidi="ar"/>
              </w:rPr>
              <w:t>días</w:t>
            </w:r>
            <w:proofErr w:type="spellEnd"/>
            <w:r w:rsidRPr="008E3494">
              <w:rPr>
                <w:rFonts w:ascii="Arial" w:hAnsi="Arial" w:cs="Arial"/>
                <w:sz w:val="18"/>
                <w:szCs w:val="18"/>
                <w:lang w:bidi="ar"/>
              </w:rPr>
              <w:t xml:space="preserve"> </w:t>
            </w:r>
            <w:proofErr w:type="spellStart"/>
            <w:r w:rsidRPr="008E3494">
              <w:rPr>
                <w:rFonts w:ascii="Arial" w:hAnsi="Arial" w:cs="Arial"/>
                <w:sz w:val="18"/>
                <w:szCs w:val="18"/>
                <w:lang w:bidi="ar"/>
              </w:rPr>
              <w:t>vencido</w:t>
            </w:r>
            <w:proofErr w:type="spellEnd"/>
            <w:r w:rsidRPr="008E3494">
              <w:rPr>
                <w:rFonts w:ascii="Arial" w:hAnsi="Arial" w:cs="Arial"/>
                <w:sz w:val="18"/>
                <w:szCs w:val="18"/>
                <w:lang w:bidi="ar"/>
              </w:rPr>
              <w:t xml:space="preserve"> el </w:t>
            </w:r>
            <w:proofErr w:type="spellStart"/>
            <w:r w:rsidRPr="008E3494">
              <w:rPr>
                <w:rFonts w:ascii="Arial" w:hAnsi="Arial" w:cs="Arial"/>
                <w:sz w:val="18"/>
                <w:szCs w:val="18"/>
                <w:lang w:bidi="ar"/>
              </w:rPr>
              <w:t>trimestre</w:t>
            </w:r>
            <w:proofErr w:type="spellEnd"/>
          </w:p>
        </w:tc>
      </w:tr>
    </w:tbl>
    <w:p w14:paraId="4E555ACD" w14:textId="77777777" w:rsidR="00AA6EC7" w:rsidRPr="008E3494" w:rsidRDefault="007F5B37">
      <w:pPr>
        <w:pStyle w:val="NormalWeb"/>
        <w:spacing w:before="115" w:beforeAutospacing="0" w:after="240"/>
        <w:ind w:left="720" w:hanging="720"/>
        <w:jc w:val="left"/>
        <w:rPr>
          <w:rFonts w:ascii="Arial" w:hAnsi="Arial" w:cs="Arial"/>
        </w:rPr>
      </w:pPr>
      <w:r w:rsidRPr="008E3494">
        <w:rPr>
          <w:rFonts w:ascii="Arial" w:hAnsi="Arial" w:cs="Arial"/>
        </w:rPr>
        <w:t xml:space="preserve"> </w:t>
      </w:r>
      <w:r w:rsidRPr="008E3494">
        <w:rPr>
          <w:rFonts w:ascii="Arial" w:hAnsi="Arial" w:cs="Arial"/>
        </w:rPr>
        <w:tab/>
      </w:r>
    </w:p>
    <w:p w14:paraId="3B895A1E" w14:textId="77777777" w:rsidR="00B81923" w:rsidRPr="008E3494" w:rsidRDefault="00B81923" w:rsidP="00B81923">
      <w:pPr>
        <w:numPr>
          <w:ilvl w:val="1"/>
          <w:numId w:val="0"/>
        </w:numPr>
        <w:tabs>
          <w:tab w:val="left" w:pos="720"/>
        </w:tabs>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A continuación, se presenta el cuadro de indicadores, por componente, para el monitoreo del programa: </w:t>
      </w:r>
    </w:p>
    <w:p w14:paraId="1F52FD1A" w14:textId="77777777" w:rsidR="00AA6EC7" w:rsidRPr="008E3494" w:rsidRDefault="00AA6EC7">
      <w:pPr>
        <w:pStyle w:val="BodyText"/>
      </w:pPr>
    </w:p>
    <w:p w14:paraId="4DC49DDE" w14:textId="77777777" w:rsidR="00AA6EC7" w:rsidRPr="008E3494" w:rsidRDefault="00AA6EC7">
      <w:pPr>
        <w:pStyle w:val="BodyText"/>
        <w:rPr>
          <w:b/>
          <w:sz w:val="28"/>
        </w:rPr>
      </w:pPr>
    </w:p>
    <w:p w14:paraId="0AE93C2C" w14:textId="77777777" w:rsidR="00AA6EC7" w:rsidRPr="008E3494" w:rsidRDefault="00AA6EC7">
      <w:pPr>
        <w:pStyle w:val="BodyText"/>
        <w:rPr>
          <w:b/>
          <w:sz w:val="28"/>
        </w:rPr>
      </w:pPr>
    </w:p>
    <w:p w14:paraId="30B61464" w14:textId="77777777" w:rsidR="00AA6EC7" w:rsidRPr="008E3494" w:rsidRDefault="00AA6EC7">
      <w:pPr>
        <w:pStyle w:val="BodyText"/>
        <w:rPr>
          <w:b/>
          <w:sz w:val="28"/>
        </w:rPr>
      </w:pPr>
    </w:p>
    <w:bookmarkEnd w:id="7"/>
    <w:p w14:paraId="543900D7" w14:textId="77777777" w:rsidR="00AA6EC7" w:rsidRPr="008E3494" w:rsidRDefault="00AA6EC7">
      <w:pPr>
        <w:pStyle w:val="BodyText"/>
        <w:spacing w:before="7" w:after="1"/>
      </w:pPr>
    </w:p>
    <w:p w14:paraId="29E22102" w14:textId="77777777" w:rsidR="00AA6EC7" w:rsidRPr="008E3494" w:rsidRDefault="00AA6EC7">
      <w:pPr>
        <w:pStyle w:val="BodyText"/>
        <w:spacing w:before="7" w:after="1"/>
        <w:sectPr w:rsidR="00AA6EC7" w:rsidRPr="008E3494">
          <w:pgSz w:w="12240" w:h="15840"/>
          <w:pgMar w:top="1440" w:right="1440" w:bottom="1440" w:left="1440" w:header="720" w:footer="720" w:gutter="0"/>
          <w:cols w:space="720"/>
          <w:docGrid w:linePitch="360"/>
        </w:sectPr>
      </w:pPr>
    </w:p>
    <w:p w14:paraId="63190897" w14:textId="5F07510D" w:rsidR="00AA6EC7" w:rsidRPr="008E3494" w:rsidRDefault="007F5B37" w:rsidP="00181B8D">
      <w:pPr>
        <w:pStyle w:val="BodyText"/>
        <w:jc w:val="center"/>
        <w:rPr>
          <w:b/>
          <w:sz w:val="28"/>
          <w:lang w:val="en-US"/>
        </w:rPr>
      </w:pPr>
      <w:r w:rsidRPr="008E3494">
        <w:rPr>
          <w:b/>
          <w:sz w:val="28"/>
        </w:rPr>
        <w:lastRenderedPageBreak/>
        <w:t>Indicadores</w:t>
      </w:r>
      <w:bookmarkStart w:id="9" w:name="_bookmark13"/>
      <w:bookmarkStart w:id="10" w:name="_bookmark12"/>
      <w:bookmarkEnd w:id="9"/>
      <w:bookmarkEnd w:id="10"/>
    </w:p>
    <w:tbl>
      <w:tblPr>
        <w:tblpPr w:leftFromText="180" w:rightFromText="180" w:vertAnchor="text" w:horzAnchor="page" w:tblpX="1277" w:tblpY="215"/>
        <w:tblOverlap w:val="never"/>
        <w:tblW w:w="13081" w:type="dxa"/>
        <w:tblLayout w:type="fixed"/>
        <w:tblCellMar>
          <w:top w:w="15" w:type="dxa"/>
          <w:left w:w="15" w:type="dxa"/>
          <w:bottom w:w="15" w:type="dxa"/>
          <w:right w:w="15" w:type="dxa"/>
        </w:tblCellMar>
        <w:tblLook w:val="04A0" w:firstRow="1" w:lastRow="0" w:firstColumn="1" w:lastColumn="0" w:noHBand="0" w:noVBand="1"/>
      </w:tblPr>
      <w:tblGrid>
        <w:gridCol w:w="3925"/>
        <w:gridCol w:w="1140"/>
        <w:gridCol w:w="732"/>
        <w:gridCol w:w="996"/>
        <w:gridCol w:w="996"/>
        <w:gridCol w:w="996"/>
        <w:gridCol w:w="996"/>
        <w:gridCol w:w="37"/>
        <w:gridCol w:w="960"/>
        <w:gridCol w:w="2303"/>
      </w:tblGrid>
      <w:tr w:rsidR="00AA6EC7" w:rsidRPr="008E3494" w14:paraId="03985A1A" w14:textId="77777777">
        <w:trPr>
          <w:trHeight w:val="620"/>
        </w:trPr>
        <w:tc>
          <w:tcPr>
            <w:tcW w:w="3925" w:type="dxa"/>
            <w:tcBorders>
              <w:top w:val="single" w:sz="12" w:space="0" w:color="000000"/>
              <w:left w:val="single" w:sz="12" w:space="0" w:color="000000"/>
              <w:bottom w:val="single" w:sz="12" w:space="0" w:color="000000"/>
              <w:right w:val="single" w:sz="12" w:space="0" w:color="000000"/>
            </w:tcBorders>
            <w:shd w:val="clear" w:color="auto" w:fill="DBE5F1"/>
            <w:vAlign w:val="center"/>
          </w:tcPr>
          <w:p w14:paraId="526B71E7" w14:textId="77777777" w:rsidR="00AA6EC7" w:rsidRPr="008E3494" w:rsidRDefault="007F5B37" w:rsidP="00845DE2">
            <w:pPr>
              <w:spacing w:after="0" w:line="240" w:lineRule="auto"/>
              <w:jc w:val="center"/>
              <w:textAlignment w:val="center"/>
              <w:rPr>
                <w:rFonts w:ascii="Arial" w:hAnsi="Arial" w:cs="Arial"/>
                <w:b/>
                <w:color w:val="000000"/>
                <w:sz w:val="18"/>
                <w:szCs w:val="18"/>
              </w:rPr>
            </w:pPr>
            <w:proofErr w:type="spellStart"/>
            <w:r w:rsidRPr="008E3494">
              <w:rPr>
                <w:rFonts w:ascii="Arial" w:eastAsia="SimSun" w:hAnsi="Arial" w:cs="Arial"/>
                <w:b/>
                <w:color w:val="000000"/>
                <w:sz w:val="18"/>
                <w:szCs w:val="18"/>
                <w:lang w:val="en-US" w:eastAsia="zh-CN" w:bidi="ar"/>
              </w:rPr>
              <w:t>Indicador</w:t>
            </w:r>
            <w:proofErr w:type="spellEnd"/>
          </w:p>
        </w:tc>
        <w:tc>
          <w:tcPr>
            <w:tcW w:w="1140" w:type="dxa"/>
            <w:tcBorders>
              <w:top w:val="single" w:sz="12" w:space="0" w:color="000000"/>
              <w:bottom w:val="single" w:sz="12" w:space="0" w:color="000000"/>
              <w:right w:val="single" w:sz="12" w:space="0" w:color="000000"/>
            </w:tcBorders>
            <w:shd w:val="clear" w:color="auto" w:fill="DBE5F1"/>
            <w:vAlign w:val="center"/>
          </w:tcPr>
          <w:p w14:paraId="7EFD9E14" w14:textId="77777777" w:rsidR="00AA6EC7" w:rsidRPr="008E3494" w:rsidRDefault="007F5B37" w:rsidP="00845DE2">
            <w:pPr>
              <w:spacing w:after="0" w:line="240" w:lineRule="auto"/>
              <w:jc w:val="center"/>
              <w:textAlignment w:val="center"/>
              <w:rPr>
                <w:rFonts w:ascii="Arial" w:hAnsi="Arial" w:cs="Arial"/>
                <w:b/>
                <w:color w:val="000000"/>
                <w:sz w:val="18"/>
                <w:szCs w:val="18"/>
              </w:rPr>
            </w:pPr>
            <w:r w:rsidRPr="008E3494">
              <w:rPr>
                <w:rFonts w:ascii="Arial" w:eastAsia="SimSun" w:hAnsi="Arial" w:cs="Arial"/>
                <w:b/>
                <w:color w:val="000000"/>
                <w:sz w:val="18"/>
                <w:szCs w:val="18"/>
                <w:lang w:val="en-US" w:eastAsia="zh-CN" w:bidi="ar"/>
              </w:rPr>
              <w:t>Unidad</w:t>
            </w:r>
          </w:p>
        </w:tc>
        <w:tc>
          <w:tcPr>
            <w:tcW w:w="732" w:type="dxa"/>
            <w:tcBorders>
              <w:top w:val="single" w:sz="12" w:space="0" w:color="000000"/>
              <w:bottom w:val="single" w:sz="12" w:space="0" w:color="000000"/>
              <w:right w:val="single" w:sz="12" w:space="0" w:color="000000"/>
            </w:tcBorders>
            <w:shd w:val="clear" w:color="auto" w:fill="DBE5F1"/>
            <w:vAlign w:val="center"/>
          </w:tcPr>
          <w:p w14:paraId="62A66C6F" w14:textId="77777777" w:rsidR="00AA6EC7" w:rsidRPr="008E3494" w:rsidRDefault="007F5B37" w:rsidP="00845DE2">
            <w:pPr>
              <w:spacing w:after="0" w:line="240" w:lineRule="auto"/>
              <w:jc w:val="center"/>
              <w:textAlignment w:val="center"/>
              <w:rPr>
                <w:rFonts w:ascii="Arial" w:hAnsi="Arial" w:cs="Arial"/>
                <w:b/>
                <w:color w:val="000000"/>
                <w:sz w:val="18"/>
                <w:szCs w:val="18"/>
              </w:rPr>
            </w:pPr>
            <w:proofErr w:type="spellStart"/>
            <w:r w:rsidRPr="008E3494">
              <w:rPr>
                <w:rFonts w:ascii="Arial" w:eastAsia="SimSun" w:hAnsi="Arial" w:cs="Arial"/>
                <w:b/>
                <w:color w:val="000000"/>
                <w:sz w:val="18"/>
                <w:szCs w:val="18"/>
                <w:lang w:val="en-US" w:eastAsia="zh-CN" w:bidi="ar"/>
              </w:rPr>
              <w:t>Línea</w:t>
            </w:r>
            <w:proofErr w:type="spellEnd"/>
            <w:r w:rsidRPr="008E3494">
              <w:rPr>
                <w:rFonts w:ascii="Arial" w:eastAsia="SimSun" w:hAnsi="Arial" w:cs="Arial"/>
                <w:b/>
                <w:color w:val="000000"/>
                <w:sz w:val="18"/>
                <w:szCs w:val="18"/>
                <w:lang w:val="en-US" w:eastAsia="zh-CN" w:bidi="ar"/>
              </w:rPr>
              <w:t xml:space="preserve"> base</w:t>
            </w:r>
          </w:p>
        </w:tc>
        <w:tc>
          <w:tcPr>
            <w:tcW w:w="996" w:type="dxa"/>
            <w:tcBorders>
              <w:top w:val="single" w:sz="12" w:space="0" w:color="000000"/>
              <w:bottom w:val="single" w:sz="12" w:space="0" w:color="000000"/>
              <w:right w:val="single" w:sz="12" w:space="0" w:color="000000"/>
            </w:tcBorders>
            <w:shd w:val="clear" w:color="auto" w:fill="DBE5F1"/>
            <w:vAlign w:val="center"/>
          </w:tcPr>
          <w:p w14:paraId="259AD23D" w14:textId="77777777" w:rsidR="00AA6EC7" w:rsidRPr="008E3494" w:rsidRDefault="007F5B37" w:rsidP="00845DE2">
            <w:pPr>
              <w:spacing w:after="0" w:line="240" w:lineRule="auto"/>
              <w:jc w:val="center"/>
              <w:textAlignment w:val="center"/>
              <w:rPr>
                <w:rFonts w:ascii="Arial" w:hAnsi="Arial" w:cs="Arial"/>
                <w:b/>
                <w:color w:val="000000"/>
                <w:sz w:val="18"/>
                <w:szCs w:val="18"/>
              </w:rPr>
            </w:pPr>
            <w:proofErr w:type="spellStart"/>
            <w:r w:rsidRPr="008E3494">
              <w:rPr>
                <w:rFonts w:ascii="Arial" w:eastAsia="SimSun" w:hAnsi="Arial" w:cs="Arial"/>
                <w:b/>
                <w:color w:val="000000"/>
                <w:sz w:val="18"/>
                <w:szCs w:val="18"/>
                <w:lang w:val="en-US" w:eastAsia="zh-CN" w:bidi="ar"/>
              </w:rPr>
              <w:t>Año</w:t>
            </w:r>
            <w:proofErr w:type="spellEnd"/>
            <w:r w:rsidRPr="008E3494">
              <w:rPr>
                <w:rFonts w:ascii="Arial" w:eastAsia="SimSun" w:hAnsi="Arial" w:cs="Arial"/>
                <w:b/>
                <w:color w:val="000000"/>
                <w:sz w:val="18"/>
                <w:szCs w:val="18"/>
                <w:lang w:val="en-US" w:eastAsia="zh-CN" w:bidi="ar"/>
              </w:rPr>
              <w:t xml:space="preserve"> 1</w:t>
            </w:r>
          </w:p>
        </w:tc>
        <w:tc>
          <w:tcPr>
            <w:tcW w:w="996" w:type="dxa"/>
            <w:tcBorders>
              <w:top w:val="single" w:sz="12" w:space="0" w:color="000000"/>
              <w:bottom w:val="single" w:sz="12" w:space="0" w:color="000000"/>
              <w:right w:val="single" w:sz="12" w:space="0" w:color="000000"/>
            </w:tcBorders>
            <w:shd w:val="clear" w:color="auto" w:fill="DBE5F1"/>
            <w:vAlign w:val="center"/>
          </w:tcPr>
          <w:p w14:paraId="3F8047ED" w14:textId="77777777" w:rsidR="00AA6EC7" w:rsidRPr="008E3494" w:rsidRDefault="007F5B37" w:rsidP="00845DE2">
            <w:pPr>
              <w:spacing w:after="0" w:line="240" w:lineRule="auto"/>
              <w:jc w:val="center"/>
              <w:textAlignment w:val="center"/>
              <w:rPr>
                <w:rFonts w:ascii="Arial" w:hAnsi="Arial" w:cs="Arial"/>
                <w:b/>
                <w:color w:val="000000"/>
                <w:sz w:val="18"/>
                <w:szCs w:val="18"/>
              </w:rPr>
            </w:pPr>
            <w:proofErr w:type="spellStart"/>
            <w:r w:rsidRPr="008E3494">
              <w:rPr>
                <w:rFonts w:ascii="Arial" w:eastAsia="SimSun" w:hAnsi="Arial" w:cs="Arial"/>
                <w:b/>
                <w:color w:val="000000"/>
                <w:sz w:val="18"/>
                <w:szCs w:val="18"/>
                <w:lang w:val="en-US" w:eastAsia="zh-CN" w:bidi="ar"/>
              </w:rPr>
              <w:t>Año</w:t>
            </w:r>
            <w:proofErr w:type="spellEnd"/>
            <w:r w:rsidRPr="008E3494">
              <w:rPr>
                <w:rFonts w:ascii="Arial" w:eastAsia="SimSun" w:hAnsi="Arial" w:cs="Arial"/>
                <w:b/>
                <w:color w:val="000000"/>
                <w:sz w:val="18"/>
                <w:szCs w:val="18"/>
                <w:lang w:val="en-US" w:eastAsia="zh-CN" w:bidi="ar"/>
              </w:rPr>
              <w:t xml:space="preserve"> 2</w:t>
            </w:r>
          </w:p>
        </w:tc>
        <w:tc>
          <w:tcPr>
            <w:tcW w:w="996" w:type="dxa"/>
            <w:tcBorders>
              <w:top w:val="single" w:sz="12" w:space="0" w:color="000000"/>
              <w:bottom w:val="single" w:sz="12" w:space="0" w:color="000000"/>
              <w:right w:val="single" w:sz="12" w:space="0" w:color="000000"/>
            </w:tcBorders>
            <w:shd w:val="clear" w:color="auto" w:fill="DBE5F1"/>
            <w:vAlign w:val="center"/>
          </w:tcPr>
          <w:p w14:paraId="375419CD" w14:textId="77777777" w:rsidR="00AA6EC7" w:rsidRPr="008E3494" w:rsidRDefault="007F5B37" w:rsidP="00845DE2">
            <w:pPr>
              <w:spacing w:after="0" w:line="240" w:lineRule="auto"/>
              <w:jc w:val="center"/>
              <w:textAlignment w:val="center"/>
              <w:rPr>
                <w:rFonts w:ascii="Arial" w:hAnsi="Arial" w:cs="Arial"/>
                <w:b/>
                <w:color w:val="000000"/>
                <w:sz w:val="18"/>
                <w:szCs w:val="18"/>
              </w:rPr>
            </w:pPr>
            <w:proofErr w:type="spellStart"/>
            <w:r w:rsidRPr="008E3494">
              <w:rPr>
                <w:rFonts w:ascii="Arial" w:eastAsia="SimSun" w:hAnsi="Arial" w:cs="Arial"/>
                <w:b/>
                <w:color w:val="000000"/>
                <w:sz w:val="18"/>
                <w:szCs w:val="18"/>
                <w:lang w:val="en-US" w:eastAsia="zh-CN" w:bidi="ar"/>
              </w:rPr>
              <w:t>Año</w:t>
            </w:r>
            <w:proofErr w:type="spellEnd"/>
            <w:r w:rsidRPr="008E3494">
              <w:rPr>
                <w:rFonts w:ascii="Arial" w:eastAsia="SimSun" w:hAnsi="Arial" w:cs="Arial"/>
                <w:b/>
                <w:color w:val="000000"/>
                <w:sz w:val="18"/>
                <w:szCs w:val="18"/>
                <w:lang w:val="en-US" w:eastAsia="zh-CN" w:bidi="ar"/>
              </w:rPr>
              <w:t xml:space="preserve"> 3</w:t>
            </w:r>
          </w:p>
        </w:tc>
        <w:tc>
          <w:tcPr>
            <w:tcW w:w="996" w:type="dxa"/>
            <w:tcBorders>
              <w:top w:val="single" w:sz="12" w:space="0" w:color="000000"/>
              <w:bottom w:val="single" w:sz="12" w:space="0" w:color="000000"/>
              <w:right w:val="single" w:sz="12" w:space="0" w:color="000000"/>
            </w:tcBorders>
            <w:shd w:val="clear" w:color="auto" w:fill="DBE5F1"/>
            <w:vAlign w:val="center"/>
          </w:tcPr>
          <w:p w14:paraId="306EAAFC" w14:textId="77777777" w:rsidR="00AA6EC7" w:rsidRPr="008E3494" w:rsidRDefault="007F5B37" w:rsidP="00845DE2">
            <w:pPr>
              <w:spacing w:after="0" w:line="240" w:lineRule="auto"/>
              <w:jc w:val="center"/>
              <w:textAlignment w:val="center"/>
              <w:rPr>
                <w:rFonts w:ascii="Arial" w:hAnsi="Arial" w:cs="Arial"/>
                <w:b/>
                <w:color w:val="000000"/>
                <w:sz w:val="18"/>
                <w:szCs w:val="18"/>
              </w:rPr>
            </w:pPr>
            <w:proofErr w:type="spellStart"/>
            <w:r w:rsidRPr="008E3494">
              <w:rPr>
                <w:rFonts w:ascii="Arial" w:eastAsia="SimSun" w:hAnsi="Arial" w:cs="Arial"/>
                <w:b/>
                <w:color w:val="000000"/>
                <w:sz w:val="18"/>
                <w:szCs w:val="18"/>
                <w:lang w:val="en-US" w:eastAsia="zh-CN" w:bidi="ar"/>
              </w:rPr>
              <w:t>Año</w:t>
            </w:r>
            <w:proofErr w:type="spellEnd"/>
            <w:r w:rsidRPr="008E3494">
              <w:rPr>
                <w:rFonts w:ascii="Arial" w:eastAsia="SimSun" w:hAnsi="Arial" w:cs="Arial"/>
                <w:b/>
                <w:color w:val="000000"/>
                <w:sz w:val="18"/>
                <w:szCs w:val="18"/>
                <w:lang w:val="en-US" w:eastAsia="zh-CN" w:bidi="ar"/>
              </w:rPr>
              <w:t xml:space="preserve"> 4</w:t>
            </w:r>
          </w:p>
        </w:tc>
        <w:tc>
          <w:tcPr>
            <w:tcW w:w="997" w:type="dxa"/>
            <w:gridSpan w:val="2"/>
            <w:tcBorders>
              <w:top w:val="single" w:sz="12" w:space="0" w:color="000000"/>
              <w:bottom w:val="single" w:sz="12" w:space="0" w:color="000000"/>
              <w:right w:val="single" w:sz="12" w:space="0" w:color="000000"/>
            </w:tcBorders>
            <w:shd w:val="clear" w:color="auto" w:fill="DBE5F1"/>
            <w:vAlign w:val="center"/>
          </w:tcPr>
          <w:p w14:paraId="20A25366" w14:textId="77777777" w:rsidR="00AA6EC7" w:rsidRPr="008E3494" w:rsidRDefault="007F5B37" w:rsidP="00845DE2">
            <w:pPr>
              <w:spacing w:after="0" w:line="240" w:lineRule="auto"/>
              <w:jc w:val="center"/>
              <w:textAlignment w:val="center"/>
              <w:rPr>
                <w:rFonts w:ascii="Arial" w:hAnsi="Arial" w:cs="Arial"/>
                <w:b/>
                <w:color w:val="000000"/>
                <w:sz w:val="18"/>
                <w:szCs w:val="18"/>
                <w:lang w:val="en-US"/>
              </w:rPr>
            </w:pPr>
            <w:r w:rsidRPr="008E3494">
              <w:rPr>
                <w:rFonts w:ascii="Arial" w:eastAsia="SimSun" w:hAnsi="Arial" w:cs="Arial"/>
                <w:b/>
                <w:color w:val="000000"/>
                <w:sz w:val="18"/>
                <w:szCs w:val="18"/>
                <w:lang w:val="en-US" w:eastAsia="zh-CN" w:bidi="ar"/>
              </w:rPr>
              <w:t>Meta final</w:t>
            </w:r>
          </w:p>
        </w:tc>
        <w:tc>
          <w:tcPr>
            <w:tcW w:w="2303" w:type="dxa"/>
            <w:tcBorders>
              <w:top w:val="single" w:sz="12" w:space="0" w:color="000000"/>
              <w:bottom w:val="single" w:sz="12" w:space="0" w:color="000000"/>
              <w:right w:val="single" w:sz="12" w:space="0" w:color="000000"/>
            </w:tcBorders>
            <w:shd w:val="clear" w:color="auto" w:fill="DBE5F1"/>
            <w:vAlign w:val="center"/>
          </w:tcPr>
          <w:p w14:paraId="0E663F55" w14:textId="77777777" w:rsidR="00AA6EC7" w:rsidRPr="008E3494" w:rsidRDefault="007F5B37" w:rsidP="00845DE2">
            <w:pPr>
              <w:spacing w:after="0" w:line="240" w:lineRule="auto"/>
              <w:jc w:val="center"/>
              <w:textAlignment w:val="center"/>
              <w:rPr>
                <w:rFonts w:ascii="Arial" w:hAnsi="Arial" w:cs="Arial"/>
                <w:b/>
                <w:color w:val="000000"/>
                <w:sz w:val="18"/>
                <w:szCs w:val="18"/>
              </w:rPr>
            </w:pPr>
            <w:r w:rsidRPr="008E3494">
              <w:rPr>
                <w:rFonts w:ascii="Arial" w:eastAsia="SimSun" w:hAnsi="Arial" w:cs="Arial"/>
                <w:b/>
                <w:color w:val="000000"/>
                <w:sz w:val="18"/>
                <w:szCs w:val="18"/>
                <w:lang w:val="en-US" w:eastAsia="zh-CN" w:bidi="ar"/>
              </w:rPr>
              <w:t xml:space="preserve">Medio de </w:t>
            </w:r>
            <w:proofErr w:type="spellStart"/>
            <w:r w:rsidRPr="008E3494">
              <w:rPr>
                <w:rFonts w:ascii="Arial" w:eastAsia="SimSun" w:hAnsi="Arial" w:cs="Arial"/>
                <w:b/>
                <w:color w:val="000000"/>
                <w:sz w:val="18"/>
                <w:szCs w:val="18"/>
                <w:lang w:val="en-US" w:eastAsia="zh-CN" w:bidi="ar"/>
              </w:rPr>
              <w:t>verificación</w:t>
            </w:r>
            <w:proofErr w:type="spellEnd"/>
          </w:p>
        </w:tc>
      </w:tr>
      <w:tr w:rsidR="00AA6EC7" w:rsidRPr="008E3494" w14:paraId="5A9E687B" w14:textId="77777777" w:rsidTr="00845DE2">
        <w:trPr>
          <w:trHeight w:val="289"/>
        </w:trPr>
        <w:tc>
          <w:tcPr>
            <w:tcW w:w="13081" w:type="dxa"/>
            <w:gridSpan w:val="10"/>
            <w:tcBorders>
              <w:left w:val="single" w:sz="12" w:space="0" w:color="000000"/>
              <w:bottom w:val="single" w:sz="12" w:space="0" w:color="000000"/>
              <w:right w:val="single" w:sz="12" w:space="0" w:color="000000"/>
            </w:tcBorders>
            <w:shd w:val="clear" w:color="auto" w:fill="C0C0C0"/>
            <w:vAlign w:val="center"/>
          </w:tcPr>
          <w:p w14:paraId="06C55018" w14:textId="77777777" w:rsidR="00AA6EC7" w:rsidRPr="008E3494" w:rsidRDefault="007F5B37" w:rsidP="00845DE2">
            <w:pPr>
              <w:spacing w:after="0" w:line="240" w:lineRule="auto"/>
              <w:jc w:val="both"/>
              <w:rPr>
                <w:rFonts w:ascii="Arial" w:hAnsi="Arial" w:cs="Arial"/>
                <w:b/>
                <w:color w:val="000000"/>
                <w:sz w:val="18"/>
                <w:szCs w:val="18"/>
              </w:rPr>
            </w:pPr>
            <w:r w:rsidRPr="008E3494">
              <w:rPr>
                <w:rFonts w:ascii="Arial" w:eastAsia="SimSun" w:hAnsi="Arial" w:cs="Arial"/>
                <w:b/>
                <w:color w:val="000000"/>
                <w:sz w:val="18"/>
                <w:szCs w:val="18"/>
                <w:lang w:eastAsia="zh-CN" w:bidi="ar"/>
              </w:rPr>
              <w:t>Componente 1: Subsidios para construcción de vivienda nueva en terreno propio rural o urbano marginal.</w:t>
            </w:r>
          </w:p>
        </w:tc>
      </w:tr>
      <w:tr w:rsidR="00AA6EC7" w:rsidRPr="008E3494" w14:paraId="7827D49B"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0A1B26A1"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Número de subsidios monetarios entregados para construcción de vivienda nueva en área rural o urbano marginal</w:t>
            </w:r>
          </w:p>
        </w:tc>
        <w:tc>
          <w:tcPr>
            <w:tcW w:w="1140" w:type="dxa"/>
            <w:tcBorders>
              <w:bottom w:val="single" w:sz="12" w:space="0" w:color="000000"/>
              <w:right w:val="single" w:sz="12" w:space="0" w:color="000000"/>
            </w:tcBorders>
            <w:shd w:val="clear" w:color="auto" w:fill="auto"/>
            <w:vAlign w:val="center"/>
          </w:tcPr>
          <w:p w14:paraId="4EA5B033" w14:textId="77777777" w:rsidR="00AA6EC7" w:rsidRPr="008E3494" w:rsidRDefault="007F5B37" w:rsidP="00B81923">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Subsidios</w:t>
            </w:r>
            <w:proofErr w:type="spellEnd"/>
            <w:r w:rsidRPr="008E3494">
              <w:rPr>
                <w:rFonts w:ascii="Arial" w:eastAsia="SimSun" w:hAnsi="Arial" w:cs="Arial"/>
                <w:color w:val="000000"/>
                <w:sz w:val="18"/>
                <w:szCs w:val="18"/>
                <w:lang w:val="en-US" w:eastAsia="zh-CN" w:bidi="ar"/>
              </w:rPr>
              <w:t xml:space="preserve"> </w:t>
            </w:r>
            <w:proofErr w:type="spellStart"/>
            <w:r w:rsidRPr="008E3494">
              <w:rPr>
                <w:rFonts w:ascii="Arial" w:eastAsia="SimSun" w:hAnsi="Arial" w:cs="Arial"/>
                <w:color w:val="000000"/>
                <w:sz w:val="18"/>
                <w:szCs w:val="18"/>
                <w:lang w:val="en-US" w:eastAsia="zh-CN" w:bidi="ar"/>
              </w:rPr>
              <w:t>monetarios</w:t>
            </w:r>
            <w:proofErr w:type="spellEnd"/>
          </w:p>
        </w:tc>
        <w:tc>
          <w:tcPr>
            <w:tcW w:w="732" w:type="dxa"/>
            <w:tcBorders>
              <w:top w:val="single" w:sz="12" w:space="0" w:color="000000"/>
              <w:bottom w:val="single" w:sz="12" w:space="0" w:color="000000"/>
              <w:right w:val="single" w:sz="12" w:space="0" w:color="000000"/>
            </w:tcBorders>
            <w:shd w:val="clear" w:color="auto" w:fill="auto"/>
            <w:vAlign w:val="center"/>
          </w:tcPr>
          <w:p w14:paraId="456579D5"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0</w:t>
            </w:r>
          </w:p>
        </w:tc>
        <w:tc>
          <w:tcPr>
            <w:tcW w:w="996" w:type="dxa"/>
            <w:tcBorders>
              <w:top w:val="single" w:sz="12" w:space="0" w:color="000000"/>
              <w:bottom w:val="single" w:sz="12" w:space="0" w:color="000000"/>
              <w:right w:val="single" w:sz="12" w:space="0" w:color="000000"/>
            </w:tcBorders>
            <w:shd w:val="clear" w:color="auto" w:fill="auto"/>
            <w:vAlign w:val="center"/>
          </w:tcPr>
          <w:p w14:paraId="60FFAA08" w14:textId="77777777" w:rsidR="00AA6EC7" w:rsidRPr="008E3494" w:rsidRDefault="007F5B37" w:rsidP="00B81923">
            <w:pPr>
              <w:spacing w:after="0" w:line="240" w:lineRule="auto"/>
              <w:jc w:val="center"/>
              <w:textAlignment w:val="bottom"/>
              <w:rPr>
                <w:rFonts w:ascii="Arial" w:eastAsia="SimSun" w:hAnsi="Arial" w:cs="Arial"/>
                <w:color w:val="000000"/>
                <w:sz w:val="18"/>
                <w:szCs w:val="18"/>
                <w:lang w:val="en-US" w:eastAsia="zh-CN" w:bidi="ar"/>
              </w:rPr>
            </w:pPr>
            <w:r w:rsidRPr="008E3494">
              <w:rPr>
                <w:rFonts w:ascii="Arial" w:eastAsia="SimSun" w:hAnsi="Arial" w:cs="Arial"/>
                <w:color w:val="000000"/>
                <w:sz w:val="18"/>
                <w:szCs w:val="18"/>
                <w:lang w:val="en-US" w:eastAsia="zh-CN" w:bidi="ar"/>
              </w:rPr>
              <w:t>630</w:t>
            </w:r>
          </w:p>
        </w:tc>
        <w:tc>
          <w:tcPr>
            <w:tcW w:w="996" w:type="dxa"/>
            <w:tcBorders>
              <w:top w:val="single" w:sz="12" w:space="0" w:color="000000"/>
              <w:bottom w:val="single" w:sz="12" w:space="0" w:color="000000"/>
              <w:right w:val="single" w:sz="12" w:space="0" w:color="000000"/>
            </w:tcBorders>
            <w:shd w:val="clear" w:color="auto" w:fill="auto"/>
            <w:vAlign w:val="center"/>
          </w:tcPr>
          <w:p w14:paraId="4B2AE3F3" w14:textId="77777777" w:rsidR="00AA6EC7" w:rsidRPr="008E3494" w:rsidRDefault="007F5B37" w:rsidP="00B81923">
            <w:pPr>
              <w:spacing w:after="0" w:line="240" w:lineRule="auto"/>
              <w:jc w:val="center"/>
              <w:textAlignment w:val="bottom"/>
              <w:rPr>
                <w:rFonts w:ascii="Arial" w:eastAsia="SimSun" w:hAnsi="Arial" w:cs="Arial"/>
                <w:color w:val="000000"/>
                <w:sz w:val="18"/>
                <w:szCs w:val="18"/>
                <w:lang w:val="en-US" w:eastAsia="zh-CN" w:bidi="ar"/>
              </w:rPr>
            </w:pPr>
            <w:r w:rsidRPr="008E3494">
              <w:rPr>
                <w:rFonts w:ascii="Arial" w:eastAsia="SimSun" w:hAnsi="Arial" w:cs="Arial"/>
                <w:color w:val="000000"/>
                <w:sz w:val="18"/>
                <w:szCs w:val="18"/>
                <w:lang w:val="en-US" w:eastAsia="zh-CN" w:bidi="ar"/>
              </w:rPr>
              <w:t>1.050</w:t>
            </w:r>
          </w:p>
        </w:tc>
        <w:tc>
          <w:tcPr>
            <w:tcW w:w="996" w:type="dxa"/>
            <w:tcBorders>
              <w:top w:val="single" w:sz="12" w:space="0" w:color="000000"/>
              <w:bottom w:val="single" w:sz="12" w:space="0" w:color="000000"/>
              <w:right w:val="single" w:sz="12" w:space="0" w:color="000000"/>
            </w:tcBorders>
            <w:shd w:val="clear" w:color="auto" w:fill="auto"/>
            <w:vAlign w:val="center"/>
          </w:tcPr>
          <w:p w14:paraId="4777C276" w14:textId="77777777" w:rsidR="00AA6EC7" w:rsidRPr="008E3494" w:rsidRDefault="007F5B37" w:rsidP="00B81923">
            <w:pPr>
              <w:spacing w:after="0" w:line="240" w:lineRule="auto"/>
              <w:jc w:val="center"/>
              <w:textAlignment w:val="bottom"/>
              <w:rPr>
                <w:rFonts w:ascii="Arial" w:eastAsia="SimSun" w:hAnsi="Arial" w:cs="Arial"/>
                <w:color w:val="000000"/>
                <w:sz w:val="18"/>
                <w:szCs w:val="18"/>
                <w:lang w:val="en-US" w:eastAsia="zh-CN" w:bidi="ar"/>
              </w:rPr>
            </w:pPr>
            <w:r w:rsidRPr="008E3494">
              <w:rPr>
                <w:rFonts w:ascii="Arial" w:eastAsia="SimSun" w:hAnsi="Arial" w:cs="Arial"/>
                <w:color w:val="000000"/>
                <w:sz w:val="18"/>
                <w:szCs w:val="18"/>
                <w:lang w:val="en-US" w:eastAsia="zh-CN" w:bidi="ar"/>
              </w:rPr>
              <w:t>1.260</w:t>
            </w:r>
          </w:p>
        </w:tc>
        <w:tc>
          <w:tcPr>
            <w:tcW w:w="1033" w:type="dxa"/>
            <w:gridSpan w:val="2"/>
            <w:tcBorders>
              <w:top w:val="single" w:sz="12" w:space="0" w:color="000000"/>
              <w:bottom w:val="single" w:sz="12" w:space="0" w:color="000000"/>
              <w:right w:val="single" w:sz="12" w:space="0" w:color="000000"/>
            </w:tcBorders>
            <w:shd w:val="clear" w:color="auto" w:fill="auto"/>
            <w:vAlign w:val="center"/>
          </w:tcPr>
          <w:p w14:paraId="586BF2E5" w14:textId="77777777" w:rsidR="00AA6EC7" w:rsidRPr="008E3494" w:rsidRDefault="007F5B37" w:rsidP="00B81923">
            <w:pPr>
              <w:spacing w:after="0" w:line="240" w:lineRule="auto"/>
              <w:jc w:val="center"/>
              <w:textAlignment w:val="bottom"/>
              <w:rPr>
                <w:rFonts w:ascii="Arial" w:eastAsia="SimSun" w:hAnsi="Arial" w:cs="Arial"/>
                <w:color w:val="000000"/>
                <w:sz w:val="18"/>
                <w:szCs w:val="18"/>
                <w:lang w:val="en-US" w:eastAsia="zh-CN" w:bidi="ar"/>
              </w:rPr>
            </w:pPr>
            <w:r w:rsidRPr="008E3494">
              <w:rPr>
                <w:rFonts w:ascii="Arial" w:eastAsia="SimSun" w:hAnsi="Arial" w:cs="Arial"/>
                <w:color w:val="000000"/>
                <w:sz w:val="18"/>
                <w:szCs w:val="18"/>
                <w:lang w:val="en-US" w:eastAsia="zh-CN" w:bidi="ar"/>
              </w:rPr>
              <w:t>1.260</w:t>
            </w:r>
          </w:p>
        </w:tc>
        <w:tc>
          <w:tcPr>
            <w:tcW w:w="960" w:type="dxa"/>
            <w:tcBorders>
              <w:top w:val="single" w:sz="12" w:space="0" w:color="000000"/>
              <w:bottom w:val="single" w:sz="12" w:space="0" w:color="000000"/>
              <w:right w:val="single" w:sz="12" w:space="0" w:color="000000"/>
            </w:tcBorders>
            <w:shd w:val="clear" w:color="auto" w:fill="auto"/>
            <w:vAlign w:val="center"/>
          </w:tcPr>
          <w:p w14:paraId="405226B7" w14:textId="77777777" w:rsidR="00AA6EC7" w:rsidRPr="008E3494" w:rsidRDefault="007F5B37" w:rsidP="00B81923">
            <w:pPr>
              <w:spacing w:after="0" w:line="240" w:lineRule="auto"/>
              <w:jc w:val="center"/>
              <w:textAlignment w:val="bottom"/>
              <w:rPr>
                <w:rFonts w:ascii="Arial" w:eastAsia="SimSun" w:hAnsi="Arial" w:cs="Arial"/>
                <w:color w:val="000000"/>
                <w:sz w:val="18"/>
                <w:szCs w:val="18"/>
                <w:lang w:val="en-US" w:eastAsia="zh-CN" w:bidi="ar"/>
              </w:rPr>
            </w:pPr>
            <w:r w:rsidRPr="008E3494">
              <w:rPr>
                <w:rFonts w:ascii="Arial" w:eastAsia="SimSun" w:hAnsi="Arial" w:cs="Arial"/>
                <w:color w:val="000000"/>
                <w:sz w:val="18"/>
                <w:szCs w:val="18"/>
                <w:lang w:val="en-US" w:eastAsia="zh-CN" w:bidi="ar"/>
              </w:rPr>
              <w:t>4.200</w:t>
            </w:r>
          </w:p>
        </w:tc>
        <w:tc>
          <w:tcPr>
            <w:tcW w:w="2303" w:type="dxa"/>
            <w:tcBorders>
              <w:top w:val="single" w:sz="12" w:space="0" w:color="000000"/>
              <w:bottom w:val="single" w:sz="12" w:space="0" w:color="000000"/>
              <w:right w:val="single" w:sz="12" w:space="0" w:color="000000"/>
            </w:tcBorders>
            <w:shd w:val="clear" w:color="auto" w:fill="auto"/>
            <w:vAlign w:val="center"/>
          </w:tcPr>
          <w:p w14:paraId="2AA4070F"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 Reportes (matrices) de seguimiento</w:t>
            </w:r>
          </w:p>
          <w:p w14:paraId="71AF9659"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  Actas de entrega-recepción</w:t>
            </w:r>
          </w:p>
        </w:tc>
      </w:tr>
      <w:tr w:rsidR="00AA6EC7" w:rsidRPr="008E3494" w14:paraId="539FC0D5"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2B143D50"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Valor total de subsidios entregados para construcción de vivienda nueva en área rural o urbano marginal</w:t>
            </w:r>
          </w:p>
        </w:tc>
        <w:tc>
          <w:tcPr>
            <w:tcW w:w="1140" w:type="dxa"/>
            <w:tcBorders>
              <w:bottom w:val="single" w:sz="12" w:space="0" w:color="000000"/>
              <w:right w:val="single" w:sz="12" w:space="0" w:color="000000"/>
            </w:tcBorders>
            <w:shd w:val="clear" w:color="auto" w:fill="auto"/>
            <w:vAlign w:val="center"/>
          </w:tcPr>
          <w:p w14:paraId="4280FB68"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USD</w:t>
            </w:r>
          </w:p>
        </w:tc>
        <w:tc>
          <w:tcPr>
            <w:tcW w:w="732" w:type="dxa"/>
            <w:tcBorders>
              <w:bottom w:val="single" w:sz="12" w:space="0" w:color="000000"/>
              <w:right w:val="single" w:sz="12" w:space="0" w:color="000000"/>
            </w:tcBorders>
            <w:shd w:val="clear" w:color="auto" w:fill="auto"/>
            <w:vAlign w:val="center"/>
          </w:tcPr>
          <w:p w14:paraId="69399A59"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0</w:t>
            </w:r>
          </w:p>
        </w:tc>
        <w:tc>
          <w:tcPr>
            <w:tcW w:w="996" w:type="dxa"/>
            <w:tcBorders>
              <w:bottom w:val="single" w:sz="12" w:space="0" w:color="000000"/>
              <w:right w:val="single" w:sz="12" w:space="0" w:color="000000"/>
            </w:tcBorders>
            <w:shd w:val="clear" w:color="auto" w:fill="auto"/>
            <w:vAlign w:val="center"/>
          </w:tcPr>
          <w:p w14:paraId="61E332CE" w14:textId="77777777" w:rsidR="00AA6EC7" w:rsidRPr="008E3494" w:rsidRDefault="007F5B37" w:rsidP="00B81923">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6’300.000</w:t>
            </w:r>
          </w:p>
        </w:tc>
        <w:tc>
          <w:tcPr>
            <w:tcW w:w="996" w:type="dxa"/>
            <w:tcBorders>
              <w:bottom w:val="single" w:sz="12" w:space="0" w:color="000000"/>
              <w:right w:val="single" w:sz="12" w:space="0" w:color="000000"/>
            </w:tcBorders>
            <w:shd w:val="clear" w:color="auto" w:fill="auto"/>
            <w:vAlign w:val="center"/>
          </w:tcPr>
          <w:p w14:paraId="6420E6F2" w14:textId="77777777" w:rsidR="00AA6EC7" w:rsidRPr="008E3494" w:rsidRDefault="007F5B37" w:rsidP="00B81923">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10’500.000</w:t>
            </w:r>
          </w:p>
        </w:tc>
        <w:tc>
          <w:tcPr>
            <w:tcW w:w="996" w:type="dxa"/>
            <w:tcBorders>
              <w:bottom w:val="single" w:sz="12" w:space="0" w:color="000000"/>
              <w:right w:val="single" w:sz="12" w:space="0" w:color="000000"/>
            </w:tcBorders>
            <w:shd w:val="clear" w:color="auto" w:fill="auto"/>
            <w:vAlign w:val="center"/>
          </w:tcPr>
          <w:p w14:paraId="5D48B125" w14:textId="77777777" w:rsidR="00AA6EC7" w:rsidRPr="008E3494" w:rsidRDefault="007F5B37" w:rsidP="00B81923">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12’600.000</w:t>
            </w:r>
          </w:p>
        </w:tc>
        <w:tc>
          <w:tcPr>
            <w:tcW w:w="1033" w:type="dxa"/>
            <w:gridSpan w:val="2"/>
            <w:tcBorders>
              <w:bottom w:val="single" w:sz="12" w:space="0" w:color="000000"/>
              <w:right w:val="single" w:sz="12" w:space="0" w:color="000000"/>
            </w:tcBorders>
            <w:shd w:val="clear" w:color="auto" w:fill="auto"/>
            <w:vAlign w:val="center"/>
          </w:tcPr>
          <w:p w14:paraId="48C0D379" w14:textId="77777777" w:rsidR="00AA6EC7" w:rsidRPr="008E3494" w:rsidRDefault="007F5B37" w:rsidP="00B81923">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12’600.000</w:t>
            </w:r>
          </w:p>
        </w:tc>
        <w:tc>
          <w:tcPr>
            <w:tcW w:w="960" w:type="dxa"/>
            <w:tcBorders>
              <w:bottom w:val="single" w:sz="12" w:space="0" w:color="000000"/>
              <w:right w:val="single" w:sz="12" w:space="0" w:color="000000"/>
            </w:tcBorders>
            <w:shd w:val="clear" w:color="auto" w:fill="auto"/>
            <w:vAlign w:val="center"/>
          </w:tcPr>
          <w:p w14:paraId="287DAC8A" w14:textId="77777777" w:rsidR="00AA6EC7" w:rsidRPr="008E3494" w:rsidRDefault="007F5B37" w:rsidP="00B81923">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42’000.000</w:t>
            </w:r>
          </w:p>
        </w:tc>
        <w:tc>
          <w:tcPr>
            <w:tcW w:w="2303" w:type="dxa"/>
            <w:tcBorders>
              <w:bottom w:val="single" w:sz="12" w:space="0" w:color="000000"/>
              <w:right w:val="single" w:sz="12" w:space="0" w:color="000000"/>
            </w:tcBorders>
            <w:shd w:val="clear" w:color="auto" w:fill="auto"/>
            <w:vAlign w:val="center"/>
          </w:tcPr>
          <w:p w14:paraId="7850ECF7" w14:textId="77777777" w:rsidR="00AA6EC7" w:rsidRPr="008E3494" w:rsidRDefault="007F5B37" w:rsidP="00B81923">
            <w:pPr>
              <w:spacing w:after="0" w:line="240" w:lineRule="auto"/>
              <w:jc w:val="center"/>
              <w:rPr>
                <w:rFonts w:ascii="Arial" w:hAnsi="Arial" w:cs="Arial"/>
                <w:color w:val="000000"/>
                <w:sz w:val="18"/>
                <w:szCs w:val="18"/>
                <w:lang w:val="en-US"/>
              </w:rPr>
            </w:pPr>
            <w:proofErr w:type="spellStart"/>
            <w:r w:rsidRPr="008E3494">
              <w:rPr>
                <w:rFonts w:ascii="Arial" w:hAnsi="Arial" w:cs="Arial"/>
                <w:color w:val="000000"/>
                <w:sz w:val="18"/>
                <w:szCs w:val="18"/>
                <w:lang w:val="en-US"/>
              </w:rPr>
              <w:t>Registros</w:t>
            </w:r>
            <w:proofErr w:type="spellEnd"/>
            <w:r w:rsidRPr="008E3494">
              <w:rPr>
                <w:rFonts w:ascii="Arial" w:hAnsi="Arial" w:cs="Arial"/>
                <w:color w:val="000000"/>
                <w:sz w:val="18"/>
                <w:szCs w:val="18"/>
                <w:lang w:val="en-US"/>
              </w:rPr>
              <w:t xml:space="preserve"> </w:t>
            </w:r>
            <w:proofErr w:type="spellStart"/>
            <w:r w:rsidRPr="008E3494">
              <w:rPr>
                <w:rFonts w:ascii="Arial" w:hAnsi="Arial" w:cs="Arial"/>
                <w:color w:val="000000"/>
                <w:sz w:val="18"/>
                <w:szCs w:val="18"/>
                <w:lang w:val="en-US"/>
              </w:rPr>
              <w:t>contables</w:t>
            </w:r>
            <w:proofErr w:type="spellEnd"/>
          </w:p>
        </w:tc>
      </w:tr>
      <w:tr w:rsidR="00AA6EC7" w:rsidRPr="008E3494" w14:paraId="10999992"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32B58405"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Porcentaje de subsidios monetarios adjudicados para construcción de vivienda nueva en área rural o urbano marginal vs. Subsidios monetarios planificados</w:t>
            </w:r>
          </w:p>
        </w:tc>
        <w:tc>
          <w:tcPr>
            <w:tcW w:w="1140" w:type="dxa"/>
            <w:tcBorders>
              <w:bottom w:val="single" w:sz="12" w:space="0" w:color="000000"/>
              <w:right w:val="single" w:sz="12" w:space="0" w:color="000000"/>
            </w:tcBorders>
            <w:shd w:val="clear" w:color="auto" w:fill="auto"/>
            <w:vAlign w:val="center"/>
          </w:tcPr>
          <w:p w14:paraId="78968915" w14:textId="77777777" w:rsidR="00AA6EC7" w:rsidRPr="008E3494" w:rsidRDefault="007F5B37" w:rsidP="00B81923">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Porcentaje</w:t>
            </w:r>
            <w:proofErr w:type="spellEnd"/>
          </w:p>
        </w:tc>
        <w:tc>
          <w:tcPr>
            <w:tcW w:w="732" w:type="dxa"/>
            <w:tcBorders>
              <w:bottom w:val="single" w:sz="12" w:space="0" w:color="000000"/>
              <w:right w:val="single" w:sz="12" w:space="0" w:color="000000"/>
            </w:tcBorders>
            <w:shd w:val="clear" w:color="auto" w:fill="auto"/>
            <w:vAlign w:val="center"/>
          </w:tcPr>
          <w:p w14:paraId="4215DF98" w14:textId="77777777" w:rsidR="00AA6EC7" w:rsidRPr="008E3494" w:rsidRDefault="007F5B37" w:rsidP="00B81923">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5C2F9286" w14:textId="77777777" w:rsidR="00AA6EC7" w:rsidRPr="008E3494" w:rsidRDefault="007F5B37" w:rsidP="00B81923">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15%</w:t>
            </w:r>
          </w:p>
        </w:tc>
        <w:tc>
          <w:tcPr>
            <w:tcW w:w="996" w:type="dxa"/>
            <w:tcBorders>
              <w:bottom w:val="single" w:sz="12" w:space="0" w:color="000000"/>
              <w:right w:val="single" w:sz="12" w:space="0" w:color="000000"/>
            </w:tcBorders>
            <w:shd w:val="clear" w:color="auto" w:fill="auto"/>
            <w:vAlign w:val="center"/>
          </w:tcPr>
          <w:p w14:paraId="28150363" w14:textId="77777777" w:rsidR="00AA6EC7" w:rsidRPr="008E3494" w:rsidRDefault="007F5B37" w:rsidP="00B81923">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25%</w:t>
            </w:r>
          </w:p>
        </w:tc>
        <w:tc>
          <w:tcPr>
            <w:tcW w:w="996" w:type="dxa"/>
            <w:tcBorders>
              <w:bottom w:val="single" w:sz="12" w:space="0" w:color="000000"/>
              <w:right w:val="single" w:sz="12" w:space="0" w:color="000000"/>
            </w:tcBorders>
            <w:shd w:val="clear" w:color="auto" w:fill="auto"/>
            <w:vAlign w:val="center"/>
          </w:tcPr>
          <w:p w14:paraId="492FA53C" w14:textId="77777777" w:rsidR="00AA6EC7" w:rsidRPr="008E3494" w:rsidRDefault="007F5B37" w:rsidP="00B81923">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30%</w:t>
            </w:r>
          </w:p>
        </w:tc>
        <w:tc>
          <w:tcPr>
            <w:tcW w:w="1033" w:type="dxa"/>
            <w:gridSpan w:val="2"/>
            <w:tcBorders>
              <w:bottom w:val="single" w:sz="12" w:space="0" w:color="000000"/>
              <w:right w:val="single" w:sz="12" w:space="0" w:color="000000"/>
            </w:tcBorders>
            <w:shd w:val="clear" w:color="auto" w:fill="auto"/>
            <w:vAlign w:val="center"/>
          </w:tcPr>
          <w:p w14:paraId="43E2D872" w14:textId="77777777" w:rsidR="00AA6EC7" w:rsidRPr="008E3494" w:rsidRDefault="007F5B37" w:rsidP="00B81923">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30%</w:t>
            </w:r>
          </w:p>
        </w:tc>
        <w:tc>
          <w:tcPr>
            <w:tcW w:w="960" w:type="dxa"/>
            <w:tcBorders>
              <w:bottom w:val="single" w:sz="12" w:space="0" w:color="000000"/>
              <w:right w:val="single" w:sz="12" w:space="0" w:color="000000"/>
            </w:tcBorders>
            <w:shd w:val="clear" w:color="auto" w:fill="auto"/>
            <w:vAlign w:val="center"/>
          </w:tcPr>
          <w:p w14:paraId="70966B99" w14:textId="77777777" w:rsidR="00AA6EC7" w:rsidRPr="008E3494" w:rsidRDefault="007F5B37" w:rsidP="00B81923">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100%</w:t>
            </w:r>
          </w:p>
        </w:tc>
        <w:tc>
          <w:tcPr>
            <w:tcW w:w="2303" w:type="dxa"/>
            <w:tcBorders>
              <w:bottom w:val="single" w:sz="12" w:space="0" w:color="000000"/>
              <w:right w:val="single" w:sz="12" w:space="0" w:color="000000"/>
            </w:tcBorders>
            <w:shd w:val="clear" w:color="auto" w:fill="auto"/>
            <w:vAlign w:val="center"/>
          </w:tcPr>
          <w:p w14:paraId="55AAB2C9"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Reportes (matrices) de seguimiento</w:t>
            </w:r>
          </w:p>
        </w:tc>
      </w:tr>
      <w:tr w:rsidR="00AA6EC7" w:rsidRPr="008E3494" w14:paraId="336EDC70"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6FA533A1"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Porcentaje de subsidios monetarios otorgados para construcción de vivienda nueva en área rural o urbano marginal vs. Subsidios monetarios adjudicados</w:t>
            </w:r>
          </w:p>
        </w:tc>
        <w:tc>
          <w:tcPr>
            <w:tcW w:w="1140" w:type="dxa"/>
            <w:tcBorders>
              <w:bottom w:val="single" w:sz="12" w:space="0" w:color="000000"/>
              <w:right w:val="single" w:sz="12" w:space="0" w:color="000000"/>
            </w:tcBorders>
            <w:shd w:val="clear" w:color="auto" w:fill="auto"/>
            <w:vAlign w:val="center"/>
          </w:tcPr>
          <w:p w14:paraId="2FBA8D2B" w14:textId="77777777" w:rsidR="00AA6EC7" w:rsidRPr="008E3494" w:rsidRDefault="007F5B37" w:rsidP="00B81923">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Porcentaje</w:t>
            </w:r>
            <w:proofErr w:type="spellEnd"/>
          </w:p>
        </w:tc>
        <w:tc>
          <w:tcPr>
            <w:tcW w:w="732" w:type="dxa"/>
            <w:tcBorders>
              <w:bottom w:val="single" w:sz="12" w:space="0" w:color="000000"/>
              <w:right w:val="single" w:sz="12" w:space="0" w:color="000000"/>
            </w:tcBorders>
            <w:shd w:val="clear" w:color="auto" w:fill="auto"/>
            <w:vAlign w:val="center"/>
          </w:tcPr>
          <w:p w14:paraId="22C670D5"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31E3566C" w14:textId="77777777" w:rsidR="00AA6EC7" w:rsidRPr="008E3494" w:rsidRDefault="007F5B37" w:rsidP="00B81923">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15%</w:t>
            </w:r>
          </w:p>
        </w:tc>
        <w:tc>
          <w:tcPr>
            <w:tcW w:w="996" w:type="dxa"/>
            <w:tcBorders>
              <w:bottom w:val="single" w:sz="12" w:space="0" w:color="000000"/>
              <w:right w:val="single" w:sz="12" w:space="0" w:color="000000"/>
            </w:tcBorders>
            <w:shd w:val="clear" w:color="auto" w:fill="auto"/>
            <w:vAlign w:val="center"/>
          </w:tcPr>
          <w:p w14:paraId="79774C2A" w14:textId="77777777" w:rsidR="00AA6EC7" w:rsidRPr="008E3494" w:rsidRDefault="007F5B37" w:rsidP="00B81923">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25%</w:t>
            </w:r>
          </w:p>
        </w:tc>
        <w:tc>
          <w:tcPr>
            <w:tcW w:w="996" w:type="dxa"/>
            <w:tcBorders>
              <w:bottom w:val="single" w:sz="12" w:space="0" w:color="000000"/>
              <w:right w:val="single" w:sz="12" w:space="0" w:color="000000"/>
            </w:tcBorders>
            <w:shd w:val="clear" w:color="auto" w:fill="auto"/>
            <w:vAlign w:val="center"/>
          </w:tcPr>
          <w:p w14:paraId="70B1ECC7" w14:textId="77777777" w:rsidR="00AA6EC7" w:rsidRPr="008E3494" w:rsidRDefault="007F5B37" w:rsidP="00B81923">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30%</w:t>
            </w:r>
          </w:p>
        </w:tc>
        <w:tc>
          <w:tcPr>
            <w:tcW w:w="1033" w:type="dxa"/>
            <w:gridSpan w:val="2"/>
            <w:tcBorders>
              <w:bottom w:val="single" w:sz="12" w:space="0" w:color="000000"/>
              <w:right w:val="single" w:sz="12" w:space="0" w:color="000000"/>
            </w:tcBorders>
            <w:shd w:val="clear" w:color="auto" w:fill="auto"/>
            <w:vAlign w:val="center"/>
          </w:tcPr>
          <w:p w14:paraId="74D58281" w14:textId="77777777" w:rsidR="00AA6EC7" w:rsidRPr="008E3494" w:rsidRDefault="007F5B37" w:rsidP="00B81923">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30%</w:t>
            </w:r>
          </w:p>
        </w:tc>
        <w:tc>
          <w:tcPr>
            <w:tcW w:w="960" w:type="dxa"/>
            <w:tcBorders>
              <w:bottom w:val="single" w:sz="12" w:space="0" w:color="000000"/>
              <w:right w:val="single" w:sz="12" w:space="0" w:color="000000"/>
            </w:tcBorders>
            <w:shd w:val="clear" w:color="auto" w:fill="auto"/>
            <w:vAlign w:val="center"/>
          </w:tcPr>
          <w:p w14:paraId="3DFC8493" w14:textId="77777777" w:rsidR="00AA6EC7" w:rsidRPr="008E3494" w:rsidRDefault="007F5B37" w:rsidP="00B81923">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100%</w:t>
            </w:r>
          </w:p>
        </w:tc>
        <w:tc>
          <w:tcPr>
            <w:tcW w:w="2303" w:type="dxa"/>
            <w:tcBorders>
              <w:bottom w:val="single" w:sz="12" w:space="0" w:color="000000"/>
              <w:right w:val="single" w:sz="12" w:space="0" w:color="000000"/>
            </w:tcBorders>
            <w:shd w:val="clear" w:color="auto" w:fill="auto"/>
            <w:vAlign w:val="center"/>
          </w:tcPr>
          <w:p w14:paraId="1B76E308"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 Reportes (matrices) de seguimiento</w:t>
            </w:r>
          </w:p>
          <w:p w14:paraId="3AF06566"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  Actas de entrega-recepción</w:t>
            </w:r>
          </w:p>
        </w:tc>
      </w:tr>
      <w:tr w:rsidR="00AA6EC7" w:rsidRPr="008E3494" w14:paraId="20103577"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3F0B7B1F"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Número de viviendas nuevas construidas en área rural o urbano marginal</w:t>
            </w:r>
          </w:p>
        </w:tc>
        <w:tc>
          <w:tcPr>
            <w:tcW w:w="1140" w:type="dxa"/>
            <w:tcBorders>
              <w:bottom w:val="single" w:sz="12" w:space="0" w:color="000000"/>
              <w:right w:val="single" w:sz="12" w:space="0" w:color="000000"/>
            </w:tcBorders>
            <w:shd w:val="clear" w:color="auto" w:fill="auto"/>
            <w:vAlign w:val="center"/>
          </w:tcPr>
          <w:p w14:paraId="367F2436" w14:textId="77777777" w:rsidR="00AA6EC7" w:rsidRPr="008E3494" w:rsidRDefault="007F5B37" w:rsidP="00B81923">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Viviendas</w:t>
            </w:r>
            <w:proofErr w:type="spellEnd"/>
          </w:p>
        </w:tc>
        <w:tc>
          <w:tcPr>
            <w:tcW w:w="732" w:type="dxa"/>
            <w:tcBorders>
              <w:bottom w:val="single" w:sz="12" w:space="0" w:color="000000"/>
              <w:right w:val="single" w:sz="12" w:space="0" w:color="000000"/>
            </w:tcBorders>
            <w:shd w:val="clear" w:color="auto" w:fill="auto"/>
            <w:vAlign w:val="center"/>
          </w:tcPr>
          <w:p w14:paraId="469CFE30"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0</w:t>
            </w:r>
          </w:p>
        </w:tc>
        <w:tc>
          <w:tcPr>
            <w:tcW w:w="996" w:type="dxa"/>
            <w:tcBorders>
              <w:bottom w:val="single" w:sz="12" w:space="0" w:color="000000"/>
              <w:right w:val="single" w:sz="12" w:space="0" w:color="000000"/>
            </w:tcBorders>
            <w:shd w:val="clear" w:color="auto" w:fill="auto"/>
            <w:vAlign w:val="center"/>
          </w:tcPr>
          <w:p w14:paraId="0FD057B9"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630</w:t>
            </w:r>
          </w:p>
        </w:tc>
        <w:tc>
          <w:tcPr>
            <w:tcW w:w="996" w:type="dxa"/>
            <w:tcBorders>
              <w:bottom w:val="single" w:sz="12" w:space="0" w:color="000000"/>
              <w:right w:val="single" w:sz="12" w:space="0" w:color="000000"/>
            </w:tcBorders>
            <w:shd w:val="clear" w:color="auto" w:fill="auto"/>
            <w:vAlign w:val="center"/>
          </w:tcPr>
          <w:p w14:paraId="46C21758"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1.050</w:t>
            </w:r>
          </w:p>
        </w:tc>
        <w:tc>
          <w:tcPr>
            <w:tcW w:w="996" w:type="dxa"/>
            <w:tcBorders>
              <w:bottom w:val="single" w:sz="12" w:space="0" w:color="000000"/>
              <w:right w:val="single" w:sz="12" w:space="0" w:color="000000"/>
            </w:tcBorders>
            <w:shd w:val="clear" w:color="auto" w:fill="auto"/>
            <w:vAlign w:val="center"/>
          </w:tcPr>
          <w:p w14:paraId="1F065B38"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1.260</w:t>
            </w:r>
          </w:p>
        </w:tc>
        <w:tc>
          <w:tcPr>
            <w:tcW w:w="1033" w:type="dxa"/>
            <w:gridSpan w:val="2"/>
            <w:tcBorders>
              <w:bottom w:val="single" w:sz="12" w:space="0" w:color="000000"/>
              <w:right w:val="single" w:sz="12" w:space="0" w:color="000000"/>
            </w:tcBorders>
            <w:shd w:val="clear" w:color="auto" w:fill="auto"/>
            <w:vAlign w:val="center"/>
          </w:tcPr>
          <w:p w14:paraId="51E63B6D"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1.260</w:t>
            </w:r>
          </w:p>
        </w:tc>
        <w:tc>
          <w:tcPr>
            <w:tcW w:w="960" w:type="dxa"/>
            <w:tcBorders>
              <w:bottom w:val="single" w:sz="12" w:space="0" w:color="000000"/>
              <w:right w:val="single" w:sz="12" w:space="0" w:color="000000"/>
            </w:tcBorders>
            <w:shd w:val="clear" w:color="auto" w:fill="auto"/>
            <w:vAlign w:val="center"/>
          </w:tcPr>
          <w:p w14:paraId="08829466"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4.200</w:t>
            </w:r>
          </w:p>
        </w:tc>
        <w:tc>
          <w:tcPr>
            <w:tcW w:w="2303" w:type="dxa"/>
            <w:tcBorders>
              <w:bottom w:val="single" w:sz="12" w:space="0" w:color="000000"/>
              <w:right w:val="single" w:sz="12" w:space="0" w:color="000000"/>
            </w:tcBorders>
            <w:shd w:val="clear" w:color="auto" w:fill="auto"/>
            <w:vAlign w:val="center"/>
          </w:tcPr>
          <w:p w14:paraId="1483D1B1"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Reportes (matrices) de seguimiento</w:t>
            </w:r>
          </w:p>
        </w:tc>
      </w:tr>
      <w:tr w:rsidR="00AA6EC7" w:rsidRPr="008E3494" w14:paraId="2C4BC51D"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28DFD89E"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Número de viviendas nuevas entregadas en área rural o urbano marginal</w:t>
            </w:r>
          </w:p>
        </w:tc>
        <w:tc>
          <w:tcPr>
            <w:tcW w:w="1140" w:type="dxa"/>
            <w:tcBorders>
              <w:bottom w:val="single" w:sz="12" w:space="0" w:color="000000"/>
              <w:right w:val="single" w:sz="12" w:space="0" w:color="000000"/>
            </w:tcBorders>
            <w:shd w:val="clear" w:color="auto" w:fill="auto"/>
            <w:vAlign w:val="center"/>
          </w:tcPr>
          <w:p w14:paraId="2E85FCB1" w14:textId="77777777" w:rsidR="00AA6EC7" w:rsidRPr="008E3494" w:rsidRDefault="007F5B37" w:rsidP="00B81923">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Viviendas</w:t>
            </w:r>
            <w:proofErr w:type="spellEnd"/>
          </w:p>
        </w:tc>
        <w:tc>
          <w:tcPr>
            <w:tcW w:w="732" w:type="dxa"/>
            <w:tcBorders>
              <w:bottom w:val="single" w:sz="12" w:space="0" w:color="000000"/>
              <w:right w:val="single" w:sz="12" w:space="0" w:color="000000"/>
            </w:tcBorders>
            <w:shd w:val="clear" w:color="auto" w:fill="auto"/>
            <w:vAlign w:val="center"/>
          </w:tcPr>
          <w:p w14:paraId="653BDD3A"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0</w:t>
            </w:r>
          </w:p>
        </w:tc>
        <w:tc>
          <w:tcPr>
            <w:tcW w:w="996" w:type="dxa"/>
            <w:tcBorders>
              <w:bottom w:val="single" w:sz="12" w:space="0" w:color="000000"/>
              <w:right w:val="single" w:sz="12" w:space="0" w:color="000000"/>
            </w:tcBorders>
            <w:shd w:val="clear" w:color="auto" w:fill="auto"/>
            <w:vAlign w:val="center"/>
          </w:tcPr>
          <w:p w14:paraId="44A2EC7C"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630</w:t>
            </w:r>
          </w:p>
        </w:tc>
        <w:tc>
          <w:tcPr>
            <w:tcW w:w="996" w:type="dxa"/>
            <w:tcBorders>
              <w:bottom w:val="single" w:sz="12" w:space="0" w:color="000000"/>
              <w:right w:val="single" w:sz="12" w:space="0" w:color="000000"/>
            </w:tcBorders>
            <w:shd w:val="clear" w:color="auto" w:fill="auto"/>
            <w:vAlign w:val="center"/>
          </w:tcPr>
          <w:p w14:paraId="395738E6"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1.050</w:t>
            </w:r>
          </w:p>
        </w:tc>
        <w:tc>
          <w:tcPr>
            <w:tcW w:w="996" w:type="dxa"/>
            <w:tcBorders>
              <w:bottom w:val="single" w:sz="12" w:space="0" w:color="000000"/>
              <w:right w:val="single" w:sz="12" w:space="0" w:color="000000"/>
            </w:tcBorders>
            <w:shd w:val="clear" w:color="auto" w:fill="auto"/>
            <w:vAlign w:val="center"/>
          </w:tcPr>
          <w:p w14:paraId="622E9FF3"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1.260</w:t>
            </w:r>
          </w:p>
        </w:tc>
        <w:tc>
          <w:tcPr>
            <w:tcW w:w="1033" w:type="dxa"/>
            <w:gridSpan w:val="2"/>
            <w:tcBorders>
              <w:bottom w:val="single" w:sz="12" w:space="0" w:color="000000"/>
              <w:right w:val="single" w:sz="12" w:space="0" w:color="000000"/>
            </w:tcBorders>
            <w:shd w:val="clear" w:color="auto" w:fill="auto"/>
            <w:vAlign w:val="center"/>
          </w:tcPr>
          <w:p w14:paraId="31BB29A9"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1.260</w:t>
            </w:r>
          </w:p>
        </w:tc>
        <w:tc>
          <w:tcPr>
            <w:tcW w:w="960" w:type="dxa"/>
            <w:tcBorders>
              <w:bottom w:val="single" w:sz="12" w:space="0" w:color="000000"/>
              <w:right w:val="single" w:sz="12" w:space="0" w:color="000000"/>
            </w:tcBorders>
            <w:shd w:val="clear" w:color="auto" w:fill="auto"/>
            <w:vAlign w:val="center"/>
          </w:tcPr>
          <w:p w14:paraId="7439FFF3"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4.200</w:t>
            </w:r>
          </w:p>
        </w:tc>
        <w:tc>
          <w:tcPr>
            <w:tcW w:w="2303" w:type="dxa"/>
            <w:tcBorders>
              <w:bottom w:val="single" w:sz="12" w:space="0" w:color="000000"/>
              <w:right w:val="single" w:sz="12" w:space="0" w:color="000000"/>
            </w:tcBorders>
            <w:shd w:val="clear" w:color="auto" w:fill="auto"/>
            <w:vAlign w:val="center"/>
          </w:tcPr>
          <w:p w14:paraId="701CF906"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 Reportes (matrices) de seguimiento</w:t>
            </w:r>
          </w:p>
          <w:p w14:paraId="228A3CD0"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  Actas de entrega-recepción</w:t>
            </w:r>
          </w:p>
        </w:tc>
      </w:tr>
      <w:tr w:rsidR="00AA6EC7" w:rsidRPr="008E3494" w14:paraId="23D39B00"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71D5C34C"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Valor promedio de subsidio monetario adjudicado para construcción de vivienda nueva en área rural o urbano marginal</w:t>
            </w:r>
          </w:p>
        </w:tc>
        <w:tc>
          <w:tcPr>
            <w:tcW w:w="1140" w:type="dxa"/>
            <w:tcBorders>
              <w:bottom w:val="single" w:sz="12" w:space="0" w:color="000000"/>
              <w:right w:val="single" w:sz="12" w:space="0" w:color="000000"/>
            </w:tcBorders>
            <w:shd w:val="clear" w:color="auto" w:fill="auto"/>
            <w:vAlign w:val="center"/>
          </w:tcPr>
          <w:p w14:paraId="30B22BAD"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USD</w:t>
            </w:r>
          </w:p>
        </w:tc>
        <w:tc>
          <w:tcPr>
            <w:tcW w:w="732" w:type="dxa"/>
            <w:tcBorders>
              <w:bottom w:val="single" w:sz="12" w:space="0" w:color="000000"/>
              <w:right w:val="single" w:sz="12" w:space="0" w:color="000000"/>
            </w:tcBorders>
            <w:shd w:val="clear" w:color="auto" w:fill="auto"/>
            <w:vAlign w:val="center"/>
          </w:tcPr>
          <w:p w14:paraId="3E42696F" w14:textId="77777777" w:rsidR="00AA6EC7" w:rsidRPr="008E3494" w:rsidRDefault="007F5B37" w:rsidP="00B81923">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14D39C25" w14:textId="77777777" w:rsidR="00AA6EC7" w:rsidRPr="008E3494" w:rsidRDefault="00715A1B" w:rsidP="00B81923">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10.</w:t>
            </w:r>
            <w:r w:rsidR="007F5B37" w:rsidRPr="008E3494">
              <w:rPr>
                <w:rFonts w:ascii="Arial" w:hAnsi="Arial" w:cs="Arial"/>
                <w:color w:val="000000"/>
                <w:sz w:val="18"/>
                <w:szCs w:val="18"/>
                <w:lang w:val="en-US"/>
              </w:rPr>
              <w:t>000</w:t>
            </w:r>
          </w:p>
        </w:tc>
        <w:tc>
          <w:tcPr>
            <w:tcW w:w="996" w:type="dxa"/>
            <w:tcBorders>
              <w:bottom w:val="single" w:sz="12" w:space="0" w:color="000000"/>
              <w:right w:val="single" w:sz="12" w:space="0" w:color="000000"/>
            </w:tcBorders>
            <w:shd w:val="clear" w:color="auto" w:fill="auto"/>
            <w:vAlign w:val="center"/>
          </w:tcPr>
          <w:p w14:paraId="151A0299" w14:textId="77777777" w:rsidR="00AA6EC7" w:rsidRPr="008E3494" w:rsidRDefault="00715A1B"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10.</w:t>
            </w:r>
            <w:r w:rsidR="007F5B37" w:rsidRPr="008E3494">
              <w:rPr>
                <w:rFonts w:ascii="Arial" w:hAnsi="Arial" w:cs="Arial"/>
                <w:color w:val="000000"/>
                <w:sz w:val="18"/>
                <w:szCs w:val="18"/>
                <w:lang w:val="en-US"/>
              </w:rPr>
              <w:t>000</w:t>
            </w:r>
          </w:p>
        </w:tc>
        <w:tc>
          <w:tcPr>
            <w:tcW w:w="996" w:type="dxa"/>
            <w:tcBorders>
              <w:bottom w:val="single" w:sz="12" w:space="0" w:color="000000"/>
              <w:right w:val="single" w:sz="12" w:space="0" w:color="000000"/>
            </w:tcBorders>
            <w:shd w:val="clear" w:color="auto" w:fill="auto"/>
            <w:vAlign w:val="center"/>
          </w:tcPr>
          <w:p w14:paraId="21E2622E"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10</w:t>
            </w:r>
            <w:r w:rsidR="00715A1B" w:rsidRPr="008E3494">
              <w:rPr>
                <w:rFonts w:ascii="Arial" w:hAnsi="Arial" w:cs="Arial"/>
                <w:color w:val="000000"/>
                <w:sz w:val="18"/>
                <w:szCs w:val="18"/>
              </w:rPr>
              <w:t>.</w:t>
            </w:r>
            <w:r w:rsidRPr="008E3494">
              <w:rPr>
                <w:rFonts w:ascii="Arial" w:hAnsi="Arial" w:cs="Arial"/>
                <w:color w:val="000000"/>
                <w:sz w:val="18"/>
                <w:szCs w:val="18"/>
              </w:rPr>
              <w:t>000</w:t>
            </w:r>
          </w:p>
        </w:tc>
        <w:tc>
          <w:tcPr>
            <w:tcW w:w="1033" w:type="dxa"/>
            <w:gridSpan w:val="2"/>
            <w:tcBorders>
              <w:bottom w:val="single" w:sz="12" w:space="0" w:color="000000"/>
              <w:right w:val="single" w:sz="12" w:space="0" w:color="000000"/>
            </w:tcBorders>
            <w:shd w:val="clear" w:color="auto" w:fill="auto"/>
            <w:vAlign w:val="center"/>
          </w:tcPr>
          <w:p w14:paraId="04DD33D7" w14:textId="77777777" w:rsidR="00AA6EC7" w:rsidRPr="008E3494" w:rsidRDefault="00715A1B"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10.</w:t>
            </w:r>
            <w:r w:rsidR="007F5B37" w:rsidRPr="008E3494">
              <w:rPr>
                <w:rFonts w:ascii="Arial" w:hAnsi="Arial" w:cs="Arial"/>
                <w:color w:val="000000"/>
                <w:sz w:val="18"/>
                <w:szCs w:val="18"/>
              </w:rPr>
              <w:t>000</w:t>
            </w:r>
          </w:p>
        </w:tc>
        <w:tc>
          <w:tcPr>
            <w:tcW w:w="960" w:type="dxa"/>
            <w:tcBorders>
              <w:bottom w:val="single" w:sz="12" w:space="0" w:color="000000"/>
              <w:right w:val="single" w:sz="12" w:space="0" w:color="000000"/>
            </w:tcBorders>
            <w:shd w:val="clear" w:color="auto" w:fill="auto"/>
            <w:vAlign w:val="center"/>
          </w:tcPr>
          <w:p w14:paraId="351A6A44" w14:textId="77777777" w:rsidR="00AA6EC7" w:rsidRPr="008E3494" w:rsidRDefault="00715A1B"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10.</w:t>
            </w:r>
            <w:r w:rsidR="007F5B37" w:rsidRPr="008E3494">
              <w:rPr>
                <w:rFonts w:ascii="Arial" w:hAnsi="Arial" w:cs="Arial"/>
                <w:color w:val="000000"/>
                <w:sz w:val="18"/>
                <w:szCs w:val="18"/>
              </w:rPr>
              <w:t>000</w:t>
            </w:r>
          </w:p>
        </w:tc>
        <w:tc>
          <w:tcPr>
            <w:tcW w:w="2303" w:type="dxa"/>
            <w:tcBorders>
              <w:bottom w:val="single" w:sz="12" w:space="0" w:color="000000"/>
              <w:right w:val="single" w:sz="12" w:space="0" w:color="000000"/>
            </w:tcBorders>
            <w:shd w:val="clear" w:color="auto" w:fill="auto"/>
            <w:vAlign w:val="center"/>
          </w:tcPr>
          <w:p w14:paraId="516B7E28" w14:textId="77777777" w:rsidR="00AA6EC7" w:rsidRPr="008E3494" w:rsidRDefault="007F5B37" w:rsidP="00715A1B">
            <w:pPr>
              <w:spacing w:after="0" w:line="240" w:lineRule="auto"/>
              <w:jc w:val="center"/>
              <w:rPr>
                <w:rFonts w:ascii="Arial" w:hAnsi="Arial" w:cs="Arial"/>
                <w:color w:val="000000"/>
                <w:sz w:val="18"/>
                <w:szCs w:val="18"/>
              </w:rPr>
            </w:pPr>
            <w:r w:rsidRPr="008E3494">
              <w:rPr>
                <w:rFonts w:ascii="Arial" w:hAnsi="Arial" w:cs="Arial"/>
                <w:color w:val="000000"/>
                <w:sz w:val="18"/>
                <w:szCs w:val="18"/>
              </w:rPr>
              <w:t>Registros contables</w:t>
            </w:r>
          </w:p>
        </w:tc>
      </w:tr>
      <w:tr w:rsidR="00AA6EC7" w:rsidRPr="008E3494" w14:paraId="696B316A"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07EE1A02"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Costo promedio de las viviendas nuevas construidas</w:t>
            </w:r>
          </w:p>
        </w:tc>
        <w:tc>
          <w:tcPr>
            <w:tcW w:w="1140" w:type="dxa"/>
            <w:tcBorders>
              <w:bottom w:val="single" w:sz="12" w:space="0" w:color="000000"/>
              <w:right w:val="single" w:sz="12" w:space="0" w:color="000000"/>
            </w:tcBorders>
            <w:shd w:val="clear" w:color="auto" w:fill="auto"/>
            <w:vAlign w:val="center"/>
          </w:tcPr>
          <w:p w14:paraId="54686B62"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USD</w:t>
            </w:r>
          </w:p>
        </w:tc>
        <w:tc>
          <w:tcPr>
            <w:tcW w:w="732" w:type="dxa"/>
            <w:tcBorders>
              <w:bottom w:val="single" w:sz="12" w:space="0" w:color="000000"/>
              <w:right w:val="single" w:sz="12" w:space="0" w:color="000000"/>
            </w:tcBorders>
            <w:shd w:val="clear" w:color="auto" w:fill="auto"/>
            <w:vAlign w:val="center"/>
          </w:tcPr>
          <w:p w14:paraId="44EC7255"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0</w:t>
            </w:r>
          </w:p>
        </w:tc>
        <w:tc>
          <w:tcPr>
            <w:tcW w:w="996" w:type="dxa"/>
            <w:tcBorders>
              <w:bottom w:val="single" w:sz="12" w:space="0" w:color="000000"/>
              <w:right w:val="single" w:sz="12" w:space="0" w:color="000000"/>
            </w:tcBorders>
            <w:shd w:val="clear" w:color="auto" w:fill="auto"/>
            <w:vAlign w:val="center"/>
          </w:tcPr>
          <w:p w14:paraId="3DEAF7A7" w14:textId="77777777" w:rsidR="00AA6EC7" w:rsidRPr="008E3494" w:rsidRDefault="00715A1B"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Menor a 21.</w:t>
            </w:r>
            <w:r w:rsidR="007F5B37" w:rsidRPr="008E3494">
              <w:rPr>
                <w:rFonts w:ascii="Arial" w:hAnsi="Arial" w:cs="Arial"/>
                <w:color w:val="000000"/>
                <w:sz w:val="18"/>
                <w:szCs w:val="18"/>
              </w:rPr>
              <w:t>000</w:t>
            </w:r>
          </w:p>
        </w:tc>
        <w:tc>
          <w:tcPr>
            <w:tcW w:w="996" w:type="dxa"/>
            <w:tcBorders>
              <w:bottom w:val="single" w:sz="12" w:space="0" w:color="000000"/>
              <w:right w:val="single" w:sz="12" w:space="0" w:color="000000"/>
            </w:tcBorders>
            <w:shd w:val="clear" w:color="auto" w:fill="auto"/>
            <w:vAlign w:val="center"/>
          </w:tcPr>
          <w:p w14:paraId="7A2B9429" w14:textId="77777777" w:rsidR="00AA6EC7" w:rsidRPr="008E3494" w:rsidRDefault="00715A1B"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Menor a 21.</w:t>
            </w:r>
            <w:r w:rsidR="007F5B37" w:rsidRPr="008E3494">
              <w:rPr>
                <w:rFonts w:ascii="Arial" w:hAnsi="Arial" w:cs="Arial"/>
                <w:color w:val="000000"/>
                <w:sz w:val="18"/>
                <w:szCs w:val="18"/>
              </w:rPr>
              <w:t>000</w:t>
            </w:r>
          </w:p>
        </w:tc>
        <w:tc>
          <w:tcPr>
            <w:tcW w:w="996" w:type="dxa"/>
            <w:tcBorders>
              <w:bottom w:val="single" w:sz="12" w:space="0" w:color="000000"/>
              <w:right w:val="single" w:sz="12" w:space="0" w:color="000000"/>
            </w:tcBorders>
            <w:shd w:val="clear" w:color="auto" w:fill="auto"/>
            <w:vAlign w:val="center"/>
          </w:tcPr>
          <w:p w14:paraId="74DFE892"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Me</w:t>
            </w:r>
            <w:r w:rsidR="00715A1B" w:rsidRPr="008E3494">
              <w:rPr>
                <w:rFonts w:ascii="Arial" w:hAnsi="Arial" w:cs="Arial"/>
                <w:color w:val="000000"/>
                <w:sz w:val="18"/>
                <w:szCs w:val="18"/>
                <w:lang w:val="en-US"/>
              </w:rPr>
              <w:t>nor a 21.</w:t>
            </w:r>
            <w:r w:rsidRPr="008E3494">
              <w:rPr>
                <w:rFonts w:ascii="Arial" w:hAnsi="Arial" w:cs="Arial"/>
                <w:color w:val="000000"/>
                <w:sz w:val="18"/>
                <w:szCs w:val="18"/>
                <w:lang w:val="en-US"/>
              </w:rPr>
              <w:t>000</w:t>
            </w:r>
          </w:p>
        </w:tc>
        <w:tc>
          <w:tcPr>
            <w:tcW w:w="1033" w:type="dxa"/>
            <w:gridSpan w:val="2"/>
            <w:tcBorders>
              <w:bottom w:val="single" w:sz="12" w:space="0" w:color="000000"/>
              <w:right w:val="single" w:sz="12" w:space="0" w:color="000000"/>
            </w:tcBorders>
            <w:shd w:val="clear" w:color="auto" w:fill="auto"/>
            <w:vAlign w:val="center"/>
          </w:tcPr>
          <w:p w14:paraId="4CEA16A9" w14:textId="77777777" w:rsidR="00AA6EC7" w:rsidRPr="008E3494" w:rsidRDefault="00715A1B" w:rsidP="00B81923">
            <w:pPr>
              <w:spacing w:after="0" w:line="240" w:lineRule="auto"/>
              <w:jc w:val="center"/>
              <w:rPr>
                <w:rFonts w:ascii="Arial" w:hAnsi="Arial" w:cs="Arial"/>
                <w:color w:val="000000"/>
                <w:sz w:val="18"/>
                <w:szCs w:val="18"/>
              </w:rPr>
            </w:pPr>
            <w:proofErr w:type="spellStart"/>
            <w:r w:rsidRPr="008E3494">
              <w:rPr>
                <w:rFonts w:ascii="Arial" w:hAnsi="Arial" w:cs="Arial"/>
                <w:color w:val="000000"/>
                <w:sz w:val="18"/>
                <w:szCs w:val="18"/>
                <w:lang w:val="en-US"/>
              </w:rPr>
              <w:t>Menor</w:t>
            </w:r>
            <w:proofErr w:type="spellEnd"/>
            <w:r w:rsidRPr="008E3494">
              <w:rPr>
                <w:rFonts w:ascii="Arial" w:hAnsi="Arial" w:cs="Arial"/>
                <w:color w:val="000000"/>
                <w:sz w:val="18"/>
                <w:szCs w:val="18"/>
                <w:lang w:val="en-US"/>
              </w:rPr>
              <w:t xml:space="preserve"> a 21.</w:t>
            </w:r>
            <w:r w:rsidR="007F5B37" w:rsidRPr="008E3494">
              <w:rPr>
                <w:rFonts w:ascii="Arial" w:hAnsi="Arial" w:cs="Arial"/>
                <w:color w:val="000000"/>
                <w:sz w:val="18"/>
                <w:szCs w:val="18"/>
                <w:lang w:val="en-US"/>
              </w:rPr>
              <w:t>000</w:t>
            </w:r>
          </w:p>
        </w:tc>
        <w:tc>
          <w:tcPr>
            <w:tcW w:w="960" w:type="dxa"/>
            <w:tcBorders>
              <w:bottom w:val="single" w:sz="12" w:space="0" w:color="000000"/>
              <w:right w:val="single" w:sz="12" w:space="0" w:color="000000"/>
            </w:tcBorders>
            <w:shd w:val="clear" w:color="auto" w:fill="auto"/>
            <w:vAlign w:val="center"/>
          </w:tcPr>
          <w:p w14:paraId="4B742158" w14:textId="77777777" w:rsidR="00AA6EC7" w:rsidRPr="008E3494" w:rsidRDefault="00715A1B" w:rsidP="00B81923">
            <w:pPr>
              <w:spacing w:after="0" w:line="240" w:lineRule="auto"/>
              <w:jc w:val="center"/>
              <w:rPr>
                <w:rFonts w:ascii="Arial" w:hAnsi="Arial" w:cs="Arial"/>
                <w:color w:val="000000"/>
                <w:sz w:val="18"/>
                <w:szCs w:val="18"/>
              </w:rPr>
            </w:pPr>
            <w:proofErr w:type="spellStart"/>
            <w:r w:rsidRPr="008E3494">
              <w:rPr>
                <w:rFonts w:ascii="Arial" w:hAnsi="Arial" w:cs="Arial"/>
                <w:color w:val="000000"/>
                <w:sz w:val="18"/>
                <w:szCs w:val="18"/>
                <w:lang w:val="en-US"/>
              </w:rPr>
              <w:t>Menor</w:t>
            </w:r>
            <w:proofErr w:type="spellEnd"/>
            <w:r w:rsidRPr="008E3494">
              <w:rPr>
                <w:rFonts w:ascii="Arial" w:hAnsi="Arial" w:cs="Arial"/>
                <w:color w:val="000000"/>
                <w:sz w:val="18"/>
                <w:szCs w:val="18"/>
                <w:lang w:val="en-US"/>
              </w:rPr>
              <w:t xml:space="preserve"> a 21.</w:t>
            </w:r>
            <w:r w:rsidR="007F5B37" w:rsidRPr="008E3494">
              <w:rPr>
                <w:rFonts w:ascii="Arial" w:hAnsi="Arial" w:cs="Arial"/>
                <w:color w:val="000000"/>
                <w:sz w:val="18"/>
                <w:szCs w:val="18"/>
                <w:lang w:val="en-US"/>
              </w:rPr>
              <w:t>000</w:t>
            </w:r>
          </w:p>
        </w:tc>
        <w:tc>
          <w:tcPr>
            <w:tcW w:w="2303" w:type="dxa"/>
            <w:tcBorders>
              <w:bottom w:val="single" w:sz="12" w:space="0" w:color="000000"/>
              <w:right w:val="single" w:sz="12" w:space="0" w:color="000000"/>
            </w:tcBorders>
            <w:shd w:val="clear" w:color="auto" w:fill="auto"/>
            <w:vAlign w:val="center"/>
          </w:tcPr>
          <w:p w14:paraId="412FFF8A" w14:textId="77777777" w:rsidR="00AA6EC7" w:rsidRPr="008E3494" w:rsidRDefault="007F5B37" w:rsidP="00B81923">
            <w:pPr>
              <w:spacing w:after="0" w:line="240" w:lineRule="auto"/>
              <w:jc w:val="center"/>
              <w:rPr>
                <w:rFonts w:ascii="Arial" w:hAnsi="Arial" w:cs="Arial"/>
                <w:color w:val="000000"/>
                <w:sz w:val="18"/>
                <w:szCs w:val="18"/>
                <w:lang w:val="en-US"/>
              </w:rPr>
            </w:pPr>
            <w:proofErr w:type="spellStart"/>
            <w:r w:rsidRPr="008E3494">
              <w:rPr>
                <w:rFonts w:ascii="Arial" w:hAnsi="Arial" w:cs="Arial"/>
                <w:color w:val="000000"/>
                <w:sz w:val="18"/>
                <w:szCs w:val="18"/>
                <w:lang w:val="en-US"/>
              </w:rPr>
              <w:t>Registros</w:t>
            </w:r>
            <w:proofErr w:type="spellEnd"/>
            <w:r w:rsidRPr="008E3494">
              <w:rPr>
                <w:rFonts w:ascii="Arial" w:hAnsi="Arial" w:cs="Arial"/>
                <w:color w:val="000000"/>
                <w:sz w:val="18"/>
                <w:szCs w:val="18"/>
                <w:lang w:val="en-US"/>
              </w:rPr>
              <w:t xml:space="preserve"> </w:t>
            </w:r>
            <w:proofErr w:type="spellStart"/>
            <w:r w:rsidRPr="008E3494">
              <w:rPr>
                <w:rFonts w:ascii="Arial" w:hAnsi="Arial" w:cs="Arial"/>
                <w:color w:val="000000"/>
                <w:sz w:val="18"/>
                <w:szCs w:val="18"/>
                <w:lang w:val="en-US"/>
              </w:rPr>
              <w:t>administrativos</w:t>
            </w:r>
            <w:proofErr w:type="spellEnd"/>
          </w:p>
        </w:tc>
      </w:tr>
      <w:tr w:rsidR="00AA6EC7" w:rsidRPr="008E3494" w14:paraId="4709C5A0"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50539902"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Diferencia del costo promedio de viviendas nuevas construidas en áreas rurales o urbano marginales en el marco del programa, en relación a</w:t>
            </w:r>
            <w:r w:rsidR="00D75D77" w:rsidRPr="008E3494">
              <w:rPr>
                <w:rFonts w:ascii="Arial" w:eastAsia="SimSun" w:hAnsi="Arial" w:cs="Arial"/>
                <w:color w:val="000000"/>
                <w:sz w:val="18"/>
                <w:szCs w:val="18"/>
                <w:lang w:eastAsia="zh-CN" w:bidi="ar"/>
              </w:rPr>
              <w:t>l</w:t>
            </w:r>
            <w:r w:rsidRPr="008E3494">
              <w:rPr>
                <w:rFonts w:ascii="Arial" w:eastAsia="SimSun" w:hAnsi="Arial" w:cs="Arial"/>
                <w:color w:val="000000"/>
                <w:sz w:val="18"/>
                <w:szCs w:val="18"/>
                <w:lang w:eastAsia="zh-CN" w:bidi="ar"/>
              </w:rPr>
              <w:t xml:space="preserve"> costo promedio de viviendas de características similares de habitabilidad</w:t>
            </w:r>
          </w:p>
        </w:tc>
        <w:tc>
          <w:tcPr>
            <w:tcW w:w="1140" w:type="dxa"/>
            <w:tcBorders>
              <w:bottom w:val="single" w:sz="12" w:space="0" w:color="000000"/>
              <w:right w:val="single" w:sz="12" w:space="0" w:color="000000"/>
            </w:tcBorders>
            <w:shd w:val="clear" w:color="auto" w:fill="auto"/>
            <w:vAlign w:val="center"/>
          </w:tcPr>
          <w:p w14:paraId="3221B1FA"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USD</w:t>
            </w:r>
          </w:p>
        </w:tc>
        <w:tc>
          <w:tcPr>
            <w:tcW w:w="732" w:type="dxa"/>
            <w:tcBorders>
              <w:bottom w:val="single" w:sz="12" w:space="0" w:color="000000"/>
              <w:right w:val="single" w:sz="12" w:space="0" w:color="000000"/>
            </w:tcBorders>
            <w:shd w:val="clear" w:color="auto" w:fill="auto"/>
            <w:vAlign w:val="center"/>
          </w:tcPr>
          <w:p w14:paraId="51B58BE7" w14:textId="77777777" w:rsidR="00AA6EC7" w:rsidRPr="008E3494" w:rsidRDefault="007F5B37" w:rsidP="00B81923">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3CC4ECB8" w14:textId="77777777" w:rsidR="00AA6EC7" w:rsidRPr="008E3494" w:rsidRDefault="00D75D77" w:rsidP="00B81923">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0 ó</w:t>
            </w:r>
            <w:r w:rsidR="007F5B37" w:rsidRPr="008E3494">
              <w:rPr>
                <w:rFonts w:ascii="Arial" w:hAnsi="Arial" w:cs="Arial"/>
                <w:color w:val="000000"/>
                <w:sz w:val="18"/>
                <w:szCs w:val="18"/>
                <w:lang w:val="en-US"/>
              </w:rPr>
              <w:t xml:space="preserve"> </w:t>
            </w:r>
            <w:proofErr w:type="spellStart"/>
            <w:r w:rsidR="007F5B37" w:rsidRPr="008E3494">
              <w:rPr>
                <w:rFonts w:ascii="Arial" w:hAnsi="Arial" w:cs="Arial"/>
                <w:color w:val="000000"/>
                <w:sz w:val="18"/>
                <w:szCs w:val="18"/>
                <w:lang w:val="en-US"/>
              </w:rPr>
              <w:t>menos</w:t>
            </w:r>
            <w:proofErr w:type="spellEnd"/>
          </w:p>
        </w:tc>
        <w:tc>
          <w:tcPr>
            <w:tcW w:w="996" w:type="dxa"/>
            <w:tcBorders>
              <w:bottom w:val="single" w:sz="12" w:space="0" w:color="000000"/>
              <w:right w:val="single" w:sz="12" w:space="0" w:color="000000"/>
            </w:tcBorders>
            <w:shd w:val="clear" w:color="auto" w:fill="auto"/>
            <w:vAlign w:val="center"/>
          </w:tcPr>
          <w:p w14:paraId="69BA137A" w14:textId="77777777" w:rsidR="00AA6EC7" w:rsidRPr="008E3494" w:rsidRDefault="00D75D7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 ó</w:t>
            </w:r>
            <w:r w:rsidR="007F5B37" w:rsidRPr="008E3494">
              <w:rPr>
                <w:rFonts w:ascii="Arial" w:hAnsi="Arial" w:cs="Arial"/>
                <w:color w:val="000000"/>
                <w:sz w:val="18"/>
                <w:szCs w:val="18"/>
                <w:lang w:val="en-US"/>
              </w:rPr>
              <w:t xml:space="preserve"> </w:t>
            </w:r>
            <w:proofErr w:type="spellStart"/>
            <w:r w:rsidR="007F5B37" w:rsidRPr="008E3494">
              <w:rPr>
                <w:rFonts w:ascii="Arial" w:hAnsi="Arial" w:cs="Arial"/>
                <w:color w:val="000000"/>
                <w:sz w:val="18"/>
                <w:szCs w:val="18"/>
                <w:lang w:val="en-US"/>
              </w:rPr>
              <w:t>menos</w:t>
            </w:r>
            <w:proofErr w:type="spellEnd"/>
          </w:p>
        </w:tc>
        <w:tc>
          <w:tcPr>
            <w:tcW w:w="996" w:type="dxa"/>
            <w:tcBorders>
              <w:bottom w:val="single" w:sz="12" w:space="0" w:color="000000"/>
              <w:right w:val="single" w:sz="12" w:space="0" w:color="000000"/>
            </w:tcBorders>
            <w:shd w:val="clear" w:color="auto" w:fill="auto"/>
            <w:vAlign w:val="center"/>
          </w:tcPr>
          <w:p w14:paraId="228A17D9" w14:textId="77777777" w:rsidR="00AA6EC7" w:rsidRPr="008E3494" w:rsidRDefault="00D75D7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 ó</w:t>
            </w:r>
            <w:r w:rsidR="007F5B37" w:rsidRPr="008E3494">
              <w:rPr>
                <w:rFonts w:ascii="Arial" w:hAnsi="Arial" w:cs="Arial"/>
                <w:color w:val="000000"/>
                <w:sz w:val="18"/>
                <w:szCs w:val="18"/>
                <w:lang w:val="en-US"/>
              </w:rPr>
              <w:t xml:space="preserve"> </w:t>
            </w:r>
            <w:proofErr w:type="spellStart"/>
            <w:r w:rsidR="007F5B37" w:rsidRPr="008E3494">
              <w:rPr>
                <w:rFonts w:ascii="Arial" w:hAnsi="Arial" w:cs="Arial"/>
                <w:color w:val="000000"/>
                <w:sz w:val="18"/>
                <w:szCs w:val="18"/>
                <w:lang w:val="en-US"/>
              </w:rPr>
              <w:t>menos</w:t>
            </w:r>
            <w:proofErr w:type="spellEnd"/>
          </w:p>
        </w:tc>
        <w:tc>
          <w:tcPr>
            <w:tcW w:w="1033" w:type="dxa"/>
            <w:gridSpan w:val="2"/>
            <w:tcBorders>
              <w:bottom w:val="single" w:sz="12" w:space="0" w:color="000000"/>
              <w:right w:val="single" w:sz="12" w:space="0" w:color="000000"/>
            </w:tcBorders>
            <w:shd w:val="clear" w:color="auto" w:fill="auto"/>
            <w:vAlign w:val="center"/>
          </w:tcPr>
          <w:p w14:paraId="26C1A238" w14:textId="77777777" w:rsidR="00AA6EC7" w:rsidRPr="008E3494" w:rsidRDefault="00D75D7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 ó</w:t>
            </w:r>
            <w:r w:rsidR="007F5B37" w:rsidRPr="008E3494">
              <w:rPr>
                <w:rFonts w:ascii="Arial" w:hAnsi="Arial" w:cs="Arial"/>
                <w:color w:val="000000"/>
                <w:sz w:val="18"/>
                <w:szCs w:val="18"/>
                <w:lang w:val="en-US"/>
              </w:rPr>
              <w:t xml:space="preserve"> </w:t>
            </w:r>
            <w:proofErr w:type="spellStart"/>
            <w:r w:rsidR="007F5B37" w:rsidRPr="008E3494">
              <w:rPr>
                <w:rFonts w:ascii="Arial" w:hAnsi="Arial" w:cs="Arial"/>
                <w:color w:val="000000"/>
                <w:sz w:val="18"/>
                <w:szCs w:val="18"/>
                <w:lang w:val="en-US"/>
              </w:rPr>
              <w:t>menos</w:t>
            </w:r>
            <w:proofErr w:type="spellEnd"/>
          </w:p>
        </w:tc>
        <w:tc>
          <w:tcPr>
            <w:tcW w:w="960" w:type="dxa"/>
            <w:tcBorders>
              <w:bottom w:val="single" w:sz="12" w:space="0" w:color="000000"/>
              <w:right w:val="single" w:sz="12" w:space="0" w:color="000000"/>
            </w:tcBorders>
            <w:shd w:val="clear" w:color="auto" w:fill="auto"/>
            <w:vAlign w:val="center"/>
          </w:tcPr>
          <w:p w14:paraId="6D7915A2" w14:textId="77777777" w:rsidR="00AA6EC7" w:rsidRPr="008E3494" w:rsidRDefault="00D75D7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 ó</w:t>
            </w:r>
            <w:r w:rsidR="007F5B37" w:rsidRPr="008E3494">
              <w:rPr>
                <w:rFonts w:ascii="Arial" w:hAnsi="Arial" w:cs="Arial"/>
                <w:color w:val="000000"/>
                <w:sz w:val="18"/>
                <w:szCs w:val="18"/>
                <w:lang w:val="en-US"/>
              </w:rPr>
              <w:t xml:space="preserve"> </w:t>
            </w:r>
            <w:proofErr w:type="spellStart"/>
            <w:r w:rsidR="007F5B37" w:rsidRPr="008E3494">
              <w:rPr>
                <w:rFonts w:ascii="Arial" w:hAnsi="Arial" w:cs="Arial"/>
                <w:color w:val="000000"/>
                <w:sz w:val="18"/>
                <w:szCs w:val="18"/>
                <w:lang w:val="en-US"/>
              </w:rPr>
              <w:t>menos</w:t>
            </w:r>
            <w:proofErr w:type="spellEnd"/>
          </w:p>
        </w:tc>
        <w:tc>
          <w:tcPr>
            <w:tcW w:w="2303" w:type="dxa"/>
            <w:tcBorders>
              <w:bottom w:val="single" w:sz="12" w:space="0" w:color="000000"/>
              <w:right w:val="single" w:sz="12" w:space="0" w:color="000000"/>
            </w:tcBorders>
            <w:shd w:val="clear" w:color="auto" w:fill="auto"/>
            <w:vAlign w:val="center"/>
          </w:tcPr>
          <w:p w14:paraId="593FD924"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 Registros administrativos</w:t>
            </w:r>
          </w:p>
          <w:p w14:paraId="017A2C7F"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 Análisis sectorial de costos de vivienda</w:t>
            </w:r>
          </w:p>
        </w:tc>
      </w:tr>
      <w:tr w:rsidR="00AA6EC7" w:rsidRPr="008E3494" w14:paraId="738F3F5A"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5CEF5B86"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 xml:space="preserve">Porcentaje de subsidios monetarios para construcción de vivienda nueva </w:t>
            </w:r>
            <w:r w:rsidR="00D75D77" w:rsidRPr="008E3494">
              <w:rPr>
                <w:rFonts w:ascii="Arial" w:eastAsia="SimSun" w:hAnsi="Arial" w:cs="Arial"/>
                <w:color w:val="000000"/>
                <w:sz w:val="18"/>
                <w:szCs w:val="18"/>
                <w:lang w:eastAsia="zh-CN" w:bidi="ar"/>
              </w:rPr>
              <w:t xml:space="preserve">en área rural o urbano marginal, </w:t>
            </w:r>
            <w:r w:rsidRPr="008E3494">
              <w:rPr>
                <w:rFonts w:ascii="Arial" w:eastAsia="SimSun" w:hAnsi="Arial" w:cs="Arial"/>
                <w:color w:val="000000"/>
                <w:sz w:val="18"/>
                <w:szCs w:val="18"/>
                <w:lang w:eastAsia="zh-CN" w:bidi="ar"/>
              </w:rPr>
              <w:t>otorgados a hogares del primer quintil</w:t>
            </w:r>
          </w:p>
        </w:tc>
        <w:tc>
          <w:tcPr>
            <w:tcW w:w="1140" w:type="dxa"/>
            <w:tcBorders>
              <w:bottom w:val="single" w:sz="12" w:space="0" w:color="000000"/>
              <w:right w:val="single" w:sz="12" w:space="0" w:color="000000"/>
            </w:tcBorders>
            <w:shd w:val="clear" w:color="auto" w:fill="auto"/>
            <w:vAlign w:val="center"/>
          </w:tcPr>
          <w:p w14:paraId="65970529" w14:textId="77777777" w:rsidR="00AA6EC7" w:rsidRPr="008E3494" w:rsidRDefault="007F5B37" w:rsidP="00B81923">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Porcentaje</w:t>
            </w:r>
            <w:proofErr w:type="spellEnd"/>
          </w:p>
        </w:tc>
        <w:tc>
          <w:tcPr>
            <w:tcW w:w="732" w:type="dxa"/>
            <w:tcBorders>
              <w:bottom w:val="single" w:sz="12" w:space="0" w:color="000000"/>
              <w:right w:val="single" w:sz="12" w:space="0" w:color="000000"/>
            </w:tcBorders>
            <w:shd w:val="clear" w:color="auto" w:fill="auto"/>
            <w:vAlign w:val="center"/>
          </w:tcPr>
          <w:p w14:paraId="6DADDBCB" w14:textId="77777777" w:rsidR="00AA6EC7" w:rsidRPr="008E3494" w:rsidRDefault="007F5B37" w:rsidP="00B81923">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41D5FC26" w14:textId="77777777" w:rsidR="00AA6EC7" w:rsidRPr="008E3494" w:rsidRDefault="007F5B37" w:rsidP="00B81923">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100%</w:t>
            </w:r>
          </w:p>
        </w:tc>
        <w:tc>
          <w:tcPr>
            <w:tcW w:w="996" w:type="dxa"/>
            <w:tcBorders>
              <w:bottom w:val="single" w:sz="12" w:space="0" w:color="000000"/>
              <w:right w:val="single" w:sz="12" w:space="0" w:color="000000"/>
            </w:tcBorders>
            <w:shd w:val="clear" w:color="auto" w:fill="auto"/>
            <w:vAlign w:val="center"/>
          </w:tcPr>
          <w:p w14:paraId="49370BF4"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100%</w:t>
            </w:r>
          </w:p>
        </w:tc>
        <w:tc>
          <w:tcPr>
            <w:tcW w:w="996" w:type="dxa"/>
            <w:tcBorders>
              <w:bottom w:val="single" w:sz="12" w:space="0" w:color="000000"/>
              <w:right w:val="single" w:sz="12" w:space="0" w:color="000000"/>
            </w:tcBorders>
            <w:shd w:val="clear" w:color="auto" w:fill="auto"/>
            <w:vAlign w:val="center"/>
          </w:tcPr>
          <w:p w14:paraId="5FD27AC9"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100%</w:t>
            </w:r>
          </w:p>
        </w:tc>
        <w:tc>
          <w:tcPr>
            <w:tcW w:w="1033" w:type="dxa"/>
            <w:gridSpan w:val="2"/>
            <w:tcBorders>
              <w:bottom w:val="single" w:sz="12" w:space="0" w:color="000000"/>
              <w:right w:val="single" w:sz="12" w:space="0" w:color="000000"/>
            </w:tcBorders>
            <w:shd w:val="clear" w:color="auto" w:fill="auto"/>
            <w:vAlign w:val="center"/>
          </w:tcPr>
          <w:p w14:paraId="28BD677C"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100%</w:t>
            </w:r>
          </w:p>
        </w:tc>
        <w:tc>
          <w:tcPr>
            <w:tcW w:w="960" w:type="dxa"/>
            <w:tcBorders>
              <w:bottom w:val="single" w:sz="12" w:space="0" w:color="000000"/>
              <w:right w:val="single" w:sz="12" w:space="0" w:color="000000"/>
            </w:tcBorders>
            <w:shd w:val="clear" w:color="auto" w:fill="auto"/>
            <w:vAlign w:val="center"/>
          </w:tcPr>
          <w:p w14:paraId="0537BA32"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100%</w:t>
            </w:r>
          </w:p>
        </w:tc>
        <w:tc>
          <w:tcPr>
            <w:tcW w:w="2303" w:type="dxa"/>
            <w:tcBorders>
              <w:bottom w:val="single" w:sz="12" w:space="0" w:color="000000"/>
              <w:right w:val="single" w:sz="12" w:space="0" w:color="000000"/>
            </w:tcBorders>
            <w:shd w:val="clear" w:color="auto" w:fill="auto"/>
            <w:vAlign w:val="center"/>
          </w:tcPr>
          <w:p w14:paraId="45EEC1D7" w14:textId="77777777" w:rsidR="00AA6EC7" w:rsidRPr="008E3494" w:rsidRDefault="007F5B37" w:rsidP="00B81923">
            <w:pPr>
              <w:spacing w:after="0" w:line="240" w:lineRule="auto"/>
              <w:jc w:val="center"/>
              <w:rPr>
                <w:rFonts w:ascii="Arial" w:hAnsi="Arial" w:cs="Arial"/>
                <w:color w:val="000000"/>
                <w:sz w:val="18"/>
                <w:szCs w:val="18"/>
              </w:rPr>
            </w:pPr>
            <w:proofErr w:type="spellStart"/>
            <w:r w:rsidRPr="008E3494">
              <w:rPr>
                <w:rFonts w:ascii="Arial" w:hAnsi="Arial" w:cs="Arial"/>
                <w:color w:val="000000"/>
                <w:sz w:val="18"/>
                <w:szCs w:val="18"/>
                <w:lang w:val="en-US"/>
              </w:rPr>
              <w:t>Registros</w:t>
            </w:r>
            <w:proofErr w:type="spellEnd"/>
            <w:r w:rsidRPr="008E3494">
              <w:rPr>
                <w:rFonts w:ascii="Arial" w:hAnsi="Arial" w:cs="Arial"/>
                <w:color w:val="000000"/>
                <w:sz w:val="18"/>
                <w:szCs w:val="18"/>
                <w:lang w:val="en-US"/>
              </w:rPr>
              <w:t xml:space="preserve"> </w:t>
            </w:r>
            <w:proofErr w:type="spellStart"/>
            <w:r w:rsidRPr="008E3494">
              <w:rPr>
                <w:rFonts w:ascii="Arial" w:hAnsi="Arial" w:cs="Arial"/>
                <w:color w:val="000000"/>
                <w:sz w:val="18"/>
                <w:szCs w:val="18"/>
                <w:lang w:val="en-US"/>
              </w:rPr>
              <w:t>administrativos</w:t>
            </w:r>
            <w:proofErr w:type="spellEnd"/>
          </w:p>
        </w:tc>
      </w:tr>
      <w:tr w:rsidR="00AA6EC7" w:rsidRPr="008E3494" w14:paraId="2AE74C3D"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597E4F43"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lastRenderedPageBreak/>
              <w:t>Porcentaje de subsidios monetarios para construcción de vivienda nueva en área rural o urbano marginal</w:t>
            </w:r>
            <w:r w:rsidR="00D75D77" w:rsidRPr="008E3494">
              <w:rPr>
                <w:rFonts w:ascii="Arial" w:eastAsia="SimSun" w:hAnsi="Arial" w:cs="Arial"/>
                <w:color w:val="000000"/>
                <w:sz w:val="18"/>
                <w:szCs w:val="18"/>
                <w:lang w:eastAsia="zh-CN" w:bidi="ar"/>
              </w:rPr>
              <w:t xml:space="preserve">, </w:t>
            </w:r>
            <w:r w:rsidRPr="008E3494">
              <w:rPr>
                <w:rFonts w:ascii="Arial" w:eastAsia="SimSun" w:hAnsi="Arial" w:cs="Arial"/>
                <w:color w:val="000000"/>
                <w:sz w:val="18"/>
                <w:szCs w:val="18"/>
                <w:lang w:eastAsia="zh-CN" w:bidi="ar"/>
              </w:rPr>
              <w:t>otorgados a hogares con miembros con discapacidad</w:t>
            </w:r>
          </w:p>
        </w:tc>
        <w:tc>
          <w:tcPr>
            <w:tcW w:w="1140" w:type="dxa"/>
            <w:tcBorders>
              <w:bottom w:val="single" w:sz="12" w:space="0" w:color="000000"/>
              <w:right w:val="single" w:sz="12" w:space="0" w:color="000000"/>
            </w:tcBorders>
            <w:shd w:val="clear" w:color="auto" w:fill="auto"/>
            <w:vAlign w:val="center"/>
          </w:tcPr>
          <w:p w14:paraId="5DB3A903"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Porcentaje</w:t>
            </w:r>
          </w:p>
        </w:tc>
        <w:tc>
          <w:tcPr>
            <w:tcW w:w="732" w:type="dxa"/>
            <w:tcBorders>
              <w:bottom w:val="single" w:sz="12" w:space="0" w:color="000000"/>
              <w:right w:val="single" w:sz="12" w:space="0" w:color="000000"/>
            </w:tcBorders>
            <w:shd w:val="clear" w:color="auto" w:fill="auto"/>
            <w:vAlign w:val="center"/>
          </w:tcPr>
          <w:p w14:paraId="5067B29A"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0</w:t>
            </w:r>
          </w:p>
        </w:tc>
        <w:tc>
          <w:tcPr>
            <w:tcW w:w="996" w:type="dxa"/>
            <w:tcBorders>
              <w:bottom w:val="single" w:sz="12" w:space="0" w:color="000000"/>
              <w:right w:val="single" w:sz="12" w:space="0" w:color="000000"/>
            </w:tcBorders>
            <w:shd w:val="clear" w:color="auto" w:fill="auto"/>
            <w:vAlign w:val="center"/>
          </w:tcPr>
          <w:p w14:paraId="353BA7F8"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25%</w:t>
            </w:r>
          </w:p>
        </w:tc>
        <w:tc>
          <w:tcPr>
            <w:tcW w:w="996" w:type="dxa"/>
            <w:tcBorders>
              <w:bottom w:val="single" w:sz="12" w:space="0" w:color="000000"/>
              <w:right w:val="single" w:sz="12" w:space="0" w:color="000000"/>
            </w:tcBorders>
            <w:shd w:val="clear" w:color="auto" w:fill="auto"/>
            <w:vAlign w:val="center"/>
          </w:tcPr>
          <w:p w14:paraId="4CA7AFC2"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25%</w:t>
            </w:r>
          </w:p>
        </w:tc>
        <w:tc>
          <w:tcPr>
            <w:tcW w:w="996" w:type="dxa"/>
            <w:tcBorders>
              <w:bottom w:val="single" w:sz="12" w:space="0" w:color="000000"/>
              <w:right w:val="single" w:sz="12" w:space="0" w:color="000000"/>
            </w:tcBorders>
            <w:shd w:val="clear" w:color="auto" w:fill="auto"/>
            <w:vAlign w:val="center"/>
          </w:tcPr>
          <w:p w14:paraId="580E7713"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25%</w:t>
            </w:r>
          </w:p>
        </w:tc>
        <w:tc>
          <w:tcPr>
            <w:tcW w:w="1033" w:type="dxa"/>
            <w:gridSpan w:val="2"/>
            <w:tcBorders>
              <w:bottom w:val="single" w:sz="12" w:space="0" w:color="000000"/>
              <w:right w:val="single" w:sz="12" w:space="0" w:color="000000"/>
            </w:tcBorders>
            <w:shd w:val="clear" w:color="auto" w:fill="auto"/>
            <w:vAlign w:val="center"/>
          </w:tcPr>
          <w:p w14:paraId="3DFAE653"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25%</w:t>
            </w:r>
          </w:p>
        </w:tc>
        <w:tc>
          <w:tcPr>
            <w:tcW w:w="960" w:type="dxa"/>
            <w:tcBorders>
              <w:bottom w:val="single" w:sz="12" w:space="0" w:color="000000"/>
              <w:right w:val="single" w:sz="12" w:space="0" w:color="000000"/>
            </w:tcBorders>
            <w:shd w:val="clear" w:color="auto" w:fill="auto"/>
            <w:vAlign w:val="center"/>
          </w:tcPr>
          <w:p w14:paraId="5D62D07F"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25%</w:t>
            </w:r>
          </w:p>
        </w:tc>
        <w:tc>
          <w:tcPr>
            <w:tcW w:w="2303" w:type="dxa"/>
            <w:tcBorders>
              <w:bottom w:val="single" w:sz="12" w:space="0" w:color="000000"/>
              <w:right w:val="single" w:sz="12" w:space="0" w:color="000000"/>
            </w:tcBorders>
            <w:shd w:val="clear" w:color="auto" w:fill="auto"/>
            <w:vAlign w:val="center"/>
          </w:tcPr>
          <w:p w14:paraId="32E589E1"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Registros administrativos</w:t>
            </w:r>
          </w:p>
        </w:tc>
      </w:tr>
      <w:tr w:rsidR="00AA6EC7" w:rsidRPr="008E3494" w14:paraId="674C9199"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06648F4A"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Porcentaje de subsidios monetarios para construcción de vivienda nueva en área rural o urbano marginal</w:t>
            </w:r>
            <w:r w:rsidR="00D75D77" w:rsidRPr="008E3494">
              <w:rPr>
                <w:rFonts w:ascii="Arial" w:eastAsia="SimSun" w:hAnsi="Arial" w:cs="Arial"/>
                <w:color w:val="000000"/>
                <w:sz w:val="18"/>
                <w:szCs w:val="18"/>
                <w:lang w:eastAsia="zh-CN" w:bidi="ar"/>
              </w:rPr>
              <w:t xml:space="preserve">, </w:t>
            </w:r>
            <w:r w:rsidRPr="008E3494">
              <w:rPr>
                <w:rFonts w:ascii="Arial" w:eastAsia="SimSun" w:hAnsi="Arial" w:cs="Arial"/>
                <w:color w:val="000000"/>
                <w:sz w:val="18"/>
                <w:szCs w:val="18"/>
                <w:lang w:eastAsia="zh-CN" w:bidi="ar"/>
              </w:rPr>
              <w:t>otorgados a hogares monoparentales</w:t>
            </w:r>
          </w:p>
        </w:tc>
        <w:tc>
          <w:tcPr>
            <w:tcW w:w="1140" w:type="dxa"/>
            <w:tcBorders>
              <w:bottom w:val="single" w:sz="12" w:space="0" w:color="000000"/>
              <w:right w:val="single" w:sz="12" w:space="0" w:color="000000"/>
            </w:tcBorders>
            <w:shd w:val="clear" w:color="auto" w:fill="auto"/>
            <w:vAlign w:val="center"/>
          </w:tcPr>
          <w:p w14:paraId="5AD9B62A"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Porcentaje</w:t>
            </w:r>
          </w:p>
        </w:tc>
        <w:tc>
          <w:tcPr>
            <w:tcW w:w="732" w:type="dxa"/>
            <w:tcBorders>
              <w:bottom w:val="single" w:sz="12" w:space="0" w:color="000000"/>
              <w:right w:val="single" w:sz="12" w:space="0" w:color="000000"/>
            </w:tcBorders>
            <w:shd w:val="clear" w:color="auto" w:fill="auto"/>
            <w:vAlign w:val="center"/>
          </w:tcPr>
          <w:p w14:paraId="6D2E5082"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0</w:t>
            </w:r>
          </w:p>
        </w:tc>
        <w:tc>
          <w:tcPr>
            <w:tcW w:w="996" w:type="dxa"/>
            <w:tcBorders>
              <w:bottom w:val="single" w:sz="12" w:space="0" w:color="000000"/>
              <w:right w:val="single" w:sz="12" w:space="0" w:color="000000"/>
            </w:tcBorders>
            <w:shd w:val="clear" w:color="auto" w:fill="auto"/>
            <w:vAlign w:val="center"/>
          </w:tcPr>
          <w:p w14:paraId="24D3709B"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25%</w:t>
            </w:r>
          </w:p>
        </w:tc>
        <w:tc>
          <w:tcPr>
            <w:tcW w:w="996" w:type="dxa"/>
            <w:tcBorders>
              <w:bottom w:val="single" w:sz="12" w:space="0" w:color="000000"/>
              <w:right w:val="single" w:sz="12" w:space="0" w:color="000000"/>
            </w:tcBorders>
            <w:shd w:val="clear" w:color="auto" w:fill="auto"/>
            <w:vAlign w:val="center"/>
          </w:tcPr>
          <w:p w14:paraId="5E93BB01"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25%</w:t>
            </w:r>
          </w:p>
        </w:tc>
        <w:tc>
          <w:tcPr>
            <w:tcW w:w="996" w:type="dxa"/>
            <w:tcBorders>
              <w:bottom w:val="single" w:sz="12" w:space="0" w:color="000000"/>
              <w:right w:val="single" w:sz="12" w:space="0" w:color="000000"/>
            </w:tcBorders>
            <w:shd w:val="clear" w:color="auto" w:fill="auto"/>
            <w:vAlign w:val="center"/>
          </w:tcPr>
          <w:p w14:paraId="647A0741"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25%</w:t>
            </w:r>
          </w:p>
        </w:tc>
        <w:tc>
          <w:tcPr>
            <w:tcW w:w="1033" w:type="dxa"/>
            <w:gridSpan w:val="2"/>
            <w:tcBorders>
              <w:bottom w:val="single" w:sz="12" w:space="0" w:color="000000"/>
              <w:right w:val="single" w:sz="12" w:space="0" w:color="000000"/>
            </w:tcBorders>
            <w:shd w:val="clear" w:color="auto" w:fill="auto"/>
            <w:vAlign w:val="center"/>
          </w:tcPr>
          <w:p w14:paraId="3875260D"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25%</w:t>
            </w:r>
          </w:p>
        </w:tc>
        <w:tc>
          <w:tcPr>
            <w:tcW w:w="960" w:type="dxa"/>
            <w:tcBorders>
              <w:bottom w:val="single" w:sz="12" w:space="0" w:color="000000"/>
              <w:right w:val="single" w:sz="12" w:space="0" w:color="000000"/>
            </w:tcBorders>
            <w:shd w:val="clear" w:color="auto" w:fill="auto"/>
            <w:vAlign w:val="center"/>
          </w:tcPr>
          <w:p w14:paraId="0141879C"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25%</w:t>
            </w:r>
          </w:p>
        </w:tc>
        <w:tc>
          <w:tcPr>
            <w:tcW w:w="2303" w:type="dxa"/>
            <w:tcBorders>
              <w:bottom w:val="single" w:sz="12" w:space="0" w:color="000000"/>
              <w:right w:val="single" w:sz="12" w:space="0" w:color="000000"/>
            </w:tcBorders>
            <w:shd w:val="clear" w:color="auto" w:fill="auto"/>
            <w:vAlign w:val="center"/>
          </w:tcPr>
          <w:p w14:paraId="49FC18B4"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Registros administrativos</w:t>
            </w:r>
          </w:p>
        </w:tc>
      </w:tr>
      <w:tr w:rsidR="00AA6EC7" w:rsidRPr="008E3494" w14:paraId="7F53AD96"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7F7A8893"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Porcentaje de subsidios monetarios para construcción de vivienda nueva en área rural o urbano marginal</w:t>
            </w:r>
            <w:r w:rsidR="00D75D77" w:rsidRPr="008E3494">
              <w:rPr>
                <w:rFonts w:ascii="Arial" w:eastAsia="SimSun" w:hAnsi="Arial" w:cs="Arial"/>
                <w:color w:val="000000"/>
                <w:sz w:val="18"/>
                <w:szCs w:val="18"/>
                <w:lang w:eastAsia="zh-CN" w:bidi="ar"/>
              </w:rPr>
              <w:t>,</w:t>
            </w:r>
            <w:r w:rsidRPr="008E3494">
              <w:rPr>
                <w:rFonts w:ascii="Arial" w:eastAsia="SimSun" w:hAnsi="Arial" w:cs="Arial"/>
                <w:color w:val="000000"/>
                <w:sz w:val="18"/>
                <w:szCs w:val="18"/>
                <w:lang w:eastAsia="zh-CN" w:bidi="ar"/>
              </w:rPr>
              <w:t xml:space="preserve"> otorgados a hogares con personas mayores o menores a cargo</w:t>
            </w:r>
          </w:p>
        </w:tc>
        <w:tc>
          <w:tcPr>
            <w:tcW w:w="1140" w:type="dxa"/>
            <w:tcBorders>
              <w:bottom w:val="single" w:sz="12" w:space="0" w:color="000000"/>
              <w:right w:val="single" w:sz="12" w:space="0" w:color="000000"/>
            </w:tcBorders>
            <w:shd w:val="clear" w:color="auto" w:fill="auto"/>
            <w:vAlign w:val="center"/>
          </w:tcPr>
          <w:p w14:paraId="1AD6621F" w14:textId="77777777" w:rsidR="00AA6EC7" w:rsidRPr="008E3494" w:rsidRDefault="007F5B37" w:rsidP="00B81923">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Porcentaje</w:t>
            </w:r>
            <w:proofErr w:type="spellEnd"/>
          </w:p>
        </w:tc>
        <w:tc>
          <w:tcPr>
            <w:tcW w:w="732" w:type="dxa"/>
            <w:tcBorders>
              <w:bottom w:val="single" w:sz="12" w:space="0" w:color="000000"/>
              <w:right w:val="single" w:sz="12" w:space="0" w:color="000000"/>
            </w:tcBorders>
            <w:shd w:val="clear" w:color="auto" w:fill="auto"/>
            <w:vAlign w:val="center"/>
          </w:tcPr>
          <w:p w14:paraId="2D7EF656"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7ABD081F"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96" w:type="dxa"/>
            <w:tcBorders>
              <w:bottom w:val="single" w:sz="12" w:space="0" w:color="000000"/>
              <w:right w:val="single" w:sz="12" w:space="0" w:color="000000"/>
            </w:tcBorders>
            <w:shd w:val="clear" w:color="auto" w:fill="auto"/>
            <w:vAlign w:val="center"/>
          </w:tcPr>
          <w:p w14:paraId="40ED8705"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96" w:type="dxa"/>
            <w:tcBorders>
              <w:bottom w:val="single" w:sz="12" w:space="0" w:color="000000"/>
              <w:right w:val="single" w:sz="12" w:space="0" w:color="000000"/>
            </w:tcBorders>
            <w:shd w:val="clear" w:color="auto" w:fill="auto"/>
            <w:vAlign w:val="center"/>
          </w:tcPr>
          <w:p w14:paraId="7361AB19"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1033" w:type="dxa"/>
            <w:gridSpan w:val="2"/>
            <w:tcBorders>
              <w:bottom w:val="single" w:sz="12" w:space="0" w:color="000000"/>
              <w:right w:val="single" w:sz="12" w:space="0" w:color="000000"/>
            </w:tcBorders>
            <w:shd w:val="clear" w:color="auto" w:fill="auto"/>
            <w:vAlign w:val="center"/>
          </w:tcPr>
          <w:p w14:paraId="04EDC796"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60" w:type="dxa"/>
            <w:tcBorders>
              <w:bottom w:val="single" w:sz="12" w:space="0" w:color="000000"/>
              <w:right w:val="single" w:sz="12" w:space="0" w:color="000000"/>
            </w:tcBorders>
            <w:shd w:val="clear" w:color="auto" w:fill="auto"/>
            <w:vAlign w:val="center"/>
          </w:tcPr>
          <w:p w14:paraId="310E6F61"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2303" w:type="dxa"/>
            <w:tcBorders>
              <w:bottom w:val="single" w:sz="12" w:space="0" w:color="000000"/>
              <w:right w:val="single" w:sz="12" w:space="0" w:color="000000"/>
            </w:tcBorders>
            <w:shd w:val="clear" w:color="auto" w:fill="auto"/>
            <w:vAlign w:val="center"/>
          </w:tcPr>
          <w:p w14:paraId="11D3A453" w14:textId="77777777" w:rsidR="00AA6EC7" w:rsidRPr="008E3494" w:rsidRDefault="007F5B37" w:rsidP="00B81923">
            <w:pPr>
              <w:spacing w:after="0" w:line="240" w:lineRule="auto"/>
              <w:jc w:val="center"/>
              <w:rPr>
                <w:rFonts w:ascii="Arial" w:hAnsi="Arial" w:cs="Arial"/>
                <w:color w:val="000000"/>
                <w:sz w:val="18"/>
                <w:szCs w:val="18"/>
              </w:rPr>
            </w:pPr>
            <w:proofErr w:type="spellStart"/>
            <w:r w:rsidRPr="008E3494">
              <w:rPr>
                <w:rFonts w:ascii="Arial" w:hAnsi="Arial" w:cs="Arial"/>
                <w:color w:val="000000"/>
                <w:sz w:val="18"/>
                <w:szCs w:val="18"/>
                <w:lang w:val="en-US"/>
              </w:rPr>
              <w:t>Registros</w:t>
            </w:r>
            <w:proofErr w:type="spellEnd"/>
            <w:r w:rsidRPr="008E3494">
              <w:rPr>
                <w:rFonts w:ascii="Arial" w:hAnsi="Arial" w:cs="Arial"/>
                <w:color w:val="000000"/>
                <w:sz w:val="18"/>
                <w:szCs w:val="18"/>
                <w:lang w:val="en-US"/>
              </w:rPr>
              <w:t xml:space="preserve"> </w:t>
            </w:r>
            <w:proofErr w:type="spellStart"/>
            <w:r w:rsidRPr="008E3494">
              <w:rPr>
                <w:rFonts w:ascii="Arial" w:hAnsi="Arial" w:cs="Arial"/>
                <w:color w:val="000000"/>
                <w:sz w:val="18"/>
                <w:szCs w:val="18"/>
                <w:lang w:val="en-US"/>
              </w:rPr>
              <w:t>administrativos</w:t>
            </w:r>
            <w:proofErr w:type="spellEnd"/>
          </w:p>
        </w:tc>
      </w:tr>
      <w:tr w:rsidR="00AA6EC7" w:rsidRPr="008E3494" w14:paraId="2701B7EC"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48373E7D"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Porcentaje de subsidios monetarios para construcción de vivienda nueva en área rural o urbano marginal</w:t>
            </w:r>
            <w:r w:rsidR="00D75D77" w:rsidRPr="008E3494">
              <w:rPr>
                <w:rFonts w:ascii="Arial" w:eastAsia="SimSun" w:hAnsi="Arial" w:cs="Arial"/>
                <w:color w:val="000000"/>
                <w:sz w:val="18"/>
                <w:szCs w:val="18"/>
                <w:lang w:eastAsia="zh-CN" w:bidi="ar"/>
              </w:rPr>
              <w:t>,</w:t>
            </w:r>
            <w:r w:rsidRPr="008E3494">
              <w:rPr>
                <w:rFonts w:ascii="Arial" w:eastAsia="SimSun" w:hAnsi="Arial" w:cs="Arial"/>
                <w:color w:val="000000"/>
                <w:sz w:val="18"/>
                <w:szCs w:val="18"/>
                <w:lang w:eastAsia="zh-CN" w:bidi="ar"/>
              </w:rPr>
              <w:t xml:space="preserve"> otorgados a hogares pertenecientes a poblaciones indígenas, afroecuatorianas o montubios</w:t>
            </w:r>
          </w:p>
        </w:tc>
        <w:tc>
          <w:tcPr>
            <w:tcW w:w="1140" w:type="dxa"/>
            <w:tcBorders>
              <w:bottom w:val="single" w:sz="12" w:space="0" w:color="000000"/>
              <w:right w:val="single" w:sz="12" w:space="0" w:color="000000"/>
            </w:tcBorders>
            <w:shd w:val="clear" w:color="auto" w:fill="auto"/>
            <w:vAlign w:val="center"/>
          </w:tcPr>
          <w:p w14:paraId="0A6529F0" w14:textId="77777777" w:rsidR="00AA6EC7" w:rsidRPr="008E3494" w:rsidRDefault="007F5B37" w:rsidP="00B81923">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Porcentaje</w:t>
            </w:r>
            <w:proofErr w:type="spellEnd"/>
          </w:p>
        </w:tc>
        <w:tc>
          <w:tcPr>
            <w:tcW w:w="732" w:type="dxa"/>
            <w:tcBorders>
              <w:bottom w:val="single" w:sz="12" w:space="0" w:color="000000"/>
              <w:right w:val="single" w:sz="12" w:space="0" w:color="000000"/>
            </w:tcBorders>
            <w:shd w:val="clear" w:color="auto" w:fill="auto"/>
            <w:vAlign w:val="center"/>
          </w:tcPr>
          <w:p w14:paraId="66069E92"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26FE44B2"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96" w:type="dxa"/>
            <w:tcBorders>
              <w:bottom w:val="single" w:sz="12" w:space="0" w:color="000000"/>
              <w:right w:val="single" w:sz="12" w:space="0" w:color="000000"/>
            </w:tcBorders>
            <w:shd w:val="clear" w:color="auto" w:fill="auto"/>
            <w:vAlign w:val="center"/>
          </w:tcPr>
          <w:p w14:paraId="039E2B99"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96" w:type="dxa"/>
            <w:tcBorders>
              <w:bottom w:val="single" w:sz="12" w:space="0" w:color="000000"/>
              <w:right w:val="single" w:sz="12" w:space="0" w:color="000000"/>
            </w:tcBorders>
            <w:shd w:val="clear" w:color="auto" w:fill="auto"/>
            <w:vAlign w:val="center"/>
          </w:tcPr>
          <w:p w14:paraId="65FB3245"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1033" w:type="dxa"/>
            <w:gridSpan w:val="2"/>
            <w:tcBorders>
              <w:bottom w:val="single" w:sz="12" w:space="0" w:color="000000"/>
              <w:right w:val="single" w:sz="12" w:space="0" w:color="000000"/>
            </w:tcBorders>
            <w:shd w:val="clear" w:color="auto" w:fill="auto"/>
            <w:vAlign w:val="center"/>
          </w:tcPr>
          <w:p w14:paraId="70C468EA"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60" w:type="dxa"/>
            <w:tcBorders>
              <w:bottom w:val="single" w:sz="12" w:space="0" w:color="000000"/>
              <w:right w:val="single" w:sz="12" w:space="0" w:color="000000"/>
            </w:tcBorders>
            <w:shd w:val="clear" w:color="auto" w:fill="auto"/>
            <w:vAlign w:val="center"/>
          </w:tcPr>
          <w:p w14:paraId="39F9CFC5"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2303" w:type="dxa"/>
            <w:tcBorders>
              <w:bottom w:val="single" w:sz="12" w:space="0" w:color="000000"/>
              <w:right w:val="single" w:sz="12" w:space="0" w:color="000000"/>
            </w:tcBorders>
            <w:shd w:val="clear" w:color="auto" w:fill="auto"/>
            <w:vAlign w:val="center"/>
          </w:tcPr>
          <w:p w14:paraId="3FA48EA9" w14:textId="77777777" w:rsidR="00AA6EC7" w:rsidRPr="008E3494" w:rsidRDefault="007F5B37" w:rsidP="00B81923">
            <w:pPr>
              <w:spacing w:after="0" w:line="240" w:lineRule="auto"/>
              <w:jc w:val="center"/>
              <w:rPr>
                <w:rFonts w:ascii="Arial" w:hAnsi="Arial" w:cs="Arial"/>
                <w:color w:val="000000"/>
                <w:sz w:val="18"/>
                <w:szCs w:val="18"/>
              </w:rPr>
            </w:pPr>
            <w:proofErr w:type="spellStart"/>
            <w:r w:rsidRPr="008E3494">
              <w:rPr>
                <w:rFonts w:ascii="Arial" w:hAnsi="Arial" w:cs="Arial"/>
                <w:color w:val="000000"/>
                <w:sz w:val="18"/>
                <w:szCs w:val="18"/>
                <w:lang w:val="en-US"/>
              </w:rPr>
              <w:t>Registros</w:t>
            </w:r>
            <w:proofErr w:type="spellEnd"/>
            <w:r w:rsidRPr="008E3494">
              <w:rPr>
                <w:rFonts w:ascii="Arial" w:hAnsi="Arial" w:cs="Arial"/>
                <w:color w:val="000000"/>
                <w:sz w:val="18"/>
                <w:szCs w:val="18"/>
                <w:lang w:val="en-US"/>
              </w:rPr>
              <w:t xml:space="preserve"> </w:t>
            </w:r>
            <w:proofErr w:type="spellStart"/>
            <w:r w:rsidRPr="008E3494">
              <w:rPr>
                <w:rFonts w:ascii="Arial" w:hAnsi="Arial" w:cs="Arial"/>
                <w:color w:val="000000"/>
                <w:sz w:val="18"/>
                <w:szCs w:val="18"/>
                <w:lang w:val="en-US"/>
              </w:rPr>
              <w:t>administrativos</w:t>
            </w:r>
            <w:proofErr w:type="spellEnd"/>
          </w:p>
        </w:tc>
      </w:tr>
      <w:tr w:rsidR="00AA6EC7" w:rsidRPr="008E3494" w14:paraId="17782E99"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07F99A00" w14:textId="77777777" w:rsidR="00AA6EC7" w:rsidRPr="008E3494" w:rsidRDefault="007F5B37" w:rsidP="00B81923">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Porcentaje de subsidios monetarios otorgados para construcción de vivienda nueva en área rural o urbano marginal en territorios priorizados</w:t>
            </w:r>
          </w:p>
        </w:tc>
        <w:tc>
          <w:tcPr>
            <w:tcW w:w="1140" w:type="dxa"/>
            <w:tcBorders>
              <w:bottom w:val="single" w:sz="12" w:space="0" w:color="000000"/>
              <w:right w:val="single" w:sz="12" w:space="0" w:color="000000"/>
            </w:tcBorders>
            <w:shd w:val="clear" w:color="auto" w:fill="auto"/>
            <w:vAlign w:val="center"/>
          </w:tcPr>
          <w:p w14:paraId="0D95AD7F" w14:textId="77777777" w:rsidR="00AA6EC7" w:rsidRPr="008E3494" w:rsidRDefault="007F5B37" w:rsidP="00B81923">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Porcentaje</w:t>
            </w:r>
            <w:proofErr w:type="spellEnd"/>
          </w:p>
        </w:tc>
        <w:tc>
          <w:tcPr>
            <w:tcW w:w="732" w:type="dxa"/>
            <w:tcBorders>
              <w:bottom w:val="single" w:sz="12" w:space="0" w:color="000000"/>
              <w:right w:val="single" w:sz="12" w:space="0" w:color="000000"/>
            </w:tcBorders>
            <w:shd w:val="clear" w:color="auto" w:fill="auto"/>
            <w:vAlign w:val="center"/>
          </w:tcPr>
          <w:p w14:paraId="422D9D28"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6AF2CDF6" w14:textId="77777777" w:rsidR="00AA6EC7" w:rsidRPr="008E3494" w:rsidRDefault="00C803A1"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7</w:t>
            </w:r>
            <w:r w:rsidR="007F5B37" w:rsidRPr="008E3494">
              <w:rPr>
                <w:rFonts w:ascii="Arial" w:hAnsi="Arial" w:cs="Arial"/>
                <w:color w:val="000000"/>
                <w:sz w:val="18"/>
                <w:szCs w:val="18"/>
                <w:lang w:val="en-US"/>
              </w:rPr>
              <w:t>5%</w:t>
            </w:r>
            <w:r w:rsidR="00751F4F" w:rsidRPr="008E3494">
              <w:rPr>
                <w:rFonts w:ascii="Arial" w:hAnsi="Arial" w:cs="Arial"/>
                <w:color w:val="000000"/>
                <w:sz w:val="18"/>
                <w:szCs w:val="18"/>
                <w:lang w:val="en-US"/>
              </w:rPr>
              <w:t>*</w:t>
            </w:r>
          </w:p>
        </w:tc>
        <w:tc>
          <w:tcPr>
            <w:tcW w:w="996" w:type="dxa"/>
            <w:tcBorders>
              <w:bottom w:val="single" w:sz="12" w:space="0" w:color="000000"/>
              <w:right w:val="single" w:sz="12" w:space="0" w:color="000000"/>
            </w:tcBorders>
            <w:shd w:val="clear" w:color="auto" w:fill="auto"/>
            <w:vAlign w:val="center"/>
          </w:tcPr>
          <w:p w14:paraId="7FD44CAD" w14:textId="77777777" w:rsidR="00AA6EC7" w:rsidRPr="008E3494" w:rsidRDefault="00C803A1"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75</w:t>
            </w:r>
            <w:r w:rsidR="007F5B37" w:rsidRPr="008E3494">
              <w:rPr>
                <w:rFonts w:ascii="Arial" w:hAnsi="Arial" w:cs="Arial"/>
                <w:color w:val="000000"/>
                <w:sz w:val="18"/>
                <w:szCs w:val="18"/>
                <w:lang w:val="en-US"/>
              </w:rPr>
              <w:t>%</w:t>
            </w:r>
            <w:r w:rsidR="00751F4F" w:rsidRPr="008E3494">
              <w:rPr>
                <w:rFonts w:ascii="Arial" w:hAnsi="Arial" w:cs="Arial"/>
                <w:color w:val="000000"/>
                <w:sz w:val="18"/>
                <w:szCs w:val="18"/>
                <w:lang w:val="en-US"/>
              </w:rPr>
              <w:t>*</w:t>
            </w:r>
          </w:p>
        </w:tc>
        <w:tc>
          <w:tcPr>
            <w:tcW w:w="996" w:type="dxa"/>
            <w:tcBorders>
              <w:bottom w:val="single" w:sz="12" w:space="0" w:color="000000"/>
              <w:right w:val="single" w:sz="12" w:space="0" w:color="000000"/>
            </w:tcBorders>
            <w:shd w:val="clear" w:color="auto" w:fill="auto"/>
            <w:vAlign w:val="center"/>
          </w:tcPr>
          <w:p w14:paraId="0E8E81DC" w14:textId="77777777" w:rsidR="00AA6EC7" w:rsidRPr="008E3494" w:rsidRDefault="00C803A1"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75</w:t>
            </w:r>
            <w:r w:rsidR="007F5B37" w:rsidRPr="008E3494">
              <w:rPr>
                <w:rFonts w:ascii="Arial" w:hAnsi="Arial" w:cs="Arial"/>
                <w:color w:val="000000"/>
                <w:sz w:val="18"/>
                <w:szCs w:val="18"/>
                <w:lang w:val="en-US"/>
              </w:rPr>
              <w:t>%</w:t>
            </w:r>
            <w:r w:rsidR="00751F4F" w:rsidRPr="008E3494">
              <w:rPr>
                <w:rFonts w:ascii="Arial" w:hAnsi="Arial" w:cs="Arial"/>
                <w:color w:val="000000"/>
                <w:sz w:val="18"/>
                <w:szCs w:val="18"/>
                <w:lang w:val="en-US"/>
              </w:rPr>
              <w:t>*</w:t>
            </w:r>
          </w:p>
        </w:tc>
        <w:tc>
          <w:tcPr>
            <w:tcW w:w="1033" w:type="dxa"/>
            <w:gridSpan w:val="2"/>
            <w:tcBorders>
              <w:bottom w:val="single" w:sz="12" w:space="0" w:color="000000"/>
              <w:right w:val="single" w:sz="12" w:space="0" w:color="000000"/>
            </w:tcBorders>
            <w:shd w:val="clear" w:color="auto" w:fill="auto"/>
            <w:vAlign w:val="center"/>
          </w:tcPr>
          <w:p w14:paraId="0C1895E3" w14:textId="77777777" w:rsidR="00AA6EC7" w:rsidRPr="008E3494" w:rsidRDefault="00C803A1"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75</w:t>
            </w:r>
            <w:r w:rsidR="007F5B37" w:rsidRPr="008E3494">
              <w:rPr>
                <w:rFonts w:ascii="Arial" w:hAnsi="Arial" w:cs="Arial"/>
                <w:color w:val="000000"/>
                <w:sz w:val="18"/>
                <w:szCs w:val="18"/>
                <w:lang w:val="en-US"/>
              </w:rPr>
              <w:t>%</w:t>
            </w:r>
            <w:r w:rsidR="00751F4F" w:rsidRPr="008E3494">
              <w:rPr>
                <w:rFonts w:ascii="Arial" w:hAnsi="Arial" w:cs="Arial"/>
                <w:color w:val="000000"/>
                <w:sz w:val="18"/>
                <w:szCs w:val="18"/>
                <w:lang w:val="en-US"/>
              </w:rPr>
              <w:t>*</w:t>
            </w:r>
          </w:p>
        </w:tc>
        <w:tc>
          <w:tcPr>
            <w:tcW w:w="960" w:type="dxa"/>
            <w:tcBorders>
              <w:bottom w:val="single" w:sz="12" w:space="0" w:color="000000"/>
              <w:right w:val="single" w:sz="12" w:space="0" w:color="000000"/>
            </w:tcBorders>
            <w:shd w:val="clear" w:color="auto" w:fill="auto"/>
            <w:vAlign w:val="center"/>
          </w:tcPr>
          <w:p w14:paraId="263AEB73" w14:textId="77777777" w:rsidR="00AA6EC7" w:rsidRPr="008E3494" w:rsidRDefault="00C803A1"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75</w:t>
            </w:r>
            <w:r w:rsidR="007F5B37" w:rsidRPr="008E3494">
              <w:rPr>
                <w:rFonts w:ascii="Arial" w:hAnsi="Arial" w:cs="Arial"/>
                <w:color w:val="000000"/>
                <w:sz w:val="18"/>
                <w:szCs w:val="18"/>
                <w:lang w:val="en-US"/>
              </w:rPr>
              <w:t>%</w:t>
            </w:r>
            <w:r w:rsidR="00751F4F" w:rsidRPr="008E3494">
              <w:rPr>
                <w:rFonts w:ascii="Arial" w:hAnsi="Arial" w:cs="Arial"/>
                <w:color w:val="000000"/>
                <w:sz w:val="18"/>
                <w:szCs w:val="18"/>
                <w:lang w:val="en-US"/>
              </w:rPr>
              <w:t>*</w:t>
            </w:r>
          </w:p>
        </w:tc>
        <w:tc>
          <w:tcPr>
            <w:tcW w:w="2303" w:type="dxa"/>
            <w:tcBorders>
              <w:bottom w:val="single" w:sz="12" w:space="0" w:color="000000"/>
              <w:right w:val="single" w:sz="12" w:space="0" w:color="000000"/>
            </w:tcBorders>
            <w:shd w:val="clear" w:color="auto" w:fill="auto"/>
            <w:vAlign w:val="center"/>
          </w:tcPr>
          <w:p w14:paraId="3D676748" w14:textId="77777777" w:rsidR="00AA6EC7" w:rsidRPr="008E3494" w:rsidRDefault="007F5B37" w:rsidP="00B81923">
            <w:pPr>
              <w:spacing w:after="0" w:line="240" w:lineRule="auto"/>
              <w:jc w:val="center"/>
              <w:rPr>
                <w:rFonts w:ascii="Arial" w:hAnsi="Arial" w:cs="Arial"/>
                <w:color w:val="000000"/>
                <w:sz w:val="18"/>
                <w:szCs w:val="18"/>
              </w:rPr>
            </w:pPr>
            <w:r w:rsidRPr="008E3494">
              <w:rPr>
                <w:rFonts w:ascii="Arial" w:hAnsi="Arial" w:cs="Arial"/>
                <w:color w:val="000000"/>
                <w:sz w:val="18"/>
                <w:szCs w:val="18"/>
              </w:rPr>
              <w:t>Registros administrativos</w:t>
            </w:r>
          </w:p>
          <w:p w14:paraId="42F1FA17" w14:textId="77777777" w:rsidR="00751F4F" w:rsidRPr="008E3494" w:rsidRDefault="00751F4F" w:rsidP="00751F4F">
            <w:pPr>
              <w:spacing w:after="0" w:line="240" w:lineRule="auto"/>
              <w:rPr>
                <w:rFonts w:ascii="Arial" w:hAnsi="Arial" w:cs="Arial"/>
                <w:color w:val="000000"/>
                <w:sz w:val="18"/>
                <w:szCs w:val="18"/>
              </w:rPr>
            </w:pPr>
          </w:p>
          <w:p w14:paraId="58142264" w14:textId="77777777" w:rsidR="00751F4F" w:rsidRPr="008E3494" w:rsidRDefault="00751F4F" w:rsidP="00751F4F">
            <w:pPr>
              <w:spacing w:after="0" w:line="240" w:lineRule="auto"/>
              <w:rPr>
                <w:rFonts w:ascii="Arial" w:hAnsi="Arial" w:cs="Arial"/>
                <w:color w:val="000000"/>
                <w:sz w:val="18"/>
                <w:szCs w:val="18"/>
              </w:rPr>
            </w:pPr>
            <w:r w:rsidRPr="008E3494">
              <w:rPr>
                <w:rFonts w:ascii="Arial" w:hAnsi="Arial" w:cs="Arial"/>
                <w:color w:val="000000"/>
                <w:sz w:val="18"/>
                <w:szCs w:val="18"/>
              </w:rPr>
              <w:t>* El 75% de los subsidios monetarios otorgados anualmente, deben ser para viviendas ubicadas en los territorios priorizados</w:t>
            </w:r>
          </w:p>
        </w:tc>
      </w:tr>
      <w:tr w:rsidR="00AA6EC7" w:rsidRPr="008E3494" w14:paraId="3A106DEF" w14:textId="77777777">
        <w:trPr>
          <w:trHeight w:val="302"/>
        </w:trPr>
        <w:tc>
          <w:tcPr>
            <w:tcW w:w="13081" w:type="dxa"/>
            <w:gridSpan w:val="10"/>
            <w:tcBorders>
              <w:left w:val="single" w:sz="12" w:space="0" w:color="000000"/>
              <w:bottom w:val="single" w:sz="12" w:space="0" w:color="000000"/>
              <w:right w:val="single" w:sz="12" w:space="0" w:color="000000"/>
            </w:tcBorders>
            <w:shd w:val="clear" w:color="auto" w:fill="D7D7D7"/>
            <w:vAlign w:val="center"/>
          </w:tcPr>
          <w:p w14:paraId="78A05601" w14:textId="77777777" w:rsidR="00AA6EC7" w:rsidRPr="008E3494" w:rsidRDefault="007F5B37" w:rsidP="00B81923">
            <w:pPr>
              <w:spacing w:after="0" w:line="240" w:lineRule="auto"/>
              <w:jc w:val="both"/>
              <w:rPr>
                <w:rFonts w:ascii="Arial" w:hAnsi="Arial" w:cs="Arial"/>
                <w:b/>
                <w:color w:val="000000"/>
                <w:sz w:val="18"/>
                <w:szCs w:val="18"/>
              </w:rPr>
            </w:pPr>
            <w:r w:rsidRPr="008E3494">
              <w:rPr>
                <w:rFonts w:ascii="Arial" w:eastAsia="SimSun" w:hAnsi="Arial" w:cs="Arial"/>
                <w:b/>
                <w:color w:val="000000"/>
                <w:sz w:val="18"/>
                <w:szCs w:val="18"/>
                <w:lang w:eastAsia="zh-CN" w:bidi="ar"/>
              </w:rPr>
              <w:t>Componente 2. Subsidios parciales para la adquisición de vivienda urbana</w:t>
            </w:r>
          </w:p>
        </w:tc>
      </w:tr>
      <w:tr w:rsidR="00AA6EC7" w:rsidRPr="008E3494" w14:paraId="200903F8"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2356302F"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Número de subsidios monetarios entregados para construcción de vivienda nueva en área urbana</w:t>
            </w:r>
          </w:p>
        </w:tc>
        <w:tc>
          <w:tcPr>
            <w:tcW w:w="1140" w:type="dxa"/>
            <w:tcBorders>
              <w:bottom w:val="single" w:sz="12" w:space="0" w:color="000000"/>
              <w:right w:val="single" w:sz="12" w:space="0" w:color="000000"/>
            </w:tcBorders>
            <w:shd w:val="clear" w:color="auto" w:fill="auto"/>
            <w:vAlign w:val="center"/>
          </w:tcPr>
          <w:p w14:paraId="3C83440E" w14:textId="77777777" w:rsidR="00AA6EC7" w:rsidRPr="008E3494" w:rsidRDefault="007F5B37" w:rsidP="00845DE2">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Subsidios</w:t>
            </w:r>
            <w:proofErr w:type="spellEnd"/>
            <w:r w:rsidRPr="008E3494">
              <w:rPr>
                <w:rFonts w:ascii="Arial" w:eastAsia="SimSun" w:hAnsi="Arial" w:cs="Arial"/>
                <w:color w:val="000000"/>
                <w:sz w:val="18"/>
                <w:szCs w:val="18"/>
                <w:lang w:val="en-US" w:eastAsia="zh-CN" w:bidi="ar"/>
              </w:rPr>
              <w:t xml:space="preserve"> </w:t>
            </w:r>
            <w:proofErr w:type="spellStart"/>
            <w:r w:rsidRPr="008E3494">
              <w:rPr>
                <w:rFonts w:ascii="Arial" w:eastAsia="SimSun" w:hAnsi="Arial" w:cs="Arial"/>
                <w:color w:val="000000"/>
                <w:sz w:val="18"/>
                <w:szCs w:val="18"/>
                <w:lang w:val="en-US" w:eastAsia="zh-CN" w:bidi="ar"/>
              </w:rPr>
              <w:t>monetarios</w:t>
            </w:r>
            <w:proofErr w:type="spellEnd"/>
          </w:p>
        </w:tc>
        <w:tc>
          <w:tcPr>
            <w:tcW w:w="732" w:type="dxa"/>
            <w:tcBorders>
              <w:top w:val="single" w:sz="12" w:space="0" w:color="000000"/>
              <w:bottom w:val="single" w:sz="12" w:space="0" w:color="000000"/>
              <w:right w:val="single" w:sz="12" w:space="0" w:color="000000"/>
            </w:tcBorders>
            <w:shd w:val="clear" w:color="auto" w:fill="auto"/>
            <w:vAlign w:val="center"/>
          </w:tcPr>
          <w:p w14:paraId="12D6A3C8"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0</w:t>
            </w:r>
          </w:p>
        </w:tc>
        <w:tc>
          <w:tcPr>
            <w:tcW w:w="996" w:type="dxa"/>
            <w:tcBorders>
              <w:top w:val="single" w:sz="12" w:space="0" w:color="000000"/>
              <w:bottom w:val="single" w:sz="12" w:space="0" w:color="000000"/>
              <w:right w:val="single" w:sz="12" w:space="0" w:color="000000"/>
            </w:tcBorders>
            <w:shd w:val="clear" w:color="auto" w:fill="auto"/>
            <w:vAlign w:val="center"/>
          </w:tcPr>
          <w:p w14:paraId="4F55E933" w14:textId="77777777" w:rsidR="00AA6EC7" w:rsidRPr="008E3494" w:rsidRDefault="007F5B37" w:rsidP="00845DE2">
            <w:pPr>
              <w:pStyle w:val="NormalWeb"/>
              <w:spacing w:beforeAutospacing="0"/>
              <w:rPr>
                <w:rFonts w:ascii="Arial" w:hAnsi="Arial" w:cs="Arial"/>
                <w:color w:val="000000"/>
                <w:sz w:val="18"/>
                <w:szCs w:val="18"/>
              </w:rPr>
            </w:pPr>
            <w:r w:rsidRPr="008E3494">
              <w:rPr>
                <w:rFonts w:ascii="Arial" w:hAnsi="Arial" w:cs="Arial"/>
                <w:color w:val="000000"/>
                <w:sz w:val="18"/>
                <w:szCs w:val="18"/>
                <w:lang w:bidi="ar"/>
              </w:rPr>
              <w:t>1.147</w:t>
            </w:r>
          </w:p>
        </w:tc>
        <w:tc>
          <w:tcPr>
            <w:tcW w:w="996" w:type="dxa"/>
            <w:tcBorders>
              <w:top w:val="single" w:sz="12" w:space="0" w:color="000000"/>
              <w:bottom w:val="single" w:sz="12" w:space="0" w:color="000000"/>
              <w:right w:val="single" w:sz="12" w:space="0" w:color="000000"/>
            </w:tcBorders>
            <w:shd w:val="clear" w:color="auto" w:fill="auto"/>
            <w:vAlign w:val="center"/>
          </w:tcPr>
          <w:p w14:paraId="2DE0368D" w14:textId="77777777" w:rsidR="00AA6EC7" w:rsidRPr="008E3494" w:rsidRDefault="007F5B37" w:rsidP="00845DE2">
            <w:pPr>
              <w:pStyle w:val="NormalWeb"/>
              <w:spacing w:beforeAutospacing="0"/>
              <w:rPr>
                <w:rFonts w:ascii="Arial" w:hAnsi="Arial" w:cs="Arial"/>
                <w:color w:val="000000"/>
                <w:sz w:val="18"/>
                <w:szCs w:val="18"/>
              </w:rPr>
            </w:pPr>
            <w:r w:rsidRPr="008E3494">
              <w:rPr>
                <w:rFonts w:ascii="Arial" w:hAnsi="Arial" w:cs="Arial"/>
                <w:color w:val="000000"/>
                <w:sz w:val="18"/>
                <w:szCs w:val="18"/>
                <w:lang w:bidi="ar"/>
              </w:rPr>
              <w:t>1.913</w:t>
            </w:r>
          </w:p>
        </w:tc>
        <w:tc>
          <w:tcPr>
            <w:tcW w:w="996" w:type="dxa"/>
            <w:tcBorders>
              <w:top w:val="single" w:sz="12" w:space="0" w:color="000000"/>
              <w:bottom w:val="single" w:sz="12" w:space="0" w:color="000000"/>
              <w:right w:val="single" w:sz="12" w:space="0" w:color="000000"/>
            </w:tcBorders>
            <w:shd w:val="clear" w:color="auto" w:fill="auto"/>
            <w:vAlign w:val="center"/>
          </w:tcPr>
          <w:p w14:paraId="0D997DB7" w14:textId="77777777" w:rsidR="00AA6EC7" w:rsidRPr="008E3494" w:rsidRDefault="007F5B37" w:rsidP="00845DE2">
            <w:pPr>
              <w:pStyle w:val="NormalWeb"/>
              <w:spacing w:beforeAutospacing="0"/>
              <w:rPr>
                <w:rFonts w:ascii="Arial" w:hAnsi="Arial" w:cs="Arial"/>
                <w:color w:val="000000"/>
                <w:sz w:val="18"/>
                <w:szCs w:val="18"/>
              </w:rPr>
            </w:pPr>
            <w:r w:rsidRPr="008E3494">
              <w:rPr>
                <w:rFonts w:ascii="Arial" w:hAnsi="Arial" w:cs="Arial"/>
                <w:color w:val="000000"/>
                <w:sz w:val="18"/>
                <w:szCs w:val="18"/>
                <w:lang w:bidi="ar"/>
              </w:rPr>
              <w:t>2.295</w:t>
            </w:r>
          </w:p>
        </w:tc>
        <w:tc>
          <w:tcPr>
            <w:tcW w:w="1033" w:type="dxa"/>
            <w:gridSpan w:val="2"/>
            <w:tcBorders>
              <w:top w:val="single" w:sz="12" w:space="0" w:color="000000"/>
              <w:bottom w:val="single" w:sz="12" w:space="0" w:color="000000"/>
              <w:right w:val="single" w:sz="12" w:space="0" w:color="000000"/>
            </w:tcBorders>
            <w:shd w:val="clear" w:color="auto" w:fill="auto"/>
            <w:vAlign w:val="center"/>
          </w:tcPr>
          <w:p w14:paraId="54789BB0" w14:textId="77777777" w:rsidR="00AA6EC7" w:rsidRPr="008E3494" w:rsidRDefault="007F5B37" w:rsidP="00845DE2">
            <w:pPr>
              <w:pStyle w:val="NormalWeb"/>
              <w:spacing w:beforeAutospacing="0"/>
              <w:rPr>
                <w:rFonts w:ascii="Arial" w:hAnsi="Arial" w:cs="Arial"/>
                <w:color w:val="000000"/>
                <w:sz w:val="18"/>
                <w:szCs w:val="18"/>
              </w:rPr>
            </w:pPr>
            <w:r w:rsidRPr="008E3494">
              <w:rPr>
                <w:rFonts w:ascii="Arial" w:hAnsi="Arial" w:cs="Arial"/>
                <w:color w:val="000000"/>
                <w:sz w:val="18"/>
                <w:szCs w:val="18"/>
                <w:lang w:bidi="ar"/>
              </w:rPr>
              <w:t>2.295</w:t>
            </w:r>
          </w:p>
        </w:tc>
        <w:tc>
          <w:tcPr>
            <w:tcW w:w="960" w:type="dxa"/>
            <w:tcBorders>
              <w:top w:val="single" w:sz="12" w:space="0" w:color="000000"/>
              <w:bottom w:val="single" w:sz="12" w:space="0" w:color="000000"/>
              <w:right w:val="single" w:sz="12" w:space="0" w:color="000000"/>
            </w:tcBorders>
            <w:shd w:val="clear" w:color="auto" w:fill="auto"/>
            <w:vAlign w:val="center"/>
          </w:tcPr>
          <w:p w14:paraId="31F99058" w14:textId="77777777" w:rsidR="00AA6EC7" w:rsidRPr="008E3494" w:rsidRDefault="007F5B37" w:rsidP="00845DE2">
            <w:pPr>
              <w:pStyle w:val="NormalWeb"/>
              <w:spacing w:beforeAutospacing="0"/>
              <w:rPr>
                <w:rFonts w:ascii="Arial" w:hAnsi="Arial" w:cs="Arial"/>
                <w:color w:val="000000"/>
                <w:sz w:val="18"/>
                <w:szCs w:val="18"/>
              </w:rPr>
            </w:pPr>
            <w:r w:rsidRPr="008E3494">
              <w:rPr>
                <w:rFonts w:ascii="Arial" w:hAnsi="Arial" w:cs="Arial"/>
                <w:color w:val="000000"/>
                <w:sz w:val="18"/>
                <w:szCs w:val="18"/>
                <w:lang w:bidi="ar"/>
              </w:rPr>
              <w:t>7.650</w:t>
            </w:r>
          </w:p>
        </w:tc>
        <w:tc>
          <w:tcPr>
            <w:tcW w:w="2303" w:type="dxa"/>
            <w:tcBorders>
              <w:top w:val="single" w:sz="12" w:space="0" w:color="000000"/>
              <w:bottom w:val="single" w:sz="12" w:space="0" w:color="000000"/>
              <w:right w:val="single" w:sz="12" w:space="0" w:color="000000"/>
            </w:tcBorders>
            <w:shd w:val="clear" w:color="auto" w:fill="auto"/>
          </w:tcPr>
          <w:p w14:paraId="4E235EE7" w14:textId="77777777" w:rsidR="00AA6EC7" w:rsidRPr="008E3494" w:rsidRDefault="007F5B37" w:rsidP="00304B74">
            <w:pPr>
              <w:pStyle w:val="NormalWeb"/>
              <w:spacing w:beforeAutospacing="0"/>
              <w:rPr>
                <w:rFonts w:ascii="Arial" w:hAnsi="Arial" w:cs="Arial"/>
                <w:color w:val="000000"/>
                <w:sz w:val="18"/>
                <w:szCs w:val="18"/>
                <w:lang w:val="es-EC"/>
              </w:rPr>
            </w:pPr>
            <w:r w:rsidRPr="008E3494">
              <w:rPr>
                <w:rFonts w:ascii="Arial" w:hAnsi="Arial" w:cs="Arial"/>
                <w:color w:val="000000"/>
                <w:sz w:val="18"/>
                <w:szCs w:val="18"/>
                <w:lang w:val="es-EC" w:bidi="ar"/>
              </w:rPr>
              <w:t>- Reportes (matrices) de seguimiento</w:t>
            </w:r>
          </w:p>
          <w:p w14:paraId="3DFCA314" w14:textId="77777777" w:rsidR="00AA6EC7" w:rsidRPr="008E3494" w:rsidRDefault="007F5B37" w:rsidP="00304B74">
            <w:pPr>
              <w:pStyle w:val="NormalWeb"/>
              <w:spacing w:beforeAutospacing="0"/>
              <w:rPr>
                <w:rFonts w:ascii="Arial" w:hAnsi="Arial" w:cs="Arial"/>
                <w:color w:val="000000"/>
                <w:sz w:val="18"/>
                <w:szCs w:val="18"/>
                <w:lang w:val="es-EC"/>
              </w:rPr>
            </w:pPr>
            <w:r w:rsidRPr="008E3494">
              <w:rPr>
                <w:rFonts w:ascii="Arial" w:hAnsi="Arial" w:cs="Arial"/>
                <w:color w:val="000000"/>
                <w:sz w:val="18"/>
                <w:szCs w:val="18"/>
                <w:lang w:val="es-EC" w:bidi="ar"/>
              </w:rPr>
              <w:t>- Actas de entrega-recepción</w:t>
            </w:r>
          </w:p>
        </w:tc>
      </w:tr>
      <w:tr w:rsidR="00AA6EC7" w:rsidRPr="008E3494" w14:paraId="67BDF721"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14EA026F"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Valor total de subsidios entregados para construcción de vivienda nueva en área urbana</w:t>
            </w:r>
          </w:p>
        </w:tc>
        <w:tc>
          <w:tcPr>
            <w:tcW w:w="1140" w:type="dxa"/>
            <w:tcBorders>
              <w:bottom w:val="single" w:sz="12" w:space="0" w:color="000000"/>
              <w:right w:val="single" w:sz="12" w:space="0" w:color="000000"/>
            </w:tcBorders>
            <w:shd w:val="clear" w:color="auto" w:fill="auto"/>
            <w:vAlign w:val="center"/>
          </w:tcPr>
          <w:p w14:paraId="706C1EC8"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USD</w:t>
            </w:r>
          </w:p>
        </w:tc>
        <w:tc>
          <w:tcPr>
            <w:tcW w:w="732" w:type="dxa"/>
            <w:tcBorders>
              <w:bottom w:val="single" w:sz="12" w:space="0" w:color="000000"/>
              <w:right w:val="single" w:sz="12" w:space="0" w:color="000000"/>
            </w:tcBorders>
            <w:shd w:val="clear" w:color="auto" w:fill="auto"/>
            <w:vAlign w:val="center"/>
          </w:tcPr>
          <w:p w14:paraId="7EE5E347"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0</w:t>
            </w:r>
          </w:p>
        </w:tc>
        <w:tc>
          <w:tcPr>
            <w:tcW w:w="996" w:type="dxa"/>
            <w:tcBorders>
              <w:bottom w:val="single" w:sz="12" w:space="0" w:color="000000"/>
              <w:right w:val="single" w:sz="12" w:space="0" w:color="000000"/>
            </w:tcBorders>
            <w:shd w:val="clear" w:color="auto" w:fill="auto"/>
            <w:vAlign w:val="center"/>
          </w:tcPr>
          <w:p w14:paraId="544D081D" w14:textId="77777777" w:rsidR="00AA6EC7" w:rsidRPr="008E3494" w:rsidRDefault="007F5B37" w:rsidP="00845DE2">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6’882</w:t>
            </w:r>
            <w:r w:rsidR="00304B74" w:rsidRPr="008E3494">
              <w:rPr>
                <w:rFonts w:ascii="Arial" w:eastAsia="SimSun" w:hAnsi="Arial" w:cs="Arial"/>
                <w:color w:val="000000"/>
                <w:sz w:val="18"/>
                <w:szCs w:val="18"/>
                <w:lang w:val="en-US" w:eastAsia="zh-CN" w:bidi="ar"/>
              </w:rPr>
              <w:t>.</w:t>
            </w:r>
            <w:r w:rsidRPr="008E3494">
              <w:rPr>
                <w:rFonts w:ascii="Arial" w:eastAsia="SimSun" w:hAnsi="Arial" w:cs="Arial"/>
                <w:color w:val="000000"/>
                <w:sz w:val="18"/>
                <w:szCs w:val="18"/>
                <w:lang w:val="en-US" w:eastAsia="zh-CN" w:bidi="ar"/>
              </w:rPr>
              <w:t>000</w:t>
            </w:r>
          </w:p>
        </w:tc>
        <w:tc>
          <w:tcPr>
            <w:tcW w:w="996" w:type="dxa"/>
            <w:tcBorders>
              <w:bottom w:val="single" w:sz="12" w:space="0" w:color="000000"/>
              <w:right w:val="single" w:sz="12" w:space="0" w:color="000000"/>
            </w:tcBorders>
            <w:shd w:val="clear" w:color="auto" w:fill="auto"/>
            <w:vAlign w:val="center"/>
          </w:tcPr>
          <w:p w14:paraId="2A3D1AFA" w14:textId="77777777" w:rsidR="00AA6EC7" w:rsidRPr="008E3494" w:rsidRDefault="007F5B37" w:rsidP="00845DE2">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11’478.000</w:t>
            </w:r>
          </w:p>
        </w:tc>
        <w:tc>
          <w:tcPr>
            <w:tcW w:w="996" w:type="dxa"/>
            <w:tcBorders>
              <w:bottom w:val="single" w:sz="12" w:space="0" w:color="000000"/>
              <w:right w:val="single" w:sz="12" w:space="0" w:color="000000"/>
            </w:tcBorders>
            <w:shd w:val="clear" w:color="auto" w:fill="auto"/>
            <w:vAlign w:val="center"/>
          </w:tcPr>
          <w:p w14:paraId="0540A584" w14:textId="77777777" w:rsidR="00AA6EC7" w:rsidRPr="008E3494" w:rsidRDefault="007F5B37" w:rsidP="00845DE2">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13’770.000</w:t>
            </w:r>
          </w:p>
        </w:tc>
        <w:tc>
          <w:tcPr>
            <w:tcW w:w="1033" w:type="dxa"/>
            <w:gridSpan w:val="2"/>
            <w:tcBorders>
              <w:bottom w:val="single" w:sz="12" w:space="0" w:color="000000"/>
              <w:right w:val="single" w:sz="12" w:space="0" w:color="000000"/>
            </w:tcBorders>
            <w:shd w:val="clear" w:color="auto" w:fill="auto"/>
            <w:vAlign w:val="center"/>
          </w:tcPr>
          <w:p w14:paraId="1C1A7160" w14:textId="77777777" w:rsidR="00AA6EC7" w:rsidRPr="008E3494" w:rsidRDefault="007F5B37" w:rsidP="00845DE2">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13’770.000</w:t>
            </w:r>
          </w:p>
        </w:tc>
        <w:tc>
          <w:tcPr>
            <w:tcW w:w="960" w:type="dxa"/>
            <w:tcBorders>
              <w:bottom w:val="single" w:sz="12" w:space="0" w:color="000000"/>
              <w:right w:val="single" w:sz="12" w:space="0" w:color="000000"/>
            </w:tcBorders>
            <w:shd w:val="clear" w:color="auto" w:fill="auto"/>
            <w:vAlign w:val="center"/>
          </w:tcPr>
          <w:p w14:paraId="3D7C4119" w14:textId="77777777" w:rsidR="00AA6EC7" w:rsidRPr="008E3494" w:rsidRDefault="007F5B37" w:rsidP="00845DE2">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45’900.000</w:t>
            </w:r>
          </w:p>
        </w:tc>
        <w:tc>
          <w:tcPr>
            <w:tcW w:w="2303" w:type="dxa"/>
            <w:tcBorders>
              <w:bottom w:val="single" w:sz="12" w:space="0" w:color="000000"/>
              <w:right w:val="single" w:sz="12" w:space="0" w:color="000000"/>
            </w:tcBorders>
            <w:shd w:val="clear" w:color="auto" w:fill="auto"/>
            <w:vAlign w:val="center"/>
          </w:tcPr>
          <w:p w14:paraId="62DA3206" w14:textId="77777777" w:rsidR="00AA6EC7" w:rsidRPr="008E3494" w:rsidRDefault="007F5B37" w:rsidP="00845DE2">
            <w:pPr>
              <w:spacing w:after="0" w:line="240" w:lineRule="auto"/>
              <w:jc w:val="center"/>
              <w:rPr>
                <w:rFonts w:ascii="Arial" w:hAnsi="Arial" w:cs="Arial"/>
                <w:color w:val="000000"/>
                <w:sz w:val="18"/>
                <w:szCs w:val="18"/>
              </w:rPr>
            </w:pPr>
            <w:proofErr w:type="spellStart"/>
            <w:r w:rsidRPr="008E3494">
              <w:rPr>
                <w:rFonts w:ascii="Arial" w:hAnsi="Arial" w:cs="Arial"/>
                <w:color w:val="000000"/>
                <w:sz w:val="18"/>
                <w:szCs w:val="18"/>
                <w:lang w:val="en-US"/>
              </w:rPr>
              <w:t>Registros</w:t>
            </w:r>
            <w:proofErr w:type="spellEnd"/>
            <w:r w:rsidRPr="008E3494">
              <w:rPr>
                <w:rFonts w:ascii="Arial" w:hAnsi="Arial" w:cs="Arial"/>
                <w:color w:val="000000"/>
                <w:sz w:val="18"/>
                <w:szCs w:val="18"/>
                <w:lang w:val="en-US"/>
              </w:rPr>
              <w:t xml:space="preserve"> </w:t>
            </w:r>
            <w:proofErr w:type="spellStart"/>
            <w:r w:rsidRPr="008E3494">
              <w:rPr>
                <w:rFonts w:ascii="Arial" w:hAnsi="Arial" w:cs="Arial"/>
                <w:color w:val="000000"/>
                <w:sz w:val="18"/>
                <w:szCs w:val="18"/>
                <w:lang w:val="en-US"/>
              </w:rPr>
              <w:t>contables</w:t>
            </w:r>
            <w:proofErr w:type="spellEnd"/>
          </w:p>
        </w:tc>
      </w:tr>
      <w:tr w:rsidR="00AA6EC7" w:rsidRPr="008E3494" w14:paraId="075DB57C"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7DBE9CDA"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Porcentaje de subsidios monetarios adjudicados para construcción de vivienda nueva en área urbana vs. Subsidios planificados</w:t>
            </w:r>
          </w:p>
        </w:tc>
        <w:tc>
          <w:tcPr>
            <w:tcW w:w="1140" w:type="dxa"/>
            <w:tcBorders>
              <w:bottom w:val="single" w:sz="12" w:space="0" w:color="000000"/>
              <w:right w:val="single" w:sz="12" w:space="0" w:color="000000"/>
            </w:tcBorders>
            <w:shd w:val="clear" w:color="auto" w:fill="auto"/>
            <w:vAlign w:val="center"/>
          </w:tcPr>
          <w:p w14:paraId="14945EAB" w14:textId="77777777" w:rsidR="00AA6EC7" w:rsidRPr="008E3494" w:rsidRDefault="007F5B37" w:rsidP="00845DE2">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Porcentaje</w:t>
            </w:r>
            <w:proofErr w:type="spellEnd"/>
          </w:p>
        </w:tc>
        <w:tc>
          <w:tcPr>
            <w:tcW w:w="732" w:type="dxa"/>
            <w:tcBorders>
              <w:bottom w:val="single" w:sz="12" w:space="0" w:color="000000"/>
              <w:right w:val="single" w:sz="12" w:space="0" w:color="000000"/>
            </w:tcBorders>
            <w:shd w:val="clear" w:color="auto" w:fill="auto"/>
            <w:vAlign w:val="center"/>
          </w:tcPr>
          <w:p w14:paraId="1B00892F"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7E9B995A" w14:textId="77777777" w:rsidR="00AA6EC7" w:rsidRPr="008E3494" w:rsidRDefault="007F5B37" w:rsidP="00845DE2">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15%</w:t>
            </w:r>
          </w:p>
        </w:tc>
        <w:tc>
          <w:tcPr>
            <w:tcW w:w="996" w:type="dxa"/>
            <w:tcBorders>
              <w:bottom w:val="single" w:sz="12" w:space="0" w:color="000000"/>
              <w:right w:val="single" w:sz="12" w:space="0" w:color="000000"/>
            </w:tcBorders>
            <w:shd w:val="clear" w:color="auto" w:fill="auto"/>
            <w:vAlign w:val="center"/>
          </w:tcPr>
          <w:p w14:paraId="32570443" w14:textId="77777777" w:rsidR="00AA6EC7" w:rsidRPr="008E3494" w:rsidRDefault="007F5B37" w:rsidP="00845DE2">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25%</w:t>
            </w:r>
          </w:p>
        </w:tc>
        <w:tc>
          <w:tcPr>
            <w:tcW w:w="996" w:type="dxa"/>
            <w:tcBorders>
              <w:bottom w:val="single" w:sz="12" w:space="0" w:color="000000"/>
              <w:right w:val="single" w:sz="12" w:space="0" w:color="000000"/>
            </w:tcBorders>
            <w:shd w:val="clear" w:color="auto" w:fill="auto"/>
            <w:vAlign w:val="center"/>
          </w:tcPr>
          <w:p w14:paraId="4F4B4DD7" w14:textId="77777777" w:rsidR="00AA6EC7" w:rsidRPr="008E3494" w:rsidRDefault="007F5B37" w:rsidP="00845DE2">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30%</w:t>
            </w:r>
          </w:p>
        </w:tc>
        <w:tc>
          <w:tcPr>
            <w:tcW w:w="1033" w:type="dxa"/>
            <w:gridSpan w:val="2"/>
            <w:tcBorders>
              <w:bottom w:val="single" w:sz="12" w:space="0" w:color="000000"/>
              <w:right w:val="single" w:sz="12" w:space="0" w:color="000000"/>
            </w:tcBorders>
            <w:shd w:val="clear" w:color="auto" w:fill="auto"/>
            <w:vAlign w:val="center"/>
          </w:tcPr>
          <w:p w14:paraId="16F6003C" w14:textId="77777777" w:rsidR="00AA6EC7" w:rsidRPr="008E3494" w:rsidRDefault="007F5B37" w:rsidP="00845DE2">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30%</w:t>
            </w:r>
          </w:p>
        </w:tc>
        <w:tc>
          <w:tcPr>
            <w:tcW w:w="960" w:type="dxa"/>
            <w:tcBorders>
              <w:bottom w:val="single" w:sz="12" w:space="0" w:color="000000"/>
              <w:right w:val="single" w:sz="12" w:space="0" w:color="000000"/>
            </w:tcBorders>
            <w:shd w:val="clear" w:color="auto" w:fill="auto"/>
            <w:vAlign w:val="center"/>
          </w:tcPr>
          <w:p w14:paraId="7673AA14" w14:textId="77777777" w:rsidR="00AA6EC7" w:rsidRPr="008E3494" w:rsidRDefault="007F5B37" w:rsidP="00845DE2">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100%</w:t>
            </w:r>
          </w:p>
        </w:tc>
        <w:tc>
          <w:tcPr>
            <w:tcW w:w="2303" w:type="dxa"/>
            <w:tcBorders>
              <w:bottom w:val="single" w:sz="12" w:space="0" w:color="000000"/>
              <w:right w:val="single" w:sz="12" w:space="0" w:color="000000"/>
            </w:tcBorders>
            <w:shd w:val="clear" w:color="auto" w:fill="auto"/>
            <w:vAlign w:val="center"/>
          </w:tcPr>
          <w:p w14:paraId="4E50A884"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rPr>
              <w:t>Reportes (matrices) de seguimiento</w:t>
            </w:r>
          </w:p>
        </w:tc>
      </w:tr>
      <w:tr w:rsidR="00AA6EC7" w:rsidRPr="008E3494" w14:paraId="1B0BF40D"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31080E3F"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Porcentaje de subsidios monetarios otorgados para construcción de vivienda nueva en área urbana vs. Subsidios adjudicados</w:t>
            </w:r>
          </w:p>
        </w:tc>
        <w:tc>
          <w:tcPr>
            <w:tcW w:w="1140" w:type="dxa"/>
            <w:tcBorders>
              <w:bottom w:val="single" w:sz="12" w:space="0" w:color="000000"/>
              <w:right w:val="single" w:sz="12" w:space="0" w:color="000000"/>
            </w:tcBorders>
            <w:shd w:val="clear" w:color="auto" w:fill="auto"/>
            <w:vAlign w:val="center"/>
          </w:tcPr>
          <w:p w14:paraId="1D174335" w14:textId="77777777" w:rsidR="00AA6EC7" w:rsidRPr="008E3494" w:rsidRDefault="007F5B37" w:rsidP="00845DE2">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Porcentaje</w:t>
            </w:r>
            <w:proofErr w:type="spellEnd"/>
          </w:p>
        </w:tc>
        <w:tc>
          <w:tcPr>
            <w:tcW w:w="732" w:type="dxa"/>
            <w:tcBorders>
              <w:bottom w:val="single" w:sz="12" w:space="0" w:color="000000"/>
              <w:right w:val="single" w:sz="12" w:space="0" w:color="000000"/>
            </w:tcBorders>
            <w:shd w:val="clear" w:color="auto" w:fill="auto"/>
            <w:vAlign w:val="center"/>
          </w:tcPr>
          <w:p w14:paraId="207A0433"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03FFD7FF" w14:textId="77777777" w:rsidR="00AA6EC7" w:rsidRPr="008E3494" w:rsidRDefault="007F5B37" w:rsidP="00845DE2">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15%</w:t>
            </w:r>
          </w:p>
        </w:tc>
        <w:tc>
          <w:tcPr>
            <w:tcW w:w="996" w:type="dxa"/>
            <w:tcBorders>
              <w:bottom w:val="single" w:sz="12" w:space="0" w:color="000000"/>
              <w:right w:val="single" w:sz="12" w:space="0" w:color="000000"/>
            </w:tcBorders>
            <w:shd w:val="clear" w:color="auto" w:fill="auto"/>
            <w:vAlign w:val="center"/>
          </w:tcPr>
          <w:p w14:paraId="090DFF59" w14:textId="77777777" w:rsidR="00AA6EC7" w:rsidRPr="008E3494" w:rsidRDefault="007F5B37" w:rsidP="00845DE2">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25%</w:t>
            </w:r>
          </w:p>
        </w:tc>
        <w:tc>
          <w:tcPr>
            <w:tcW w:w="996" w:type="dxa"/>
            <w:tcBorders>
              <w:bottom w:val="single" w:sz="12" w:space="0" w:color="000000"/>
              <w:right w:val="single" w:sz="12" w:space="0" w:color="000000"/>
            </w:tcBorders>
            <w:shd w:val="clear" w:color="auto" w:fill="auto"/>
            <w:vAlign w:val="center"/>
          </w:tcPr>
          <w:p w14:paraId="7909A529" w14:textId="77777777" w:rsidR="00AA6EC7" w:rsidRPr="008E3494" w:rsidRDefault="007F5B37" w:rsidP="00845DE2">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30%</w:t>
            </w:r>
          </w:p>
        </w:tc>
        <w:tc>
          <w:tcPr>
            <w:tcW w:w="1033" w:type="dxa"/>
            <w:gridSpan w:val="2"/>
            <w:tcBorders>
              <w:bottom w:val="single" w:sz="12" w:space="0" w:color="000000"/>
              <w:right w:val="single" w:sz="12" w:space="0" w:color="000000"/>
            </w:tcBorders>
            <w:shd w:val="clear" w:color="auto" w:fill="auto"/>
            <w:vAlign w:val="center"/>
          </w:tcPr>
          <w:p w14:paraId="02122011" w14:textId="77777777" w:rsidR="00AA6EC7" w:rsidRPr="008E3494" w:rsidRDefault="007F5B37" w:rsidP="00845DE2">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30%</w:t>
            </w:r>
          </w:p>
        </w:tc>
        <w:tc>
          <w:tcPr>
            <w:tcW w:w="960" w:type="dxa"/>
            <w:tcBorders>
              <w:bottom w:val="single" w:sz="12" w:space="0" w:color="000000"/>
              <w:right w:val="single" w:sz="12" w:space="0" w:color="000000"/>
            </w:tcBorders>
            <w:shd w:val="clear" w:color="auto" w:fill="auto"/>
            <w:vAlign w:val="center"/>
          </w:tcPr>
          <w:p w14:paraId="0C64DD8F" w14:textId="77777777" w:rsidR="00AA6EC7" w:rsidRPr="008E3494" w:rsidRDefault="007F5B37" w:rsidP="00845DE2">
            <w:pPr>
              <w:spacing w:after="0" w:line="240" w:lineRule="auto"/>
              <w:jc w:val="center"/>
              <w:textAlignment w:val="center"/>
              <w:rPr>
                <w:rFonts w:ascii="Arial" w:hAnsi="Arial" w:cs="Arial"/>
                <w:color w:val="000000"/>
                <w:sz w:val="18"/>
                <w:szCs w:val="18"/>
              </w:rPr>
            </w:pPr>
            <w:r w:rsidRPr="008E3494">
              <w:rPr>
                <w:rFonts w:ascii="Arial" w:eastAsia="SimSun" w:hAnsi="Arial" w:cs="Arial"/>
                <w:color w:val="000000"/>
                <w:sz w:val="18"/>
                <w:szCs w:val="18"/>
                <w:lang w:val="en-US" w:eastAsia="zh-CN" w:bidi="ar"/>
              </w:rPr>
              <w:t>100%</w:t>
            </w:r>
          </w:p>
        </w:tc>
        <w:tc>
          <w:tcPr>
            <w:tcW w:w="2303" w:type="dxa"/>
            <w:tcBorders>
              <w:bottom w:val="single" w:sz="12" w:space="0" w:color="000000"/>
              <w:right w:val="single" w:sz="12" w:space="0" w:color="000000"/>
            </w:tcBorders>
            <w:shd w:val="clear" w:color="auto" w:fill="auto"/>
            <w:vAlign w:val="center"/>
          </w:tcPr>
          <w:p w14:paraId="14945EF7"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rPr>
              <w:t>Reportes (matrices) de seguimiento</w:t>
            </w:r>
          </w:p>
        </w:tc>
      </w:tr>
      <w:tr w:rsidR="00AA6EC7" w:rsidRPr="008E3494" w14:paraId="382A0DCE" w14:textId="77777777">
        <w:trPr>
          <w:trHeight w:val="90"/>
        </w:trPr>
        <w:tc>
          <w:tcPr>
            <w:tcW w:w="3925" w:type="dxa"/>
            <w:tcBorders>
              <w:left w:val="single" w:sz="12" w:space="0" w:color="000000"/>
              <w:bottom w:val="single" w:sz="12" w:space="0" w:color="000000"/>
              <w:right w:val="single" w:sz="12" w:space="0" w:color="000000"/>
            </w:tcBorders>
            <w:shd w:val="clear" w:color="auto" w:fill="auto"/>
            <w:vAlign w:val="center"/>
          </w:tcPr>
          <w:p w14:paraId="349E6882"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Número de viviendas nuevas construidas en área urbana</w:t>
            </w:r>
          </w:p>
        </w:tc>
        <w:tc>
          <w:tcPr>
            <w:tcW w:w="1140" w:type="dxa"/>
            <w:tcBorders>
              <w:bottom w:val="single" w:sz="12" w:space="0" w:color="000000"/>
              <w:right w:val="single" w:sz="12" w:space="0" w:color="000000"/>
            </w:tcBorders>
            <w:shd w:val="clear" w:color="auto" w:fill="auto"/>
            <w:vAlign w:val="center"/>
          </w:tcPr>
          <w:p w14:paraId="3C1C13E3" w14:textId="77777777" w:rsidR="00AA6EC7" w:rsidRPr="008E3494" w:rsidRDefault="007F5B37" w:rsidP="00845DE2">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Viviendas</w:t>
            </w:r>
            <w:proofErr w:type="spellEnd"/>
          </w:p>
        </w:tc>
        <w:tc>
          <w:tcPr>
            <w:tcW w:w="732" w:type="dxa"/>
            <w:tcBorders>
              <w:bottom w:val="single" w:sz="12" w:space="0" w:color="000000"/>
              <w:right w:val="single" w:sz="12" w:space="0" w:color="000000"/>
            </w:tcBorders>
            <w:shd w:val="clear" w:color="auto" w:fill="auto"/>
            <w:vAlign w:val="center"/>
          </w:tcPr>
          <w:p w14:paraId="1C33C6B1"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095A4095" w14:textId="77777777" w:rsidR="00AA6EC7" w:rsidRPr="008E3494" w:rsidRDefault="007F5B37" w:rsidP="00845DE2">
            <w:pPr>
              <w:pStyle w:val="NormalWeb"/>
              <w:spacing w:beforeAutospacing="0"/>
              <w:rPr>
                <w:rFonts w:ascii="Arial" w:hAnsi="Arial" w:cs="Arial"/>
                <w:color w:val="000000"/>
                <w:sz w:val="18"/>
                <w:szCs w:val="18"/>
              </w:rPr>
            </w:pPr>
            <w:r w:rsidRPr="008E3494">
              <w:rPr>
                <w:rFonts w:ascii="Arial" w:hAnsi="Arial" w:cs="Arial"/>
                <w:color w:val="000000"/>
                <w:sz w:val="18"/>
                <w:szCs w:val="18"/>
                <w:lang w:bidi="ar"/>
              </w:rPr>
              <w:t>1.147</w:t>
            </w:r>
          </w:p>
        </w:tc>
        <w:tc>
          <w:tcPr>
            <w:tcW w:w="996" w:type="dxa"/>
            <w:tcBorders>
              <w:bottom w:val="single" w:sz="12" w:space="0" w:color="000000"/>
              <w:right w:val="single" w:sz="12" w:space="0" w:color="000000"/>
            </w:tcBorders>
            <w:shd w:val="clear" w:color="auto" w:fill="auto"/>
            <w:vAlign w:val="center"/>
          </w:tcPr>
          <w:p w14:paraId="666C4428" w14:textId="77777777" w:rsidR="00AA6EC7" w:rsidRPr="008E3494" w:rsidRDefault="007F5B37" w:rsidP="00845DE2">
            <w:pPr>
              <w:pStyle w:val="NormalWeb"/>
              <w:spacing w:beforeAutospacing="0"/>
              <w:rPr>
                <w:rFonts w:ascii="Arial" w:hAnsi="Arial" w:cs="Arial"/>
                <w:color w:val="000000"/>
                <w:sz w:val="18"/>
                <w:szCs w:val="18"/>
              </w:rPr>
            </w:pPr>
            <w:r w:rsidRPr="008E3494">
              <w:rPr>
                <w:rFonts w:ascii="Arial" w:hAnsi="Arial" w:cs="Arial"/>
                <w:color w:val="000000"/>
                <w:sz w:val="18"/>
                <w:szCs w:val="18"/>
                <w:lang w:bidi="ar"/>
              </w:rPr>
              <w:t>1.913</w:t>
            </w:r>
          </w:p>
        </w:tc>
        <w:tc>
          <w:tcPr>
            <w:tcW w:w="996" w:type="dxa"/>
            <w:tcBorders>
              <w:bottom w:val="single" w:sz="12" w:space="0" w:color="000000"/>
              <w:right w:val="single" w:sz="12" w:space="0" w:color="000000"/>
            </w:tcBorders>
            <w:shd w:val="clear" w:color="auto" w:fill="auto"/>
            <w:vAlign w:val="center"/>
          </w:tcPr>
          <w:p w14:paraId="627F9CED" w14:textId="77777777" w:rsidR="00AA6EC7" w:rsidRPr="008E3494" w:rsidRDefault="007F5B37" w:rsidP="00845DE2">
            <w:pPr>
              <w:pStyle w:val="NormalWeb"/>
              <w:spacing w:beforeAutospacing="0"/>
              <w:rPr>
                <w:rFonts w:ascii="Arial" w:hAnsi="Arial" w:cs="Arial"/>
                <w:color w:val="000000"/>
                <w:sz w:val="18"/>
                <w:szCs w:val="18"/>
              </w:rPr>
            </w:pPr>
            <w:r w:rsidRPr="008E3494">
              <w:rPr>
                <w:rFonts w:ascii="Arial" w:hAnsi="Arial" w:cs="Arial"/>
                <w:color w:val="000000"/>
                <w:sz w:val="18"/>
                <w:szCs w:val="18"/>
                <w:lang w:bidi="ar"/>
              </w:rPr>
              <w:t>2.295</w:t>
            </w:r>
          </w:p>
        </w:tc>
        <w:tc>
          <w:tcPr>
            <w:tcW w:w="1033" w:type="dxa"/>
            <w:gridSpan w:val="2"/>
            <w:tcBorders>
              <w:bottom w:val="single" w:sz="12" w:space="0" w:color="000000"/>
              <w:right w:val="single" w:sz="12" w:space="0" w:color="000000"/>
            </w:tcBorders>
            <w:shd w:val="clear" w:color="auto" w:fill="auto"/>
            <w:vAlign w:val="center"/>
          </w:tcPr>
          <w:p w14:paraId="54B42D9A" w14:textId="77777777" w:rsidR="00AA6EC7" w:rsidRPr="008E3494" w:rsidRDefault="007F5B37" w:rsidP="00845DE2">
            <w:pPr>
              <w:pStyle w:val="NormalWeb"/>
              <w:spacing w:beforeAutospacing="0"/>
              <w:rPr>
                <w:rFonts w:ascii="Arial" w:hAnsi="Arial" w:cs="Arial"/>
                <w:color w:val="000000"/>
                <w:sz w:val="18"/>
                <w:szCs w:val="18"/>
              </w:rPr>
            </w:pPr>
            <w:r w:rsidRPr="008E3494">
              <w:rPr>
                <w:rFonts w:ascii="Arial" w:hAnsi="Arial" w:cs="Arial"/>
                <w:color w:val="000000"/>
                <w:sz w:val="18"/>
                <w:szCs w:val="18"/>
                <w:lang w:bidi="ar"/>
              </w:rPr>
              <w:t>2.295</w:t>
            </w:r>
          </w:p>
        </w:tc>
        <w:tc>
          <w:tcPr>
            <w:tcW w:w="960" w:type="dxa"/>
            <w:tcBorders>
              <w:bottom w:val="single" w:sz="12" w:space="0" w:color="000000"/>
              <w:right w:val="single" w:sz="12" w:space="0" w:color="000000"/>
            </w:tcBorders>
            <w:shd w:val="clear" w:color="auto" w:fill="auto"/>
            <w:vAlign w:val="center"/>
          </w:tcPr>
          <w:p w14:paraId="1F46504D" w14:textId="77777777" w:rsidR="00AA6EC7" w:rsidRPr="008E3494" w:rsidRDefault="007F5B37" w:rsidP="00845DE2">
            <w:pPr>
              <w:pStyle w:val="NormalWeb"/>
              <w:spacing w:beforeAutospacing="0"/>
              <w:rPr>
                <w:rFonts w:ascii="Arial" w:hAnsi="Arial" w:cs="Arial"/>
                <w:color w:val="000000"/>
                <w:sz w:val="18"/>
                <w:szCs w:val="18"/>
              </w:rPr>
            </w:pPr>
            <w:r w:rsidRPr="008E3494">
              <w:rPr>
                <w:rFonts w:ascii="Arial" w:hAnsi="Arial" w:cs="Arial"/>
                <w:color w:val="000000"/>
                <w:sz w:val="18"/>
                <w:szCs w:val="18"/>
                <w:lang w:bidi="ar"/>
              </w:rPr>
              <w:t>7.650</w:t>
            </w:r>
          </w:p>
        </w:tc>
        <w:tc>
          <w:tcPr>
            <w:tcW w:w="2303" w:type="dxa"/>
            <w:tcBorders>
              <w:bottom w:val="single" w:sz="12" w:space="0" w:color="000000"/>
              <w:right w:val="single" w:sz="12" w:space="0" w:color="000000"/>
            </w:tcBorders>
            <w:shd w:val="clear" w:color="auto" w:fill="auto"/>
            <w:vAlign w:val="center"/>
          </w:tcPr>
          <w:p w14:paraId="67836E44"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rPr>
              <w:t>Reportes (matrices) de seguimiento</w:t>
            </w:r>
          </w:p>
        </w:tc>
      </w:tr>
      <w:tr w:rsidR="00AA6EC7" w:rsidRPr="008E3494" w14:paraId="0349093C" w14:textId="77777777" w:rsidTr="00A60ECA">
        <w:trPr>
          <w:trHeight w:val="530"/>
        </w:trPr>
        <w:tc>
          <w:tcPr>
            <w:tcW w:w="3925" w:type="dxa"/>
            <w:tcBorders>
              <w:left w:val="single" w:sz="12" w:space="0" w:color="000000"/>
              <w:bottom w:val="single" w:sz="12" w:space="0" w:color="000000"/>
              <w:right w:val="single" w:sz="12" w:space="0" w:color="000000"/>
            </w:tcBorders>
            <w:shd w:val="clear" w:color="auto" w:fill="auto"/>
            <w:vAlign w:val="center"/>
          </w:tcPr>
          <w:p w14:paraId="40606F47"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Número de viviendas nuevas entregadas en área urbana</w:t>
            </w:r>
          </w:p>
        </w:tc>
        <w:tc>
          <w:tcPr>
            <w:tcW w:w="1140" w:type="dxa"/>
            <w:tcBorders>
              <w:bottom w:val="single" w:sz="12" w:space="0" w:color="000000"/>
              <w:right w:val="single" w:sz="12" w:space="0" w:color="000000"/>
            </w:tcBorders>
            <w:shd w:val="clear" w:color="auto" w:fill="auto"/>
            <w:vAlign w:val="center"/>
          </w:tcPr>
          <w:p w14:paraId="4E99CFA8" w14:textId="77777777" w:rsidR="00AA6EC7" w:rsidRPr="008E3494" w:rsidRDefault="007F5B37" w:rsidP="00845DE2">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Viviendas</w:t>
            </w:r>
            <w:proofErr w:type="spellEnd"/>
          </w:p>
        </w:tc>
        <w:tc>
          <w:tcPr>
            <w:tcW w:w="732" w:type="dxa"/>
            <w:tcBorders>
              <w:bottom w:val="single" w:sz="12" w:space="0" w:color="000000"/>
              <w:right w:val="single" w:sz="12" w:space="0" w:color="000000"/>
            </w:tcBorders>
            <w:shd w:val="clear" w:color="auto" w:fill="auto"/>
            <w:vAlign w:val="center"/>
          </w:tcPr>
          <w:p w14:paraId="7DC04A34"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54EB957D" w14:textId="77777777" w:rsidR="00AA6EC7" w:rsidRPr="008E3494" w:rsidRDefault="007F5B37" w:rsidP="00845DE2">
            <w:pPr>
              <w:pStyle w:val="NormalWeb"/>
              <w:spacing w:beforeAutospacing="0"/>
              <w:rPr>
                <w:rFonts w:ascii="Arial" w:hAnsi="Arial" w:cs="Arial"/>
                <w:color w:val="000000"/>
                <w:sz w:val="18"/>
                <w:szCs w:val="18"/>
              </w:rPr>
            </w:pPr>
            <w:r w:rsidRPr="008E3494">
              <w:rPr>
                <w:rFonts w:ascii="Arial" w:hAnsi="Arial" w:cs="Arial"/>
                <w:color w:val="000000"/>
                <w:sz w:val="18"/>
                <w:szCs w:val="18"/>
                <w:lang w:bidi="ar"/>
              </w:rPr>
              <w:t>1.147</w:t>
            </w:r>
          </w:p>
        </w:tc>
        <w:tc>
          <w:tcPr>
            <w:tcW w:w="996" w:type="dxa"/>
            <w:tcBorders>
              <w:bottom w:val="single" w:sz="12" w:space="0" w:color="000000"/>
              <w:right w:val="single" w:sz="12" w:space="0" w:color="000000"/>
            </w:tcBorders>
            <w:shd w:val="clear" w:color="auto" w:fill="auto"/>
            <w:vAlign w:val="center"/>
          </w:tcPr>
          <w:p w14:paraId="6CD2CC20" w14:textId="77777777" w:rsidR="00AA6EC7" w:rsidRPr="008E3494" w:rsidRDefault="007F5B37" w:rsidP="00845DE2">
            <w:pPr>
              <w:pStyle w:val="NormalWeb"/>
              <w:spacing w:beforeAutospacing="0"/>
              <w:rPr>
                <w:rFonts w:ascii="Arial" w:hAnsi="Arial" w:cs="Arial"/>
                <w:color w:val="000000"/>
                <w:sz w:val="18"/>
                <w:szCs w:val="18"/>
              </w:rPr>
            </w:pPr>
            <w:r w:rsidRPr="008E3494">
              <w:rPr>
                <w:rFonts w:ascii="Arial" w:hAnsi="Arial" w:cs="Arial"/>
                <w:color w:val="000000"/>
                <w:sz w:val="18"/>
                <w:szCs w:val="18"/>
                <w:lang w:bidi="ar"/>
              </w:rPr>
              <w:t>1.913</w:t>
            </w:r>
          </w:p>
        </w:tc>
        <w:tc>
          <w:tcPr>
            <w:tcW w:w="996" w:type="dxa"/>
            <w:tcBorders>
              <w:bottom w:val="single" w:sz="12" w:space="0" w:color="000000"/>
              <w:right w:val="single" w:sz="12" w:space="0" w:color="000000"/>
            </w:tcBorders>
            <w:shd w:val="clear" w:color="auto" w:fill="auto"/>
            <w:vAlign w:val="center"/>
          </w:tcPr>
          <w:p w14:paraId="6DEDE128" w14:textId="77777777" w:rsidR="00AA6EC7" w:rsidRPr="008E3494" w:rsidRDefault="007F5B37" w:rsidP="00845DE2">
            <w:pPr>
              <w:pStyle w:val="NormalWeb"/>
              <w:spacing w:beforeAutospacing="0"/>
              <w:rPr>
                <w:rFonts w:ascii="Arial" w:hAnsi="Arial" w:cs="Arial"/>
                <w:color w:val="000000"/>
                <w:sz w:val="18"/>
                <w:szCs w:val="18"/>
              </w:rPr>
            </w:pPr>
            <w:r w:rsidRPr="008E3494">
              <w:rPr>
                <w:rFonts w:ascii="Arial" w:hAnsi="Arial" w:cs="Arial"/>
                <w:color w:val="000000"/>
                <w:sz w:val="18"/>
                <w:szCs w:val="18"/>
                <w:lang w:bidi="ar"/>
              </w:rPr>
              <w:t>2.295</w:t>
            </w:r>
          </w:p>
        </w:tc>
        <w:tc>
          <w:tcPr>
            <w:tcW w:w="1033" w:type="dxa"/>
            <w:gridSpan w:val="2"/>
            <w:tcBorders>
              <w:bottom w:val="single" w:sz="12" w:space="0" w:color="000000"/>
              <w:right w:val="single" w:sz="12" w:space="0" w:color="000000"/>
            </w:tcBorders>
            <w:shd w:val="clear" w:color="auto" w:fill="auto"/>
            <w:vAlign w:val="center"/>
          </w:tcPr>
          <w:p w14:paraId="59E3AD59" w14:textId="77777777" w:rsidR="00AA6EC7" w:rsidRPr="008E3494" w:rsidRDefault="007F5B37" w:rsidP="00845DE2">
            <w:pPr>
              <w:pStyle w:val="NormalWeb"/>
              <w:spacing w:beforeAutospacing="0"/>
              <w:rPr>
                <w:rFonts w:ascii="Arial" w:hAnsi="Arial" w:cs="Arial"/>
                <w:color w:val="000000"/>
                <w:sz w:val="18"/>
                <w:szCs w:val="18"/>
              </w:rPr>
            </w:pPr>
            <w:r w:rsidRPr="008E3494">
              <w:rPr>
                <w:rFonts w:ascii="Arial" w:hAnsi="Arial" w:cs="Arial"/>
                <w:color w:val="000000"/>
                <w:sz w:val="18"/>
                <w:szCs w:val="18"/>
                <w:lang w:bidi="ar"/>
              </w:rPr>
              <w:t>2.295</w:t>
            </w:r>
          </w:p>
        </w:tc>
        <w:tc>
          <w:tcPr>
            <w:tcW w:w="960" w:type="dxa"/>
            <w:tcBorders>
              <w:bottom w:val="single" w:sz="12" w:space="0" w:color="000000"/>
              <w:right w:val="single" w:sz="12" w:space="0" w:color="000000"/>
            </w:tcBorders>
            <w:shd w:val="clear" w:color="auto" w:fill="auto"/>
            <w:vAlign w:val="center"/>
          </w:tcPr>
          <w:p w14:paraId="0E7E05E1" w14:textId="77777777" w:rsidR="00AA6EC7" w:rsidRPr="008E3494" w:rsidRDefault="007F5B37" w:rsidP="00845DE2">
            <w:pPr>
              <w:pStyle w:val="NormalWeb"/>
              <w:spacing w:beforeAutospacing="0"/>
              <w:rPr>
                <w:rFonts w:ascii="Arial" w:hAnsi="Arial" w:cs="Arial"/>
                <w:color w:val="000000"/>
                <w:sz w:val="18"/>
                <w:szCs w:val="18"/>
              </w:rPr>
            </w:pPr>
            <w:r w:rsidRPr="008E3494">
              <w:rPr>
                <w:rFonts w:ascii="Arial" w:hAnsi="Arial" w:cs="Arial"/>
                <w:color w:val="000000"/>
                <w:sz w:val="18"/>
                <w:szCs w:val="18"/>
                <w:lang w:bidi="ar"/>
              </w:rPr>
              <w:t>7.650</w:t>
            </w:r>
          </w:p>
        </w:tc>
        <w:tc>
          <w:tcPr>
            <w:tcW w:w="2303" w:type="dxa"/>
            <w:tcBorders>
              <w:bottom w:val="single" w:sz="12" w:space="0" w:color="000000"/>
              <w:right w:val="single" w:sz="12" w:space="0" w:color="000000"/>
            </w:tcBorders>
            <w:shd w:val="clear" w:color="auto" w:fill="auto"/>
            <w:vAlign w:val="center"/>
          </w:tcPr>
          <w:p w14:paraId="13B43459"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rPr>
              <w:t>Reportes (matrices) de seguimiento</w:t>
            </w:r>
          </w:p>
        </w:tc>
      </w:tr>
      <w:tr w:rsidR="00AA6EC7" w:rsidRPr="008E3494" w14:paraId="2A65F175"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23F4008A"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lastRenderedPageBreak/>
              <w:t>Costo promedio de subsidio monetario adjudicado para construcción de vivienda nueva en área urbana</w:t>
            </w:r>
          </w:p>
        </w:tc>
        <w:tc>
          <w:tcPr>
            <w:tcW w:w="1140" w:type="dxa"/>
            <w:tcBorders>
              <w:bottom w:val="single" w:sz="12" w:space="0" w:color="000000"/>
              <w:right w:val="single" w:sz="12" w:space="0" w:color="000000"/>
            </w:tcBorders>
            <w:shd w:val="clear" w:color="auto" w:fill="auto"/>
            <w:vAlign w:val="center"/>
          </w:tcPr>
          <w:p w14:paraId="62C57B62"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USD</w:t>
            </w:r>
          </w:p>
        </w:tc>
        <w:tc>
          <w:tcPr>
            <w:tcW w:w="732" w:type="dxa"/>
            <w:tcBorders>
              <w:bottom w:val="single" w:sz="12" w:space="0" w:color="000000"/>
              <w:right w:val="single" w:sz="12" w:space="0" w:color="000000"/>
            </w:tcBorders>
            <w:shd w:val="clear" w:color="auto" w:fill="auto"/>
            <w:vAlign w:val="center"/>
          </w:tcPr>
          <w:p w14:paraId="4D1B59DC"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2D531F0B" w14:textId="77777777" w:rsidR="00AA6EC7" w:rsidRPr="008E3494" w:rsidRDefault="007F5B37"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6.000</w:t>
            </w:r>
          </w:p>
        </w:tc>
        <w:tc>
          <w:tcPr>
            <w:tcW w:w="996" w:type="dxa"/>
            <w:tcBorders>
              <w:bottom w:val="single" w:sz="12" w:space="0" w:color="000000"/>
              <w:right w:val="single" w:sz="12" w:space="0" w:color="000000"/>
            </w:tcBorders>
            <w:shd w:val="clear" w:color="auto" w:fill="auto"/>
            <w:vAlign w:val="center"/>
          </w:tcPr>
          <w:p w14:paraId="68DAC5D5"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6.000</w:t>
            </w:r>
          </w:p>
        </w:tc>
        <w:tc>
          <w:tcPr>
            <w:tcW w:w="996" w:type="dxa"/>
            <w:tcBorders>
              <w:bottom w:val="single" w:sz="12" w:space="0" w:color="000000"/>
              <w:right w:val="single" w:sz="12" w:space="0" w:color="000000"/>
            </w:tcBorders>
            <w:shd w:val="clear" w:color="auto" w:fill="auto"/>
            <w:vAlign w:val="center"/>
          </w:tcPr>
          <w:p w14:paraId="2BE4583E"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6.000</w:t>
            </w:r>
          </w:p>
        </w:tc>
        <w:tc>
          <w:tcPr>
            <w:tcW w:w="1033" w:type="dxa"/>
            <w:gridSpan w:val="2"/>
            <w:tcBorders>
              <w:bottom w:val="single" w:sz="12" w:space="0" w:color="000000"/>
              <w:right w:val="single" w:sz="12" w:space="0" w:color="000000"/>
            </w:tcBorders>
            <w:shd w:val="clear" w:color="auto" w:fill="auto"/>
            <w:vAlign w:val="center"/>
          </w:tcPr>
          <w:p w14:paraId="721A1085"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6.000</w:t>
            </w:r>
          </w:p>
        </w:tc>
        <w:tc>
          <w:tcPr>
            <w:tcW w:w="960" w:type="dxa"/>
            <w:tcBorders>
              <w:bottom w:val="single" w:sz="12" w:space="0" w:color="000000"/>
              <w:right w:val="single" w:sz="12" w:space="0" w:color="000000"/>
            </w:tcBorders>
            <w:shd w:val="clear" w:color="auto" w:fill="auto"/>
            <w:vAlign w:val="center"/>
          </w:tcPr>
          <w:p w14:paraId="6CF8C1E3"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6.000</w:t>
            </w:r>
          </w:p>
        </w:tc>
        <w:tc>
          <w:tcPr>
            <w:tcW w:w="2303" w:type="dxa"/>
            <w:tcBorders>
              <w:bottom w:val="single" w:sz="12" w:space="0" w:color="000000"/>
              <w:right w:val="single" w:sz="12" w:space="0" w:color="000000"/>
            </w:tcBorders>
            <w:shd w:val="clear" w:color="auto" w:fill="auto"/>
            <w:vAlign w:val="center"/>
          </w:tcPr>
          <w:p w14:paraId="1E33202C"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rPr>
              <w:t>Reportes (matrices) de seguimiento</w:t>
            </w:r>
          </w:p>
        </w:tc>
      </w:tr>
      <w:tr w:rsidR="00AA6EC7" w:rsidRPr="008E3494" w14:paraId="1DBA5D87"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23ECD532"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Costo promedio de las viviendas nuevas construidas</w:t>
            </w:r>
          </w:p>
        </w:tc>
        <w:tc>
          <w:tcPr>
            <w:tcW w:w="1140" w:type="dxa"/>
            <w:tcBorders>
              <w:bottom w:val="single" w:sz="12" w:space="0" w:color="000000"/>
              <w:right w:val="single" w:sz="12" w:space="0" w:color="000000"/>
            </w:tcBorders>
            <w:shd w:val="clear" w:color="auto" w:fill="auto"/>
            <w:vAlign w:val="center"/>
          </w:tcPr>
          <w:p w14:paraId="4FBBA1C6"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USD</w:t>
            </w:r>
          </w:p>
        </w:tc>
        <w:tc>
          <w:tcPr>
            <w:tcW w:w="732" w:type="dxa"/>
            <w:tcBorders>
              <w:bottom w:val="single" w:sz="12" w:space="0" w:color="000000"/>
              <w:right w:val="single" w:sz="12" w:space="0" w:color="000000"/>
            </w:tcBorders>
            <w:shd w:val="clear" w:color="auto" w:fill="auto"/>
            <w:vAlign w:val="center"/>
          </w:tcPr>
          <w:p w14:paraId="6C3A1520"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0B49518F" w14:textId="77777777" w:rsidR="00AA6EC7" w:rsidRPr="008E3494" w:rsidRDefault="007F5B37"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Entre 21</w:t>
            </w:r>
            <w:r w:rsidR="00304B74" w:rsidRPr="008E3494">
              <w:rPr>
                <w:rFonts w:ascii="Arial" w:hAnsi="Arial" w:cs="Arial"/>
                <w:color w:val="000000"/>
                <w:sz w:val="18"/>
                <w:szCs w:val="18"/>
                <w:lang w:val="en-US"/>
              </w:rPr>
              <w:t>.000 y 40.</w:t>
            </w:r>
            <w:r w:rsidRPr="008E3494">
              <w:rPr>
                <w:rFonts w:ascii="Arial" w:hAnsi="Arial" w:cs="Arial"/>
                <w:color w:val="000000"/>
                <w:sz w:val="18"/>
                <w:szCs w:val="18"/>
                <w:lang w:val="en-US"/>
              </w:rPr>
              <w:t>000</w:t>
            </w:r>
          </w:p>
        </w:tc>
        <w:tc>
          <w:tcPr>
            <w:tcW w:w="996" w:type="dxa"/>
            <w:tcBorders>
              <w:bottom w:val="single" w:sz="12" w:space="0" w:color="000000"/>
              <w:right w:val="single" w:sz="12" w:space="0" w:color="000000"/>
            </w:tcBorders>
            <w:shd w:val="clear" w:color="auto" w:fill="auto"/>
            <w:vAlign w:val="center"/>
          </w:tcPr>
          <w:p w14:paraId="16CA81D7" w14:textId="77777777" w:rsidR="00AA6EC7" w:rsidRPr="008E3494" w:rsidRDefault="00304B74" w:rsidP="00304B74">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Entre 21.</w:t>
            </w:r>
            <w:r w:rsidR="007F5B37" w:rsidRPr="008E3494">
              <w:rPr>
                <w:rFonts w:ascii="Arial" w:hAnsi="Arial" w:cs="Arial"/>
                <w:color w:val="000000"/>
                <w:sz w:val="18"/>
                <w:szCs w:val="18"/>
                <w:lang w:val="en-US"/>
              </w:rPr>
              <w:t>000 y 40</w:t>
            </w:r>
            <w:r w:rsidRPr="008E3494">
              <w:rPr>
                <w:rFonts w:ascii="Arial" w:hAnsi="Arial" w:cs="Arial"/>
                <w:color w:val="000000"/>
                <w:sz w:val="18"/>
                <w:szCs w:val="18"/>
                <w:lang w:val="en-US"/>
              </w:rPr>
              <w:t>.</w:t>
            </w:r>
            <w:r w:rsidR="007F5B37" w:rsidRPr="008E3494">
              <w:rPr>
                <w:rFonts w:ascii="Arial" w:hAnsi="Arial" w:cs="Arial"/>
                <w:color w:val="000000"/>
                <w:sz w:val="18"/>
                <w:szCs w:val="18"/>
                <w:lang w:val="en-US"/>
              </w:rPr>
              <w:t>000</w:t>
            </w:r>
          </w:p>
        </w:tc>
        <w:tc>
          <w:tcPr>
            <w:tcW w:w="996" w:type="dxa"/>
            <w:tcBorders>
              <w:bottom w:val="single" w:sz="12" w:space="0" w:color="000000"/>
              <w:right w:val="single" w:sz="12" w:space="0" w:color="000000"/>
            </w:tcBorders>
            <w:shd w:val="clear" w:color="auto" w:fill="auto"/>
            <w:vAlign w:val="center"/>
          </w:tcPr>
          <w:p w14:paraId="71E3D2FE"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E</w:t>
            </w:r>
            <w:r w:rsidR="00304B74" w:rsidRPr="008E3494">
              <w:rPr>
                <w:rFonts w:ascii="Arial" w:hAnsi="Arial" w:cs="Arial"/>
                <w:color w:val="000000"/>
                <w:sz w:val="18"/>
                <w:szCs w:val="18"/>
                <w:lang w:val="en-US"/>
              </w:rPr>
              <w:t>ntre 21.000 y 40.</w:t>
            </w:r>
            <w:r w:rsidRPr="008E3494">
              <w:rPr>
                <w:rFonts w:ascii="Arial" w:hAnsi="Arial" w:cs="Arial"/>
                <w:color w:val="000000"/>
                <w:sz w:val="18"/>
                <w:szCs w:val="18"/>
                <w:lang w:val="en-US"/>
              </w:rPr>
              <w:t>000</w:t>
            </w:r>
          </w:p>
        </w:tc>
        <w:tc>
          <w:tcPr>
            <w:tcW w:w="1033" w:type="dxa"/>
            <w:gridSpan w:val="2"/>
            <w:tcBorders>
              <w:bottom w:val="single" w:sz="12" w:space="0" w:color="000000"/>
              <w:right w:val="single" w:sz="12" w:space="0" w:color="000000"/>
            </w:tcBorders>
            <w:shd w:val="clear" w:color="auto" w:fill="auto"/>
            <w:vAlign w:val="center"/>
          </w:tcPr>
          <w:p w14:paraId="4C225BD3" w14:textId="77777777" w:rsidR="00AA6EC7" w:rsidRPr="008E3494" w:rsidRDefault="00304B74"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Entre 21.000 y 40.</w:t>
            </w:r>
            <w:r w:rsidR="007F5B37" w:rsidRPr="008E3494">
              <w:rPr>
                <w:rFonts w:ascii="Arial" w:hAnsi="Arial" w:cs="Arial"/>
                <w:color w:val="000000"/>
                <w:sz w:val="18"/>
                <w:szCs w:val="18"/>
                <w:lang w:val="en-US"/>
              </w:rPr>
              <w:t>000</w:t>
            </w:r>
          </w:p>
        </w:tc>
        <w:tc>
          <w:tcPr>
            <w:tcW w:w="960" w:type="dxa"/>
            <w:tcBorders>
              <w:bottom w:val="single" w:sz="12" w:space="0" w:color="000000"/>
              <w:right w:val="single" w:sz="12" w:space="0" w:color="000000"/>
            </w:tcBorders>
            <w:shd w:val="clear" w:color="auto" w:fill="auto"/>
            <w:vAlign w:val="center"/>
          </w:tcPr>
          <w:p w14:paraId="5D2989BD" w14:textId="77777777" w:rsidR="00AA6EC7" w:rsidRPr="008E3494" w:rsidRDefault="00304B74"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Entre 21.000 y 40.</w:t>
            </w:r>
            <w:r w:rsidR="007F5B37" w:rsidRPr="008E3494">
              <w:rPr>
                <w:rFonts w:ascii="Arial" w:hAnsi="Arial" w:cs="Arial"/>
                <w:color w:val="000000"/>
                <w:sz w:val="18"/>
                <w:szCs w:val="18"/>
                <w:lang w:val="en-US"/>
              </w:rPr>
              <w:t>000</w:t>
            </w:r>
          </w:p>
        </w:tc>
        <w:tc>
          <w:tcPr>
            <w:tcW w:w="2303" w:type="dxa"/>
            <w:tcBorders>
              <w:bottom w:val="single" w:sz="12" w:space="0" w:color="000000"/>
              <w:right w:val="single" w:sz="12" w:space="0" w:color="000000"/>
            </w:tcBorders>
            <w:shd w:val="clear" w:color="auto" w:fill="auto"/>
            <w:vAlign w:val="center"/>
          </w:tcPr>
          <w:p w14:paraId="1D95FA91" w14:textId="77777777" w:rsidR="00AA6EC7" w:rsidRPr="008E3494" w:rsidRDefault="007F5B37" w:rsidP="00845DE2">
            <w:pPr>
              <w:spacing w:after="0" w:line="240" w:lineRule="auto"/>
              <w:jc w:val="center"/>
              <w:rPr>
                <w:rFonts w:ascii="Arial" w:hAnsi="Arial" w:cs="Arial"/>
                <w:color w:val="000000"/>
                <w:sz w:val="18"/>
                <w:szCs w:val="18"/>
                <w:lang w:val="en-US"/>
              </w:rPr>
            </w:pPr>
            <w:proofErr w:type="spellStart"/>
            <w:r w:rsidRPr="008E3494">
              <w:rPr>
                <w:rFonts w:ascii="Arial" w:hAnsi="Arial" w:cs="Arial"/>
                <w:color w:val="000000"/>
                <w:sz w:val="18"/>
                <w:szCs w:val="18"/>
                <w:lang w:val="en-US"/>
              </w:rPr>
              <w:t>Registros</w:t>
            </w:r>
            <w:proofErr w:type="spellEnd"/>
            <w:r w:rsidRPr="008E3494">
              <w:rPr>
                <w:rFonts w:ascii="Arial" w:hAnsi="Arial" w:cs="Arial"/>
                <w:color w:val="000000"/>
                <w:sz w:val="18"/>
                <w:szCs w:val="18"/>
                <w:lang w:val="en-US"/>
              </w:rPr>
              <w:t xml:space="preserve"> </w:t>
            </w:r>
            <w:proofErr w:type="spellStart"/>
            <w:r w:rsidRPr="008E3494">
              <w:rPr>
                <w:rFonts w:ascii="Arial" w:hAnsi="Arial" w:cs="Arial"/>
                <w:color w:val="000000"/>
                <w:sz w:val="18"/>
                <w:szCs w:val="18"/>
                <w:lang w:val="en-US"/>
              </w:rPr>
              <w:t>administrativos</w:t>
            </w:r>
            <w:proofErr w:type="spellEnd"/>
          </w:p>
        </w:tc>
      </w:tr>
      <w:tr w:rsidR="00AA6EC7" w:rsidRPr="008E3494" w14:paraId="528B125B"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11A2B726"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Diferencia del costo promedio de viviendas nuevas construidas en área urbana el marco del programa, en relación a costo promedio de viviendas de características similares de habitabilidad</w:t>
            </w:r>
          </w:p>
        </w:tc>
        <w:tc>
          <w:tcPr>
            <w:tcW w:w="1140" w:type="dxa"/>
            <w:tcBorders>
              <w:bottom w:val="single" w:sz="12" w:space="0" w:color="000000"/>
              <w:right w:val="single" w:sz="12" w:space="0" w:color="000000"/>
            </w:tcBorders>
            <w:shd w:val="clear" w:color="auto" w:fill="auto"/>
            <w:vAlign w:val="center"/>
          </w:tcPr>
          <w:p w14:paraId="2A58DBA3"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val="en-US" w:eastAsia="zh-CN" w:bidi="ar"/>
              </w:rPr>
              <w:t>USD</w:t>
            </w:r>
          </w:p>
        </w:tc>
        <w:tc>
          <w:tcPr>
            <w:tcW w:w="732" w:type="dxa"/>
            <w:tcBorders>
              <w:bottom w:val="single" w:sz="12" w:space="0" w:color="000000"/>
              <w:right w:val="single" w:sz="12" w:space="0" w:color="000000"/>
            </w:tcBorders>
            <w:shd w:val="clear" w:color="auto" w:fill="auto"/>
            <w:vAlign w:val="center"/>
          </w:tcPr>
          <w:p w14:paraId="2DEEC3D9"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3BDC282F" w14:textId="77777777" w:rsidR="00AA6EC7" w:rsidRPr="008E3494" w:rsidRDefault="00497A9F"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0 ó</w:t>
            </w:r>
            <w:r w:rsidR="007F5B37" w:rsidRPr="008E3494">
              <w:rPr>
                <w:rFonts w:ascii="Arial" w:hAnsi="Arial" w:cs="Arial"/>
                <w:color w:val="000000"/>
                <w:sz w:val="18"/>
                <w:szCs w:val="18"/>
                <w:lang w:val="en-US"/>
              </w:rPr>
              <w:t xml:space="preserve"> </w:t>
            </w:r>
            <w:proofErr w:type="spellStart"/>
            <w:r w:rsidR="007F5B37" w:rsidRPr="008E3494">
              <w:rPr>
                <w:rFonts w:ascii="Arial" w:hAnsi="Arial" w:cs="Arial"/>
                <w:color w:val="000000"/>
                <w:sz w:val="18"/>
                <w:szCs w:val="18"/>
                <w:lang w:val="en-US"/>
              </w:rPr>
              <w:t>menos</w:t>
            </w:r>
            <w:proofErr w:type="spellEnd"/>
          </w:p>
        </w:tc>
        <w:tc>
          <w:tcPr>
            <w:tcW w:w="996" w:type="dxa"/>
            <w:tcBorders>
              <w:bottom w:val="single" w:sz="12" w:space="0" w:color="000000"/>
              <w:right w:val="single" w:sz="12" w:space="0" w:color="000000"/>
            </w:tcBorders>
            <w:shd w:val="clear" w:color="auto" w:fill="auto"/>
            <w:vAlign w:val="center"/>
          </w:tcPr>
          <w:p w14:paraId="07FE7070" w14:textId="77777777" w:rsidR="00AA6EC7" w:rsidRPr="008E3494" w:rsidRDefault="00497A9F"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0 ó</w:t>
            </w:r>
            <w:r w:rsidR="007F5B37" w:rsidRPr="008E3494">
              <w:rPr>
                <w:rFonts w:ascii="Arial" w:hAnsi="Arial" w:cs="Arial"/>
                <w:color w:val="000000"/>
                <w:sz w:val="18"/>
                <w:szCs w:val="18"/>
                <w:lang w:val="en-US"/>
              </w:rPr>
              <w:t xml:space="preserve"> </w:t>
            </w:r>
            <w:proofErr w:type="spellStart"/>
            <w:r w:rsidR="007F5B37" w:rsidRPr="008E3494">
              <w:rPr>
                <w:rFonts w:ascii="Arial" w:hAnsi="Arial" w:cs="Arial"/>
                <w:color w:val="000000"/>
                <w:sz w:val="18"/>
                <w:szCs w:val="18"/>
                <w:lang w:val="en-US"/>
              </w:rPr>
              <w:t>menos</w:t>
            </w:r>
            <w:proofErr w:type="spellEnd"/>
          </w:p>
        </w:tc>
        <w:tc>
          <w:tcPr>
            <w:tcW w:w="996" w:type="dxa"/>
            <w:tcBorders>
              <w:bottom w:val="single" w:sz="12" w:space="0" w:color="000000"/>
              <w:right w:val="single" w:sz="12" w:space="0" w:color="000000"/>
            </w:tcBorders>
            <w:shd w:val="clear" w:color="auto" w:fill="auto"/>
            <w:vAlign w:val="center"/>
          </w:tcPr>
          <w:p w14:paraId="472C389A" w14:textId="77777777" w:rsidR="00AA6EC7" w:rsidRPr="008E3494" w:rsidRDefault="00497A9F"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0 ó</w:t>
            </w:r>
            <w:r w:rsidR="007F5B37" w:rsidRPr="008E3494">
              <w:rPr>
                <w:rFonts w:ascii="Arial" w:hAnsi="Arial" w:cs="Arial"/>
                <w:color w:val="000000"/>
                <w:sz w:val="18"/>
                <w:szCs w:val="18"/>
                <w:lang w:val="en-US"/>
              </w:rPr>
              <w:t xml:space="preserve"> </w:t>
            </w:r>
            <w:proofErr w:type="spellStart"/>
            <w:r w:rsidR="007F5B37" w:rsidRPr="008E3494">
              <w:rPr>
                <w:rFonts w:ascii="Arial" w:hAnsi="Arial" w:cs="Arial"/>
                <w:color w:val="000000"/>
                <w:sz w:val="18"/>
                <w:szCs w:val="18"/>
                <w:lang w:val="en-US"/>
              </w:rPr>
              <w:t>menos</w:t>
            </w:r>
            <w:proofErr w:type="spellEnd"/>
          </w:p>
        </w:tc>
        <w:tc>
          <w:tcPr>
            <w:tcW w:w="1033" w:type="dxa"/>
            <w:gridSpan w:val="2"/>
            <w:tcBorders>
              <w:bottom w:val="single" w:sz="12" w:space="0" w:color="000000"/>
              <w:right w:val="single" w:sz="12" w:space="0" w:color="000000"/>
            </w:tcBorders>
            <w:shd w:val="clear" w:color="auto" w:fill="auto"/>
            <w:vAlign w:val="center"/>
          </w:tcPr>
          <w:p w14:paraId="06844377" w14:textId="77777777" w:rsidR="00AA6EC7" w:rsidRPr="008E3494" w:rsidRDefault="00497A9F"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0 ó</w:t>
            </w:r>
            <w:r w:rsidR="007F5B37" w:rsidRPr="008E3494">
              <w:rPr>
                <w:rFonts w:ascii="Arial" w:hAnsi="Arial" w:cs="Arial"/>
                <w:color w:val="000000"/>
                <w:sz w:val="18"/>
                <w:szCs w:val="18"/>
                <w:lang w:val="en-US"/>
              </w:rPr>
              <w:t xml:space="preserve"> </w:t>
            </w:r>
            <w:proofErr w:type="spellStart"/>
            <w:r w:rsidR="007F5B37" w:rsidRPr="008E3494">
              <w:rPr>
                <w:rFonts w:ascii="Arial" w:hAnsi="Arial" w:cs="Arial"/>
                <w:color w:val="000000"/>
                <w:sz w:val="18"/>
                <w:szCs w:val="18"/>
                <w:lang w:val="en-US"/>
              </w:rPr>
              <w:t>menos</w:t>
            </w:r>
            <w:proofErr w:type="spellEnd"/>
          </w:p>
        </w:tc>
        <w:tc>
          <w:tcPr>
            <w:tcW w:w="960" w:type="dxa"/>
            <w:tcBorders>
              <w:bottom w:val="single" w:sz="12" w:space="0" w:color="000000"/>
              <w:right w:val="single" w:sz="12" w:space="0" w:color="000000"/>
            </w:tcBorders>
            <w:shd w:val="clear" w:color="auto" w:fill="auto"/>
            <w:vAlign w:val="center"/>
          </w:tcPr>
          <w:p w14:paraId="1B1CE5B4" w14:textId="77777777" w:rsidR="00AA6EC7" w:rsidRPr="008E3494" w:rsidRDefault="00497A9F"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0 ó</w:t>
            </w:r>
            <w:r w:rsidR="007F5B37" w:rsidRPr="008E3494">
              <w:rPr>
                <w:rFonts w:ascii="Arial" w:hAnsi="Arial" w:cs="Arial"/>
                <w:color w:val="000000"/>
                <w:sz w:val="18"/>
                <w:szCs w:val="18"/>
                <w:lang w:val="en-US"/>
              </w:rPr>
              <w:t xml:space="preserve"> </w:t>
            </w:r>
            <w:proofErr w:type="spellStart"/>
            <w:r w:rsidR="007F5B37" w:rsidRPr="008E3494">
              <w:rPr>
                <w:rFonts w:ascii="Arial" w:hAnsi="Arial" w:cs="Arial"/>
                <w:color w:val="000000"/>
                <w:sz w:val="18"/>
                <w:szCs w:val="18"/>
                <w:lang w:val="en-US"/>
              </w:rPr>
              <w:t>menos</w:t>
            </w:r>
            <w:proofErr w:type="spellEnd"/>
          </w:p>
        </w:tc>
        <w:tc>
          <w:tcPr>
            <w:tcW w:w="2303" w:type="dxa"/>
            <w:tcBorders>
              <w:bottom w:val="single" w:sz="12" w:space="0" w:color="000000"/>
              <w:right w:val="single" w:sz="12" w:space="0" w:color="000000"/>
            </w:tcBorders>
            <w:shd w:val="clear" w:color="auto" w:fill="auto"/>
            <w:vAlign w:val="center"/>
          </w:tcPr>
          <w:p w14:paraId="3EA4EA15"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rPr>
              <w:t>- Registros administrativos</w:t>
            </w:r>
          </w:p>
          <w:p w14:paraId="57B4EA3D"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rPr>
              <w:t>- Análisis sectorial de costos de vivienda</w:t>
            </w:r>
          </w:p>
        </w:tc>
      </w:tr>
      <w:tr w:rsidR="00AA6EC7" w:rsidRPr="008E3494" w14:paraId="1B10E33C"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3C4C11FD"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Porcentaje de subsidios monetarios para construcción de vivienda nueva en área urbana</w:t>
            </w:r>
            <w:r w:rsidR="00497A9F" w:rsidRPr="008E3494">
              <w:rPr>
                <w:rFonts w:ascii="Arial" w:eastAsia="SimSun" w:hAnsi="Arial" w:cs="Arial"/>
                <w:color w:val="000000"/>
                <w:sz w:val="18"/>
                <w:szCs w:val="18"/>
                <w:lang w:eastAsia="zh-CN" w:bidi="ar"/>
              </w:rPr>
              <w:t>,</w:t>
            </w:r>
            <w:r w:rsidRPr="008E3494">
              <w:rPr>
                <w:rFonts w:ascii="Arial" w:eastAsia="SimSun" w:hAnsi="Arial" w:cs="Arial"/>
                <w:color w:val="000000"/>
                <w:sz w:val="18"/>
                <w:szCs w:val="18"/>
                <w:lang w:eastAsia="zh-CN" w:bidi="ar"/>
              </w:rPr>
              <w:t xml:space="preserve"> otorgados a hogares del primer y segundo quintil</w:t>
            </w:r>
          </w:p>
        </w:tc>
        <w:tc>
          <w:tcPr>
            <w:tcW w:w="1140" w:type="dxa"/>
            <w:tcBorders>
              <w:bottom w:val="single" w:sz="12" w:space="0" w:color="000000"/>
              <w:right w:val="single" w:sz="12" w:space="0" w:color="000000"/>
            </w:tcBorders>
            <w:shd w:val="clear" w:color="auto" w:fill="auto"/>
            <w:vAlign w:val="center"/>
          </w:tcPr>
          <w:p w14:paraId="4D5AE416" w14:textId="77777777" w:rsidR="00AA6EC7" w:rsidRPr="008E3494" w:rsidRDefault="007F5B37" w:rsidP="00845DE2">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Porcentaje</w:t>
            </w:r>
            <w:proofErr w:type="spellEnd"/>
          </w:p>
        </w:tc>
        <w:tc>
          <w:tcPr>
            <w:tcW w:w="732" w:type="dxa"/>
            <w:tcBorders>
              <w:bottom w:val="single" w:sz="12" w:space="0" w:color="000000"/>
              <w:right w:val="single" w:sz="12" w:space="0" w:color="000000"/>
            </w:tcBorders>
            <w:shd w:val="clear" w:color="auto" w:fill="auto"/>
            <w:vAlign w:val="center"/>
          </w:tcPr>
          <w:p w14:paraId="32ECFD47"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48BD6C1A" w14:textId="77777777" w:rsidR="00AA6EC7" w:rsidRPr="008E3494" w:rsidRDefault="007F5B37"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100%</w:t>
            </w:r>
          </w:p>
        </w:tc>
        <w:tc>
          <w:tcPr>
            <w:tcW w:w="996" w:type="dxa"/>
            <w:tcBorders>
              <w:bottom w:val="single" w:sz="12" w:space="0" w:color="000000"/>
              <w:right w:val="single" w:sz="12" w:space="0" w:color="000000"/>
            </w:tcBorders>
            <w:shd w:val="clear" w:color="auto" w:fill="auto"/>
            <w:vAlign w:val="center"/>
          </w:tcPr>
          <w:p w14:paraId="25E8FD16"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100%</w:t>
            </w:r>
          </w:p>
        </w:tc>
        <w:tc>
          <w:tcPr>
            <w:tcW w:w="996" w:type="dxa"/>
            <w:tcBorders>
              <w:bottom w:val="single" w:sz="12" w:space="0" w:color="000000"/>
              <w:right w:val="single" w:sz="12" w:space="0" w:color="000000"/>
            </w:tcBorders>
            <w:shd w:val="clear" w:color="auto" w:fill="auto"/>
            <w:vAlign w:val="center"/>
          </w:tcPr>
          <w:p w14:paraId="7641EE16"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100%</w:t>
            </w:r>
          </w:p>
        </w:tc>
        <w:tc>
          <w:tcPr>
            <w:tcW w:w="1033" w:type="dxa"/>
            <w:gridSpan w:val="2"/>
            <w:tcBorders>
              <w:bottom w:val="single" w:sz="12" w:space="0" w:color="000000"/>
              <w:right w:val="single" w:sz="12" w:space="0" w:color="000000"/>
            </w:tcBorders>
            <w:shd w:val="clear" w:color="auto" w:fill="auto"/>
            <w:vAlign w:val="center"/>
          </w:tcPr>
          <w:p w14:paraId="5A57AB91"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100%</w:t>
            </w:r>
          </w:p>
        </w:tc>
        <w:tc>
          <w:tcPr>
            <w:tcW w:w="960" w:type="dxa"/>
            <w:tcBorders>
              <w:bottom w:val="single" w:sz="12" w:space="0" w:color="000000"/>
              <w:right w:val="single" w:sz="12" w:space="0" w:color="000000"/>
            </w:tcBorders>
            <w:shd w:val="clear" w:color="auto" w:fill="auto"/>
            <w:vAlign w:val="center"/>
          </w:tcPr>
          <w:p w14:paraId="705DB0F7"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100%</w:t>
            </w:r>
          </w:p>
        </w:tc>
        <w:tc>
          <w:tcPr>
            <w:tcW w:w="2303" w:type="dxa"/>
            <w:tcBorders>
              <w:bottom w:val="single" w:sz="12" w:space="0" w:color="000000"/>
              <w:right w:val="single" w:sz="12" w:space="0" w:color="000000"/>
            </w:tcBorders>
            <w:shd w:val="clear" w:color="auto" w:fill="auto"/>
            <w:vAlign w:val="center"/>
          </w:tcPr>
          <w:p w14:paraId="555AE505" w14:textId="77777777" w:rsidR="00AA6EC7" w:rsidRPr="008E3494" w:rsidRDefault="007F5B37" w:rsidP="00845DE2">
            <w:pPr>
              <w:spacing w:after="0" w:line="240" w:lineRule="auto"/>
              <w:jc w:val="center"/>
              <w:rPr>
                <w:rFonts w:ascii="Arial" w:hAnsi="Arial" w:cs="Arial"/>
                <w:color w:val="000000"/>
                <w:sz w:val="18"/>
                <w:szCs w:val="18"/>
              </w:rPr>
            </w:pPr>
            <w:proofErr w:type="spellStart"/>
            <w:r w:rsidRPr="008E3494">
              <w:rPr>
                <w:rFonts w:ascii="Arial" w:hAnsi="Arial" w:cs="Arial"/>
                <w:color w:val="000000"/>
                <w:sz w:val="18"/>
                <w:szCs w:val="18"/>
                <w:lang w:val="en-US"/>
              </w:rPr>
              <w:t>Registros</w:t>
            </w:r>
            <w:proofErr w:type="spellEnd"/>
            <w:r w:rsidRPr="008E3494">
              <w:rPr>
                <w:rFonts w:ascii="Arial" w:hAnsi="Arial" w:cs="Arial"/>
                <w:color w:val="000000"/>
                <w:sz w:val="18"/>
                <w:szCs w:val="18"/>
                <w:lang w:val="en-US"/>
              </w:rPr>
              <w:t xml:space="preserve"> </w:t>
            </w:r>
            <w:proofErr w:type="spellStart"/>
            <w:r w:rsidRPr="008E3494">
              <w:rPr>
                <w:rFonts w:ascii="Arial" w:hAnsi="Arial" w:cs="Arial"/>
                <w:color w:val="000000"/>
                <w:sz w:val="18"/>
                <w:szCs w:val="18"/>
                <w:lang w:val="en-US"/>
              </w:rPr>
              <w:t>administrativos</w:t>
            </w:r>
            <w:proofErr w:type="spellEnd"/>
          </w:p>
        </w:tc>
      </w:tr>
      <w:tr w:rsidR="00AA6EC7" w:rsidRPr="008E3494" w14:paraId="577D98AE"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71EA3648"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Porcentaje de subsidios monetarios para construcción de vivienda nueva en área urbana</w:t>
            </w:r>
            <w:r w:rsidR="00497A9F" w:rsidRPr="008E3494">
              <w:rPr>
                <w:rFonts w:ascii="Arial" w:eastAsia="SimSun" w:hAnsi="Arial" w:cs="Arial"/>
                <w:color w:val="000000"/>
                <w:sz w:val="18"/>
                <w:szCs w:val="18"/>
                <w:lang w:eastAsia="zh-CN" w:bidi="ar"/>
              </w:rPr>
              <w:t>,</w:t>
            </w:r>
            <w:r w:rsidRPr="008E3494">
              <w:rPr>
                <w:rFonts w:ascii="Arial" w:eastAsia="SimSun" w:hAnsi="Arial" w:cs="Arial"/>
                <w:color w:val="000000"/>
                <w:sz w:val="18"/>
                <w:szCs w:val="18"/>
                <w:lang w:eastAsia="zh-CN" w:bidi="ar"/>
              </w:rPr>
              <w:t xml:space="preserve"> otorgados a hogares con miembros con discapacidad</w:t>
            </w:r>
          </w:p>
        </w:tc>
        <w:tc>
          <w:tcPr>
            <w:tcW w:w="1140" w:type="dxa"/>
            <w:tcBorders>
              <w:bottom w:val="single" w:sz="12" w:space="0" w:color="000000"/>
              <w:right w:val="single" w:sz="12" w:space="0" w:color="000000"/>
            </w:tcBorders>
            <w:shd w:val="clear" w:color="auto" w:fill="auto"/>
            <w:vAlign w:val="center"/>
          </w:tcPr>
          <w:p w14:paraId="41315EEB" w14:textId="77777777" w:rsidR="00AA6EC7" w:rsidRPr="008E3494" w:rsidRDefault="007F5B37" w:rsidP="00845DE2">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Porcentaje</w:t>
            </w:r>
            <w:proofErr w:type="spellEnd"/>
          </w:p>
        </w:tc>
        <w:tc>
          <w:tcPr>
            <w:tcW w:w="732" w:type="dxa"/>
            <w:tcBorders>
              <w:bottom w:val="single" w:sz="12" w:space="0" w:color="000000"/>
              <w:right w:val="single" w:sz="12" w:space="0" w:color="000000"/>
            </w:tcBorders>
            <w:shd w:val="clear" w:color="auto" w:fill="auto"/>
            <w:vAlign w:val="center"/>
          </w:tcPr>
          <w:p w14:paraId="1E133377"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61AA2AC1"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96" w:type="dxa"/>
            <w:tcBorders>
              <w:bottom w:val="single" w:sz="12" w:space="0" w:color="000000"/>
              <w:right w:val="single" w:sz="12" w:space="0" w:color="000000"/>
            </w:tcBorders>
            <w:shd w:val="clear" w:color="auto" w:fill="auto"/>
            <w:vAlign w:val="center"/>
          </w:tcPr>
          <w:p w14:paraId="583715BD"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96" w:type="dxa"/>
            <w:tcBorders>
              <w:bottom w:val="single" w:sz="12" w:space="0" w:color="000000"/>
              <w:right w:val="single" w:sz="12" w:space="0" w:color="000000"/>
            </w:tcBorders>
            <w:shd w:val="clear" w:color="auto" w:fill="auto"/>
            <w:vAlign w:val="center"/>
          </w:tcPr>
          <w:p w14:paraId="5449D584"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1033" w:type="dxa"/>
            <w:gridSpan w:val="2"/>
            <w:tcBorders>
              <w:bottom w:val="single" w:sz="12" w:space="0" w:color="000000"/>
              <w:right w:val="single" w:sz="12" w:space="0" w:color="000000"/>
            </w:tcBorders>
            <w:shd w:val="clear" w:color="auto" w:fill="auto"/>
            <w:vAlign w:val="center"/>
          </w:tcPr>
          <w:p w14:paraId="2F910B56"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60" w:type="dxa"/>
            <w:tcBorders>
              <w:bottom w:val="single" w:sz="12" w:space="0" w:color="000000"/>
              <w:right w:val="single" w:sz="12" w:space="0" w:color="000000"/>
            </w:tcBorders>
            <w:shd w:val="clear" w:color="auto" w:fill="auto"/>
            <w:vAlign w:val="center"/>
          </w:tcPr>
          <w:p w14:paraId="6A6CA8AC"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2303" w:type="dxa"/>
            <w:tcBorders>
              <w:bottom w:val="single" w:sz="12" w:space="0" w:color="000000"/>
              <w:right w:val="single" w:sz="12" w:space="0" w:color="000000"/>
            </w:tcBorders>
            <w:shd w:val="clear" w:color="auto" w:fill="auto"/>
            <w:vAlign w:val="center"/>
          </w:tcPr>
          <w:p w14:paraId="658FC4CB" w14:textId="77777777" w:rsidR="00AA6EC7" w:rsidRPr="008E3494" w:rsidRDefault="007F5B37" w:rsidP="00845DE2">
            <w:pPr>
              <w:spacing w:after="0" w:line="240" w:lineRule="auto"/>
              <w:jc w:val="center"/>
              <w:rPr>
                <w:rFonts w:ascii="Arial" w:hAnsi="Arial" w:cs="Arial"/>
                <w:color w:val="000000"/>
                <w:sz w:val="18"/>
                <w:szCs w:val="18"/>
              </w:rPr>
            </w:pPr>
            <w:proofErr w:type="spellStart"/>
            <w:r w:rsidRPr="008E3494">
              <w:rPr>
                <w:rFonts w:ascii="Arial" w:hAnsi="Arial" w:cs="Arial"/>
                <w:color w:val="000000"/>
                <w:sz w:val="18"/>
                <w:szCs w:val="18"/>
                <w:lang w:val="en-US"/>
              </w:rPr>
              <w:t>Registros</w:t>
            </w:r>
            <w:proofErr w:type="spellEnd"/>
            <w:r w:rsidRPr="008E3494">
              <w:rPr>
                <w:rFonts w:ascii="Arial" w:hAnsi="Arial" w:cs="Arial"/>
                <w:color w:val="000000"/>
                <w:sz w:val="18"/>
                <w:szCs w:val="18"/>
                <w:lang w:val="en-US"/>
              </w:rPr>
              <w:t xml:space="preserve"> </w:t>
            </w:r>
            <w:proofErr w:type="spellStart"/>
            <w:r w:rsidRPr="008E3494">
              <w:rPr>
                <w:rFonts w:ascii="Arial" w:hAnsi="Arial" w:cs="Arial"/>
                <w:color w:val="000000"/>
                <w:sz w:val="18"/>
                <w:szCs w:val="18"/>
                <w:lang w:val="en-US"/>
              </w:rPr>
              <w:t>administrativos</w:t>
            </w:r>
            <w:proofErr w:type="spellEnd"/>
          </w:p>
        </w:tc>
      </w:tr>
      <w:tr w:rsidR="00AA6EC7" w:rsidRPr="008E3494" w14:paraId="50D0D4E8"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08572B7F"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Porcentaje de subsidios monetarios para construcción de vivienda nueva en área urbana</w:t>
            </w:r>
            <w:r w:rsidR="00497A9F" w:rsidRPr="008E3494">
              <w:rPr>
                <w:rFonts w:ascii="Arial" w:eastAsia="SimSun" w:hAnsi="Arial" w:cs="Arial"/>
                <w:color w:val="000000"/>
                <w:sz w:val="18"/>
                <w:szCs w:val="18"/>
                <w:lang w:eastAsia="zh-CN" w:bidi="ar"/>
              </w:rPr>
              <w:t>,</w:t>
            </w:r>
            <w:r w:rsidRPr="008E3494">
              <w:rPr>
                <w:rFonts w:ascii="Arial" w:eastAsia="SimSun" w:hAnsi="Arial" w:cs="Arial"/>
                <w:color w:val="000000"/>
                <w:sz w:val="18"/>
                <w:szCs w:val="18"/>
                <w:lang w:eastAsia="zh-CN" w:bidi="ar"/>
              </w:rPr>
              <w:t xml:space="preserve"> otorgados a hogares monoparentales</w:t>
            </w:r>
          </w:p>
        </w:tc>
        <w:tc>
          <w:tcPr>
            <w:tcW w:w="1140" w:type="dxa"/>
            <w:tcBorders>
              <w:bottom w:val="single" w:sz="12" w:space="0" w:color="000000"/>
              <w:right w:val="single" w:sz="12" w:space="0" w:color="000000"/>
            </w:tcBorders>
            <w:shd w:val="clear" w:color="auto" w:fill="auto"/>
            <w:vAlign w:val="center"/>
          </w:tcPr>
          <w:p w14:paraId="132C6A47" w14:textId="77777777" w:rsidR="00AA6EC7" w:rsidRPr="008E3494" w:rsidRDefault="007F5B37" w:rsidP="00845DE2">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Porcentaje</w:t>
            </w:r>
            <w:proofErr w:type="spellEnd"/>
          </w:p>
        </w:tc>
        <w:tc>
          <w:tcPr>
            <w:tcW w:w="732" w:type="dxa"/>
            <w:tcBorders>
              <w:bottom w:val="single" w:sz="12" w:space="0" w:color="000000"/>
              <w:right w:val="single" w:sz="12" w:space="0" w:color="000000"/>
            </w:tcBorders>
            <w:shd w:val="clear" w:color="auto" w:fill="auto"/>
            <w:vAlign w:val="center"/>
          </w:tcPr>
          <w:p w14:paraId="29F5CFAE"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562D0E4A"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96" w:type="dxa"/>
            <w:tcBorders>
              <w:bottom w:val="single" w:sz="12" w:space="0" w:color="000000"/>
              <w:right w:val="single" w:sz="12" w:space="0" w:color="000000"/>
            </w:tcBorders>
            <w:shd w:val="clear" w:color="auto" w:fill="auto"/>
            <w:vAlign w:val="center"/>
          </w:tcPr>
          <w:p w14:paraId="198A230C"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96" w:type="dxa"/>
            <w:tcBorders>
              <w:bottom w:val="single" w:sz="12" w:space="0" w:color="000000"/>
              <w:right w:val="single" w:sz="12" w:space="0" w:color="000000"/>
            </w:tcBorders>
            <w:shd w:val="clear" w:color="auto" w:fill="auto"/>
            <w:vAlign w:val="center"/>
          </w:tcPr>
          <w:p w14:paraId="636F47FE"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1033" w:type="dxa"/>
            <w:gridSpan w:val="2"/>
            <w:tcBorders>
              <w:bottom w:val="single" w:sz="12" w:space="0" w:color="000000"/>
              <w:right w:val="single" w:sz="12" w:space="0" w:color="000000"/>
            </w:tcBorders>
            <w:shd w:val="clear" w:color="auto" w:fill="auto"/>
            <w:vAlign w:val="center"/>
          </w:tcPr>
          <w:p w14:paraId="3F29C3CC"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60" w:type="dxa"/>
            <w:tcBorders>
              <w:bottom w:val="single" w:sz="12" w:space="0" w:color="000000"/>
              <w:right w:val="single" w:sz="12" w:space="0" w:color="000000"/>
            </w:tcBorders>
            <w:shd w:val="clear" w:color="auto" w:fill="auto"/>
            <w:vAlign w:val="center"/>
          </w:tcPr>
          <w:p w14:paraId="404951DC"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2303" w:type="dxa"/>
            <w:tcBorders>
              <w:bottom w:val="single" w:sz="12" w:space="0" w:color="000000"/>
              <w:right w:val="single" w:sz="12" w:space="0" w:color="000000"/>
            </w:tcBorders>
            <w:shd w:val="clear" w:color="auto" w:fill="auto"/>
            <w:vAlign w:val="center"/>
          </w:tcPr>
          <w:p w14:paraId="57D63C36" w14:textId="77777777" w:rsidR="00AA6EC7" w:rsidRPr="008E3494" w:rsidRDefault="007F5B37" w:rsidP="00845DE2">
            <w:pPr>
              <w:spacing w:after="0" w:line="240" w:lineRule="auto"/>
              <w:jc w:val="center"/>
              <w:rPr>
                <w:rFonts w:ascii="Arial" w:hAnsi="Arial" w:cs="Arial"/>
                <w:color w:val="000000"/>
                <w:sz w:val="18"/>
                <w:szCs w:val="18"/>
              </w:rPr>
            </w:pPr>
            <w:proofErr w:type="spellStart"/>
            <w:r w:rsidRPr="008E3494">
              <w:rPr>
                <w:rFonts w:ascii="Arial" w:hAnsi="Arial" w:cs="Arial"/>
                <w:color w:val="000000"/>
                <w:sz w:val="18"/>
                <w:szCs w:val="18"/>
                <w:lang w:val="en-US"/>
              </w:rPr>
              <w:t>Registros</w:t>
            </w:r>
            <w:proofErr w:type="spellEnd"/>
            <w:r w:rsidRPr="008E3494">
              <w:rPr>
                <w:rFonts w:ascii="Arial" w:hAnsi="Arial" w:cs="Arial"/>
                <w:color w:val="000000"/>
                <w:sz w:val="18"/>
                <w:szCs w:val="18"/>
                <w:lang w:val="en-US"/>
              </w:rPr>
              <w:t xml:space="preserve"> </w:t>
            </w:r>
            <w:proofErr w:type="spellStart"/>
            <w:r w:rsidRPr="008E3494">
              <w:rPr>
                <w:rFonts w:ascii="Arial" w:hAnsi="Arial" w:cs="Arial"/>
                <w:color w:val="000000"/>
                <w:sz w:val="18"/>
                <w:szCs w:val="18"/>
                <w:lang w:val="en-US"/>
              </w:rPr>
              <w:t>administrativos</w:t>
            </w:r>
            <w:proofErr w:type="spellEnd"/>
          </w:p>
        </w:tc>
      </w:tr>
      <w:tr w:rsidR="00AA6EC7" w:rsidRPr="008E3494" w14:paraId="4A763B98"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7684BAB2"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Porcentaje de subsidios monetarios para construcción de vivienda nueva en área urbana</w:t>
            </w:r>
            <w:r w:rsidR="00497A9F" w:rsidRPr="008E3494">
              <w:rPr>
                <w:rFonts w:ascii="Arial" w:eastAsia="SimSun" w:hAnsi="Arial" w:cs="Arial"/>
                <w:color w:val="000000"/>
                <w:sz w:val="18"/>
                <w:szCs w:val="18"/>
                <w:lang w:eastAsia="zh-CN" w:bidi="ar"/>
              </w:rPr>
              <w:t>,</w:t>
            </w:r>
            <w:r w:rsidRPr="008E3494">
              <w:rPr>
                <w:rFonts w:ascii="Arial" w:eastAsia="SimSun" w:hAnsi="Arial" w:cs="Arial"/>
                <w:color w:val="000000"/>
                <w:sz w:val="18"/>
                <w:szCs w:val="18"/>
                <w:lang w:eastAsia="zh-CN" w:bidi="ar"/>
              </w:rPr>
              <w:t xml:space="preserve"> otorgados a hogares con personas mayores o menores a cargo</w:t>
            </w:r>
          </w:p>
        </w:tc>
        <w:tc>
          <w:tcPr>
            <w:tcW w:w="1140" w:type="dxa"/>
            <w:tcBorders>
              <w:bottom w:val="single" w:sz="12" w:space="0" w:color="000000"/>
              <w:right w:val="single" w:sz="12" w:space="0" w:color="000000"/>
            </w:tcBorders>
            <w:shd w:val="clear" w:color="auto" w:fill="auto"/>
            <w:vAlign w:val="center"/>
          </w:tcPr>
          <w:p w14:paraId="5CFB2683" w14:textId="77777777" w:rsidR="00AA6EC7" w:rsidRPr="008E3494" w:rsidRDefault="007F5B37" w:rsidP="00845DE2">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Porcentaje</w:t>
            </w:r>
            <w:proofErr w:type="spellEnd"/>
          </w:p>
        </w:tc>
        <w:tc>
          <w:tcPr>
            <w:tcW w:w="732" w:type="dxa"/>
            <w:tcBorders>
              <w:bottom w:val="single" w:sz="12" w:space="0" w:color="000000"/>
              <w:right w:val="single" w:sz="12" w:space="0" w:color="000000"/>
            </w:tcBorders>
            <w:shd w:val="clear" w:color="auto" w:fill="auto"/>
            <w:vAlign w:val="center"/>
          </w:tcPr>
          <w:p w14:paraId="2A016681"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12C62075"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96" w:type="dxa"/>
            <w:tcBorders>
              <w:bottom w:val="single" w:sz="12" w:space="0" w:color="000000"/>
              <w:right w:val="single" w:sz="12" w:space="0" w:color="000000"/>
            </w:tcBorders>
            <w:shd w:val="clear" w:color="auto" w:fill="auto"/>
            <w:vAlign w:val="center"/>
          </w:tcPr>
          <w:p w14:paraId="55D7E7D1"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96" w:type="dxa"/>
            <w:tcBorders>
              <w:bottom w:val="single" w:sz="12" w:space="0" w:color="000000"/>
              <w:right w:val="single" w:sz="12" w:space="0" w:color="000000"/>
            </w:tcBorders>
            <w:shd w:val="clear" w:color="auto" w:fill="auto"/>
            <w:vAlign w:val="center"/>
          </w:tcPr>
          <w:p w14:paraId="56E5296C"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1033" w:type="dxa"/>
            <w:gridSpan w:val="2"/>
            <w:tcBorders>
              <w:bottom w:val="single" w:sz="12" w:space="0" w:color="000000"/>
              <w:right w:val="single" w:sz="12" w:space="0" w:color="000000"/>
            </w:tcBorders>
            <w:shd w:val="clear" w:color="auto" w:fill="auto"/>
            <w:vAlign w:val="center"/>
          </w:tcPr>
          <w:p w14:paraId="3072EEAD"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60" w:type="dxa"/>
            <w:tcBorders>
              <w:bottom w:val="single" w:sz="12" w:space="0" w:color="000000"/>
              <w:right w:val="single" w:sz="12" w:space="0" w:color="000000"/>
            </w:tcBorders>
            <w:shd w:val="clear" w:color="auto" w:fill="auto"/>
            <w:vAlign w:val="center"/>
          </w:tcPr>
          <w:p w14:paraId="443B1F8A"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2303" w:type="dxa"/>
            <w:tcBorders>
              <w:bottom w:val="single" w:sz="12" w:space="0" w:color="000000"/>
              <w:right w:val="single" w:sz="12" w:space="0" w:color="000000"/>
            </w:tcBorders>
            <w:shd w:val="clear" w:color="auto" w:fill="auto"/>
            <w:vAlign w:val="center"/>
          </w:tcPr>
          <w:p w14:paraId="2B35CFEB" w14:textId="77777777" w:rsidR="00AA6EC7" w:rsidRPr="008E3494" w:rsidRDefault="007F5B37" w:rsidP="00845DE2">
            <w:pPr>
              <w:spacing w:after="0" w:line="240" w:lineRule="auto"/>
              <w:jc w:val="center"/>
              <w:rPr>
                <w:rFonts w:ascii="Arial" w:hAnsi="Arial" w:cs="Arial"/>
                <w:color w:val="000000"/>
                <w:sz w:val="18"/>
                <w:szCs w:val="18"/>
              </w:rPr>
            </w:pPr>
            <w:proofErr w:type="spellStart"/>
            <w:r w:rsidRPr="008E3494">
              <w:rPr>
                <w:rFonts w:ascii="Arial" w:hAnsi="Arial" w:cs="Arial"/>
                <w:color w:val="000000"/>
                <w:sz w:val="18"/>
                <w:szCs w:val="18"/>
                <w:lang w:val="en-US"/>
              </w:rPr>
              <w:t>Registros</w:t>
            </w:r>
            <w:proofErr w:type="spellEnd"/>
            <w:r w:rsidRPr="008E3494">
              <w:rPr>
                <w:rFonts w:ascii="Arial" w:hAnsi="Arial" w:cs="Arial"/>
                <w:color w:val="000000"/>
                <w:sz w:val="18"/>
                <w:szCs w:val="18"/>
                <w:lang w:val="en-US"/>
              </w:rPr>
              <w:t xml:space="preserve"> </w:t>
            </w:r>
            <w:proofErr w:type="spellStart"/>
            <w:r w:rsidRPr="008E3494">
              <w:rPr>
                <w:rFonts w:ascii="Arial" w:hAnsi="Arial" w:cs="Arial"/>
                <w:color w:val="000000"/>
                <w:sz w:val="18"/>
                <w:szCs w:val="18"/>
                <w:lang w:val="en-US"/>
              </w:rPr>
              <w:t>administrativos</w:t>
            </w:r>
            <w:proofErr w:type="spellEnd"/>
          </w:p>
        </w:tc>
      </w:tr>
      <w:tr w:rsidR="00AA6EC7" w:rsidRPr="008E3494" w14:paraId="27E38B48"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34D90C2A"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Porcentaje de subsidios monetarios para construcción de vivienda nueva en área urbana</w:t>
            </w:r>
            <w:r w:rsidR="00497A9F" w:rsidRPr="008E3494">
              <w:rPr>
                <w:rFonts w:ascii="Arial" w:eastAsia="SimSun" w:hAnsi="Arial" w:cs="Arial"/>
                <w:color w:val="000000"/>
                <w:sz w:val="18"/>
                <w:szCs w:val="18"/>
                <w:lang w:eastAsia="zh-CN" w:bidi="ar"/>
              </w:rPr>
              <w:t>,</w:t>
            </w:r>
            <w:r w:rsidRPr="008E3494">
              <w:rPr>
                <w:rFonts w:ascii="Arial" w:eastAsia="SimSun" w:hAnsi="Arial" w:cs="Arial"/>
                <w:color w:val="000000"/>
                <w:sz w:val="18"/>
                <w:szCs w:val="18"/>
                <w:lang w:eastAsia="zh-CN" w:bidi="ar"/>
              </w:rPr>
              <w:t xml:space="preserve"> otorgados a hogares pertenecientes a poblaciones indígenas, afroecuatorianas o montubios</w:t>
            </w:r>
          </w:p>
        </w:tc>
        <w:tc>
          <w:tcPr>
            <w:tcW w:w="1140" w:type="dxa"/>
            <w:tcBorders>
              <w:bottom w:val="single" w:sz="12" w:space="0" w:color="000000"/>
              <w:right w:val="single" w:sz="12" w:space="0" w:color="000000"/>
            </w:tcBorders>
            <w:shd w:val="clear" w:color="auto" w:fill="auto"/>
            <w:vAlign w:val="center"/>
          </w:tcPr>
          <w:p w14:paraId="05B467DA" w14:textId="77777777" w:rsidR="00AA6EC7" w:rsidRPr="008E3494" w:rsidRDefault="007F5B37" w:rsidP="00845DE2">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Porcentaje</w:t>
            </w:r>
            <w:proofErr w:type="spellEnd"/>
          </w:p>
        </w:tc>
        <w:tc>
          <w:tcPr>
            <w:tcW w:w="732" w:type="dxa"/>
            <w:tcBorders>
              <w:bottom w:val="single" w:sz="12" w:space="0" w:color="000000"/>
              <w:right w:val="single" w:sz="12" w:space="0" w:color="000000"/>
            </w:tcBorders>
            <w:shd w:val="clear" w:color="auto" w:fill="auto"/>
            <w:vAlign w:val="center"/>
          </w:tcPr>
          <w:p w14:paraId="7500B955"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37D2F95A"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96" w:type="dxa"/>
            <w:tcBorders>
              <w:bottom w:val="single" w:sz="12" w:space="0" w:color="000000"/>
              <w:right w:val="single" w:sz="12" w:space="0" w:color="000000"/>
            </w:tcBorders>
            <w:shd w:val="clear" w:color="auto" w:fill="auto"/>
            <w:vAlign w:val="center"/>
          </w:tcPr>
          <w:p w14:paraId="33B4B4C2"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96" w:type="dxa"/>
            <w:tcBorders>
              <w:bottom w:val="single" w:sz="12" w:space="0" w:color="000000"/>
              <w:right w:val="single" w:sz="12" w:space="0" w:color="000000"/>
            </w:tcBorders>
            <w:shd w:val="clear" w:color="auto" w:fill="auto"/>
            <w:vAlign w:val="center"/>
          </w:tcPr>
          <w:p w14:paraId="36873FC2"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1033" w:type="dxa"/>
            <w:gridSpan w:val="2"/>
            <w:tcBorders>
              <w:bottom w:val="single" w:sz="12" w:space="0" w:color="000000"/>
              <w:right w:val="single" w:sz="12" w:space="0" w:color="000000"/>
            </w:tcBorders>
            <w:shd w:val="clear" w:color="auto" w:fill="auto"/>
            <w:vAlign w:val="center"/>
          </w:tcPr>
          <w:p w14:paraId="7DA5C1AD"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960" w:type="dxa"/>
            <w:tcBorders>
              <w:bottom w:val="single" w:sz="12" w:space="0" w:color="000000"/>
              <w:right w:val="single" w:sz="12" w:space="0" w:color="000000"/>
            </w:tcBorders>
            <w:shd w:val="clear" w:color="auto" w:fill="auto"/>
            <w:vAlign w:val="center"/>
          </w:tcPr>
          <w:p w14:paraId="5B03FFA2"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25%</w:t>
            </w:r>
          </w:p>
        </w:tc>
        <w:tc>
          <w:tcPr>
            <w:tcW w:w="2303" w:type="dxa"/>
            <w:tcBorders>
              <w:bottom w:val="single" w:sz="12" w:space="0" w:color="000000"/>
              <w:right w:val="single" w:sz="12" w:space="0" w:color="000000"/>
            </w:tcBorders>
            <w:shd w:val="clear" w:color="auto" w:fill="auto"/>
            <w:vAlign w:val="center"/>
          </w:tcPr>
          <w:p w14:paraId="4372D85F" w14:textId="77777777" w:rsidR="00AA6EC7" w:rsidRPr="008E3494" w:rsidRDefault="007F5B37" w:rsidP="00845DE2">
            <w:pPr>
              <w:spacing w:after="0" w:line="240" w:lineRule="auto"/>
              <w:jc w:val="center"/>
              <w:rPr>
                <w:rFonts w:ascii="Arial" w:hAnsi="Arial" w:cs="Arial"/>
                <w:color w:val="000000"/>
                <w:sz w:val="18"/>
                <w:szCs w:val="18"/>
              </w:rPr>
            </w:pPr>
            <w:proofErr w:type="spellStart"/>
            <w:r w:rsidRPr="008E3494">
              <w:rPr>
                <w:rFonts w:ascii="Arial" w:hAnsi="Arial" w:cs="Arial"/>
                <w:color w:val="000000"/>
                <w:sz w:val="18"/>
                <w:szCs w:val="18"/>
                <w:lang w:val="en-US"/>
              </w:rPr>
              <w:t>Registros</w:t>
            </w:r>
            <w:proofErr w:type="spellEnd"/>
            <w:r w:rsidRPr="008E3494">
              <w:rPr>
                <w:rFonts w:ascii="Arial" w:hAnsi="Arial" w:cs="Arial"/>
                <w:color w:val="000000"/>
                <w:sz w:val="18"/>
                <w:szCs w:val="18"/>
                <w:lang w:val="en-US"/>
              </w:rPr>
              <w:t xml:space="preserve"> </w:t>
            </w:r>
            <w:proofErr w:type="spellStart"/>
            <w:r w:rsidRPr="008E3494">
              <w:rPr>
                <w:rFonts w:ascii="Arial" w:hAnsi="Arial" w:cs="Arial"/>
                <w:color w:val="000000"/>
                <w:sz w:val="18"/>
                <w:szCs w:val="18"/>
                <w:lang w:val="en-US"/>
              </w:rPr>
              <w:t>administrativos</w:t>
            </w:r>
            <w:proofErr w:type="spellEnd"/>
          </w:p>
        </w:tc>
      </w:tr>
      <w:tr w:rsidR="00AA6EC7" w:rsidRPr="008E3494" w14:paraId="60A537F8"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5F6309AB"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Porcentaje de subsidios monetarios otorgados para construcción de vivienda nueva en área urbana en territorios priorizados</w:t>
            </w:r>
          </w:p>
        </w:tc>
        <w:tc>
          <w:tcPr>
            <w:tcW w:w="1140" w:type="dxa"/>
            <w:tcBorders>
              <w:bottom w:val="single" w:sz="12" w:space="0" w:color="000000"/>
              <w:right w:val="single" w:sz="12" w:space="0" w:color="000000"/>
            </w:tcBorders>
            <w:shd w:val="clear" w:color="auto" w:fill="auto"/>
            <w:vAlign w:val="center"/>
          </w:tcPr>
          <w:p w14:paraId="7576CE05" w14:textId="77777777" w:rsidR="00AA6EC7" w:rsidRPr="008E3494" w:rsidRDefault="007F5B37" w:rsidP="00845DE2">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Porcentaje</w:t>
            </w:r>
            <w:proofErr w:type="spellEnd"/>
          </w:p>
        </w:tc>
        <w:tc>
          <w:tcPr>
            <w:tcW w:w="732" w:type="dxa"/>
            <w:tcBorders>
              <w:bottom w:val="single" w:sz="12" w:space="0" w:color="000000"/>
              <w:right w:val="single" w:sz="12" w:space="0" w:color="000000"/>
            </w:tcBorders>
            <w:shd w:val="clear" w:color="auto" w:fill="auto"/>
            <w:vAlign w:val="center"/>
          </w:tcPr>
          <w:p w14:paraId="69CA7B0B"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17DF3E20" w14:textId="77777777" w:rsidR="00AA6EC7" w:rsidRPr="008E3494" w:rsidRDefault="00497A9F"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75</w:t>
            </w:r>
            <w:r w:rsidR="007F5B37" w:rsidRPr="008E3494">
              <w:rPr>
                <w:rFonts w:ascii="Arial" w:hAnsi="Arial" w:cs="Arial"/>
                <w:color w:val="000000"/>
                <w:sz w:val="18"/>
                <w:szCs w:val="18"/>
                <w:lang w:val="en-US"/>
              </w:rPr>
              <w:t>%</w:t>
            </w:r>
            <w:r w:rsidR="00751F4F" w:rsidRPr="008E3494">
              <w:rPr>
                <w:rFonts w:ascii="Arial" w:hAnsi="Arial" w:cs="Arial"/>
                <w:color w:val="000000"/>
                <w:sz w:val="18"/>
                <w:szCs w:val="18"/>
                <w:lang w:val="en-US"/>
              </w:rPr>
              <w:t>*</w:t>
            </w:r>
          </w:p>
        </w:tc>
        <w:tc>
          <w:tcPr>
            <w:tcW w:w="996" w:type="dxa"/>
            <w:tcBorders>
              <w:bottom w:val="single" w:sz="12" w:space="0" w:color="000000"/>
              <w:right w:val="single" w:sz="12" w:space="0" w:color="000000"/>
            </w:tcBorders>
            <w:shd w:val="clear" w:color="auto" w:fill="auto"/>
            <w:vAlign w:val="center"/>
          </w:tcPr>
          <w:p w14:paraId="6A5EFF07" w14:textId="77777777" w:rsidR="00AA6EC7" w:rsidRPr="008E3494" w:rsidRDefault="00497A9F"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75</w:t>
            </w:r>
            <w:r w:rsidR="007F5B37" w:rsidRPr="008E3494">
              <w:rPr>
                <w:rFonts w:ascii="Arial" w:hAnsi="Arial" w:cs="Arial"/>
                <w:color w:val="000000"/>
                <w:sz w:val="18"/>
                <w:szCs w:val="18"/>
                <w:lang w:val="en-US"/>
              </w:rPr>
              <w:t>%</w:t>
            </w:r>
            <w:r w:rsidR="00751F4F" w:rsidRPr="008E3494">
              <w:rPr>
                <w:rFonts w:ascii="Arial" w:hAnsi="Arial" w:cs="Arial"/>
                <w:color w:val="000000"/>
                <w:sz w:val="18"/>
                <w:szCs w:val="18"/>
                <w:lang w:val="en-US"/>
              </w:rPr>
              <w:t>*</w:t>
            </w:r>
          </w:p>
        </w:tc>
        <w:tc>
          <w:tcPr>
            <w:tcW w:w="996" w:type="dxa"/>
            <w:tcBorders>
              <w:bottom w:val="single" w:sz="12" w:space="0" w:color="000000"/>
              <w:right w:val="single" w:sz="12" w:space="0" w:color="000000"/>
            </w:tcBorders>
            <w:shd w:val="clear" w:color="auto" w:fill="auto"/>
            <w:vAlign w:val="center"/>
          </w:tcPr>
          <w:p w14:paraId="596AB297" w14:textId="77777777" w:rsidR="00AA6EC7" w:rsidRPr="008E3494" w:rsidRDefault="00497A9F"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75</w:t>
            </w:r>
            <w:r w:rsidR="007F5B37" w:rsidRPr="008E3494">
              <w:rPr>
                <w:rFonts w:ascii="Arial" w:hAnsi="Arial" w:cs="Arial"/>
                <w:color w:val="000000"/>
                <w:sz w:val="18"/>
                <w:szCs w:val="18"/>
                <w:lang w:val="en-US"/>
              </w:rPr>
              <w:t>%</w:t>
            </w:r>
            <w:r w:rsidR="00751F4F" w:rsidRPr="008E3494">
              <w:rPr>
                <w:rFonts w:ascii="Arial" w:hAnsi="Arial" w:cs="Arial"/>
                <w:color w:val="000000"/>
                <w:sz w:val="18"/>
                <w:szCs w:val="18"/>
                <w:lang w:val="en-US"/>
              </w:rPr>
              <w:t>*</w:t>
            </w:r>
          </w:p>
        </w:tc>
        <w:tc>
          <w:tcPr>
            <w:tcW w:w="1033" w:type="dxa"/>
            <w:gridSpan w:val="2"/>
            <w:tcBorders>
              <w:bottom w:val="single" w:sz="12" w:space="0" w:color="000000"/>
              <w:right w:val="single" w:sz="12" w:space="0" w:color="000000"/>
            </w:tcBorders>
            <w:shd w:val="clear" w:color="auto" w:fill="auto"/>
            <w:vAlign w:val="center"/>
          </w:tcPr>
          <w:p w14:paraId="6D523F24" w14:textId="77777777" w:rsidR="00AA6EC7" w:rsidRPr="008E3494" w:rsidRDefault="00497A9F"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75</w:t>
            </w:r>
            <w:r w:rsidR="007F5B37" w:rsidRPr="008E3494">
              <w:rPr>
                <w:rFonts w:ascii="Arial" w:hAnsi="Arial" w:cs="Arial"/>
                <w:color w:val="000000"/>
                <w:sz w:val="18"/>
                <w:szCs w:val="18"/>
                <w:lang w:val="en-US"/>
              </w:rPr>
              <w:t>%</w:t>
            </w:r>
            <w:r w:rsidR="00751F4F" w:rsidRPr="008E3494">
              <w:rPr>
                <w:rFonts w:ascii="Arial" w:hAnsi="Arial" w:cs="Arial"/>
                <w:color w:val="000000"/>
                <w:sz w:val="18"/>
                <w:szCs w:val="18"/>
                <w:lang w:val="en-US"/>
              </w:rPr>
              <w:t>*</w:t>
            </w:r>
          </w:p>
        </w:tc>
        <w:tc>
          <w:tcPr>
            <w:tcW w:w="960" w:type="dxa"/>
            <w:tcBorders>
              <w:bottom w:val="single" w:sz="12" w:space="0" w:color="000000"/>
              <w:right w:val="single" w:sz="12" w:space="0" w:color="000000"/>
            </w:tcBorders>
            <w:shd w:val="clear" w:color="auto" w:fill="auto"/>
            <w:vAlign w:val="center"/>
          </w:tcPr>
          <w:p w14:paraId="074D44B0" w14:textId="77777777" w:rsidR="00AA6EC7" w:rsidRPr="008E3494" w:rsidRDefault="00497A9F"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lang w:val="en-US"/>
              </w:rPr>
              <w:t>75</w:t>
            </w:r>
            <w:r w:rsidR="007F5B37" w:rsidRPr="008E3494">
              <w:rPr>
                <w:rFonts w:ascii="Arial" w:hAnsi="Arial" w:cs="Arial"/>
                <w:color w:val="000000"/>
                <w:sz w:val="18"/>
                <w:szCs w:val="18"/>
                <w:lang w:val="en-US"/>
              </w:rPr>
              <w:t>%</w:t>
            </w:r>
            <w:r w:rsidR="00751F4F" w:rsidRPr="008E3494">
              <w:rPr>
                <w:rFonts w:ascii="Arial" w:hAnsi="Arial" w:cs="Arial"/>
                <w:color w:val="000000"/>
                <w:sz w:val="18"/>
                <w:szCs w:val="18"/>
                <w:lang w:val="en-US"/>
              </w:rPr>
              <w:t>*</w:t>
            </w:r>
          </w:p>
        </w:tc>
        <w:tc>
          <w:tcPr>
            <w:tcW w:w="2303" w:type="dxa"/>
            <w:tcBorders>
              <w:bottom w:val="single" w:sz="12" w:space="0" w:color="000000"/>
              <w:right w:val="single" w:sz="12" w:space="0" w:color="000000"/>
            </w:tcBorders>
            <w:shd w:val="clear" w:color="auto" w:fill="auto"/>
            <w:vAlign w:val="center"/>
          </w:tcPr>
          <w:p w14:paraId="3A50CA1D" w14:textId="77777777" w:rsidR="00AA6EC7" w:rsidRPr="008E3494" w:rsidRDefault="007F5B37" w:rsidP="00845DE2">
            <w:pPr>
              <w:spacing w:after="0" w:line="240" w:lineRule="auto"/>
              <w:jc w:val="center"/>
              <w:rPr>
                <w:rFonts w:ascii="Arial" w:hAnsi="Arial" w:cs="Arial"/>
                <w:color w:val="000000"/>
                <w:sz w:val="18"/>
                <w:szCs w:val="18"/>
              </w:rPr>
            </w:pPr>
            <w:r w:rsidRPr="008E3494">
              <w:rPr>
                <w:rFonts w:ascii="Arial" w:hAnsi="Arial" w:cs="Arial"/>
                <w:color w:val="000000"/>
                <w:sz w:val="18"/>
                <w:szCs w:val="18"/>
              </w:rPr>
              <w:t>Registros administrativos</w:t>
            </w:r>
          </w:p>
          <w:p w14:paraId="48667A86" w14:textId="77777777" w:rsidR="00751F4F" w:rsidRPr="008E3494" w:rsidRDefault="00751F4F" w:rsidP="00751F4F">
            <w:pPr>
              <w:spacing w:after="0" w:line="240" w:lineRule="auto"/>
              <w:rPr>
                <w:rFonts w:ascii="Arial" w:hAnsi="Arial" w:cs="Arial"/>
                <w:color w:val="000000"/>
                <w:sz w:val="18"/>
                <w:szCs w:val="18"/>
              </w:rPr>
            </w:pPr>
          </w:p>
          <w:p w14:paraId="1E77452B" w14:textId="77777777" w:rsidR="00751F4F" w:rsidRPr="008E3494" w:rsidRDefault="00751F4F" w:rsidP="00751F4F">
            <w:pPr>
              <w:spacing w:after="0" w:line="240" w:lineRule="auto"/>
              <w:rPr>
                <w:rFonts w:ascii="Arial" w:hAnsi="Arial" w:cs="Arial"/>
                <w:color w:val="000000"/>
                <w:sz w:val="18"/>
                <w:szCs w:val="18"/>
              </w:rPr>
            </w:pPr>
            <w:r w:rsidRPr="008E3494">
              <w:rPr>
                <w:rFonts w:ascii="Arial" w:hAnsi="Arial" w:cs="Arial"/>
                <w:color w:val="000000"/>
                <w:sz w:val="18"/>
                <w:szCs w:val="18"/>
              </w:rPr>
              <w:t>* El 75% de los subsidios monetarios otorgados anualmente, deben ser para viviendas ubicadas en los territorios priorizados</w:t>
            </w:r>
          </w:p>
        </w:tc>
      </w:tr>
      <w:tr w:rsidR="00AA6EC7" w:rsidRPr="008E3494" w14:paraId="60B9A728" w14:textId="77777777">
        <w:trPr>
          <w:trHeight w:val="620"/>
        </w:trPr>
        <w:tc>
          <w:tcPr>
            <w:tcW w:w="10778" w:type="dxa"/>
            <w:gridSpan w:val="9"/>
            <w:tcBorders>
              <w:left w:val="single" w:sz="12" w:space="0" w:color="000000"/>
              <w:bottom w:val="single" w:sz="12" w:space="0" w:color="000000"/>
              <w:right w:val="single" w:sz="12" w:space="0" w:color="000000"/>
            </w:tcBorders>
            <w:shd w:val="clear" w:color="auto" w:fill="D7D7D7"/>
            <w:vAlign w:val="center"/>
          </w:tcPr>
          <w:p w14:paraId="3D610B85" w14:textId="77777777" w:rsidR="00AA6EC7" w:rsidRPr="008E3494" w:rsidRDefault="007F5B37" w:rsidP="00845DE2">
            <w:pPr>
              <w:spacing w:after="0" w:line="240" w:lineRule="auto"/>
              <w:jc w:val="both"/>
              <w:textAlignment w:val="center"/>
              <w:rPr>
                <w:rFonts w:ascii="Arial" w:hAnsi="Arial" w:cs="Arial"/>
                <w:b/>
                <w:color w:val="000000"/>
                <w:sz w:val="18"/>
                <w:szCs w:val="18"/>
              </w:rPr>
            </w:pPr>
            <w:proofErr w:type="spellStart"/>
            <w:r w:rsidRPr="008E3494">
              <w:rPr>
                <w:rFonts w:ascii="Arial" w:eastAsia="SimSun" w:hAnsi="Arial" w:cs="Arial"/>
                <w:b/>
                <w:color w:val="000000"/>
                <w:sz w:val="18"/>
                <w:szCs w:val="18"/>
                <w:lang w:val="en-US" w:eastAsia="zh-CN" w:bidi="ar"/>
              </w:rPr>
              <w:t>Componente</w:t>
            </w:r>
            <w:proofErr w:type="spellEnd"/>
            <w:r w:rsidRPr="008E3494">
              <w:rPr>
                <w:rFonts w:ascii="Arial" w:eastAsia="SimSun" w:hAnsi="Arial" w:cs="Arial"/>
                <w:b/>
                <w:color w:val="000000"/>
                <w:sz w:val="18"/>
                <w:szCs w:val="18"/>
                <w:lang w:val="en-US" w:eastAsia="zh-CN" w:bidi="ar"/>
              </w:rPr>
              <w:t xml:space="preserve"> 3. </w:t>
            </w:r>
            <w:proofErr w:type="spellStart"/>
            <w:r w:rsidRPr="008E3494">
              <w:rPr>
                <w:rFonts w:ascii="Arial" w:eastAsia="SimSun" w:hAnsi="Arial" w:cs="Arial"/>
                <w:b/>
                <w:color w:val="000000"/>
                <w:sz w:val="18"/>
                <w:szCs w:val="18"/>
                <w:lang w:val="en-US" w:eastAsia="zh-CN" w:bidi="ar"/>
              </w:rPr>
              <w:t>Fortalecimiento</w:t>
            </w:r>
            <w:proofErr w:type="spellEnd"/>
            <w:r w:rsidRPr="008E3494">
              <w:rPr>
                <w:rFonts w:ascii="Arial" w:eastAsia="SimSun" w:hAnsi="Arial" w:cs="Arial"/>
                <w:b/>
                <w:color w:val="000000"/>
                <w:sz w:val="18"/>
                <w:szCs w:val="18"/>
                <w:lang w:val="en-US" w:eastAsia="zh-CN" w:bidi="ar"/>
              </w:rPr>
              <w:t xml:space="preserve"> de </w:t>
            </w:r>
            <w:proofErr w:type="spellStart"/>
            <w:r w:rsidRPr="008E3494">
              <w:rPr>
                <w:rFonts w:ascii="Arial" w:eastAsia="SimSun" w:hAnsi="Arial" w:cs="Arial"/>
                <w:b/>
                <w:color w:val="000000"/>
                <w:sz w:val="18"/>
                <w:szCs w:val="18"/>
                <w:lang w:val="en-US" w:eastAsia="zh-CN" w:bidi="ar"/>
              </w:rPr>
              <w:t>capacidades</w:t>
            </w:r>
            <w:proofErr w:type="spellEnd"/>
          </w:p>
        </w:tc>
        <w:tc>
          <w:tcPr>
            <w:tcW w:w="2303" w:type="dxa"/>
            <w:tcBorders>
              <w:bottom w:val="single" w:sz="12" w:space="0" w:color="000000"/>
              <w:right w:val="single" w:sz="12" w:space="0" w:color="000000"/>
            </w:tcBorders>
            <w:shd w:val="clear" w:color="auto" w:fill="D7D7D7"/>
            <w:vAlign w:val="center"/>
          </w:tcPr>
          <w:p w14:paraId="4F03D2C5" w14:textId="77777777" w:rsidR="00AA6EC7" w:rsidRPr="008E3494" w:rsidRDefault="00AA6EC7" w:rsidP="00845DE2">
            <w:pPr>
              <w:spacing w:after="0" w:line="240" w:lineRule="auto"/>
              <w:jc w:val="center"/>
              <w:rPr>
                <w:rFonts w:ascii="Arial" w:hAnsi="Arial" w:cs="Arial"/>
                <w:b/>
                <w:color w:val="000000"/>
                <w:sz w:val="18"/>
                <w:szCs w:val="18"/>
              </w:rPr>
            </w:pPr>
          </w:p>
        </w:tc>
      </w:tr>
      <w:tr w:rsidR="00AA6EC7" w:rsidRPr="008E3494" w14:paraId="76DFE416"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4D4E9055"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t>Acciones de asistencia técnica enfocadas en la demanda realizadas</w:t>
            </w:r>
          </w:p>
        </w:tc>
        <w:tc>
          <w:tcPr>
            <w:tcW w:w="1140" w:type="dxa"/>
            <w:tcBorders>
              <w:bottom w:val="single" w:sz="12" w:space="0" w:color="000000"/>
              <w:right w:val="single" w:sz="12" w:space="0" w:color="000000"/>
            </w:tcBorders>
            <w:shd w:val="clear" w:color="auto" w:fill="auto"/>
            <w:vAlign w:val="center"/>
          </w:tcPr>
          <w:p w14:paraId="5A03EECF" w14:textId="77777777" w:rsidR="00AA6EC7" w:rsidRPr="008E3494" w:rsidRDefault="007F5B37" w:rsidP="00845DE2">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Acciones</w:t>
            </w:r>
            <w:proofErr w:type="spellEnd"/>
          </w:p>
        </w:tc>
        <w:tc>
          <w:tcPr>
            <w:tcW w:w="732" w:type="dxa"/>
            <w:tcBorders>
              <w:top w:val="single" w:sz="12" w:space="0" w:color="000000"/>
              <w:bottom w:val="single" w:sz="12" w:space="0" w:color="000000"/>
              <w:right w:val="single" w:sz="12" w:space="0" w:color="000000"/>
            </w:tcBorders>
            <w:shd w:val="clear" w:color="auto" w:fill="auto"/>
            <w:vAlign w:val="center"/>
          </w:tcPr>
          <w:p w14:paraId="63ED648C" w14:textId="77777777" w:rsidR="00AA6EC7" w:rsidRPr="008E3494" w:rsidRDefault="007F5B37"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0</w:t>
            </w:r>
          </w:p>
        </w:tc>
        <w:tc>
          <w:tcPr>
            <w:tcW w:w="996" w:type="dxa"/>
            <w:tcBorders>
              <w:top w:val="single" w:sz="12" w:space="0" w:color="000000"/>
              <w:bottom w:val="single" w:sz="12" w:space="0" w:color="000000"/>
              <w:right w:val="single" w:sz="12" w:space="0" w:color="000000"/>
            </w:tcBorders>
            <w:shd w:val="clear" w:color="auto" w:fill="auto"/>
            <w:vAlign w:val="center"/>
          </w:tcPr>
          <w:p w14:paraId="25373789" w14:textId="77777777" w:rsidR="00AA6EC7" w:rsidRPr="008E3494" w:rsidRDefault="007F5B37"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1</w:t>
            </w:r>
          </w:p>
        </w:tc>
        <w:tc>
          <w:tcPr>
            <w:tcW w:w="996" w:type="dxa"/>
            <w:tcBorders>
              <w:top w:val="single" w:sz="12" w:space="0" w:color="000000"/>
              <w:bottom w:val="single" w:sz="12" w:space="0" w:color="000000"/>
              <w:right w:val="single" w:sz="12" w:space="0" w:color="000000"/>
            </w:tcBorders>
            <w:shd w:val="clear" w:color="auto" w:fill="auto"/>
            <w:vAlign w:val="center"/>
          </w:tcPr>
          <w:p w14:paraId="525A5318" w14:textId="77777777" w:rsidR="00AA6EC7" w:rsidRPr="008E3494" w:rsidRDefault="007F5B37"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1</w:t>
            </w:r>
          </w:p>
        </w:tc>
        <w:tc>
          <w:tcPr>
            <w:tcW w:w="996" w:type="dxa"/>
            <w:tcBorders>
              <w:top w:val="single" w:sz="12" w:space="0" w:color="000000"/>
              <w:bottom w:val="single" w:sz="12" w:space="0" w:color="000000"/>
              <w:right w:val="single" w:sz="12" w:space="0" w:color="000000"/>
            </w:tcBorders>
            <w:shd w:val="clear" w:color="auto" w:fill="auto"/>
            <w:vAlign w:val="center"/>
          </w:tcPr>
          <w:p w14:paraId="6E328EC4" w14:textId="77777777" w:rsidR="00AA6EC7" w:rsidRPr="008E3494" w:rsidRDefault="007F5B37"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1</w:t>
            </w:r>
          </w:p>
        </w:tc>
        <w:tc>
          <w:tcPr>
            <w:tcW w:w="1033" w:type="dxa"/>
            <w:gridSpan w:val="2"/>
            <w:tcBorders>
              <w:top w:val="single" w:sz="12" w:space="0" w:color="000000"/>
              <w:bottom w:val="single" w:sz="12" w:space="0" w:color="000000"/>
              <w:right w:val="single" w:sz="12" w:space="0" w:color="000000"/>
            </w:tcBorders>
            <w:shd w:val="clear" w:color="auto" w:fill="auto"/>
            <w:vAlign w:val="center"/>
          </w:tcPr>
          <w:p w14:paraId="249BE73F" w14:textId="77777777" w:rsidR="00AA6EC7" w:rsidRPr="008E3494" w:rsidRDefault="007F5B37"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1</w:t>
            </w:r>
          </w:p>
        </w:tc>
        <w:tc>
          <w:tcPr>
            <w:tcW w:w="960" w:type="dxa"/>
            <w:tcBorders>
              <w:top w:val="single" w:sz="12" w:space="0" w:color="000000"/>
              <w:bottom w:val="single" w:sz="12" w:space="0" w:color="000000"/>
              <w:right w:val="single" w:sz="12" w:space="0" w:color="000000"/>
            </w:tcBorders>
            <w:shd w:val="clear" w:color="auto" w:fill="auto"/>
            <w:vAlign w:val="center"/>
          </w:tcPr>
          <w:p w14:paraId="0C03210D" w14:textId="77777777" w:rsidR="00AA6EC7" w:rsidRPr="008E3494" w:rsidRDefault="007F5B37"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4</w:t>
            </w:r>
          </w:p>
        </w:tc>
        <w:tc>
          <w:tcPr>
            <w:tcW w:w="2303" w:type="dxa"/>
            <w:tcBorders>
              <w:top w:val="single" w:sz="12" w:space="0" w:color="000000"/>
              <w:bottom w:val="single" w:sz="12" w:space="0" w:color="000000"/>
              <w:right w:val="single" w:sz="12" w:space="0" w:color="000000"/>
            </w:tcBorders>
            <w:shd w:val="clear" w:color="auto" w:fill="auto"/>
            <w:vAlign w:val="center"/>
          </w:tcPr>
          <w:p w14:paraId="6F1795EF" w14:textId="77777777" w:rsidR="00AA6EC7" w:rsidRPr="008E3494" w:rsidRDefault="007F5B37"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 xml:space="preserve">- </w:t>
            </w:r>
            <w:proofErr w:type="spellStart"/>
            <w:r w:rsidRPr="008E3494">
              <w:rPr>
                <w:rFonts w:ascii="Arial" w:hAnsi="Arial" w:cs="Arial"/>
                <w:color w:val="000000"/>
                <w:sz w:val="18"/>
                <w:szCs w:val="18"/>
                <w:lang w:val="en-US"/>
              </w:rPr>
              <w:t>Informes</w:t>
            </w:r>
            <w:proofErr w:type="spellEnd"/>
            <w:r w:rsidRPr="008E3494">
              <w:rPr>
                <w:rFonts w:ascii="Arial" w:hAnsi="Arial" w:cs="Arial"/>
                <w:color w:val="000000"/>
                <w:sz w:val="18"/>
                <w:szCs w:val="18"/>
                <w:lang w:val="en-US"/>
              </w:rPr>
              <w:t xml:space="preserve"> conjuntos </w:t>
            </w:r>
          </w:p>
        </w:tc>
      </w:tr>
      <w:tr w:rsidR="00AA6EC7" w:rsidRPr="008E3494" w14:paraId="5DF8F419" w14:textId="77777777">
        <w:trPr>
          <w:trHeight w:val="620"/>
        </w:trPr>
        <w:tc>
          <w:tcPr>
            <w:tcW w:w="3925" w:type="dxa"/>
            <w:tcBorders>
              <w:left w:val="single" w:sz="12" w:space="0" w:color="000000"/>
              <w:bottom w:val="single" w:sz="12" w:space="0" w:color="000000"/>
              <w:right w:val="single" w:sz="12" w:space="0" w:color="000000"/>
            </w:tcBorders>
            <w:shd w:val="clear" w:color="auto" w:fill="auto"/>
            <w:vAlign w:val="center"/>
          </w:tcPr>
          <w:p w14:paraId="063E2059" w14:textId="77777777" w:rsidR="00AA6EC7" w:rsidRPr="008E3494" w:rsidRDefault="007F5B37" w:rsidP="00845DE2">
            <w:pPr>
              <w:spacing w:after="0" w:line="240" w:lineRule="auto"/>
              <w:jc w:val="center"/>
              <w:textAlignment w:val="bottom"/>
              <w:rPr>
                <w:rFonts w:ascii="Arial" w:hAnsi="Arial" w:cs="Arial"/>
                <w:color w:val="000000"/>
                <w:sz w:val="18"/>
                <w:szCs w:val="18"/>
              </w:rPr>
            </w:pPr>
            <w:r w:rsidRPr="008E3494">
              <w:rPr>
                <w:rFonts w:ascii="Arial" w:eastAsia="SimSun" w:hAnsi="Arial" w:cs="Arial"/>
                <w:color w:val="000000"/>
                <w:sz w:val="18"/>
                <w:szCs w:val="18"/>
                <w:lang w:eastAsia="zh-CN" w:bidi="ar"/>
              </w:rPr>
              <w:lastRenderedPageBreak/>
              <w:t>Acciones de asistencia técnica enfocadas en la oferta realizadas</w:t>
            </w:r>
          </w:p>
        </w:tc>
        <w:tc>
          <w:tcPr>
            <w:tcW w:w="1140" w:type="dxa"/>
            <w:tcBorders>
              <w:bottom w:val="single" w:sz="12" w:space="0" w:color="000000"/>
              <w:right w:val="single" w:sz="12" w:space="0" w:color="000000"/>
            </w:tcBorders>
            <w:shd w:val="clear" w:color="auto" w:fill="auto"/>
            <w:vAlign w:val="center"/>
          </w:tcPr>
          <w:p w14:paraId="186BAFA8" w14:textId="77777777" w:rsidR="00AA6EC7" w:rsidRPr="008E3494" w:rsidRDefault="007F5B37" w:rsidP="00845DE2">
            <w:pPr>
              <w:spacing w:after="0" w:line="240" w:lineRule="auto"/>
              <w:jc w:val="center"/>
              <w:textAlignment w:val="bottom"/>
              <w:rPr>
                <w:rFonts w:ascii="Arial" w:hAnsi="Arial" w:cs="Arial"/>
                <w:color w:val="000000"/>
                <w:sz w:val="18"/>
                <w:szCs w:val="18"/>
              </w:rPr>
            </w:pPr>
            <w:proofErr w:type="spellStart"/>
            <w:r w:rsidRPr="008E3494">
              <w:rPr>
                <w:rFonts w:ascii="Arial" w:eastAsia="SimSun" w:hAnsi="Arial" w:cs="Arial"/>
                <w:color w:val="000000"/>
                <w:sz w:val="18"/>
                <w:szCs w:val="18"/>
                <w:lang w:val="en-US" w:eastAsia="zh-CN" w:bidi="ar"/>
              </w:rPr>
              <w:t>Acciones</w:t>
            </w:r>
            <w:proofErr w:type="spellEnd"/>
          </w:p>
        </w:tc>
        <w:tc>
          <w:tcPr>
            <w:tcW w:w="732" w:type="dxa"/>
            <w:tcBorders>
              <w:bottom w:val="single" w:sz="12" w:space="0" w:color="000000"/>
              <w:right w:val="single" w:sz="12" w:space="0" w:color="000000"/>
            </w:tcBorders>
            <w:shd w:val="clear" w:color="auto" w:fill="auto"/>
            <w:vAlign w:val="center"/>
          </w:tcPr>
          <w:p w14:paraId="763E71C8" w14:textId="77777777" w:rsidR="00AA6EC7" w:rsidRPr="008E3494" w:rsidRDefault="007F5B37"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0</w:t>
            </w:r>
          </w:p>
        </w:tc>
        <w:tc>
          <w:tcPr>
            <w:tcW w:w="996" w:type="dxa"/>
            <w:tcBorders>
              <w:bottom w:val="single" w:sz="12" w:space="0" w:color="000000"/>
              <w:right w:val="single" w:sz="12" w:space="0" w:color="000000"/>
            </w:tcBorders>
            <w:shd w:val="clear" w:color="auto" w:fill="auto"/>
            <w:vAlign w:val="center"/>
          </w:tcPr>
          <w:p w14:paraId="549FF6DF" w14:textId="77777777" w:rsidR="00AA6EC7" w:rsidRPr="008E3494" w:rsidRDefault="007F5B37"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1</w:t>
            </w:r>
          </w:p>
        </w:tc>
        <w:tc>
          <w:tcPr>
            <w:tcW w:w="996" w:type="dxa"/>
            <w:tcBorders>
              <w:bottom w:val="single" w:sz="12" w:space="0" w:color="000000"/>
              <w:right w:val="single" w:sz="12" w:space="0" w:color="000000"/>
            </w:tcBorders>
            <w:shd w:val="clear" w:color="auto" w:fill="auto"/>
            <w:vAlign w:val="center"/>
          </w:tcPr>
          <w:p w14:paraId="17CEB489" w14:textId="77777777" w:rsidR="00AA6EC7" w:rsidRPr="008E3494" w:rsidRDefault="007F5B37"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1</w:t>
            </w:r>
          </w:p>
        </w:tc>
        <w:tc>
          <w:tcPr>
            <w:tcW w:w="996" w:type="dxa"/>
            <w:tcBorders>
              <w:bottom w:val="single" w:sz="12" w:space="0" w:color="000000"/>
              <w:right w:val="single" w:sz="12" w:space="0" w:color="000000"/>
            </w:tcBorders>
            <w:shd w:val="clear" w:color="auto" w:fill="auto"/>
            <w:vAlign w:val="center"/>
          </w:tcPr>
          <w:p w14:paraId="6FF0B858" w14:textId="77777777" w:rsidR="00AA6EC7" w:rsidRPr="008E3494" w:rsidRDefault="007F5B37"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1</w:t>
            </w:r>
          </w:p>
        </w:tc>
        <w:tc>
          <w:tcPr>
            <w:tcW w:w="1033" w:type="dxa"/>
            <w:gridSpan w:val="2"/>
            <w:tcBorders>
              <w:bottom w:val="single" w:sz="12" w:space="0" w:color="000000"/>
              <w:right w:val="single" w:sz="12" w:space="0" w:color="000000"/>
            </w:tcBorders>
            <w:shd w:val="clear" w:color="auto" w:fill="auto"/>
            <w:vAlign w:val="center"/>
          </w:tcPr>
          <w:p w14:paraId="00DCFA3D" w14:textId="77777777" w:rsidR="00AA6EC7" w:rsidRPr="008E3494" w:rsidRDefault="007F5B37"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1</w:t>
            </w:r>
          </w:p>
        </w:tc>
        <w:tc>
          <w:tcPr>
            <w:tcW w:w="960" w:type="dxa"/>
            <w:tcBorders>
              <w:bottom w:val="single" w:sz="12" w:space="0" w:color="000000"/>
              <w:right w:val="single" w:sz="12" w:space="0" w:color="000000"/>
            </w:tcBorders>
            <w:shd w:val="clear" w:color="auto" w:fill="auto"/>
            <w:vAlign w:val="center"/>
          </w:tcPr>
          <w:p w14:paraId="3878A9C9" w14:textId="77777777" w:rsidR="00AA6EC7" w:rsidRPr="008E3494" w:rsidRDefault="007F5B37" w:rsidP="00845DE2">
            <w:pPr>
              <w:spacing w:after="0" w:line="240" w:lineRule="auto"/>
              <w:jc w:val="center"/>
              <w:rPr>
                <w:rFonts w:ascii="Arial" w:hAnsi="Arial" w:cs="Arial"/>
                <w:color w:val="000000"/>
                <w:sz w:val="18"/>
                <w:szCs w:val="18"/>
                <w:lang w:val="en-US"/>
              </w:rPr>
            </w:pPr>
            <w:r w:rsidRPr="008E3494">
              <w:rPr>
                <w:rFonts w:ascii="Arial" w:hAnsi="Arial" w:cs="Arial"/>
                <w:color w:val="000000"/>
                <w:sz w:val="18"/>
                <w:szCs w:val="18"/>
                <w:lang w:val="en-US"/>
              </w:rPr>
              <w:t>4</w:t>
            </w:r>
          </w:p>
        </w:tc>
        <w:tc>
          <w:tcPr>
            <w:tcW w:w="2303" w:type="dxa"/>
            <w:tcBorders>
              <w:bottom w:val="single" w:sz="12" w:space="0" w:color="000000"/>
              <w:right w:val="single" w:sz="12" w:space="0" w:color="000000"/>
            </w:tcBorders>
            <w:shd w:val="clear" w:color="auto" w:fill="auto"/>
            <w:vAlign w:val="center"/>
          </w:tcPr>
          <w:p w14:paraId="081663A2" w14:textId="77777777" w:rsidR="00AA6EC7" w:rsidRPr="008E3494" w:rsidRDefault="007F5B37" w:rsidP="00845DE2">
            <w:pPr>
              <w:spacing w:after="0" w:line="240" w:lineRule="auto"/>
              <w:jc w:val="center"/>
              <w:rPr>
                <w:rFonts w:ascii="Arial" w:hAnsi="Arial" w:cs="Arial"/>
                <w:color w:val="000000"/>
              </w:rPr>
            </w:pPr>
            <w:r w:rsidRPr="008E3494">
              <w:rPr>
                <w:rFonts w:ascii="Arial" w:hAnsi="Arial" w:cs="Arial"/>
                <w:color w:val="000000"/>
                <w:sz w:val="18"/>
                <w:szCs w:val="18"/>
                <w:lang w:val="en-US"/>
              </w:rPr>
              <w:t xml:space="preserve">- </w:t>
            </w:r>
            <w:proofErr w:type="spellStart"/>
            <w:r w:rsidRPr="008E3494">
              <w:rPr>
                <w:rFonts w:ascii="Arial" w:hAnsi="Arial" w:cs="Arial"/>
                <w:color w:val="000000"/>
                <w:sz w:val="18"/>
                <w:szCs w:val="18"/>
                <w:lang w:val="en-US"/>
              </w:rPr>
              <w:t>Informes</w:t>
            </w:r>
            <w:proofErr w:type="spellEnd"/>
            <w:r w:rsidRPr="008E3494">
              <w:rPr>
                <w:rFonts w:ascii="Arial" w:hAnsi="Arial" w:cs="Arial"/>
                <w:color w:val="000000"/>
                <w:sz w:val="18"/>
                <w:szCs w:val="18"/>
                <w:lang w:val="en-US"/>
              </w:rPr>
              <w:t xml:space="preserve"> conjuntos </w:t>
            </w:r>
          </w:p>
        </w:tc>
      </w:tr>
    </w:tbl>
    <w:p w14:paraId="32B95067" w14:textId="77777777" w:rsidR="00AA6EC7" w:rsidRPr="008E3494" w:rsidRDefault="00AA6EC7">
      <w:pPr>
        <w:pStyle w:val="BodyText"/>
        <w:rPr>
          <w:b/>
          <w:sz w:val="28"/>
          <w:lang w:val="en-US"/>
        </w:rPr>
      </w:pPr>
    </w:p>
    <w:p w14:paraId="0A4E59C9" w14:textId="77777777" w:rsidR="00AA6EC7" w:rsidRPr="008E3494" w:rsidRDefault="00AA6EC7">
      <w:pPr>
        <w:numPr>
          <w:ilvl w:val="1"/>
          <w:numId w:val="0"/>
        </w:numPr>
        <w:tabs>
          <w:tab w:val="left" w:pos="720"/>
        </w:tabs>
        <w:spacing w:before="120" w:after="120" w:line="240" w:lineRule="auto"/>
        <w:ind w:left="720" w:hanging="720"/>
        <w:jc w:val="both"/>
        <w:rPr>
          <w:rFonts w:ascii="Arial" w:eastAsia="Times New Roman" w:hAnsi="Arial" w:cs="Arial"/>
          <w:color w:val="000000"/>
          <w:spacing w:val="-2"/>
          <w:lang w:eastAsia="zh-CN"/>
        </w:rPr>
        <w:sectPr w:rsidR="00AA6EC7" w:rsidRPr="008E3494" w:rsidSect="00181B8D">
          <w:pgSz w:w="15840" w:h="12240" w:orient="landscape"/>
          <w:pgMar w:top="720" w:right="720" w:bottom="720" w:left="720" w:header="720" w:footer="720" w:gutter="0"/>
          <w:cols w:space="720"/>
          <w:docGrid w:linePitch="360"/>
        </w:sectPr>
      </w:pPr>
    </w:p>
    <w:p w14:paraId="7AD729BD" w14:textId="77777777" w:rsidR="00AA6EC7" w:rsidRPr="008E3494" w:rsidRDefault="00AA6EC7">
      <w:pPr>
        <w:numPr>
          <w:ilvl w:val="1"/>
          <w:numId w:val="0"/>
        </w:numPr>
        <w:tabs>
          <w:tab w:val="left" w:pos="720"/>
        </w:tabs>
        <w:spacing w:before="120" w:after="120" w:line="240" w:lineRule="auto"/>
        <w:ind w:left="720" w:hanging="720"/>
        <w:jc w:val="both"/>
        <w:rPr>
          <w:rFonts w:ascii="Arial" w:eastAsia="Times New Roman" w:hAnsi="Arial" w:cs="Arial"/>
          <w:color w:val="000000"/>
          <w:spacing w:val="-2"/>
          <w:lang w:eastAsia="zh-CN"/>
        </w:rPr>
      </w:pPr>
    </w:p>
    <w:p w14:paraId="2B6940EE" w14:textId="77777777" w:rsidR="00AA6EC7" w:rsidRPr="008E3494" w:rsidRDefault="007F5B37" w:rsidP="008E3494">
      <w:pPr>
        <w:pStyle w:val="Heading1"/>
      </w:pPr>
      <w:bookmarkStart w:id="11" w:name="_Toc1373065"/>
      <w:r w:rsidRPr="008E3494">
        <w:t>Evaluación:</w:t>
      </w:r>
      <w:bookmarkEnd w:id="11"/>
    </w:p>
    <w:p w14:paraId="7FECBB4E" w14:textId="77777777" w:rsidR="00AA6EC7" w:rsidRPr="008E3494" w:rsidRDefault="00AA6EC7">
      <w:pPr>
        <w:spacing w:after="0" w:line="240" w:lineRule="auto"/>
        <w:jc w:val="both"/>
        <w:rPr>
          <w:rFonts w:ascii="Arial" w:eastAsia="Times New Roman" w:hAnsi="Arial" w:cs="Arial"/>
          <w:spacing w:val="-2"/>
          <w:lang w:val="en-US" w:eastAsia="zh-CN"/>
        </w:rPr>
      </w:pPr>
    </w:p>
    <w:p w14:paraId="37DA9F2A" w14:textId="77777777" w:rsidR="00AA6EC7" w:rsidRPr="008E3494" w:rsidRDefault="007F5B37">
      <w:pPr>
        <w:spacing w:after="0"/>
        <w:jc w:val="both"/>
        <w:rPr>
          <w:rFonts w:ascii="Arial" w:eastAsia="Times New Roman" w:hAnsi="Arial" w:cs="Arial"/>
          <w:spacing w:val="-2"/>
          <w:lang w:val="zh-CN" w:eastAsia="zh-CN"/>
        </w:rPr>
      </w:pPr>
      <w:r w:rsidRPr="008E3494">
        <w:rPr>
          <w:rFonts w:ascii="Arial" w:eastAsia="Times New Roman" w:hAnsi="Arial" w:cs="Arial"/>
          <w:spacing w:val="-2"/>
          <w:lang w:val="zh-CN" w:eastAsia="zh-CN"/>
        </w:rPr>
        <w:t xml:space="preserve">Existe un </w:t>
      </w:r>
      <w:r w:rsidRPr="008E3494">
        <w:rPr>
          <w:rFonts w:ascii="Arial" w:eastAsia="Times New Roman" w:hAnsi="Arial" w:cs="Arial"/>
          <w:spacing w:val="-2"/>
          <w:lang w:eastAsia="zh-CN"/>
        </w:rPr>
        <w:t>consenso</w:t>
      </w:r>
      <w:r w:rsidRPr="008E3494">
        <w:rPr>
          <w:rFonts w:ascii="Arial" w:eastAsia="Times New Roman" w:hAnsi="Arial" w:cs="Arial"/>
          <w:spacing w:val="-2"/>
          <w:lang w:val="zh-CN" w:eastAsia="zh-CN"/>
        </w:rPr>
        <w:t xml:space="preserve"> general en la literatura al afirmar que el objetivo de la evaluación es generar un juicio de valor acerca del significado, importancia, trascendencia y calidad de un fenómeno o una intervención gubernamental. </w:t>
      </w:r>
    </w:p>
    <w:p w14:paraId="5918E39A" w14:textId="77777777" w:rsidR="00AA6EC7" w:rsidRPr="008E3494" w:rsidRDefault="00AA6EC7">
      <w:pPr>
        <w:spacing w:after="0" w:line="240" w:lineRule="auto"/>
        <w:jc w:val="both"/>
        <w:rPr>
          <w:rFonts w:ascii="Arial" w:eastAsia="Times New Roman" w:hAnsi="Arial" w:cs="Arial"/>
          <w:spacing w:val="-2"/>
          <w:lang w:val="zh-CN" w:eastAsia="zh-CN"/>
        </w:rPr>
      </w:pPr>
    </w:p>
    <w:p w14:paraId="2AE06084" w14:textId="77777777" w:rsidR="00AA6EC7" w:rsidRPr="008E3494" w:rsidRDefault="007F5B37">
      <w:pPr>
        <w:spacing w:after="0" w:line="240" w:lineRule="auto"/>
        <w:jc w:val="both"/>
        <w:rPr>
          <w:rFonts w:ascii="Arial" w:eastAsia="Times New Roman" w:hAnsi="Arial" w:cs="Arial"/>
          <w:spacing w:val="-2"/>
          <w:lang w:val="zh-CN" w:eastAsia="zh-CN"/>
        </w:rPr>
      </w:pPr>
      <w:r w:rsidRPr="008E3494">
        <w:rPr>
          <w:rFonts w:ascii="Arial" w:eastAsia="Times New Roman" w:hAnsi="Arial" w:cs="Arial"/>
          <w:spacing w:val="-2"/>
          <w:lang w:val="zh-CN" w:eastAsia="zh-CN"/>
        </w:rPr>
        <w:t xml:space="preserve">La UNICEF (1991) define a la evaluación como un </w:t>
      </w:r>
      <w:r w:rsidRPr="008E3494">
        <w:rPr>
          <w:rFonts w:ascii="Arial" w:eastAsia="Times New Roman" w:hAnsi="Arial" w:cs="Arial"/>
          <w:i/>
          <w:spacing w:val="-2"/>
          <w:lang w:val="zh-CN" w:eastAsia="zh-CN"/>
        </w:rPr>
        <w:t>“proceso que procura determinar periódicamente y de manera sistemática y objetiva, la relevancia, eficacia, eficiencia e impacto de un programa, a la luz de sus objetivos.”</w:t>
      </w:r>
      <w:r w:rsidRPr="008E3494">
        <w:rPr>
          <w:rFonts w:ascii="Arial" w:eastAsia="Times New Roman" w:hAnsi="Arial" w:cs="Arial"/>
          <w:spacing w:val="-2"/>
          <w:lang w:val="zh-CN" w:eastAsia="zh-CN"/>
        </w:rPr>
        <w:t xml:space="preserve"> Así, la evaluación se extiende más allá que el monitoreo porque reconoce que el plan de acción y su cumplimiento no son más que una hipótesis con respecto a la forma de alcanzar los efectos deseados.  No obstante, la evaluación no se limita a la mera verificación del cumplimiento de los objetivos planteados, si no que analiza el impacto causal del programa en la vida de sus beneficiarios. </w:t>
      </w:r>
    </w:p>
    <w:p w14:paraId="7CE36C0F" w14:textId="77777777" w:rsidR="00AA6EC7" w:rsidRPr="008E3494" w:rsidRDefault="00AA6EC7">
      <w:pPr>
        <w:spacing w:after="0" w:line="240" w:lineRule="auto"/>
        <w:jc w:val="both"/>
        <w:rPr>
          <w:rFonts w:ascii="Arial" w:eastAsia="Times New Roman" w:hAnsi="Arial" w:cs="Arial"/>
          <w:spacing w:val="-2"/>
          <w:lang w:val="zh-CN" w:eastAsia="zh-CN"/>
        </w:rPr>
      </w:pPr>
    </w:p>
    <w:p w14:paraId="3BB57FEC" w14:textId="77777777" w:rsidR="00AA6EC7" w:rsidRPr="008E3494" w:rsidRDefault="007F5B37">
      <w:pPr>
        <w:spacing w:after="0" w:line="240" w:lineRule="auto"/>
        <w:jc w:val="both"/>
        <w:rPr>
          <w:rFonts w:ascii="Arial" w:eastAsia="Times New Roman" w:hAnsi="Arial" w:cs="Arial"/>
          <w:spacing w:val="-2"/>
          <w:lang w:val="zh-CN" w:eastAsia="zh-CN"/>
        </w:rPr>
      </w:pPr>
      <w:r w:rsidRPr="008E3494">
        <w:rPr>
          <w:rFonts w:ascii="Arial" w:eastAsia="Times New Roman" w:hAnsi="Arial" w:cs="Arial"/>
          <w:spacing w:val="-2"/>
          <w:lang w:val="zh-CN" w:eastAsia="zh-CN"/>
        </w:rPr>
        <w:t xml:space="preserve">En este sentido, en este sistema de monitoreo y evaluación, se propone realizar dos tipos de evaluación: (a) evaluación de impacto, y (b) evaluación de productos y resultados. </w:t>
      </w:r>
    </w:p>
    <w:p w14:paraId="3CF95FF8" w14:textId="77777777" w:rsidR="00AA6EC7" w:rsidRPr="008E3494" w:rsidRDefault="00AA6EC7">
      <w:pPr>
        <w:spacing w:after="0" w:line="240" w:lineRule="auto"/>
        <w:jc w:val="both"/>
        <w:rPr>
          <w:rFonts w:ascii="Arial" w:eastAsia="Times New Roman" w:hAnsi="Arial" w:cs="Arial"/>
          <w:spacing w:val="-2"/>
          <w:lang w:val="zh-CN" w:eastAsia="zh-CN"/>
        </w:rPr>
      </w:pPr>
    </w:p>
    <w:p w14:paraId="45E381C3" w14:textId="77777777" w:rsidR="00AA6EC7" w:rsidRPr="008E3494" w:rsidRDefault="007F5B37">
      <w:pPr>
        <w:spacing w:after="0" w:line="240" w:lineRule="auto"/>
        <w:jc w:val="both"/>
        <w:rPr>
          <w:rFonts w:ascii="Arial" w:hAnsi="Arial" w:cs="Arial"/>
          <w:lang w:val="zh-CN"/>
        </w:rPr>
      </w:pPr>
      <w:r w:rsidRPr="008E3494">
        <w:rPr>
          <w:rFonts w:ascii="Arial" w:eastAsia="Times New Roman" w:hAnsi="Arial" w:cs="Arial"/>
          <w:spacing w:val="-2"/>
          <w:lang w:val="zh-CN" w:eastAsia="zh-CN"/>
        </w:rPr>
        <w:t xml:space="preserve">Las evaluaciones, y puntualmente la evaluación de impacto, forma parte de la agenda de formulación de políticas públicas basadas en evidencia, la cual, en lugar de centrarse en los insumos, lo hace en los productos, sus resultados y el impacto de las intervenciones. Esta orientación a resultados no solo es útil para el Banco, sino también para el ente ejecutor en el sentido en el que le permite rendir cuentas, reorientar la ejecución del programa y diseñar programas a futuro. </w:t>
      </w:r>
    </w:p>
    <w:p w14:paraId="43F5F96B" w14:textId="77777777" w:rsidR="00AA6EC7" w:rsidRPr="008E3494" w:rsidRDefault="00AA6EC7">
      <w:pPr>
        <w:spacing w:after="0" w:line="240" w:lineRule="auto"/>
        <w:jc w:val="both"/>
        <w:rPr>
          <w:rFonts w:ascii="Arial" w:hAnsi="Arial" w:cs="Arial"/>
          <w:lang w:val="zh-CN"/>
        </w:rPr>
      </w:pPr>
    </w:p>
    <w:p w14:paraId="4E6E6712" w14:textId="77777777" w:rsidR="00AA6EC7" w:rsidRPr="008E3494" w:rsidRDefault="007F5B37">
      <w:pPr>
        <w:spacing w:after="0" w:line="240" w:lineRule="auto"/>
        <w:jc w:val="both"/>
        <w:rPr>
          <w:rFonts w:ascii="Arial" w:hAnsi="Arial" w:cs="Arial"/>
        </w:rPr>
      </w:pPr>
      <w:r w:rsidRPr="008E3494">
        <w:rPr>
          <w:rFonts w:ascii="Arial" w:hAnsi="Arial" w:cs="Arial"/>
        </w:rPr>
        <w:t>A continuación, se presentan los detalles de las diferentes evaluaciones:</w:t>
      </w:r>
    </w:p>
    <w:p w14:paraId="7C74F846" w14:textId="77777777" w:rsidR="00AA6EC7" w:rsidRPr="008E3494" w:rsidRDefault="007F5B37">
      <w:pPr>
        <w:spacing w:after="0" w:line="240" w:lineRule="auto"/>
        <w:jc w:val="both"/>
        <w:rPr>
          <w:rFonts w:ascii="Arial" w:hAnsi="Arial" w:cs="Arial"/>
        </w:rPr>
      </w:pPr>
      <w:r w:rsidRPr="008E3494">
        <w:rPr>
          <w:rFonts w:ascii="Arial" w:hAnsi="Arial" w:cs="Arial"/>
        </w:rPr>
        <w:t xml:space="preserve"> </w:t>
      </w:r>
    </w:p>
    <w:p w14:paraId="2E65945C" w14:textId="77777777" w:rsidR="00AA6EC7" w:rsidRPr="008E3494" w:rsidRDefault="007F5B37" w:rsidP="008E3494">
      <w:pPr>
        <w:pStyle w:val="Heading2"/>
      </w:pPr>
      <w:bookmarkStart w:id="12" w:name="_Toc1373066"/>
      <w:r w:rsidRPr="008E3494">
        <w:t>Evaluación de impacto</w:t>
      </w:r>
      <w:bookmarkEnd w:id="12"/>
      <w:r w:rsidRPr="008E3494">
        <w:t xml:space="preserve"> </w:t>
      </w:r>
    </w:p>
    <w:p w14:paraId="3E465AAB" w14:textId="77777777" w:rsidR="00AA6EC7" w:rsidRPr="008E3494" w:rsidRDefault="007F5B37" w:rsidP="00181B8D">
      <w:pPr>
        <w:pStyle w:val="Heading3"/>
      </w:pPr>
      <w:bookmarkStart w:id="13" w:name="_Toc1373067"/>
      <w:r w:rsidRPr="008E3494">
        <w:t>Literatura de impactos de programas similares</w:t>
      </w:r>
      <w:bookmarkEnd w:id="13"/>
    </w:p>
    <w:p w14:paraId="2C11381A" w14:textId="77777777" w:rsidR="00AA6EC7" w:rsidRPr="008E3494" w:rsidRDefault="00AA6EC7" w:rsidP="00F9604D">
      <w:pPr>
        <w:spacing w:after="0" w:line="240" w:lineRule="auto"/>
        <w:jc w:val="both"/>
        <w:rPr>
          <w:rFonts w:ascii="Arial" w:hAnsi="Arial" w:cs="Arial"/>
          <w:lang w:val="pt-BR"/>
        </w:rPr>
      </w:pPr>
    </w:p>
    <w:p w14:paraId="2BA1F917" w14:textId="77777777" w:rsidR="00F9604D" w:rsidRPr="008E3494" w:rsidRDefault="00F9604D" w:rsidP="00F9604D">
      <w:pPr>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A diferencia de otros sectores, las evaluaciones en el sector de vivienda diseñadas para identificar el efecto causal de un programa son más limitadas (</w:t>
      </w:r>
      <w:proofErr w:type="spellStart"/>
      <w:r w:rsidRPr="008E3494">
        <w:rPr>
          <w:rFonts w:ascii="Arial" w:eastAsia="Times New Roman" w:hAnsi="Arial" w:cs="Arial"/>
          <w:spacing w:val="-2"/>
          <w:lang w:eastAsia="zh-CN"/>
        </w:rPr>
        <w:t>Brakarz</w:t>
      </w:r>
      <w:proofErr w:type="spellEnd"/>
      <w:r w:rsidRPr="008E3494">
        <w:rPr>
          <w:rFonts w:ascii="Arial" w:eastAsia="Times New Roman" w:hAnsi="Arial" w:cs="Arial"/>
          <w:spacing w:val="-2"/>
          <w:lang w:eastAsia="zh-CN"/>
        </w:rPr>
        <w:t xml:space="preserve"> y </w:t>
      </w:r>
      <w:proofErr w:type="spellStart"/>
      <w:r w:rsidRPr="008E3494">
        <w:rPr>
          <w:rFonts w:ascii="Arial" w:eastAsia="Times New Roman" w:hAnsi="Arial" w:cs="Arial"/>
          <w:spacing w:val="-2"/>
          <w:lang w:eastAsia="zh-CN"/>
        </w:rPr>
        <w:t>Jaitman</w:t>
      </w:r>
      <w:proofErr w:type="spellEnd"/>
      <w:r w:rsidRPr="008E3494">
        <w:rPr>
          <w:rFonts w:ascii="Arial" w:eastAsia="Times New Roman" w:hAnsi="Arial" w:cs="Arial"/>
          <w:spacing w:val="-2"/>
          <w:lang w:eastAsia="zh-CN"/>
        </w:rPr>
        <w:t xml:space="preserve">, 2013; Field y </w:t>
      </w:r>
      <w:proofErr w:type="spellStart"/>
      <w:r w:rsidRPr="008E3494">
        <w:rPr>
          <w:rFonts w:ascii="Arial" w:eastAsia="Times New Roman" w:hAnsi="Arial" w:cs="Arial"/>
          <w:spacing w:val="-2"/>
          <w:lang w:eastAsia="zh-CN"/>
        </w:rPr>
        <w:t>Kremer</w:t>
      </w:r>
      <w:proofErr w:type="spellEnd"/>
      <w:r w:rsidRPr="008E3494">
        <w:rPr>
          <w:rFonts w:ascii="Arial" w:eastAsia="Times New Roman" w:hAnsi="Arial" w:cs="Arial"/>
          <w:spacing w:val="-2"/>
          <w:lang w:eastAsia="zh-CN"/>
        </w:rPr>
        <w:t>, 2006). La reciente evidencia empírica de los impactos de la vivienda proviene de intervenciones en países desarrollados que tienen poca semejanza con las intervenciones que se realizan en la mayoría de los países en desarrollo. La operación actual se puede categorizar como un programa “ABC”— programas de apoyo a la vivienda que combinan ahorros, bonos y crédito y tienen como objetivo movilizar los recursos de los hogares para el mejoramiento o construcción de una vivienda nueva adecuada y a la vez expandir el mercado inmobiliario hacia los quintiles más bajos. El fin último es lograr que los constructores privados se interesen en clientes en la base de la pirámide y producir y comercializar viviendas más económicas. Además, esta operación procura que los hogares más pobres no queden excluidos por el requisito de obtener un préstamo a través de su componente 1, el cual exonera a estos hogares de ese requerimiento. Sin embargo, algunos estudios encuentran que tener un terreno legalizado no aumenta la posibilidad recibir créditos de banco privados (Field y Torero, 2003 y Field, 2005) a pesar de que el título puede aumentar el valor de la vivienda (</w:t>
      </w:r>
      <w:proofErr w:type="spellStart"/>
      <w:r w:rsidRPr="008E3494">
        <w:rPr>
          <w:rFonts w:ascii="Arial" w:eastAsia="Times New Roman" w:hAnsi="Arial" w:cs="Arial"/>
          <w:spacing w:val="-2"/>
          <w:lang w:eastAsia="zh-CN"/>
        </w:rPr>
        <w:t>Lanjouw</w:t>
      </w:r>
      <w:proofErr w:type="spellEnd"/>
      <w:r w:rsidRPr="008E3494">
        <w:rPr>
          <w:rFonts w:ascii="Arial" w:eastAsia="Times New Roman" w:hAnsi="Arial" w:cs="Arial"/>
          <w:spacing w:val="-2"/>
          <w:lang w:eastAsia="zh-CN"/>
        </w:rPr>
        <w:t xml:space="preserve"> y Levy, 2002), e inclusive existe evidencia inicial de que los préstamos hipotecarios privados podrían empobrecer a los hogares en el largo plazo (Marcano y </w:t>
      </w:r>
      <w:proofErr w:type="spellStart"/>
      <w:r w:rsidRPr="008E3494">
        <w:rPr>
          <w:rFonts w:ascii="Arial" w:eastAsia="Times New Roman" w:hAnsi="Arial" w:cs="Arial"/>
          <w:spacing w:val="-2"/>
          <w:lang w:eastAsia="zh-CN"/>
        </w:rPr>
        <w:t>Ruprah</w:t>
      </w:r>
      <w:proofErr w:type="spellEnd"/>
      <w:r w:rsidRPr="008E3494">
        <w:rPr>
          <w:rFonts w:ascii="Arial" w:eastAsia="Times New Roman" w:hAnsi="Arial" w:cs="Arial"/>
          <w:spacing w:val="-2"/>
          <w:lang w:eastAsia="zh-CN"/>
        </w:rPr>
        <w:t xml:space="preserve">, 2011). </w:t>
      </w:r>
    </w:p>
    <w:p w14:paraId="7FDDB14E" w14:textId="77777777" w:rsidR="00F9604D" w:rsidRPr="008E3494" w:rsidRDefault="00F9604D" w:rsidP="00F9604D">
      <w:pPr>
        <w:spacing w:after="0" w:line="240" w:lineRule="auto"/>
        <w:jc w:val="both"/>
        <w:rPr>
          <w:rFonts w:ascii="Arial" w:eastAsia="Times New Roman" w:hAnsi="Arial" w:cs="Arial"/>
          <w:spacing w:val="-2"/>
          <w:lang w:eastAsia="zh-CN"/>
        </w:rPr>
      </w:pPr>
    </w:p>
    <w:p w14:paraId="76E80840" w14:textId="77777777" w:rsidR="00F9604D" w:rsidRPr="008E3494" w:rsidRDefault="00F9604D" w:rsidP="00F9604D">
      <w:pPr>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Debido a la falta de evaluaciones que midan los efectos causales de programas como la actual operación, esta revisión de la literatura se divide en dos secciones. La primera sección resume brevemente la evidencia de impactos de la vivienda en países desarrollados, especialmente en las áreas de salud física y mental de los integrantes del hogar. La segunda parte analiza las iniciativas crecientes para medir los impactos de programas de vivienda básica en varios países latinoamericanos. </w:t>
      </w:r>
    </w:p>
    <w:p w14:paraId="3E917676" w14:textId="77777777" w:rsidR="00F9604D" w:rsidRPr="008E3494" w:rsidRDefault="00F9604D" w:rsidP="00F9604D">
      <w:pPr>
        <w:spacing w:after="0" w:line="240" w:lineRule="auto"/>
        <w:jc w:val="both"/>
        <w:rPr>
          <w:rFonts w:ascii="Arial" w:eastAsia="Times New Roman" w:hAnsi="Arial" w:cs="Arial"/>
          <w:spacing w:val="-2"/>
          <w:lang w:eastAsia="zh-CN"/>
        </w:rPr>
      </w:pPr>
    </w:p>
    <w:p w14:paraId="6D7A6667" w14:textId="77777777" w:rsidR="00F9604D" w:rsidRPr="008E3494" w:rsidRDefault="00F9604D" w:rsidP="00F9604D">
      <w:pPr>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Diversas investigaciones en países desarrollados han encontrado efectos negativos entre condiciones deficientes de vivienda y la salud de las personas, tales como tuberculosis, enfermedad meningocócica, enfermedades digestivas, anemia y otras enfermedades contagiosas (</w:t>
      </w:r>
      <w:proofErr w:type="spellStart"/>
      <w:r w:rsidRPr="008E3494">
        <w:rPr>
          <w:rFonts w:ascii="Arial" w:eastAsia="Times New Roman" w:hAnsi="Arial" w:cs="Arial"/>
          <w:spacing w:val="-2"/>
          <w:lang w:eastAsia="zh-CN"/>
        </w:rPr>
        <w:t>Cassel</w:t>
      </w:r>
      <w:proofErr w:type="spellEnd"/>
      <w:r w:rsidRPr="008E3494">
        <w:rPr>
          <w:rFonts w:ascii="Arial" w:eastAsia="Times New Roman" w:hAnsi="Arial" w:cs="Arial"/>
          <w:spacing w:val="-2"/>
          <w:lang w:eastAsia="zh-CN"/>
        </w:rPr>
        <w:t>, 1979; Smith, 1990; Standard, 1976). Otros estudios han encontrado que bajo ciertas circunstancias, el hacinamiento objetivo y subjetivo pueden llegar a tener efectos adversos en la salud de las personas (</w:t>
      </w:r>
      <w:proofErr w:type="spellStart"/>
      <w:r w:rsidRPr="008E3494">
        <w:rPr>
          <w:rFonts w:ascii="Arial" w:eastAsia="Times New Roman" w:hAnsi="Arial" w:cs="Arial"/>
          <w:spacing w:val="-2"/>
          <w:lang w:eastAsia="zh-CN"/>
        </w:rPr>
        <w:t>Gove</w:t>
      </w:r>
      <w:proofErr w:type="spellEnd"/>
      <w:r w:rsidRPr="008E3494">
        <w:rPr>
          <w:rFonts w:ascii="Arial" w:eastAsia="Times New Roman" w:hAnsi="Arial" w:cs="Arial"/>
          <w:spacing w:val="-2"/>
          <w:lang w:eastAsia="zh-CN"/>
        </w:rPr>
        <w:t xml:space="preserve"> and Hughes, 1983). Varios estudios en ciudades británicas encuentran que ciertas deficiencias en la calidad de la vivienda, como la humedad y presencia de hongos, tiene efectos nocivos en enfermedades respiratorias así como en enfermedades no respiratorias (nausea, vomito, dolores articulares), tanto en niños como en adultos (Byrne, 1986; Martin at al., 1987; Platt et al., 1989 </w:t>
      </w:r>
      <w:proofErr w:type="spellStart"/>
      <w:r w:rsidRPr="008E3494">
        <w:rPr>
          <w:rFonts w:ascii="Arial" w:eastAsia="Times New Roman" w:hAnsi="Arial" w:cs="Arial"/>
          <w:spacing w:val="-2"/>
          <w:lang w:eastAsia="zh-CN"/>
        </w:rPr>
        <w:t>Strachan</w:t>
      </w:r>
      <w:proofErr w:type="spellEnd"/>
      <w:r w:rsidRPr="008E3494">
        <w:rPr>
          <w:rFonts w:ascii="Arial" w:eastAsia="Times New Roman" w:hAnsi="Arial" w:cs="Arial"/>
          <w:spacing w:val="-2"/>
          <w:lang w:eastAsia="zh-CN"/>
        </w:rPr>
        <w:t xml:space="preserve">, 1988;). Además, existe suficiente evidencia empírica que indica que la calidad de la vivienda es importante para la salud psicológica de las personas (Krieger and Higgins, 2002), particularmente para las familias pobre con niños en edad preescolar (Evans at al., 2003). Similarmente, la comunidad médica encuentra conexiones importantes entre el estrés y enfermedades en las personas. Algunas de las enfermedades directamente relacionadas con el estrés son hipertensión, angina </w:t>
      </w:r>
      <w:proofErr w:type="spellStart"/>
      <w:r w:rsidRPr="008E3494">
        <w:rPr>
          <w:rFonts w:ascii="Arial" w:eastAsia="Times New Roman" w:hAnsi="Arial" w:cs="Arial"/>
          <w:spacing w:val="-2"/>
          <w:lang w:eastAsia="zh-CN"/>
        </w:rPr>
        <w:t>pectoris</w:t>
      </w:r>
      <w:proofErr w:type="spellEnd"/>
      <w:r w:rsidRPr="008E3494">
        <w:rPr>
          <w:rFonts w:ascii="Arial" w:eastAsia="Times New Roman" w:hAnsi="Arial" w:cs="Arial"/>
          <w:spacing w:val="-2"/>
          <w:lang w:eastAsia="zh-CN"/>
        </w:rPr>
        <w:t>, infarto cardiaco agudo, úlceras pépticas y colon irritable.  (</w:t>
      </w:r>
      <w:proofErr w:type="spellStart"/>
      <w:r w:rsidRPr="008E3494">
        <w:rPr>
          <w:rFonts w:ascii="Arial" w:eastAsia="Times New Roman" w:hAnsi="Arial" w:cs="Arial"/>
          <w:spacing w:val="-2"/>
          <w:lang w:eastAsia="zh-CN"/>
        </w:rPr>
        <w:t>Booth</w:t>
      </w:r>
      <w:proofErr w:type="spellEnd"/>
      <w:r w:rsidRPr="008E3494">
        <w:rPr>
          <w:rFonts w:ascii="Arial" w:eastAsia="Times New Roman" w:hAnsi="Arial" w:cs="Arial"/>
          <w:spacing w:val="-2"/>
          <w:lang w:eastAsia="zh-CN"/>
        </w:rPr>
        <w:t xml:space="preserve"> y </w:t>
      </w:r>
      <w:proofErr w:type="spellStart"/>
      <w:r w:rsidRPr="008E3494">
        <w:rPr>
          <w:rFonts w:ascii="Arial" w:eastAsia="Times New Roman" w:hAnsi="Arial" w:cs="Arial"/>
          <w:spacing w:val="-2"/>
          <w:lang w:eastAsia="zh-CN"/>
        </w:rPr>
        <w:t>Cowell</w:t>
      </w:r>
      <w:proofErr w:type="spellEnd"/>
      <w:r w:rsidRPr="008E3494">
        <w:rPr>
          <w:rFonts w:ascii="Arial" w:eastAsia="Times New Roman" w:hAnsi="Arial" w:cs="Arial"/>
          <w:spacing w:val="-2"/>
          <w:lang w:eastAsia="zh-CN"/>
        </w:rPr>
        <w:t xml:space="preserve">, 1976). </w:t>
      </w:r>
    </w:p>
    <w:p w14:paraId="0BB77FF2" w14:textId="77777777" w:rsidR="00F9604D" w:rsidRPr="008E3494" w:rsidRDefault="00F9604D" w:rsidP="00F9604D">
      <w:pPr>
        <w:spacing w:after="0" w:line="240" w:lineRule="auto"/>
        <w:jc w:val="both"/>
        <w:rPr>
          <w:rFonts w:ascii="Arial" w:eastAsia="Times New Roman" w:hAnsi="Arial" w:cs="Arial"/>
          <w:spacing w:val="-2"/>
          <w:lang w:eastAsia="zh-CN"/>
        </w:rPr>
      </w:pPr>
    </w:p>
    <w:p w14:paraId="19B42A94" w14:textId="77777777" w:rsidR="00F9604D" w:rsidRPr="008E3494" w:rsidRDefault="00F9604D" w:rsidP="00F9604D">
      <w:pPr>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En países latinoamericano</w:t>
      </w:r>
      <w:r w:rsidR="000B5944" w:rsidRPr="008E3494">
        <w:rPr>
          <w:rFonts w:ascii="Arial" w:eastAsia="Times New Roman" w:hAnsi="Arial" w:cs="Arial"/>
          <w:spacing w:val="-2"/>
          <w:lang w:eastAsia="zh-CN"/>
        </w:rPr>
        <w:t>s</w:t>
      </w:r>
      <w:r w:rsidRPr="008E3494">
        <w:rPr>
          <w:rFonts w:ascii="Arial" w:eastAsia="Times New Roman" w:hAnsi="Arial" w:cs="Arial"/>
          <w:spacing w:val="-2"/>
          <w:lang w:eastAsia="zh-CN"/>
        </w:rPr>
        <w:t xml:space="preserve"> los resultados principales de las evaluaciones de programas de vivienda básica se centran en los impactos de los programas en dos categorías: (i) la calidad e inversión adicional en la vivienda y (ii) las condiciones socio-económicas de los beneficiarios. En lo referente a la calidad de la vivienda, las evaluaciones de impacto encuentran resultados positivos, tanto en los materiales como en acceso a servicios básicos. Por ejemplo, la evaluación experimental de </w:t>
      </w:r>
      <w:proofErr w:type="spellStart"/>
      <w:r w:rsidRPr="008E3494">
        <w:rPr>
          <w:rFonts w:ascii="Arial" w:eastAsia="Times New Roman" w:hAnsi="Arial" w:cs="Arial"/>
          <w:spacing w:val="-2"/>
          <w:lang w:eastAsia="zh-CN"/>
        </w:rPr>
        <w:t>Galiani</w:t>
      </w:r>
      <w:proofErr w:type="spellEnd"/>
      <w:r w:rsidRPr="008E3494">
        <w:rPr>
          <w:rFonts w:ascii="Arial" w:eastAsia="Times New Roman" w:hAnsi="Arial" w:cs="Arial"/>
          <w:spacing w:val="-2"/>
          <w:lang w:eastAsia="zh-CN"/>
        </w:rPr>
        <w:t xml:space="preserve"> et al. (2017) analiza el impacto de donar viviendas nuevas básicas a hogares extremadamente pobres en barrios marginales de El Salvador, México y Uruguay. </w:t>
      </w:r>
      <w:proofErr w:type="spellStart"/>
      <w:r w:rsidRPr="008E3494">
        <w:rPr>
          <w:rFonts w:ascii="Arial" w:eastAsia="Times New Roman" w:hAnsi="Arial" w:cs="Arial"/>
          <w:spacing w:val="-2"/>
          <w:lang w:eastAsia="zh-CN"/>
        </w:rPr>
        <w:t>Galiani</w:t>
      </w:r>
      <w:proofErr w:type="spellEnd"/>
      <w:r w:rsidRPr="008E3494">
        <w:rPr>
          <w:rFonts w:ascii="Arial" w:eastAsia="Times New Roman" w:hAnsi="Arial" w:cs="Arial"/>
          <w:spacing w:val="-2"/>
          <w:lang w:eastAsia="zh-CN"/>
        </w:rPr>
        <w:t xml:space="preserve"> et al. evalúan el impacto del programa llevado a cabo por la organización no gubernamental (ONG) Un Techo para mi País (TECHO) que otorga casas básicas prefabricadas para grupos extremadamente pobres en varios países de América Latina. Aunque estas casas mejoran la calidad del piso, techo y paredes comparado con las viviendas anteriores, no tienen baños, agua corriente, ni cocinas. Debido a que existen más potenciales beneficiarios que el programa puede ayudar, la ONG utiliza un sistema de lotería para escoger a los beneficiarios del programa, lo cual permitió crear un grupo tratamiento y un grupo control aleatoriamente.  Para medir el impacto, los autores utilizan un análisis por intención de tratar (ITT) y encuentran resultados positivos en la calidad de las viviendas y en el bienestar del hogar, particularmente en la satisfacción con su calidad de vida. Sin embargo, la mejora en calidad de la vivienda no conllevó a inversiones complementarias de los hogares. </w:t>
      </w:r>
    </w:p>
    <w:p w14:paraId="2FD22411" w14:textId="77777777" w:rsidR="00F9604D" w:rsidRPr="008E3494" w:rsidRDefault="00F9604D" w:rsidP="00F9604D">
      <w:pPr>
        <w:spacing w:after="0" w:line="240" w:lineRule="auto"/>
        <w:jc w:val="both"/>
        <w:rPr>
          <w:rFonts w:ascii="Arial" w:eastAsia="Times New Roman" w:hAnsi="Arial" w:cs="Arial"/>
          <w:spacing w:val="-2"/>
          <w:lang w:eastAsia="zh-CN"/>
        </w:rPr>
      </w:pPr>
    </w:p>
    <w:p w14:paraId="2BBE71C6" w14:textId="77777777" w:rsidR="00F9604D" w:rsidRPr="008E3494" w:rsidRDefault="00F9604D" w:rsidP="00F9604D">
      <w:pPr>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Similarmente, Marcano y </w:t>
      </w:r>
      <w:proofErr w:type="spellStart"/>
      <w:r w:rsidRPr="008E3494">
        <w:rPr>
          <w:rFonts w:ascii="Arial" w:eastAsia="Times New Roman" w:hAnsi="Arial" w:cs="Arial"/>
          <w:spacing w:val="-2"/>
          <w:lang w:eastAsia="zh-CN"/>
        </w:rPr>
        <w:t>Ruprah</w:t>
      </w:r>
      <w:proofErr w:type="spellEnd"/>
      <w:r w:rsidRPr="008E3494">
        <w:rPr>
          <w:rFonts w:ascii="Arial" w:eastAsia="Times New Roman" w:hAnsi="Arial" w:cs="Arial"/>
          <w:spacing w:val="-2"/>
          <w:lang w:eastAsia="zh-CN"/>
        </w:rPr>
        <w:t xml:space="preserve"> (2008) evalúan un programa de vivienda que se asemeja más al programa implementado en Ecuador, particularmente en la focalización y tipo de vivienda construida. Marcano y </w:t>
      </w:r>
      <w:proofErr w:type="spellStart"/>
      <w:r w:rsidRPr="008E3494">
        <w:rPr>
          <w:rFonts w:ascii="Arial" w:eastAsia="Times New Roman" w:hAnsi="Arial" w:cs="Arial"/>
          <w:spacing w:val="-2"/>
          <w:lang w:eastAsia="zh-CN"/>
        </w:rPr>
        <w:t>Ruprah</w:t>
      </w:r>
      <w:proofErr w:type="spellEnd"/>
      <w:r w:rsidRPr="008E3494">
        <w:rPr>
          <w:rFonts w:ascii="Arial" w:eastAsia="Times New Roman" w:hAnsi="Arial" w:cs="Arial"/>
          <w:spacing w:val="-2"/>
          <w:lang w:eastAsia="zh-CN"/>
        </w:rPr>
        <w:t xml:space="preserve"> (2008) realizan una evaluación de procesos y de impacto para evaluar el Programa de Vivienda Progresiva implementado en Chile durante los años 90. La intervención consistió en un paquete de ahorro, bono y crédito para familias de los dos quintiles más bajos. La evaluación de procesos encuentra que el programa tuvo serios problemas de cobertura y “filtraciones” de personas que no calificaban al programa. Además, los beneficios de </w:t>
      </w:r>
      <w:r w:rsidRPr="008E3494">
        <w:rPr>
          <w:rFonts w:ascii="Arial" w:eastAsia="Times New Roman" w:hAnsi="Arial" w:cs="Arial"/>
          <w:spacing w:val="-2"/>
          <w:lang w:eastAsia="zh-CN"/>
        </w:rPr>
        <w:lastRenderedPageBreak/>
        <w:t xml:space="preserve">una vivienda básica no fueron sostenibles en el tiempo ya que muchos hogares recayeron en déficit habitacional después de un tiempo. En la evaluación de impacto cuasi-experimental, los investigadores combinan dos métodos para construir un grupo control. El primer método (pipeline) identifica a los solicitantes del programa que todavía no habían recibido la intervención y el segundo método utiliza una técnica de emparejamiento usando “el vecino más cercano” (nivelación por puntaje de propensión) para crear un grupo control que comparta el mayor número de características posibles con los beneficiarios. Luego se realizó una estimación entre-sujetos del efecto del tratamiento. Los resultados en cuanto a la calidad de la vivienda indican que el programa aumentó el porcentaje de viviendas con acceso a agua potable, alcantarillado, electricidad y mejoró la calidad de los pisos, techos y paredes, pero los autores no analizaron si hubo inversiones complementarias por parte de los hogares. </w:t>
      </w:r>
    </w:p>
    <w:p w14:paraId="441F8B5A" w14:textId="77777777" w:rsidR="00F9604D" w:rsidRPr="008E3494" w:rsidRDefault="00F9604D" w:rsidP="00F9604D">
      <w:pPr>
        <w:spacing w:after="0" w:line="240" w:lineRule="auto"/>
        <w:jc w:val="both"/>
        <w:rPr>
          <w:rFonts w:ascii="Arial" w:eastAsia="Times New Roman" w:hAnsi="Arial" w:cs="Arial"/>
          <w:spacing w:val="-2"/>
          <w:lang w:eastAsia="zh-CN"/>
        </w:rPr>
      </w:pPr>
    </w:p>
    <w:p w14:paraId="0931CE0C" w14:textId="77777777" w:rsidR="00F9604D" w:rsidRPr="008E3494" w:rsidRDefault="00F9604D" w:rsidP="00F9604D">
      <w:pPr>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Para analizar los posibles motivos de falta de inversión adicional en la vivienda por parte de los hogares, analizamos las evaluaciones de impacto de otro tipo de intervenciones. En México, </w:t>
      </w:r>
      <w:proofErr w:type="spellStart"/>
      <w:r w:rsidRPr="008E3494">
        <w:rPr>
          <w:rFonts w:ascii="Arial" w:eastAsia="Times New Roman" w:hAnsi="Arial" w:cs="Arial"/>
          <w:spacing w:val="-2"/>
          <w:lang w:eastAsia="zh-CN"/>
        </w:rPr>
        <w:t>Cattaneo</w:t>
      </w:r>
      <w:proofErr w:type="spellEnd"/>
      <w:r w:rsidRPr="008E3494">
        <w:rPr>
          <w:rFonts w:ascii="Arial" w:eastAsia="Times New Roman" w:hAnsi="Arial" w:cs="Arial"/>
          <w:spacing w:val="-2"/>
          <w:lang w:eastAsia="zh-CN"/>
        </w:rPr>
        <w:t xml:space="preserve"> et al. (2009) encuentran que un programa de mejora de pisos de tierra a cemento no supuso ningún otro tipo de mejora de vivienda por parte de los beneficiarios. Estos resultados contrastan con las evaluaciones de Field (2005) y </w:t>
      </w:r>
      <w:proofErr w:type="spellStart"/>
      <w:r w:rsidRPr="008E3494">
        <w:rPr>
          <w:rFonts w:ascii="Arial" w:eastAsia="Times New Roman" w:hAnsi="Arial" w:cs="Arial"/>
          <w:spacing w:val="-2"/>
          <w:lang w:eastAsia="zh-CN"/>
        </w:rPr>
        <w:t>Galiani</w:t>
      </w:r>
      <w:proofErr w:type="spellEnd"/>
      <w:r w:rsidRPr="008E3494">
        <w:rPr>
          <w:rFonts w:ascii="Arial" w:eastAsia="Times New Roman" w:hAnsi="Arial" w:cs="Arial"/>
          <w:spacing w:val="-2"/>
          <w:lang w:eastAsia="zh-CN"/>
        </w:rPr>
        <w:t xml:space="preserve"> y </w:t>
      </w:r>
      <w:proofErr w:type="spellStart"/>
      <w:r w:rsidRPr="008E3494">
        <w:rPr>
          <w:rFonts w:ascii="Arial" w:eastAsia="Times New Roman" w:hAnsi="Arial" w:cs="Arial"/>
          <w:spacing w:val="-2"/>
          <w:lang w:eastAsia="zh-CN"/>
        </w:rPr>
        <w:t>Schargrodsky</w:t>
      </w:r>
      <w:proofErr w:type="spellEnd"/>
      <w:r w:rsidRPr="008E3494">
        <w:rPr>
          <w:rFonts w:ascii="Arial" w:eastAsia="Times New Roman" w:hAnsi="Arial" w:cs="Arial"/>
          <w:spacing w:val="-2"/>
          <w:lang w:eastAsia="zh-CN"/>
        </w:rPr>
        <w:t xml:space="preserve"> (2010) que encuentran efectos positivos en inversión de vivienda con programas de legalización de tierras en Perú y Argentina. </w:t>
      </w:r>
      <w:proofErr w:type="spellStart"/>
      <w:r w:rsidRPr="008E3494">
        <w:rPr>
          <w:rFonts w:ascii="Arial" w:eastAsia="Times New Roman" w:hAnsi="Arial" w:cs="Arial"/>
          <w:spacing w:val="-2"/>
          <w:lang w:eastAsia="zh-CN"/>
        </w:rPr>
        <w:t>Galiani</w:t>
      </w:r>
      <w:proofErr w:type="spellEnd"/>
      <w:r w:rsidRPr="008E3494">
        <w:rPr>
          <w:rFonts w:ascii="Arial" w:eastAsia="Times New Roman" w:hAnsi="Arial" w:cs="Arial"/>
          <w:spacing w:val="-2"/>
          <w:lang w:eastAsia="zh-CN"/>
        </w:rPr>
        <w:t xml:space="preserve"> et al. (2017) sugieren que el efecto de la mejora de las viviendas en ausencia de titulación del terreno neutraliza cualquier incentivo que los beneficiarios puedan tener para continuar el mejoramiento de las viviendas.</w:t>
      </w:r>
    </w:p>
    <w:p w14:paraId="56BA475F" w14:textId="77777777" w:rsidR="00F9604D" w:rsidRPr="008E3494" w:rsidRDefault="00F9604D" w:rsidP="00F9604D">
      <w:pPr>
        <w:spacing w:after="0" w:line="240" w:lineRule="auto"/>
        <w:jc w:val="both"/>
        <w:rPr>
          <w:rFonts w:ascii="Arial" w:eastAsia="Times New Roman" w:hAnsi="Arial" w:cs="Arial"/>
          <w:spacing w:val="-2"/>
          <w:lang w:eastAsia="zh-CN"/>
        </w:rPr>
      </w:pPr>
    </w:p>
    <w:p w14:paraId="4350FD60" w14:textId="77777777" w:rsidR="00F9604D" w:rsidRPr="008E3494" w:rsidRDefault="00F9604D" w:rsidP="00F9604D">
      <w:pPr>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En cuanto al impacto en las condiciones socio-económicas de los hogares, los resultados son variados. </w:t>
      </w:r>
      <w:proofErr w:type="spellStart"/>
      <w:r w:rsidRPr="008E3494">
        <w:rPr>
          <w:rFonts w:ascii="Arial" w:eastAsia="Times New Roman" w:hAnsi="Arial" w:cs="Arial"/>
          <w:spacing w:val="-2"/>
          <w:lang w:eastAsia="zh-CN"/>
        </w:rPr>
        <w:t>Galiani</w:t>
      </w:r>
      <w:proofErr w:type="spellEnd"/>
      <w:r w:rsidRPr="008E3494">
        <w:rPr>
          <w:rFonts w:ascii="Arial" w:eastAsia="Times New Roman" w:hAnsi="Arial" w:cs="Arial"/>
          <w:spacing w:val="-2"/>
          <w:lang w:eastAsia="zh-CN"/>
        </w:rPr>
        <w:t xml:space="preserve"> et al. (2017) no encontraron efectos en el nivel de ingresos de los hogares, su situación laboral, o en la posesión de bienes duraderos.  Sin embargo, encontraron efectos positivos en salud en El Salvador y México donde disminuyó la prevalencia de diarrea en los menores de 5 años. En Uruguay no se encontró efectos en ninguno de los indicadores de salud probablemente porque las viviendas iniciales estaban en una mejor situación comparado con los otros dos países. Esto concuerda con otros estudios que encuentran que la mejora de pisos de tierra disminuye la incidencia de enfermedades parasitarias, diarrea y anemia en niños menores de 5 años (</w:t>
      </w:r>
      <w:proofErr w:type="spellStart"/>
      <w:r w:rsidRPr="008E3494">
        <w:rPr>
          <w:rFonts w:ascii="Arial" w:eastAsia="Times New Roman" w:hAnsi="Arial" w:cs="Arial"/>
          <w:spacing w:val="-2"/>
          <w:lang w:eastAsia="zh-CN"/>
        </w:rPr>
        <w:t>Cattaneo</w:t>
      </w:r>
      <w:proofErr w:type="spellEnd"/>
      <w:r w:rsidRPr="008E3494">
        <w:rPr>
          <w:rFonts w:ascii="Arial" w:eastAsia="Times New Roman" w:hAnsi="Arial" w:cs="Arial"/>
          <w:spacing w:val="-2"/>
          <w:lang w:eastAsia="zh-CN"/>
        </w:rPr>
        <w:t xml:space="preserve"> et al. 2009). Marcano y </w:t>
      </w:r>
      <w:proofErr w:type="spellStart"/>
      <w:r w:rsidRPr="008E3494">
        <w:rPr>
          <w:rFonts w:ascii="Arial" w:eastAsia="Times New Roman" w:hAnsi="Arial" w:cs="Arial"/>
          <w:spacing w:val="-2"/>
          <w:lang w:eastAsia="zh-CN"/>
        </w:rPr>
        <w:t>Ruprah</w:t>
      </w:r>
      <w:proofErr w:type="spellEnd"/>
      <w:r w:rsidRPr="008E3494">
        <w:rPr>
          <w:rFonts w:ascii="Arial" w:eastAsia="Times New Roman" w:hAnsi="Arial" w:cs="Arial"/>
          <w:spacing w:val="-2"/>
          <w:lang w:eastAsia="zh-CN"/>
        </w:rPr>
        <w:t xml:space="preserve"> (2008) tampoco identificaron efectos en tasas de ocupación del hogar, niveles de indigencia, pobreza, ni en los niveles de desnutrición infantil. </w:t>
      </w:r>
    </w:p>
    <w:p w14:paraId="15151B01" w14:textId="77777777" w:rsidR="00F9604D" w:rsidRPr="008E3494" w:rsidRDefault="00F9604D" w:rsidP="00F9604D">
      <w:pPr>
        <w:spacing w:after="0" w:line="240" w:lineRule="auto"/>
        <w:jc w:val="both"/>
        <w:rPr>
          <w:rFonts w:ascii="Arial" w:eastAsia="Times New Roman" w:hAnsi="Arial" w:cs="Arial"/>
          <w:spacing w:val="-2"/>
          <w:lang w:eastAsia="zh-CN"/>
        </w:rPr>
      </w:pPr>
    </w:p>
    <w:p w14:paraId="65B9A1A5" w14:textId="77777777" w:rsidR="00F9604D" w:rsidRPr="008E3494" w:rsidRDefault="00F9604D" w:rsidP="00F9604D">
      <w:pPr>
        <w:spacing w:after="0" w:line="240" w:lineRule="auto"/>
        <w:jc w:val="both"/>
        <w:rPr>
          <w:rFonts w:ascii="Arial" w:eastAsia="Times New Roman" w:hAnsi="Arial" w:cs="Arial"/>
          <w:spacing w:val="-2"/>
          <w:lang w:eastAsia="zh-CN"/>
        </w:rPr>
      </w:pPr>
      <w:r w:rsidRPr="008E3494">
        <w:rPr>
          <w:rFonts w:ascii="Arial" w:eastAsia="Times New Roman" w:hAnsi="Arial" w:cs="Arial"/>
          <w:spacing w:val="-2"/>
          <w:lang w:eastAsia="zh-CN"/>
        </w:rPr>
        <w:t xml:space="preserve">Finalmente, </w:t>
      </w:r>
      <w:proofErr w:type="spellStart"/>
      <w:r w:rsidRPr="008E3494">
        <w:rPr>
          <w:rFonts w:ascii="Arial" w:eastAsia="Times New Roman" w:hAnsi="Arial" w:cs="Arial"/>
          <w:spacing w:val="-2"/>
          <w:lang w:eastAsia="zh-CN"/>
        </w:rPr>
        <w:t>Galiani</w:t>
      </w:r>
      <w:proofErr w:type="spellEnd"/>
      <w:r w:rsidRPr="008E3494">
        <w:rPr>
          <w:rFonts w:ascii="Arial" w:eastAsia="Times New Roman" w:hAnsi="Arial" w:cs="Arial"/>
          <w:spacing w:val="-2"/>
          <w:lang w:eastAsia="zh-CN"/>
        </w:rPr>
        <w:t xml:space="preserve"> et al. (2017) encontraron efectos positivos en el nivel de seguridad que reportaron los hogares en El Salvador, pero no hubo efectos en los otros dos países. Los hogares reportaron sentirse más seguros cuando están dentro de la vivienda y al salir de la casa y dejar a menores solos dentro de la casa. En ninguno de los países hubo un efecto en los niveles de robos a las viviendas. Otros estudios han encontrado que el aumento de en estos indicadores de seguridad permite a los adultos trabajar más horas fuera de la vivienda (Field, 2007), sin embargo, estos cambios fueron asociados a programas de legalización de tierras que redujeron el miedo de desalojo de los hogares.  </w:t>
      </w:r>
    </w:p>
    <w:p w14:paraId="1D7B1E32" w14:textId="77777777" w:rsidR="00F9604D" w:rsidRPr="008E3494" w:rsidRDefault="00F9604D" w:rsidP="00F9604D">
      <w:pPr>
        <w:spacing w:after="0" w:line="240" w:lineRule="auto"/>
        <w:rPr>
          <w:rFonts w:ascii="Arial" w:hAnsi="Arial" w:cs="Arial"/>
        </w:rPr>
      </w:pPr>
    </w:p>
    <w:p w14:paraId="1742232E" w14:textId="02DE0D2E" w:rsidR="00AA6EC7" w:rsidRPr="008E3494" w:rsidRDefault="007F5B37" w:rsidP="00181B8D">
      <w:pPr>
        <w:pStyle w:val="Heading3"/>
      </w:pPr>
      <w:bookmarkStart w:id="14" w:name="_Toc1373068"/>
      <w:r w:rsidRPr="008E3494">
        <w:t>Pregunta de evaluación</w:t>
      </w:r>
      <w:bookmarkEnd w:id="14"/>
    </w:p>
    <w:p w14:paraId="316E22E1" w14:textId="77777777" w:rsidR="000B7F6B" w:rsidRPr="008E3494" w:rsidRDefault="000B7F6B" w:rsidP="000B7F6B">
      <w:pPr>
        <w:jc w:val="both"/>
        <w:rPr>
          <w:rFonts w:ascii="Arial" w:hAnsi="Arial" w:cs="Arial"/>
        </w:rPr>
      </w:pPr>
    </w:p>
    <w:p w14:paraId="326ECA1B" w14:textId="63C90267" w:rsidR="000B7F6B" w:rsidRPr="008E3494" w:rsidRDefault="000B7F6B" w:rsidP="00B652F4">
      <w:pPr>
        <w:jc w:val="both"/>
        <w:rPr>
          <w:rFonts w:ascii="Arial" w:hAnsi="Arial" w:cs="Arial"/>
        </w:rPr>
      </w:pPr>
      <w:r w:rsidRPr="008E3494">
        <w:rPr>
          <w:rFonts w:ascii="Arial" w:hAnsi="Arial" w:cs="Arial"/>
        </w:rPr>
        <w:t xml:space="preserve">El objetivo primordial del programa de vivienda “Casa para Todos”, es el de alcanzar una mejora en el bienestar de la población elegible, mediante el acceso a soluciones habitacionales nuevas y asequibles en áreas rurales y urbano-marginales. En ese sentido, la pregunta de evaluación central es: ¿Cuál es la mejora en salud física y mental, satisfacción habitacional, y consumo familiar, que se puede atribuir al acceso de vivienda nueva para familias ecuatorianas en estado </w:t>
      </w:r>
      <w:r w:rsidRPr="008E3494">
        <w:rPr>
          <w:rFonts w:ascii="Arial" w:hAnsi="Arial" w:cs="Arial"/>
        </w:rPr>
        <w:lastRenderedPageBreak/>
        <w:t>de vulnerabilidad? En las siguientes secciones se detallan los indicadores de impacto, como la estrategia empírica a implementar para dar respuesta a este interrogante.</w:t>
      </w:r>
    </w:p>
    <w:p w14:paraId="5F4C6C55" w14:textId="77777777" w:rsidR="00AA6EC7" w:rsidRPr="008E3494" w:rsidRDefault="00AA6EC7" w:rsidP="00F9604D">
      <w:pPr>
        <w:spacing w:after="0" w:line="240" w:lineRule="auto"/>
        <w:rPr>
          <w:rFonts w:ascii="Arial" w:hAnsi="Arial" w:cs="Arial"/>
        </w:rPr>
      </w:pPr>
    </w:p>
    <w:p w14:paraId="11E4E3CE" w14:textId="77777777" w:rsidR="00AA6EC7" w:rsidRPr="008E3494" w:rsidRDefault="007F5B37" w:rsidP="00181B8D">
      <w:pPr>
        <w:pStyle w:val="Heading3"/>
      </w:pPr>
      <w:r w:rsidRPr="008E3494">
        <w:rPr>
          <w:lang w:val="es-419"/>
        </w:rPr>
        <w:t xml:space="preserve"> </w:t>
      </w:r>
      <w:bookmarkStart w:id="15" w:name="_Toc1373069"/>
      <w:r w:rsidRPr="008E3494">
        <w:t>Metodología de evaluación</w:t>
      </w:r>
      <w:bookmarkEnd w:id="15"/>
    </w:p>
    <w:p w14:paraId="67881907" w14:textId="77777777" w:rsidR="000B7F6B" w:rsidRPr="008E3494" w:rsidRDefault="000B7F6B" w:rsidP="00F9604D">
      <w:pPr>
        <w:spacing w:after="0" w:line="240" w:lineRule="auto"/>
        <w:rPr>
          <w:rFonts w:ascii="Arial" w:hAnsi="Arial" w:cs="Arial"/>
          <w:b/>
        </w:rPr>
      </w:pPr>
    </w:p>
    <w:p w14:paraId="40A343B4" w14:textId="77777777" w:rsidR="006861E2" w:rsidRPr="008E3494" w:rsidRDefault="006861E2" w:rsidP="006861E2">
      <w:pPr>
        <w:jc w:val="both"/>
        <w:rPr>
          <w:rFonts w:ascii="Arial" w:hAnsi="Arial" w:cs="Arial"/>
          <w:lang w:val="es-419"/>
        </w:rPr>
      </w:pPr>
      <w:r w:rsidRPr="008E3494">
        <w:rPr>
          <w:rFonts w:ascii="Arial" w:hAnsi="Arial" w:cs="Arial"/>
          <w:lang w:val="es-419"/>
        </w:rPr>
        <w:t>Una de las dificultades a superar en cuanto a la evaluación de impacto de programas sociales es el hecho que un hogar elegible solo es observado en uno de dos estatus posibles: El hogar pertenece al grupo tratamiento, o pertenece al grupo control, pero no puede observarse en ambos estados al mismo tiempo. En consecuencia, la metodología que se sugiere en esta sección busca construir un contrafactual que permita medir los resultados de hogares tratados, si no se hubiesen beneficiado del programa.</w:t>
      </w:r>
    </w:p>
    <w:p w14:paraId="52693698" w14:textId="77777777" w:rsidR="006861E2" w:rsidRPr="008E3494" w:rsidRDefault="006861E2" w:rsidP="006861E2">
      <w:pPr>
        <w:jc w:val="both"/>
        <w:rPr>
          <w:rFonts w:ascii="Arial" w:hAnsi="Arial" w:cs="Arial"/>
          <w:lang w:val="es-419"/>
        </w:rPr>
      </w:pPr>
      <w:r w:rsidRPr="008E3494">
        <w:rPr>
          <w:rFonts w:ascii="Arial" w:hAnsi="Arial" w:cs="Arial"/>
          <w:lang w:val="es-419"/>
        </w:rPr>
        <w:t xml:space="preserve">Una primera manera para medir el contrafactual señalado anteriormente es mediante un proceso de aleatorización simple, donde mediante un sorteo a la mitad de los hogares elegibles se les otorga el programa y a la otra mitad no. Es de esperar que las características observables y no observables de los hogares se distribuyan uniformemente entre grupos tratamiento y control. En ese sentido, un promedio simple entre hogares tratados y no tratados permite identificar el efecto promedio del tratamiento sobre los tratados (ATT). </w:t>
      </w:r>
    </w:p>
    <w:p w14:paraId="296035C5" w14:textId="77777777" w:rsidR="006861E2" w:rsidRPr="008E3494" w:rsidRDefault="006861E2" w:rsidP="006861E2">
      <w:pPr>
        <w:jc w:val="both"/>
        <w:rPr>
          <w:rFonts w:ascii="Arial" w:hAnsi="Arial" w:cs="Arial"/>
          <w:lang w:val="es-419"/>
        </w:rPr>
      </w:pPr>
      <w:r w:rsidRPr="008E3494">
        <w:rPr>
          <w:rFonts w:ascii="Arial" w:hAnsi="Arial" w:cs="Arial"/>
          <w:lang w:val="es-419"/>
        </w:rPr>
        <w:t xml:space="preserve">No obstante, las particularidades del programa en cuestión imposibilitan un diseño puramente experimental. En primer lugar, el programa busca focalizar la ayuda en distintos subgrupos dentro de las familias elegibles con distintos grados de prioridad. En segundo lugar, intermediarios constructores y familias potencialmente elegibles pueden coordinar sus esfuerzos para la asignación del tratamiento, de modos difícilmente observables por el investigador. En otras palabras, familias elegibles que reciben la ayuda podrían diferir de las familias elegibles que inicialmente no la reciben en aspectos no-observables que podrían sesgar la estimación del efecto causal. En tercer lugar, las condiciones de los hogares y su respuesta al tratamiento pueden diferir dependiendo de si estos hogares participan del componente 1 u 2 del programa de vivienda. </w:t>
      </w:r>
    </w:p>
    <w:p w14:paraId="6AFB8428" w14:textId="77777777" w:rsidR="006861E2" w:rsidRPr="008E3494" w:rsidRDefault="006861E2" w:rsidP="006861E2">
      <w:pPr>
        <w:jc w:val="both"/>
        <w:rPr>
          <w:rStyle w:val="Strong"/>
        </w:rPr>
      </w:pPr>
      <w:r w:rsidRPr="008E3494">
        <w:rPr>
          <w:rStyle w:val="Strong"/>
        </w:rPr>
        <w:t>LEVANTAMIENTO DE LA LINEA BASE</w:t>
      </w:r>
    </w:p>
    <w:p w14:paraId="4E09D835" w14:textId="77777777" w:rsidR="006861E2" w:rsidRPr="008E3494" w:rsidRDefault="006861E2" w:rsidP="006861E2">
      <w:pPr>
        <w:jc w:val="both"/>
        <w:rPr>
          <w:rFonts w:ascii="Arial" w:hAnsi="Arial" w:cs="Arial"/>
          <w:lang w:val="es-419"/>
        </w:rPr>
      </w:pPr>
      <w:r w:rsidRPr="008E3494">
        <w:rPr>
          <w:rFonts w:ascii="Arial" w:hAnsi="Arial" w:cs="Arial"/>
          <w:lang w:val="es-419"/>
        </w:rPr>
        <w:t>Uno de los objetivos del programa es la adjudicación de subsidios de vivienda a población vulnerable en áreas rurales y urbanas marginales. Esta diferenciación es importante puesto que determinara la manera como la población elegible interesada en aplicar puede ser identificada por parte de las autoridades competentes, en este caso por el MIDUVI</w:t>
      </w:r>
    </w:p>
    <w:p w14:paraId="6AB855D3" w14:textId="6201CDD6" w:rsidR="006861E2" w:rsidRPr="008E3494" w:rsidRDefault="006861E2" w:rsidP="006861E2">
      <w:pPr>
        <w:numPr>
          <w:ilvl w:val="0"/>
          <w:numId w:val="20"/>
        </w:numPr>
        <w:jc w:val="both"/>
        <w:rPr>
          <w:rFonts w:ascii="Arial" w:hAnsi="Arial" w:cs="Arial"/>
          <w:lang w:val="es-419"/>
        </w:rPr>
      </w:pPr>
      <w:r w:rsidRPr="008E3494">
        <w:rPr>
          <w:rFonts w:ascii="Arial" w:hAnsi="Arial" w:cs="Arial"/>
          <w:lang w:val="es-419"/>
        </w:rPr>
        <w:t xml:space="preserve">Área Urbana: La línea base se construye a partir de la convocatoria pública que realice el MIDUVI por diferentes medios de comunicación. Una vez el programa de vivienda es de conocimiento común por parte de la ciudadanía, aquellas familias interesadas en aplicar podrán hacerlo a través de la </w:t>
      </w:r>
      <w:r w:rsidR="0012236B" w:rsidRPr="008E3494">
        <w:rPr>
          <w:rFonts w:ascii="Arial" w:hAnsi="Arial" w:cs="Arial"/>
          <w:lang w:val="es-419"/>
        </w:rPr>
        <w:t>página</w:t>
      </w:r>
      <w:r w:rsidRPr="008E3494">
        <w:rPr>
          <w:rFonts w:ascii="Arial" w:hAnsi="Arial" w:cs="Arial"/>
          <w:lang w:val="es-419"/>
        </w:rPr>
        <w:t xml:space="preserve"> web del </w:t>
      </w:r>
      <w:r w:rsidR="0012236B">
        <w:rPr>
          <w:rFonts w:ascii="Arial" w:hAnsi="Arial" w:cs="Arial"/>
          <w:lang w:val="es-419"/>
        </w:rPr>
        <w:t>programa Casa Para Todos</w:t>
      </w:r>
      <w:r w:rsidRPr="008E3494">
        <w:rPr>
          <w:rFonts w:ascii="Arial" w:hAnsi="Arial" w:cs="Arial"/>
          <w:lang w:val="es-419"/>
        </w:rPr>
        <w:t>. El MIDUVI tiene la responsabilidad de garantizar que las familias interesadas cumplan con los criterios de elegibilidad mínimos para acceder al programa de subsidio. Una vez vencido el plazo de preinscripción y elegibilidad, el MIDUVI contar</w:t>
      </w:r>
      <w:r w:rsidR="0012236B">
        <w:rPr>
          <w:rFonts w:ascii="Arial" w:hAnsi="Arial" w:cs="Arial"/>
          <w:lang w:val="es-419"/>
        </w:rPr>
        <w:t>á</w:t>
      </w:r>
      <w:r w:rsidRPr="008E3494">
        <w:rPr>
          <w:rFonts w:ascii="Arial" w:hAnsi="Arial" w:cs="Arial"/>
          <w:lang w:val="es-419"/>
        </w:rPr>
        <w:t xml:space="preserve"> con una base de datos que puede utilizar para implementar el instrumento de medición que permita evaluar las </w:t>
      </w:r>
      <w:r w:rsidRPr="008E3494">
        <w:rPr>
          <w:rFonts w:ascii="Arial" w:hAnsi="Arial" w:cs="Arial"/>
          <w:lang w:val="es-419"/>
        </w:rPr>
        <w:lastRenderedPageBreak/>
        <w:t>características de las familias antes de que el programa entre en vigor. También, esta lista le permitirá al MIDUVI contrastar la información compartida por los intermediarios constructores en cuanto a las familias elegibles que desean realizar su estatus de beneficiarios bajo su gestión. En otras palabras, las familias elegibles que quieran adquirir su vivienda nueva bajo un constructor particular deben estar presentes en las bases de datos del MIDUVI.</w:t>
      </w:r>
    </w:p>
    <w:p w14:paraId="3CC1610F" w14:textId="77777777" w:rsidR="006861E2" w:rsidRPr="008E3494" w:rsidRDefault="006861E2" w:rsidP="006861E2">
      <w:pPr>
        <w:numPr>
          <w:ilvl w:val="0"/>
          <w:numId w:val="20"/>
        </w:numPr>
        <w:jc w:val="both"/>
        <w:rPr>
          <w:rFonts w:ascii="Arial" w:hAnsi="Arial" w:cs="Arial"/>
          <w:lang w:val="es-419"/>
        </w:rPr>
      </w:pPr>
      <w:r w:rsidRPr="008E3494">
        <w:rPr>
          <w:rFonts w:ascii="Arial" w:hAnsi="Arial" w:cs="Arial"/>
          <w:lang w:val="es-419"/>
        </w:rPr>
        <w:t xml:space="preserve">Área Rural: Los intermediarios constructores se encargarán de contactar la población interesada que se encuentre dentro de los criterios de elegibilidad, para mediar en la inscripción y aplicación del programa al MIDUVI. Una vez el MIDUVI revisa el perfil de los aplicantes, procede a incluirlos en la base de datos para implementar la encuesta de línea base. Es importante recordar que este proceso puede ser imperfecto cuanto puede existir un conflicto de intereses entre el intermediario constructor y los potenciales beneficiarios del programa. Por otra parte, los criterios que usen los intermediarios constructores para atraer familias elegibles no podrán ser observados, ni en la línea base, ni en encuestas posteriores. Adicionalmente, el emparejamiento entre intermediarios constructores y población elegible puede estar determinada por variables no observadas que el </w:t>
      </w:r>
      <w:proofErr w:type="spellStart"/>
      <w:r w:rsidRPr="008E3494">
        <w:rPr>
          <w:rFonts w:ascii="Arial" w:hAnsi="Arial" w:cs="Arial"/>
          <w:lang w:val="es-419"/>
        </w:rPr>
        <w:t>econometrista</w:t>
      </w:r>
      <w:proofErr w:type="spellEnd"/>
      <w:r w:rsidRPr="008E3494">
        <w:rPr>
          <w:rFonts w:ascii="Arial" w:hAnsi="Arial" w:cs="Arial"/>
          <w:lang w:val="es-419"/>
        </w:rPr>
        <w:t xml:space="preserve"> no podrá observar ni controlar, generando un potencial sesgo en los estimadores.</w:t>
      </w:r>
    </w:p>
    <w:p w14:paraId="167E7F67" w14:textId="77777777" w:rsidR="000B7F6B" w:rsidRPr="008E3494" w:rsidRDefault="000B7F6B" w:rsidP="000B7F6B">
      <w:pPr>
        <w:jc w:val="both"/>
        <w:rPr>
          <w:rStyle w:val="Strong"/>
        </w:rPr>
      </w:pPr>
      <w:r w:rsidRPr="008E3494">
        <w:rPr>
          <w:rStyle w:val="Strong"/>
        </w:rPr>
        <w:t>METODOLOGIA PARA LA EVALUACION DE IMPACTO – COMPONENTE 1</w:t>
      </w:r>
    </w:p>
    <w:p w14:paraId="0DEA5DF3" w14:textId="77777777" w:rsidR="000B7F6B" w:rsidRPr="008E3494" w:rsidRDefault="000B7F6B" w:rsidP="000B7F6B">
      <w:pPr>
        <w:jc w:val="both"/>
        <w:rPr>
          <w:rFonts w:ascii="Arial" w:hAnsi="Arial" w:cs="Arial"/>
        </w:rPr>
      </w:pPr>
      <w:r w:rsidRPr="008E3494">
        <w:rPr>
          <w:rFonts w:ascii="Arial" w:hAnsi="Arial" w:cs="Arial"/>
        </w:rPr>
        <w:t xml:space="preserve">Bajo el componente 1, las familias elegibles que cuentan con terreno propio y cierta capacidad de ahorro reciben un subsidio para construcción de vivienda nueva. Teniendo en cuenta que intermediarios constructores y familias elegibles bajo este esquema pueden coordinar sus esfuerzos para recibir y ejecutar dichos subsidios, la asignación deja de ser aleatoria. </w:t>
      </w:r>
    </w:p>
    <w:p w14:paraId="7322EA59" w14:textId="77777777" w:rsidR="000B7F6B" w:rsidRPr="008E3494" w:rsidRDefault="000B7F6B" w:rsidP="000B7F6B">
      <w:pPr>
        <w:jc w:val="both"/>
        <w:rPr>
          <w:rFonts w:ascii="Arial" w:hAnsi="Arial" w:cs="Arial"/>
        </w:rPr>
      </w:pPr>
      <w:r w:rsidRPr="008E3494">
        <w:rPr>
          <w:rFonts w:ascii="Arial" w:hAnsi="Arial" w:cs="Arial"/>
        </w:rPr>
        <w:t>Para estimar el efecto causal del programa y aislar las características no observables de dichos hogares, se sugiere comparar a los hogares beneficiarios con hogares elegibles, que serán beneficiados, pero que al momento de la evaluación no cuentan con vivienda propia. Esta diferencia de estatus (i.e. ser parte del grupo control o tratamiento) puede ocurrir por demoras en la ejecución de los proyectos habitacionales, variación en los tiempos de aplicación y otorgamiento del subsidio, y por el grado de motivación de ciertas familias en cubrir los requisitos para aplicar y acceder al programa, entre otras razones.</w:t>
      </w:r>
    </w:p>
    <w:p w14:paraId="1D854594" w14:textId="61E5651B" w:rsidR="000B7F6B" w:rsidRPr="008E3494" w:rsidRDefault="000B7F6B" w:rsidP="000B7F6B">
      <w:pPr>
        <w:jc w:val="both"/>
        <w:rPr>
          <w:rFonts w:ascii="Arial" w:hAnsi="Arial" w:cs="Arial"/>
        </w:rPr>
      </w:pPr>
      <w:r w:rsidRPr="008E3494">
        <w:rPr>
          <w:rFonts w:ascii="Arial" w:hAnsi="Arial" w:cs="Arial"/>
        </w:rPr>
        <w:t>Teniendo en cuenta que la totalidad de los subsidios deben ser adjudicados en un plazo de cuatro años, se sugiere el levantamiento de información por medio de una encuesta dirigida a familias elegibles dentro de la línea base a partir del segundo año del programa. Una vez esta información est</w:t>
      </w:r>
      <w:r w:rsidR="0012236B">
        <w:rPr>
          <w:rFonts w:ascii="Arial" w:hAnsi="Arial" w:cs="Arial"/>
        </w:rPr>
        <w:t>é</w:t>
      </w:r>
      <w:r w:rsidRPr="008E3494">
        <w:rPr>
          <w:rFonts w:ascii="Arial" w:hAnsi="Arial" w:cs="Arial"/>
        </w:rPr>
        <w:t xml:space="preserve"> disponible, es posible clasificar las familias dentro de diferentes grupos de estudio:</w:t>
      </w:r>
    </w:p>
    <w:p w14:paraId="1CCB1250" w14:textId="77777777" w:rsidR="000B7F6B" w:rsidRPr="008E3494" w:rsidRDefault="000B7F6B" w:rsidP="000B7F6B">
      <w:pPr>
        <w:pStyle w:val="ListParagraph"/>
        <w:numPr>
          <w:ilvl w:val="0"/>
          <w:numId w:val="17"/>
        </w:numPr>
        <w:spacing w:after="160" w:line="259" w:lineRule="auto"/>
        <w:jc w:val="both"/>
        <w:rPr>
          <w:rFonts w:ascii="Arial" w:hAnsi="Arial" w:cs="Arial"/>
        </w:rPr>
      </w:pPr>
      <w:r w:rsidRPr="008E3494">
        <w:rPr>
          <w:rFonts w:ascii="Arial" w:hAnsi="Arial" w:cs="Arial"/>
        </w:rPr>
        <w:t>Grupo Tratamiento: Familias elegibles que a la fecha de la encuesta (año 2) han recibido el subsidio y se encuentran habitando una vivienda nueva.</w:t>
      </w:r>
    </w:p>
    <w:p w14:paraId="358A4ED8" w14:textId="77777777" w:rsidR="000B7F6B" w:rsidRPr="008E3494" w:rsidRDefault="000B7F6B" w:rsidP="000B7F6B">
      <w:pPr>
        <w:pStyle w:val="ListParagraph"/>
        <w:numPr>
          <w:ilvl w:val="0"/>
          <w:numId w:val="17"/>
        </w:numPr>
        <w:spacing w:after="160" w:line="259" w:lineRule="auto"/>
        <w:jc w:val="both"/>
        <w:rPr>
          <w:rFonts w:ascii="Arial" w:hAnsi="Arial" w:cs="Arial"/>
        </w:rPr>
      </w:pPr>
      <w:r w:rsidRPr="008E3494">
        <w:rPr>
          <w:rFonts w:ascii="Arial" w:hAnsi="Arial" w:cs="Arial"/>
        </w:rPr>
        <w:t>Grupo Control 1: Familias elegibles que han recibido el subsidio, pero aún no se encuentran habitando una vivienda nueva.</w:t>
      </w:r>
    </w:p>
    <w:p w14:paraId="15FF8EC3" w14:textId="3677BE16" w:rsidR="000B7F6B" w:rsidRPr="008E3494" w:rsidRDefault="000B7F6B" w:rsidP="000B7F6B">
      <w:pPr>
        <w:pStyle w:val="ListParagraph"/>
        <w:numPr>
          <w:ilvl w:val="0"/>
          <w:numId w:val="17"/>
        </w:numPr>
        <w:spacing w:after="160" w:line="259" w:lineRule="auto"/>
        <w:jc w:val="both"/>
        <w:rPr>
          <w:rFonts w:ascii="Arial" w:hAnsi="Arial" w:cs="Arial"/>
        </w:rPr>
      </w:pPr>
      <w:r w:rsidRPr="008E3494">
        <w:rPr>
          <w:rFonts w:ascii="Arial" w:hAnsi="Arial" w:cs="Arial"/>
        </w:rPr>
        <w:t xml:space="preserve">Grupo Control 2 (opcional): Familias elegibles que </w:t>
      </w:r>
      <w:r w:rsidR="00453F9D" w:rsidRPr="008E3494">
        <w:rPr>
          <w:rFonts w:ascii="Arial" w:hAnsi="Arial" w:cs="Arial"/>
        </w:rPr>
        <w:t>aún</w:t>
      </w:r>
      <w:r w:rsidRPr="008E3494">
        <w:rPr>
          <w:rFonts w:ascii="Arial" w:hAnsi="Arial" w:cs="Arial"/>
        </w:rPr>
        <w:t xml:space="preserve"> no han recibido el subsidio.</w:t>
      </w:r>
    </w:p>
    <w:p w14:paraId="08147D99" w14:textId="77777777" w:rsidR="000B7F6B" w:rsidRPr="008E3494" w:rsidRDefault="000B7F6B" w:rsidP="000B7F6B">
      <w:pPr>
        <w:jc w:val="both"/>
        <w:rPr>
          <w:rFonts w:ascii="Arial" w:hAnsi="Arial" w:cs="Arial"/>
        </w:rPr>
      </w:pPr>
      <w:r w:rsidRPr="008E3494">
        <w:rPr>
          <w:rFonts w:ascii="Arial" w:hAnsi="Arial" w:cs="Arial"/>
        </w:rPr>
        <w:lastRenderedPageBreak/>
        <w:t>Una vez los grupos tratamiento y control han sido identificados, se sugiere utilizar el método de diferencia en diferencias con emparejamiento (</w:t>
      </w:r>
      <w:proofErr w:type="spellStart"/>
      <w:r w:rsidRPr="008E3494">
        <w:rPr>
          <w:rFonts w:ascii="Arial" w:hAnsi="Arial" w:cs="Arial"/>
        </w:rPr>
        <w:t>matching</w:t>
      </w:r>
      <w:proofErr w:type="spellEnd"/>
      <w:r w:rsidRPr="008E3494">
        <w:rPr>
          <w:rFonts w:ascii="Arial" w:hAnsi="Arial" w:cs="Arial"/>
        </w:rPr>
        <w:t xml:space="preserve"> </w:t>
      </w:r>
      <w:proofErr w:type="spellStart"/>
      <w:r w:rsidRPr="008E3494">
        <w:rPr>
          <w:rFonts w:ascii="Arial" w:hAnsi="Arial" w:cs="Arial"/>
        </w:rPr>
        <w:t>difference</w:t>
      </w:r>
      <w:proofErr w:type="spellEnd"/>
      <w:r w:rsidRPr="008E3494">
        <w:rPr>
          <w:rFonts w:ascii="Arial" w:hAnsi="Arial" w:cs="Arial"/>
        </w:rPr>
        <w:t>-</w:t>
      </w:r>
      <w:proofErr w:type="spellStart"/>
      <w:r w:rsidRPr="008E3494">
        <w:rPr>
          <w:rFonts w:ascii="Arial" w:hAnsi="Arial" w:cs="Arial"/>
        </w:rPr>
        <w:t>in-differences</w:t>
      </w:r>
      <w:proofErr w:type="spellEnd"/>
      <w:r w:rsidRPr="008E3494">
        <w:rPr>
          <w:rFonts w:ascii="Arial" w:hAnsi="Arial" w:cs="Arial"/>
        </w:rPr>
        <w:t xml:space="preserve">). Este método permite: 1) la selección de familias en los grupos tratamiento y control que sean perfectamente comparables en sus características observables y probabilidad de tratamiento, y 2) el aislamiento de características no observables entre familias tratadas y no-tratadas, que cambian a través del tiempo, y que así mismo </w:t>
      </w:r>
      <w:proofErr w:type="spellStart"/>
      <w:r w:rsidRPr="008E3494">
        <w:rPr>
          <w:rFonts w:ascii="Arial" w:hAnsi="Arial" w:cs="Arial"/>
        </w:rPr>
        <w:t>podrian</w:t>
      </w:r>
      <w:proofErr w:type="spellEnd"/>
      <w:r w:rsidRPr="008E3494">
        <w:rPr>
          <w:rFonts w:ascii="Arial" w:hAnsi="Arial" w:cs="Arial"/>
        </w:rPr>
        <w:t xml:space="preserve"> inducir un sesgo en la estimación de los efectos de interés (</w:t>
      </w:r>
      <w:proofErr w:type="spellStart"/>
      <w:r w:rsidRPr="008E3494">
        <w:rPr>
          <w:rFonts w:ascii="Arial" w:hAnsi="Arial" w:cs="Arial"/>
        </w:rPr>
        <w:t>Abadie</w:t>
      </w:r>
      <w:proofErr w:type="spellEnd"/>
      <w:r w:rsidRPr="008E3494">
        <w:rPr>
          <w:rFonts w:ascii="Arial" w:hAnsi="Arial" w:cs="Arial"/>
        </w:rPr>
        <w:t xml:space="preserve">, 2005; </w:t>
      </w:r>
      <w:proofErr w:type="spellStart"/>
      <w:r w:rsidRPr="008E3494">
        <w:rPr>
          <w:rFonts w:ascii="Arial" w:hAnsi="Arial" w:cs="Arial"/>
        </w:rPr>
        <w:t>Griffen</w:t>
      </w:r>
      <w:proofErr w:type="spellEnd"/>
      <w:r w:rsidRPr="008E3494">
        <w:rPr>
          <w:rFonts w:ascii="Arial" w:hAnsi="Arial" w:cs="Arial"/>
        </w:rPr>
        <w:t xml:space="preserve"> &amp; Todd, 2017). </w:t>
      </w:r>
    </w:p>
    <w:p w14:paraId="15231740" w14:textId="77777777" w:rsidR="000B7F6B" w:rsidRPr="008E3494" w:rsidRDefault="000B7F6B" w:rsidP="000B7F6B">
      <w:pPr>
        <w:jc w:val="both"/>
        <w:rPr>
          <w:rStyle w:val="Strong"/>
        </w:rPr>
      </w:pPr>
      <w:r w:rsidRPr="008E3494">
        <w:rPr>
          <w:rStyle w:val="Strong"/>
        </w:rPr>
        <w:t>METODOLOGIA PARA LA EVALUACION DE IMPACTO – COMPONENTE 2</w:t>
      </w:r>
    </w:p>
    <w:p w14:paraId="7E3F9C5B" w14:textId="77777777" w:rsidR="000B7F6B" w:rsidRPr="008E3494" w:rsidRDefault="000B7F6B" w:rsidP="000B7F6B">
      <w:pPr>
        <w:jc w:val="both"/>
        <w:rPr>
          <w:rFonts w:ascii="Arial" w:hAnsi="Arial" w:cs="Arial"/>
        </w:rPr>
      </w:pPr>
      <w:r w:rsidRPr="008E3494">
        <w:rPr>
          <w:rFonts w:ascii="Arial" w:hAnsi="Arial" w:cs="Arial"/>
        </w:rPr>
        <w:t>Bajo el componente 2, los hogares elegibles tienen la oportunidad de acceder a un subsidio para adquisición de vivienda nueva, condicional a la oferta y demanda de soluciones habitacionales existentes. Teniendo en cuenta que el programa busca asignar estos subsidios a familias bajo diferentes niveles de prioridad, es posible utilizar estos grupos, y los subgrupos de priorización que les componen, para aleatorizar el acceso al subsidio. Mediante dicha aleatorización, es posible construir grupos tratamiento y control de familias que pertenecen a la misma categoría de priorización, reduciendo el sesgo en el efecto de interés al comparar familias tratadas y no-tratadas.</w:t>
      </w:r>
    </w:p>
    <w:p w14:paraId="695E5268" w14:textId="77777777" w:rsidR="000B7F6B" w:rsidRPr="008E3494" w:rsidRDefault="000B7F6B" w:rsidP="000B7F6B">
      <w:pPr>
        <w:jc w:val="both"/>
        <w:rPr>
          <w:rFonts w:ascii="Arial" w:hAnsi="Arial" w:cs="Arial"/>
        </w:rPr>
      </w:pPr>
      <w:r w:rsidRPr="008E3494">
        <w:rPr>
          <w:rFonts w:ascii="Arial" w:hAnsi="Arial" w:cs="Arial"/>
        </w:rPr>
        <w:t>El proceso funcionaria de la siguiente manera:</w:t>
      </w:r>
    </w:p>
    <w:p w14:paraId="628C49A7" w14:textId="77777777" w:rsidR="000B7F6B" w:rsidRPr="008E3494" w:rsidRDefault="000B7F6B" w:rsidP="000B7F6B">
      <w:pPr>
        <w:pStyle w:val="ListParagraph"/>
        <w:numPr>
          <w:ilvl w:val="0"/>
          <w:numId w:val="18"/>
        </w:numPr>
        <w:spacing w:after="160" w:line="259" w:lineRule="auto"/>
        <w:jc w:val="both"/>
        <w:rPr>
          <w:rFonts w:ascii="Arial" w:hAnsi="Arial" w:cs="Arial"/>
        </w:rPr>
      </w:pPr>
      <w:r w:rsidRPr="008E3494">
        <w:rPr>
          <w:rFonts w:ascii="Arial" w:hAnsi="Arial" w:cs="Arial"/>
        </w:rPr>
        <w:t>Las familias elegibles son clasificadas de acuerdo con su grupo de prioridad. Por ejemplo, familias con un miembro en situación de discapacidad serán el primer grupo prioritario, familias monoparentales constituirán el segundo grupo prioritario, y así sucesivamente. Dichas categorías de priorización no son excluyentes, por cuanto la clasificación debe privilegiar la característica de vulnerabilidad con mayor prioridad. Por ejemplo, una familia monoparental con al menos un miembro en situación de discapacidad debe ser clasificada en el primer grupo prioritario y no en el segundo.</w:t>
      </w:r>
    </w:p>
    <w:p w14:paraId="3AF27EC2" w14:textId="77777777" w:rsidR="000B7F6B" w:rsidRPr="008E3494" w:rsidRDefault="000B7F6B" w:rsidP="000B7F6B">
      <w:pPr>
        <w:pStyle w:val="ListParagraph"/>
        <w:numPr>
          <w:ilvl w:val="0"/>
          <w:numId w:val="18"/>
        </w:numPr>
        <w:spacing w:after="160" w:line="259" w:lineRule="auto"/>
        <w:jc w:val="both"/>
        <w:rPr>
          <w:rFonts w:ascii="Arial" w:hAnsi="Arial" w:cs="Arial"/>
        </w:rPr>
      </w:pPr>
      <w:r w:rsidRPr="008E3494">
        <w:rPr>
          <w:rFonts w:ascii="Arial" w:hAnsi="Arial" w:cs="Arial"/>
        </w:rPr>
        <w:t>Una vez las familias han sido clasificadas en los cuatro grupos estratégicos del programa, se procede a hacer una aleatorización dentro de cada grupo. Este sorteo aleatorio adjudica el orden en que la aplicación al subsidio y su recepción son tramitados. En caso de que la demanda supere la oferta, este sorteo también puede servir para seleccionar las familias elegibles-beneficiadas y las familias elegibles no-beneficiadas.</w:t>
      </w:r>
    </w:p>
    <w:p w14:paraId="03F5B252" w14:textId="77777777" w:rsidR="000B7F6B" w:rsidRPr="008E3494" w:rsidRDefault="000B7F6B" w:rsidP="000B7F6B">
      <w:pPr>
        <w:pStyle w:val="ListParagraph"/>
        <w:numPr>
          <w:ilvl w:val="0"/>
          <w:numId w:val="18"/>
        </w:numPr>
        <w:spacing w:after="160" w:line="259" w:lineRule="auto"/>
        <w:jc w:val="both"/>
        <w:rPr>
          <w:rFonts w:ascii="Arial" w:hAnsi="Arial" w:cs="Arial"/>
        </w:rPr>
      </w:pPr>
      <w:r w:rsidRPr="008E3494">
        <w:rPr>
          <w:rFonts w:ascii="Arial" w:hAnsi="Arial" w:cs="Arial"/>
        </w:rPr>
        <w:t>Finalmente, mediante el levantamiento de una encuesta en el segundo año de operación del programa, se pueden identificar varios grupos de estudio:</w:t>
      </w:r>
    </w:p>
    <w:p w14:paraId="03C69F1A" w14:textId="77777777" w:rsidR="000B7F6B" w:rsidRPr="008E3494" w:rsidRDefault="000B7F6B" w:rsidP="000B7F6B">
      <w:pPr>
        <w:pStyle w:val="ListParagraph"/>
        <w:numPr>
          <w:ilvl w:val="1"/>
          <w:numId w:val="18"/>
        </w:numPr>
        <w:spacing w:after="160" w:line="259" w:lineRule="auto"/>
        <w:jc w:val="both"/>
        <w:rPr>
          <w:rFonts w:ascii="Arial" w:hAnsi="Arial" w:cs="Arial"/>
        </w:rPr>
      </w:pPr>
      <w:r w:rsidRPr="008E3494">
        <w:rPr>
          <w:rFonts w:ascii="Arial" w:hAnsi="Arial" w:cs="Arial"/>
        </w:rPr>
        <w:t>Grupo Tratamiento 1: Familias elegibles que, a la fecha de la encuesta, recibieron el subsidio y habitan una vivienda nueva.</w:t>
      </w:r>
    </w:p>
    <w:p w14:paraId="75D25B78" w14:textId="77777777" w:rsidR="000B7F6B" w:rsidRPr="008E3494" w:rsidRDefault="000B7F6B" w:rsidP="000B7F6B">
      <w:pPr>
        <w:pStyle w:val="ListParagraph"/>
        <w:numPr>
          <w:ilvl w:val="1"/>
          <w:numId w:val="18"/>
        </w:numPr>
        <w:spacing w:after="160" w:line="259" w:lineRule="auto"/>
        <w:jc w:val="both"/>
        <w:rPr>
          <w:rFonts w:ascii="Arial" w:hAnsi="Arial" w:cs="Arial"/>
        </w:rPr>
      </w:pPr>
      <w:r w:rsidRPr="008E3494">
        <w:rPr>
          <w:rFonts w:ascii="Arial" w:hAnsi="Arial" w:cs="Arial"/>
        </w:rPr>
        <w:t>Grupo Tratamiento 2: Familias elegibles que, a la fecha de la encuesta, recibieron el subsidio, pero NO habitan una vivienda nueva.</w:t>
      </w:r>
    </w:p>
    <w:p w14:paraId="220BFF2F" w14:textId="77777777" w:rsidR="000B7F6B" w:rsidRPr="008E3494" w:rsidRDefault="000B7F6B" w:rsidP="000B7F6B">
      <w:pPr>
        <w:pStyle w:val="ListParagraph"/>
        <w:numPr>
          <w:ilvl w:val="1"/>
          <w:numId w:val="18"/>
        </w:numPr>
        <w:spacing w:after="160" w:line="259" w:lineRule="auto"/>
        <w:jc w:val="both"/>
        <w:rPr>
          <w:rFonts w:ascii="Arial" w:hAnsi="Arial" w:cs="Arial"/>
        </w:rPr>
      </w:pPr>
      <w:r w:rsidRPr="008E3494">
        <w:rPr>
          <w:rFonts w:ascii="Arial" w:hAnsi="Arial" w:cs="Arial"/>
        </w:rPr>
        <w:t>Grupo Control: Familias elegibles que, a la fecha de la encuesta, no han recibido el subsidio.</w:t>
      </w:r>
    </w:p>
    <w:p w14:paraId="414979D4" w14:textId="77777777" w:rsidR="000B7F6B" w:rsidRPr="008E3494" w:rsidRDefault="000B7F6B" w:rsidP="000B7F6B">
      <w:pPr>
        <w:jc w:val="both"/>
        <w:rPr>
          <w:rFonts w:ascii="Arial" w:hAnsi="Arial" w:cs="Arial"/>
        </w:rPr>
      </w:pPr>
      <w:r w:rsidRPr="008E3494">
        <w:rPr>
          <w:rFonts w:ascii="Arial" w:hAnsi="Arial" w:cs="Arial"/>
        </w:rPr>
        <w:t xml:space="preserve">Al igual que en la evaluación del componente 1, se sugiere la implementación de un estimador de diferencia en diferencias con emparejamiento. No obstante, este diseño frente al anterior difiere en que no solo es posible estimar el efecto promedio del tratamiento en las familias tratadas, sino también el efecto promedio de la intención de tratamiento (ITT) al comparar el grupo control con el grupo tratamiento 2. </w:t>
      </w:r>
    </w:p>
    <w:p w14:paraId="3AD385FE" w14:textId="77777777" w:rsidR="000B7F6B" w:rsidRPr="008E3494" w:rsidRDefault="000B7F6B" w:rsidP="000B7F6B">
      <w:pPr>
        <w:jc w:val="both"/>
        <w:rPr>
          <w:rStyle w:val="Strong"/>
        </w:rPr>
      </w:pPr>
      <w:r w:rsidRPr="008E3494">
        <w:rPr>
          <w:rStyle w:val="Strong"/>
        </w:rPr>
        <w:lastRenderedPageBreak/>
        <w:t>OTRAS CONSIDERACIONES</w:t>
      </w:r>
    </w:p>
    <w:p w14:paraId="5FC84227" w14:textId="77777777" w:rsidR="000B7F6B" w:rsidRPr="008E3494" w:rsidRDefault="000B7F6B" w:rsidP="000B7F6B">
      <w:pPr>
        <w:jc w:val="both"/>
        <w:rPr>
          <w:rFonts w:ascii="Arial" w:hAnsi="Arial" w:cs="Arial"/>
        </w:rPr>
      </w:pPr>
      <w:r w:rsidRPr="008E3494">
        <w:rPr>
          <w:rFonts w:ascii="Arial" w:hAnsi="Arial" w:cs="Arial"/>
        </w:rPr>
        <w:t xml:space="preserve">La clasificación de grupos tratamiento y control expuesta anteriormente asume que el subsidio se otorga directamente a las familias elegibles. Dicha clasificación cambia si las familias solo pueden acceder a los subsidios por medio de la intermediación de un constructor, quien recibirá los recursos para ejecutar los proyectos de vivienda y para adjudicarlos posteriormente. Mediante esta asignación, es probable que existan problemas de selección de muestra por cuanto puede existir variación en la motivación de los constructores en atraer y seleccionar familias que cumplan los requisitos de elegibilidad para posteriormente aplicar por los fondos del programa. Desde el punto de vista de las familias, estas pueden enfrentar constructores con diferentes criterios/exigencias que pueden incentivar o desincentivar la participación. </w:t>
      </w:r>
    </w:p>
    <w:p w14:paraId="209ECD0D" w14:textId="77777777" w:rsidR="000B7F6B" w:rsidRPr="008E3494" w:rsidRDefault="000B7F6B" w:rsidP="000B7F6B">
      <w:pPr>
        <w:jc w:val="both"/>
        <w:rPr>
          <w:rFonts w:ascii="Arial" w:hAnsi="Arial" w:cs="Arial"/>
        </w:rPr>
      </w:pPr>
      <w:r w:rsidRPr="008E3494">
        <w:rPr>
          <w:rFonts w:ascii="Arial" w:hAnsi="Arial" w:cs="Arial"/>
        </w:rPr>
        <w:t xml:space="preserve">Una manera de resolver este problema es mediante la implementación de un doble emparejamiento. La idea es comparar familias cuya aplicación ha sido mediada por constructores de características similares, pero diferentes porcentajes de ejecución de los proyectos. Posteriormente, es posible emparejar familias tratadas (i.e. familias cuyo constructor ha ejecutado el 100% de las obras y viven en vivienda nueva) y familias no-tratadas (i.e. familias elegibles que aún no han recibido su vivienda puesto que el constructor no ha terminado de ejecutar las obras), para el método de estimación anteriormente descrito. </w:t>
      </w:r>
    </w:p>
    <w:p w14:paraId="072D415F" w14:textId="77777777" w:rsidR="000B7F6B" w:rsidRPr="008E3494" w:rsidRDefault="000B7F6B" w:rsidP="000B7F6B">
      <w:pPr>
        <w:jc w:val="both"/>
        <w:rPr>
          <w:rFonts w:ascii="Arial" w:hAnsi="Arial" w:cs="Arial"/>
        </w:rPr>
      </w:pPr>
      <w:r w:rsidRPr="008E3494">
        <w:rPr>
          <w:rFonts w:ascii="Arial" w:hAnsi="Arial" w:cs="Arial"/>
        </w:rPr>
        <w:t>Desde la literatura de los métodos para la evaluación de impacto, existen al menos dos maneras para controlar por el potencial sesgo de selección cuando los constructores son intermediarios entre el gobierno nacional y las familias elegibles:</w:t>
      </w:r>
    </w:p>
    <w:p w14:paraId="6E317E39" w14:textId="77777777" w:rsidR="000B7F6B" w:rsidRPr="008E3494" w:rsidRDefault="000B7F6B" w:rsidP="000B7F6B">
      <w:pPr>
        <w:pStyle w:val="ListParagraph"/>
        <w:numPr>
          <w:ilvl w:val="0"/>
          <w:numId w:val="19"/>
        </w:numPr>
        <w:spacing w:after="160" w:line="259" w:lineRule="auto"/>
        <w:jc w:val="both"/>
        <w:rPr>
          <w:rFonts w:ascii="Arial" w:hAnsi="Arial" w:cs="Arial"/>
        </w:rPr>
      </w:pPr>
      <w:r w:rsidRPr="008E3494">
        <w:rPr>
          <w:rFonts w:ascii="Arial" w:hAnsi="Arial" w:cs="Arial"/>
        </w:rPr>
        <w:t xml:space="preserve">Método </w:t>
      </w:r>
      <w:proofErr w:type="spellStart"/>
      <w:r w:rsidRPr="008E3494">
        <w:rPr>
          <w:rFonts w:ascii="Arial" w:hAnsi="Arial" w:cs="Arial"/>
        </w:rPr>
        <w:t>Phase</w:t>
      </w:r>
      <w:proofErr w:type="spellEnd"/>
      <w:r w:rsidRPr="008E3494">
        <w:rPr>
          <w:rFonts w:ascii="Arial" w:hAnsi="Arial" w:cs="Arial"/>
        </w:rPr>
        <w:t xml:space="preserve">-in: En este método se explota la variación en niveles de ejecución para cada año del programa. Teniendo en cuenta que en el segundo año un mínimo de 35% de los subsidios deben haber sido ejecutados, es posible comparar familias cuyos constructores finalizaron los proyectos de vivienda, con familias cuyos constructores </w:t>
      </w:r>
      <w:proofErr w:type="spellStart"/>
      <w:r w:rsidRPr="008E3494">
        <w:rPr>
          <w:rFonts w:ascii="Arial" w:hAnsi="Arial" w:cs="Arial"/>
        </w:rPr>
        <w:t>aun</w:t>
      </w:r>
      <w:proofErr w:type="spellEnd"/>
      <w:r w:rsidRPr="008E3494">
        <w:rPr>
          <w:rFonts w:ascii="Arial" w:hAnsi="Arial" w:cs="Arial"/>
        </w:rPr>
        <w:t xml:space="preserve"> se encuentran desarrollando la obra a la fecha de la encuesta de seguimiento. El costo de implementar dicha estrategia es que se imposibilita la estimación de efectos de largo plazo.</w:t>
      </w:r>
    </w:p>
    <w:p w14:paraId="7BC4510E" w14:textId="77777777" w:rsidR="000B7F6B" w:rsidRPr="008E3494" w:rsidRDefault="000B7F6B" w:rsidP="000B7F6B">
      <w:pPr>
        <w:pStyle w:val="ListParagraph"/>
        <w:numPr>
          <w:ilvl w:val="0"/>
          <w:numId w:val="19"/>
        </w:numPr>
        <w:spacing w:after="160" w:line="259" w:lineRule="auto"/>
        <w:jc w:val="both"/>
        <w:rPr>
          <w:rFonts w:ascii="Arial" w:hAnsi="Arial" w:cs="Arial"/>
        </w:rPr>
      </w:pPr>
      <w:r w:rsidRPr="008E3494">
        <w:rPr>
          <w:rFonts w:ascii="Arial" w:hAnsi="Arial" w:cs="Arial"/>
        </w:rPr>
        <w:t xml:space="preserve">Método </w:t>
      </w:r>
      <w:proofErr w:type="spellStart"/>
      <w:r w:rsidRPr="008E3494">
        <w:rPr>
          <w:rFonts w:ascii="Arial" w:hAnsi="Arial" w:cs="Arial"/>
        </w:rPr>
        <w:t>Encouragement</w:t>
      </w:r>
      <w:proofErr w:type="spellEnd"/>
      <w:r w:rsidRPr="008E3494">
        <w:rPr>
          <w:rFonts w:ascii="Arial" w:hAnsi="Arial" w:cs="Arial"/>
        </w:rPr>
        <w:t>: Al comienzo del programa, del conjunto de constructores interesados en participar del programa, se selecciona una muestra aleatoria de ellos. Dichos constructores pueden recibir invitaciones a participar, como recordatorios de los diferentes procesos administrativos para acceder a los fondos requeridos para iniciar los proyectos de vivienda. En principio, la idea es que este “tratamiento” sobre los constructores este altamente correlacionado sobre su velocidad de ejecución, pero no sobre los resultados de interés de las familias elegibles. En este caso, el efecto causal a estimar sería el efecto promedio del tratamiento local en los tratados (LATE), o en otras palabras, el efecto promedio sobre las familias tratadas, cuyos constructores respondieron satisfactoriamente a la invitación de participar en el programa.</w:t>
      </w:r>
    </w:p>
    <w:p w14:paraId="35668C22" w14:textId="77777777" w:rsidR="000B7F6B" w:rsidRPr="008E3494" w:rsidRDefault="000B7F6B" w:rsidP="000B7F6B">
      <w:pPr>
        <w:jc w:val="both"/>
        <w:rPr>
          <w:rStyle w:val="Strong"/>
        </w:rPr>
      </w:pPr>
      <w:r w:rsidRPr="008E3494">
        <w:rPr>
          <w:rStyle w:val="Strong"/>
        </w:rPr>
        <w:t>METODO DE DIFERENCIA EN DIFERENCIAS CON EMPAREJAMIENTO</w:t>
      </w:r>
    </w:p>
    <w:p w14:paraId="3A1ACC8B" w14:textId="77777777" w:rsidR="000B7F6B" w:rsidRPr="008E3494" w:rsidRDefault="000B7F6B" w:rsidP="000B7F6B">
      <w:pPr>
        <w:jc w:val="both"/>
        <w:rPr>
          <w:rFonts w:ascii="Arial" w:hAnsi="Arial" w:cs="Arial"/>
        </w:rPr>
      </w:pPr>
      <w:r w:rsidRPr="008E3494">
        <w:rPr>
          <w:rFonts w:ascii="Arial" w:hAnsi="Arial" w:cs="Arial"/>
        </w:rPr>
        <w:t xml:space="preserve">Los efectos promedio del programa se estimarán mediante un modelo de diferencias en diferencias con emparejamiento. En primer lugar, se estimará un modelo de probabilidad, donde la variable dependiente toma valor uno si la familia hace parte del grupo tratamiento, y valor cero </w:t>
      </w:r>
      <w:r w:rsidRPr="008E3494">
        <w:rPr>
          <w:rFonts w:ascii="Arial" w:hAnsi="Arial" w:cs="Arial"/>
        </w:rPr>
        <w:lastRenderedPageBreak/>
        <w:t>si la familia pertenece al grupo control. Una vez se estima este modelo en función de las características observables a nivel familiar, se procede a estimar dicha probabilidad para todas las familias de la muestra (</w:t>
      </w:r>
      <w:proofErr w:type="spellStart"/>
      <w:r w:rsidRPr="008E3494">
        <w:rPr>
          <w:rFonts w:ascii="Arial" w:hAnsi="Arial" w:cs="Arial"/>
        </w:rPr>
        <w:t>propensity</w:t>
      </w:r>
      <w:proofErr w:type="spellEnd"/>
      <w:r w:rsidRPr="008E3494">
        <w:rPr>
          <w:rFonts w:ascii="Arial" w:hAnsi="Arial" w:cs="Arial"/>
        </w:rPr>
        <w:t xml:space="preserve"> score). Finalmente, se escogen aquellas familias en ambos grupos, control y tratamiento, cuya probabilidad estimada ser tratados es relativamente similar. Para dicha submuestra se estima el siguiente modelo de regresión lineal:</w:t>
      </w:r>
    </w:p>
    <w:p w14:paraId="3125C252" w14:textId="3864B585" w:rsidR="000B7F6B" w:rsidRPr="008E3494" w:rsidRDefault="000B7F6B" w:rsidP="0012236B">
      <w:pPr>
        <w:pStyle w:val="equation"/>
        <w:tabs>
          <w:tab w:val="center" w:pos="3450"/>
        </w:tabs>
        <w:jc w:val="center"/>
        <w:rPr>
          <w:rFonts w:ascii="Arial" w:hAnsi="Arial" w:cs="Arial"/>
          <w:sz w:val="22"/>
          <w:szCs w:val="22"/>
        </w:rPr>
      </w:pPr>
      <w:r w:rsidRPr="008E3494">
        <w:rPr>
          <w:rFonts w:ascii="Arial" w:hAnsi="Arial" w:cs="Arial"/>
          <w:sz w:val="22"/>
          <w:szCs w:val="22"/>
        </w:rPr>
        <w:fldChar w:fldCharType="begin"/>
      </w:r>
      <w:r w:rsidRPr="008E3494">
        <w:rPr>
          <w:rFonts w:ascii="Arial" w:hAnsi="Arial" w:cs="Arial"/>
          <w:sz w:val="22"/>
          <w:szCs w:val="22"/>
        </w:rPr>
        <w:instrText xml:space="preserve"> EQ </w:instrText>
      </w:r>
      <w:r w:rsidRPr="008E3494">
        <w:rPr>
          <w:rFonts w:ascii="Arial" w:hAnsi="Arial" w:cs="Arial"/>
          <w:i/>
          <w:iCs/>
          <w:sz w:val="22"/>
          <w:szCs w:val="22"/>
        </w:rPr>
        <w:instrText>Y</w:instrText>
      </w:r>
      <w:r w:rsidRPr="008E3494">
        <w:rPr>
          <w:rFonts w:ascii="Arial" w:hAnsi="Arial" w:cs="Arial"/>
          <w:sz w:val="22"/>
          <w:szCs w:val="22"/>
        </w:rPr>
        <w:instrText>\s\do5(</w:instrText>
      </w:r>
      <w:r w:rsidRPr="008E3494">
        <w:rPr>
          <w:rFonts w:ascii="Arial" w:hAnsi="Arial" w:cs="Arial"/>
          <w:i/>
          <w:iCs/>
          <w:sz w:val="22"/>
          <w:szCs w:val="22"/>
        </w:rPr>
        <w:instrText>igt</w:instrText>
      </w:r>
      <w:r w:rsidRPr="008E3494">
        <w:rPr>
          <w:rFonts w:ascii="Arial" w:hAnsi="Arial" w:cs="Arial"/>
          <w:sz w:val="22"/>
          <w:szCs w:val="22"/>
        </w:rPr>
        <w:instrText>)=α\s\do5(</w:instrText>
      </w:r>
      <w:r w:rsidRPr="008E3494">
        <w:rPr>
          <w:rFonts w:ascii="Arial" w:hAnsi="Arial" w:cs="Arial"/>
          <w:i/>
          <w:iCs/>
          <w:sz w:val="22"/>
          <w:szCs w:val="22"/>
        </w:rPr>
        <w:instrText>t</w:instrText>
      </w:r>
      <w:r w:rsidRPr="008E3494">
        <w:rPr>
          <w:rFonts w:ascii="Arial" w:hAnsi="Arial" w:cs="Arial"/>
          <w:sz w:val="22"/>
          <w:szCs w:val="22"/>
        </w:rPr>
        <w:instrText>)+γ\s\do5(</w:instrText>
      </w:r>
      <w:r w:rsidRPr="008E3494">
        <w:rPr>
          <w:rFonts w:ascii="Arial" w:hAnsi="Arial" w:cs="Arial"/>
          <w:i/>
          <w:iCs/>
          <w:sz w:val="22"/>
          <w:szCs w:val="22"/>
        </w:rPr>
        <w:instrText>i</w:instrText>
      </w:r>
      <w:r w:rsidRPr="008E3494">
        <w:rPr>
          <w:rFonts w:ascii="Arial" w:hAnsi="Arial" w:cs="Arial"/>
          <w:sz w:val="22"/>
          <w:szCs w:val="22"/>
        </w:rPr>
        <w:instrText>)+β \b (</w:instrText>
      </w:r>
      <w:r w:rsidRPr="008E3494">
        <w:rPr>
          <w:rFonts w:ascii="Arial" w:hAnsi="Arial" w:cs="Arial"/>
          <w:i/>
          <w:iCs/>
          <w:sz w:val="22"/>
          <w:szCs w:val="22"/>
        </w:rPr>
        <w:instrText>T</w:instrText>
      </w:r>
      <w:r w:rsidRPr="008E3494">
        <w:rPr>
          <w:rFonts w:ascii="Arial" w:hAnsi="Arial" w:cs="Arial"/>
          <w:sz w:val="22"/>
          <w:szCs w:val="22"/>
        </w:rPr>
        <w:instrText>\s\do5(</w:instrText>
      </w:r>
      <w:r w:rsidRPr="008E3494">
        <w:rPr>
          <w:rFonts w:ascii="Arial" w:hAnsi="Arial" w:cs="Arial"/>
          <w:i/>
          <w:iCs/>
          <w:sz w:val="22"/>
          <w:szCs w:val="22"/>
        </w:rPr>
        <w:instrText>ig</w:instrText>
      </w:r>
      <w:r w:rsidRPr="008E3494">
        <w:rPr>
          <w:rFonts w:ascii="Arial" w:hAnsi="Arial" w:cs="Arial"/>
          <w:sz w:val="22"/>
          <w:szCs w:val="22"/>
        </w:rPr>
        <w:instrText>)×</w:instrText>
      </w:r>
      <w:r w:rsidRPr="008E3494">
        <w:rPr>
          <w:rFonts w:ascii="Arial" w:hAnsi="Arial" w:cs="Arial"/>
          <w:i/>
          <w:iCs/>
          <w:sz w:val="22"/>
          <w:szCs w:val="22"/>
        </w:rPr>
        <w:instrText>After</w:instrText>
      </w:r>
      <w:r w:rsidRPr="008E3494">
        <w:rPr>
          <w:rFonts w:ascii="Arial" w:hAnsi="Arial" w:cs="Arial"/>
          <w:sz w:val="22"/>
          <w:szCs w:val="22"/>
        </w:rPr>
        <w:instrText>\s\do5(</w:instrText>
      </w:r>
      <w:r w:rsidRPr="008E3494">
        <w:rPr>
          <w:rFonts w:ascii="Arial" w:hAnsi="Arial" w:cs="Arial"/>
          <w:i/>
          <w:iCs/>
          <w:sz w:val="22"/>
          <w:szCs w:val="22"/>
        </w:rPr>
        <w:instrText>t</w:instrText>
      </w:r>
      <w:r w:rsidRPr="008E3494">
        <w:rPr>
          <w:rFonts w:ascii="Arial" w:hAnsi="Arial" w:cs="Arial"/>
          <w:sz w:val="22"/>
          <w:szCs w:val="22"/>
        </w:rPr>
        <w:instrText>))+ε\s\do5(</w:instrText>
      </w:r>
      <w:r w:rsidRPr="008E3494">
        <w:rPr>
          <w:rFonts w:ascii="Arial" w:hAnsi="Arial" w:cs="Arial"/>
          <w:i/>
          <w:iCs/>
          <w:sz w:val="22"/>
          <w:szCs w:val="22"/>
        </w:rPr>
        <w:instrText>igt</w:instrText>
      </w:r>
      <w:r w:rsidRPr="008E3494">
        <w:rPr>
          <w:rFonts w:ascii="Arial" w:hAnsi="Arial" w:cs="Arial"/>
          <w:sz w:val="22"/>
          <w:szCs w:val="22"/>
        </w:rPr>
        <w:instrText>),</w:instrText>
      </w:r>
      <w:r w:rsidRPr="008E3494">
        <w:rPr>
          <w:rFonts w:ascii="Arial" w:hAnsi="Arial" w:cs="Arial"/>
          <w:sz w:val="22"/>
          <w:szCs w:val="22"/>
        </w:rPr>
        <w:fldChar w:fldCharType="end"/>
      </w:r>
    </w:p>
    <w:p w14:paraId="109C84C1" w14:textId="6F3F1653" w:rsidR="000B7F6B" w:rsidRPr="008E3494" w:rsidRDefault="000B7F6B" w:rsidP="000B7F6B">
      <w:pPr>
        <w:jc w:val="both"/>
        <w:rPr>
          <w:rFonts w:ascii="Arial" w:hAnsi="Arial" w:cs="Arial"/>
        </w:rPr>
      </w:pPr>
      <w:r w:rsidRPr="008E3494">
        <w:rPr>
          <w:rFonts w:ascii="Arial" w:hAnsi="Arial" w:cs="Arial"/>
        </w:rPr>
        <w:t xml:space="preserve">donde </w:t>
      </w:r>
      <w:r w:rsidRPr="008E3494">
        <w:rPr>
          <w:rFonts w:ascii="Arial" w:hAnsi="Arial" w:cs="Arial"/>
        </w:rPr>
        <w:fldChar w:fldCharType="begin"/>
      </w:r>
      <w:r w:rsidRPr="008E3494">
        <w:rPr>
          <w:rFonts w:ascii="Arial" w:hAnsi="Arial" w:cs="Arial"/>
        </w:rPr>
        <w:instrText xml:space="preserve"> EQ </w:instrText>
      </w:r>
      <w:r w:rsidRPr="008E3494">
        <w:rPr>
          <w:rFonts w:ascii="Arial" w:hAnsi="Arial" w:cs="Arial"/>
          <w:i/>
          <w:iCs/>
        </w:rPr>
        <w:instrText>Y</w:instrText>
      </w:r>
      <w:r w:rsidRPr="008E3494">
        <w:rPr>
          <w:rFonts w:ascii="Arial" w:hAnsi="Arial" w:cs="Arial"/>
        </w:rPr>
        <w:instrText>\s\do5(</w:instrText>
      </w:r>
      <w:r w:rsidRPr="008E3494">
        <w:rPr>
          <w:rFonts w:ascii="Arial" w:hAnsi="Arial" w:cs="Arial"/>
          <w:i/>
          <w:iCs/>
        </w:rPr>
        <w:instrText>igt</w:instrText>
      </w:r>
      <w:r w:rsidRPr="008E3494">
        <w:rPr>
          <w:rFonts w:ascii="Arial" w:hAnsi="Arial" w:cs="Arial"/>
        </w:rPr>
        <w:instrText>)</w:instrText>
      </w:r>
      <w:r w:rsidRPr="008E3494">
        <w:rPr>
          <w:rFonts w:ascii="Arial" w:hAnsi="Arial" w:cs="Arial"/>
        </w:rPr>
        <w:fldChar w:fldCharType="end"/>
      </w:r>
      <w:r w:rsidRPr="008E3494">
        <w:rPr>
          <w:rFonts w:ascii="Arial" w:hAnsi="Arial" w:cs="Arial"/>
        </w:rPr>
        <w:t xml:space="preserve"> es la variable resultado de interés para un hogar </w:t>
      </w:r>
      <w:r w:rsidRPr="008E3494">
        <w:rPr>
          <w:rFonts w:ascii="Arial" w:hAnsi="Arial" w:cs="Arial"/>
          <w:i/>
          <w:iCs/>
        </w:rPr>
        <w:t>i</w:t>
      </w:r>
      <w:r w:rsidRPr="008E3494">
        <w:rPr>
          <w:rFonts w:ascii="Arial" w:hAnsi="Arial" w:cs="Arial"/>
        </w:rPr>
        <w:t xml:space="preserve">, que pertenece a un grupo prioritario </w:t>
      </w:r>
      <w:r w:rsidRPr="008E3494">
        <w:rPr>
          <w:rFonts w:ascii="Arial" w:hAnsi="Arial" w:cs="Arial"/>
          <w:i/>
          <w:iCs/>
        </w:rPr>
        <w:t>g</w:t>
      </w:r>
      <w:r w:rsidRPr="008E3494">
        <w:rPr>
          <w:rFonts w:ascii="Arial" w:hAnsi="Arial" w:cs="Arial"/>
        </w:rPr>
        <w:t xml:space="preserve">, en el periodo </w:t>
      </w:r>
      <w:r w:rsidRPr="008E3494">
        <w:rPr>
          <w:rFonts w:ascii="Arial" w:hAnsi="Arial" w:cs="Arial"/>
          <w:i/>
          <w:iCs/>
        </w:rPr>
        <w:t>t</w:t>
      </w:r>
      <w:r w:rsidRPr="008E3494">
        <w:rPr>
          <w:rFonts w:ascii="Arial" w:hAnsi="Arial" w:cs="Arial"/>
        </w:rPr>
        <w:t xml:space="preserve">. La variable </w:t>
      </w:r>
      <w:r w:rsidRPr="008E3494">
        <w:rPr>
          <w:rFonts w:ascii="Arial" w:hAnsi="Arial" w:cs="Arial"/>
        </w:rPr>
        <w:fldChar w:fldCharType="begin"/>
      </w:r>
      <w:r w:rsidRPr="008E3494">
        <w:rPr>
          <w:rFonts w:ascii="Arial" w:hAnsi="Arial" w:cs="Arial"/>
        </w:rPr>
        <w:instrText xml:space="preserve"> EQ </w:instrText>
      </w:r>
      <w:r w:rsidRPr="008E3494">
        <w:rPr>
          <w:rFonts w:ascii="Arial" w:hAnsi="Arial" w:cs="Arial"/>
          <w:i/>
          <w:iCs/>
        </w:rPr>
        <w:instrText>T</w:instrText>
      </w:r>
      <w:r w:rsidRPr="008E3494">
        <w:rPr>
          <w:rFonts w:ascii="Arial" w:hAnsi="Arial" w:cs="Arial"/>
        </w:rPr>
        <w:instrText>\s\do5(</w:instrText>
      </w:r>
      <w:r w:rsidRPr="008E3494">
        <w:rPr>
          <w:rFonts w:ascii="Arial" w:hAnsi="Arial" w:cs="Arial"/>
          <w:i/>
          <w:iCs/>
        </w:rPr>
        <w:instrText>ig</w:instrText>
      </w:r>
      <w:r w:rsidRPr="008E3494">
        <w:rPr>
          <w:rFonts w:ascii="Arial" w:hAnsi="Arial" w:cs="Arial"/>
        </w:rPr>
        <w:instrText>)</w:instrText>
      </w:r>
      <w:r w:rsidRPr="008E3494">
        <w:rPr>
          <w:rFonts w:ascii="Arial" w:hAnsi="Arial" w:cs="Arial"/>
        </w:rPr>
        <w:fldChar w:fldCharType="end"/>
      </w:r>
      <w:r w:rsidRPr="008E3494">
        <w:rPr>
          <w:rFonts w:ascii="Arial" w:hAnsi="Arial" w:cs="Arial"/>
        </w:rPr>
        <w:t xml:space="preserve"> denota si la familia es catalogada como parte del grupo tratamiento </w:t>
      </w:r>
      <w:r w:rsidRPr="008E3494">
        <w:rPr>
          <w:rFonts w:ascii="Arial" w:hAnsi="Arial" w:cs="Arial"/>
        </w:rPr>
        <w:fldChar w:fldCharType="begin"/>
      </w:r>
      <w:r w:rsidRPr="008E3494">
        <w:rPr>
          <w:rFonts w:ascii="Arial" w:hAnsi="Arial" w:cs="Arial"/>
        </w:rPr>
        <w:instrText xml:space="preserve"> EQ  \b (</w:instrText>
      </w:r>
      <w:r w:rsidRPr="008E3494">
        <w:rPr>
          <w:rFonts w:ascii="Arial" w:hAnsi="Arial" w:cs="Arial"/>
          <w:i/>
          <w:iCs/>
        </w:rPr>
        <w:instrText>T</w:instrText>
      </w:r>
      <w:r w:rsidRPr="008E3494">
        <w:rPr>
          <w:rFonts w:ascii="Arial" w:hAnsi="Arial" w:cs="Arial"/>
        </w:rPr>
        <w:instrText>\s\do5(</w:instrText>
      </w:r>
      <w:r w:rsidRPr="008E3494">
        <w:rPr>
          <w:rFonts w:ascii="Arial" w:hAnsi="Arial" w:cs="Arial"/>
          <w:i/>
          <w:iCs/>
        </w:rPr>
        <w:instrText>ig</w:instrText>
      </w:r>
      <w:r w:rsidRPr="008E3494">
        <w:rPr>
          <w:rFonts w:ascii="Arial" w:hAnsi="Arial" w:cs="Arial"/>
        </w:rPr>
        <w:instrText>)=1)</w:instrText>
      </w:r>
      <w:r w:rsidRPr="008E3494">
        <w:rPr>
          <w:rFonts w:ascii="Arial" w:hAnsi="Arial" w:cs="Arial"/>
        </w:rPr>
        <w:fldChar w:fldCharType="end"/>
      </w:r>
      <w:r w:rsidRPr="008E3494">
        <w:rPr>
          <w:rFonts w:ascii="Arial" w:hAnsi="Arial" w:cs="Arial"/>
        </w:rPr>
        <w:t xml:space="preserve"> o grupo control </w:t>
      </w:r>
      <w:r w:rsidRPr="008E3494">
        <w:rPr>
          <w:rFonts w:ascii="Arial" w:hAnsi="Arial" w:cs="Arial"/>
        </w:rPr>
        <w:fldChar w:fldCharType="begin"/>
      </w:r>
      <w:r w:rsidRPr="008E3494">
        <w:rPr>
          <w:rFonts w:ascii="Arial" w:hAnsi="Arial" w:cs="Arial"/>
        </w:rPr>
        <w:instrText xml:space="preserve"> EQ  \b (</w:instrText>
      </w:r>
      <w:r w:rsidRPr="008E3494">
        <w:rPr>
          <w:rFonts w:ascii="Arial" w:hAnsi="Arial" w:cs="Arial"/>
          <w:i/>
          <w:iCs/>
        </w:rPr>
        <w:instrText>T</w:instrText>
      </w:r>
      <w:r w:rsidRPr="008E3494">
        <w:rPr>
          <w:rFonts w:ascii="Arial" w:hAnsi="Arial" w:cs="Arial"/>
        </w:rPr>
        <w:instrText>\s\do5(</w:instrText>
      </w:r>
      <w:r w:rsidRPr="008E3494">
        <w:rPr>
          <w:rFonts w:ascii="Arial" w:hAnsi="Arial" w:cs="Arial"/>
          <w:i/>
          <w:iCs/>
        </w:rPr>
        <w:instrText>ig</w:instrText>
      </w:r>
      <w:r w:rsidRPr="008E3494">
        <w:rPr>
          <w:rFonts w:ascii="Arial" w:hAnsi="Arial" w:cs="Arial"/>
        </w:rPr>
        <w:instrText>)=0).</w:instrText>
      </w:r>
      <w:r w:rsidRPr="008E3494">
        <w:rPr>
          <w:rFonts w:ascii="Arial" w:hAnsi="Arial" w:cs="Arial"/>
        </w:rPr>
        <w:fldChar w:fldCharType="end"/>
      </w:r>
      <w:r w:rsidRPr="008E3494">
        <w:rPr>
          <w:rFonts w:ascii="Arial" w:hAnsi="Arial" w:cs="Arial"/>
        </w:rPr>
        <w:t xml:space="preserve"> La variable </w:t>
      </w:r>
      <w:r w:rsidRPr="008E3494">
        <w:rPr>
          <w:rFonts w:ascii="Arial" w:hAnsi="Arial" w:cs="Arial"/>
        </w:rPr>
        <w:fldChar w:fldCharType="begin"/>
      </w:r>
      <w:r w:rsidRPr="008E3494">
        <w:rPr>
          <w:rFonts w:ascii="Arial" w:hAnsi="Arial" w:cs="Arial"/>
        </w:rPr>
        <w:instrText xml:space="preserve"> EQ </w:instrText>
      </w:r>
      <w:r w:rsidRPr="008E3494">
        <w:rPr>
          <w:rFonts w:ascii="Arial" w:hAnsi="Arial" w:cs="Arial"/>
          <w:i/>
          <w:iCs/>
        </w:rPr>
        <w:instrText>After</w:instrText>
      </w:r>
      <w:r w:rsidRPr="008E3494">
        <w:rPr>
          <w:rFonts w:ascii="Arial" w:hAnsi="Arial" w:cs="Arial"/>
        </w:rPr>
        <w:instrText>\s\do5(</w:instrText>
      </w:r>
      <w:r w:rsidRPr="008E3494">
        <w:rPr>
          <w:rFonts w:ascii="Arial" w:hAnsi="Arial" w:cs="Arial"/>
          <w:i/>
          <w:iCs/>
        </w:rPr>
        <w:instrText>t</w:instrText>
      </w:r>
      <w:r w:rsidRPr="008E3494">
        <w:rPr>
          <w:rFonts w:ascii="Arial" w:hAnsi="Arial" w:cs="Arial"/>
        </w:rPr>
        <w:instrText>)</w:instrText>
      </w:r>
      <w:r w:rsidRPr="008E3494">
        <w:rPr>
          <w:rFonts w:ascii="Arial" w:hAnsi="Arial" w:cs="Arial"/>
        </w:rPr>
        <w:fldChar w:fldCharType="end"/>
      </w:r>
      <w:r w:rsidRPr="008E3494">
        <w:rPr>
          <w:rFonts w:ascii="Arial" w:hAnsi="Arial" w:cs="Arial"/>
        </w:rPr>
        <w:t xml:space="preserve"> toma valor uno si el año de encuesta es diferente del año base, y cero en otro caso. El parámetro β mide el efecto promedio entre familias tratadas y no tratadas, cuando las familias tratadas han recibido el subsidio a la fecha de la encuesta. Finalmente, α y γ recogen efectos fijos a nivel de hogar y de tiempo para aislar dicha variación. En una especificación más general, se pueden incluir otras variables explicativas </w:t>
      </w:r>
      <w:r w:rsidRPr="008E3494">
        <w:rPr>
          <w:rFonts w:ascii="Arial" w:hAnsi="Arial" w:cs="Arial"/>
          <w:i/>
          <w:iCs/>
        </w:rPr>
        <w:t>X</w:t>
      </w:r>
      <w:r w:rsidRPr="008E3494">
        <w:rPr>
          <w:rFonts w:ascii="Arial" w:hAnsi="Arial" w:cs="Arial"/>
        </w:rPr>
        <w:t xml:space="preserve"> a nivel de familia, relevantes para predecir el comportamiento de las variables dependientes evaluadas. </w:t>
      </w:r>
    </w:p>
    <w:p w14:paraId="62486117" w14:textId="77777777" w:rsidR="00181B8D" w:rsidRPr="008E3494" w:rsidRDefault="00181B8D" w:rsidP="000B7F6B">
      <w:pPr>
        <w:jc w:val="both"/>
        <w:rPr>
          <w:rFonts w:ascii="Arial" w:hAnsi="Arial" w:cs="Arial"/>
        </w:rPr>
      </w:pPr>
    </w:p>
    <w:p w14:paraId="2B1418CD" w14:textId="77777777" w:rsidR="00181B8D" w:rsidRPr="008E3494" w:rsidRDefault="00181B8D" w:rsidP="00181B8D">
      <w:pPr>
        <w:pStyle w:val="Heading3"/>
      </w:pPr>
      <w:bookmarkStart w:id="16" w:name="_Toc1373070"/>
      <w:r w:rsidRPr="008E3494">
        <w:t>Indicador de impacto y fuentes de datos</w:t>
      </w:r>
      <w:bookmarkEnd w:id="16"/>
    </w:p>
    <w:p w14:paraId="3D0832B6" w14:textId="77777777" w:rsidR="00181B8D" w:rsidRPr="008E3494" w:rsidRDefault="00181B8D" w:rsidP="00181B8D">
      <w:pPr>
        <w:pStyle w:val="BodyText"/>
        <w:spacing w:before="5"/>
        <w:rPr>
          <w:b/>
          <w:sz w:val="20"/>
          <w:szCs w:val="20"/>
        </w:rPr>
      </w:pPr>
    </w:p>
    <w:p w14:paraId="7E8E3978" w14:textId="77777777" w:rsidR="00181B8D" w:rsidRPr="008E3494" w:rsidRDefault="00181B8D" w:rsidP="00181B8D">
      <w:pPr>
        <w:autoSpaceDE w:val="0"/>
        <w:autoSpaceDN w:val="0"/>
        <w:adjustRightInd w:val="0"/>
        <w:spacing w:after="120" w:line="240" w:lineRule="auto"/>
        <w:jc w:val="center"/>
        <w:rPr>
          <w:rFonts w:ascii="Arial" w:hAnsi="Arial" w:cs="Arial"/>
          <w:b/>
          <w:smallCaps/>
          <w:sz w:val="20"/>
          <w:szCs w:val="20"/>
        </w:rPr>
      </w:pPr>
    </w:p>
    <w:p w14:paraId="313FAA21" w14:textId="77777777" w:rsidR="00181B8D" w:rsidRPr="008E3494" w:rsidRDefault="00181B8D" w:rsidP="00181B8D">
      <w:pPr>
        <w:spacing w:after="160" w:line="259" w:lineRule="auto"/>
        <w:jc w:val="both"/>
        <w:rPr>
          <w:rFonts w:ascii="Arial" w:eastAsia="Calibri" w:hAnsi="Arial" w:cs="Arial"/>
          <w:lang w:val="es-419"/>
        </w:rPr>
      </w:pPr>
      <w:r w:rsidRPr="008E3494">
        <w:rPr>
          <w:rFonts w:ascii="Arial" w:eastAsia="Calibri" w:hAnsi="Arial" w:cs="Arial"/>
          <w:lang w:val="es-419"/>
        </w:rPr>
        <w:t>La información para desarrollar la evaluación de impacto de este programa proviene de recolección primaria mediante el levantamiento de la línea de base. Posteriormente, a partir del segundo año de ejecución, se procede a recopilar información de familias elegibles tratadas y no-tratadas mediante una encuesta que recopile información socioeconómica, y de los indicadores de impacto en términos de salud física y mental, condiciones de vivienda, situación de hacinamiento, y cambios en la estructura de consumo y gasto en el hogar.</w:t>
      </w:r>
    </w:p>
    <w:p w14:paraId="726E7F70" w14:textId="77777777" w:rsidR="00181B8D" w:rsidRPr="008E3494" w:rsidRDefault="00181B8D" w:rsidP="00181B8D">
      <w:pPr>
        <w:spacing w:after="160" w:line="259" w:lineRule="auto"/>
        <w:jc w:val="both"/>
        <w:rPr>
          <w:rFonts w:ascii="Arial" w:eastAsia="Calibri" w:hAnsi="Arial" w:cs="Arial"/>
          <w:lang w:val="es-419"/>
        </w:rPr>
      </w:pPr>
      <w:r w:rsidRPr="008E3494">
        <w:rPr>
          <w:rFonts w:ascii="Arial" w:eastAsia="Calibri" w:hAnsi="Arial" w:cs="Arial"/>
          <w:lang w:val="es-419"/>
        </w:rPr>
        <w:t xml:space="preserve">En resumen, se espera que la intervención sea exitosa en disminuir los niveles de estrés habitacional, como en mejorar los indicadores de salud infantil. Igualmente, se espera que los beneficiarios manifiesten una mejora del bienestar en cuanto a sus condiciones de vivienda, como también un cambio en su estructura de gasto hacia consumo de bienes con mayor durabilidad. El siguiente cuadro resume estos indicadores y resultados esperados. </w:t>
      </w:r>
    </w:p>
    <w:p w14:paraId="64BFBF20" w14:textId="77777777" w:rsidR="00181B8D" w:rsidRPr="008E3494" w:rsidRDefault="00181B8D" w:rsidP="000B7F6B">
      <w:pPr>
        <w:jc w:val="both"/>
        <w:rPr>
          <w:rFonts w:ascii="Arial" w:hAnsi="Arial" w:cs="Arial"/>
        </w:rPr>
      </w:pPr>
    </w:p>
    <w:p w14:paraId="7BA0DB27" w14:textId="77777777" w:rsidR="000B7F6B" w:rsidRPr="008E3494" w:rsidRDefault="000B7F6B" w:rsidP="00F9604D">
      <w:pPr>
        <w:spacing w:after="0" w:line="240" w:lineRule="auto"/>
        <w:rPr>
          <w:rFonts w:ascii="Arial" w:hAnsi="Arial" w:cs="Arial"/>
          <w:b/>
        </w:rPr>
      </w:pPr>
    </w:p>
    <w:p w14:paraId="15041108" w14:textId="650471C9" w:rsidR="000B7F6B" w:rsidRPr="008E3494" w:rsidRDefault="000B7F6B" w:rsidP="00F9604D">
      <w:pPr>
        <w:spacing w:after="0" w:line="240" w:lineRule="auto"/>
        <w:rPr>
          <w:rFonts w:ascii="Arial" w:hAnsi="Arial" w:cs="Arial"/>
          <w:b/>
          <w:sz w:val="28"/>
        </w:rPr>
        <w:sectPr w:rsidR="000B7F6B" w:rsidRPr="008E3494">
          <w:headerReference w:type="default" r:id="rId18"/>
          <w:footerReference w:type="default" r:id="rId19"/>
          <w:pgSz w:w="12240" w:h="15840"/>
          <w:pgMar w:top="1440" w:right="1440" w:bottom="1440" w:left="1440" w:header="720" w:footer="720" w:gutter="0"/>
          <w:cols w:space="720"/>
          <w:docGrid w:linePitch="360"/>
        </w:sectPr>
      </w:pPr>
    </w:p>
    <w:p w14:paraId="5B7EBC33" w14:textId="100A15FC" w:rsidR="00670180" w:rsidRPr="008E3494" w:rsidRDefault="007F5B37" w:rsidP="00181B8D">
      <w:pPr>
        <w:autoSpaceDE w:val="0"/>
        <w:autoSpaceDN w:val="0"/>
        <w:adjustRightInd w:val="0"/>
        <w:spacing w:after="120" w:line="240" w:lineRule="auto"/>
        <w:jc w:val="center"/>
        <w:rPr>
          <w:rFonts w:ascii="Arial" w:hAnsi="Arial" w:cs="Arial"/>
        </w:rPr>
      </w:pPr>
      <w:r w:rsidRPr="008E3494">
        <w:rPr>
          <w:rFonts w:ascii="Arial" w:hAnsi="Arial" w:cs="Arial"/>
          <w:b/>
          <w:smallCaps/>
          <w:sz w:val="20"/>
          <w:szCs w:val="20"/>
        </w:rPr>
        <w:lastRenderedPageBreak/>
        <w:t>Impacto Esperado</w:t>
      </w:r>
    </w:p>
    <w:p w14:paraId="2806D90E" w14:textId="77777777" w:rsidR="00670180" w:rsidRPr="008E3494" w:rsidRDefault="00670180">
      <w:pPr>
        <w:spacing w:line="240"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274"/>
        <w:gridCol w:w="1277"/>
        <w:gridCol w:w="852"/>
        <w:gridCol w:w="1277"/>
        <w:gridCol w:w="5581"/>
      </w:tblGrid>
      <w:tr w:rsidR="004F5B7D" w:rsidRPr="008E3494" w14:paraId="38DD49EB" w14:textId="77777777" w:rsidTr="004F5B7D">
        <w:trPr>
          <w:trHeight w:val="1528"/>
          <w:tblHeader/>
        </w:trPr>
        <w:tc>
          <w:tcPr>
            <w:tcW w:w="103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9C1B079" w14:textId="77777777" w:rsidR="004F5B7D" w:rsidRPr="008E3494" w:rsidRDefault="004F5B7D" w:rsidP="00670180">
            <w:pPr>
              <w:spacing w:after="0" w:line="240" w:lineRule="auto"/>
              <w:jc w:val="center"/>
              <w:rPr>
                <w:rFonts w:ascii="Arial" w:hAnsi="Arial" w:cs="Arial"/>
                <w:b/>
                <w:sz w:val="20"/>
                <w:szCs w:val="20"/>
                <w:lang w:eastAsia="zh-CN"/>
              </w:rPr>
            </w:pPr>
            <w:r w:rsidRPr="008E3494">
              <w:rPr>
                <w:rFonts w:ascii="Arial" w:hAnsi="Arial" w:cs="Arial"/>
                <w:b/>
                <w:sz w:val="20"/>
                <w:szCs w:val="20"/>
                <w:lang w:eastAsia="zh-CN"/>
              </w:rPr>
              <w:t>Indicadores</w:t>
            </w:r>
          </w:p>
        </w:tc>
        <w:tc>
          <w:tcPr>
            <w:tcW w:w="492"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069BE941" w14:textId="77777777" w:rsidR="004F5B7D" w:rsidRPr="008E3494" w:rsidRDefault="004F5B7D" w:rsidP="00670180">
            <w:pPr>
              <w:spacing w:after="0" w:line="240" w:lineRule="auto"/>
              <w:jc w:val="center"/>
              <w:rPr>
                <w:rFonts w:ascii="Arial" w:hAnsi="Arial" w:cs="Arial"/>
                <w:b/>
                <w:sz w:val="20"/>
                <w:szCs w:val="20"/>
                <w:lang w:eastAsia="zh-CN"/>
              </w:rPr>
            </w:pPr>
            <w:r w:rsidRPr="008E3494">
              <w:rPr>
                <w:rFonts w:ascii="Arial" w:hAnsi="Arial" w:cs="Arial"/>
                <w:b/>
                <w:sz w:val="20"/>
                <w:szCs w:val="20"/>
              </w:rPr>
              <w:t>Unidad de medida</w:t>
            </w:r>
          </w:p>
        </w:tc>
        <w:tc>
          <w:tcPr>
            <w:tcW w:w="493"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2650072E" w14:textId="77777777" w:rsidR="004F5B7D" w:rsidRPr="008E3494" w:rsidRDefault="004F5B7D" w:rsidP="00670180">
            <w:pPr>
              <w:spacing w:after="0" w:line="240" w:lineRule="auto"/>
              <w:jc w:val="center"/>
              <w:rPr>
                <w:rFonts w:ascii="Arial" w:hAnsi="Arial" w:cs="Arial"/>
                <w:b/>
                <w:sz w:val="20"/>
                <w:szCs w:val="20"/>
                <w:lang w:eastAsia="zh-CN"/>
              </w:rPr>
            </w:pPr>
            <w:r w:rsidRPr="008E3494">
              <w:rPr>
                <w:rFonts w:ascii="Arial" w:hAnsi="Arial" w:cs="Arial"/>
                <w:b/>
                <w:sz w:val="20"/>
                <w:szCs w:val="20"/>
              </w:rPr>
              <w:t>Línea de base</w:t>
            </w:r>
          </w:p>
        </w:tc>
        <w:tc>
          <w:tcPr>
            <w:tcW w:w="329"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67303BC3" w14:textId="77777777" w:rsidR="004F5B7D" w:rsidRPr="008E3494" w:rsidRDefault="004F5B7D" w:rsidP="00670180">
            <w:pPr>
              <w:spacing w:after="0" w:line="240" w:lineRule="auto"/>
              <w:jc w:val="center"/>
              <w:rPr>
                <w:rFonts w:ascii="Arial" w:hAnsi="Arial" w:cs="Arial"/>
                <w:b/>
                <w:sz w:val="20"/>
                <w:szCs w:val="20"/>
                <w:lang w:eastAsia="zh-CN"/>
              </w:rPr>
            </w:pPr>
            <w:r w:rsidRPr="008E3494">
              <w:rPr>
                <w:rFonts w:ascii="Arial" w:hAnsi="Arial" w:cs="Arial"/>
                <w:b/>
                <w:sz w:val="20"/>
                <w:szCs w:val="20"/>
              </w:rPr>
              <w:t>Año. Línea base</w:t>
            </w:r>
          </w:p>
        </w:tc>
        <w:tc>
          <w:tcPr>
            <w:tcW w:w="493"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40718FB1" w14:textId="77777777" w:rsidR="004F5B7D" w:rsidRPr="008E3494" w:rsidRDefault="004F5B7D" w:rsidP="00670180">
            <w:pPr>
              <w:spacing w:after="0" w:line="240" w:lineRule="auto"/>
              <w:jc w:val="center"/>
              <w:rPr>
                <w:rFonts w:ascii="Arial" w:hAnsi="Arial" w:cs="Arial"/>
                <w:b/>
                <w:sz w:val="20"/>
                <w:szCs w:val="20"/>
                <w:lang w:eastAsia="zh-CN"/>
              </w:rPr>
            </w:pPr>
            <w:r w:rsidRPr="008E3494">
              <w:rPr>
                <w:rFonts w:ascii="Arial" w:hAnsi="Arial" w:cs="Arial"/>
                <w:b/>
                <w:sz w:val="20"/>
                <w:szCs w:val="20"/>
              </w:rPr>
              <w:t>Fin proyecto</w:t>
            </w:r>
          </w:p>
        </w:tc>
        <w:tc>
          <w:tcPr>
            <w:tcW w:w="215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FF22E0B" w14:textId="77777777" w:rsidR="004F5B7D" w:rsidRPr="008E3494" w:rsidRDefault="004F5B7D" w:rsidP="00670180">
            <w:pPr>
              <w:spacing w:after="0" w:line="240" w:lineRule="auto"/>
              <w:jc w:val="center"/>
              <w:rPr>
                <w:rFonts w:ascii="Arial" w:hAnsi="Arial" w:cs="Arial"/>
                <w:b/>
                <w:sz w:val="20"/>
                <w:szCs w:val="20"/>
                <w:lang w:eastAsia="zh-CN"/>
              </w:rPr>
            </w:pPr>
            <w:r w:rsidRPr="008E3494">
              <w:rPr>
                <w:rFonts w:ascii="Arial" w:hAnsi="Arial" w:cs="Arial"/>
                <w:b/>
                <w:sz w:val="20"/>
                <w:szCs w:val="20"/>
              </w:rPr>
              <w:t>Comentarios/medio de verificación</w:t>
            </w:r>
            <w:r w:rsidRPr="008E3494">
              <w:rPr>
                <w:rStyle w:val="FootnoteReference"/>
                <w:rFonts w:ascii="Arial" w:hAnsi="Arial" w:cs="Arial"/>
                <w:b/>
                <w:sz w:val="20"/>
                <w:szCs w:val="20"/>
                <w:lang w:eastAsia="zh-CN"/>
              </w:rPr>
              <w:t xml:space="preserve"> </w:t>
            </w:r>
            <w:r w:rsidRPr="008E3494">
              <w:rPr>
                <w:rStyle w:val="FootnoteReference"/>
                <w:rFonts w:ascii="Arial" w:hAnsi="Arial" w:cs="Arial"/>
                <w:b/>
                <w:sz w:val="20"/>
                <w:szCs w:val="20"/>
                <w:lang w:eastAsia="zh-CN"/>
              </w:rPr>
              <w:footnoteReference w:id="3"/>
            </w:r>
          </w:p>
        </w:tc>
      </w:tr>
      <w:tr w:rsidR="004F5B7D" w:rsidRPr="008E3494" w14:paraId="61089750" w14:textId="77777777" w:rsidTr="004F5B7D">
        <w:trPr>
          <w:trHeight w:val="64"/>
        </w:trPr>
        <w:tc>
          <w:tcPr>
            <w:tcW w:w="1038" w:type="pct"/>
            <w:tcBorders>
              <w:top w:val="single" w:sz="4" w:space="0" w:color="auto"/>
              <w:left w:val="single" w:sz="4" w:space="0" w:color="auto"/>
              <w:bottom w:val="single" w:sz="4" w:space="0" w:color="auto"/>
              <w:right w:val="single" w:sz="4" w:space="0" w:color="auto"/>
            </w:tcBorders>
            <w:vAlign w:val="center"/>
            <w:hideMark/>
          </w:tcPr>
          <w:p w14:paraId="1C6981D5" w14:textId="77777777" w:rsidR="004F5B7D" w:rsidRPr="008E3494" w:rsidRDefault="004F5B7D" w:rsidP="00670180">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 xml:space="preserve">Incremento en nivel de satisfacción con la vivienda, servicios y barrio. </w:t>
            </w:r>
          </w:p>
        </w:tc>
        <w:tc>
          <w:tcPr>
            <w:tcW w:w="492" w:type="pct"/>
            <w:tcBorders>
              <w:top w:val="single" w:sz="4" w:space="0" w:color="auto"/>
              <w:left w:val="single" w:sz="4" w:space="0" w:color="auto"/>
              <w:bottom w:val="single" w:sz="4" w:space="0" w:color="auto"/>
              <w:right w:val="single" w:sz="4" w:space="0" w:color="auto"/>
            </w:tcBorders>
            <w:vAlign w:val="center"/>
          </w:tcPr>
          <w:p w14:paraId="16A68A78" w14:textId="77777777" w:rsidR="004F5B7D" w:rsidRPr="008E3494" w:rsidRDefault="004F5B7D" w:rsidP="00670180">
            <w:pPr>
              <w:spacing w:after="0" w:line="240" w:lineRule="auto"/>
              <w:jc w:val="center"/>
              <w:rPr>
                <w:rFonts w:ascii="Arial" w:hAnsi="Arial" w:cs="Arial"/>
                <w:sz w:val="20"/>
                <w:szCs w:val="20"/>
                <w:lang w:eastAsia="zh-CN"/>
              </w:rPr>
            </w:pPr>
            <w:r w:rsidRPr="008E3494">
              <w:rPr>
                <w:rFonts w:ascii="Arial" w:hAnsi="Arial" w:cs="Arial"/>
                <w:sz w:val="20"/>
                <w:szCs w:val="20"/>
                <w:lang w:eastAsia="zh-CN"/>
              </w:rPr>
              <w:t>Porcentaje</w:t>
            </w:r>
          </w:p>
        </w:tc>
        <w:tc>
          <w:tcPr>
            <w:tcW w:w="493" w:type="pct"/>
            <w:tcBorders>
              <w:top w:val="single" w:sz="4" w:space="0" w:color="auto"/>
              <w:left w:val="single" w:sz="4" w:space="0" w:color="auto"/>
              <w:bottom w:val="single" w:sz="4" w:space="0" w:color="auto"/>
              <w:right w:val="single" w:sz="4" w:space="0" w:color="auto"/>
            </w:tcBorders>
            <w:vAlign w:val="center"/>
          </w:tcPr>
          <w:p w14:paraId="0E1AD904" w14:textId="77777777" w:rsidR="004F5B7D" w:rsidRPr="008E3494" w:rsidRDefault="004F5B7D" w:rsidP="00670180">
            <w:pPr>
              <w:spacing w:after="0" w:line="240" w:lineRule="auto"/>
              <w:jc w:val="center"/>
              <w:rPr>
                <w:rFonts w:ascii="Arial" w:hAnsi="Arial" w:cs="Arial"/>
                <w:sz w:val="20"/>
                <w:szCs w:val="20"/>
                <w:lang w:eastAsia="zh-CN"/>
              </w:rPr>
            </w:pPr>
            <w:r w:rsidRPr="008E3494">
              <w:rPr>
                <w:rFonts w:ascii="Arial" w:hAnsi="Arial" w:cs="Arial"/>
                <w:sz w:val="20"/>
                <w:szCs w:val="20"/>
                <w:lang w:eastAsia="zh-CN"/>
              </w:rPr>
              <w:t>100% de hogares con nivel de satisfacción bajo (ISR=5, 6, 7)</w:t>
            </w:r>
          </w:p>
        </w:tc>
        <w:tc>
          <w:tcPr>
            <w:tcW w:w="329" w:type="pct"/>
            <w:tcBorders>
              <w:top w:val="single" w:sz="4" w:space="0" w:color="auto"/>
              <w:left w:val="single" w:sz="4" w:space="0" w:color="auto"/>
              <w:bottom w:val="single" w:sz="4" w:space="0" w:color="auto"/>
              <w:right w:val="single" w:sz="4" w:space="0" w:color="auto"/>
            </w:tcBorders>
            <w:vAlign w:val="center"/>
          </w:tcPr>
          <w:p w14:paraId="37042381" w14:textId="77777777" w:rsidR="004F5B7D" w:rsidRPr="008E3494" w:rsidRDefault="004F5B7D" w:rsidP="00670180">
            <w:pPr>
              <w:spacing w:after="0" w:line="240" w:lineRule="auto"/>
              <w:jc w:val="center"/>
              <w:rPr>
                <w:rFonts w:ascii="Arial" w:hAnsi="Arial" w:cs="Arial"/>
                <w:sz w:val="20"/>
                <w:szCs w:val="20"/>
                <w:lang w:eastAsia="zh-CN"/>
              </w:rPr>
            </w:pPr>
            <w:r w:rsidRPr="008E3494">
              <w:rPr>
                <w:rFonts w:ascii="Arial" w:hAnsi="Arial" w:cs="Arial"/>
                <w:sz w:val="20"/>
                <w:szCs w:val="20"/>
                <w:lang w:eastAsia="zh-CN"/>
              </w:rPr>
              <w:t>2019</w:t>
            </w:r>
          </w:p>
        </w:tc>
        <w:tc>
          <w:tcPr>
            <w:tcW w:w="493" w:type="pct"/>
            <w:tcBorders>
              <w:top w:val="single" w:sz="4" w:space="0" w:color="auto"/>
              <w:left w:val="single" w:sz="4" w:space="0" w:color="auto"/>
              <w:bottom w:val="single" w:sz="4" w:space="0" w:color="auto"/>
              <w:right w:val="single" w:sz="4" w:space="0" w:color="auto"/>
            </w:tcBorders>
            <w:vAlign w:val="center"/>
          </w:tcPr>
          <w:p w14:paraId="34D2D66B" w14:textId="77777777" w:rsidR="004F5B7D" w:rsidRPr="008E3494" w:rsidRDefault="004F5B7D" w:rsidP="00670180">
            <w:pPr>
              <w:spacing w:after="0" w:line="240" w:lineRule="auto"/>
              <w:jc w:val="center"/>
              <w:rPr>
                <w:rFonts w:ascii="Arial" w:hAnsi="Arial" w:cs="Arial"/>
                <w:i/>
                <w:sz w:val="20"/>
                <w:szCs w:val="20"/>
                <w:lang w:eastAsia="zh-CN"/>
              </w:rPr>
            </w:pPr>
            <w:r w:rsidRPr="008E3494">
              <w:rPr>
                <w:rFonts w:ascii="Arial" w:hAnsi="Arial" w:cs="Arial"/>
                <w:sz w:val="20"/>
                <w:szCs w:val="20"/>
                <w:lang w:eastAsia="zh-CN"/>
              </w:rPr>
              <w:t>100% de hogares con nivel de satisfacción medio o alto (ISR=8, 9, 10)</w:t>
            </w:r>
          </w:p>
        </w:tc>
        <w:tc>
          <w:tcPr>
            <w:tcW w:w="2155" w:type="pct"/>
            <w:tcBorders>
              <w:top w:val="single" w:sz="4" w:space="0" w:color="auto"/>
              <w:left w:val="single" w:sz="4" w:space="0" w:color="auto"/>
              <w:bottom w:val="single" w:sz="4" w:space="0" w:color="auto"/>
              <w:right w:val="single" w:sz="4" w:space="0" w:color="auto"/>
            </w:tcBorders>
          </w:tcPr>
          <w:p w14:paraId="08306983" w14:textId="77777777" w:rsidR="004F5B7D" w:rsidRPr="008E3494" w:rsidRDefault="004F5B7D" w:rsidP="00670180">
            <w:pPr>
              <w:spacing w:before="120" w:after="120" w:line="240" w:lineRule="auto"/>
              <w:rPr>
                <w:rFonts w:ascii="Arial" w:hAnsi="Arial" w:cs="Arial"/>
                <w:sz w:val="20"/>
                <w:szCs w:val="20"/>
                <w:lang w:eastAsia="zh-CN"/>
              </w:rPr>
            </w:pPr>
            <w:r w:rsidRPr="008E3494">
              <w:rPr>
                <w:rFonts w:ascii="Arial" w:hAnsi="Arial" w:cs="Arial"/>
                <w:sz w:val="20"/>
                <w:szCs w:val="20"/>
                <w:lang w:eastAsia="zh-CN"/>
              </w:rPr>
              <w:t xml:space="preserve">Basado en índice de satisfacción residencial (ISR) implementado por la Sociedad Hipotecaria Federal en México, la cual mide la satisfacción en las características (i) físicas de la construcción, (ii) espaciales y funcionales, (iii) adaptaciones y transformaciones, (iv) ambientales, etc. </w:t>
            </w:r>
          </w:p>
          <w:p w14:paraId="444C6EC0" w14:textId="77777777" w:rsidR="004F5B7D" w:rsidRPr="008E3494" w:rsidRDefault="004F5B7D" w:rsidP="00670180">
            <w:pPr>
              <w:spacing w:before="120" w:after="120" w:line="240" w:lineRule="auto"/>
              <w:rPr>
                <w:rFonts w:ascii="Arial" w:hAnsi="Arial" w:cs="Arial"/>
                <w:sz w:val="20"/>
                <w:szCs w:val="20"/>
                <w:lang w:eastAsia="zh-CN"/>
              </w:rPr>
            </w:pPr>
            <w:r w:rsidRPr="008E3494">
              <w:rPr>
                <w:rFonts w:ascii="Arial" w:hAnsi="Arial" w:cs="Arial"/>
                <w:sz w:val="20"/>
                <w:szCs w:val="20"/>
                <w:lang w:eastAsia="zh-CN"/>
              </w:rPr>
              <w:t xml:space="preserve">Para capturar la tendencia, se debe realizar la encuesta en por lo menos tres puntos en el tiempo. </w:t>
            </w:r>
          </w:p>
          <w:p w14:paraId="4341A360" w14:textId="77777777" w:rsidR="004F5B7D" w:rsidRPr="008E3494" w:rsidRDefault="004F5B7D" w:rsidP="00670180">
            <w:pPr>
              <w:spacing w:before="120" w:after="120" w:line="240" w:lineRule="auto"/>
              <w:rPr>
                <w:rFonts w:ascii="Arial" w:hAnsi="Arial" w:cs="Arial"/>
                <w:sz w:val="20"/>
                <w:szCs w:val="20"/>
                <w:lang w:eastAsia="zh-CN"/>
              </w:rPr>
            </w:pPr>
          </w:p>
          <w:p w14:paraId="48257BBB" w14:textId="2180FE8C" w:rsidR="004F5B7D" w:rsidRPr="008E3494" w:rsidRDefault="004F5B7D" w:rsidP="00670180">
            <w:pPr>
              <w:spacing w:before="120" w:after="120" w:line="240" w:lineRule="auto"/>
              <w:rPr>
                <w:rFonts w:ascii="Arial" w:hAnsi="Arial" w:cs="Arial"/>
                <w:sz w:val="20"/>
                <w:szCs w:val="20"/>
                <w:lang w:eastAsia="zh-CN"/>
              </w:rPr>
            </w:pPr>
            <w:r w:rsidRPr="008E3494">
              <w:rPr>
                <w:rFonts w:ascii="Arial" w:hAnsi="Arial" w:cs="Arial"/>
                <w:b/>
                <w:sz w:val="20"/>
                <w:szCs w:val="20"/>
                <w:lang w:eastAsia="zh-CN"/>
              </w:rPr>
              <w:t>- Medio de verificación:</w:t>
            </w:r>
            <w:r w:rsidRPr="008E3494">
              <w:rPr>
                <w:rFonts w:ascii="Arial" w:hAnsi="Arial" w:cs="Arial"/>
                <w:sz w:val="20"/>
                <w:szCs w:val="20"/>
                <w:lang w:eastAsia="zh-CN"/>
              </w:rPr>
              <w:t xml:space="preserve"> Encuesta de evaluación de impacto a grupo tratamiento y control.</w:t>
            </w:r>
          </w:p>
        </w:tc>
      </w:tr>
      <w:tr w:rsidR="004F5B7D" w:rsidRPr="008E3494" w14:paraId="1200E808" w14:textId="77777777" w:rsidTr="004F5B7D">
        <w:trPr>
          <w:trHeight w:val="64"/>
        </w:trPr>
        <w:tc>
          <w:tcPr>
            <w:tcW w:w="1038" w:type="pct"/>
            <w:tcBorders>
              <w:top w:val="single" w:sz="4" w:space="0" w:color="auto"/>
              <w:left w:val="single" w:sz="4" w:space="0" w:color="auto"/>
              <w:bottom w:val="single" w:sz="4" w:space="0" w:color="auto"/>
              <w:right w:val="single" w:sz="4" w:space="0" w:color="auto"/>
            </w:tcBorders>
            <w:vAlign w:val="center"/>
            <w:hideMark/>
          </w:tcPr>
          <w:p w14:paraId="21A1C4DC" w14:textId="77777777" w:rsidR="004F5B7D" w:rsidRPr="008E3494" w:rsidRDefault="004F5B7D" w:rsidP="00670180">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 xml:space="preserve">Disminución de niveles de estrés: </w:t>
            </w:r>
          </w:p>
          <w:p w14:paraId="5609FBDF" w14:textId="77777777" w:rsidR="004F5B7D" w:rsidRPr="008E3494" w:rsidRDefault="004F5B7D" w:rsidP="00670180">
            <w:pPr>
              <w:pStyle w:val="ListParagraph"/>
              <w:numPr>
                <w:ilvl w:val="0"/>
                <w:numId w:val="14"/>
              </w:numPr>
              <w:spacing w:after="0" w:line="240" w:lineRule="auto"/>
              <w:rPr>
                <w:rFonts w:ascii="Arial" w:hAnsi="Arial" w:cs="Arial"/>
                <w:sz w:val="20"/>
                <w:szCs w:val="20"/>
                <w:lang w:eastAsia="zh-CN"/>
              </w:rPr>
            </w:pPr>
            <w:r w:rsidRPr="008E3494">
              <w:rPr>
                <w:rFonts w:ascii="Arial" w:hAnsi="Arial" w:cs="Arial"/>
                <w:sz w:val="20"/>
                <w:szCs w:val="20"/>
                <w:lang w:eastAsia="zh-CN"/>
              </w:rPr>
              <w:t>Falta de privacidad percibida</w:t>
            </w:r>
          </w:p>
          <w:p w14:paraId="58106C95" w14:textId="77777777" w:rsidR="004F5B7D" w:rsidRPr="008E3494" w:rsidRDefault="004F5B7D" w:rsidP="00670180">
            <w:pPr>
              <w:pStyle w:val="ListParagraph"/>
              <w:numPr>
                <w:ilvl w:val="0"/>
                <w:numId w:val="14"/>
              </w:numPr>
              <w:spacing w:after="0" w:line="240" w:lineRule="auto"/>
              <w:rPr>
                <w:rFonts w:ascii="Arial" w:hAnsi="Arial" w:cs="Arial"/>
                <w:sz w:val="20"/>
                <w:szCs w:val="20"/>
                <w:lang w:eastAsia="zh-CN"/>
              </w:rPr>
            </w:pPr>
            <w:r w:rsidRPr="008E3494">
              <w:rPr>
                <w:rFonts w:ascii="Arial" w:hAnsi="Arial" w:cs="Arial"/>
                <w:sz w:val="20"/>
                <w:szCs w:val="20"/>
                <w:lang w:eastAsia="zh-CN"/>
              </w:rPr>
              <w:t>Síntomas de ansiedad y depresión</w:t>
            </w:r>
          </w:p>
          <w:p w14:paraId="0922706A" w14:textId="77777777" w:rsidR="004F5B7D" w:rsidRPr="008E3494" w:rsidRDefault="004F5B7D" w:rsidP="00670180">
            <w:pPr>
              <w:pStyle w:val="ListParagraph"/>
              <w:numPr>
                <w:ilvl w:val="0"/>
                <w:numId w:val="14"/>
              </w:numPr>
              <w:spacing w:after="0" w:line="240" w:lineRule="auto"/>
              <w:rPr>
                <w:rFonts w:ascii="Arial" w:hAnsi="Arial" w:cs="Arial"/>
                <w:sz w:val="20"/>
                <w:szCs w:val="20"/>
                <w:lang w:eastAsia="zh-CN"/>
              </w:rPr>
            </w:pPr>
            <w:r w:rsidRPr="008E3494">
              <w:rPr>
                <w:rFonts w:ascii="Arial" w:hAnsi="Arial" w:cs="Arial"/>
                <w:sz w:val="20"/>
                <w:szCs w:val="20"/>
                <w:lang w:eastAsia="zh-CN"/>
              </w:rPr>
              <w:t>Nivel de cortisol en muestra de saliva</w:t>
            </w:r>
          </w:p>
        </w:tc>
        <w:tc>
          <w:tcPr>
            <w:tcW w:w="492" w:type="pct"/>
            <w:tcBorders>
              <w:top w:val="single" w:sz="4" w:space="0" w:color="auto"/>
              <w:left w:val="single" w:sz="4" w:space="0" w:color="auto"/>
              <w:bottom w:val="single" w:sz="4" w:space="0" w:color="auto"/>
              <w:right w:val="single" w:sz="4" w:space="0" w:color="auto"/>
            </w:tcBorders>
            <w:vAlign w:val="center"/>
          </w:tcPr>
          <w:p w14:paraId="093F55A6" w14:textId="77777777" w:rsidR="004F5B7D" w:rsidRPr="008E3494" w:rsidRDefault="004F5B7D" w:rsidP="00670180">
            <w:pPr>
              <w:spacing w:after="0" w:line="240" w:lineRule="auto"/>
              <w:jc w:val="center"/>
              <w:rPr>
                <w:rFonts w:ascii="Arial" w:hAnsi="Arial" w:cs="Arial"/>
                <w:sz w:val="20"/>
                <w:szCs w:val="20"/>
                <w:lang w:eastAsia="zh-CN"/>
              </w:rPr>
            </w:pPr>
            <w:r w:rsidRPr="008E3494">
              <w:rPr>
                <w:rFonts w:ascii="Arial" w:hAnsi="Arial" w:cs="Arial"/>
                <w:sz w:val="20"/>
                <w:szCs w:val="20"/>
                <w:lang w:eastAsia="zh-CN"/>
              </w:rPr>
              <w:t>Porcentaje</w:t>
            </w:r>
          </w:p>
        </w:tc>
        <w:tc>
          <w:tcPr>
            <w:tcW w:w="493" w:type="pct"/>
            <w:tcBorders>
              <w:top w:val="single" w:sz="4" w:space="0" w:color="auto"/>
              <w:left w:val="single" w:sz="4" w:space="0" w:color="auto"/>
              <w:bottom w:val="single" w:sz="4" w:space="0" w:color="auto"/>
              <w:right w:val="single" w:sz="4" w:space="0" w:color="auto"/>
            </w:tcBorders>
            <w:vAlign w:val="center"/>
          </w:tcPr>
          <w:p w14:paraId="5DC56B30" w14:textId="77777777" w:rsidR="004F5B7D" w:rsidRPr="008E3494" w:rsidRDefault="004F5B7D" w:rsidP="00670180">
            <w:pPr>
              <w:spacing w:after="0" w:line="240" w:lineRule="auto"/>
              <w:jc w:val="center"/>
              <w:rPr>
                <w:rFonts w:ascii="Arial" w:hAnsi="Arial" w:cs="Arial"/>
                <w:i/>
                <w:sz w:val="20"/>
                <w:szCs w:val="20"/>
                <w:lang w:eastAsia="zh-CN"/>
              </w:rPr>
            </w:pPr>
            <w:r w:rsidRPr="008E3494">
              <w:rPr>
                <w:rFonts w:ascii="Arial" w:hAnsi="Arial" w:cs="Arial"/>
                <w:i/>
                <w:sz w:val="20"/>
                <w:szCs w:val="20"/>
                <w:lang w:eastAsia="zh-CN"/>
              </w:rPr>
              <w:t>Por definir</w:t>
            </w:r>
          </w:p>
        </w:tc>
        <w:tc>
          <w:tcPr>
            <w:tcW w:w="329" w:type="pct"/>
            <w:tcBorders>
              <w:top w:val="single" w:sz="4" w:space="0" w:color="auto"/>
              <w:left w:val="single" w:sz="4" w:space="0" w:color="auto"/>
              <w:bottom w:val="single" w:sz="4" w:space="0" w:color="auto"/>
              <w:right w:val="single" w:sz="4" w:space="0" w:color="auto"/>
            </w:tcBorders>
            <w:vAlign w:val="center"/>
          </w:tcPr>
          <w:p w14:paraId="79ADFEE1" w14:textId="77777777" w:rsidR="004F5B7D" w:rsidRPr="008E3494" w:rsidRDefault="004F5B7D" w:rsidP="00670180">
            <w:pPr>
              <w:spacing w:after="0" w:line="240" w:lineRule="auto"/>
              <w:jc w:val="center"/>
              <w:rPr>
                <w:rFonts w:ascii="Arial" w:hAnsi="Arial" w:cs="Arial"/>
                <w:sz w:val="20"/>
                <w:szCs w:val="20"/>
                <w:lang w:eastAsia="zh-CN"/>
              </w:rPr>
            </w:pPr>
            <w:r w:rsidRPr="008E3494">
              <w:rPr>
                <w:rFonts w:ascii="Arial" w:hAnsi="Arial" w:cs="Arial"/>
                <w:sz w:val="20"/>
                <w:szCs w:val="20"/>
                <w:lang w:eastAsia="zh-CN"/>
              </w:rPr>
              <w:t>2019</w:t>
            </w:r>
          </w:p>
        </w:tc>
        <w:tc>
          <w:tcPr>
            <w:tcW w:w="493" w:type="pct"/>
            <w:tcBorders>
              <w:top w:val="single" w:sz="4" w:space="0" w:color="auto"/>
              <w:left w:val="single" w:sz="4" w:space="0" w:color="auto"/>
              <w:bottom w:val="single" w:sz="4" w:space="0" w:color="auto"/>
              <w:right w:val="single" w:sz="4" w:space="0" w:color="auto"/>
            </w:tcBorders>
            <w:vAlign w:val="center"/>
          </w:tcPr>
          <w:p w14:paraId="2317F3E7" w14:textId="77777777" w:rsidR="004F5B7D" w:rsidRPr="008E3494" w:rsidRDefault="004F5B7D" w:rsidP="00670180">
            <w:pPr>
              <w:spacing w:after="0" w:line="240" w:lineRule="auto"/>
              <w:jc w:val="center"/>
              <w:rPr>
                <w:rFonts w:ascii="Arial" w:hAnsi="Arial" w:cs="Arial"/>
                <w:i/>
                <w:sz w:val="20"/>
                <w:szCs w:val="20"/>
                <w:lang w:eastAsia="zh-CN"/>
              </w:rPr>
            </w:pPr>
            <w:r w:rsidRPr="008E3494">
              <w:rPr>
                <w:rFonts w:ascii="Arial" w:hAnsi="Arial" w:cs="Arial"/>
                <w:i/>
                <w:sz w:val="20"/>
                <w:szCs w:val="20"/>
                <w:lang w:eastAsia="zh-CN"/>
              </w:rPr>
              <w:t>Por definir</w:t>
            </w:r>
          </w:p>
        </w:tc>
        <w:tc>
          <w:tcPr>
            <w:tcW w:w="2155" w:type="pct"/>
            <w:tcBorders>
              <w:top w:val="single" w:sz="4" w:space="0" w:color="auto"/>
              <w:left w:val="single" w:sz="4" w:space="0" w:color="auto"/>
              <w:bottom w:val="single" w:sz="4" w:space="0" w:color="auto"/>
              <w:right w:val="single" w:sz="4" w:space="0" w:color="auto"/>
            </w:tcBorders>
          </w:tcPr>
          <w:p w14:paraId="0D1C4E9F" w14:textId="2FB7817F" w:rsidR="004F5B7D" w:rsidRPr="008E3494" w:rsidRDefault="004F5B7D" w:rsidP="00670180">
            <w:pPr>
              <w:spacing w:before="120" w:after="120" w:line="240" w:lineRule="auto"/>
              <w:rPr>
                <w:rFonts w:ascii="Arial" w:hAnsi="Arial" w:cs="Arial"/>
                <w:sz w:val="20"/>
                <w:szCs w:val="20"/>
                <w:lang w:eastAsia="zh-CN"/>
              </w:rPr>
            </w:pPr>
            <w:r w:rsidRPr="008E3494">
              <w:rPr>
                <w:rFonts w:ascii="Arial" w:hAnsi="Arial" w:cs="Arial"/>
                <w:b/>
                <w:sz w:val="20"/>
                <w:szCs w:val="20"/>
                <w:lang w:eastAsia="zh-CN"/>
              </w:rPr>
              <w:t xml:space="preserve">- </w:t>
            </w:r>
            <w:r w:rsidR="001D2F82" w:rsidRPr="008E3494">
              <w:rPr>
                <w:rFonts w:ascii="Arial" w:hAnsi="Arial" w:cs="Arial"/>
                <w:b/>
                <w:sz w:val="20"/>
                <w:szCs w:val="20"/>
                <w:lang w:eastAsia="zh-CN"/>
              </w:rPr>
              <w:t>Medio de verificación:</w:t>
            </w:r>
            <w:r w:rsidR="001D2F82" w:rsidRPr="008E3494">
              <w:rPr>
                <w:rFonts w:ascii="Arial" w:hAnsi="Arial" w:cs="Arial"/>
                <w:sz w:val="20"/>
                <w:szCs w:val="20"/>
                <w:lang w:eastAsia="zh-CN"/>
              </w:rPr>
              <w:t xml:space="preserve"> </w:t>
            </w:r>
            <w:r w:rsidRPr="008E3494">
              <w:rPr>
                <w:rFonts w:ascii="Arial" w:hAnsi="Arial" w:cs="Arial"/>
                <w:sz w:val="20"/>
                <w:szCs w:val="20"/>
                <w:lang w:eastAsia="zh-CN"/>
              </w:rPr>
              <w:t>Encuesta de evaluación de impacto a grupo tratamiento y control.</w:t>
            </w:r>
          </w:p>
        </w:tc>
      </w:tr>
      <w:tr w:rsidR="004F5B7D" w:rsidRPr="008E3494" w14:paraId="76530FD4" w14:textId="77777777" w:rsidTr="004F5B7D">
        <w:trPr>
          <w:trHeight w:val="64"/>
        </w:trPr>
        <w:tc>
          <w:tcPr>
            <w:tcW w:w="1038" w:type="pct"/>
            <w:tcBorders>
              <w:top w:val="single" w:sz="4" w:space="0" w:color="auto"/>
              <w:left w:val="single" w:sz="4" w:space="0" w:color="auto"/>
              <w:bottom w:val="single" w:sz="4" w:space="0" w:color="auto"/>
              <w:right w:val="single" w:sz="4" w:space="0" w:color="auto"/>
            </w:tcBorders>
            <w:vAlign w:val="center"/>
          </w:tcPr>
          <w:p w14:paraId="47D22C35" w14:textId="77777777" w:rsidR="004F5B7D" w:rsidRPr="008E3494" w:rsidRDefault="004F5B7D" w:rsidP="00670180">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 xml:space="preserve">Disminución de enfermedades parasitarias, diarrea y anemia </w:t>
            </w:r>
            <w:r w:rsidRPr="008E3494">
              <w:rPr>
                <w:rFonts w:ascii="Arial" w:hAnsi="Arial" w:cs="Arial"/>
                <w:sz w:val="20"/>
                <w:szCs w:val="20"/>
                <w:lang w:eastAsia="zh-CN"/>
              </w:rPr>
              <w:lastRenderedPageBreak/>
              <w:t>(especialmente en menores de 5 años)</w:t>
            </w:r>
          </w:p>
        </w:tc>
        <w:tc>
          <w:tcPr>
            <w:tcW w:w="492" w:type="pct"/>
            <w:tcBorders>
              <w:top w:val="single" w:sz="4" w:space="0" w:color="auto"/>
              <w:left w:val="single" w:sz="4" w:space="0" w:color="auto"/>
              <w:bottom w:val="single" w:sz="4" w:space="0" w:color="auto"/>
              <w:right w:val="single" w:sz="4" w:space="0" w:color="auto"/>
            </w:tcBorders>
            <w:vAlign w:val="center"/>
          </w:tcPr>
          <w:p w14:paraId="64F6DB06" w14:textId="77777777" w:rsidR="004F5B7D" w:rsidRPr="008E3494" w:rsidRDefault="004F5B7D" w:rsidP="00670180">
            <w:pPr>
              <w:spacing w:after="0" w:line="240" w:lineRule="auto"/>
              <w:jc w:val="center"/>
              <w:rPr>
                <w:rFonts w:ascii="Arial" w:hAnsi="Arial" w:cs="Arial"/>
                <w:sz w:val="20"/>
                <w:szCs w:val="20"/>
                <w:lang w:eastAsia="zh-CN"/>
              </w:rPr>
            </w:pPr>
            <w:r w:rsidRPr="008E3494">
              <w:rPr>
                <w:rFonts w:ascii="Arial" w:hAnsi="Arial" w:cs="Arial"/>
                <w:sz w:val="20"/>
                <w:szCs w:val="20"/>
                <w:lang w:eastAsia="zh-CN"/>
              </w:rPr>
              <w:lastRenderedPageBreak/>
              <w:t xml:space="preserve">Porcentaje (niños menores de 5 que </w:t>
            </w:r>
            <w:r w:rsidRPr="008E3494">
              <w:rPr>
                <w:rFonts w:ascii="Arial" w:hAnsi="Arial" w:cs="Arial"/>
                <w:sz w:val="20"/>
                <w:szCs w:val="20"/>
                <w:lang w:eastAsia="zh-CN"/>
              </w:rPr>
              <w:lastRenderedPageBreak/>
              <w:t>presentaron enfermedades diarreicas agudas)</w:t>
            </w:r>
          </w:p>
        </w:tc>
        <w:tc>
          <w:tcPr>
            <w:tcW w:w="493" w:type="pct"/>
            <w:tcBorders>
              <w:top w:val="single" w:sz="4" w:space="0" w:color="auto"/>
              <w:left w:val="single" w:sz="4" w:space="0" w:color="auto"/>
              <w:bottom w:val="single" w:sz="4" w:space="0" w:color="auto"/>
              <w:right w:val="single" w:sz="4" w:space="0" w:color="auto"/>
            </w:tcBorders>
            <w:vAlign w:val="center"/>
          </w:tcPr>
          <w:p w14:paraId="6D3D52FD" w14:textId="77777777" w:rsidR="004F5B7D" w:rsidRPr="008E3494" w:rsidRDefault="004F5B7D" w:rsidP="00670180">
            <w:pPr>
              <w:spacing w:after="0" w:line="240" w:lineRule="auto"/>
              <w:jc w:val="center"/>
              <w:rPr>
                <w:rFonts w:ascii="Arial" w:hAnsi="Arial" w:cs="Arial"/>
                <w:sz w:val="20"/>
                <w:szCs w:val="20"/>
                <w:lang w:eastAsia="zh-CN"/>
              </w:rPr>
            </w:pPr>
            <w:r w:rsidRPr="008E3494">
              <w:rPr>
                <w:rFonts w:ascii="Arial" w:hAnsi="Arial" w:cs="Arial"/>
                <w:sz w:val="20"/>
                <w:szCs w:val="20"/>
                <w:lang w:eastAsia="zh-CN"/>
              </w:rPr>
              <w:lastRenderedPageBreak/>
              <w:t>20%</w:t>
            </w:r>
          </w:p>
        </w:tc>
        <w:tc>
          <w:tcPr>
            <w:tcW w:w="329" w:type="pct"/>
            <w:tcBorders>
              <w:top w:val="single" w:sz="4" w:space="0" w:color="auto"/>
              <w:left w:val="single" w:sz="4" w:space="0" w:color="auto"/>
              <w:bottom w:val="single" w:sz="4" w:space="0" w:color="auto"/>
              <w:right w:val="single" w:sz="4" w:space="0" w:color="auto"/>
            </w:tcBorders>
            <w:vAlign w:val="center"/>
          </w:tcPr>
          <w:p w14:paraId="64A59DA2" w14:textId="77777777" w:rsidR="004F5B7D" w:rsidRPr="008E3494" w:rsidRDefault="004F5B7D" w:rsidP="00670180">
            <w:pPr>
              <w:spacing w:after="0" w:line="240" w:lineRule="auto"/>
              <w:jc w:val="center"/>
              <w:rPr>
                <w:rFonts w:ascii="Arial" w:hAnsi="Arial" w:cs="Arial"/>
                <w:sz w:val="20"/>
                <w:szCs w:val="20"/>
                <w:lang w:eastAsia="zh-CN"/>
              </w:rPr>
            </w:pPr>
            <w:r w:rsidRPr="008E3494">
              <w:rPr>
                <w:rFonts w:ascii="Arial" w:hAnsi="Arial" w:cs="Arial"/>
                <w:sz w:val="20"/>
                <w:szCs w:val="20"/>
                <w:lang w:eastAsia="zh-CN"/>
              </w:rPr>
              <w:t>2019</w:t>
            </w:r>
          </w:p>
        </w:tc>
        <w:tc>
          <w:tcPr>
            <w:tcW w:w="493" w:type="pct"/>
            <w:tcBorders>
              <w:top w:val="single" w:sz="4" w:space="0" w:color="auto"/>
              <w:left w:val="single" w:sz="4" w:space="0" w:color="auto"/>
              <w:bottom w:val="single" w:sz="4" w:space="0" w:color="auto"/>
              <w:right w:val="single" w:sz="4" w:space="0" w:color="auto"/>
            </w:tcBorders>
            <w:vAlign w:val="center"/>
          </w:tcPr>
          <w:p w14:paraId="409D3514" w14:textId="77777777" w:rsidR="004F5B7D" w:rsidRPr="008E3494" w:rsidRDefault="004F5B7D" w:rsidP="00670180">
            <w:pPr>
              <w:spacing w:after="0" w:line="240" w:lineRule="auto"/>
              <w:jc w:val="center"/>
              <w:rPr>
                <w:rFonts w:ascii="Arial" w:hAnsi="Arial" w:cs="Arial"/>
                <w:sz w:val="20"/>
                <w:szCs w:val="20"/>
                <w:lang w:eastAsia="zh-CN"/>
              </w:rPr>
            </w:pPr>
            <w:r w:rsidRPr="008E3494">
              <w:rPr>
                <w:rFonts w:ascii="Arial" w:hAnsi="Arial" w:cs="Arial"/>
                <w:sz w:val="20"/>
                <w:szCs w:val="20"/>
                <w:lang w:eastAsia="zh-CN"/>
              </w:rPr>
              <w:t>17%</w:t>
            </w:r>
          </w:p>
        </w:tc>
        <w:tc>
          <w:tcPr>
            <w:tcW w:w="2155" w:type="pct"/>
            <w:tcBorders>
              <w:top w:val="single" w:sz="4" w:space="0" w:color="auto"/>
              <w:left w:val="single" w:sz="4" w:space="0" w:color="auto"/>
              <w:bottom w:val="single" w:sz="4" w:space="0" w:color="auto"/>
              <w:right w:val="single" w:sz="4" w:space="0" w:color="auto"/>
            </w:tcBorders>
          </w:tcPr>
          <w:p w14:paraId="22DFD53B" w14:textId="77777777" w:rsidR="004F5B7D" w:rsidRPr="008E3494" w:rsidRDefault="004F5B7D" w:rsidP="00670180">
            <w:pPr>
              <w:spacing w:before="120" w:after="120" w:line="240" w:lineRule="auto"/>
              <w:rPr>
                <w:rFonts w:ascii="Arial" w:hAnsi="Arial" w:cs="Arial"/>
                <w:sz w:val="20"/>
                <w:szCs w:val="20"/>
                <w:lang w:eastAsia="zh-CN"/>
              </w:rPr>
            </w:pPr>
            <w:r w:rsidRPr="008E3494">
              <w:rPr>
                <w:rFonts w:ascii="Arial" w:hAnsi="Arial" w:cs="Arial"/>
                <w:sz w:val="20"/>
                <w:szCs w:val="20"/>
                <w:lang w:eastAsia="zh-CN"/>
              </w:rPr>
              <w:t xml:space="preserve">De acuerdo a la ECV (2013-14), el 19.5% de los menores de 5 años pertenecientes al quintil 1 de consumo reportaron la presencia de EDA (enfermedad diarreica aguda).  </w:t>
            </w:r>
          </w:p>
          <w:p w14:paraId="32896F4A" w14:textId="77777777" w:rsidR="004F5B7D" w:rsidRPr="008E3494" w:rsidRDefault="004F5B7D" w:rsidP="00670180">
            <w:pPr>
              <w:spacing w:before="120" w:after="120" w:line="240" w:lineRule="auto"/>
              <w:rPr>
                <w:rFonts w:ascii="Arial" w:hAnsi="Arial" w:cs="Arial"/>
                <w:sz w:val="20"/>
                <w:szCs w:val="20"/>
                <w:lang w:eastAsia="zh-CN"/>
              </w:rPr>
            </w:pPr>
          </w:p>
          <w:p w14:paraId="5D7F43A6" w14:textId="5ED2503D" w:rsidR="004F5B7D" w:rsidRPr="008E3494" w:rsidRDefault="004F5B7D" w:rsidP="00670180">
            <w:pPr>
              <w:spacing w:before="120" w:after="120" w:line="240" w:lineRule="auto"/>
              <w:rPr>
                <w:rFonts w:ascii="Arial" w:hAnsi="Arial" w:cs="Arial"/>
                <w:b/>
                <w:sz w:val="20"/>
                <w:szCs w:val="20"/>
                <w:lang w:eastAsia="zh-CN"/>
              </w:rPr>
            </w:pPr>
            <w:r w:rsidRPr="008E3494">
              <w:rPr>
                <w:rFonts w:ascii="Arial" w:hAnsi="Arial" w:cs="Arial"/>
                <w:b/>
                <w:sz w:val="20"/>
                <w:szCs w:val="20"/>
                <w:lang w:eastAsia="zh-CN"/>
              </w:rPr>
              <w:t xml:space="preserve">- Medio de verificación: </w:t>
            </w:r>
            <w:r w:rsidRPr="008E3494">
              <w:rPr>
                <w:rFonts w:ascii="Arial" w:hAnsi="Arial" w:cs="Arial"/>
                <w:sz w:val="20"/>
                <w:szCs w:val="20"/>
                <w:lang w:eastAsia="zh-CN"/>
              </w:rPr>
              <w:t>Encuesta de evaluación de impacto a grupo tratamiento y control.</w:t>
            </w:r>
          </w:p>
        </w:tc>
      </w:tr>
      <w:tr w:rsidR="004F5B7D" w:rsidRPr="008E3494" w14:paraId="5F44929E" w14:textId="77777777" w:rsidTr="004F5B7D">
        <w:trPr>
          <w:trHeight w:val="64"/>
        </w:trPr>
        <w:tc>
          <w:tcPr>
            <w:tcW w:w="1038" w:type="pct"/>
            <w:tcBorders>
              <w:top w:val="single" w:sz="4" w:space="0" w:color="auto"/>
              <w:left w:val="single" w:sz="4" w:space="0" w:color="auto"/>
              <w:bottom w:val="single" w:sz="4" w:space="0" w:color="auto"/>
              <w:right w:val="single" w:sz="4" w:space="0" w:color="auto"/>
            </w:tcBorders>
            <w:vAlign w:val="center"/>
          </w:tcPr>
          <w:p w14:paraId="6B933C56" w14:textId="77777777" w:rsidR="004F5B7D" w:rsidRPr="008E3494" w:rsidRDefault="004F5B7D" w:rsidP="00670180">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lastRenderedPageBreak/>
              <w:t>Cambio en la estructura del gasto corriente monetario de consumo del hogar</w:t>
            </w:r>
          </w:p>
        </w:tc>
        <w:tc>
          <w:tcPr>
            <w:tcW w:w="492" w:type="pct"/>
            <w:tcBorders>
              <w:top w:val="single" w:sz="4" w:space="0" w:color="auto"/>
              <w:left w:val="single" w:sz="4" w:space="0" w:color="auto"/>
              <w:bottom w:val="single" w:sz="4" w:space="0" w:color="auto"/>
              <w:right w:val="single" w:sz="4" w:space="0" w:color="auto"/>
            </w:tcBorders>
            <w:vAlign w:val="center"/>
          </w:tcPr>
          <w:p w14:paraId="0A7EA70E" w14:textId="77777777" w:rsidR="004F5B7D" w:rsidRPr="008E3494" w:rsidRDefault="004F5B7D" w:rsidP="00670180">
            <w:pPr>
              <w:spacing w:after="0" w:line="240" w:lineRule="auto"/>
              <w:jc w:val="center"/>
              <w:rPr>
                <w:rFonts w:ascii="Arial" w:hAnsi="Arial" w:cs="Arial"/>
                <w:sz w:val="20"/>
                <w:szCs w:val="20"/>
                <w:lang w:eastAsia="zh-CN"/>
              </w:rPr>
            </w:pPr>
            <w:r w:rsidRPr="008E3494">
              <w:rPr>
                <w:rFonts w:ascii="Arial" w:hAnsi="Arial" w:cs="Arial"/>
                <w:sz w:val="20"/>
                <w:szCs w:val="20"/>
                <w:lang w:eastAsia="zh-CN"/>
              </w:rPr>
              <w:t>Porcentaje</w:t>
            </w:r>
          </w:p>
        </w:tc>
        <w:tc>
          <w:tcPr>
            <w:tcW w:w="493" w:type="pct"/>
            <w:tcBorders>
              <w:top w:val="single" w:sz="4" w:space="0" w:color="auto"/>
              <w:left w:val="single" w:sz="4" w:space="0" w:color="auto"/>
              <w:bottom w:val="single" w:sz="4" w:space="0" w:color="auto"/>
              <w:right w:val="single" w:sz="4" w:space="0" w:color="auto"/>
            </w:tcBorders>
            <w:vAlign w:val="center"/>
          </w:tcPr>
          <w:p w14:paraId="37DB88A5" w14:textId="77777777" w:rsidR="004F5B7D" w:rsidRPr="008E3494" w:rsidRDefault="004F5B7D" w:rsidP="00670180">
            <w:pPr>
              <w:spacing w:after="0" w:line="240" w:lineRule="auto"/>
              <w:jc w:val="center"/>
              <w:rPr>
                <w:rFonts w:ascii="Arial" w:hAnsi="Arial" w:cs="Arial"/>
                <w:i/>
                <w:sz w:val="20"/>
                <w:szCs w:val="20"/>
                <w:lang w:eastAsia="zh-CN"/>
              </w:rPr>
            </w:pPr>
            <w:r w:rsidRPr="008E3494">
              <w:rPr>
                <w:rFonts w:ascii="Arial" w:hAnsi="Arial" w:cs="Arial"/>
                <w:i/>
                <w:sz w:val="20"/>
                <w:szCs w:val="20"/>
                <w:lang w:eastAsia="zh-CN"/>
              </w:rPr>
              <w:t>Por definir</w:t>
            </w:r>
          </w:p>
        </w:tc>
        <w:tc>
          <w:tcPr>
            <w:tcW w:w="329" w:type="pct"/>
            <w:tcBorders>
              <w:top w:val="single" w:sz="4" w:space="0" w:color="auto"/>
              <w:left w:val="single" w:sz="4" w:space="0" w:color="auto"/>
              <w:bottom w:val="single" w:sz="4" w:space="0" w:color="auto"/>
              <w:right w:val="single" w:sz="4" w:space="0" w:color="auto"/>
            </w:tcBorders>
            <w:vAlign w:val="center"/>
          </w:tcPr>
          <w:p w14:paraId="7C16037F" w14:textId="77777777" w:rsidR="004F5B7D" w:rsidRPr="008E3494" w:rsidRDefault="004F5B7D" w:rsidP="00670180">
            <w:pPr>
              <w:spacing w:after="0" w:line="240" w:lineRule="auto"/>
              <w:jc w:val="center"/>
              <w:rPr>
                <w:rFonts w:ascii="Arial" w:hAnsi="Arial" w:cs="Arial"/>
                <w:sz w:val="20"/>
                <w:szCs w:val="20"/>
                <w:lang w:eastAsia="zh-CN"/>
              </w:rPr>
            </w:pPr>
            <w:r w:rsidRPr="008E3494">
              <w:rPr>
                <w:rFonts w:ascii="Arial" w:hAnsi="Arial" w:cs="Arial"/>
                <w:sz w:val="20"/>
                <w:szCs w:val="20"/>
                <w:lang w:eastAsia="zh-CN"/>
              </w:rPr>
              <w:t>2019</w:t>
            </w:r>
          </w:p>
        </w:tc>
        <w:tc>
          <w:tcPr>
            <w:tcW w:w="493" w:type="pct"/>
            <w:tcBorders>
              <w:top w:val="single" w:sz="4" w:space="0" w:color="auto"/>
              <w:left w:val="single" w:sz="4" w:space="0" w:color="auto"/>
              <w:bottom w:val="single" w:sz="4" w:space="0" w:color="auto"/>
              <w:right w:val="single" w:sz="4" w:space="0" w:color="auto"/>
            </w:tcBorders>
            <w:vAlign w:val="center"/>
          </w:tcPr>
          <w:p w14:paraId="73910C01" w14:textId="77777777" w:rsidR="004F5B7D" w:rsidRPr="008E3494" w:rsidRDefault="004F5B7D" w:rsidP="00670180">
            <w:pPr>
              <w:spacing w:after="0" w:line="240" w:lineRule="auto"/>
              <w:jc w:val="center"/>
              <w:rPr>
                <w:rFonts w:ascii="Arial" w:hAnsi="Arial" w:cs="Arial"/>
                <w:i/>
                <w:sz w:val="20"/>
                <w:szCs w:val="20"/>
                <w:lang w:eastAsia="zh-CN"/>
              </w:rPr>
            </w:pPr>
            <w:r w:rsidRPr="008E3494">
              <w:rPr>
                <w:rFonts w:ascii="Arial" w:hAnsi="Arial" w:cs="Arial"/>
                <w:i/>
                <w:sz w:val="20"/>
                <w:szCs w:val="20"/>
                <w:lang w:eastAsia="zh-CN"/>
              </w:rPr>
              <w:t>Por definir</w:t>
            </w:r>
          </w:p>
        </w:tc>
        <w:tc>
          <w:tcPr>
            <w:tcW w:w="2155" w:type="pct"/>
            <w:tcBorders>
              <w:top w:val="single" w:sz="4" w:space="0" w:color="auto"/>
              <w:left w:val="single" w:sz="4" w:space="0" w:color="auto"/>
              <w:bottom w:val="single" w:sz="4" w:space="0" w:color="auto"/>
              <w:right w:val="single" w:sz="4" w:space="0" w:color="auto"/>
            </w:tcBorders>
          </w:tcPr>
          <w:p w14:paraId="28DE8B57" w14:textId="77777777" w:rsidR="004F5B7D" w:rsidRPr="008E3494" w:rsidRDefault="004F5B7D" w:rsidP="00670180">
            <w:pPr>
              <w:spacing w:before="120" w:after="120" w:line="240" w:lineRule="auto"/>
              <w:rPr>
                <w:rFonts w:ascii="Arial" w:hAnsi="Arial" w:cs="Arial"/>
                <w:sz w:val="20"/>
                <w:szCs w:val="20"/>
                <w:lang w:eastAsia="zh-CN"/>
              </w:rPr>
            </w:pPr>
            <w:r w:rsidRPr="008E3494">
              <w:rPr>
                <w:rFonts w:ascii="Arial" w:hAnsi="Arial" w:cs="Arial"/>
                <w:sz w:val="20"/>
                <w:szCs w:val="20"/>
                <w:lang w:eastAsia="zh-CN"/>
              </w:rPr>
              <w:t xml:space="preserve">De acuerdo a cifras de INEC, no existe una diferencia importante en el porcentaje del gasto de consumo en alojamiento, agua, electricidad, gas y otros combustibles entre los deciles 1 al 10. Estas cifras para los deciles 1 a 4 son 6,2%, 6,8%, 7,4% y 7,7%, respectivamente.  </w:t>
            </w:r>
          </w:p>
          <w:p w14:paraId="7ADA63D5" w14:textId="77777777" w:rsidR="004F5B7D" w:rsidRPr="008E3494" w:rsidRDefault="004F5B7D" w:rsidP="00670180">
            <w:pPr>
              <w:spacing w:before="120" w:after="120" w:line="240" w:lineRule="auto"/>
              <w:rPr>
                <w:rFonts w:ascii="Arial" w:hAnsi="Arial" w:cs="Arial"/>
                <w:sz w:val="20"/>
                <w:szCs w:val="20"/>
                <w:lang w:eastAsia="zh-CN"/>
              </w:rPr>
            </w:pPr>
            <w:r w:rsidRPr="008E3494">
              <w:rPr>
                <w:rFonts w:ascii="Arial" w:hAnsi="Arial" w:cs="Arial"/>
                <w:sz w:val="20"/>
                <w:szCs w:val="20"/>
                <w:lang w:eastAsia="zh-CN"/>
              </w:rPr>
              <w:t xml:space="preserve">Se ve más diferencia en las categorías de alimentos y bebidas no alcohólicas, transporte, comunicaciones y educación. </w:t>
            </w:r>
          </w:p>
          <w:p w14:paraId="2734D8C4" w14:textId="77777777" w:rsidR="004F5B7D" w:rsidRPr="008E3494" w:rsidRDefault="004F5B7D" w:rsidP="00670180">
            <w:pPr>
              <w:spacing w:before="120" w:after="120" w:line="240" w:lineRule="auto"/>
              <w:rPr>
                <w:rFonts w:ascii="Arial" w:hAnsi="Arial" w:cs="Arial"/>
                <w:sz w:val="20"/>
                <w:szCs w:val="20"/>
                <w:lang w:eastAsia="zh-CN"/>
              </w:rPr>
            </w:pPr>
          </w:p>
          <w:p w14:paraId="7C9445BE" w14:textId="034E2846" w:rsidR="004F5B7D" w:rsidRPr="008E3494" w:rsidRDefault="004F5B7D" w:rsidP="003E105A">
            <w:pPr>
              <w:spacing w:before="120" w:after="120" w:line="240" w:lineRule="auto"/>
              <w:rPr>
                <w:rFonts w:ascii="Arial" w:hAnsi="Arial" w:cs="Arial"/>
                <w:sz w:val="20"/>
                <w:szCs w:val="20"/>
                <w:lang w:eastAsia="zh-CN"/>
              </w:rPr>
            </w:pPr>
            <w:r w:rsidRPr="008E3494">
              <w:rPr>
                <w:rFonts w:ascii="Arial" w:hAnsi="Arial" w:cs="Arial"/>
                <w:b/>
                <w:sz w:val="20"/>
                <w:szCs w:val="20"/>
                <w:lang w:eastAsia="zh-CN"/>
              </w:rPr>
              <w:t xml:space="preserve">- Medio de verificación: </w:t>
            </w:r>
            <w:r w:rsidRPr="008E3494">
              <w:rPr>
                <w:rFonts w:ascii="Arial" w:hAnsi="Arial" w:cs="Arial"/>
                <w:sz w:val="20"/>
                <w:szCs w:val="20"/>
                <w:lang w:eastAsia="zh-CN"/>
              </w:rPr>
              <w:t>Encuesta de inicio y cierre a grupo tratamiento.</w:t>
            </w:r>
          </w:p>
        </w:tc>
      </w:tr>
      <w:tr w:rsidR="004F5B7D" w:rsidRPr="008E3494" w14:paraId="51B7C7CA" w14:textId="77777777" w:rsidTr="004F5B7D">
        <w:trPr>
          <w:trHeight w:val="64"/>
        </w:trPr>
        <w:tc>
          <w:tcPr>
            <w:tcW w:w="1038" w:type="pct"/>
            <w:tcBorders>
              <w:top w:val="single" w:sz="4" w:space="0" w:color="auto"/>
              <w:left w:val="single" w:sz="4" w:space="0" w:color="auto"/>
              <w:bottom w:val="single" w:sz="4" w:space="0" w:color="auto"/>
              <w:right w:val="single" w:sz="4" w:space="0" w:color="auto"/>
            </w:tcBorders>
            <w:vAlign w:val="center"/>
          </w:tcPr>
          <w:p w14:paraId="64B99655" w14:textId="77777777" w:rsidR="004F5B7D" w:rsidRPr="008E3494" w:rsidRDefault="004F5B7D" w:rsidP="00670180">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Cambio en la estructura del gasto por inversión del hogar</w:t>
            </w:r>
          </w:p>
          <w:p w14:paraId="3EC91A0A" w14:textId="77777777" w:rsidR="004F5B7D" w:rsidRPr="008E3494" w:rsidRDefault="004F5B7D" w:rsidP="00670180">
            <w:pPr>
              <w:pStyle w:val="ListParagraph"/>
              <w:numPr>
                <w:ilvl w:val="0"/>
                <w:numId w:val="14"/>
              </w:numPr>
              <w:spacing w:after="0" w:line="240" w:lineRule="auto"/>
              <w:rPr>
                <w:rFonts w:ascii="Arial" w:hAnsi="Arial" w:cs="Arial"/>
                <w:sz w:val="20"/>
                <w:szCs w:val="20"/>
                <w:lang w:eastAsia="zh-CN"/>
              </w:rPr>
            </w:pPr>
            <w:r w:rsidRPr="008E3494">
              <w:rPr>
                <w:rFonts w:ascii="Arial" w:hAnsi="Arial" w:cs="Arial"/>
                <w:sz w:val="20"/>
                <w:szCs w:val="20"/>
                <w:lang w:eastAsia="zh-CN"/>
              </w:rPr>
              <w:t>Bienes productivos</w:t>
            </w:r>
          </w:p>
          <w:p w14:paraId="43F8BF55" w14:textId="77777777" w:rsidR="004F5B7D" w:rsidRPr="008E3494" w:rsidRDefault="004F5B7D" w:rsidP="00670180">
            <w:pPr>
              <w:pStyle w:val="ListParagraph"/>
              <w:numPr>
                <w:ilvl w:val="0"/>
                <w:numId w:val="14"/>
              </w:numPr>
              <w:spacing w:after="0" w:line="240" w:lineRule="auto"/>
              <w:rPr>
                <w:rFonts w:ascii="Arial" w:hAnsi="Arial" w:cs="Arial"/>
                <w:sz w:val="20"/>
                <w:szCs w:val="20"/>
                <w:lang w:eastAsia="zh-CN"/>
              </w:rPr>
            </w:pPr>
            <w:r w:rsidRPr="008E3494">
              <w:rPr>
                <w:rFonts w:ascii="Arial" w:hAnsi="Arial" w:cs="Arial"/>
                <w:sz w:val="20"/>
                <w:szCs w:val="20"/>
                <w:lang w:eastAsia="zh-CN"/>
              </w:rPr>
              <w:t>Bienes durables privados</w:t>
            </w:r>
          </w:p>
        </w:tc>
        <w:tc>
          <w:tcPr>
            <w:tcW w:w="492" w:type="pct"/>
            <w:tcBorders>
              <w:top w:val="single" w:sz="4" w:space="0" w:color="auto"/>
              <w:left w:val="single" w:sz="4" w:space="0" w:color="auto"/>
              <w:bottom w:val="single" w:sz="4" w:space="0" w:color="auto"/>
              <w:right w:val="single" w:sz="4" w:space="0" w:color="auto"/>
            </w:tcBorders>
            <w:vAlign w:val="center"/>
          </w:tcPr>
          <w:p w14:paraId="38D10795" w14:textId="77777777" w:rsidR="004F5B7D" w:rsidRPr="008E3494" w:rsidRDefault="004F5B7D" w:rsidP="00670180">
            <w:pPr>
              <w:spacing w:after="0" w:line="240" w:lineRule="auto"/>
              <w:jc w:val="center"/>
              <w:rPr>
                <w:rFonts w:ascii="Arial" w:hAnsi="Arial" w:cs="Arial"/>
                <w:sz w:val="20"/>
                <w:szCs w:val="20"/>
                <w:lang w:eastAsia="zh-CN"/>
              </w:rPr>
            </w:pPr>
            <w:r w:rsidRPr="008E3494">
              <w:rPr>
                <w:rFonts w:ascii="Arial" w:hAnsi="Arial" w:cs="Arial"/>
                <w:sz w:val="20"/>
                <w:szCs w:val="20"/>
                <w:lang w:eastAsia="zh-CN"/>
              </w:rPr>
              <w:t>Porcentaje</w:t>
            </w:r>
          </w:p>
        </w:tc>
        <w:tc>
          <w:tcPr>
            <w:tcW w:w="493" w:type="pct"/>
            <w:tcBorders>
              <w:top w:val="single" w:sz="4" w:space="0" w:color="auto"/>
              <w:left w:val="single" w:sz="4" w:space="0" w:color="auto"/>
              <w:bottom w:val="single" w:sz="4" w:space="0" w:color="auto"/>
              <w:right w:val="single" w:sz="4" w:space="0" w:color="auto"/>
            </w:tcBorders>
            <w:vAlign w:val="center"/>
          </w:tcPr>
          <w:p w14:paraId="461CA197" w14:textId="77777777" w:rsidR="004F5B7D" w:rsidRPr="008E3494" w:rsidRDefault="004F5B7D" w:rsidP="00670180">
            <w:pPr>
              <w:spacing w:after="0" w:line="240" w:lineRule="auto"/>
              <w:jc w:val="center"/>
              <w:rPr>
                <w:rFonts w:ascii="Arial" w:hAnsi="Arial" w:cs="Arial"/>
                <w:i/>
                <w:sz w:val="20"/>
                <w:szCs w:val="20"/>
                <w:lang w:eastAsia="zh-CN"/>
              </w:rPr>
            </w:pPr>
            <w:r w:rsidRPr="008E3494">
              <w:rPr>
                <w:rFonts w:ascii="Arial" w:hAnsi="Arial" w:cs="Arial"/>
                <w:i/>
                <w:sz w:val="20"/>
                <w:szCs w:val="20"/>
                <w:lang w:eastAsia="zh-CN"/>
              </w:rPr>
              <w:t>Por definir</w:t>
            </w:r>
          </w:p>
        </w:tc>
        <w:tc>
          <w:tcPr>
            <w:tcW w:w="329" w:type="pct"/>
            <w:tcBorders>
              <w:top w:val="single" w:sz="4" w:space="0" w:color="auto"/>
              <w:left w:val="single" w:sz="4" w:space="0" w:color="auto"/>
              <w:bottom w:val="single" w:sz="4" w:space="0" w:color="auto"/>
              <w:right w:val="single" w:sz="4" w:space="0" w:color="auto"/>
            </w:tcBorders>
            <w:vAlign w:val="center"/>
          </w:tcPr>
          <w:p w14:paraId="536FFC1D" w14:textId="77777777" w:rsidR="004F5B7D" w:rsidRPr="008E3494" w:rsidRDefault="004F5B7D" w:rsidP="00670180">
            <w:pPr>
              <w:spacing w:after="0" w:line="240" w:lineRule="auto"/>
              <w:jc w:val="center"/>
              <w:rPr>
                <w:rFonts w:ascii="Arial" w:hAnsi="Arial" w:cs="Arial"/>
                <w:sz w:val="20"/>
                <w:szCs w:val="20"/>
                <w:lang w:eastAsia="zh-CN"/>
              </w:rPr>
            </w:pPr>
            <w:r w:rsidRPr="008E3494">
              <w:rPr>
                <w:rFonts w:ascii="Arial" w:hAnsi="Arial" w:cs="Arial"/>
                <w:sz w:val="20"/>
                <w:szCs w:val="20"/>
                <w:lang w:eastAsia="zh-CN"/>
              </w:rPr>
              <w:t>2019</w:t>
            </w:r>
          </w:p>
        </w:tc>
        <w:tc>
          <w:tcPr>
            <w:tcW w:w="493" w:type="pct"/>
            <w:tcBorders>
              <w:top w:val="single" w:sz="4" w:space="0" w:color="auto"/>
              <w:left w:val="single" w:sz="4" w:space="0" w:color="auto"/>
              <w:bottom w:val="single" w:sz="4" w:space="0" w:color="auto"/>
              <w:right w:val="single" w:sz="4" w:space="0" w:color="auto"/>
            </w:tcBorders>
            <w:vAlign w:val="center"/>
          </w:tcPr>
          <w:p w14:paraId="0A27D1B6" w14:textId="77777777" w:rsidR="004F5B7D" w:rsidRPr="008E3494" w:rsidRDefault="004F5B7D" w:rsidP="00670180">
            <w:pPr>
              <w:spacing w:after="0" w:line="240" w:lineRule="auto"/>
              <w:jc w:val="center"/>
              <w:rPr>
                <w:rFonts w:ascii="Arial" w:hAnsi="Arial" w:cs="Arial"/>
                <w:i/>
                <w:sz w:val="20"/>
                <w:szCs w:val="20"/>
                <w:lang w:eastAsia="zh-CN"/>
              </w:rPr>
            </w:pPr>
            <w:r w:rsidRPr="008E3494">
              <w:rPr>
                <w:rFonts w:ascii="Arial" w:hAnsi="Arial" w:cs="Arial"/>
                <w:i/>
                <w:sz w:val="20"/>
                <w:szCs w:val="20"/>
                <w:lang w:eastAsia="zh-CN"/>
              </w:rPr>
              <w:t>Por definir</w:t>
            </w:r>
          </w:p>
        </w:tc>
        <w:tc>
          <w:tcPr>
            <w:tcW w:w="2155" w:type="pct"/>
            <w:tcBorders>
              <w:top w:val="single" w:sz="4" w:space="0" w:color="auto"/>
              <w:left w:val="single" w:sz="4" w:space="0" w:color="auto"/>
              <w:bottom w:val="single" w:sz="4" w:space="0" w:color="auto"/>
              <w:right w:val="single" w:sz="4" w:space="0" w:color="auto"/>
            </w:tcBorders>
          </w:tcPr>
          <w:p w14:paraId="332C9E0B" w14:textId="626D726A" w:rsidR="004F5B7D" w:rsidRPr="008E3494" w:rsidRDefault="004F5B7D" w:rsidP="00670180">
            <w:pPr>
              <w:spacing w:before="120" w:after="120" w:line="240" w:lineRule="auto"/>
              <w:rPr>
                <w:rFonts w:ascii="Arial" w:hAnsi="Arial" w:cs="Arial"/>
                <w:sz w:val="20"/>
                <w:szCs w:val="20"/>
                <w:lang w:eastAsia="zh-CN"/>
              </w:rPr>
            </w:pPr>
            <w:r w:rsidRPr="008E3494">
              <w:rPr>
                <w:rFonts w:ascii="Arial" w:hAnsi="Arial" w:cs="Arial"/>
                <w:b/>
                <w:sz w:val="20"/>
                <w:szCs w:val="20"/>
                <w:lang w:eastAsia="zh-CN"/>
              </w:rPr>
              <w:t xml:space="preserve">- Medio de verificación: </w:t>
            </w:r>
            <w:r w:rsidRPr="008E3494">
              <w:rPr>
                <w:rFonts w:ascii="Arial" w:hAnsi="Arial" w:cs="Arial"/>
                <w:sz w:val="20"/>
                <w:szCs w:val="20"/>
                <w:lang w:eastAsia="zh-CN"/>
              </w:rPr>
              <w:t>Encuesta de inicio y cierre a grupo tratamiento.</w:t>
            </w:r>
          </w:p>
        </w:tc>
      </w:tr>
    </w:tbl>
    <w:p w14:paraId="12786847" w14:textId="77777777" w:rsidR="00670180" w:rsidRPr="008E3494" w:rsidRDefault="00670180">
      <w:pPr>
        <w:spacing w:line="240" w:lineRule="auto"/>
        <w:jc w:val="both"/>
        <w:rPr>
          <w:rFonts w:ascii="Arial" w:hAnsi="Arial" w:cs="Arial"/>
        </w:rPr>
        <w:sectPr w:rsidR="00670180" w:rsidRPr="008E3494">
          <w:pgSz w:w="15840" w:h="12240" w:orient="landscape"/>
          <w:pgMar w:top="1440" w:right="1440" w:bottom="1440" w:left="1440" w:header="720" w:footer="720" w:gutter="0"/>
          <w:cols w:space="720"/>
          <w:docGrid w:linePitch="360"/>
        </w:sectPr>
      </w:pPr>
    </w:p>
    <w:p w14:paraId="672C4778" w14:textId="77777777" w:rsidR="00AA6EC7" w:rsidRPr="008E3494" w:rsidRDefault="007F5B37" w:rsidP="00181B8D">
      <w:pPr>
        <w:pStyle w:val="Heading3"/>
      </w:pPr>
      <w:bookmarkStart w:id="17" w:name="_Toc1373071"/>
      <w:r w:rsidRPr="008E3494">
        <w:lastRenderedPageBreak/>
        <w:t>Selección de la muestra y potencia estadística</w:t>
      </w:r>
      <w:bookmarkEnd w:id="17"/>
    </w:p>
    <w:p w14:paraId="29B6674D" w14:textId="33D31778" w:rsidR="00590698" w:rsidRPr="008E3494" w:rsidRDefault="00590698" w:rsidP="006861E2">
      <w:pPr>
        <w:jc w:val="both"/>
        <w:rPr>
          <w:rFonts w:ascii="Arial" w:hAnsi="Arial" w:cs="Arial"/>
        </w:rPr>
      </w:pPr>
    </w:p>
    <w:p w14:paraId="719FBF34" w14:textId="77777777" w:rsidR="006861E2" w:rsidRPr="008E3494" w:rsidRDefault="006861E2" w:rsidP="006861E2">
      <w:pPr>
        <w:jc w:val="both"/>
        <w:rPr>
          <w:rFonts w:ascii="Arial" w:hAnsi="Arial" w:cs="Arial"/>
          <w:lang w:val="es-419"/>
        </w:rPr>
      </w:pPr>
      <w:r w:rsidRPr="008E3494">
        <w:rPr>
          <w:rFonts w:ascii="Arial" w:hAnsi="Arial" w:cs="Arial"/>
          <w:lang w:val="es-419"/>
        </w:rPr>
        <w:t>Para estimar los tamaños de muestra requeridos por la evaluación se deben considerar el mínimo efecto detectable (MDE), asumiendo una potencia del 80% y un nivel de significancia (confianza) del 5% (95%). Con base en la información del MIDUVI, para el año 2017, se otorgaron 650 subsidios de vivienda a nivel rural y urbano, en 18 de las 24 provincias del Ecuador</w:t>
      </w:r>
      <w:r w:rsidRPr="008E3494">
        <w:rPr>
          <w:rFonts w:ascii="Arial" w:hAnsi="Arial" w:cs="Arial"/>
          <w:vertAlign w:val="superscript"/>
          <w:lang w:val="es-419"/>
        </w:rPr>
        <w:footnoteReference w:id="4"/>
      </w:r>
      <w:r w:rsidRPr="008E3494">
        <w:rPr>
          <w:rFonts w:ascii="Arial" w:hAnsi="Arial" w:cs="Arial"/>
          <w:lang w:val="es-419"/>
        </w:rPr>
        <w:t xml:space="preserve">. Suponiendo un mínimo de dos intermediarios constructores por provincia, esto implica que se tendrían 18 conglomerados que pertenecerían al grupo tratamiento, y 18 conglomerados que pertenecerían al grupo control, con un promedio de 18 familias por conglomerado. Al momento no se cuenta con información de los indicadores de impacto que permitan el cálculo de la desviación típica y el coeficiente de correlación </w:t>
      </w:r>
      <w:proofErr w:type="spellStart"/>
      <w:r w:rsidRPr="008E3494">
        <w:rPr>
          <w:rFonts w:ascii="Arial" w:hAnsi="Arial" w:cs="Arial"/>
          <w:lang w:val="es-419"/>
        </w:rPr>
        <w:t>intraclasica</w:t>
      </w:r>
      <w:proofErr w:type="spellEnd"/>
      <w:r w:rsidRPr="008E3494">
        <w:rPr>
          <w:rFonts w:ascii="Arial" w:hAnsi="Arial" w:cs="Arial"/>
          <w:lang w:val="es-419"/>
        </w:rPr>
        <w:t xml:space="preserve"> (ICC), por cuanto se supone una varianza igual a uno. Esto significa que el MDE debe ser interpretado en porcentaje de una desviación estándar.</w:t>
      </w:r>
    </w:p>
    <w:p w14:paraId="18772B66" w14:textId="66945300" w:rsidR="006861E2" w:rsidRPr="008E3494" w:rsidRDefault="006861E2" w:rsidP="006861E2">
      <w:pPr>
        <w:jc w:val="both"/>
        <w:rPr>
          <w:rFonts w:ascii="Arial" w:hAnsi="Arial" w:cs="Arial"/>
          <w:lang w:val="es-419"/>
        </w:rPr>
      </w:pPr>
      <w:r w:rsidRPr="008E3494">
        <w:rPr>
          <w:rFonts w:ascii="Arial" w:hAnsi="Arial" w:cs="Arial"/>
          <w:lang w:val="es-419"/>
        </w:rPr>
        <w:t xml:space="preserve">Se ofrecen tres escenarios. El primer escenario corresponde a una situación donde el número de subsidios equivale al </w:t>
      </w:r>
      <w:r w:rsidR="00E426E4" w:rsidRPr="008E3494">
        <w:rPr>
          <w:rFonts w:ascii="Arial" w:hAnsi="Arial" w:cs="Arial"/>
          <w:lang w:val="es-419"/>
        </w:rPr>
        <w:t>número</w:t>
      </w:r>
      <w:r w:rsidRPr="008E3494">
        <w:rPr>
          <w:rFonts w:ascii="Arial" w:hAnsi="Arial" w:cs="Arial"/>
          <w:lang w:val="es-419"/>
        </w:rPr>
        <w:t xml:space="preserve"> que fue procesado en el año 2017. El segundo escenario corresponde a una situación donde el total de subsidios proyectados bajo el componente 1 son distribuidos en los 18 intermediarios constructores, arrojando un promedio de 116 subsidios por constructor. Finalmente, el análisis incluye el </w:t>
      </w:r>
      <w:r w:rsidR="00E426E4" w:rsidRPr="008E3494">
        <w:rPr>
          <w:rFonts w:ascii="Arial" w:hAnsi="Arial" w:cs="Arial"/>
          <w:lang w:val="es-419"/>
        </w:rPr>
        <w:t>cálculo</w:t>
      </w:r>
      <w:r w:rsidRPr="008E3494">
        <w:rPr>
          <w:rFonts w:ascii="Arial" w:hAnsi="Arial" w:cs="Arial"/>
          <w:lang w:val="es-419"/>
        </w:rPr>
        <w:t xml:space="preserve"> del MDE, asumiendo una expansión de la muestra por conglomerado, acorde con el </w:t>
      </w:r>
      <w:r w:rsidR="00E426E4" w:rsidRPr="008E3494">
        <w:rPr>
          <w:rFonts w:ascii="Arial" w:hAnsi="Arial" w:cs="Arial"/>
          <w:lang w:val="es-419"/>
        </w:rPr>
        <w:t>número</w:t>
      </w:r>
      <w:r w:rsidRPr="008E3494">
        <w:rPr>
          <w:rFonts w:ascii="Arial" w:hAnsi="Arial" w:cs="Arial"/>
          <w:lang w:val="es-419"/>
        </w:rPr>
        <w:t xml:space="preserve"> de subsidios a otorgar bajo el componente 2.</w:t>
      </w:r>
    </w:p>
    <w:p w14:paraId="2EC8A51F" w14:textId="6973349D" w:rsidR="006861E2" w:rsidRPr="008E3494" w:rsidRDefault="006861E2" w:rsidP="006861E2">
      <w:pPr>
        <w:jc w:val="both"/>
        <w:rPr>
          <w:rFonts w:ascii="Arial" w:hAnsi="Arial" w:cs="Arial"/>
          <w:lang w:val="es-419"/>
        </w:rPr>
      </w:pPr>
      <w:r w:rsidRPr="008E3494">
        <w:rPr>
          <w:rFonts w:ascii="Arial" w:hAnsi="Arial" w:cs="Arial"/>
          <w:lang w:val="es-419"/>
        </w:rPr>
        <w:t xml:space="preserve">Como puede apreciarse en la tabla adjunta, bajo un esquema de muestreo simple, el MDE oscila entre 6% y 22% de una desviación estándar. En contraste, cuando el muestreo considera la correlación </w:t>
      </w:r>
      <w:proofErr w:type="spellStart"/>
      <w:r w:rsidRPr="008E3494">
        <w:rPr>
          <w:rFonts w:ascii="Arial" w:hAnsi="Arial" w:cs="Arial"/>
          <w:lang w:val="es-419"/>
        </w:rPr>
        <w:t>intra-</w:t>
      </w:r>
      <w:proofErr w:type="gramStart"/>
      <w:r w:rsidRPr="008E3494">
        <w:rPr>
          <w:rFonts w:ascii="Arial" w:hAnsi="Arial" w:cs="Arial"/>
          <w:lang w:val="es-419"/>
        </w:rPr>
        <w:t>cluster</w:t>
      </w:r>
      <w:proofErr w:type="spellEnd"/>
      <w:proofErr w:type="gramEnd"/>
      <w:r w:rsidRPr="008E3494">
        <w:rPr>
          <w:rFonts w:ascii="Arial" w:hAnsi="Arial" w:cs="Arial"/>
          <w:lang w:val="es-419"/>
        </w:rPr>
        <w:t>, el MDE oscila entre 31% a 37% de una desviación estándar. En promedio, bajo el muestreo más conservador, es razonable sugerir que es posible identificar efectos tan grandes como un tercio de una desviación estándar.</w:t>
      </w:r>
    </w:p>
    <w:p w14:paraId="03B66685" w14:textId="77777777" w:rsidR="00181B8D" w:rsidRPr="008E3494" w:rsidRDefault="00181B8D" w:rsidP="006861E2">
      <w:pPr>
        <w:jc w:val="both"/>
        <w:rPr>
          <w:rFonts w:ascii="Arial" w:hAnsi="Arial" w:cs="Arial"/>
          <w:lang w:val="es-419"/>
        </w:rPr>
      </w:pPr>
    </w:p>
    <w:p w14:paraId="6A5B4D6E" w14:textId="49CCC202" w:rsidR="006861E2" w:rsidRPr="008E3494" w:rsidRDefault="006861E2" w:rsidP="006861E2">
      <w:pPr>
        <w:jc w:val="center"/>
        <w:rPr>
          <w:rFonts w:ascii="Arial" w:hAnsi="Arial" w:cs="Arial"/>
          <w:lang w:val="es-419"/>
        </w:rPr>
      </w:pPr>
      <w:r w:rsidRPr="008E3494">
        <w:rPr>
          <w:rFonts w:ascii="Arial" w:hAnsi="Arial" w:cs="Arial"/>
          <w:lang w:val="es-419"/>
        </w:rPr>
        <w:t>Cálculo del MDE</w:t>
      </w:r>
    </w:p>
    <w:tbl>
      <w:tblPr>
        <w:tblW w:w="7606" w:type="dxa"/>
        <w:jc w:val="center"/>
        <w:tblLook w:val="04A0" w:firstRow="1" w:lastRow="0" w:firstColumn="1" w:lastColumn="0" w:noHBand="0" w:noVBand="1"/>
      </w:tblPr>
      <w:tblGrid>
        <w:gridCol w:w="595"/>
        <w:gridCol w:w="1083"/>
        <w:gridCol w:w="1405"/>
        <w:gridCol w:w="1806"/>
        <w:gridCol w:w="1745"/>
        <w:gridCol w:w="1611"/>
      </w:tblGrid>
      <w:tr w:rsidR="006861E2" w:rsidRPr="008E3494" w14:paraId="3046CE9D" w14:textId="77777777" w:rsidTr="006861E2">
        <w:trPr>
          <w:trHeight w:val="295"/>
          <w:jc w:val="center"/>
        </w:trPr>
        <w:tc>
          <w:tcPr>
            <w:tcW w:w="7606"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B66B7F"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Panel A (N=650)</w:t>
            </w:r>
          </w:p>
        </w:tc>
      </w:tr>
      <w:tr w:rsidR="006861E2" w:rsidRPr="008E3494" w14:paraId="097017EC"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277130F5"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ICC</w:t>
            </w:r>
          </w:p>
        </w:tc>
        <w:tc>
          <w:tcPr>
            <w:tcW w:w="1083" w:type="dxa"/>
            <w:tcBorders>
              <w:top w:val="nil"/>
              <w:left w:val="nil"/>
              <w:bottom w:val="nil"/>
              <w:right w:val="nil"/>
            </w:tcBorders>
            <w:shd w:val="clear" w:color="auto" w:fill="auto"/>
            <w:noWrap/>
            <w:vAlign w:val="center"/>
            <w:hideMark/>
          </w:tcPr>
          <w:p w14:paraId="3C6FEB44"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#Cluster Control</w:t>
            </w:r>
          </w:p>
        </w:tc>
        <w:tc>
          <w:tcPr>
            <w:tcW w:w="1405" w:type="dxa"/>
            <w:tcBorders>
              <w:top w:val="nil"/>
              <w:left w:val="nil"/>
              <w:bottom w:val="nil"/>
              <w:right w:val="nil"/>
            </w:tcBorders>
            <w:shd w:val="clear" w:color="auto" w:fill="auto"/>
            <w:noWrap/>
            <w:vAlign w:val="center"/>
            <w:hideMark/>
          </w:tcPr>
          <w:p w14:paraId="2CA15563"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 xml:space="preserve">#Cluster </w:t>
            </w:r>
            <w:proofErr w:type="spellStart"/>
            <w:r w:rsidRPr="008E3494">
              <w:rPr>
                <w:rFonts w:ascii="Arial" w:hAnsi="Arial" w:cs="Arial"/>
                <w:lang w:val="en-US"/>
              </w:rPr>
              <w:t>Tratamiento</w:t>
            </w:r>
            <w:proofErr w:type="spellEnd"/>
          </w:p>
        </w:tc>
        <w:tc>
          <w:tcPr>
            <w:tcW w:w="1657" w:type="dxa"/>
            <w:tcBorders>
              <w:top w:val="nil"/>
              <w:left w:val="nil"/>
              <w:bottom w:val="nil"/>
              <w:right w:val="nil"/>
            </w:tcBorders>
            <w:shd w:val="clear" w:color="auto" w:fill="auto"/>
            <w:noWrap/>
            <w:vAlign w:val="center"/>
            <w:hideMark/>
          </w:tcPr>
          <w:p w14:paraId="44558DF5"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w:t>
            </w:r>
            <w:proofErr w:type="spellStart"/>
            <w:r w:rsidRPr="008E3494">
              <w:rPr>
                <w:rFonts w:ascii="Arial" w:hAnsi="Arial" w:cs="Arial"/>
                <w:lang w:val="en-US"/>
              </w:rPr>
              <w:t>Observaciones</w:t>
            </w:r>
            <w:proofErr w:type="spellEnd"/>
            <w:r w:rsidRPr="008E3494">
              <w:rPr>
                <w:rFonts w:ascii="Arial" w:hAnsi="Arial" w:cs="Arial"/>
                <w:lang w:val="en-US"/>
              </w:rPr>
              <w:t xml:space="preserve"> x Cluster</w:t>
            </w:r>
          </w:p>
        </w:tc>
        <w:tc>
          <w:tcPr>
            <w:tcW w:w="1510" w:type="dxa"/>
            <w:tcBorders>
              <w:top w:val="nil"/>
              <w:left w:val="nil"/>
              <w:bottom w:val="nil"/>
              <w:right w:val="nil"/>
            </w:tcBorders>
            <w:shd w:val="clear" w:color="auto" w:fill="auto"/>
            <w:noWrap/>
            <w:vAlign w:val="center"/>
            <w:hideMark/>
          </w:tcPr>
          <w:p w14:paraId="2133C56D" w14:textId="77777777" w:rsidR="006861E2" w:rsidRPr="008E3494" w:rsidRDefault="006861E2" w:rsidP="006861E2">
            <w:pPr>
              <w:spacing w:after="0" w:line="240" w:lineRule="auto"/>
              <w:jc w:val="center"/>
              <w:rPr>
                <w:rFonts w:ascii="Arial" w:hAnsi="Arial" w:cs="Arial"/>
                <w:lang w:val="en-US"/>
              </w:rPr>
            </w:pPr>
            <w:proofErr w:type="spellStart"/>
            <w:r w:rsidRPr="008E3494">
              <w:rPr>
                <w:rFonts w:ascii="Arial" w:hAnsi="Arial" w:cs="Arial"/>
                <w:lang w:val="en-US"/>
              </w:rPr>
              <w:t>MDE_muestreo</w:t>
            </w:r>
            <w:proofErr w:type="spellEnd"/>
            <w:r w:rsidRPr="008E3494">
              <w:rPr>
                <w:rFonts w:ascii="Arial" w:hAnsi="Arial" w:cs="Arial"/>
                <w:lang w:val="en-US"/>
              </w:rPr>
              <w:t xml:space="preserve"> simple</w:t>
            </w:r>
          </w:p>
        </w:tc>
        <w:tc>
          <w:tcPr>
            <w:tcW w:w="1611" w:type="dxa"/>
            <w:tcBorders>
              <w:top w:val="nil"/>
              <w:left w:val="nil"/>
              <w:bottom w:val="nil"/>
              <w:right w:val="single" w:sz="8" w:space="0" w:color="auto"/>
            </w:tcBorders>
            <w:shd w:val="clear" w:color="auto" w:fill="auto"/>
            <w:noWrap/>
            <w:vAlign w:val="center"/>
            <w:hideMark/>
          </w:tcPr>
          <w:p w14:paraId="5A299CC5" w14:textId="6DBBA84A"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 xml:space="preserve">MDE </w:t>
            </w:r>
            <w:proofErr w:type="spellStart"/>
            <w:r w:rsidRPr="008E3494">
              <w:rPr>
                <w:rFonts w:ascii="Arial" w:hAnsi="Arial" w:cs="Arial"/>
                <w:lang w:val="en-US"/>
              </w:rPr>
              <w:t>Muestreo</w:t>
            </w:r>
            <w:proofErr w:type="spellEnd"/>
            <w:r w:rsidRPr="008E3494">
              <w:rPr>
                <w:rFonts w:ascii="Arial" w:hAnsi="Arial" w:cs="Arial"/>
                <w:lang w:val="en-US"/>
              </w:rPr>
              <w:t xml:space="preserve"> x Cluster</w:t>
            </w:r>
          </w:p>
        </w:tc>
      </w:tr>
      <w:tr w:rsidR="006861E2" w:rsidRPr="008E3494" w14:paraId="7872BD30"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2C5270D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0.1</w:t>
            </w:r>
          </w:p>
        </w:tc>
        <w:tc>
          <w:tcPr>
            <w:tcW w:w="1083" w:type="dxa"/>
            <w:tcBorders>
              <w:top w:val="nil"/>
              <w:left w:val="nil"/>
              <w:bottom w:val="nil"/>
              <w:right w:val="nil"/>
            </w:tcBorders>
            <w:shd w:val="clear" w:color="auto" w:fill="auto"/>
            <w:noWrap/>
            <w:vAlign w:val="center"/>
            <w:hideMark/>
          </w:tcPr>
          <w:p w14:paraId="71C05D45"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7BC7067D"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1D50F54E"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510" w:type="dxa"/>
            <w:tcBorders>
              <w:top w:val="nil"/>
              <w:left w:val="nil"/>
              <w:bottom w:val="nil"/>
              <w:right w:val="nil"/>
            </w:tcBorders>
            <w:shd w:val="clear" w:color="auto" w:fill="auto"/>
            <w:noWrap/>
            <w:vAlign w:val="center"/>
            <w:hideMark/>
          </w:tcPr>
          <w:p w14:paraId="45DF699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0.22</w:t>
            </w:r>
          </w:p>
        </w:tc>
        <w:tc>
          <w:tcPr>
            <w:tcW w:w="1611" w:type="dxa"/>
            <w:tcBorders>
              <w:top w:val="nil"/>
              <w:left w:val="nil"/>
              <w:bottom w:val="nil"/>
              <w:right w:val="single" w:sz="8" w:space="0" w:color="auto"/>
            </w:tcBorders>
            <w:shd w:val="clear" w:color="auto" w:fill="auto"/>
            <w:noWrap/>
            <w:vAlign w:val="center"/>
            <w:hideMark/>
          </w:tcPr>
          <w:p w14:paraId="26E348F6"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0.37</w:t>
            </w:r>
          </w:p>
        </w:tc>
      </w:tr>
      <w:tr w:rsidR="006861E2" w:rsidRPr="008E3494" w14:paraId="27F12CAB"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64D0C0A3"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0.2</w:t>
            </w:r>
          </w:p>
        </w:tc>
        <w:tc>
          <w:tcPr>
            <w:tcW w:w="1083" w:type="dxa"/>
            <w:tcBorders>
              <w:top w:val="nil"/>
              <w:left w:val="nil"/>
              <w:bottom w:val="nil"/>
              <w:right w:val="nil"/>
            </w:tcBorders>
            <w:shd w:val="clear" w:color="auto" w:fill="auto"/>
            <w:noWrap/>
            <w:vAlign w:val="center"/>
            <w:hideMark/>
          </w:tcPr>
          <w:p w14:paraId="377B2420"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0A25C395"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65CCEA71"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510" w:type="dxa"/>
            <w:tcBorders>
              <w:top w:val="nil"/>
              <w:left w:val="nil"/>
              <w:bottom w:val="nil"/>
              <w:right w:val="nil"/>
            </w:tcBorders>
            <w:shd w:val="clear" w:color="auto" w:fill="auto"/>
            <w:noWrap/>
            <w:vAlign w:val="center"/>
            <w:hideMark/>
          </w:tcPr>
          <w:p w14:paraId="014ADD8D"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0.22</w:t>
            </w:r>
          </w:p>
        </w:tc>
        <w:tc>
          <w:tcPr>
            <w:tcW w:w="1611" w:type="dxa"/>
            <w:tcBorders>
              <w:top w:val="nil"/>
              <w:left w:val="nil"/>
              <w:bottom w:val="nil"/>
              <w:right w:val="single" w:sz="8" w:space="0" w:color="auto"/>
            </w:tcBorders>
            <w:shd w:val="clear" w:color="auto" w:fill="auto"/>
            <w:noWrap/>
            <w:vAlign w:val="center"/>
            <w:hideMark/>
          </w:tcPr>
          <w:p w14:paraId="30221E4D"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0.48</w:t>
            </w:r>
          </w:p>
        </w:tc>
      </w:tr>
      <w:tr w:rsidR="006861E2" w:rsidRPr="008E3494" w14:paraId="09517469"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6A4B600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0.3</w:t>
            </w:r>
          </w:p>
        </w:tc>
        <w:tc>
          <w:tcPr>
            <w:tcW w:w="1083" w:type="dxa"/>
            <w:tcBorders>
              <w:top w:val="nil"/>
              <w:left w:val="nil"/>
              <w:bottom w:val="nil"/>
              <w:right w:val="nil"/>
            </w:tcBorders>
            <w:shd w:val="clear" w:color="auto" w:fill="auto"/>
            <w:noWrap/>
            <w:vAlign w:val="center"/>
            <w:hideMark/>
          </w:tcPr>
          <w:p w14:paraId="68B065DD"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5240CBF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1ADDA62A"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510" w:type="dxa"/>
            <w:tcBorders>
              <w:top w:val="nil"/>
              <w:left w:val="nil"/>
              <w:bottom w:val="nil"/>
              <w:right w:val="nil"/>
            </w:tcBorders>
            <w:shd w:val="clear" w:color="auto" w:fill="auto"/>
            <w:noWrap/>
            <w:vAlign w:val="center"/>
            <w:hideMark/>
          </w:tcPr>
          <w:p w14:paraId="443C4E28"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0.22</w:t>
            </w:r>
          </w:p>
        </w:tc>
        <w:tc>
          <w:tcPr>
            <w:tcW w:w="1611" w:type="dxa"/>
            <w:tcBorders>
              <w:top w:val="nil"/>
              <w:left w:val="nil"/>
              <w:bottom w:val="nil"/>
              <w:right w:val="single" w:sz="8" w:space="0" w:color="auto"/>
            </w:tcBorders>
            <w:shd w:val="clear" w:color="auto" w:fill="auto"/>
            <w:noWrap/>
            <w:vAlign w:val="center"/>
            <w:hideMark/>
          </w:tcPr>
          <w:p w14:paraId="588F3783"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0.56</w:t>
            </w:r>
          </w:p>
        </w:tc>
      </w:tr>
      <w:tr w:rsidR="006861E2" w:rsidRPr="008E3494" w14:paraId="2B839982"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14EB8F21"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0.4</w:t>
            </w:r>
          </w:p>
        </w:tc>
        <w:tc>
          <w:tcPr>
            <w:tcW w:w="1083" w:type="dxa"/>
            <w:tcBorders>
              <w:top w:val="nil"/>
              <w:left w:val="nil"/>
              <w:bottom w:val="nil"/>
              <w:right w:val="nil"/>
            </w:tcBorders>
            <w:shd w:val="clear" w:color="auto" w:fill="auto"/>
            <w:noWrap/>
            <w:vAlign w:val="center"/>
            <w:hideMark/>
          </w:tcPr>
          <w:p w14:paraId="2BDE9432"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14E8064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2445898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510" w:type="dxa"/>
            <w:tcBorders>
              <w:top w:val="nil"/>
              <w:left w:val="nil"/>
              <w:bottom w:val="nil"/>
              <w:right w:val="nil"/>
            </w:tcBorders>
            <w:shd w:val="clear" w:color="auto" w:fill="auto"/>
            <w:noWrap/>
            <w:vAlign w:val="center"/>
            <w:hideMark/>
          </w:tcPr>
          <w:p w14:paraId="1ABA525F"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0.22</w:t>
            </w:r>
          </w:p>
        </w:tc>
        <w:tc>
          <w:tcPr>
            <w:tcW w:w="1611" w:type="dxa"/>
            <w:tcBorders>
              <w:top w:val="nil"/>
              <w:left w:val="nil"/>
              <w:bottom w:val="nil"/>
              <w:right w:val="single" w:sz="8" w:space="0" w:color="auto"/>
            </w:tcBorders>
            <w:shd w:val="clear" w:color="auto" w:fill="auto"/>
            <w:noWrap/>
            <w:vAlign w:val="center"/>
            <w:hideMark/>
          </w:tcPr>
          <w:p w14:paraId="78F6B4D0"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0.63</w:t>
            </w:r>
          </w:p>
        </w:tc>
      </w:tr>
      <w:tr w:rsidR="006861E2" w:rsidRPr="008E3494" w14:paraId="642304A4"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72A4D322"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0.5</w:t>
            </w:r>
          </w:p>
        </w:tc>
        <w:tc>
          <w:tcPr>
            <w:tcW w:w="1083" w:type="dxa"/>
            <w:tcBorders>
              <w:top w:val="nil"/>
              <w:left w:val="nil"/>
              <w:bottom w:val="nil"/>
              <w:right w:val="nil"/>
            </w:tcBorders>
            <w:shd w:val="clear" w:color="auto" w:fill="auto"/>
            <w:noWrap/>
            <w:vAlign w:val="center"/>
            <w:hideMark/>
          </w:tcPr>
          <w:p w14:paraId="3844C76C"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41A34EAE"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310E37E3"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510" w:type="dxa"/>
            <w:tcBorders>
              <w:top w:val="nil"/>
              <w:left w:val="nil"/>
              <w:bottom w:val="nil"/>
              <w:right w:val="nil"/>
            </w:tcBorders>
            <w:shd w:val="clear" w:color="auto" w:fill="auto"/>
            <w:noWrap/>
            <w:vAlign w:val="center"/>
            <w:hideMark/>
          </w:tcPr>
          <w:p w14:paraId="0982CEA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0.22</w:t>
            </w:r>
          </w:p>
        </w:tc>
        <w:tc>
          <w:tcPr>
            <w:tcW w:w="1611" w:type="dxa"/>
            <w:tcBorders>
              <w:top w:val="nil"/>
              <w:left w:val="nil"/>
              <w:bottom w:val="nil"/>
              <w:right w:val="single" w:sz="8" w:space="0" w:color="auto"/>
            </w:tcBorders>
            <w:shd w:val="clear" w:color="auto" w:fill="auto"/>
            <w:noWrap/>
            <w:vAlign w:val="center"/>
            <w:hideMark/>
          </w:tcPr>
          <w:p w14:paraId="7A3F295E"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0.7</w:t>
            </w:r>
          </w:p>
        </w:tc>
      </w:tr>
      <w:tr w:rsidR="006861E2" w:rsidRPr="008E3494" w14:paraId="4D58649C"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2E75ED68"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0.6</w:t>
            </w:r>
          </w:p>
        </w:tc>
        <w:tc>
          <w:tcPr>
            <w:tcW w:w="1083" w:type="dxa"/>
            <w:tcBorders>
              <w:top w:val="nil"/>
              <w:left w:val="nil"/>
              <w:bottom w:val="nil"/>
              <w:right w:val="nil"/>
            </w:tcBorders>
            <w:shd w:val="clear" w:color="auto" w:fill="auto"/>
            <w:noWrap/>
            <w:vAlign w:val="center"/>
            <w:hideMark/>
          </w:tcPr>
          <w:p w14:paraId="7D2182D9"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09A5B765"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35795B35"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510" w:type="dxa"/>
            <w:tcBorders>
              <w:top w:val="nil"/>
              <w:left w:val="nil"/>
              <w:bottom w:val="nil"/>
              <w:right w:val="nil"/>
            </w:tcBorders>
            <w:shd w:val="clear" w:color="auto" w:fill="auto"/>
            <w:noWrap/>
            <w:vAlign w:val="center"/>
            <w:hideMark/>
          </w:tcPr>
          <w:p w14:paraId="0BACDEF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0.22</w:t>
            </w:r>
          </w:p>
        </w:tc>
        <w:tc>
          <w:tcPr>
            <w:tcW w:w="1611" w:type="dxa"/>
            <w:tcBorders>
              <w:top w:val="nil"/>
              <w:left w:val="nil"/>
              <w:bottom w:val="nil"/>
              <w:right w:val="single" w:sz="8" w:space="0" w:color="auto"/>
            </w:tcBorders>
            <w:shd w:val="clear" w:color="auto" w:fill="auto"/>
            <w:noWrap/>
            <w:vAlign w:val="center"/>
            <w:hideMark/>
          </w:tcPr>
          <w:p w14:paraId="01F273FD"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0.76</w:t>
            </w:r>
          </w:p>
        </w:tc>
      </w:tr>
      <w:tr w:rsidR="006861E2" w:rsidRPr="008E3494" w14:paraId="4014D9FB"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53189B40"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0.7</w:t>
            </w:r>
          </w:p>
        </w:tc>
        <w:tc>
          <w:tcPr>
            <w:tcW w:w="1083" w:type="dxa"/>
            <w:tcBorders>
              <w:top w:val="nil"/>
              <w:left w:val="nil"/>
              <w:bottom w:val="nil"/>
              <w:right w:val="nil"/>
            </w:tcBorders>
            <w:shd w:val="clear" w:color="auto" w:fill="auto"/>
            <w:noWrap/>
            <w:vAlign w:val="center"/>
            <w:hideMark/>
          </w:tcPr>
          <w:p w14:paraId="7208CA4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5644F270"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2E159B3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510" w:type="dxa"/>
            <w:tcBorders>
              <w:top w:val="nil"/>
              <w:left w:val="nil"/>
              <w:bottom w:val="nil"/>
              <w:right w:val="nil"/>
            </w:tcBorders>
            <w:shd w:val="clear" w:color="auto" w:fill="auto"/>
            <w:noWrap/>
            <w:vAlign w:val="center"/>
            <w:hideMark/>
          </w:tcPr>
          <w:p w14:paraId="0DF04F5F"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0.22</w:t>
            </w:r>
          </w:p>
        </w:tc>
        <w:tc>
          <w:tcPr>
            <w:tcW w:w="1611" w:type="dxa"/>
            <w:tcBorders>
              <w:top w:val="nil"/>
              <w:left w:val="nil"/>
              <w:bottom w:val="nil"/>
              <w:right w:val="single" w:sz="8" w:space="0" w:color="auto"/>
            </w:tcBorders>
            <w:shd w:val="clear" w:color="auto" w:fill="auto"/>
            <w:noWrap/>
            <w:vAlign w:val="center"/>
            <w:hideMark/>
          </w:tcPr>
          <w:p w14:paraId="5721A070"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0.81</w:t>
            </w:r>
          </w:p>
        </w:tc>
      </w:tr>
      <w:tr w:rsidR="006861E2" w:rsidRPr="008E3494" w14:paraId="3BBFCE52"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7AFB3E3C"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0.8</w:t>
            </w:r>
          </w:p>
        </w:tc>
        <w:tc>
          <w:tcPr>
            <w:tcW w:w="1083" w:type="dxa"/>
            <w:tcBorders>
              <w:top w:val="nil"/>
              <w:left w:val="nil"/>
              <w:bottom w:val="nil"/>
              <w:right w:val="nil"/>
            </w:tcBorders>
            <w:shd w:val="clear" w:color="auto" w:fill="auto"/>
            <w:noWrap/>
            <w:vAlign w:val="center"/>
            <w:hideMark/>
          </w:tcPr>
          <w:p w14:paraId="138F6BA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00218FD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2298822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510" w:type="dxa"/>
            <w:tcBorders>
              <w:top w:val="nil"/>
              <w:left w:val="nil"/>
              <w:bottom w:val="nil"/>
              <w:right w:val="nil"/>
            </w:tcBorders>
            <w:shd w:val="clear" w:color="auto" w:fill="auto"/>
            <w:noWrap/>
            <w:vAlign w:val="center"/>
            <w:hideMark/>
          </w:tcPr>
          <w:p w14:paraId="4FC5D17C"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0.22</w:t>
            </w:r>
          </w:p>
        </w:tc>
        <w:tc>
          <w:tcPr>
            <w:tcW w:w="1611" w:type="dxa"/>
            <w:tcBorders>
              <w:top w:val="nil"/>
              <w:left w:val="nil"/>
              <w:bottom w:val="nil"/>
              <w:right w:val="single" w:sz="8" w:space="0" w:color="auto"/>
            </w:tcBorders>
            <w:shd w:val="clear" w:color="auto" w:fill="auto"/>
            <w:noWrap/>
            <w:vAlign w:val="center"/>
            <w:hideMark/>
          </w:tcPr>
          <w:p w14:paraId="73025690"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0.87</w:t>
            </w:r>
          </w:p>
        </w:tc>
      </w:tr>
      <w:tr w:rsidR="006861E2" w:rsidRPr="008E3494" w14:paraId="684A1AB1" w14:textId="77777777" w:rsidTr="006861E2">
        <w:trPr>
          <w:trHeight w:val="295"/>
          <w:jc w:val="center"/>
        </w:trPr>
        <w:tc>
          <w:tcPr>
            <w:tcW w:w="338" w:type="dxa"/>
            <w:tcBorders>
              <w:top w:val="nil"/>
              <w:left w:val="single" w:sz="8" w:space="0" w:color="auto"/>
              <w:bottom w:val="nil"/>
              <w:right w:val="nil"/>
            </w:tcBorders>
            <w:shd w:val="clear" w:color="auto" w:fill="auto"/>
            <w:noWrap/>
            <w:vAlign w:val="center"/>
            <w:hideMark/>
          </w:tcPr>
          <w:p w14:paraId="485AEAF1"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0.9</w:t>
            </w:r>
          </w:p>
        </w:tc>
        <w:tc>
          <w:tcPr>
            <w:tcW w:w="1083" w:type="dxa"/>
            <w:tcBorders>
              <w:top w:val="nil"/>
              <w:left w:val="nil"/>
              <w:bottom w:val="nil"/>
              <w:right w:val="nil"/>
            </w:tcBorders>
            <w:shd w:val="clear" w:color="auto" w:fill="auto"/>
            <w:noWrap/>
            <w:vAlign w:val="center"/>
            <w:hideMark/>
          </w:tcPr>
          <w:p w14:paraId="62F40082"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45C456B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183F7C01"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510" w:type="dxa"/>
            <w:tcBorders>
              <w:top w:val="nil"/>
              <w:left w:val="nil"/>
              <w:bottom w:val="nil"/>
              <w:right w:val="nil"/>
            </w:tcBorders>
            <w:shd w:val="clear" w:color="auto" w:fill="auto"/>
            <w:noWrap/>
            <w:vAlign w:val="center"/>
            <w:hideMark/>
          </w:tcPr>
          <w:p w14:paraId="5684FDD1"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0.22</w:t>
            </w:r>
          </w:p>
        </w:tc>
        <w:tc>
          <w:tcPr>
            <w:tcW w:w="1611" w:type="dxa"/>
            <w:tcBorders>
              <w:top w:val="nil"/>
              <w:left w:val="nil"/>
              <w:bottom w:val="nil"/>
              <w:right w:val="single" w:sz="8" w:space="0" w:color="auto"/>
            </w:tcBorders>
            <w:shd w:val="clear" w:color="auto" w:fill="auto"/>
            <w:noWrap/>
            <w:vAlign w:val="center"/>
            <w:hideMark/>
          </w:tcPr>
          <w:p w14:paraId="470A1165"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0.91</w:t>
            </w:r>
          </w:p>
        </w:tc>
      </w:tr>
      <w:tr w:rsidR="006861E2" w:rsidRPr="008E3494" w14:paraId="52BAAA4E" w14:textId="77777777" w:rsidTr="006861E2">
        <w:trPr>
          <w:trHeight w:val="295"/>
          <w:jc w:val="center"/>
        </w:trPr>
        <w:tc>
          <w:tcPr>
            <w:tcW w:w="7606"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DEEF1AE"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lastRenderedPageBreak/>
              <w:t xml:space="preserve">Panel B: </w:t>
            </w:r>
            <w:proofErr w:type="spellStart"/>
            <w:r w:rsidRPr="008E3494">
              <w:rPr>
                <w:rFonts w:ascii="Arial" w:hAnsi="Arial" w:cs="Arial"/>
                <w:lang w:val="en-US"/>
              </w:rPr>
              <w:t>Componente</w:t>
            </w:r>
            <w:proofErr w:type="spellEnd"/>
            <w:r w:rsidRPr="008E3494">
              <w:rPr>
                <w:rFonts w:ascii="Arial" w:hAnsi="Arial" w:cs="Arial"/>
                <w:lang w:val="en-US"/>
              </w:rPr>
              <w:t xml:space="preserve"> 1 (N=4,200)</w:t>
            </w:r>
          </w:p>
        </w:tc>
      </w:tr>
      <w:tr w:rsidR="006861E2" w:rsidRPr="008E3494" w14:paraId="18E9F61C"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5E24432F"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ICC</w:t>
            </w:r>
          </w:p>
        </w:tc>
        <w:tc>
          <w:tcPr>
            <w:tcW w:w="1083" w:type="dxa"/>
            <w:tcBorders>
              <w:top w:val="nil"/>
              <w:left w:val="nil"/>
              <w:bottom w:val="nil"/>
              <w:right w:val="nil"/>
            </w:tcBorders>
            <w:shd w:val="clear" w:color="auto" w:fill="auto"/>
            <w:noWrap/>
            <w:vAlign w:val="center"/>
            <w:hideMark/>
          </w:tcPr>
          <w:p w14:paraId="30323B8A"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#Cluster Control</w:t>
            </w:r>
          </w:p>
        </w:tc>
        <w:tc>
          <w:tcPr>
            <w:tcW w:w="1405" w:type="dxa"/>
            <w:tcBorders>
              <w:top w:val="nil"/>
              <w:left w:val="nil"/>
              <w:bottom w:val="nil"/>
              <w:right w:val="nil"/>
            </w:tcBorders>
            <w:shd w:val="clear" w:color="auto" w:fill="auto"/>
            <w:noWrap/>
            <w:vAlign w:val="center"/>
            <w:hideMark/>
          </w:tcPr>
          <w:p w14:paraId="1222F254"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 xml:space="preserve">#Cluster </w:t>
            </w:r>
            <w:proofErr w:type="spellStart"/>
            <w:r w:rsidRPr="008E3494">
              <w:rPr>
                <w:rFonts w:ascii="Arial" w:hAnsi="Arial" w:cs="Arial"/>
                <w:lang w:val="en-US"/>
              </w:rPr>
              <w:t>Tratamiento</w:t>
            </w:r>
            <w:proofErr w:type="spellEnd"/>
          </w:p>
        </w:tc>
        <w:tc>
          <w:tcPr>
            <w:tcW w:w="1657" w:type="dxa"/>
            <w:tcBorders>
              <w:top w:val="nil"/>
              <w:left w:val="nil"/>
              <w:bottom w:val="nil"/>
              <w:right w:val="nil"/>
            </w:tcBorders>
            <w:shd w:val="clear" w:color="auto" w:fill="auto"/>
            <w:noWrap/>
            <w:vAlign w:val="center"/>
            <w:hideMark/>
          </w:tcPr>
          <w:p w14:paraId="61B74825"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w:t>
            </w:r>
            <w:proofErr w:type="spellStart"/>
            <w:r w:rsidRPr="008E3494">
              <w:rPr>
                <w:rFonts w:ascii="Arial" w:hAnsi="Arial" w:cs="Arial"/>
                <w:lang w:val="en-US"/>
              </w:rPr>
              <w:t>Observaciones</w:t>
            </w:r>
            <w:proofErr w:type="spellEnd"/>
            <w:r w:rsidRPr="008E3494">
              <w:rPr>
                <w:rFonts w:ascii="Arial" w:hAnsi="Arial" w:cs="Arial"/>
                <w:lang w:val="en-US"/>
              </w:rPr>
              <w:t xml:space="preserve"> x Cluster</w:t>
            </w:r>
          </w:p>
        </w:tc>
        <w:tc>
          <w:tcPr>
            <w:tcW w:w="1510" w:type="dxa"/>
            <w:tcBorders>
              <w:top w:val="nil"/>
              <w:left w:val="nil"/>
              <w:bottom w:val="nil"/>
              <w:right w:val="nil"/>
            </w:tcBorders>
            <w:shd w:val="clear" w:color="auto" w:fill="auto"/>
            <w:noWrap/>
            <w:vAlign w:val="center"/>
            <w:hideMark/>
          </w:tcPr>
          <w:p w14:paraId="4F57A628" w14:textId="77777777" w:rsidR="006861E2" w:rsidRPr="008E3494" w:rsidRDefault="006861E2" w:rsidP="006861E2">
            <w:pPr>
              <w:spacing w:after="0" w:line="240" w:lineRule="auto"/>
              <w:jc w:val="center"/>
              <w:rPr>
                <w:rFonts w:ascii="Arial" w:hAnsi="Arial" w:cs="Arial"/>
                <w:lang w:val="en-US"/>
              </w:rPr>
            </w:pPr>
            <w:proofErr w:type="spellStart"/>
            <w:r w:rsidRPr="008E3494">
              <w:rPr>
                <w:rFonts w:ascii="Arial" w:hAnsi="Arial" w:cs="Arial"/>
                <w:lang w:val="en-US"/>
              </w:rPr>
              <w:t>MDE_muestreo</w:t>
            </w:r>
            <w:proofErr w:type="spellEnd"/>
            <w:r w:rsidRPr="008E3494">
              <w:rPr>
                <w:rFonts w:ascii="Arial" w:hAnsi="Arial" w:cs="Arial"/>
                <w:lang w:val="en-US"/>
              </w:rPr>
              <w:t xml:space="preserve"> simple</w:t>
            </w:r>
          </w:p>
        </w:tc>
        <w:tc>
          <w:tcPr>
            <w:tcW w:w="1611" w:type="dxa"/>
            <w:tcBorders>
              <w:top w:val="nil"/>
              <w:left w:val="nil"/>
              <w:bottom w:val="nil"/>
              <w:right w:val="single" w:sz="8" w:space="0" w:color="auto"/>
            </w:tcBorders>
            <w:shd w:val="clear" w:color="auto" w:fill="auto"/>
            <w:noWrap/>
            <w:vAlign w:val="center"/>
            <w:hideMark/>
          </w:tcPr>
          <w:p w14:paraId="708E29E4"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 xml:space="preserve">MDE </w:t>
            </w:r>
            <w:proofErr w:type="spellStart"/>
            <w:r w:rsidRPr="008E3494">
              <w:rPr>
                <w:rFonts w:ascii="Arial" w:hAnsi="Arial" w:cs="Arial"/>
                <w:lang w:val="en-US"/>
              </w:rPr>
              <w:t>Muestreo</w:t>
            </w:r>
            <w:proofErr w:type="spellEnd"/>
            <w:r w:rsidRPr="008E3494">
              <w:rPr>
                <w:rFonts w:ascii="Arial" w:hAnsi="Arial" w:cs="Arial"/>
                <w:lang w:val="en-US"/>
              </w:rPr>
              <w:t xml:space="preserve"> x Cluster</w:t>
            </w:r>
          </w:p>
        </w:tc>
      </w:tr>
      <w:tr w:rsidR="006861E2" w:rsidRPr="008E3494" w14:paraId="73FDDEC4"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62934166"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0.1</w:t>
            </w:r>
          </w:p>
        </w:tc>
        <w:tc>
          <w:tcPr>
            <w:tcW w:w="1083" w:type="dxa"/>
            <w:tcBorders>
              <w:top w:val="nil"/>
              <w:left w:val="nil"/>
              <w:bottom w:val="nil"/>
              <w:right w:val="nil"/>
            </w:tcBorders>
            <w:shd w:val="clear" w:color="auto" w:fill="auto"/>
            <w:noWrap/>
            <w:vAlign w:val="center"/>
            <w:hideMark/>
          </w:tcPr>
          <w:p w14:paraId="4640CCD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3EFFCF7E"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76C7D7C2"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116</w:t>
            </w:r>
          </w:p>
        </w:tc>
        <w:tc>
          <w:tcPr>
            <w:tcW w:w="1510" w:type="dxa"/>
            <w:tcBorders>
              <w:top w:val="nil"/>
              <w:left w:val="nil"/>
              <w:bottom w:val="nil"/>
              <w:right w:val="nil"/>
            </w:tcBorders>
            <w:shd w:val="clear" w:color="auto" w:fill="auto"/>
            <w:noWrap/>
            <w:vAlign w:val="center"/>
            <w:hideMark/>
          </w:tcPr>
          <w:p w14:paraId="6BAD1626"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0.09</w:t>
            </w:r>
          </w:p>
        </w:tc>
        <w:tc>
          <w:tcPr>
            <w:tcW w:w="1611" w:type="dxa"/>
            <w:tcBorders>
              <w:top w:val="nil"/>
              <w:left w:val="nil"/>
              <w:bottom w:val="nil"/>
              <w:right w:val="single" w:sz="8" w:space="0" w:color="auto"/>
            </w:tcBorders>
            <w:shd w:val="clear" w:color="auto" w:fill="auto"/>
            <w:noWrap/>
            <w:vAlign w:val="center"/>
            <w:hideMark/>
          </w:tcPr>
          <w:p w14:paraId="6A37A690"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0.32</w:t>
            </w:r>
          </w:p>
        </w:tc>
      </w:tr>
      <w:tr w:rsidR="006861E2" w:rsidRPr="008E3494" w14:paraId="7A3B8F72"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6D57FA1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0.2</w:t>
            </w:r>
          </w:p>
        </w:tc>
        <w:tc>
          <w:tcPr>
            <w:tcW w:w="1083" w:type="dxa"/>
            <w:tcBorders>
              <w:top w:val="nil"/>
              <w:left w:val="nil"/>
              <w:bottom w:val="nil"/>
              <w:right w:val="nil"/>
            </w:tcBorders>
            <w:shd w:val="clear" w:color="auto" w:fill="auto"/>
            <w:noWrap/>
            <w:vAlign w:val="center"/>
            <w:hideMark/>
          </w:tcPr>
          <w:p w14:paraId="63222BF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30FE1E1E"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1FD627E3"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116</w:t>
            </w:r>
          </w:p>
        </w:tc>
        <w:tc>
          <w:tcPr>
            <w:tcW w:w="1510" w:type="dxa"/>
            <w:tcBorders>
              <w:top w:val="nil"/>
              <w:left w:val="nil"/>
              <w:bottom w:val="nil"/>
              <w:right w:val="nil"/>
            </w:tcBorders>
            <w:shd w:val="clear" w:color="auto" w:fill="auto"/>
            <w:noWrap/>
            <w:vAlign w:val="center"/>
            <w:hideMark/>
          </w:tcPr>
          <w:p w14:paraId="75C4F1C6"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0.09</w:t>
            </w:r>
          </w:p>
        </w:tc>
        <w:tc>
          <w:tcPr>
            <w:tcW w:w="1611" w:type="dxa"/>
            <w:tcBorders>
              <w:top w:val="nil"/>
              <w:left w:val="nil"/>
              <w:bottom w:val="nil"/>
              <w:right w:val="single" w:sz="8" w:space="0" w:color="auto"/>
            </w:tcBorders>
            <w:shd w:val="clear" w:color="auto" w:fill="auto"/>
            <w:noWrap/>
            <w:vAlign w:val="center"/>
            <w:hideMark/>
          </w:tcPr>
          <w:p w14:paraId="1F7C2F9E"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0.44</w:t>
            </w:r>
          </w:p>
        </w:tc>
      </w:tr>
      <w:tr w:rsidR="006861E2" w:rsidRPr="008E3494" w14:paraId="6F2E522F"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59FAFA74"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0.3</w:t>
            </w:r>
          </w:p>
        </w:tc>
        <w:tc>
          <w:tcPr>
            <w:tcW w:w="1083" w:type="dxa"/>
            <w:tcBorders>
              <w:top w:val="nil"/>
              <w:left w:val="nil"/>
              <w:bottom w:val="nil"/>
              <w:right w:val="nil"/>
            </w:tcBorders>
            <w:shd w:val="clear" w:color="auto" w:fill="auto"/>
            <w:noWrap/>
            <w:vAlign w:val="center"/>
            <w:hideMark/>
          </w:tcPr>
          <w:p w14:paraId="0C671FA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6B368955"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263F7425"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116</w:t>
            </w:r>
          </w:p>
        </w:tc>
        <w:tc>
          <w:tcPr>
            <w:tcW w:w="1510" w:type="dxa"/>
            <w:tcBorders>
              <w:top w:val="nil"/>
              <w:left w:val="nil"/>
              <w:bottom w:val="nil"/>
              <w:right w:val="nil"/>
            </w:tcBorders>
            <w:shd w:val="clear" w:color="auto" w:fill="auto"/>
            <w:noWrap/>
            <w:vAlign w:val="center"/>
            <w:hideMark/>
          </w:tcPr>
          <w:p w14:paraId="6B57896E"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0.09</w:t>
            </w:r>
          </w:p>
        </w:tc>
        <w:tc>
          <w:tcPr>
            <w:tcW w:w="1611" w:type="dxa"/>
            <w:tcBorders>
              <w:top w:val="nil"/>
              <w:left w:val="nil"/>
              <w:bottom w:val="nil"/>
              <w:right w:val="single" w:sz="8" w:space="0" w:color="auto"/>
            </w:tcBorders>
            <w:shd w:val="clear" w:color="auto" w:fill="auto"/>
            <w:noWrap/>
            <w:vAlign w:val="center"/>
            <w:hideMark/>
          </w:tcPr>
          <w:p w14:paraId="18402092"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0.53</w:t>
            </w:r>
          </w:p>
        </w:tc>
      </w:tr>
      <w:tr w:rsidR="006861E2" w:rsidRPr="008E3494" w14:paraId="4DFB3BAC"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5F13CA69"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0.4</w:t>
            </w:r>
          </w:p>
        </w:tc>
        <w:tc>
          <w:tcPr>
            <w:tcW w:w="1083" w:type="dxa"/>
            <w:tcBorders>
              <w:top w:val="nil"/>
              <w:left w:val="nil"/>
              <w:bottom w:val="nil"/>
              <w:right w:val="nil"/>
            </w:tcBorders>
            <w:shd w:val="clear" w:color="auto" w:fill="auto"/>
            <w:noWrap/>
            <w:vAlign w:val="center"/>
            <w:hideMark/>
          </w:tcPr>
          <w:p w14:paraId="1549095F"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2DF9323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4C08445E"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116</w:t>
            </w:r>
          </w:p>
        </w:tc>
        <w:tc>
          <w:tcPr>
            <w:tcW w:w="1510" w:type="dxa"/>
            <w:tcBorders>
              <w:top w:val="nil"/>
              <w:left w:val="nil"/>
              <w:bottom w:val="nil"/>
              <w:right w:val="nil"/>
            </w:tcBorders>
            <w:shd w:val="clear" w:color="auto" w:fill="auto"/>
            <w:noWrap/>
            <w:vAlign w:val="center"/>
            <w:hideMark/>
          </w:tcPr>
          <w:p w14:paraId="7433A290"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0.09</w:t>
            </w:r>
          </w:p>
        </w:tc>
        <w:tc>
          <w:tcPr>
            <w:tcW w:w="1611" w:type="dxa"/>
            <w:tcBorders>
              <w:top w:val="nil"/>
              <w:left w:val="nil"/>
              <w:bottom w:val="nil"/>
              <w:right w:val="single" w:sz="8" w:space="0" w:color="auto"/>
            </w:tcBorders>
            <w:shd w:val="clear" w:color="auto" w:fill="auto"/>
            <w:noWrap/>
            <w:vAlign w:val="center"/>
            <w:hideMark/>
          </w:tcPr>
          <w:p w14:paraId="7BF05509"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0.61</w:t>
            </w:r>
          </w:p>
        </w:tc>
      </w:tr>
      <w:tr w:rsidR="006861E2" w:rsidRPr="008E3494" w14:paraId="13732F76"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3A2D03A3"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0.5</w:t>
            </w:r>
          </w:p>
        </w:tc>
        <w:tc>
          <w:tcPr>
            <w:tcW w:w="1083" w:type="dxa"/>
            <w:tcBorders>
              <w:top w:val="nil"/>
              <w:left w:val="nil"/>
              <w:bottom w:val="nil"/>
              <w:right w:val="nil"/>
            </w:tcBorders>
            <w:shd w:val="clear" w:color="auto" w:fill="auto"/>
            <w:noWrap/>
            <w:vAlign w:val="center"/>
            <w:hideMark/>
          </w:tcPr>
          <w:p w14:paraId="6BF148FF"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228A551A"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2FEF80AA"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116</w:t>
            </w:r>
          </w:p>
        </w:tc>
        <w:tc>
          <w:tcPr>
            <w:tcW w:w="1510" w:type="dxa"/>
            <w:tcBorders>
              <w:top w:val="nil"/>
              <w:left w:val="nil"/>
              <w:bottom w:val="nil"/>
              <w:right w:val="nil"/>
            </w:tcBorders>
            <w:shd w:val="clear" w:color="auto" w:fill="auto"/>
            <w:noWrap/>
            <w:vAlign w:val="center"/>
            <w:hideMark/>
          </w:tcPr>
          <w:p w14:paraId="1227D8C5"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0.09</w:t>
            </w:r>
          </w:p>
        </w:tc>
        <w:tc>
          <w:tcPr>
            <w:tcW w:w="1611" w:type="dxa"/>
            <w:tcBorders>
              <w:top w:val="nil"/>
              <w:left w:val="nil"/>
              <w:bottom w:val="nil"/>
              <w:right w:val="single" w:sz="8" w:space="0" w:color="auto"/>
            </w:tcBorders>
            <w:shd w:val="clear" w:color="auto" w:fill="auto"/>
            <w:noWrap/>
            <w:vAlign w:val="center"/>
            <w:hideMark/>
          </w:tcPr>
          <w:p w14:paraId="1DB3BD55"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0.68</w:t>
            </w:r>
          </w:p>
        </w:tc>
      </w:tr>
      <w:tr w:rsidR="006861E2" w:rsidRPr="008E3494" w14:paraId="36C49B30"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44F08394"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0.6</w:t>
            </w:r>
          </w:p>
        </w:tc>
        <w:tc>
          <w:tcPr>
            <w:tcW w:w="1083" w:type="dxa"/>
            <w:tcBorders>
              <w:top w:val="nil"/>
              <w:left w:val="nil"/>
              <w:bottom w:val="nil"/>
              <w:right w:val="nil"/>
            </w:tcBorders>
            <w:shd w:val="clear" w:color="auto" w:fill="auto"/>
            <w:noWrap/>
            <w:vAlign w:val="center"/>
            <w:hideMark/>
          </w:tcPr>
          <w:p w14:paraId="59F4AA11"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1A2D3E32"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54B7CCD8"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116</w:t>
            </w:r>
          </w:p>
        </w:tc>
        <w:tc>
          <w:tcPr>
            <w:tcW w:w="1510" w:type="dxa"/>
            <w:tcBorders>
              <w:top w:val="nil"/>
              <w:left w:val="nil"/>
              <w:bottom w:val="nil"/>
              <w:right w:val="nil"/>
            </w:tcBorders>
            <w:shd w:val="clear" w:color="auto" w:fill="auto"/>
            <w:noWrap/>
            <w:vAlign w:val="center"/>
            <w:hideMark/>
          </w:tcPr>
          <w:p w14:paraId="2A3A5BA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0.09</w:t>
            </w:r>
          </w:p>
        </w:tc>
        <w:tc>
          <w:tcPr>
            <w:tcW w:w="1611" w:type="dxa"/>
            <w:tcBorders>
              <w:top w:val="nil"/>
              <w:left w:val="nil"/>
              <w:bottom w:val="nil"/>
              <w:right w:val="single" w:sz="8" w:space="0" w:color="auto"/>
            </w:tcBorders>
            <w:shd w:val="clear" w:color="auto" w:fill="auto"/>
            <w:noWrap/>
            <w:vAlign w:val="center"/>
            <w:hideMark/>
          </w:tcPr>
          <w:p w14:paraId="1BDADFB3"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0.75</w:t>
            </w:r>
          </w:p>
        </w:tc>
      </w:tr>
      <w:tr w:rsidR="006861E2" w:rsidRPr="008E3494" w14:paraId="1A71ADD8"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2F824D04"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0.7</w:t>
            </w:r>
          </w:p>
        </w:tc>
        <w:tc>
          <w:tcPr>
            <w:tcW w:w="1083" w:type="dxa"/>
            <w:tcBorders>
              <w:top w:val="nil"/>
              <w:left w:val="nil"/>
              <w:bottom w:val="nil"/>
              <w:right w:val="nil"/>
            </w:tcBorders>
            <w:shd w:val="clear" w:color="auto" w:fill="auto"/>
            <w:noWrap/>
            <w:vAlign w:val="center"/>
            <w:hideMark/>
          </w:tcPr>
          <w:p w14:paraId="34D15E5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5F1DA2F9"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0F02031A"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116</w:t>
            </w:r>
          </w:p>
        </w:tc>
        <w:tc>
          <w:tcPr>
            <w:tcW w:w="1510" w:type="dxa"/>
            <w:tcBorders>
              <w:top w:val="nil"/>
              <w:left w:val="nil"/>
              <w:bottom w:val="nil"/>
              <w:right w:val="nil"/>
            </w:tcBorders>
            <w:shd w:val="clear" w:color="auto" w:fill="auto"/>
            <w:noWrap/>
            <w:vAlign w:val="center"/>
            <w:hideMark/>
          </w:tcPr>
          <w:p w14:paraId="5B3DAB59"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0.09</w:t>
            </w:r>
          </w:p>
        </w:tc>
        <w:tc>
          <w:tcPr>
            <w:tcW w:w="1611" w:type="dxa"/>
            <w:tcBorders>
              <w:top w:val="nil"/>
              <w:left w:val="nil"/>
              <w:bottom w:val="nil"/>
              <w:right w:val="single" w:sz="8" w:space="0" w:color="auto"/>
            </w:tcBorders>
            <w:shd w:val="clear" w:color="auto" w:fill="auto"/>
            <w:noWrap/>
            <w:vAlign w:val="center"/>
            <w:hideMark/>
          </w:tcPr>
          <w:p w14:paraId="67E36A4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0.81</w:t>
            </w:r>
          </w:p>
        </w:tc>
      </w:tr>
      <w:tr w:rsidR="006861E2" w:rsidRPr="008E3494" w14:paraId="5FC1F21C"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1626EED8"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0.8</w:t>
            </w:r>
          </w:p>
        </w:tc>
        <w:tc>
          <w:tcPr>
            <w:tcW w:w="1083" w:type="dxa"/>
            <w:tcBorders>
              <w:top w:val="nil"/>
              <w:left w:val="nil"/>
              <w:bottom w:val="nil"/>
              <w:right w:val="nil"/>
            </w:tcBorders>
            <w:shd w:val="clear" w:color="auto" w:fill="auto"/>
            <w:noWrap/>
            <w:vAlign w:val="center"/>
            <w:hideMark/>
          </w:tcPr>
          <w:p w14:paraId="6EA590DC"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60B33132"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55732CF2"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116</w:t>
            </w:r>
          </w:p>
        </w:tc>
        <w:tc>
          <w:tcPr>
            <w:tcW w:w="1510" w:type="dxa"/>
            <w:tcBorders>
              <w:top w:val="nil"/>
              <w:left w:val="nil"/>
              <w:bottom w:val="nil"/>
              <w:right w:val="nil"/>
            </w:tcBorders>
            <w:shd w:val="clear" w:color="auto" w:fill="auto"/>
            <w:noWrap/>
            <w:vAlign w:val="center"/>
            <w:hideMark/>
          </w:tcPr>
          <w:p w14:paraId="3E901B54"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0.09</w:t>
            </w:r>
          </w:p>
        </w:tc>
        <w:tc>
          <w:tcPr>
            <w:tcW w:w="1611" w:type="dxa"/>
            <w:tcBorders>
              <w:top w:val="nil"/>
              <w:left w:val="nil"/>
              <w:bottom w:val="nil"/>
              <w:right w:val="single" w:sz="8" w:space="0" w:color="auto"/>
            </w:tcBorders>
            <w:shd w:val="clear" w:color="auto" w:fill="auto"/>
            <w:noWrap/>
            <w:vAlign w:val="center"/>
            <w:hideMark/>
          </w:tcPr>
          <w:p w14:paraId="39753012"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0.86</w:t>
            </w:r>
          </w:p>
        </w:tc>
      </w:tr>
      <w:tr w:rsidR="006861E2" w:rsidRPr="008E3494" w14:paraId="1FD845E6" w14:textId="77777777" w:rsidTr="006861E2">
        <w:trPr>
          <w:trHeight w:val="295"/>
          <w:jc w:val="center"/>
        </w:trPr>
        <w:tc>
          <w:tcPr>
            <w:tcW w:w="338" w:type="dxa"/>
            <w:tcBorders>
              <w:top w:val="nil"/>
              <w:left w:val="single" w:sz="8" w:space="0" w:color="auto"/>
              <w:bottom w:val="nil"/>
              <w:right w:val="nil"/>
            </w:tcBorders>
            <w:shd w:val="clear" w:color="auto" w:fill="auto"/>
            <w:noWrap/>
            <w:vAlign w:val="center"/>
            <w:hideMark/>
          </w:tcPr>
          <w:p w14:paraId="2E7218A1"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0.9</w:t>
            </w:r>
          </w:p>
        </w:tc>
        <w:tc>
          <w:tcPr>
            <w:tcW w:w="1083" w:type="dxa"/>
            <w:tcBorders>
              <w:top w:val="nil"/>
              <w:left w:val="nil"/>
              <w:bottom w:val="nil"/>
              <w:right w:val="nil"/>
            </w:tcBorders>
            <w:shd w:val="clear" w:color="auto" w:fill="auto"/>
            <w:noWrap/>
            <w:vAlign w:val="center"/>
            <w:hideMark/>
          </w:tcPr>
          <w:p w14:paraId="6A27A703"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0E3F05B8"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22CB1F5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116</w:t>
            </w:r>
          </w:p>
        </w:tc>
        <w:tc>
          <w:tcPr>
            <w:tcW w:w="1510" w:type="dxa"/>
            <w:tcBorders>
              <w:top w:val="nil"/>
              <w:left w:val="nil"/>
              <w:bottom w:val="nil"/>
              <w:right w:val="nil"/>
            </w:tcBorders>
            <w:shd w:val="clear" w:color="auto" w:fill="auto"/>
            <w:noWrap/>
            <w:vAlign w:val="center"/>
            <w:hideMark/>
          </w:tcPr>
          <w:p w14:paraId="657E089F"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0.09</w:t>
            </w:r>
          </w:p>
        </w:tc>
        <w:tc>
          <w:tcPr>
            <w:tcW w:w="1611" w:type="dxa"/>
            <w:tcBorders>
              <w:top w:val="nil"/>
              <w:left w:val="nil"/>
              <w:bottom w:val="nil"/>
              <w:right w:val="single" w:sz="8" w:space="0" w:color="auto"/>
            </w:tcBorders>
            <w:shd w:val="clear" w:color="auto" w:fill="auto"/>
            <w:noWrap/>
            <w:vAlign w:val="center"/>
            <w:hideMark/>
          </w:tcPr>
          <w:p w14:paraId="2F1DA88F"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0.91</w:t>
            </w:r>
          </w:p>
        </w:tc>
      </w:tr>
      <w:tr w:rsidR="006861E2" w:rsidRPr="008E3494" w14:paraId="26FABAE9" w14:textId="77777777" w:rsidTr="006861E2">
        <w:trPr>
          <w:trHeight w:val="295"/>
          <w:jc w:val="center"/>
        </w:trPr>
        <w:tc>
          <w:tcPr>
            <w:tcW w:w="7606"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6FE5B20"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 xml:space="preserve">Panel C: </w:t>
            </w:r>
            <w:proofErr w:type="spellStart"/>
            <w:r w:rsidRPr="008E3494">
              <w:rPr>
                <w:rFonts w:ascii="Arial" w:hAnsi="Arial" w:cs="Arial"/>
                <w:lang w:val="en-US"/>
              </w:rPr>
              <w:t>Componente</w:t>
            </w:r>
            <w:proofErr w:type="spellEnd"/>
            <w:r w:rsidRPr="008E3494">
              <w:rPr>
                <w:rFonts w:ascii="Arial" w:hAnsi="Arial" w:cs="Arial"/>
                <w:lang w:val="en-US"/>
              </w:rPr>
              <w:t xml:space="preserve"> 2 (N=7,650)</w:t>
            </w:r>
          </w:p>
        </w:tc>
      </w:tr>
      <w:tr w:rsidR="006861E2" w:rsidRPr="008E3494" w14:paraId="729982CB"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7BE13FC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ICC</w:t>
            </w:r>
          </w:p>
        </w:tc>
        <w:tc>
          <w:tcPr>
            <w:tcW w:w="1083" w:type="dxa"/>
            <w:tcBorders>
              <w:top w:val="nil"/>
              <w:left w:val="nil"/>
              <w:bottom w:val="nil"/>
              <w:right w:val="nil"/>
            </w:tcBorders>
            <w:shd w:val="clear" w:color="auto" w:fill="auto"/>
            <w:noWrap/>
            <w:vAlign w:val="center"/>
            <w:hideMark/>
          </w:tcPr>
          <w:p w14:paraId="0B58ABE8"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#Cluster Control</w:t>
            </w:r>
          </w:p>
        </w:tc>
        <w:tc>
          <w:tcPr>
            <w:tcW w:w="1405" w:type="dxa"/>
            <w:tcBorders>
              <w:top w:val="nil"/>
              <w:left w:val="nil"/>
              <w:bottom w:val="nil"/>
              <w:right w:val="nil"/>
            </w:tcBorders>
            <w:shd w:val="clear" w:color="auto" w:fill="auto"/>
            <w:noWrap/>
            <w:vAlign w:val="center"/>
            <w:hideMark/>
          </w:tcPr>
          <w:p w14:paraId="63C7AB6F"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 xml:space="preserve">#Cluster </w:t>
            </w:r>
            <w:proofErr w:type="spellStart"/>
            <w:r w:rsidRPr="008E3494">
              <w:rPr>
                <w:rFonts w:ascii="Arial" w:hAnsi="Arial" w:cs="Arial"/>
                <w:lang w:val="en-US"/>
              </w:rPr>
              <w:t>Tratamiento</w:t>
            </w:r>
            <w:proofErr w:type="spellEnd"/>
          </w:p>
        </w:tc>
        <w:tc>
          <w:tcPr>
            <w:tcW w:w="1657" w:type="dxa"/>
            <w:tcBorders>
              <w:top w:val="nil"/>
              <w:left w:val="nil"/>
              <w:bottom w:val="nil"/>
              <w:right w:val="nil"/>
            </w:tcBorders>
            <w:shd w:val="clear" w:color="auto" w:fill="auto"/>
            <w:noWrap/>
            <w:vAlign w:val="center"/>
            <w:hideMark/>
          </w:tcPr>
          <w:p w14:paraId="7E08BE73"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w:t>
            </w:r>
            <w:proofErr w:type="spellStart"/>
            <w:r w:rsidRPr="008E3494">
              <w:rPr>
                <w:rFonts w:ascii="Arial" w:hAnsi="Arial" w:cs="Arial"/>
                <w:lang w:val="en-US"/>
              </w:rPr>
              <w:t>Observaciones</w:t>
            </w:r>
            <w:proofErr w:type="spellEnd"/>
            <w:r w:rsidRPr="008E3494">
              <w:rPr>
                <w:rFonts w:ascii="Arial" w:hAnsi="Arial" w:cs="Arial"/>
                <w:lang w:val="en-US"/>
              </w:rPr>
              <w:t xml:space="preserve"> x Cluster</w:t>
            </w:r>
          </w:p>
        </w:tc>
        <w:tc>
          <w:tcPr>
            <w:tcW w:w="1510" w:type="dxa"/>
            <w:tcBorders>
              <w:top w:val="nil"/>
              <w:left w:val="nil"/>
              <w:bottom w:val="nil"/>
              <w:right w:val="nil"/>
            </w:tcBorders>
            <w:shd w:val="clear" w:color="auto" w:fill="auto"/>
            <w:noWrap/>
            <w:vAlign w:val="center"/>
            <w:hideMark/>
          </w:tcPr>
          <w:p w14:paraId="307F4F05" w14:textId="77777777" w:rsidR="006861E2" w:rsidRPr="008E3494" w:rsidRDefault="006861E2" w:rsidP="006861E2">
            <w:pPr>
              <w:spacing w:after="0" w:line="240" w:lineRule="auto"/>
              <w:jc w:val="center"/>
              <w:rPr>
                <w:rFonts w:ascii="Arial" w:hAnsi="Arial" w:cs="Arial"/>
                <w:lang w:val="en-US"/>
              </w:rPr>
            </w:pPr>
            <w:proofErr w:type="spellStart"/>
            <w:r w:rsidRPr="008E3494">
              <w:rPr>
                <w:rFonts w:ascii="Arial" w:hAnsi="Arial" w:cs="Arial"/>
                <w:lang w:val="en-US"/>
              </w:rPr>
              <w:t>MDE_muestreo</w:t>
            </w:r>
            <w:proofErr w:type="spellEnd"/>
            <w:r w:rsidRPr="008E3494">
              <w:rPr>
                <w:rFonts w:ascii="Arial" w:hAnsi="Arial" w:cs="Arial"/>
                <w:lang w:val="en-US"/>
              </w:rPr>
              <w:t xml:space="preserve"> simple</w:t>
            </w:r>
          </w:p>
        </w:tc>
        <w:tc>
          <w:tcPr>
            <w:tcW w:w="1611" w:type="dxa"/>
            <w:tcBorders>
              <w:top w:val="nil"/>
              <w:left w:val="nil"/>
              <w:bottom w:val="nil"/>
              <w:right w:val="single" w:sz="8" w:space="0" w:color="auto"/>
            </w:tcBorders>
            <w:shd w:val="clear" w:color="auto" w:fill="auto"/>
            <w:noWrap/>
            <w:vAlign w:val="center"/>
            <w:hideMark/>
          </w:tcPr>
          <w:p w14:paraId="1F07356E"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 xml:space="preserve">MDE </w:t>
            </w:r>
            <w:proofErr w:type="spellStart"/>
            <w:r w:rsidRPr="008E3494">
              <w:rPr>
                <w:rFonts w:ascii="Arial" w:hAnsi="Arial" w:cs="Arial"/>
                <w:lang w:val="en-US"/>
              </w:rPr>
              <w:t>Muestreo</w:t>
            </w:r>
            <w:proofErr w:type="spellEnd"/>
            <w:r w:rsidRPr="008E3494">
              <w:rPr>
                <w:rFonts w:ascii="Arial" w:hAnsi="Arial" w:cs="Arial"/>
                <w:lang w:val="en-US"/>
              </w:rPr>
              <w:t xml:space="preserve"> x Cluster</w:t>
            </w:r>
          </w:p>
        </w:tc>
      </w:tr>
      <w:tr w:rsidR="006861E2" w:rsidRPr="008E3494" w14:paraId="609FB7A9"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063B8AAE"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0.1</w:t>
            </w:r>
          </w:p>
        </w:tc>
        <w:tc>
          <w:tcPr>
            <w:tcW w:w="1083" w:type="dxa"/>
            <w:tcBorders>
              <w:top w:val="nil"/>
              <w:left w:val="nil"/>
              <w:bottom w:val="nil"/>
              <w:right w:val="nil"/>
            </w:tcBorders>
            <w:shd w:val="clear" w:color="auto" w:fill="auto"/>
            <w:noWrap/>
            <w:vAlign w:val="center"/>
            <w:hideMark/>
          </w:tcPr>
          <w:p w14:paraId="3543DC1A"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075F8F5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780AB16D"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212</w:t>
            </w:r>
          </w:p>
        </w:tc>
        <w:tc>
          <w:tcPr>
            <w:tcW w:w="1510" w:type="dxa"/>
            <w:tcBorders>
              <w:top w:val="nil"/>
              <w:left w:val="nil"/>
              <w:bottom w:val="nil"/>
              <w:right w:val="nil"/>
            </w:tcBorders>
            <w:shd w:val="clear" w:color="auto" w:fill="auto"/>
            <w:noWrap/>
            <w:vAlign w:val="center"/>
            <w:hideMark/>
          </w:tcPr>
          <w:p w14:paraId="4D45A4F9"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0.06</w:t>
            </w:r>
          </w:p>
        </w:tc>
        <w:tc>
          <w:tcPr>
            <w:tcW w:w="1611" w:type="dxa"/>
            <w:tcBorders>
              <w:top w:val="nil"/>
              <w:left w:val="nil"/>
              <w:bottom w:val="nil"/>
              <w:right w:val="single" w:sz="8" w:space="0" w:color="auto"/>
            </w:tcBorders>
            <w:shd w:val="clear" w:color="auto" w:fill="auto"/>
            <w:noWrap/>
            <w:vAlign w:val="center"/>
            <w:hideMark/>
          </w:tcPr>
          <w:p w14:paraId="03D6C066"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0.31</w:t>
            </w:r>
          </w:p>
        </w:tc>
      </w:tr>
      <w:tr w:rsidR="006861E2" w:rsidRPr="008E3494" w14:paraId="00D06EA8"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6A55A77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0.2</w:t>
            </w:r>
          </w:p>
        </w:tc>
        <w:tc>
          <w:tcPr>
            <w:tcW w:w="1083" w:type="dxa"/>
            <w:tcBorders>
              <w:top w:val="nil"/>
              <w:left w:val="nil"/>
              <w:bottom w:val="nil"/>
              <w:right w:val="nil"/>
            </w:tcBorders>
            <w:shd w:val="clear" w:color="auto" w:fill="auto"/>
            <w:noWrap/>
            <w:vAlign w:val="center"/>
            <w:hideMark/>
          </w:tcPr>
          <w:p w14:paraId="730718C2"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724DCD13"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2DC142D2"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212</w:t>
            </w:r>
          </w:p>
        </w:tc>
        <w:tc>
          <w:tcPr>
            <w:tcW w:w="1510" w:type="dxa"/>
            <w:tcBorders>
              <w:top w:val="nil"/>
              <w:left w:val="nil"/>
              <w:bottom w:val="nil"/>
              <w:right w:val="nil"/>
            </w:tcBorders>
            <w:shd w:val="clear" w:color="auto" w:fill="auto"/>
            <w:noWrap/>
            <w:vAlign w:val="center"/>
            <w:hideMark/>
          </w:tcPr>
          <w:p w14:paraId="6A2D41F0"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0.06</w:t>
            </w:r>
          </w:p>
        </w:tc>
        <w:tc>
          <w:tcPr>
            <w:tcW w:w="1611" w:type="dxa"/>
            <w:tcBorders>
              <w:top w:val="nil"/>
              <w:left w:val="nil"/>
              <w:bottom w:val="nil"/>
              <w:right w:val="single" w:sz="8" w:space="0" w:color="auto"/>
            </w:tcBorders>
            <w:shd w:val="clear" w:color="auto" w:fill="auto"/>
            <w:noWrap/>
            <w:vAlign w:val="center"/>
            <w:hideMark/>
          </w:tcPr>
          <w:p w14:paraId="6547713F"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0.43</w:t>
            </w:r>
          </w:p>
        </w:tc>
      </w:tr>
      <w:tr w:rsidR="006861E2" w:rsidRPr="008E3494" w14:paraId="0BF72F98"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5731E4A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0.3</w:t>
            </w:r>
          </w:p>
        </w:tc>
        <w:tc>
          <w:tcPr>
            <w:tcW w:w="1083" w:type="dxa"/>
            <w:tcBorders>
              <w:top w:val="nil"/>
              <w:left w:val="nil"/>
              <w:bottom w:val="nil"/>
              <w:right w:val="nil"/>
            </w:tcBorders>
            <w:shd w:val="clear" w:color="auto" w:fill="auto"/>
            <w:noWrap/>
            <w:vAlign w:val="center"/>
            <w:hideMark/>
          </w:tcPr>
          <w:p w14:paraId="301E5275"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164E2BBF"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4FF0FEAD"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212</w:t>
            </w:r>
          </w:p>
        </w:tc>
        <w:tc>
          <w:tcPr>
            <w:tcW w:w="1510" w:type="dxa"/>
            <w:tcBorders>
              <w:top w:val="nil"/>
              <w:left w:val="nil"/>
              <w:bottom w:val="nil"/>
              <w:right w:val="nil"/>
            </w:tcBorders>
            <w:shd w:val="clear" w:color="auto" w:fill="auto"/>
            <w:noWrap/>
            <w:vAlign w:val="center"/>
            <w:hideMark/>
          </w:tcPr>
          <w:p w14:paraId="6B6706D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0.06</w:t>
            </w:r>
          </w:p>
        </w:tc>
        <w:tc>
          <w:tcPr>
            <w:tcW w:w="1611" w:type="dxa"/>
            <w:tcBorders>
              <w:top w:val="nil"/>
              <w:left w:val="nil"/>
              <w:bottom w:val="nil"/>
              <w:right w:val="single" w:sz="8" w:space="0" w:color="auto"/>
            </w:tcBorders>
            <w:shd w:val="clear" w:color="auto" w:fill="auto"/>
            <w:noWrap/>
            <w:vAlign w:val="center"/>
            <w:hideMark/>
          </w:tcPr>
          <w:p w14:paraId="6A7E57B2"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0.53</w:t>
            </w:r>
          </w:p>
        </w:tc>
      </w:tr>
      <w:tr w:rsidR="006861E2" w:rsidRPr="008E3494" w14:paraId="218FB989"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24E98B39"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0.4</w:t>
            </w:r>
          </w:p>
        </w:tc>
        <w:tc>
          <w:tcPr>
            <w:tcW w:w="1083" w:type="dxa"/>
            <w:tcBorders>
              <w:top w:val="nil"/>
              <w:left w:val="nil"/>
              <w:bottom w:val="nil"/>
              <w:right w:val="nil"/>
            </w:tcBorders>
            <w:shd w:val="clear" w:color="auto" w:fill="auto"/>
            <w:noWrap/>
            <w:vAlign w:val="center"/>
            <w:hideMark/>
          </w:tcPr>
          <w:p w14:paraId="2E8EDB9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398B913E"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3A4FB963"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212</w:t>
            </w:r>
          </w:p>
        </w:tc>
        <w:tc>
          <w:tcPr>
            <w:tcW w:w="1510" w:type="dxa"/>
            <w:tcBorders>
              <w:top w:val="nil"/>
              <w:left w:val="nil"/>
              <w:bottom w:val="nil"/>
              <w:right w:val="nil"/>
            </w:tcBorders>
            <w:shd w:val="clear" w:color="auto" w:fill="auto"/>
            <w:noWrap/>
            <w:vAlign w:val="center"/>
            <w:hideMark/>
          </w:tcPr>
          <w:p w14:paraId="1F87D7D8"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0.06</w:t>
            </w:r>
          </w:p>
        </w:tc>
        <w:tc>
          <w:tcPr>
            <w:tcW w:w="1611" w:type="dxa"/>
            <w:tcBorders>
              <w:top w:val="nil"/>
              <w:left w:val="nil"/>
              <w:bottom w:val="nil"/>
              <w:right w:val="single" w:sz="8" w:space="0" w:color="auto"/>
            </w:tcBorders>
            <w:shd w:val="clear" w:color="auto" w:fill="auto"/>
            <w:noWrap/>
            <w:vAlign w:val="center"/>
            <w:hideMark/>
          </w:tcPr>
          <w:p w14:paraId="39703AE2"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0.61</w:t>
            </w:r>
          </w:p>
        </w:tc>
      </w:tr>
      <w:tr w:rsidR="006861E2" w:rsidRPr="008E3494" w14:paraId="55242F04"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21CD708C"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0.5</w:t>
            </w:r>
          </w:p>
        </w:tc>
        <w:tc>
          <w:tcPr>
            <w:tcW w:w="1083" w:type="dxa"/>
            <w:tcBorders>
              <w:top w:val="nil"/>
              <w:left w:val="nil"/>
              <w:bottom w:val="nil"/>
              <w:right w:val="nil"/>
            </w:tcBorders>
            <w:shd w:val="clear" w:color="auto" w:fill="auto"/>
            <w:noWrap/>
            <w:vAlign w:val="center"/>
            <w:hideMark/>
          </w:tcPr>
          <w:p w14:paraId="6163720A"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3F1AD8E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03FFE5A5"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212</w:t>
            </w:r>
          </w:p>
        </w:tc>
        <w:tc>
          <w:tcPr>
            <w:tcW w:w="1510" w:type="dxa"/>
            <w:tcBorders>
              <w:top w:val="nil"/>
              <w:left w:val="nil"/>
              <w:bottom w:val="nil"/>
              <w:right w:val="nil"/>
            </w:tcBorders>
            <w:shd w:val="clear" w:color="auto" w:fill="auto"/>
            <w:noWrap/>
            <w:vAlign w:val="center"/>
            <w:hideMark/>
          </w:tcPr>
          <w:p w14:paraId="0B19A89C"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0.06</w:t>
            </w:r>
          </w:p>
        </w:tc>
        <w:tc>
          <w:tcPr>
            <w:tcW w:w="1611" w:type="dxa"/>
            <w:tcBorders>
              <w:top w:val="nil"/>
              <w:left w:val="nil"/>
              <w:bottom w:val="nil"/>
              <w:right w:val="single" w:sz="8" w:space="0" w:color="auto"/>
            </w:tcBorders>
            <w:shd w:val="clear" w:color="auto" w:fill="auto"/>
            <w:noWrap/>
            <w:vAlign w:val="center"/>
            <w:hideMark/>
          </w:tcPr>
          <w:p w14:paraId="72662EF4"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0.68</w:t>
            </w:r>
          </w:p>
        </w:tc>
      </w:tr>
      <w:tr w:rsidR="006861E2" w:rsidRPr="008E3494" w14:paraId="496297BB"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682C875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0.6</w:t>
            </w:r>
          </w:p>
        </w:tc>
        <w:tc>
          <w:tcPr>
            <w:tcW w:w="1083" w:type="dxa"/>
            <w:tcBorders>
              <w:top w:val="nil"/>
              <w:left w:val="nil"/>
              <w:bottom w:val="nil"/>
              <w:right w:val="nil"/>
            </w:tcBorders>
            <w:shd w:val="clear" w:color="auto" w:fill="auto"/>
            <w:noWrap/>
            <w:vAlign w:val="center"/>
            <w:hideMark/>
          </w:tcPr>
          <w:p w14:paraId="0F50FB1C"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30BE273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09F3D5E8"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212</w:t>
            </w:r>
          </w:p>
        </w:tc>
        <w:tc>
          <w:tcPr>
            <w:tcW w:w="1510" w:type="dxa"/>
            <w:tcBorders>
              <w:top w:val="nil"/>
              <w:left w:val="nil"/>
              <w:bottom w:val="nil"/>
              <w:right w:val="nil"/>
            </w:tcBorders>
            <w:shd w:val="clear" w:color="auto" w:fill="auto"/>
            <w:noWrap/>
            <w:vAlign w:val="center"/>
            <w:hideMark/>
          </w:tcPr>
          <w:p w14:paraId="6A61E618"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0.06</w:t>
            </w:r>
          </w:p>
        </w:tc>
        <w:tc>
          <w:tcPr>
            <w:tcW w:w="1611" w:type="dxa"/>
            <w:tcBorders>
              <w:top w:val="nil"/>
              <w:left w:val="nil"/>
              <w:bottom w:val="nil"/>
              <w:right w:val="single" w:sz="8" w:space="0" w:color="auto"/>
            </w:tcBorders>
            <w:shd w:val="clear" w:color="auto" w:fill="auto"/>
            <w:noWrap/>
            <w:vAlign w:val="center"/>
            <w:hideMark/>
          </w:tcPr>
          <w:p w14:paraId="48C50521"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0.75</w:t>
            </w:r>
          </w:p>
        </w:tc>
      </w:tr>
      <w:tr w:rsidR="006861E2" w:rsidRPr="008E3494" w14:paraId="3B428807"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6663CB7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0.7</w:t>
            </w:r>
          </w:p>
        </w:tc>
        <w:tc>
          <w:tcPr>
            <w:tcW w:w="1083" w:type="dxa"/>
            <w:tcBorders>
              <w:top w:val="nil"/>
              <w:left w:val="nil"/>
              <w:bottom w:val="nil"/>
              <w:right w:val="nil"/>
            </w:tcBorders>
            <w:shd w:val="clear" w:color="auto" w:fill="auto"/>
            <w:noWrap/>
            <w:vAlign w:val="center"/>
            <w:hideMark/>
          </w:tcPr>
          <w:p w14:paraId="1D8212C4"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22169DF4"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58B66EAF"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212</w:t>
            </w:r>
          </w:p>
        </w:tc>
        <w:tc>
          <w:tcPr>
            <w:tcW w:w="1510" w:type="dxa"/>
            <w:tcBorders>
              <w:top w:val="nil"/>
              <w:left w:val="nil"/>
              <w:bottom w:val="nil"/>
              <w:right w:val="nil"/>
            </w:tcBorders>
            <w:shd w:val="clear" w:color="auto" w:fill="auto"/>
            <w:noWrap/>
            <w:vAlign w:val="center"/>
            <w:hideMark/>
          </w:tcPr>
          <w:p w14:paraId="69C10FA1"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0.06</w:t>
            </w:r>
          </w:p>
        </w:tc>
        <w:tc>
          <w:tcPr>
            <w:tcW w:w="1611" w:type="dxa"/>
            <w:tcBorders>
              <w:top w:val="nil"/>
              <w:left w:val="nil"/>
              <w:bottom w:val="nil"/>
              <w:right w:val="single" w:sz="8" w:space="0" w:color="auto"/>
            </w:tcBorders>
            <w:shd w:val="clear" w:color="auto" w:fill="auto"/>
            <w:noWrap/>
            <w:vAlign w:val="center"/>
            <w:hideMark/>
          </w:tcPr>
          <w:p w14:paraId="2E818E72"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0.81</w:t>
            </w:r>
          </w:p>
        </w:tc>
      </w:tr>
      <w:tr w:rsidR="006861E2" w:rsidRPr="008E3494" w14:paraId="14CC5725" w14:textId="77777777" w:rsidTr="006861E2">
        <w:trPr>
          <w:trHeight w:val="283"/>
          <w:jc w:val="center"/>
        </w:trPr>
        <w:tc>
          <w:tcPr>
            <w:tcW w:w="338" w:type="dxa"/>
            <w:tcBorders>
              <w:top w:val="nil"/>
              <w:left w:val="single" w:sz="8" w:space="0" w:color="auto"/>
              <w:bottom w:val="nil"/>
              <w:right w:val="nil"/>
            </w:tcBorders>
            <w:shd w:val="clear" w:color="auto" w:fill="auto"/>
            <w:noWrap/>
            <w:vAlign w:val="center"/>
            <w:hideMark/>
          </w:tcPr>
          <w:p w14:paraId="02693B81"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0.8</w:t>
            </w:r>
          </w:p>
        </w:tc>
        <w:tc>
          <w:tcPr>
            <w:tcW w:w="1083" w:type="dxa"/>
            <w:tcBorders>
              <w:top w:val="nil"/>
              <w:left w:val="nil"/>
              <w:bottom w:val="nil"/>
              <w:right w:val="nil"/>
            </w:tcBorders>
            <w:shd w:val="clear" w:color="auto" w:fill="auto"/>
            <w:noWrap/>
            <w:vAlign w:val="center"/>
            <w:hideMark/>
          </w:tcPr>
          <w:p w14:paraId="1A1C77DE"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nil"/>
              <w:right w:val="nil"/>
            </w:tcBorders>
            <w:shd w:val="clear" w:color="auto" w:fill="auto"/>
            <w:noWrap/>
            <w:vAlign w:val="center"/>
            <w:hideMark/>
          </w:tcPr>
          <w:p w14:paraId="512F3560"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nil"/>
              <w:right w:val="nil"/>
            </w:tcBorders>
            <w:shd w:val="clear" w:color="auto" w:fill="auto"/>
            <w:noWrap/>
            <w:vAlign w:val="center"/>
            <w:hideMark/>
          </w:tcPr>
          <w:p w14:paraId="1B1F776C"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212</w:t>
            </w:r>
          </w:p>
        </w:tc>
        <w:tc>
          <w:tcPr>
            <w:tcW w:w="1510" w:type="dxa"/>
            <w:tcBorders>
              <w:top w:val="nil"/>
              <w:left w:val="nil"/>
              <w:bottom w:val="nil"/>
              <w:right w:val="nil"/>
            </w:tcBorders>
            <w:shd w:val="clear" w:color="auto" w:fill="auto"/>
            <w:noWrap/>
            <w:vAlign w:val="center"/>
            <w:hideMark/>
          </w:tcPr>
          <w:p w14:paraId="21353205"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0.06</w:t>
            </w:r>
          </w:p>
        </w:tc>
        <w:tc>
          <w:tcPr>
            <w:tcW w:w="1611" w:type="dxa"/>
            <w:tcBorders>
              <w:top w:val="nil"/>
              <w:left w:val="nil"/>
              <w:bottom w:val="nil"/>
              <w:right w:val="single" w:sz="8" w:space="0" w:color="auto"/>
            </w:tcBorders>
            <w:shd w:val="clear" w:color="auto" w:fill="auto"/>
            <w:noWrap/>
            <w:vAlign w:val="center"/>
            <w:hideMark/>
          </w:tcPr>
          <w:p w14:paraId="10CC9DBF"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0.86</w:t>
            </w:r>
          </w:p>
        </w:tc>
      </w:tr>
      <w:tr w:rsidR="006861E2" w:rsidRPr="008E3494" w14:paraId="06F30A1F" w14:textId="77777777" w:rsidTr="006861E2">
        <w:trPr>
          <w:trHeight w:val="295"/>
          <w:jc w:val="center"/>
        </w:trPr>
        <w:tc>
          <w:tcPr>
            <w:tcW w:w="338" w:type="dxa"/>
            <w:tcBorders>
              <w:top w:val="nil"/>
              <w:left w:val="single" w:sz="8" w:space="0" w:color="auto"/>
              <w:bottom w:val="single" w:sz="8" w:space="0" w:color="auto"/>
              <w:right w:val="nil"/>
            </w:tcBorders>
            <w:shd w:val="clear" w:color="auto" w:fill="auto"/>
            <w:noWrap/>
            <w:vAlign w:val="center"/>
            <w:hideMark/>
          </w:tcPr>
          <w:p w14:paraId="7E37E71A"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0.9</w:t>
            </w:r>
          </w:p>
        </w:tc>
        <w:tc>
          <w:tcPr>
            <w:tcW w:w="1083" w:type="dxa"/>
            <w:tcBorders>
              <w:top w:val="nil"/>
              <w:left w:val="nil"/>
              <w:bottom w:val="single" w:sz="8" w:space="0" w:color="auto"/>
              <w:right w:val="nil"/>
            </w:tcBorders>
            <w:shd w:val="clear" w:color="auto" w:fill="auto"/>
            <w:noWrap/>
            <w:vAlign w:val="center"/>
            <w:hideMark/>
          </w:tcPr>
          <w:p w14:paraId="41A9C748"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405" w:type="dxa"/>
            <w:tcBorders>
              <w:top w:val="nil"/>
              <w:left w:val="nil"/>
              <w:bottom w:val="single" w:sz="8" w:space="0" w:color="auto"/>
              <w:right w:val="nil"/>
            </w:tcBorders>
            <w:shd w:val="clear" w:color="auto" w:fill="auto"/>
            <w:noWrap/>
            <w:vAlign w:val="center"/>
            <w:hideMark/>
          </w:tcPr>
          <w:p w14:paraId="294EF24B"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18</w:t>
            </w:r>
          </w:p>
        </w:tc>
        <w:tc>
          <w:tcPr>
            <w:tcW w:w="1657" w:type="dxa"/>
            <w:tcBorders>
              <w:top w:val="nil"/>
              <w:left w:val="nil"/>
              <w:bottom w:val="single" w:sz="8" w:space="0" w:color="auto"/>
              <w:right w:val="nil"/>
            </w:tcBorders>
            <w:shd w:val="clear" w:color="auto" w:fill="auto"/>
            <w:noWrap/>
            <w:vAlign w:val="center"/>
            <w:hideMark/>
          </w:tcPr>
          <w:p w14:paraId="54B1F89E"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212</w:t>
            </w:r>
          </w:p>
        </w:tc>
        <w:tc>
          <w:tcPr>
            <w:tcW w:w="1510" w:type="dxa"/>
            <w:tcBorders>
              <w:top w:val="nil"/>
              <w:left w:val="nil"/>
              <w:bottom w:val="single" w:sz="8" w:space="0" w:color="auto"/>
              <w:right w:val="nil"/>
            </w:tcBorders>
            <w:shd w:val="clear" w:color="auto" w:fill="auto"/>
            <w:noWrap/>
            <w:vAlign w:val="center"/>
            <w:hideMark/>
          </w:tcPr>
          <w:p w14:paraId="4A9BA947"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0.06</w:t>
            </w:r>
          </w:p>
        </w:tc>
        <w:tc>
          <w:tcPr>
            <w:tcW w:w="1611" w:type="dxa"/>
            <w:tcBorders>
              <w:top w:val="nil"/>
              <w:left w:val="nil"/>
              <w:bottom w:val="single" w:sz="8" w:space="0" w:color="auto"/>
              <w:right w:val="single" w:sz="8" w:space="0" w:color="auto"/>
            </w:tcBorders>
            <w:shd w:val="clear" w:color="auto" w:fill="auto"/>
            <w:noWrap/>
            <w:vAlign w:val="center"/>
            <w:hideMark/>
          </w:tcPr>
          <w:p w14:paraId="50B9E780" w14:textId="77777777" w:rsidR="006861E2" w:rsidRPr="008E3494" w:rsidRDefault="006861E2" w:rsidP="006861E2">
            <w:pPr>
              <w:spacing w:after="0" w:line="240" w:lineRule="auto"/>
              <w:jc w:val="center"/>
              <w:rPr>
                <w:rFonts w:ascii="Arial" w:hAnsi="Arial" w:cs="Arial"/>
                <w:lang w:val="en-US"/>
              </w:rPr>
            </w:pPr>
            <w:r w:rsidRPr="008E3494">
              <w:rPr>
                <w:rFonts w:ascii="Arial" w:hAnsi="Arial" w:cs="Arial"/>
                <w:lang w:val="en-US"/>
              </w:rPr>
              <w:t>0.91</w:t>
            </w:r>
          </w:p>
        </w:tc>
      </w:tr>
      <w:tr w:rsidR="006861E2" w:rsidRPr="008E3494" w14:paraId="281AAAB3" w14:textId="77777777" w:rsidTr="00181B8D">
        <w:trPr>
          <w:trHeight w:val="2122"/>
          <w:jc w:val="center"/>
        </w:trPr>
        <w:tc>
          <w:tcPr>
            <w:tcW w:w="7606" w:type="dxa"/>
            <w:gridSpan w:val="6"/>
            <w:vMerge w:val="restart"/>
            <w:tcBorders>
              <w:top w:val="single" w:sz="8" w:space="0" w:color="auto"/>
              <w:left w:val="nil"/>
              <w:bottom w:val="nil"/>
              <w:right w:val="nil"/>
            </w:tcBorders>
            <w:shd w:val="clear" w:color="auto" w:fill="auto"/>
            <w:vAlign w:val="center"/>
            <w:hideMark/>
          </w:tcPr>
          <w:p w14:paraId="2C8C941B" w14:textId="30907469" w:rsidR="006861E2" w:rsidRPr="008E3494" w:rsidRDefault="006861E2" w:rsidP="00181B8D">
            <w:pPr>
              <w:spacing w:after="0" w:line="240" w:lineRule="auto"/>
              <w:jc w:val="both"/>
              <w:rPr>
                <w:rFonts w:ascii="Arial" w:hAnsi="Arial" w:cs="Arial"/>
                <w:lang w:val="es-419"/>
              </w:rPr>
            </w:pPr>
            <w:r w:rsidRPr="008E3494">
              <w:rPr>
                <w:rFonts w:ascii="Arial" w:hAnsi="Arial" w:cs="Arial"/>
                <w:lang w:val="es-419"/>
              </w:rPr>
              <w:t xml:space="preserve">Nota: Esta tabla contiene el cálculo del efecto mínimo detectable, asumiendo un nivel de potencia del 80%, y un nivel de significancia del 5%. Panel A presenta los cálculos asumiendo que el número de subsidios otorgados es similar al del año 2017. El Panel B presenta los mismos cálculos, pero usando el número de subsidios máximo que se pretenden adjudicar bajo el Componente 1 del programa. Cálculos asumiendo el </w:t>
            </w:r>
            <w:r w:rsidR="00E426E4" w:rsidRPr="008E3494">
              <w:rPr>
                <w:rFonts w:ascii="Arial" w:hAnsi="Arial" w:cs="Arial"/>
                <w:lang w:val="es-419"/>
              </w:rPr>
              <w:t>número</w:t>
            </w:r>
            <w:r w:rsidRPr="008E3494">
              <w:rPr>
                <w:rFonts w:ascii="Arial" w:hAnsi="Arial" w:cs="Arial"/>
                <w:lang w:val="es-419"/>
              </w:rPr>
              <w:t xml:space="preserve"> máximo de subsidios para el Componente 2 del programa se reportan en el Panel C. Por muestreo simple se entiende la situación donde no se corrige el MDE por el número de conglomerados.</w:t>
            </w:r>
          </w:p>
        </w:tc>
      </w:tr>
    </w:tbl>
    <w:p w14:paraId="4F8C8396" w14:textId="77777777" w:rsidR="006861E2" w:rsidRPr="008E3494" w:rsidRDefault="006861E2" w:rsidP="006861E2">
      <w:pPr>
        <w:jc w:val="both"/>
        <w:rPr>
          <w:rFonts w:ascii="Arial" w:hAnsi="Arial" w:cs="Arial"/>
          <w:lang w:val="es-419"/>
        </w:rPr>
      </w:pPr>
    </w:p>
    <w:p w14:paraId="44382D83" w14:textId="77777777" w:rsidR="006861E2" w:rsidRPr="008E3494" w:rsidRDefault="006861E2" w:rsidP="00590698">
      <w:pPr>
        <w:rPr>
          <w:rFonts w:ascii="Arial" w:hAnsi="Arial" w:cs="Arial"/>
          <w:lang w:val="es-419"/>
        </w:rPr>
      </w:pPr>
    </w:p>
    <w:p w14:paraId="28BEB171" w14:textId="634104BC" w:rsidR="00AA6EC7" w:rsidRPr="008E3494" w:rsidRDefault="007F5B37" w:rsidP="00181B8D">
      <w:pPr>
        <w:pStyle w:val="Heading3"/>
      </w:pPr>
      <w:bookmarkStart w:id="18" w:name="_Toc1373072"/>
      <w:r w:rsidRPr="008E3494">
        <w:t>Equipo técnico de la evaluación de impacto</w:t>
      </w:r>
      <w:bookmarkEnd w:id="18"/>
    </w:p>
    <w:p w14:paraId="505F830D" w14:textId="7B3372FE" w:rsidR="00E426E4" w:rsidRPr="008E3494" w:rsidRDefault="00E426E4" w:rsidP="00E426E4">
      <w:pPr>
        <w:rPr>
          <w:rFonts w:ascii="Arial" w:hAnsi="Arial" w:cs="Arial"/>
          <w:lang w:val="pt-BR"/>
        </w:rPr>
      </w:pPr>
    </w:p>
    <w:p w14:paraId="1BF67F78" w14:textId="6A3DC15F" w:rsidR="006861E2" w:rsidRPr="008E3494" w:rsidRDefault="00E426E4" w:rsidP="008E3494">
      <w:pPr>
        <w:jc w:val="both"/>
        <w:rPr>
          <w:rFonts w:ascii="Arial" w:hAnsi="Arial" w:cs="Arial"/>
          <w:lang w:val="pt-BR"/>
        </w:rPr>
      </w:pPr>
      <w:r w:rsidRPr="008E3494">
        <w:rPr>
          <w:rFonts w:ascii="Arial" w:hAnsi="Arial" w:cs="Arial"/>
          <w:lang w:val="pt-BR"/>
        </w:rPr>
        <w:t>Para la implementación exitosa de una evaluación de impacto prospectiva de las características detalladas en este documento, se recomienda la contratación de una empresa de investigación con experiencia en estudios de políticas públicas</w:t>
      </w:r>
      <w:r w:rsidR="008E3494" w:rsidRPr="008E3494">
        <w:rPr>
          <w:rFonts w:ascii="Arial" w:hAnsi="Arial" w:cs="Arial"/>
          <w:lang w:val="pt-BR"/>
        </w:rPr>
        <w:t xml:space="preserve"> y en el diseño y ejecución de evaluaciones rigurosas de impacto. La empresa debe garantizar los siguientes perfiles en su equipo de trabajo para la evaluación: </w:t>
      </w:r>
    </w:p>
    <w:p w14:paraId="439E8D2E" w14:textId="77777777" w:rsidR="006E4C0B" w:rsidRPr="008E3494" w:rsidRDefault="006E4C0B" w:rsidP="008E3494">
      <w:pPr>
        <w:jc w:val="both"/>
        <w:rPr>
          <w:rFonts w:ascii="Arial" w:hAnsi="Arial" w:cs="Arial"/>
        </w:rPr>
      </w:pPr>
    </w:p>
    <w:p w14:paraId="272B92B8" w14:textId="1350A200" w:rsidR="008E3494" w:rsidRPr="008E3494" w:rsidRDefault="008E3494" w:rsidP="008E3494">
      <w:pPr>
        <w:pStyle w:val="ListParagraph"/>
        <w:numPr>
          <w:ilvl w:val="0"/>
          <w:numId w:val="23"/>
        </w:numPr>
        <w:jc w:val="both"/>
        <w:rPr>
          <w:rFonts w:ascii="Arial" w:hAnsi="Arial" w:cs="Arial"/>
        </w:rPr>
      </w:pPr>
      <w:r w:rsidRPr="008E3494">
        <w:rPr>
          <w:rFonts w:ascii="Arial" w:hAnsi="Arial" w:cs="Arial"/>
        </w:rPr>
        <w:t>Coordinador Principal</w:t>
      </w:r>
    </w:p>
    <w:p w14:paraId="46F8DB80" w14:textId="73BCA5A5" w:rsidR="006861E2" w:rsidRPr="008E3494" w:rsidRDefault="006861E2" w:rsidP="008E3494">
      <w:pPr>
        <w:pStyle w:val="ListParagraph"/>
        <w:numPr>
          <w:ilvl w:val="1"/>
          <w:numId w:val="23"/>
        </w:numPr>
        <w:jc w:val="both"/>
        <w:rPr>
          <w:rFonts w:ascii="Arial" w:hAnsi="Arial" w:cs="Arial"/>
        </w:rPr>
      </w:pPr>
      <w:r w:rsidRPr="008E3494">
        <w:rPr>
          <w:rFonts w:ascii="Arial" w:hAnsi="Arial" w:cs="Arial"/>
        </w:rPr>
        <w:t xml:space="preserve">Coordinador de la Evaluación de Impacto lidera la implementación de la evaluación de impacto, coordinando todos los aspectos técnicos y operativos y sirviendo de enlace para la coordinación de las actividades de evaluación con la operación del programa. </w:t>
      </w:r>
    </w:p>
    <w:p w14:paraId="54099CF5" w14:textId="0E1A8151" w:rsidR="006861E2" w:rsidRPr="008E3494" w:rsidRDefault="006861E2" w:rsidP="008E3494">
      <w:pPr>
        <w:pStyle w:val="ListParagraph"/>
        <w:numPr>
          <w:ilvl w:val="1"/>
          <w:numId w:val="23"/>
        </w:numPr>
        <w:jc w:val="both"/>
        <w:rPr>
          <w:rFonts w:ascii="Arial" w:hAnsi="Arial" w:cs="Arial"/>
        </w:rPr>
      </w:pPr>
      <w:r w:rsidRPr="008E3494">
        <w:rPr>
          <w:rFonts w:ascii="Arial" w:hAnsi="Arial" w:cs="Arial"/>
        </w:rPr>
        <w:t xml:space="preserve">Perfil de Cs Sociales/ Economista con experiencia en gerenciamiento en implementación de evaluaciones de impacto y coordinación de equipos </w:t>
      </w:r>
      <w:proofErr w:type="spellStart"/>
      <w:r w:rsidRPr="008E3494">
        <w:rPr>
          <w:rFonts w:ascii="Arial" w:hAnsi="Arial" w:cs="Arial"/>
        </w:rPr>
        <w:t>multi-disciplinarios</w:t>
      </w:r>
      <w:proofErr w:type="spellEnd"/>
    </w:p>
    <w:p w14:paraId="11EDF6E8" w14:textId="77777777" w:rsidR="008E3494" w:rsidRPr="008E3494" w:rsidRDefault="006861E2" w:rsidP="008E3494">
      <w:pPr>
        <w:pStyle w:val="ListParagraph"/>
        <w:numPr>
          <w:ilvl w:val="0"/>
          <w:numId w:val="23"/>
        </w:numPr>
        <w:jc w:val="both"/>
        <w:rPr>
          <w:rFonts w:ascii="Arial" w:hAnsi="Arial" w:cs="Arial"/>
        </w:rPr>
      </w:pPr>
      <w:r w:rsidRPr="008E3494">
        <w:rPr>
          <w:rFonts w:ascii="Arial" w:hAnsi="Arial" w:cs="Arial"/>
        </w:rPr>
        <w:t xml:space="preserve">Investigador Principal </w:t>
      </w:r>
    </w:p>
    <w:p w14:paraId="51A1A0FB" w14:textId="5A914416" w:rsidR="006861E2" w:rsidRPr="008E3494" w:rsidRDefault="006861E2" w:rsidP="008E3494">
      <w:pPr>
        <w:pStyle w:val="ListParagraph"/>
        <w:numPr>
          <w:ilvl w:val="1"/>
          <w:numId w:val="23"/>
        </w:numPr>
        <w:jc w:val="both"/>
        <w:rPr>
          <w:rFonts w:ascii="Arial" w:hAnsi="Arial" w:cs="Arial"/>
        </w:rPr>
      </w:pPr>
      <w:r w:rsidRPr="008E3494">
        <w:rPr>
          <w:rFonts w:ascii="Arial" w:hAnsi="Arial" w:cs="Arial"/>
        </w:rPr>
        <w:t xml:space="preserve">Perfil de </w:t>
      </w:r>
      <w:proofErr w:type="spellStart"/>
      <w:r w:rsidRPr="008E3494">
        <w:rPr>
          <w:rFonts w:ascii="Arial" w:hAnsi="Arial" w:cs="Arial"/>
        </w:rPr>
        <w:t>econometrista</w:t>
      </w:r>
      <w:proofErr w:type="spellEnd"/>
      <w:r w:rsidRPr="008E3494">
        <w:rPr>
          <w:rFonts w:ascii="Arial" w:hAnsi="Arial" w:cs="Arial"/>
        </w:rPr>
        <w:t xml:space="preserve"> con conocimientos avanzados de evaluación de impacto</w:t>
      </w:r>
    </w:p>
    <w:p w14:paraId="40A9A782" w14:textId="3A010E02" w:rsidR="006861E2" w:rsidRPr="008E3494" w:rsidRDefault="006861E2" w:rsidP="008E3494">
      <w:pPr>
        <w:pStyle w:val="ListParagraph"/>
        <w:numPr>
          <w:ilvl w:val="1"/>
          <w:numId w:val="23"/>
        </w:numPr>
        <w:jc w:val="both"/>
        <w:rPr>
          <w:rFonts w:ascii="Arial" w:hAnsi="Arial" w:cs="Arial"/>
        </w:rPr>
      </w:pPr>
      <w:r w:rsidRPr="008E3494">
        <w:rPr>
          <w:rFonts w:ascii="Arial" w:hAnsi="Arial" w:cs="Arial"/>
        </w:rPr>
        <w:t>Especialización en estudios urbanos y experiencia en el sector de hábitat, vivienda, y economía de la salud.</w:t>
      </w:r>
    </w:p>
    <w:p w14:paraId="478BF666" w14:textId="29963045" w:rsidR="006861E2" w:rsidRPr="008E3494" w:rsidRDefault="006861E2" w:rsidP="008E3494">
      <w:pPr>
        <w:pStyle w:val="ListParagraph"/>
        <w:numPr>
          <w:ilvl w:val="1"/>
          <w:numId w:val="23"/>
        </w:numPr>
        <w:jc w:val="both"/>
        <w:rPr>
          <w:rFonts w:ascii="Arial" w:hAnsi="Arial" w:cs="Arial"/>
        </w:rPr>
      </w:pPr>
      <w:r w:rsidRPr="008E3494">
        <w:rPr>
          <w:rFonts w:ascii="Arial" w:hAnsi="Arial" w:cs="Arial"/>
        </w:rPr>
        <w:t>Responsable de liderazgo técnico de la evaluación de impacto y de producir los productos principales de la evaluación incluyendo el informe de impacto.</w:t>
      </w:r>
    </w:p>
    <w:p w14:paraId="5F788E87" w14:textId="0954A78D" w:rsidR="006861E2" w:rsidRPr="008E3494" w:rsidRDefault="006861E2" w:rsidP="008E3494">
      <w:pPr>
        <w:pStyle w:val="ListParagraph"/>
        <w:numPr>
          <w:ilvl w:val="0"/>
          <w:numId w:val="23"/>
        </w:numPr>
        <w:jc w:val="both"/>
        <w:rPr>
          <w:rFonts w:ascii="Arial" w:hAnsi="Arial" w:cs="Arial"/>
        </w:rPr>
      </w:pPr>
      <w:r w:rsidRPr="008E3494">
        <w:rPr>
          <w:rFonts w:ascii="Arial" w:hAnsi="Arial" w:cs="Arial"/>
        </w:rPr>
        <w:t>Ayudante de investigación responsable de procesamiento de las bases de datos.</w:t>
      </w:r>
    </w:p>
    <w:p w14:paraId="2F00CB54" w14:textId="405B356C" w:rsidR="006861E2" w:rsidRPr="008E3494" w:rsidRDefault="006861E2" w:rsidP="008E3494">
      <w:pPr>
        <w:pStyle w:val="ListParagraph"/>
        <w:numPr>
          <w:ilvl w:val="1"/>
          <w:numId w:val="23"/>
        </w:numPr>
        <w:jc w:val="both"/>
        <w:rPr>
          <w:rFonts w:ascii="Arial" w:hAnsi="Arial" w:cs="Arial"/>
        </w:rPr>
      </w:pPr>
      <w:r w:rsidRPr="008E3494">
        <w:rPr>
          <w:rFonts w:ascii="Arial" w:hAnsi="Arial" w:cs="Arial"/>
        </w:rPr>
        <w:t xml:space="preserve">Perfil de Economista/ Estadística o Sistemas con conocimientos avanzados de procesamiento de bases de datos y técnicas econométricas. Encargado de la gestión de datos e implementación de los análisis económicos bajo supervisión del investigador principal. </w:t>
      </w:r>
    </w:p>
    <w:p w14:paraId="4C8519C6" w14:textId="6F65EE1A" w:rsidR="006861E2" w:rsidRPr="008E3494" w:rsidRDefault="006861E2" w:rsidP="008E3494">
      <w:pPr>
        <w:pStyle w:val="ListParagraph"/>
        <w:numPr>
          <w:ilvl w:val="0"/>
          <w:numId w:val="23"/>
        </w:numPr>
        <w:jc w:val="both"/>
        <w:rPr>
          <w:rFonts w:ascii="Arial" w:hAnsi="Arial" w:cs="Arial"/>
        </w:rPr>
      </w:pPr>
      <w:r w:rsidRPr="008E3494">
        <w:rPr>
          <w:rFonts w:ascii="Arial" w:hAnsi="Arial" w:cs="Arial"/>
        </w:rPr>
        <w:t>Responsable de Muestreo y Aseguramiento de Calidad en los Datos.</w:t>
      </w:r>
    </w:p>
    <w:p w14:paraId="293AACFA" w14:textId="3769C25D" w:rsidR="006861E2" w:rsidRPr="008E3494" w:rsidRDefault="006861E2" w:rsidP="008E3494">
      <w:pPr>
        <w:pStyle w:val="ListParagraph"/>
        <w:numPr>
          <w:ilvl w:val="1"/>
          <w:numId w:val="23"/>
        </w:numPr>
        <w:jc w:val="both"/>
        <w:rPr>
          <w:rFonts w:ascii="Arial" w:hAnsi="Arial" w:cs="Arial"/>
        </w:rPr>
      </w:pPr>
      <w:r w:rsidRPr="008E3494">
        <w:rPr>
          <w:rFonts w:ascii="Arial" w:hAnsi="Arial" w:cs="Arial"/>
        </w:rPr>
        <w:t>Perfil de experto en levantamiento de encuestas, gestión y control de calidad de trabajo de campo con conocimiento y experiencia en el aseguramiento de calidad de encuestas.</w:t>
      </w:r>
    </w:p>
    <w:p w14:paraId="4B0AC9D0" w14:textId="52CE9829" w:rsidR="006861E2" w:rsidRPr="008E3494" w:rsidRDefault="006861E2" w:rsidP="008E3494">
      <w:pPr>
        <w:pStyle w:val="ListParagraph"/>
        <w:numPr>
          <w:ilvl w:val="1"/>
          <w:numId w:val="23"/>
        </w:numPr>
        <w:jc w:val="both"/>
        <w:rPr>
          <w:rFonts w:ascii="Arial" w:hAnsi="Arial" w:cs="Arial"/>
        </w:rPr>
      </w:pPr>
      <w:r w:rsidRPr="008E3494">
        <w:rPr>
          <w:rFonts w:ascii="Arial" w:hAnsi="Arial" w:cs="Arial"/>
        </w:rPr>
        <w:t>Perfil de Estadística con amplia experiencia en el diseño de muestras poblacionales aplicadas a estudios de evaluación de impacto</w:t>
      </w:r>
    </w:p>
    <w:p w14:paraId="77ED05FA" w14:textId="68E6D35B" w:rsidR="006861E2" w:rsidRPr="008E3494" w:rsidRDefault="006861E2" w:rsidP="008E3494">
      <w:pPr>
        <w:pStyle w:val="ListParagraph"/>
        <w:numPr>
          <w:ilvl w:val="1"/>
          <w:numId w:val="23"/>
        </w:numPr>
        <w:jc w:val="both"/>
        <w:rPr>
          <w:rFonts w:ascii="Arial" w:hAnsi="Arial" w:cs="Arial"/>
        </w:rPr>
      </w:pPr>
      <w:r w:rsidRPr="008E3494">
        <w:rPr>
          <w:rFonts w:ascii="Arial" w:hAnsi="Arial" w:cs="Arial"/>
        </w:rPr>
        <w:t xml:space="preserve">Responsable de supervisar a la Firma encuestadora </w:t>
      </w:r>
    </w:p>
    <w:p w14:paraId="5B0B4AB8" w14:textId="2372EA2E" w:rsidR="006861E2" w:rsidRPr="008E3494" w:rsidRDefault="006861E2" w:rsidP="008E3494">
      <w:pPr>
        <w:pStyle w:val="ListParagraph"/>
        <w:numPr>
          <w:ilvl w:val="0"/>
          <w:numId w:val="23"/>
        </w:numPr>
        <w:jc w:val="both"/>
        <w:rPr>
          <w:rFonts w:ascii="Arial" w:hAnsi="Arial" w:cs="Arial"/>
        </w:rPr>
      </w:pPr>
      <w:r w:rsidRPr="008E3494">
        <w:rPr>
          <w:rFonts w:ascii="Arial" w:hAnsi="Arial" w:cs="Arial"/>
        </w:rPr>
        <w:t>Firma(s) Encuestadora(s)</w:t>
      </w:r>
    </w:p>
    <w:p w14:paraId="5B3E5B45" w14:textId="4AC3D675" w:rsidR="006861E2" w:rsidRPr="008E3494" w:rsidRDefault="006861E2" w:rsidP="008E3494">
      <w:pPr>
        <w:pStyle w:val="ListParagraph"/>
        <w:numPr>
          <w:ilvl w:val="1"/>
          <w:numId w:val="23"/>
        </w:numPr>
        <w:jc w:val="both"/>
        <w:rPr>
          <w:rFonts w:ascii="Arial" w:hAnsi="Arial" w:cs="Arial"/>
        </w:rPr>
      </w:pPr>
      <w:r w:rsidRPr="008E3494">
        <w:rPr>
          <w:rFonts w:ascii="Arial" w:hAnsi="Arial" w:cs="Arial"/>
        </w:rPr>
        <w:t xml:space="preserve">Una o más firmas o instituciones especializadas en el levantamiento de encuestas, contratadas con el propósito único de realizar la recolección de datos de manera independiente bajo la supervisión del responsable de muestreo y calidad en los datos. Preferible experiencia de realizar encuestas en barrios informales del Ecuador.   </w:t>
      </w:r>
    </w:p>
    <w:p w14:paraId="3855C1DA" w14:textId="7C84BA77" w:rsidR="006861E2" w:rsidRPr="008E3494" w:rsidRDefault="006861E2" w:rsidP="008E3494">
      <w:pPr>
        <w:jc w:val="both"/>
        <w:rPr>
          <w:rFonts w:ascii="Arial" w:hAnsi="Arial" w:cs="Arial"/>
        </w:rPr>
      </w:pPr>
    </w:p>
    <w:p w14:paraId="0E6BB69D" w14:textId="77777777" w:rsidR="008E3494" w:rsidRPr="008E3494" w:rsidRDefault="008E3494" w:rsidP="008E3494">
      <w:pPr>
        <w:jc w:val="both"/>
        <w:rPr>
          <w:rFonts w:ascii="Arial" w:hAnsi="Arial" w:cs="Arial"/>
        </w:rPr>
      </w:pPr>
      <w:r w:rsidRPr="008E3494">
        <w:rPr>
          <w:rFonts w:ascii="Arial" w:hAnsi="Arial" w:cs="Arial"/>
        </w:rPr>
        <w:t>Para la mesa del equipo técnico de evaluación se propone un acompañamiento del BID desde un enfoque de seguimiento integrado, como facilitador de actividades de coordinación y alineamiento del trabajo del equipo de evaluación con la metodología de evaluación implementada.</w:t>
      </w:r>
    </w:p>
    <w:p w14:paraId="0AF259CD" w14:textId="77777777" w:rsidR="008E3494" w:rsidRPr="008E3494" w:rsidRDefault="008E3494" w:rsidP="006861E2">
      <w:pPr>
        <w:rPr>
          <w:rFonts w:ascii="Arial" w:hAnsi="Arial" w:cs="Arial"/>
        </w:rPr>
      </w:pPr>
    </w:p>
    <w:p w14:paraId="1AA473CE" w14:textId="77777777" w:rsidR="00590698" w:rsidRPr="008E3494" w:rsidRDefault="00590698" w:rsidP="00590698">
      <w:pPr>
        <w:rPr>
          <w:rFonts w:ascii="Arial" w:hAnsi="Arial" w:cs="Arial"/>
        </w:rPr>
      </w:pPr>
    </w:p>
    <w:p w14:paraId="36AA16A4" w14:textId="77777777" w:rsidR="00AA6EC7" w:rsidRPr="008E3494" w:rsidRDefault="007F5B37" w:rsidP="00181B8D">
      <w:pPr>
        <w:pStyle w:val="Heading3"/>
      </w:pPr>
      <w:bookmarkStart w:id="19" w:name="_Toc1373073"/>
      <w:r w:rsidRPr="008E3494">
        <w:lastRenderedPageBreak/>
        <w:t>Consideraciones éticas y protección de sujetos humanos</w:t>
      </w:r>
      <w:bookmarkEnd w:id="19"/>
    </w:p>
    <w:p w14:paraId="4F6ED683" w14:textId="77777777" w:rsidR="00590698" w:rsidRPr="008E3494" w:rsidRDefault="00590698" w:rsidP="00590698">
      <w:pPr>
        <w:rPr>
          <w:rFonts w:ascii="Arial" w:hAnsi="Arial" w:cs="Arial"/>
        </w:rPr>
      </w:pPr>
    </w:p>
    <w:p w14:paraId="6A28445E" w14:textId="36CAB915" w:rsidR="00590698" w:rsidRDefault="006F07C0" w:rsidP="00590698">
      <w:pPr>
        <w:rPr>
          <w:rFonts w:ascii="Arial" w:hAnsi="Arial" w:cs="Arial"/>
        </w:rPr>
      </w:pPr>
      <w:r>
        <w:rPr>
          <w:rFonts w:ascii="Arial" w:hAnsi="Arial" w:cs="Arial"/>
        </w:rPr>
        <w:t xml:space="preserve">Debido a que la evaluación planea levantar información de sujetos humanos, se presentará el diseño e instrumentos de la evaluación a un comité de ética, como el </w:t>
      </w:r>
      <w:r w:rsidRPr="006F07C0">
        <w:rPr>
          <w:rFonts w:ascii="Arial" w:hAnsi="Arial" w:cs="Arial"/>
        </w:rPr>
        <w:t>Comité de Ética de Investigación en Seres Humanos de la U</w:t>
      </w:r>
      <w:r>
        <w:rPr>
          <w:rFonts w:ascii="Arial" w:hAnsi="Arial" w:cs="Arial"/>
        </w:rPr>
        <w:t>niversidad San Francisco de Quito (USFQ).</w:t>
      </w:r>
    </w:p>
    <w:p w14:paraId="1A2B3897" w14:textId="77777777" w:rsidR="006F07C0" w:rsidRPr="008E3494" w:rsidRDefault="006F07C0" w:rsidP="00590698">
      <w:pPr>
        <w:rPr>
          <w:rFonts w:ascii="Arial" w:hAnsi="Arial" w:cs="Arial"/>
        </w:rPr>
      </w:pPr>
    </w:p>
    <w:p w14:paraId="36335C35" w14:textId="0BA0E9FD" w:rsidR="00AA6EC7" w:rsidRPr="008E3494" w:rsidRDefault="007F5B37" w:rsidP="008E3494">
      <w:pPr>
        <w:pStyle w:val="Heading2"/>
      </w:pPr>
      <w:bookmarkStart w:id="20" w:name="_Toc1373074"/>
      <w:r w:rsidRPr="008E3494">
        <w:t xml:space="preserve">Evaluación de </w:t>
      </w:r>
      <w:r w:rsidR="00C75294" w:rsidRPr="008E3494">
        <w:t>procesos</w:t>
      </w:r>
      <w:r w:rsidRPr="008E3494">
        <w:t xml:space="preserve"> y resultados</w:t>
      </w:r>
      <w:bookmarkEnd w:id="20"/>
    </w:p>
    <w:p w14:paraId="6B6533CB" w14:textId="582DDB53" w:rsidR="00AA6EC7" w:rsidRPr="008E3494" w:rsidRDefault="007F5B37">
      <w:pPr>
        <w:spacing w:after="0" w:line="240" w:lineRule="auto"/>
        <w:jc w:val="both"/>
        <w:rPr>
          <w:rFonts w:ascii="Arial" w:eastAsia="Arial" w:hAnsi="Arial" w:cs="Arial"/>
        </w:rPr>
      </w:pPr>
      <w:r w:rsidRPr="008E3494">
        <w:rPr>
          <w:rFonts w:ascii="Arial" w:eastAsia="Arial" w:hAnsi="Arial" w:cs="Arial"/>
        </w:rPr>
        <w:t>El objetivo general de la evaluación de p</w:t>
      </w:r>
      <w:r w:rsidR="00C75294" w:rsidRPr="008E3494">
        <w:rPr>
          <w:rFonts w:ascii="Arial" w:eastAsia="Arial" w:hAnsi="Arial" w:cs="Arial"/>
        </w:rPr>
        <w:t xml:space="preserve">rocesos </w:t>
      </w:r>
      <w:r w:rsidRPr="008E3494">
        <w:rPr>
          <w:rFonts w:ascii="Arial" w:eastAsia="Arial" w:hAnsi="Arial" w:cs="Arial"/>
        </w:rPr>
        <w:t>y resultados es medir el desempeño del programa desde un enfoque de resultados y lecciones aprendidas. Concretamente, se examinarán los siguientes aspectos relacionados a la eficacia del proyecto, a fin de determinar los ajustes operativos que se deberán hacer para mejorar la gestión y sostenibilidad del programa a futuro:</w:t>
      </w:r>
    </w:p>
    <w:p w14:paraId="2480EB15" w14:textId="77777777" w:rsidR="00AA6EC7" w:rsidRPr="008E3494" w:rsidRDefault="00AA6EC7">
      <w:pPr>
        <w:spacing w:after="0" w:line="240" w:lineRule="auto"/>
        <w:jc w:val="both"/>
        <w:rPr>
          <w:rFonts w:ascii="Arial" w:eastAsia="Arial" w:hAnsi="Arial" w:cs="Arial"/>
        </w:rPr>
      </w:pPr>
    </w:p>
    <w:p w14:paraId="00C753AF" w14:textId="77777777" w:rsidR="00AA6EC7" w:rsidRPr="008E3494" w:rsidRDefault="007F5B37">
      <w:pPr>
        <w:pStyle w:val="ListParagraph"/>
        <w:numPr>
          <w:ilvl w:val="0"/>
          <w:numId w:val="9"/>
        </w:numPr>
        <w:spacing w:after="0" w:line="240" w:lineRule="auto"/>
        <w:jc w:val="both"/>
        <w:rPr>
          <w:rFonts w:ascii="Arial" w:eastAsia="Arial" w:hAnsi="Arial" w:cs="Arial"/>
          <w:lang w:val="es-AR"/>
        </w:rPr>
      </w:pPr>
      <w:r w:rsidRPr="008E3494">
        <w:rPr>
          <w:rFonts w:ascii="Arial" w:eastAsia="Arial" w:hAnsi="Arial" w:cs="Arial"/>
          <w:b/>
          <w:lang w:val="es-AR"/>
        </w:rPr>
        <w:t>Esquema de teoría de cambio:</w:t>
      </w:r>
      <w:r w:rsidRPr="008E3494">
        <w:rPr>
          <w:rFonts w:ascii="Arial" w:eastAsia="Arial" w:hAnsi="Arial" w:cs="Arial"/>
          <w:lang w:val="es-AR"/>
        </w:rPr>
        <w:t xml:space="preserve"> La evaluación de la eficacia revisará la validez del esquema de teoría de cambio anticipada del proyecto (conexión entre los productos previstos del proyecto, los resultados esperados y los impactos). Es decir, analizará la cadena de resultados y validará que los nexos esperados entre los productos y los resultados/impactos apunten a lo que se espera con el programa. </w:t>
      </w:r>
    </w:p>
    <w:p w14:paraId="79E205E3" w14:textId="021F3E51" w:rsidR="00AA6EC7" w:rsidRPr="008E3494" w:rsidRDefault="007F5B37">
      <w:pPr>
        <w:pStyle w:val="ListParagraph"/>
        <w:numPr>
          <w:ilvl w:val="0"/>
          <w:numId w:val="9"/>
        </w:numPr>
        <w:spacing w:after="0" w:line="240" w:lineRule="auto"/>
        <w:jc w:val="both"/>
        <w:rPr>
          <w:rFonts w:ascii="Arial" w:eastAsia="Arial" w:hAnsi="Arial" w:cs="Arial"/>
          <w:lang w:val="es-AR"/>
        </w:rPr>
      </w:pPr>
      <w:r w:rsidRPr="008E3494">
        <w:rPr>
          <w:rFonts w:ascii="Arial" w:eastAsia="Arial" w:hAnsi="Arial" w:cs="Arial"/>
          <w:b/>
          <w:lang w:val="es-AR"/>
        </w:rPr>
        <w:t>Resultados logrados:</w:t>
      </w:r>
      <w:r w:rsidRPr="008E3494">
        <w:rPr>
          <w:rFonts w:ascii="Arial" w:eastAsia="Arial" w:hAnsi="Arial" w:cs="Arial"/>
          <w:lang w:val="es-AR"/>
        </w:rPr>
        <w:t xml:space="preserve"> Como parte del análisis, se verificará si el proyecto alcanzó los productos y resultados esperados. Se deberán documentar los cambios que se hubieran dado en la Matriz de Resultados del proyecto y las razones de dichos cambios. Se revisará, además, si los indicadores y metas han sido adecuados para medir los objetivos propuestos del proyecto. Abajo se presentan los indicad</w:t>
      </w:r>
      <w:r w:rsidR="00B77A62" w:rsidRPr="008E3494">
        <w:rPr>
          <w:rFonts w:ascii="Arial" w:eastAsia="Arial" w:hAnsi="Arial" w:cs="Arial"/>
          <w:lang w:val="es-AR"/>
        </w:rPr>
        <w:t xml:space="preserve">ores de </w:t>
      </w:r>
      <w:r w:rsidRPr="008E3494">
        <w:rPr>
          <w:rFonts w:ascii="Arial" w:eastAsia="Arial" w:hAnsi="Arial" w:cs="Arial"/>
          <w:lang w:val="es-AR"/>
        </w:rPr>
        <w:t>resultado</w:t>
      </w:r>
      <w:r w:rsidR="00B77A62" w:rsidRPr="008E3494">
        <w:rPr>
          <w:rFonts w:ascii="Arial" w:eastAsia="Arial" w:hAnsi="Arial" w:cs="Arial"/>
          <w:lang w:val="es-AR"/>
        </w:rPr>
        <w:t>s y productos</w:t>
      </w:r>
      <w:r w:rsidRPr="008E3494">
        <w:rPr>
          <w:rFonts w:ascii="Arial" w:eastAsia="Arial" w:hAnsi="Arial" w:cs="Arial"/>
          <w:lang w:val="es-AR"/>
        </w:rPr>
        <w:t xml:space="preserve"> de la Matriz de Resultados que son objeto de la evaluación. </w:t>
      </w:r>
    </w:p>
    <w:p w14:paraId="6F08C0D6" w14:textId="77777777" w:rsidR="00AA6EC7" w:rsidRPr="008E3494" w:rsidRDefault="007F5B37">
      <w:pPr>
        <w:pStyle w:val="ListParagraph"/>
        <w:numPr>
          <w:ilvl w:val="0"/>
          <w:numId w:val="9"/>
        </w:numPr>
        <w:spacing w:after="0" w:line="240" w:lineRule="auto"/>
        <w:jc w:val="both"/>
        <w:rPr>
          <w:rFonts w:ascii="Arial" w:eastAsia="Arial" w:hAnsi="Arial" w:cs="Arial"/>
          <w:lang w:val="es-AR"/>
        </w:rPr>
      </w:pPr>
      <w:r w:rsidRPr="008E3494">
        <w:rPr>
          <w:rFonts w:ascii="Arial" w:eastAsia="Arial" w:hAnsi="Arial" w:cs="Arial"/>
          <w:b/>
          <w:lang w:val="es-AR"/>
        </w:rPr>
        <w:t>Dificultades de implementación:</w:t>
      </w:r>
      <w:r w:rsidRPr="008E3494">
        <w:rPr>
          <w:rFonts w:ascii="Arial" w:eastAsia="Arial" w:hAnsi="Arial" w:cs="Arial"/>
          <w:lang w:val="es-AR"/>
        </w:rPr>
        <w:t xml:space="preserve"> Asimismo, la evaluación analizará la implementación del proyecto y si se encontraron restricciones que hubieran afectado su planeación y resultados, así como la forma en que se hubieran resuelto. </w:t>
      </w:r>
    </w:p>
    <w:p w14:paraId="3DDAC25C" w14:textId="77777777" w:rsidR="00AA6EC7" w:rsidRPr="008E3494" w:rsidRDefault="007F5B37">
      <w:pPr>
        <w:pStyle w:val="ListParagraph"/>
        <w:numPr>
          <w:ilvl w:val="0"/>
          <w:numId w:val="9"/>
        </w:numPr>
        <w:spacing w:after="0" w:line="240" w:lineRule="auto"/>
        <w:jc w:val="both"/>
        <w:rPr>
          <w:rFonts w:ascii="Arial" w:eastAsia="Arial" w:hAnsi="Arial" w:cs="Arial"/>
          <w:lang w:val="es-AR"/>
        </w:rPr>
      </w:pPr>
      <w:r w:rsidRPr="008E3494">
        <w:rPr>
          <w:rFonts w:ascii="Arial" w:eastAsia="Arial" w:hAnsi="Arial" w:cs="Arial"/>
          <w:b/>
          <w:lang w:val="es-AR"/>
        </w:rPr>
        <w:t>Satisfacción y perspectiva de los beneficiarios</w:t>
      </w:r>
      <w:r w:rsidRPr="008E3494">
        <w:rPr>
          <w:rFonts w:ascii="Arial" w:eastAsia="Arial" w:hAnsi="Arial" w:cs="Arial"/>
          <w:lang w:val="es-AR"/>
        </w:rPr>
        <w:t>.</w:t>
      </w:r>
    </w:p>
    <w:p w14:paraId="0C5F1D90" w14:textId="5A8B6507" w:rsidR="00AA6EC7" w:rsidRPr="008E3494" w:rsidRDefault="00B77A62">
      <w:pPr>
        <w:pStyle w:val="ListParagraph"/>
        <w:numPr>
          <w:ilvl w:val="0"/>
          <w:numId w:val="9"/>
        </w:numPr>
        <w:spacing w:after="0" w:line="240" w:lineRule="auto"/>
        <w:jc w:val="both"/>
        <w:rPr>
          <w:rFonts w:ascii="Arial" w:eastAsia="Arial" w:hAnsi="Arial" w:cs="Arial"/>
          <w:lang w:val="es-AR"/>
        </w:rPr>
      </w:pPr>
      <w:r w:rsidRPr="008E3494">
        <w:rPr>
          <w:rFonts w:ascii="Arial" w:eastAsia="Arial" w:hAnsi="Arial" w:cs="Arial"/>
          <w:b/>
          <w:lang w:val="es-AR"/>
        </w:rPr>
        <w:t>Análisis de la gestión del p</w:t>
      </w:r>
      <w:r w:rsidR="007F5B37" w:rsidRPr="008E3494">
        <w:rPr>
          <w:rFonts w:ascii="Arial" w:eastAsia="Arial" w:hAnsi="Arial" w:cs="Arial"/>
          <w:b/>
          <w:lang w:val="es-AR"/>
        </w:rPr>
        <w:t>rograma:</w:t>
      </w:r>
      <w:r w:rsidR="007F5B37" w:rsidRPr="008E3494">
        <w:rPr>
          <w:rFonts w:ascii="Arial" w:eastAsia="Arial" w:hAnsi="Arial" w:cs="Arial"/>
          <w:lang w:val="es-AR"/>
        </w:rPr>
        <w:t xml:space="preserve"> incluyendo el nivel de fortalec</w:t>
      </w:r>
      <w:r w:rsidRPr="008E3494">
        <w:rPr>
          <w:rFonts w:ascii="Arial" w:eastAsia="Arial" w:hAnsi="Arial" w:cs="Arial"/>
          <w:lang w:val="es-AR"/>
        </w:rPr>
        <w:t>imiento institucional alcanzado por el ente ejecutor; así como la i</w:t>
      </w:r>
      <w:r w:rsidR="007F5B37" w:rsidRPr="008E3494">
        <w:rPr>
          <w:rFonts w:ascii="Arial" w:eastAsia="Arial" w:hAnsi="Arial" w:cs="Arial"/>
          <w:lang w:val="es-AR"/>
        </w:rPr>
        <w:t xml:space="preserve">dentificación de los principales problemas y posibles soluciones. </w:t>
      </w:r>
    </w:p>
    <w:p w14:paraId="37FDE47F" w14:textId="77777777" w:rsidR="00AA6EC7" w:rsidRPr="008E3494" w:rsidRDefault="00AA6EC7">
      <w:pPr>
        <w:pStyle w:val="ListParagraph"/>
        <w:spacing w:after="0" w:line="240" w:lineRule="auto"/>
        <w:jc w:val="both"/>
        <w:rPr>
          <w:rFonts w:ascii="Arial" w:eastAsia="Arial" w:hAnsi="Arial" w:cs="Arial"/>
          <w:lang w:val="es-AR"/>
        </w:rPr>
      </w:pPr>
    </w:p>
    <w:p w14:paraId="2233A50B" w14:textId="77777777" w:rsidR="00AA6EC7" w:rsidRPr="008E3494" w:rsidRDefault="00AA6EC7">
      <w:pPr>
        <w:spacing w:after="0" w:line="240" w:lineRule="auto"/>
        <w:jc w:val="both"/>
        <w:rPr>
          <w:rFonts w:ascii="Arial" w:eastAsia="Arial" w:hAnsi="Arial" w:cs="Arial"/>
        </w:rPr>
      </w:pPr>
    </w:p>
    <w:p w14:paraId="324F66B9" w14:textId="08AFAB83" w:rsidR="00AA6EC7" w:rsidRPr="008E3494" w:rsidRDefault="007F5B37">
      <w:pPr>
        <w:spacing w:after="0" w:line="240" w:lineRule="auto"/>
        <w:jc w:val="both"/>
        <w:rPr>
          <w:rFonts w:ascii="Arial" w:eastAsia="Arial" w:hAnsi="Arial" w:cs="Arial"/>
        </w:rPr>
      </w:pPr>
      <w:r w:rsidRPr="008E3494">
        <w:rPr>
          <w:rFonts w:ascii="Arial" w:eastAsia="Arial" w:hAnsi="Arial" w:cs="Arial"/>
        </w:rPr>
        <w:t>Finalmente, la evaluación des</w:t>
      </w:r>
      <w:r w:rsidR="00B77A62" w:rsidRPr="008E3494">
        <w:rPr>
          <w:rFonts w:ascii="Arial" w:eastAsia="Arial" w:hAnsi="Arial" w:cs="Arial"/>
        </w:rPr>
        <w:t>tacará lecciones sobre lo que funciona durante la ejecución del programa</w:t>
      </w:r>
      <w:r w:rsidRPr="008E3494">
        <w:rPr>
          <w:rFonts w:ascii="Arial" w:eastAsia="Arial" w:hAnsi="Arial" w:cs="Arial"/>
        </w:rPr>
        <w:t xml:space="preserve">. </w:t>
      </w:r>
    </w:p>
    <w:p w14:paraId="2B2484E0" w14:textId="77777777" w:rsidR="00AA6EC7" w:rsidRPr="008E3494" w:rsidRDefault="00AA6EC7">
      <w:pPr>
        <w:spacing w:after="0" w:line="240" w:lineRule="auto"/>
        <w:jc w:val="both"/>
        <w:rPr>
          <w:rFonts w:ascii="Arial" w:eastAsia="Arial" w:hAnsi="Arial" w:cs="Arial"/>
        </w:rPr>
      </w:pPr>
    </w:p>
    <w:p w14:paraId="330A4BA9" w14:textId="5D2AC43B" w:rsidR="00AA6EC7" w:rsidRPr="008E3494" w:rsidRDefault="007F5B37">
      <w:pPr>
        <w:spacing w:after="160" w:line="259" w:lineRule="auto"/>
        <w:rPr>
          <w:rFonts w:ascii="Arial" w:eastAsia="Arial" w:hAnsi="Arial" w:cs="Arial"/>
        </w:rPr>
        <w:sectPr w:rsidR="00AA6EC7" w:rsidRPr="008E3494">
          <w:pgSz w:w="12240" w:h="15840"/>
          <w:pgMar w:top="1440" w:right="1440" w:bottom="1440" w:left="1440" w:header="720" w:footer="720" w:gutter="0"/>
          <w:cols w:space="720"/>
          <w:docGrid w:linePitch="360"/>
        </w:sectPr>
      </w:pPr>
      <w:r w:rsidRPr="008E3494">
        <w:rPr>
          <w:rFonts w:ascii="Arial" w:eastAsia="Arial" w:hAnsi="Arial" w:cs="Arial"/>
        </w:rPr>
        <w:t>A continuación, se detallan los indicadores</w:t>
      </w:r>
      <w:r w:rsidR="00B77A62" w:rsidRPr="008E3494">
        <w:rPr>
          <w:rFonts w:ascii="Arial" w:eastAsia="Arial" w:hAnsi="Arial" w:cs="Arial"/>
        </w:rPr>
        <w:t xml:space="preserve"> de resultados y</w:t>
      </w:r>
      <w:r w:rsidRPr="008E3494">
        <w:rPr>
          <w:rFonts w:ascii="Arial" w:eastAsia="Arial" w:hAnsi="Arial" w:cs="Arial"/>
        </w:rPr>
        <w:t xml:space="preserve"> productos que formarán parte de la evaluación:</w:t>
      </w:r>
    </w:p>
    <w:p w14:paraId="4083F498" w14:textId="77777777" w:rsidR="00AA6EC7" w:rsidRPr="008E3494" w:rsidRDefault="007F5B37">
      <w:pPr>
        <w:spacing w:before="240" w:after="240" w:line="240" w:lineRule="auto"/>
        <w:jc w:val="center"/>
        <w:textAlignment w:val="baseline"/>
        <w:rPr>
          <w:rFonts w:ascii="Arial" w:eastAsia="Times New Roman" w:hAnsi="Arial" w:cs="Arial"/>
          <w:sz w:val="24"/>
          <w:szCs w:val="24"/>
        </w:rPr>
      </w:pPr>
      <w:r w:rsidRPr="008E3494">
        <w:rPr>
          <w:rFonts w:ascii="Arial" w:eastAsia="Times New Roman" w:hAnsi="Arial" w:cs="Arial"/>
          <w:b/>
          <w:bCs/>
          <w:smallCaps/>
          <w:color w:val="000000"/>
          <w:sz w:val="20"/>
          <w:szCs w:val="20"/>
        </w:rPr>
        <w:lastRenderedPageBreak/>
        <w:t>Resultados Esperados</w:t>
      </w:r>
    </w:p>
    <w:tbl>
      <w:tblPr>
        <w:tblW w:w="130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1276"/>
        <w:gridCol w:w="141"/>
        <w:gridCol w:w="1134"/>
        <w:gridCol w:w="1276"/>
        <w:gridCol w:w="992"/>
        <w:gridCol w:w="5103"/>
      </w:tblGrid>
      <w:tr w:rsidR="00AA6EC7" w:rsidRPr="008E3494" w14:paraId="733D0272" w14:textId="77777777" w:rsidTr="00673F3C">
        <w:trPr>
          <w:trHeight w:val="1464"/>
          <w:tblHeader/>
        </w:trPr>
        <w:tc>
          <w:tcPr>
            <w:tcW w:w="311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14B4AC1" w14:textId="77777777" w:rsidR="00AA6EC7" w:rsidRPr="008E3494" w:rsidRDefault="007F5B37">
            <w:pPr>
              <w:spacing w:after="0" w:line="240" w:lineRule="auto"/>
              <w:jc w:val="center"/>
              <w:rPr>
                <w:rFonts w:ascii="Arial" w:hAnsi="Arial" w:cs="Arial"/>
                <w:b/>
                <w:sz w:val="20"/>
                <w:szCs w:val="20"/>
                <w:lang w:eastAsia="zh-CN"/>
              </w:rPr>
            </w:pPr>
            <w:r w:rsidRPr="008E3494">
              <w:rPr>
                <w:rFonts w:ascii="Arial" w:hAnsi="Arial" w:cs="Arial"/>
                <w:b/>
                <w:sz w:val="20"/>
                <w:szCs w:val="20"/>
                <w:lang w:eastAsia="zh-CN"/>
              </w:rPr>
              <w:t>Indicadores</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D9D9D9"/>
            <w:textDirection w:val="btLr"/>
            <w:vAlign w:val="center"/>
          </w:tcPr>
          <w:p w14:paraId="607F984A" w14:textId="77777777" w:rsidR="00AA6EC7" w:rsidRPr="008E3494" w:rsidRDefault="007F5B37">
            <w:pPr>
              <w:spacing w:after="0" w:line="240" w:lineRule="auto"/>
              <w:jc w:val="center"/>
              <w:rPr>
                <w:rFonts w:ascii="Arial" w:hAnsi="Arial" w:cs="Arial"/>
                <w:b/>
                <w:sz w:val="20"/>
                <w:szCs w:val="20"/>
                <w:lang w:eastAsia="zh-CN"/>
              </w:rPr>
            </w:pPr>
            <w:r w:rsidRPr="008E3494">
              <w:rPr>
                <w:rFonts w:ascii="Arial" w:hAnsi="Arial" w:cs="Arial"/>
                <w:b/>
                <w:sz w:val="20"/>
                <w:szCs w:val="20"/>
              </w:rPr>
              <w:t>Unidad de medida</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extDirection w:val="btLr"/>
            <w:vAlign w:val="center"/>
          </w:tcPr>
          <w:p w14:paraId="1A024858" w14:textId="77777777" w:rsidR="00AA6EC7" w:rsidRPr="008E3494" w:rsidRDefault="007F5B37">
            <w:pPr>
              <w:spacing w:after="0" w:line="240" w:lineRule="auto"/>
              <w:jc w:val="center"/>
              <w:rPr>
                <w:rFonts w:ascii="Arial" w:hAnsi="Arial" w:cs="Arial"/>
                <w:b/>
                <w:sz w:val="20"/>
                <w:szCs w:val="20"/>
                <w:lang w:eastAsia="zh-CN"/>
              </w:rPr>
            </w:pPr>
            <w:r w:rsidRPr="008E3494">
              <w:rPr>
                <w:rFonts w:ascii="Arial" w:hAnsi="Arial" w:cs="Arial"/>
                <w:b/>
                <w:sz w:val="20"/>
                <w:szCs w:val="20"/>
              </w:rPr>
              <w:t>Línea de base</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extDirection w:val="btLr"/>
            <w:vAlign w:val="center"/>
          </w:tcPr>
          <w:p w14:paraId="649E1C4D" w14:textId="77777777" w:rsidR="00AA6EC7" w:rsidRPr="008E3494" w:rsidRDefault="007F5B37">
            <w:pPr>
              <w:spacing w:after="0" w:line="240" w:lineRule="auto"/>
              <w:jc w:val="center"/>
              <w:rPr>
                <w:rFonts w:ascii="Arial" w:hAnsi="Arial" w:cs="Arial"/>
                <w:b/>
                <w:sz w:val="20"/>
                <w:szCs w:val="20"/>
                <w:lang w:eastAsia="zh-CN"/>
              </w:rPr>
            </w:pPr>
            <w:r w:rsidRPr="008E3494">
              <w:rPr>
                <w:rFonts w:ascii="Arial" w:hAnsi="Arial" w:cs="Arial"/>
                <w:b/>
                <w:sz w:val="20"/>
                <w:szCs w:val="20"/>
              </w:rPr>
              <w:t>Año. Línea base</w:t>
            </w:r>
          </w:p>
        </w:tc>
        <w:tc>
          <w:tcPr>
            <w:tcW w:w="992" w:type="dxa"/>
            <w:tcBorders>
              <w:top w:val="single" w:sz="4" w:space="0" w:color="000000"/>
              <w:left w:val="single" w:sz="4" w:space="0" w:color="000000"/>
              <w:bottom w:val="single" w:sz="4" w:space="0" w:color="000000"/>
              <w:right w:val="single" w:sz="4" w:space="0" w:color="000000"/>
            </w:tcBorders>
            <w:shd w:val="clear" w:color="auto" w:fill="D9D9D9"/>
            <w:textDirection w:val="btLr"/>
            <w:vAlign w:val="center"/>
          </w:tcPr>
          <w:p w14:paraId="20B0A8FD" w14:textId="77777777" w:rsidR="00AA6EC7" w:rsidRPr="008E3494" w:rsidRDefault="007F5B37">
            <w:pPr>
              <w:spacing w:after="0" w:line="240" w:lineRule="auto"/>
              <w:jc w:val="center"/>
              <w:rPr>
                <w:rFonts w:ascii="Arial" w:hAnsi="Arial" w:cs="Arial"/>
                <w:b/>
                <w:sz w:val="20"/>
                <w:szCs w:val="20"/>
                <w:lang w:eastAsia="zh-CN"/>
              </w:rPr>
            </w:pPr>
            <w:r w:rsidRPr="008E3494">
              <w:rPr>
                <w:rFonts w:ascii="Arial" w:hAnsi="Arial" w:cs="Arial"/>
                <w:b/>
                <w:sz w:val="20"/>
                <w:szCs w:val="20"/>
              </w:rPr>
              <w:t>Fin proyecto</w:t>
            </w:r>
          </w:p>
        </w:tc>
        <w:tc>
          <w:tcPr>
            <w:tcW w:w="5103" w:type="dxa"/>
            <w:tcBorders>
              <w:top w:val="single" w:sz="4" w:space="0" w:color="000000"/>
              <w:left w:val="single" w:sz="4" w:space="0" w:color="000000"/>
              <w:bottom w:val="single" w:sz="4" w:space="0" w:color="000000"/>
              <w:right w:val="single" w:sz="4" w:space="0" w:color="auto"/>
            </w:tcBorders>
            <w:shd w:val="clear" w:color="auto" w:fill="D9D9D9"/>
            <w:vAlign w:val="center"/>
          </w:tcPr>
          <w:p w14:paraId="344FC4C8" w14:textId="77777777" w:rsidR="00AA6EC7" w:rsidRPr="008E3494" w:rsidRDefault="007F5B37">
            <w:pPr>
              <w:spacing w:after="0" w:line="240" w:lineRule="auto"/>
              <w:jc w:val="center"/>
              <w:rPr>
                <w:rFonts w:ascii="Arial" w:hAnsi="Arial" w:cs="Arial"/>
                <w:b/>
                <w:sz w:val="20"/>
                <w:szCs w:val="20"/>
                <w:lang w:eastAsia="zh-CN"/>
              </w:rPr>
            </w:pPr>
            <w:r w:rsidRPr="008E3494">
              <w:rPr>
                <w:rFonts w:ascii="Arial" w:hAnsi="Arial" w:cs="Arial"/>
                <w:b/>
                <w:sz w:val="20"/>
                <w:szCs w:val="20"/>
              </w:rPr>
              <w:t>Comentarios/medio de verificación</w:t>
            </w:r>
          </w:p>
        </w:tc>
      </w:tr>
      <w:tr w:rsidR="00AA6EC7" w:rsidRPr="008E3494" w14:paraId="6F71137E" w14:textId="77777777" w:rsidTr="00673F3C">
        <w:trPr>
          <w:trHeight w:val="260"/>
        </w:trPr>
        <w:tc>
          <w:tcPr>
            <w:tcW w:w="13036" w:type="dxa"/>
            <w:gridSpan w:val="7"/>
            <w:tcBorders>
              <w:top w:val="single" w:sz="4" w:space="0" w:color="000000"/>
              <w:left w:val="single" w:sz="4" w:space="0" w:color="000000"/>
              <w:bottom w:val="single" w:sz="4" w:space="0" w:color="000000"/>
              <w:right w:val="single" w:sz="4" w:space="0" w:color="auto"/>
            </w:tcBorders>
            <w:vAlign w:val="center"/>
          </w:tcPr>
          <w:p w14:paraId="0693CECC" w14:textId="77777777" w:rsidR="00AA6EC7" w:rsidRPr="008E3494" w:rsidRDefault="007F5B37">
            <w:pPr>
              <w:spacing w:before="120" w:after="120" w:line="240" w:lineRule="auto"/>
              <w:rPr>
                <w:rFonts w:ascii="Arial" w:hAnsi="Arial" w:cs="Arial"/>
                <w:sz w:val="20"/>
                <w:szCs w:val="20"/>
                <w:lang w:eastAsia="zh-CN"/>
              </w:rPr>
            </w:pPr>
            <w:r w:rsidRPr="008E3494">
              <w:rPr>
                <w:rFonts w:ascii="Arial" w:hAnsi="Arial" w:cs="Arial"/>
                <w:b/>
                <w:caps/>
                <w:sz w:val="20"/>
                <w:szCs w:val="20"/>
                <w:u w:val="single"/>
                <w:lang w:eastAsia="zh-CN"/>
              </w:rPr>
              <w:t>resultado #1: Incremento de viviendas adecuadas (ZONAS RURAL Y URBANO-MARGINAL)</w:t>
            </w:r>
          </w:p>
        </w:tc>
      </w:tr>
      <w:tr w:rsidR="00AA6EC7" w:rsidRPr="008E3494" w14:paraId="63923C0D" w14:textId="77777777" w:rsidTr="00673F3C">
        <w:trPr>
          <w:trHeight w:val="547"/>
        </w:trPr>
        <w:tc>
          <w:tcPr>
            <w:tcW w:w="3114" w:type="dxa"/>
            <w:tcBorders>
              <w:top w:val="single" w:sz="4" w:space="0" w:color="000000"/>
              <w:left w:val="single" w:sz="4" w:space="0" w:color="000000"/>
              <w:bottom w:val="single" w:sz="4" w:space="0" w:color="000000"/>
              <w:right w:val="single" w:sz="4" w:space="0" w:color="000000"/>
            </w:tcBorders>
            <w:vAlign w:val="center"/>
          </w:tcPr>
          <w:p w14:paraId="6005A921" w14:textId="77777777" w:rsidR="00AA6EC7" w:rsidRPr="008E3494" w:rsidRDefault="007F5B37" w:rsidP="00810CA4">
            <w:pPr>
              <w:spacing w:after="0" w:line="240" w:lineRule="auto"/>
              <w:rPr>
                <w:rFonts w:ascii="Arial" w:hAnsi="Arial" w:cs="Arial"/>
                <w:sz w:val="20"/>
                <w:szCs w:val="20"/>
                <w:lang w:eastAsia="zh-CN"/>
              </w:rPr>
            </w:pPr>
            <w:r w:rsidRPr="008E3494">
              <w:rPr>
                <w:rFonts w:ascii="Arial" w:hAnsi="Arial" w:cs="Arial"/>
                <w:sz w:val="20"/>
                <w:szCs w:val="20"/>
                <w:lang w:eastAsia="zh-CN"/>
              </w:rPr>
              <w:t xml:space="preserve">Número de hogares beneficiarios con vivienda nueva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5436479B" w14:textId="77777777" w:rsidR="00AA6EC7" w:rsidRPr="008E3494" w:rsidRDefault="007F5B37" w:rsidP="00810CA4">
            <w:pPr>
              <w:spacing w:after="0" w:line="240" w:lineRule="auto"/>
              <w:jc w:val="center"/>
              <w:rPr>
                <w:rFonts w:ascii="Arial" w:hAnsi="Arial" w:cs="Arial"/>
                <w:sz w:val="20"/>
                <w:szCs w:val="20"/>
                <w:lang w:eastAsia="zh-CN"/>
              </w:rPr>
            </w:pPr>
            <w:r w:rsidRPr="008E3494">
              <w:rPr>
                <w:rFonts w:ascii="Arial" w:hAnsi="Arial" w:cs="Arial"/>
                <w:sz w:val="20"/>
                <w:szCs w:val="20"/>
                <w:lang w:eastAsia="zh-CN"/>
              </w:rPr>
              <w:t>Número</w:t>
            </w:r>
          </w:p>
        </w:tc>
        <w:tc>
          <w:tcPr>
            <w:tcW w:w="1134" w:type="dxa"/>
            <w:tcBorders>
              <w:top w:val="single" w:sz="4" w:space="0" w:color="000000"/>
              <w:left w:val="single" w:sz="4" w:space="0" w:color="000000"/>
              <w:bottom w:val="single" w:sz="4" w:space="0" w:color="000000"/>
              <w:right w:val="single" w:sz="4" w:space="0" w:color="000000"/>
            </w:tcBorders>
            <w:vAlign w:val="center"/>
          </w:tcPr>
          <w:p w14:paraId="4165DF5F" w14:textId="77777777" w:rsidR="00AA6EC7" w:rsidRPr="008E3494" w:rsidRDefault="007F5B37" w:rsidP="00810CA4">
            <w:pPr>
              <w:spacing w:after="0" w:line="240" w:lineRule="auto"/>
              <w:jc w:val="center"/>
              <w:rPr>
                <w:rFonts w:ascii="Arial" w:hAnsi="Arial" w:cs="Arial"/>
                <w:sz w:val="20"/>
                <w:szCs w:val="20"/>
                <w:lang w:eastAsia="zh-CN"/>
              </w:rPr>
            </w:pPr>
            <w:r w:rsidRPr="008E3494">
              <w:rPr>
                <w:rFonts w:ascii="Arial" w:hAnsi="Arial" w:cs="Arial"/>
                <w:sz w:val="20"/>
                <w:szCs w:val="20"/>
                <w:lang w:eastAsia="zh-CN"/>
              </w:rPr>
              <w:t>0</w:t>
            </w:r>
          </w:p>
        </w:tc>
        <w:tc>
          <w:tcPr>
            <w:tcW w:w="1276" w:type="dxa"/>
            <w:tcBorders>
              <w:top w:val="single" w:sz="4" w:space="0" w:color="000000"/>
              <w:left w:val="single" w:sz="4" w:space="0" w:color="000000"/>
              <w:bottom w:val="single" w:sz="4" w:space="0" w:color="000000"/>
              <w:right w:val="single" w:sz="4" w:space="0" w:color="000000"/>
            </w:tcBorders>
            <w:vAlign w:val="center"/>
          </w:tcPr>
          <w:p w14:paraId="7C372616" w14:textId="77777777" w:rsidR="00AA6EC7" w:rsidRPr="008E3494" w:rsidRDefault="007F5B37" w:rsidP="00810CA4">
            <w:pPr>
              <w:spacing w:after="0" w:line="240" w:lineRule="auto"/>
              <w:jc w:val="center"/>
              <w:rPr>
                <w:rFonts w:ascii="Arial" w:hAnsi="Arial" w:cs="Arial"/>
                <w:i/>
                <w:sz w:val="20"/>
                <w:szCs w:val="20"/>
                <w:lang w:eastAsia="zh-CN"/>
              </w:rPr>
            </w:pPr>
            <w:r w:rsidRPr="008E3494">
              <w:rPr>
                <w:rFonts w:ascii="Arial" w:hAnsi="Arial" w:cs="Arial"/>
                <w:sz w:val="20"/>
                <w:szCs w:val="20"/>
                <w:lang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6ABD0D61" w14:textId="77777777" w:rsidR="00AA6EC7" w:rsidRPr="008E3494" w:rsidRDefault="007F5B37" w:rsidP="00810CA4">
            <w:pPr>
              <w:spacing w:after="0" w:line="240" w:lineRule="auto"/>
              <w:jc w:val="center"/>
              <w:rPr>
                <w:rFonts w:ascii="Arial" w:hAnsi="Arial" w:cs="Arial"/>
                <w:sz w:val="20"/>
                <w:szCs w:val="20"/>
                <w:lang w:eastAsia="zh-CN"/>
              </w:rPr>
            </w:pPr>
            <w:r w:rsidRPr="008E3494">
              <w:rPr>
                <w:rFonts w:ascii="Arial" w:hAnsi="Arial" w:cs="Arial"/>
                <w:sz w:val="20"/>
                <w:szCs w:val="20"/>
                <w:lang w:eastAsia="zh-CN"/>
              </w:rPr>
              <w:t>4.200</w:t>
            </w:r>
          </w:p>
        </w:tc>
        <w:tc>
          <w:tcPr>
            <w:tcW w:w="5103" w:type="dxa"/>
            <w:tcBorders>
              <w:top w:val="single" w:sz="4" w:space="0" w:color="000000"/>
              <w:left w:val="single" w:sz="4" w:space="0" w:color="000000"/>
              <w:bottom w:val="single" w:sz="4" w:space="0" w:color="000000"/>
              <w:right w:val="single" w:sz="4" w:space="0" w:color="auto"/>
            </w:tcBorders>
            <w:vAlign w:val="center"/>
          </w:tcPr>
          <w:p w14:paraId="18D779B1" w14:textId="2A547815" w:rsidR="005F57AD" w:rsidRPr="008E3494" w:rsidRDefault="005F57AD" w:rsidP="00810CA4">
            <w:pPr>
              <w:spacing w:after="0" w:line="240" w:lineRule="auto"/>
              <w:rPr>
                <w:rFonts w:ascii="Arial" w:hAnsi="Arial" w:cs="Arial"/>
                <w:b/>
                <w:sz w:val="20"/>
                <w:szCs w:val="20"/>
                <w:lang w:eastAsia="zh-CN"/>
              </w:rPr>
            </w:pPr>
            <w:r w:rsidRPr="008E3494">
              <w:rPr>
                <w:rFonts w:ascii="Arial" w:hAnsi="Arial" w:cs="Arial"/>
                <w:b/>
                <w:sz w:val="20"/>
                <w:szCs w:val="20"/>
                <w:lang w:eastAsia="zh-CN"/>
              </w:rPr>
              <w:t>Medios de verificación:</w:t>
            </w:r>
          </w:p>
          <w:p w14:paraId="71B737F3" w14:textId="77777777" w:rsidR="00AA6EC7" w:rsidRPr="008E3494" w:rsidRDefault="007F5B37" w:rsidP="00810CA4">
            <w:pPr>
              <w:spacing w:after="0" w:line="240" w:lineRule="auto"/>
              <w:rPr>
                <w:rFonts w:ascii="Arial" w:hAnsi="Arial" w:cs="Arial"/>
                <w:sz w:val="20"/>
                <w:szCs w:val="20"/>
                <w:lang w:eastAsia="zh-CN"/>
              </w:rPr>
            </w:pPr>
            <w:r w:rsidRPr="008E3494">
              <w:rPr>
                <w:rFonts w:ascii="Arial" w:hAnsi="Arial" w:cs="Arial"/>
                <w:sz w:val="20"/>
                <w:szCs w:val="20"/>
                <w:lang w:eastAsia="zh-CN"/>
              </w:rPr>
              <w:t>- Reportes (matrices) de seguimiento</w:t>
            </w:r>
          </w:p>
          <w:p w14:paraId="1CEA4CD5" w14:textId="77777777" w:rsidR="00AA6EC7" w:rsidRPr="008E3494" w:rsidRDefault="007F5B37" w:rsidP="00810CA4">
            <w:pPr>
              <w:spacing w:after="0" w:line="240" w:lineRule="auto"/>
              <w:rPr>
                <w:rFonts w:ascii="Arial" w:hAnsi="Arial" w:cs="Arial"/>
                <w:sz w:val="20"/>
                <w:szCs w:val="20"/>
                <w:lang w:eastAsia="zh-CN"/>
              </w:rPr>
            </w:pPr>
            <w:r w:rsidRPr="008E3494">
              <w:rPr>
                <w:rFonts w:ascii="Arial" w:hAnsi="Arial" w:cs="Arial"/>
                <w:sz w:val="20"/>
                <w:szCs w:val="20"/>
                <w:lang w:eastAsia="zh-CN"/>
              </w:rPr>
              <w:t>-  Actas de entrega-recepción</w:t>
            </w:r>
          </w:p>
        </w:tc>
      </w:tr>
      <w:tr w:rsidR="00AA6EC7" w:rsidRPr="008E3494" w14:paraId="7CA72CBF"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7C16B328" w14:textId="77777777" w:rsidR="00AA6EC7" w:rsidRPr="008E3494" w:rsidRDefault="007F5B37" w:rsidP="00810CA4">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Número de hogares beneficiarios con vivienda nueva con conexión a agua</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DE41014" w14:textId="77777777" w:rsidR="00AA6EC7" w:rsidRPr="008E3494" w:rsidRDefault="007F5B37" w:rsidP="00810CA4">
            <w:pPr>
              <w:spacing w:after="0" w:line="240" w:lineRule="auto"/>
              <w:jc w:val="center"/>
              <w:rPr>
                <w:rFonts w:ascii="Arial" w:hAnsi="Arial" w:cs="Arial"/>
                <w:sz w:val="20"/>
                <w:szCs w:val="20"/>
                <w:lang w:eastAsia="zh-CN"/>
              </w:rPr>
            </w:pPr>
            <w:r w:rsidRPr="008E3494">
              <w:rPr>
                <w:rFonts w:ascii="Arial" w:hAnsi="Arial" w:cs="Arial"/>
                <w:sz w:val="20"/>
                <w:szCs w:val="20"/>
                <w:lang w:eastAsia="zh-CN"/>
              </w:rPr>
              <w:t>Número</w:t>
            </w:r>
          </w:p>
        </w:tc>
        <w:tc>
          <w:tcPr>
            <w:tcW w:w="1134" w:type="dxa"/>
            <w:tcBorders>
              <w:top w:val="single" w:sz="4" w:space="0" w:color="000000"/>
              <w:left w:val="single" w:sz="4" w:space="0" w:color="000000"/>
              <w:bottom w:val="single" w:sz="4" w:space="0" w:color="000000"/>
              <w:right w:val="single" w:sz="4" w:space="0" w:color="000000"/>
            </w:tcBorders>
            <w:vAlign w:val="center"/>
          </w:tcPr>
          <w:p w14:paraId="01497D33" w14:textId="77777777" w:rsidR="00AA6EC7" w:rsidRPr="008E3494" w:rsidRDefault="007F5B37" w:rsidP="00810CA4">
            <w:pPr>
              <w:spacing w:after="0" w:line="240" w:lineRule="auto"/>
              <w:jc w:val="center"/>
              <w:rPr>
                <w:rFonts w:ascii="Arial" w:hAnsi="Arial" w:cs="Arial"/>
                <w:sz w:val="20"/>
                <w:szCs w:val="20"/>
                <w:lang w:eastAsia="zh-CN"/>
              </w:rPr>
            </w:pPr>
            <w:r w:rsidRPr="008E3494">
              <w:rPr>
                <w:rFonts w:ascii="Arial" w:hAnsi="Arial" w:cs="Arial"/>
                <w:sz w:val="20"/>
                <w:szCs w:val="20"/>
                <w:lang w:eastAsia="zh-CN"/>
              </w:rPr>
              <w:t>0</w:t>
            </w:r>
          </w:p>
        </w:tc>
        <w:tc>
          <w:tcPr>
            <w:tcW w:w="1276" w:type="dxa"/>
            <w:tcBorders>
              <w:top w:val="single" w:sz="4" w:space="0" w:color="000000"/>
              <w:left w:val="single" w:sz="4" w:space="0" w:color="000000"/>
              <w:bottom w:val="single" w:sz="4" w:space="0" w:color="000000"/>
              <w:right w:val="single" w:sz="4" w:space="0" w:color="000000"/>
            </w:tcBorders>
            <w:vAlign w:val="center"/>
          </w:tcPr>
          <w:p w14:paraId="7B54CE43" w14:textId="77777777" w:rsidR="00AA6EC7" w:rsidRPr="008E3494" w:rsidRDefault="007F5B37" w:rsidP="00810CA4">
            <w:pPr>
              <w:spacing w:after="0" w:line="240" w:lineRule="auto"/>
              <w:jc w:val="center"/>
              <w:rPr>
                <w:rFonts w:ascii="Arial" w:hAnsi="Arial" w:cs="Arial"/>
                <w:i/>
                <w:sz w:val="20"/>
                <w:szCs w:val="20"/>
                <w:lang w:eastAsia="zh-CN"/>
              </w:rPr>
            </w:pPr>
            <w:r w:rsidRPr="008E3494">
              <w:rPr>
                <w:rFonts w:ascii="Arial" w:hAnsi="Arial" w:cs="Arial"/>
                <w:sz w:val="20"/>
                <w:szCs w:val="20"/>
                <w:lang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7F79DE24" w14:textId="31E71A9C" w:rsidR="00AA6EC7" w:rsidRPr="008E3494" w:rsidRDefault="00D14EDB" w:rsidP="00810CA4">
            <w:pPr>
              <w:spacing w:after="0" w:line="240" w:lineRule="auto"/>
              <w:jc w:val="center"/>
              <w:rPr>
                <w:rFonts w:ascii="Arial" w:hAnsi="Arial" w:cs="Arial"/>
                <w:sz w:val="20"/>
                <w:szCs w:val="20"/>
                <w:lang w:eastAsia="zh-CN"/>
              </w:rPr>
            </w:pPr>
            <w:r w:rsidRPr="008E3494">
              <w:rPr>
                <w:rFonts w:ascii="Arial" w:hAnsi="Arial" w:cs="Arial"/>
                <w:sz w:val="20"/>
                <w:szCs w:val="20"/>
                <w:lang w:eastAsia="zh-CN"/>
              </w:rPr>
              <w:t>2.1</w:t>
            </w:r>
            <w:r w:rsidR="007F5B37" w:rsidRPr="008E3494">
              <w:rPr>
                <w:rFonts w:ascii="Arial" w:hAnsi="Arial" w:cs="Arial"/>
                <w:sz w:val="20"/>
                <w:szCs w:val="20"/>
                <w:lang w:eastAsia="zh-CN"/>
              </w:rPr>
              <w:t>00</w:t>
            </w:r>
          </w:p>
        </w:tc>
        <w:tc>
          <w:tcPr>
            <w:tcW w:w="5103" w:type="dxa"/>
            <w:tcBorders>
              <w:top w:val="single" w:sz="4" w:space="0" w:color="000000"/>
              <w:left w:val="single" w:sz="4" w:space="0" w:color="000000"/>
              <w:bottom w:val="single" w:sz="4" w:space="0" w:color="000000"/>
              <w:right w:val="single" w:sz="4" w:space="0" w:color="auto"/>
            </w:tcBorders>
            <w:vAlign w:val="center"/>
          </w:tcPr>
          <w:p w14:paraId="22CEEE06" w14:textId="60EACC80" w:rsidR="00792237" w:rsidRPr="008E3494" w:rsidRDefault="00792237" w:rsidP="00792237">
            <w:pPr>
              <w:pStyle w:val="CommentText"/>
              <w:jc w:val="both"/>
              <w:rPr>
                <w:rFonts w:ascii="Arial" w:eastAsia="Calibri" w:hAnsi="Arial" w:cs="Arial"/>
              </w:rPr>
            </w:pPr>
            <w:r w:rsidRPr="008E3494">
              <w:rPr>
                <w:rFonts w:ascii="Arial" w:hAnsi="Arial" w:cs="Arial"/>
              </w:rPr>
              <w:t>Solamente las viviendas de zonas rurales van a poder aplicar a un subsidio extra de $ 1.500 para la conexión a agua (elegibles para subsidio extra).</w:t>
            </w:r>
          </w:p>
          <w:p w14:paraId="4730A3CA" w14:textId="77777777" w:rsidR="00792237" w:rsidRPr="008E3494" w:rsidRDefault="00792237" w:rsidP="005F57AD">
            <w:pPr>
              <w:spacing w:after="0" w:line="240" w:lineRule="auto"/>
              <w:rPr>
                <w:rFonts w:ascii="Arial" w:hAnsi="Arial" w:cs="Arial"/>
                <w:b/>
                <w:sz w:val="20"/>
                <w:szCs w:val="20"/>
                <w:lang w:eastAsia="zh-CN"/>
              </w:rPr>
            </w:pPr>
          </w:p>
          <w:p w14:paraId="30084AF2" w14:textId="77777777" w:rsidR="00792237" w:rsidRPr="008E3494" w:rsidRDefault="00792237" w:rsidP="005F57AD">
            <w:pPr>
              <w:spacing w:after="0" w:line="240" w:lineRule="auto"/>
              <w:rPr>
                <w:rFonts w:ascii="Arial" w:hAnsi="Arial" w:cs="Arial"/>
                <w:b/>
                <w:sz w:val="20"/>
                <w:szCs w:val="20"/>
                <w:lang w:eastAsia="zh-CN"/>
              </w:rPr>
            </w:pPr>
          </w:p>
          <w:p w14:paraId="105FE0CD" w14:textId="77777777" w:rsidR="005F57AD" w:rsidRPr="008E3494" w:rsidRDefault="005F57AD" w:rsidP="005F57AD">
            <w:pPr>
              <w:spacing w:after="0" w:line="240" w:lineRule="auto"/>
              <w:rPr>
                <w:rFonts w:ascii="Arial" w:hAnsi="Arial" w:cs="Arial"/>
                <w:b/>
                <w:sz w:val="20"/>
                <w:szCs w:val="20"/>
                <w:lang w:eastAsia="zh-CN"/>
              </w:rPr>
            </w:pPr>
            <w:r w:rsidRPr="008E3494">
              <w:rPr>
                <w:rFonts w:ascii="Arial" w:hAnsi="Arial" w:cs="Arial"/>
                <w:b/>
                <w:sz w:val="20"/>
                <w:szCs w:val="20"/>
                <w:lang w:eastAsia="zh-CN"/>
              </w:rPr>
              <w:t>Medios de verificación:</w:t>
            </w:r>
          </w:p>
          <w:p w14:paraId="014C15ED" w14:textId="77777777" w:rsidR="00AA6EC7" w:rsidRPr="008E3494" w:rsidRDefault="007F5B37" w:rsidP="00810CA4">
            <w:pPr>
              <w:spacing w:after="0" w:line="240" w:lineRule="auto"/>
              <w:rPr>
                <w:rFonts w:ascii="Arial" w:hAnsi="Arial" w:cs="Arial"/>
                <w:sz w:val="20"/>
                <w:szCs w:val="20"/>
                <w:lang w:eastAsia="zh-CN"/>
              </w:rPr>
            </w:pPr>
            <w:r w:rsidRPr="008E3494">
              <w:rPr>
                <w:rFonts w:ascii="Arial" w:hAnsi="Arial" w:cs="Arial"/>
                <w:sz w:val="20"/>
                <w:szCs w:val="20"/>
                <w:lang w:eastAsia="zh-CN"/>
              </w:rPr>
              <w:t>- Reportes (matrices) de seguimiento</w:t>
            </w:r>
          </w:p>
          <w:p w14:paraId="5EF1C88A" w14:textId="77777777" w:rsidR="00AA6EC7" w:rsidRPr="008E3494" w:rsidRDefault="007F5B37" w:rsidP="00810CA4">
            <w:pPr>
              <w:spacing w:after="0" w:line="240" w:lineRule="auto"/>
              <w:rPr>
                <w:rFonts w:ascii="Arial" w:hAnsi="Arial" w:cs="Arial"/>
                <w:b/>
                <w:sz w:val="20"/>
                <w:szCs w:val="20"/>
                <w:lang w:eastAsia="zh-CN"/>
              </w:rPr>
            </w:pPr>
            <w:r w:rsidRPr="008E3494">
              <w:rPr>
                <w:rFonts w:ascii="Arial" w:hAnsi="Arial" w:cs="Arial"/>
                <w:sz w:val="20"/>
                <w:szCs w:val="20"/>
                <w:lang w:eastAsia="zh-CN"/>
              </w:rPr>
              <w:t>-  Actas de entrega-recepción</w:t>
            </w:r>
          </w:p>
        </w:tc>
      </w:tr>
      <w:tr w:rsidR="00AA6EC7" w:rsidRPr="008E3494" w14:paraId="472F0F4B" w14:textId="77777777" w:rsidTr="00673F3C">
        <w:trPr>
          <w:trHeight w:val="64"/>
        </w:trPr>
        <w:tc>
          <w:tcPr>
            <w:tcW w:w="13036" w:type="dxa"/>
            <w:gridSpan w:val="7"/>
            <w:tcBorders>
              <w:top w:val="single" w:sz="4" w:space="0" w:color="000000"/>
              <w:left w:val="single" w:sz="4" w:space="0" w:color="000000"/>
              <w:bottom w:val="single" w:sz="4" w:space="0" w:color="000000"/>
              <w:right w:val="single" w:sz="4" w:space="0" w:color="auto"/>
            </w:tcBorders>
            <w:vAlign w:val="center"/>
          </w:tcPr>
          <w:p w14:paraId="346CA628" w14:textId="77777777" w:rsidR="00AA6EC7" w:rsidRPr="008E3494" w:rsidRDefault="007F5B37">
            <w:pPr>
              <w:spacing w:before="120" w:after="120" w:line="240" w:lineRule="auto"/>
              <w:rPr>
                <w:rFonts w:ascii="Arial" w:hAnsi="Arial" w:cs="Arial"/>
                <w:b/>
                <w:sz w:val="20"/>
                <w:szCs w:val="20"/>
                <w:lang w:eastAsia="zh-CN"/>
              </w:rPr>
            </w:pPr>
            <w:r w:rsidRPr="008E3494">
              <w:rPr>
                <w:rFonts w:ascii="Arial" w:hAnsi="Arial" w:cs="Arial"/>
                <w:b/>
                <w:bCs/>
                <w:color w:val="000000"/>
              </w:rPr>
              <w:t>Resultado #1.1: Reducir déficit habitacional en zona rural y urbano-marginal.</w:t>
            </w:r>
          </w:p>
        </w:tc>
      </w:tr>
      <w:tr w:rsidR="00AA6EC7" w:rsidRPr="008E3494" w14:paraId="4BC09717"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736A8403" w14:textId="77777777" w:rsidR="00AA6EC7" w:rsidRPr="008E3494" w:rsidRDefault="007F5B37" w:rsidP="005F57AD">
            <w:pPr>
              <w:spacing w:after="0" w:line="240" w:lineRule="auto"/>
              <w:rPr>
                <w:rFonts w:ascii="Arial" w:hAnsi="Arial" w:cs="Arial"/>
                <w:color w:val="000000"/>
                <w:sz w:val="20"/>
                <w:szCs w:val="20"/>
                <w:lang w:eastAsia="es-EC"/>
              </w:rPr>
            </w:pPr>
            <w:r w:rsidRPr="008E3494">
              <w:rPr>
                <w:rFonts w:ascii="Arial" w:hAnsi="Arial" w:cs="Arial"/>
                <w:color w:val="000000"/>
                <w:sz w:val="20"/>
                <w:szCs w:val="20"/>
              </w:rPr>
              <w:t>Reducción de porcentaje déficit habitacional cuantitativo</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58576A23" w14:textId="77777777" w:rsidR="00AA6EC7" w:rsidRPr="008E3494" w:rsidRDefault="007F5B37" w:rsidP="005F57AD">
            <w:pPr>
              <w:spacing w:after="0" w:line="240" w:lineRule="auto"/>
              <w:jc w:val="center"/>
              <w:rPr>
                <w:rFonts w:ascii="Arial" w:hAnsi="Arial" w:cs="Arial"/>
                <w:sz w:val="20"/>
                <w:szCs w:val="20"/>
                <w:lang w:eastAsia="zh-CN"/>
              </w:rPr>
            </w:pPr>
            <w:r w:rsidRPr="008E3494">
              <w:rPr>
                <w:rFonts w:ascii="Arial" w:hAnsi="Arial" w:cs="Arial"/>
                <w:sz w:val="20"/>
                <w:szCs w:val="20"/>
                <w:lang w:eastAsia="zh-CN"/>
              </w:rPr>
              <w:t>Porcentaje</w:t>
            </w:r>
          </w:p>
        </w:tc>
        <w:tc>
          <w:tcPr>
            <w:tcW w:w="1134" w:type="dxa"/>
            <w:tcBorders>
              <w:top w:val="single" w:sz="4" w:space="0" w:color="000000"/>
              <w:left w:val="single" w:sz="4" w:space="0" w:color="000000"/>
              <w:bottom w:val="single" w:sz="4" w:space="0" w:color="000000"/>
              <w:right w:val="single" w:sz="4" w:space="0" w:color="000000"/>
            </w:tcBorders>
            <w:vAlign w:val="center"/>
          </w:tcPr>
          <w:p w14:paraId="2C8FB514" w14:textId="77777777" w:rsidR="00AA6EC7" w:rsidRPr="008E3494" w:rsidRDefault="007F5B37" w:rsidP="005F57AD">
            <w:pPr>
              <w:spacing w:after="0" w:line="240" w:lineRule="auto"/>
              <w:jc w:val="center"/>
              <w:rPr>
                <w:rFonts w:ascii="Arial" w:hAnsi="Arial" w:cs="Arial"/>
                <w:i/>
                <w:sz w:val="20"/>
                <w:szCs w:val="20"/>
                <w:lang w:eastAsia="zh-CN"/>
              </w:rPr>
            </w:pPr>
            <w:r w:rsidRPr="008E3494">
              <w:rPr>
                <w:rFonts w:ascii="Arial" w:hAnsi="Arial" w:cs="Arial"/>
                <w:iCs/>
                <w:sz w:val="20"/>
                <w:szCs w:val="20"/>
                <w:lang w:eastAsia="zh-CN"/>
              </w:rPr>
              <w:t>25,9%</w:t>
            </w:r>
          </w:p>
        </w:tc>
        <w:tc>
          <w:tcPr>
            <w:tcW w:w="1276" w:type="dxa"/>
            <w:tcBorders>
              <w:top w:val="single" w:sz="4" w:space="0" w:color="000000"/>
              <w:left w:val="single" w:sz="4" w:space="0" w:color="000000"/>
              <w:bottom w:val="single" w:sz="4" w:space="0" w:color="000000"/>
              <w:right w:val="single" w:sz="4" w:space="0" w:color="000000"/>
            </w:tcBorders>
            <w:vAlign w:val="center"/>
          </w:tcPr>
          <w:p w14:paraId="20229D7B" w14:textId="77777777" w:rsidR="00AA6EC7" w:rsidRPr="008E3494" w:rsidRDefault="007F5B37" w:rsidP="005F57AD">
            <w:pPr>
              <w:spacing w:after="0" w:line="240" w:lineRule="auto"/>
              <w:jc w:val="center"/>
              <w:rPr>
                <w:rFonts w:ascii="Arial" w:hAnsi="Arial" w:cs="Arial"/>
                <w:iCs/>
                <w:sz w:val="20"/>
                <w:szCs w:val="20"/>
                <w:lang w:eastAsia="zh-CN"/>
              </w:rPr>
            </w:pPr>
            <w:r w:rsidRPr="008E3494">
              <w:rPr>
                <w:rFonts w:ascii="Arial" w:hAnsi="Arial" w:cs="Arial"/>
                <w:iCs/>
                <w:sz w:val="20"/>
                <w:szCs w:val="20"/>
                <w:lang w:eastAsia="zh-CN"/>
              </w:rPr>
              <w:t>2017</w:t>
            </w:r>
          </w:p>
          <w:p w14:paraId="6B0029A9" w14:textId="77777777" w:rsidR="00AA6EC7" w:rsidRPr="008E3494" w:rsidRDefault="007F5B37" w:rsidP="005F57AD">
            <w:pPr>
              <w:spacing w:after="0" w:line="240" w:lineRule="auto"/>
              <w:jc w:val="center"/>
              <w:rPr>
                <w:rFonts w:ascii="Arial" w:hAnsi="Arial" w:cs="Arial"/>
                <w:i/>
                <w:sz w:val="20"/>
                <w:szCs w:val="20"/>
                <w:lang w:eastAsia="zh-CN"/>
              </w:rPr>
            </w:pPr>
            <w:r w:rsidRPr="008E3494">
              <w:rPr>
                <w:rFonts w:ascii="Arial" w:hAnsi="Arial" w:cs="Arial"/>
                <w:iCs/>
                <w:sz w:val="20"/>
                <w:szCs w:val="20"/>
                <w:lang w:eastAsia="zh-CN"/>
              </w:rPr>
              <w:t>(Diciembre)</w:t>
            </w:r>
          </w:p>
        </w:tc>
        <w:tc>
          <w:tcPr>
            <w:tcW w:w="992" w:type="dxa"/>
            <w:tcBorders>
              <w:top w:val="single" w:sz="4" w:space="0" w:color="000000"/>
              <w:left w:val="single" w:sz="4" w:space="0" w:color="000000"/>
              <w:bottom w:val="single" w:sz="4" w:space="0" w:color="000000"/>
              <w:right w:val="single" w:sz="4" w:space="0" w:color="000000"/>
            </w:tcBorders>
            <w:vAlign w:val="center"/>
          </w:tcPr>
          <w:p w14:paraId="004B1828" w14:textId="77777777" w:rsidR="00AA6EC7" w:rsidRPr="008E3494" w:rsidRDefault="007F5B37" w:rsidP="005F57AD">
            <w:pPr>
              <w:spacing w:after="0" w:line="240" w:lineRule="auto"/>
              <w:jc w:val="center"/>
              <w:rPr>
                <w:rFonts w:ascii="Arial" w:hAnsi="Arial" w:cs="Arial"/>
                <w:i/>
                <w:sz w:val="20"/>
                <w:szCs w:val="20"/>
                <w:lang w:eastAsia="zh-CN"/>
              </w:rPr>
            </w:pPr>
            <w:r w:rsidRPr="008E3494">
              <w:rPr>
                <w:rFonts w:ascii="Arial" w:eastAsia="SimSun" w:hAnsi="Arial" w:cs="Arial"/>
                <w:iCs/>
                <w:color w:val="000000"/>
                <w:sz w:val="20"/>
                <w:szCs w:val="20"/>
                <w:lang w:eastAsia="zh-CN" w:bidi="ar"/>
              </w:rPr>
              <w:t>20,72%</w:t>
            </w:r>
          </w:p>
        </w:tc>
        <w:tc>
          <w:tcPr>
            <w:tcW w:w="5103" w:type="dxa"/>
            <w:tcBorders>
              <w:top w:val="single" w:sz="4" w:space="0" w:color="000000"/>
              <w:left w:val="single" w:sz="4" w:space="0" w:color="000000"/>
              <w:bottom w:val="single" w:sz="4" w:space="0" w:color="000000"/>
              <w:right w:val="single" w:sz="4" w:space="0" w:color="auto"/>
            </w:tcBorders>
            <w:vAlign w:val="center"/>
          </w:tcPr>
          <w:p w14:paraId="3068D07A" w14:textId="45F5A493" w:rsidR="005F57AD" w:rsidRPr="008E3494" w:rsidRDefault="00563917" w:rsidP="005F57AD">
            <w:pPr>
              <w:spacing w:after="0" w:line="240" w:lineRule="auto"/>
              <w:rPr>
                <w:rFonts w:ascii="Arial" w:hAnsi="Arial" w:cs="Arial"/>
                <w:b/>
                <w:sz w:val="20"/>
                <w:szCs w:val="20"/>
                <w:lang w:eastAsia="zh-CN"/>
              </w:rPr>
            </w:pPr>
            <w:r w:rsidRPr="008E3494">
              <w:rPr>
                <w:rFonts w:ascii="Arial" w:hAnsi="Arial" w:cs="Arial"/>
                <w:b/>
                <w:sz w:val="20"/>
                <w:szCs w:val="20"/>
                <w:lang w:eastAsia="zh-CN"/>
              </w:rPr>
              <w:t>Medio</w:t>
            </w:r>
            <w:r w:rsidR="005F57AD" w:rsidRPr="008E3494">
              <w:rPr>
                <w:rFonts w:ascii="Arial" w:hAnsi="Arial" w:cs="Arial"/>
                <w:b/>
                <w:sz w:val="20"/>
                <w:szCs w:val="20"/>
                <w:lang w:eastAsia="zh-CN"/>
              </w:rPr>
              <w:t xml:space="preserve"> de verificación:</w:t>
            </w:r>
          </w:p>
          <w:p w14:paraId="5BEA6F67" w14:textId="77777777" w:rsidR="00AA6EC7" w:rsidRPr="008E3494" w:rsidRDefault="007F5B37" w:rsidP="005F57AD">
            <w:pPr>
              <w:spacing w:after="0" w:line="240" w:lineRule="auto"/>
              <w:rPr>
                <w:rFonts w:ascii="Arial" w:hAnsi="Arial" w:cs="Arial"/>
                <w:b/>
                <w:sz w:val="20"/>
                <w:szCs w:val="20"/>
                <w:lang w:eastAsia="zh-CN"/>
              </w:rPr>
            </w:pPr>
            <w:r w:rsidRPr="008E3494">
              <w:rPr>
                <w:rFonts w:ascii="Arial" w:hAnsi="Arial" w:cs="Arial"/>
                <w:sz w:val="20"/>
                <w:szCs w:val="20"/>
                <w:lang w:eastAsia="zh-CN"/>
              </w:rPr>
              <w:t xml:space="preserve">Encuesta Nacional de Empleo, Desempleo y subempleo - ENEMDU </w:t>
            </w:r>
          </w:p>
        </w:tc>
      </w:tr>
      <w:tr w:rsidR="00AA6EC7" w:rsidRPr="008E3494" w14:paraId="2BD75369" w14:textId="77777777" w:rsidTr="00673F3C">
        <w:trPr>
          <w:trHeight w:val="64"/>
        </w:trPr>
        <w:tc>
          <w:tcPr>
            <w:tcW w:w="13036" w:type="dxa"/>
            <w:gridSpan w:val="7"/>
            <w:tcBorders>
              <w:top w:val="single" w:sz="4" w:space="0" w:color="000000"/>
              <w:left w:val="single" w:sz="4" w:space="0" w:color="000000"/>
              <w:bottom w:val="single" w:sz="4" w:space="0" w:color="000000"/>
              <w:right w:val="single" w:sz="4" w:space="0" w:color="auto"/>
            </w:tcBorders>
            <w:vAlign w:val="center"/>
          </w:tcPr>
          <w:p w14:paraId="367118F6" w14:textId="246F8792" w:rsidR="00AA6EC7" w:rsidRPr="008E3494" w:rsidRDefault="007F5B37" w:rsidP="00BC769D">
            <w:pPr>
              <w:spacing w:before="120" w:after="120" w:line="240" w:lineRule="auto"/>
              <w:rPr>
                <w:rFonts w:ascii="Arial" w:hAnsi="Arial" w:cs="Arial"/>
                <w:b/>
                <w:sz w:val="20"/>
                <w:szCs w:val="20"/>
                <w:lang w:eastAsia="zh-CN"/>
              </w:rPr>
            </w:pPr>
            <w:r w:rsidRPr="008E3494">
              <w:rPr>
                <w:rFonts w:ascii="Arial" w:hAnsi="Arial" w:cs="Arial"/>
                <w:b/>
                <w:bCs/>
                <w:color w:val="000000"/>
              </w:rPr>
              <w:t xml:space="preserve">Resultado #1.2: </w:t>
            </w:r>
            <w:r w:rsidR="00BC769D" w:rsidRPr="008E3494">
              <w:rPr>
                <w:rFonts w:ascii="Arial" w:hAnsi="Arial" w:cs="Arial"/>
                <w:b/>
                <w:bCs/>
                <w:color w:val="000000"/>
              </w:rPr>
              <w:t>Reducción de hacinamiento</w:t>
            </w:r>
          </w:p>
        </w:tc>
      </w:tr>
      <w:tr w:rsidR="00AA6EC7" w:rsidRPr="008E3494" w14:paraId="3312C509"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7EA7A5E7" w14:textId="77777777" w:rsidR="00AA6EC7" w:rsidRPr="008E3494" w:rsidRDefault="007F5B37">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 xml:space="preserve">Porcentaje de viviendas con hacinamiento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094890E" w14:textId="65B0B0BF" w:rsidR="00AA6EC7" w:rsidRPr="008E3494" w:rsidRDefault="007F5B37">
            <w:pPr>
              <w:spacing w:after="0" w:line="240" w:lineRule="auto"/>
              <w:jc w:val="center"/>
              <w:rPr>
                <w:rFonts w:ascii="Arial" w:hAnsi="Arial" w:cs="Arial"/>
                <w:sz w:val="20"/>
                <w:szCs w:val="20"/>
                <w:lang w:eastAsia="zh-CN"/>
              </w:rPr>
            </w:pPr>
            <w:proofErr w:type="spellStart"/>
            <w:r w:rsidRPr="008E3494">
              <w:rPr>
                <w:rFonts w:ascii="Arial" w:hAnsi="Arial" w:cs="Arial"/>
                <w:sz w:val="20"/>
                <w:szCs w:val="20"/>
                <w:lang w:val="en-US" w:eastAsia="zh-CN"/>
              </w:rPr>
              <w:t>Porcentaje</w:t>
            </w:r>
            <w:proofErr w:type="spellEnd"/>
            <w:r w:rsidR="00BC769D" w:rsidRPr="008E3494">
              <w:rPr>
                <w:rFonts w:ascii="Arial" w:hAnsi="Arial" w:cs="Arial"/>
                <w:sz w:val="20"/>
                <w:szCs w:val="20"/>
                <w:lang w:val="en-US" w:eastAsia="zh-CN"/>
              </w:rPr>
              <w:t xml:space="preserve"> de </w:t>
            </w:r>
            <w:proofErr w:type="spellStart"/>
            <w:r w:rsidR="00BC769D" w:rsidRPr="008E3494">
              <w:rPr>
                <w:rFonts w:ascii="Arial" w:hAnsi="Arial" w:cs="Arial"/>
                <w:sz w:val="20"/>
                <w:szCs w:val="20"/>
                <w:lang w:val="en-US" w:eastAsia="zh-CN"/>
              </w:rPr>
              <w:t>viviendas</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5D5A948F" w14:textId="2DEFC186" w:rsidR="00AA6EC7" w:rsidRPr="008E3494" w:rsidRDefault="001D2F82">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16.5%</w:t>
            </w:r>
          </w:p>
        </w:tc>
        <w:tc>
          <w:tcPr>
            <w:tcW w:w="1276" w:type="dxa"/>
            <w:tcBorders>
              <w:top w:val="single" w:sz="4" w:space="0" w:color="000000"/>
              <w:left w:val="single" w:sz="4" w:space="0" w:color="000000"/>
              <w:bottom w:val="single" w:sz="4" w:space="0" w:color="000000"/>
              <w:right w:val="single" w:sz="4" w:space="0" w:color="000000"/>
            </w:tcBorders>
            <w:vAlign w:val="center"/>
          </w:tcPr>
          <w:p w14:paraId="77020DCF"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24D8BE07"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0%</w:t>
            </w:r>
          </w:p>
        </w:tc>
        <w:tc>
          <w:tcPr>
            <w:tcW w:w="5103" w:type="dxa"/>
            <w:tcBorders>
              <w:top w:val="single" w:sz="4" w:space="0" w:color="000000"/>
              <w:left w:val="single" w:sz="4" w:space="0" w:color="000000"/>
              <w:bottom w:val="single" w:sz="4" w:space="0" w:color="000000"/>
              <w:right w:val="single" w:sz="4" w:space="0" w:color="auto"/>
            </w:tcBorders>
            <w:vAlign w:val="center"/>
          </w:tcPr>
          <w:p w14:paraId="329CAEC4" w14:textId="283EBDC1" w:rsidR="00BC769D" w:rsidRPr="008E3494" w:rsidRDefault="00BC769D" w:rsidP="00BC769D">
            <w:pPr>
              <w:spacing w:after="0" w:line="240" w:lineRule="auto"/>
              <w:jc w:val="both"/>
              <w:rPr>
                <w:rFonts w:ascii="Arial" w:hAnsi="Arial" w:cs="Arial"/>
                <w:sz w:val="20"/>
                <w:szCs w:val="20"/>
                <w:lang w:eastAsia="zh-CN"/>
              </w:rPr>
            </w:pPr>
            <w:r w:rsidRPr="008E3494">
              <w:rPr>
                <w:rFonts w:ascii="Arial" w:hAnsi="Arial" w:cs="Arial"/>
                <w:color w:val="000000"/>
                <w:sz w:val="20"/>
                <w:szCs w:val="20"/>
                <w:shd w:val="clear" w:color="auto" w:fill="FFFFFF"/>
              </w:rPr>
              <w:t xml:space="preserve">Hacinamiento: Viviendas con más de 3 personas por dormitorio.  Se define como dormitorio a los cuartos o espacios dedicados sólo para </w:t>
            </w:r>
            <w:proofErr w:type="gramStart"/>
            <w:r w:rsidRPr="008E3494">
              <w:rPr>
                <w:rFonts w:ascii="Arial" w:hAnsi="Arial" w:cs="Arial"/>
                <w:color w:val="000000"/>
                <w:sz w:val="20"/>
                <w:szCs w:val="20"/>
                <w:shd w:val="clear" w:color="auto" w:fill="FFFFFF"/>
              </w:rPr>
              <w:t>dormir  (</w:t>
            </w:r>
            <w:proofErr w:type="gramEnd"/>
            <w:r w:rsidRPr="008E3494">
              <w:rPr>
                <w:rFonts w:ascii="Arial" w:hAnsi="Arial" w:cs="Arial"/>
                <w:color w:val="000000"/>
                <w:sz w:val="20"/>
                <w:szCs w:val="20"/>
                <w:shd w:val="clear" w:color="auto" w:fill="FFFFFF"/>
              </w:rPr>
              <w:t>INEC)</w:t>
            </w:r>
            <w:r w:rsidR="00391128" w:rsidRPr="008E3494">
              <w:rPr>
                <w:rFonts w:ascii="Arial" w:hAnsi="Arial" w:cs="Arial"/>
                <w:color w:val="000000"/>
                <w:sz w:val="20"/>
                <w:szCs w:val="20"/>
                <w:shd w:val="clear" w:color="auto" w:fill="FFFFFF"/>
              </w:rPr>
              <w:t>.</w:t>
            </w:r>
          </w:p>
          <w:p w14:paraId="3FE95F88" w14:textId="77777777" w:rsidR="00BC769D" w:rsidRPr="008E3494" w:rsidRDefault="00BC769D" w:rsidP="00BC769D">
            <w:pPr>
              <w:spacing w:after="0" w:line="240" w:lineRule="auto"/>
              <w:jc w:val="both"/>
              <w:rPr>
                <w:rFonts w:ascii="Arial" w:hAnsi="Arial" w:cs="Arial"/>
                <w:sz w:val="20"/>
                <w:szCs w:val="20"/>
                <w:lang w:eastAsia="zh-CN"/>
              </w:rPr>
            </w:pPr>
          </w:p>
          <w:p w14:paraId="29FEE7E3" w14:textId="02DC8181" w:rsidR="00AA6EC7" w:rsidRPr="008E3494" w:rsidRDefault="00BC769D" w:rsidP="00BC769D">
            <w:pPr>
              <w:spacing w:after="0" w:line="240" w:lineRule="auto"/>
              <w:jc w:val="both"/>
              <w:rPr>
                <w:rFonts w:ascii="Arial" w:hAnsi="Arial" w:cs="Arial"/>
                <w:b/>
                <w:sz w:val="20"/>
                <w:szCs w:val="20"/>
                <w:lang w:eastAsia="zh-CN"/>
              </w:rPr>
            </w:pPr>
            <w:r w:rsidRPr="008E3494">
              <w:rPr>
                <w:rFonts w:ascii="Arial" w:hAnsi="Arial" w:cs="Arial"/>
                <w:b/>
                <w:sz w:val="20"/>
                <w:szCs w:val="20"/>
                <w:lang w:eastAsia="zh-CN"/>
              </w:rPr>
              <w:t xml:space="preserve">Medios de verificación: </w:t>
            </w:r>
            <w:r w:rsidR="007F5B37" w:rsidRPr="008E3494">
              <w:rPr>
                <w:rFonts w:ascii="Arial" w:hAnsi="Arial" w:cs="Arial"/>
                <w:sz w:val="20"/>
                <w:szCs w:val="20"/>
                <w:lang w:eastAsia="zh-CN"/>
              </w:rPr>
              <w:t xml:space="preserve">Registros administrativos </w:t>
            </w:r>
            <w:r w:rsidR="00391128" w:rsidRPr="008E3494">
              <w:rPr>
                <w:rFonts w:ascii="Arial" w:hAnsi="Arial" w:cs="Arial"/>
                <w:sz w:val="20"/>
                <w:szCs w:val="20"/>
                <w:lang w:eastAsia="zh-CN"/>
              </w:rPr>
              <w:t>–</w:t>
            </w:r>
            <w:r w:rsidR="007F5B37" w:rsidRPr="008E3494">
              <w:rPr>
                <w:rFonts w:ascii="Arial" w:hAnsi="Arial" w:cs="Arial"/>
                <w:sz w:val="20"/>
                <w:szCs w:val="20"/>
                <w:lang w:eastAsia="zh-CN"/>
              </w:rPr>
              <w:t xml:space="preserve"> MIDUVI</w:t>
            </w:r>
          </w:p>
        </w:tc>
      </w:tr>
      <w:tr w:rsidR="00AA6EC7" w:rsidRPr="008E3494" w14:paraId="48689277"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721DAE60" w14:textId="77777777" w:rsidR="00AA6EC7" w:rsidRPr="008E3494" w:rsidRDefault="007F5B37">
            <w:pPr>
              <w:pStyle w:val="ListParagraph"/>
              <w:spacing w:after="0" w:line="240" w:lineRule="auto"/>
              <w:ind w:left="0"/>
              <w:rPr>
                <w:rFonts w:ascii="Arial" w:hAnsi="Arial" w:cs="Arial"/>
                <w:sz w:val="20"/>
                <w:szCs w:val="20"/>
                <w:lang w:eastAsia="zh-CN"/>
              </w:rPr>
            </w:pPr>
            <w:proofErr w:type="spellStart"/>
            <w:r w:rsidRPr="008E3494">
              <w:rPr>
                <w:rFonts w:ascii="Arial" w:hAnsi="Arial" w:cs="Arial"/>
                <w:sz w:val="20"/>
                <w:szCs w:val="20"/>
                <w:lang w:val="en-US" w:eastAsia="zh-CN"/>
              </w:rPr>
              <w:t>Percepción</w:t>
            </w:r>
            <w:proofErr w:type="spellEnd"/>
            <w:r w:rsidRPr="008E3494">
              <w:rPr>
                <w:rFonts w:ascii="Arial" w:hAnsi="Arial" w:cs="Arial"/>
                <w:sz w:val="20"/>
                <w:szCs w:val="20"/>
                <w:lang w:val="en-US" w:eastAsia="zh-CN"/>
              </w:rPr>
              <w:t xml:space="preserve"> de </w:t>
            </w:r>
            <w:proofErr w:type="spellStart"/>
            <w:r w:rsidRPr="008E3494">
              <w:rPr>
                <w:rFonts w:ascii="Arial" w:hAnsi="Arial" w:cs="Arial"/>
                <w:sz w:val="20"/>
                <w:szCs w:val="20"/>
                <w:lang w:val="en-US" w:eastAsia="zh-CN"/>
              </w:rPr>
              <w:t>hacinamiento</w:t>
            </w:r>
            <w:proofErr w:type="spellEnd"/>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77B79D58" w14:textId="6F9B87D0" w:rsidR="00AA6EC7" w:rsidRPr="008E3494" w:rsidRDefault="007F5B37">
            <w:pPr>
              <w:spacing w:after="0" w:line="240" w:lineRule="auto"/>
              <w:jc w:val="center"/>
              <w:rPr>
                <w:rFonts w:ascii="Arial" w:hAnsi="Arial" w:cs="Arial"/>
                <w:sz w:val="20"/>
                <w:szCs w:val="20"/>
                <w:lang w:eastAsia="zh-CN"/>
              </w:rPr>
            </w:pPr>
            <w:proofErr w:type="spellStart"/>
            <w:r w:rsidRPr="008E3494">
              <w:rPr>
                <w:rFonts w:ascii="Arial" w:hAnsi="Arial" w:cs="Arial"/>
                <w:sz w:val="20"/>
                <w:szCs w:val="20"/>
                <w:lang w:val="en-US" w:eastAsia="zh-CN"/>
              </w:rPr>
              <w:t>Porcentaje</w:t>
            </w:r>
            <w:proofErr w:type="spellEnd"/>
            <w:r w:rsidR="00BC769D" w:rsidRPr="008E3494">
              <w:rPr>
                <w:rFonts w:ascii="Arial" w:hAnsi="Arial" w:cs="Arial"/>
                <w:sz w:val="20"/>
                <w:szCs w:val="20"/>
                <w:lang w:val="en-US" w:eastAsia="zh-CN"/>
              </w:rPr>
              <w:t xml:space="preserve"> de </w:t>
            </w:r>
            <w:proofErr w:type="spellStart"/>
            <w:r w:rsidR="00BC769D" w:rsidRPr="008E3494">
              <w:rPr>
                <w:rFonts w:ascii="Arial" w:hAnsi="Arial" w:cs="Arial"/>
                <w:sz w:val="20"/>
                <w:szCs w:val="20"/>
                <w:lang w:val="en-US" w:eastAsia="zh-CN"/>
              </w:rPr>
              <w:t>viviendas</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5A1C3E91" w14:textId="61E00A18" w:rsidR="00AA6EC7" w:rsidRPr="008E3494" w:rsidRDefault="001D2F82">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0899156C"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73D7946B"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5%</w:t>
            </w:r>
          </w:p>
        </w:tc>
        <w:tc>
          <w:tcPr>
            <w:tcW w:w="5103" w:type="dxa"/>
            <w:tcBorders>
              <w:top w:val="single" w:sz="4" w:space="0" w:color="000000"/>
              <w:left w:val="single" w:sz="4" w:space="0" w:color="000000"/>
              <w:bottom w:val="single" w:sz="4" w:space="0" w:color="000000"/>
              <w:right w:val="single" w:sz="4" w:space="0" w:color="auto"/>
            </w:tcBorders>
            <w:vAlign w:val="center"/>
          </w:tcPr>
          <w:p w14:paraId="6492E950" w14:textId="6AED2F5C" w:rsidR="00391128" w:rsidRPr="008E3494" w:rsidRDefault="00391128" w:rsidP="00391128">
            <w:pPr>
              <w:spacing w:after="0" w:line="240" w:lineRule="auto"/>
              <w:jc w:val="both"/>
              <w:rPr>
                <w:rFonts w:ascii="Arial" w:hAnsi="Arial" w:cs="Arial"/>
                <w:sz w:val="20"/>
                <w:szCs w:val="20"/>
                <w:lang w:eastAsia="zh-CN"/>
              </w:rPr>
            </w:pPr>
            <w:r w:rsidRPr="008E3494">
              <w:rPr>
                <w:rFonts w:ascii="Arial" w:hAnsi="Arial" w:cs="Arial"/>
                <w:sz w:val="20"/>
                <w:szCs w:val="20"/>
                <w:lang w:eastAsia="zh-CN"/>
              </w:rPr>
              <w:t>La meta corresponde a que máximo el 5% de los miembros (jefe de hogar) de las viviendas entregadas por año tengan una percepción de hacinamiento.</w:t>
            </w:r>
          </w:p>
          <w:p w14:paraId="0A4AA3F6" w14:textId="77777777" w:rsidR="00391128" w:rsidRPr="008E3494" w:rsidRDefault="00391128" w:rsidP="00391128">
            <w:pPr>
              <w:spacing w:after="0" w:line="240" w:lineRule="auto"/>
              <w:jc w:val="both"/>
              <w:rPr>
                <w:rFonts w:ascii="Arial" w:hAnsi="Arial" w:cs="Arial"/>
                <w:b/>
                <w:sz w:val="20"/>
                <w:szCs w:val="20"/>
                <w:lang w:eastAsia="zh-CN"/>
              </w:rPr>
            </w:pPr>
          </w:p>
          <w:p w14:paraId="3065B1F3" w14:textId="29BE9F82" w:rsidR="00AA6EC7" w:rsidRPr="008E3494" w:rsidRDefault="00391128" w:rsidP="00391128">
            <w:pPr>
              <w:spacing w:after="0" w:line="240" w:lineRule="auto"/>
              <w:jc w:val="both"/>
              <w:rPr>
                <w:rFonts w:ascii="Arial" w:hAnsi="Arial" w:cs="Arial"/>
                <w:sz w:val="20"/>
                <w:szCs w:val="20"/>
                <w:lang w:eastAsia="zh-CN"/>
              </w:rPr>
            </w:pPr>
            <w:r w:rsidRPr="008E3494">
              <w:rPr>
                <w:rFonts w:ascii="Arial" w:hAnsi="Arial" w:cs="Arial"/>
                <w:b/>
                <w:sz w:val="20"/>
                <w:szCs w:val="20"/>
                <w:lang w:eastAsia="zh-CN"/>
              </w:rPr>
              <w:t>M</w:t>
            </w:r>
            <w:r w:rsidR="00563917" w:rsidRPr="008E3494">
              <w:rPr>
                <w:rFonts w:ascii="Arial" w:hAnsi="Arial" w:cs="Arial"/>
                <w:b/>
                <w:sz w:val="20"/>
                <w:szCs w:val="20"/>
                <w:lang w:eastAsia="zh-CN"/>
              </w:rPr>
              <w:t>edio</w:t>
            </w:r>
            <w:r w:rsidRPr="008E3494">
              <w:rPr>
                <w:rFonts w:ascii="Arial" w:hAnsi="Arial" w:cs="Arial"/>
                <w:b/>
                <w:sz w:val="20"/>
                <w:szCs w:val="20"/>
                <w:lang w:eastAsia="zh-CN"/>
              </w:rPr>
              <w:t xml:space="preserve"> de verificación: </w:t>
            </w:r>
            <w:r w:rsidR="007F5B37" w:rsidRPr="008E3494">
              <w:rPr>
                <w:rFonts w:ascii="Arial" w:hAnsi="Arial" w:cs="Arial"/>
                <w:sz w:val="20"/>
                <w:szCs w:val="20"/>
                <w:lang w:eastAsia="zh-CN"/>
              </w:rPr>
              <w:t xml:space="preserve">Encuesta </w:t>
            </w:r>
            <w:r w:rsidRPr="008E3494">
              <w:rPr>
                <w:rFonts w:ascii="Arial" w:hAnsi="Arial" w:cs="Arial"/>
                <w:sz w:val="20"/>
                <w:szCs w:val="20"/>
                <w:lang w:eastAsia="zh-CN"/>
              </w:rPr>
              <w:t>–</w:t>
            </w:r>
            <w:r w:rsidR="007F5B37" w:rsidRPr="008E3494">
              <w:rPr>
                <w:rFonts w:ascii="Arial" w:hAnsi="Arial" w:cs="Arial"/>
                <w:sz w:val="20"/>
                <w:szCs w:val="20"/>
                <w:lang w:eastAsia="zh-CN"/>
              </w:rPr>
              <w:t xml:space="preserve"> MIDUVI</w:t>
            </w:r>
          </w:p>
        </w:tc>
      </w:tr>
      <w:tr w:rsidR="00AA6EC7" w:rsidRPr="008E3494" w14:paraId="7F671575" w14:textId="77777777" w:rsidTr="00673F3C">
        <w:trPr>
          <w:trHeight w:val="64"/>
        </w:trPr>
        <w:tc>
          <w:tcPr>
            <w:tcW w:w="13036" w:type="dxa"/>
            <w:gridSpan w:val="7"/>
            <w:tcBorders>
              <w:top w:val="single" w:sz="4" w:space="0" w:color="000000"/>
              <w:left w:val="single" w:sz="4" w:space="0" w:color="000000"/>
              <w:bottom w:val="single" w:sz="4" w:space="0" w:color="000000"/>
              <w:right w:val="single" w:sz="4" w:space="0" w:color="auto"/>
            </w:tcBorders>
            <w:vAlign w:val="center"/>
          </w:tcPr>
          <w:p w14:paraId="6EC7BB3D" w14:textId="77777777" w:rsidR="00AA6EC7" w:rsidRPr="008E3494" w:rsidRDefault="007F5B37">
            <w:pPr>
              <w:spacing w:before="120" w:after="120" w:line="240" w:lineRule="auto"/>
              <w:rPr>
                <w:rFonts w:ascii="Arial" w:hAnsi="Arial" w:cs="Arial"/>
                <w:b/>
                <w:sz w:val="20"/>
                <w:szCs w:val="20"/>
                <w:lang w:eastAsia="zh-CN"/>
              </w:rPr>
            </w:pPr>
            <w:r w:rsidRPr="008E3494">
              <w:rPr>
                <w:rFonts w:ascii="Arial" w:hAnsi="Arial" w:cs="Arial"/>
                <w:b/>
                <w:bCs/>
                <w:color w:val="000000"/>
              </w:rPr>
              <w:lastRenderedPageBreak/>
              <w:t>Resultado #1.3: Uso efectivo de infraestructura</w:t>
            </w:r>
          </w:p>
        </w:tc>
      </w:tr>
      <w:tr w:rsidR="00AA6EC7" w:rsidRPr="008E3494" w14:paraId="78234987"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30AF24E9" w14:textId="77777777" w:rsidR="00AA6EC7" w:rsidRPr="008E3494" w:rsidRDefault="007F5B37">
            <w:pPr>
              <w:spacing w:after="0" w:line="240" w:lineRule="auto"/>
              <w:rPr>
                <w:rFonts w:ascii="Arial" w:hAnsi="Arial" w:cs="Arial"/>
                <w:b/>
                <w:bCs/>
                <w:color w:val="000000"/>
              </w:rPr>
            </w:pPr>
            <w:r w:rsidRPr="008E3494">
              <w:rPr>
                <w:rFonts w:ascii="Arial" w:hAnsi="Arial" w:cs="Arial"/>
                <w:sz w:val="20"/>
                <w:szCs w:val="20"/>
                <w:lang w:eastAsia="zh-CN"/>
              </w:rPr>
              <w:t>Porcentaje de hogares con agua de red pública</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4A27DEC7"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Porcentaje</w:t>
            </w:r>
          </w:p>
        </w:tc>
        <w:tc>
          <w:tcPr>
            <w:tcW w:w="1134" w:type="dxa"/>
            <w:tcBorders>
              <w:top w:val="single" w:sz="4" w:space="0" w:color="000000"/>
              <w:left w:val="single" w:sz="4" w:space="0" w:color="000000"/>
              <w:bottom w:val="single" w:sz="4" w:space="0" w:color="000000"/>
              <w:right w:val="single" w:sz="4" w:space="0" w:color="000000"/>
            </w:tcBorders>
            <w:vAlign w:val="center"/>
          </w:tcPr>
          <w:p w14:paraId="769A53DA"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eastAsia="SimSun" w:hAnsi="Arial" w:cs="Arial"/>
                <w:color w:val="000000"/>
                <w:sz w:val="20"/>
                <w:szCs w:val="20"/>
                <w:lang w:eastAsia="zh-CN" w:bidi="ar"/>
              </w:rPr>
              <w:t>69,80%</w:t>
            </w:r>
          </w:p>
        </w:tc>
        <w:tc>
          <w:tcPr>
            <w:tcW w:w="1276" w:type="dxa"/>
            <w:tcBorders>
              <w:top w:val="single" w:sz="4" w:space="0" w:color="000000"/>
              <w:left w:val="single" w:sz="4" w:space="0" w:color="000000"/>
              <w:bottom w:val="single" w:sz="4" w:space="0" w:color="000000"/>
              <w:right w:val="single" w:sz="4" w:space="0" w:color="000000"/>
            </w:tcBorders>
            <w:vAlign w:val="center"/>
          </w:tcPr>
          <w:p w14:paraId="198FD10D" w14:textId="77777777" w:rsidR="00AA6EC7" w:rsidRPr="008E3494" w:rsidRDefault="007F5B37">
            <w:pPr>
              <w:spacing w:after="0" w:line="240" w:lineRule="auto"/>
              <w:jc w:val="center"/>
              <w:rPr>
                <w:rFonts w:ascii="Arial" w:hAnsi="Arial" w:cs="Arial"/>
                <w:iCs/>
                <w:sz w:val="20"/>
                <w:szCs w:val="20"/>
                <w:lang w:eastAsia="zh-CN"/>
              </w:rPr>
            </w:pPr>
            <w:r w:rsidRPr="008E3494">
              <w:rPr>
                <w:rFonts w:ascii="Arial" w:hAnsi="Arial" w:cs="Arial"/>
                <w:iCs/>
                <w:sz w:val="20"/>
                <w:szCs w:val="20"/>
                <w:lang w:eastAsia="zh-CN"/>
              </w:rPr>
              <w:t>2017</w:t>
            </w:r>
          </w:p>
          <w:p w14:paraId="3D53A721"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eastAsia="zh-CN"/>
              </w:rPr>
              <w:t>(Diciembre)</w:t>
            </w:r>
          </w:p>
        </w:tc>
        <w:tc>
          <w:tcPr>
            <w:tcW w:w="992" w:type="dxa"/>
            <w:tcBorders>
              <w:top w:val="single" w:sz="4" w:space="0" w:color="000000"/>
              <w:left w:val="single" w:sz="4" w:space="0" w:color="000000"/>
              <w:bottom w:val="single" w:sz="4" w:space="0" w:color="000000"/>
              <w:right w:val="single" w:sz="4" w:space="0" w:color="000000"/>
            </w:tcBorders>
            <w:vAlign w:val="center"/>
          </w:tcPr>
          <w:p w14:paraId="4D3F7ACC"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eastAsia="SimSun" w:hAnsi="Arial" w:cs="Arial"/>
                <w:color w:val="000000"/>
                <w:sz w:val="20"/>
                <w:szCs w:val="20"/>
                <w:lang w:eastAsia="zh-CN" w:bidi="ar"/>
              </w:rPr>
              <w:t>75,38%</w:t>
            </w:r>
          </w:p>
        </w:tc>
        <w:tc>
          <w:tcPr>
            <w:tcW w:w="5103" w:type="dxa"/>
            <w:tcBorders>
              <w:top w:val="single" w:sz="4" w:space="0" w:color="000000"/>
              <w:left w:val="single" w:sz="4" w:space="0" w:color="000000"/>
              <w:bottom w:val="single" w:sz="4" w:space="0" w:color="000000"/>
              <w:right w:val="single" w:sz="4" w:space="0" w:color="000000"/>
            </w:tcBorders>
            <w:vAlign w:val="center"/>
          </w:tcPr>
          <w:p w14:paraId="226F3853" w14:textId="77777777" w:rsidR="001F4675" w:rsidRPr="008E3494" w:rsidRDefault="001F4675" w:rsidP="001F4675">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1756CDD6" w14:textId="101BFB0F" w:rsidR="00AA6EC7" w:rsidRPr="008E3494" w:rsidRDefault="001F4675" w:rsidP="00563917">
            <w:pPr>
              <w:spacing w:after="0" w:line="240" w:lineRule="auto"/>
              <w:rPr>
                <w:rFonts w:ascii="Arial" w:hAnsi="Arial" w:cs="Arial"/>
                <w:b/>
                <w:sz w:val="20"/>
                <w:szCs w:val="20"/>
                <w:lang w:eastAsia="zh-CN"/>
              </w:rPr>
            </w:pPr>
            <w:r w:rsidRPr="008E3494">
              <w:rPr>
                <w:rFonts w:ascii="Arial" w:hAnsi="Arial" w:cs="Arial"/>
                <w:sz w:val="20"/>
                <w:szCs w:val="20"/>
                <w:lang w:eastAsia="zh-CN"/>
              </w:rPr>
              <w:t xml:space="preserve">Encuesta Nacional de Empleo, Desempleo y subempleo </w:t>
            </w:r>
            <w:r w:rsidR="008A0D85" w:rsidRPr="008E3494">
              <w:rPr>
                <w:rFonts w:ascii="Arial" w:hAnsi="Arial" w:cs="Arial"/>
                <w:sz w:val="20"/>
                <w:szCs w:val="20"/>
                <w:lang w:eastAsia="zh-CN"/>
              </w:rPr>
              <w:t>–</w:t>
            </w:r>
            <w:r w:rsidRPr="008E3494">
              <w:rPr>
                <w:rFonts w:ascii="Arial" w:hAnsi="Arial" w:cs="Arial"/>
                <w:sz w:val="20"/>
                <w:szCs w:val="20"/>
                <w:lang w:eastAsia="zh-CN"/>
              </w:rPr>
              <w:t xml:space="preserve"> ENEMDU</w:t>
            </w:r>
          </w:p>
        </w:tc>
      </w:tr>
      <w:tr w:rsidR="00AA6EC7" w:rsidRPr="008E3494" w14:paraId="4472B42D"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7CC8C87C" w14:textId="77777777" w:rsidR="00AA6EC7" w:rsidRPr="008E3494" w:rsidRDefault="007F5B37">
            <w:pPr>
              <w:spacing w:after="0" w:line="240" w:lineRule="auto"/>
              <w:rPr>
                <w:rFonts w:ascii="Arial" w:hAnsi="Arial" w:cs="Arial"/>
                <w:sz w:val="20"/>
                <w:szCs w:val="20"/>
                <w:lang w:eastAsia="zh-CN"/>
              </w:rPr>
            </w:pPr>
            <w:r w:rsidRPr="008E3494">
              <w:rPr>
                <w:rFonts w:ascii="Arial" w:hAnsi="Arial" w:cs="Arial"/>
                <w:sz w:val="20"/>
                <w:szCs w:val="20"/>
                <w:lang w:eastAsia="zh-CN"/>
              </w:rPr>
              <w:t>Porcentaje de hogares que cuentan con un sistema adecuado de alcantarillado o eliminación de excretas</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3DC03468"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Porcentaje</w:t>
            </w:r>
          </w:p>
        </w:tc>
        <w:tc>
          <w:tcPr>
            <w:tcW w:w="1134" w:type="dxa"/>
            <w:tcBorders>
              <w:top w:val="single" w:sz="4" w:space="0" w:color="000000"/>
              <w:left w:val="single" w:sz="4" w:space="0" w:color="000000"/>
              <w:bottom w:val="single" w:sz="4" w:space="0" w:color="000000"/>
              <w:right w:val="single" w:sz="4" w:space="0" w:color="000000"/>
            </w:tcBorders>
            <w:vAlign w:val="center"/>
          </w:tcPr>
          <w:p w14:paraId="11A76143"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eastAsia="SimSun" w:hAnsi="Arial" w:cs="Arial"/>
                <w:color w:val="000000"/>
                <w:sz w:val="20"/>
                <w:szCs w:val="20"/>
                <w:lang w:eastAsia="zh-CN" w:bidi="ar"/>
              </w:rPr>
              <w:t>71,00%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D4AF4E5" w14:textId="77777777" w:rsidR="00AA6EC7" w:rsidRPr="008E3494" w:rsidRDefault="007F5B37">
            <w:pPr>
              <w:spacing w:after="0" w:line="240" w:lineRule="auto"/>
              <w:jc w:val="center"/>
              <w:rPr>
                <w:rFonts w:ascii="Arial" w:hAnsi="Arial" w:cs="Arial"/>
                <w:iCs/>
                <w:sz w:val="20"/>
                <w:szCs w:val="20"/>
                <w:lang w:eastAsia="zh-CN"/>
              </w:rPr>
            </w:pPr>
            <w:r w:rsidRPr="008E3494">
              <w:rPr>
                <w:rFonts w:ascii="Arial" w:hAnsi="Arial" w:cs="Arial"/>
                <w:iCs/>
                <w:sz w:val="20"/>
                <w:szCs w:val="20"/>
                <w:lang w:eastAsia="zh-CN"/>
              </w:rPr>
              <w:t>2017</w:t>
            </w:r>
          </w:p>
          <w:p w14:paraId="1FA1DFD1"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eastAsia="zh-CN"/>
              </w:rPr>
              <w:t>(Diciembre)</w:t>
            </w:r>
          </w:p>
        </w:tc>
        <w:tc>
          <w:tcPr>
            <w:tcW w:w="992" w:type="dxa"/>
            <w:tcBorders>
              <w:top w:val="single" w:sz="4" w:space="0" w:color="000000"/>
              <w:left w:val="single" w:sz="4" w:space="0" w:color="000000"/>
              <w:bottom w:val="single" w:sz="4" w:space="0" w:color="000000"/>
              <w:right w:val="single" w:sz="4" w:space="0" w:color="000000"/>
            </w:tcBorders>
            <w:vAlign w:val="center"/>
          </w:tcPr>
          <w:p w14:paraId="20141A9D"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eastAsia="SimSun" w:hAnsi="Arial" w:cs="Arial"/>
                <w:color w:val="000000"/>
                <w:sz w:val="20"/>
                <w:szCs w:val="20"/>
                <w:lang w:eastAsia="zh-CN" w:bidi="ar"/>
              </w:rPr>
              <w:t>76,68%</w:t>
            </w:r>
          </w:p>
        </w:tc>
        <w:tc>
          <w:tcPr>
            <w:tcW w:w="5103" w:type="dxa"/>
            <w:tcBorders>
              <w:top w:val="single" w:sz="4" w:space="0" w:color="000000"/>
              <w:left w:val="single" w:sz="4" w:space="0" w:color="000000"/>
              <w:bottom w:val="single" w:sz="4" w:space="0" w:color="000000"/>
              <w:right w:val="single" w:sz="4" w:space="0" w:color="000000"/>
            </w:tcBorders>
            <w:vAlign w:val="center"/>
          </w:tcPr>
          <w:p w14:paraId="1FD07AF5" w14:textId="77777777" w:rsidR="001F4675" w:rsidRPr="008E3494" w:rsidRDefault="001F4675" w:rsidP="001F4675">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3E4DA9AA" w14:textId="77777777" w:rsidR="00AA6EC7" w:rsidRPr="008E3494" w:rsidRDefault="007F5B37" w:rsidP="00563917">
            <w:pPr>
              <w:spacing w:after="0" w:line="240" w:lineRule="auto"/>
              <w:rPr>
                <w:rFonts w:ascii="Arial" w:hAnsi="Arial" w:cs="Arial"/>
                <w:sz w:val="20"/>
                <w:szCs w:val="20"/>
                <w:lang w:eastAsia="zh-CN"/>
              </w:rPr>
            </w:pPr>
            <w:r w:rsidRPr="008E3494">
              <w:rPr>
                <w:rFonts w:ascii="Arial" w:hAnsi="Arial" w:cs="Arial"/>
                <w:sz w:val="20"/>
                <w:szCs w:val="20"/>
                <w:lang w:eastAsia="zh-CN"/>
              </w:rPr>
              <w:t xml:space="preserve">Encuesta Nacional de Empleo, Desempleo y subempleo - ENEMDU </w:t>
            </w:r>
          </w:p>
        </w:tc>
      </w:tr>
      <w:tr w:rsidR="00AA6EC7" w:rsidRPr="008E3494" w14:paraId="6D868463"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7F76FEE1" w14:textId="77777777" w:rsidR="00AA6EC7" w:rsidRPr="008E3494" w:rsidRDefault="007F5B37">
            <w:pPr>
              <w:spacing w:after="0" w:line="240" w:lineRule="auto"/>
              <w:rPr>
                <w:rFonts w:ascii="Arial" w:hAnsi="Arial" w:cs="Arial"/>
                <w:sz w:val="20"/>
                <w:szCs w:val="20"/>
                <w:lang w:eastAsia="zh-CN"/>
              </w:rPr>
            </w:pPr>
            <w:r w:rsidRPr="008E3494">
              <w:rPr>
                <w:rFonts w:ascii="Arial" w:hAnsi="Arial" w:cs="Arial"/>
                <w:sz w:val="20"/>
                <w:szCs w:val="20"/>
                <w:lang w:eastAsia="zh-CN"/>
              </w:rPr>
              <w:t>Porcentaje de hogares con acceso a electricidad</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31D0A75"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Porcentaje</w:t>
            </w:r>
          </w:p>
        </w:tc>
        <w:tc>
          <w:tcPr>
            <w:tcW w:w="1134" w:type="dxa"/>
            <w:tcBorders>
              <w:top w:val="single" w:sz="4" w:space="0" w:color="000000"/>
              <w:left w:val="single" w:sz="4" w:space="0" w:color="000000"/>
              <w:bottom w:val="single" w:sz="4" w:space="0" w:color="000000"/>
              <w:right w:val="single" w:sz="4" w:space="0" w:color="000000"/>
            </w:tcBorders>
            <w:vAlign w:val="center"/>
          </w:tcPr>
          <w:p w14:paraId="5C26E2C6" w14:textId="4288AE78" w:rsidR="00AA6EC7" w:rsidRPr="008E3494" w:rsidRDefault="00F61FA3">
            <w:pPr>
              <w:spacing w:after="0" w:line="240" w:lineRule="auto"/>
              <w:jc w:val="center"/>
              <w:rPr>
                <w:rFonts w:ascii="Arial" w:hAnsi="Arial" w:cs="Arial"/>
                <w:i/>
                <w:sz w:val="20"/>
                <w:szCs w:val="20"/>
                <w:lang w:eastAsia="zh-CN"/>
              </w:rPr>
            </w:pPr>
            <w:r w:rsidRPr="008E3494">
              <w:rPr>
                <w:rFonts w:ascii="Arial" w:eastAsia="SimSun" w:hAnsi="Arial" w:cs="Arial"/>
                <w:color w:val="000000"/>
                <w:sz w:val="20"/>
                <w:szCs w:val="20"/>
                <w:lang w:eastAsia="zh-CN" w:bidi="ar"/>
              </w:rPr>
              <w:t>97,</w:t>
            </w:r>
            <w:r w:rsidR="007F5B37" w:rsidRPr="008E3494">
              <w:rPr>
                <w:rFonts w:ascii="Arial" w:eastAsia="SimSun" w:hAnsi="Arial" w:cs="Arial"/>
                <w:color w:val="000000"/>
                <w:sz w:val="20"/>
                <w:szCs w:val="20"/>
                <w:lang w:eastAsia="zh-CN" w:bidi="ar"/>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5AD6AF94" w14:textId="77777777" w:rsidR="00AA6EC7" w:rsidRPr="008E3494" w:rsidRDefault="007F5B37">
            <w:pPr>
              <w:spacing w:after="0" w:line="240" w:lineRule="auto"/>
              <w:jc w:val="center"/>
              <w:rPr>
                <w:rFonts w:ascii="Arial" w:hAnsi="Arial" w:cs="Arial"/>
                <w:iCs/>
                <w:sz w:val="20"/>
                <w:szCs w:val="20"/>
                <w:lang w:eastAsia="zh-CN"/>
              </w:rPr>
            </w:pPr>
            <w:r w:rsidRPr="008E3494">
              <w:rPr>
                <w:rFonts w:ascii="Arial" w:hAnsi="Arial" w:cs="Arial"/>
                <w:iCs/>
                <w:sz w:val="20"/>
                <w:szCs w:val="20"/>
                <w:lang w:eastAsia="zh-CN"/>
              </w:rPr>
              <w:t>2017</w:t>
            </w:r>
          </w:p>
          <w:p w14:paraId="791A9EF3"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eastAsia="zh-CN"/>
              </w:rPr>
              <w:t>(Diciembre)</w:t>
            </w:r>
          </w:p>
        </w:tc>
        <w:tc>
          <w:tcPr>
            <w:tcW w:w="992" w:type="dxa"/>
            <w:tcBorders>
              <w:top w:val="single" w:sz="4" w:space="0" w:color="000000"/>
              <w:left w:val="single" w:sz="4" w:space="0" w:color="000000"/>
              <w:bottom w:val="single" w:sz="4" w:space="0" w:color="000000"/>
              <w:right w:val="single" w:sz="4" w:space="0" w:color="000000"/>
            </w:tcBorders>
            <w:vAlign w:val="center"/>
          </w:tcPr>
          <w:p w14:paraId="0D50B67C" w14:textId="7DCCF47D" w:rsidR="00AA6EC7" w:rsidRPr="008E3494" w:rsidRDefault="00F61FA3">
            <w:pPr>
              <w:spacing w:after="0" w:line="240" w:lineRule="auto"/>
              <w:jc w:val="center"/>
              <w:rPr>
                <w:rFonts w:ascii="Arial" w:hAnsi="Arial" w:cs="Arial"/>
                <w:i/>
                <w:sz w:val="20"/>
                <w:szCs w:val="20"/>
                <w:lang w:eastAsia="zh-CN"/>
              </w:rPr>
            </w:pPr>
            <w:r w:rsidRPr="008E3494">
              <w:rPr>
                <w:rFonts w:ascii="Arial" w:eastAsia="SimSun" w:hAnsi="Arial" w:cs="Arial"/>
                <w:color w:val="000000"/>
                <w:sz w:val="20"/>
                <w:szCs w:val="20"/>
                <w:lang w:eastAsia="zh-CN" w:bidi="ar"/>
              </w:rPr>
              <w:t>99,</w:t>
            </w:r>
            <w:r w:rsidR="007F5B37" w:rsidRPr="008E3494">
              <w:rPr>
                <w:rFonts w:ascii="Arial" w:eastAsia="SimSun" w:hAnsi="Arial" w:cs="Arial"/>
                <w:color w:val="000000"/>
                <w:sz w:val="20"/>
                <w:szCs w:val="20"/>
                <w:lang w:eastAsia="zh-CN" w:bidi="ar"/>
              </w:rPr>
              <w:t>53%</w:t>
            </w:r>
          </w:p>
        </w:tc>
        <w:tc>
          <w:tcPr>
            <w:tcW w:w="5103" w:type="dxa"/>
            <w:tcBorders>
              <w:top w:val="single" w:sz="4" w:space="0" w:color="000000"/>
              <w:left w:val="single" w:sz="4" w:space="0" w:color="000000"/>
              <w:bottom w:val="single" w:sz="4" w:space="0" w:color="000000"/>
              <w:right w:val="single" w:sz="4" w:space="0" w:color="000000"/>
            </w:tcBorders>
            <w:vAlign w:val="center"/>
          </w:tcPr>
          <w:p w14:paraId="1C09C254" w14:textId="77777777" w:rsidR="001F4675" w:rsidRPr="008E3494" w:rsidRDefault="001F4675" w:rsidP="001F4675">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6C755D3B" w14:textId="77777777" w:rsidR="00AA6EC7" w:rsidRPr="008E3494" w:rsidRDefault="007F5B37" w:rsidP="00563917">
            <w:pPr>
              <w:spacing w:after="0" w:line="240" w:lineRule="auto"/>
              <w:rPr>
                <w:rFonts w:ascii="Arial" w:hAnsi="Arial" w:cs="Arial"/>
                <w:sz w:val="20"/>
                <w:szCs w:val="20"/>
                <w:lang w:eastAsia="zh-CN"/>
              </w:rPr>
            </w:pPr>
            <w:r w:rsidRPr="008E3494">
              <w:rPr>
                <w:rFonts w:ascii="Arial" w:hAnsi="Arial" w:cs="Arial"/>
                <w:sz w:val="20"/>
                <w:szCs w:val="20"/>
                <w:lang w:eastAsia="zh-CN"/>
              </w:rPr>
              <w:t xml:space="preserve">Encuesta Nacional de Empleo, Desempleo y subempleo - ENEMDU </w:t>
            </w:r>
          </w:p>
        </w:tc>
      </w:tr>
      <w:tr w:rsidR="00AA6EC7" w:rsidRPr="008E3494" w14:paraId="0287C2FD"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5C91AFCA" w14:textId="77777777" w:rsidR="00AA6EC7" w:rsidRPr="008E3494" w:rsidRDefault="007F5B37">
            <w:pPr>
              <w:spacing w:after="0" w:line="240" w:lineRule="auto"/>
              <w:rPr>
                <w:rFonts w:ascii="Arial" w:hAnsi="Arial" w:cs="Arial"/>
                <w:sz w:val="20"/>
                <w:szCs w:val="20"/>
                <w:lang w:eastAsia="zh-CN"/>
              </w:rPr>
            </w:pPr>
            <w:r w:rsidRPr="008E3494">
              <w:rPr>
                <w:rFonts w:ascii="Arial" w:hAnsi="Arial" w:cs="Arial"/>
                <w:sz w:val="20"/>
                <w:szCs w:val="20"/>
                <w:lang w:eastAsia="zh-CN"/>
              </w:rPr>
              <w:t>Consumo promedio  de agua potable proveniente de una red pública o tubería, por habitante</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5C11D2E4" w14:textId="278F0E17" w:rsidR="00AA6EC7" w:rsidRPr="008E3494" w:rsidRDefault="00F61FA3">
            <w:pPr>
              <w:spacing w:after="0" w:line="240" w:lineRule="auto"/>
              <w:jc w:val="center"/>
              <w:rPr>
                <w:rFonts w:ascii="Arial" w:hAnsi="Arial" w:cs="Arial"/>
                <w:sz w:val="20"/>
                <w:szCs w:val="20"/>
                <w:lang w:eastAsia="zh-CN"/>
              </w:rPr>
            </w:pPr>
            <w:r w:rsidRPr="008E3494">
              <w:rPr>
                <w:rFonts w:ascii="Arial" w:hAnsi="Arial" w:cs="Arial"/>
                <w:sz w:val="20"/>
                <w:szCs w:val="20"/>
                <w:lang w:eastAsia="zh-CN"/>
              </w:rPr>
              <w:t>Litros por persona al día</w:t>
            </w:r>
          </w:p>
        </w:tc>
        <w:tc>
          <w:tcPr>
            <w:tcW w:w="1134" w:type="dxa"/>
            <w:tcBorders>
              <w:top w:val="single" w:sz="4" w:space="0" w:color="000000"/>
              <w:left w:val="single" w:sz="4" w:space="0" w:color="000000"/>
              <w:bottom w:val="single" w:sz="4" w:space="0" w:color="000000"/>
              <w:right w:val="single" w:sz="4" w:space="0" w:color="000000"/>
            </w:tcBorders>
            <w:vAlign w:val="center"/>
          </w:tcPr>
          <w:p w14:paraId="32D44DFE"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eastAsia="SimSun" w:hAnsi="Arial" w:cs="Arial"/>
                <w:color w:val="000000"/>
                <w:sz w:val="20"/>
                <w:szCs w:val="20"/>
                <w:lang w:val="en-US" w:eastAsia="zh-CN" w:bidi="ar"/>
              </w:rPr>
              <w:t>0</w:t>
            </w:r>
          </w:p>
        </w:tc>
        <w:tc>
          <w:tcPr>
            <w:tcW w:w="1276" w:type="dxa"/>
            <w:tcBorders>
              <w:top w:val="single" w:sz="4" w:space="0" w:color="000000"/>
              <w:left w:val="single" w:sz="4" w:space="0" w:color="000000"/>
              <w:bottom w:val="single" w:sz="4" w:space="0" w:color="000000"/>
              <w:right w:val="single" w:sz="4" w:space="0" w:color="000000"/>
            </w:tcBorders>
            <w:vAlign w:val="center"/>
          </w:tcPr>
          <w:p w14:paraId="15C0E8F6"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24B5D71F"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eastAsia="SimSun" w:hAnsi="Arial" w:cs="Arial"/>
                <w:color w:val="000000"/>
                <w:sz w:val="20"/>
                <w:szCs w:val="20"/>
                <w:lang w:eastAsia="zh-CN" w:bidi="ar"/>
              </w:rPr>
              <w:t>100</w:t>
            </w:r>
          </w:p>
        </w:tc>
        <w:tc>
          <w:tcPr>
            <w:tcW w:w="5103" w:type="dxa"/>
            <w:tcBorders>
              <w:top w:val="single" w:sz="4" w:space="0" w:color="000000"/>
              <w:left w:val="single" w:sz="4" w:space="0" w:color="000000"/>
              <w:bottom w:val="single" w:sz="4" w:space="0" w:color="000000"/>
              <w:right w:val="single" w:sz="4" w:space="0" w:color="000000"/>
            </w:tcBorders>
            <w:vAlign w:val="center"/>
          </w:tcPr>
          <w:p w14:paraId="7815E71A" w14:textId="7933CF44" w:rsidR="00563917" w:rsidRPr="008E3494" w:rsidRDefault="00563917" w:rsidP="00563917">
            <w:pPr>
              <w:spacing w:after="0" w:line="240" w:lineRule="auto"/>
              <w:jc w:val="both"/>
              <w:rPr>
                <w:rFonts w:ascii="Arial" w:hAnsi="Arial" w:cs="Arial"/>
                <w:sz w:val="20"/>
                <w:szCs w:val="20"/>
                <w:lang w:eastAsia="zh-CN"/>
              </w:rPr>
            </w:pPr>
            <w:r w:rsidRPr="008E3494">
              <w:rPr>
                <w:rFonts w:ascii="Arial" w:hAnsi="Arial" w:cs="Arial"/>
                <w:sz w:val="20"/>
                <w:szCs w:val="20"/>
              </w:rPr>
              <w:t xml:space="preserve">La Organización Mundial de la Salud define el acceso óptimo a una cantidad promedio de 100 l/p/d </w:t>
            </w:r>
            <w:proofErr w:type="spellStart"/>
            <w:r w:rsidRPr="008E3494">
              <w:rPr>
                <w:rFonts w:ascii="Arial" w:hAnsi="Arial" w:cs="Arial"/>
                <w:sz w:val="20"/>
                <w:szCs w:val="20"/>
              </w:rPr>
              <w:t>ó</w:t>
            </w:r>
            <w:proofErr w:type="spellEnd"/>
            <w:r w:rsidRPr="008E3494">
              <w:rPr>
                <w:rFonts w:ascii="Arial" w:hAnsi="Arial" w:cs="Arial"/>
                <w:sz w:val="20"/>
                <w:szCs w:val="20"/>
              </w:rPr>
              <w:t xml:space="preserve"> más.</w:t>
            </w:r>
          </w:p>
          <w:p w14:paraId="644E0331" w14:textId="77777777" w:rsidR="00563917" w:rsidRPr="008E3494" w:rsidRDefault="00563917" w:rsidP="00563917">
            <w:pPr>
              <w:spacing w:after="0" w:line="240" w:lineRule="auto"/>
              <w:jc w:val="both"/>
              <w:rPr>
                <w:rFonts w:ascii="Arial" w:hAnsi="Arial" w:cs="Arial"/>
                <w:sz w:val="20"/>
                <w:szCs w:val="20"/>
                <w:lang w:eastAsia="zh-CN"/>
              </w:rPr>
            </w:pPr>
          </w:p>
          <w:p w14:paraId="6F0A8B1D" w14:textId="4B7CB5BA" w:rsidR="00387DD8" w:rsidRPr="008E3494" w:rsidRDefault="00563917" w:rsidP="00563917">
            <w:pPr>
              <w:spacing w:after="0" w:line="240" w:lineRule="auto"/>
              <w:jc w:val="both"/>
              <w:rPr>
                <w:rFonts w:ascii="Arial" w:hAnsi="Arial" w:cs="Arial"/>
                <w:sz w:val="20"/>
                <w:szCs w:val="20"/>
                <w:lang w:eastAsia="zh-CN"/>
              </w:rPr>
            </w:pPr>
            <w:r w:rsidRPr="008E3494">
              <w:rPr>
                <w:rFonts w:ascii="Arial" w:hAnsi="Arial" w:cs="Arial"/>
                <w:b/>
                <w:sz w:val="20"/>
                <w:szCs w:val="20"/>
                <w:lang w:eastAsia="zh-CN"/>
              </w:rPr>
              <w:t xml:space="preserve">Medios de verificación: </w:t>
            </w:r>
            <w:r w:rsidRPr="008E3494">
              <w:rPr>
                <w:rFonts w:ascii="Arial" w:hAnsi="Arial" w:cs="Arial"/>
                <w:sz w:val="20"/>
                <w:szCs w:val="20"/>
                <w:lang w:eastAsia="zh-CN"/>
              </w:rPr>
              <w:t>Registros administrativos – MIDUVI</w:t>
            </w:r>
            <w:r w:rsidR="00387DD8" w:rsidRPr="008E3494">
              <w:rPr>
                <w:rFonts w:ascii="Arial" w:hAnsi="Arial" w:cs="Arial"/>
                <w:sz w:val="20"/>
                <w:szCs w:val="20"/>
                <w:lang w:eastAsia="zh-CN"/>
              </w:rPr>
              <w:t>. La información se deberá gestionar con los GAD municipales.</w:t>
            </w:r>
          </w:p>
        </w:tc>
      </w:tr>
      <w:tr w:rsidR="00AA6EC7" w:rsidRPr="008E3494" w14:paraId="3D8447B1"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2D50034E" w14:textId="4ED6D7DA" w:rsidR="00AA6EC7" w:rsidRPr="008E3494" w:rsidRDefault="007F5B37">
            <w:pPr>
              <w:spacing w:after="0" w:line="240" w:lineRule="auto"/>
              <w:rPr>
                <w:rFonts w:ascii="Arial" w:hAnsi="Arial" w:cs="Arial"/>
                <w:sz w:val="20"/>
                <w:szCs w:val="20"/>
                <w:lang w:eastAsia="zh-CN"/>
              </w:rPr>
            </w:pPr>
            <w:r w:rsidRPr="008E3494">
              <w:rPr>
                <w:rFonts w:ascii="Arial" w:hAnsi="Arial" w:cs="Arial"/>
                <w:sz w:val="20"/>
                <w:szCs w:val="20"/>
                <w:lang w:eastAsia="zh-CN"/>
              </w:rPr>
              <w:t xml:space="preserve">Número de hogares con conexión a sistema de alcantarillado o de eliminación de excretas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719BA54C" w14:textId="77777777" w:rsidR="00AA6EC7" w:rsidRPr="008E3494" w:rsidRDefault="007F5B37">
            <w:pPr>
              <w:spacing w:after="0" w:line="240" w:lineRule="auto"/>
              <w:jc w:val="center"/>
              <w:rPr>
                <w:rFonts w:ascii="Arial" w:hAnsi="Arial" w:cs="Arial"/>
                <w:sz w:val="20"/>
                <w:szCs w:val="20"/>
                <w:lang w:eastAsia="zh-CN"/>
              </w:rPr>
            </w:pPr>
            <w:proofErr w:type="spellStart"/>
            <w:r w:rsidRPr="008E3494">
              <w:rPr>
                <w:rFonts w:ascii="Arial" w:hAnsi="Arial" w:cs="Arial"/>
                <w:sz w:val="20"/>
                <w:szCs w:val="20"/>
                <w:lang w:val="en-US" w:eastAsia="zh-CN"/>
              </w:rPr>
              <w:t>Número</w:t>
            </w:r>
            <w:proofErr w:type="spellEnd"/>
            <w:r w:rsidRPr="008E3494">
              <w:rPr>
                <w:rFonts w:ascii="Arial" w:hAnsi="Arial" w:cs="Arial"/>
                <w:sz w:val="20"/>
                <w:szCs w:val="20"/>
                <w:lang w:val="en-US" w:eastAsia="zh-CN"/>
              </w:rPr>
              <w:t xml:space="preserve"> de </w:t>
            </w:r>
            <w:proofErr w:type="spellStart"/>
            <w:r w:rsidRPr="008E3494">
              <w:rPr>
                <w:rFonts w:ascii="Arial" w:hAnsi="Arial" w:cs="Arial"/>
                <w:sz w:val="20"/>
                <w:szCs w:val="20"/>
                <w:lang w:val="en-US" w:eastAsia="zh-CN"/>
              </w:rPr>
              <w:t>hogares</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7B213CE8"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eastAsia="SimSun" w:hAnsi="Arial" w:cs="Arial"/>
                <w:color w:val="000000"/>
                <w:sz w:val="20"/>
                <w:szCs w:val="20"/>
                <w:lang w:val="en-US" w:eastAsia="zh-CN" w:bidi="ar"/>
              </w:rPr>
              <w:t>0</w:t>
            </w:r>
          </w:p>
        </w:tc>
        <w:tc>
          <w:tcPr>
            <w:tcW w:w="1276" w:type="dxa"/>
            <w:tcBorders>
              <w:top w:val="single" w:sz="4" w:space="0" w:color="000000"/>
              <w:left w:val="single" w:sz="4" w:space="0" w:color="000000"/>
              <w:bottom w:val="single" w:sz="4" w:space="0" w:color="000000"/>
              <w:right w:val="single" w:sz="4" w:space="0" w:color="000000"/>
            </w:tcBorders>
            <w:vAlign w:val="center"/>
          </w:tcPr>
          <w:p w14:paraId="452A8A7D"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0C0FC125"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sz w:val="20"/>
                <w:szCs w:val="20"/>
                <w:lang w:eastAsia="zh-CN"/>
              </w:rPr>
              <w:t>4.200</w:t>
            </w:r>
          </w:p>
        </w:tc>
        <w:tc>
          <w:tcPr>
            <w:tcW w:w="5103" w:type="dxa"/>
            <w:tcBorders>
              <w:top w:val="single" w:sz="4" w:space="0" w:color="000000"/>
              <w:left w:val="single" w:sz="4" w:space="0" w:color="000000"/>
              <w:bottom w:val="single" w:sz="4" w:space="0" w:color="000000"/>
              <w:right w:val="single" w:sz="4" w:space="0" w:color="000000"/>
            </w:tcBorders>
            <w:vAlign w:val="center"/>
          </w:tcPr>
          <w:p w14:paraId="3D70C245" w14:textId="77777777" w:rsidR="001F4675" w:rsidRPr="008E3494" w:rsidRDefault="001F4675" w:rsidP="001F4675">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537152DA" w14:textId="12C7B2E9" w:rsidR="00AA6EC7" w:rsidRPr="008E3494" w:rsidRDefault="007F5B37" w:rsidP="00563917">
            <w:pPr>
              <w:spacing w:after="0" w:line="240" w:lineRule="auto"/>
              <w:rPr>
                <w:rFonts w:ascii="Arial" w:hAnsi="Arial" w:cs="Arial"/>
                <w:sz w:val="20"/>
                <w:szCs w:val="20"/>
                <w:lang w:eastAsia="zh-CN"/>
              </w:rPr>
            </w:pPr>
            <w:r w:rsidRPr="008E3494">
              <w:rPr>
                <w:rFonts w:ascii="Arial" w:hAnsi="Arial" w:cs="Arial"/>
                <w:sz w:val="20"/>
                <w:szCs w:val="20"/>
                <w:lang w:eastAsia="zh-CN"/>
              </w:rPr>
              <w:t xml:space="preserve">Registros administrativos </w:t>
            </w:r>
            <w:r w:rsidR="003A0A61" w:rsidRPr="008E3494">
              <w:rPr>
                <w:rFonts w:ascii="Arial" w:hAnsi="Arial" w:cs="Arial"/>
                <w:sz w:val="20"/>
                <w:szCs w:val="20"/>
                <w:lang w:eastAsia="zh-CN"/>
              </w:rPr>
              <w:t>–</w:t>
            </w:r>
            <w:r w:rsidRPr="008E3494">
              <w:rPr>
                <w:rFonts w:ascii="Arial" w:hAnsi="Arial" w:cs="Arial"/>
                <w:sz w:val="20"/>
                <w:szCs w:val="20"/>
                <w:lang w:eastAsia="zh-CN"/>
              </w:rPr>
              <w:t xml:space="preserve"> MIDUVI</w:t>
            </w:r>
          </w:p>
        </w:tc>
      </w:tr>
      <w:tr w:rsidR="006B2E5E" w:rsidRPr="008E3494" w14:paraId="73AE3DAD"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16BF2A9E" w14:textId="77777777" w:rsidR="006B2E5E" w:rsidRPr="008E3494" w:rsidRDefault="006B2E5E" w:rsidP="006B2E5E">
            <w:pPr>
              <w:spacing w:after="0" w:line="240" w:lineRule="auto"/>
              <w:rPr>
                <w:rFonts w:ascii="Arial" w:hAnsi="Arial" w:cs="Arial"/>
                <w:sz w:val="20"/>
                <w:szCs w:val="20"/>
                <w:lang w:eastAsia="zh-CN"/>
              </w:rPr>
            </w:pPr>
            <w:proofErr w:type="spellStart"/>
            <w:r w:rsidRPr="008E3494">
              <w:rPr>
                <w:rFonts w:ascii="Arial" w:hAnsi="Arial" w:cs="Arial"/>
                <w:sz w:val="20"/>
                <w:szCs w:val="20"/>
                <w:lang w:val="en-US" w:eastAsia="zh-CN"/>
              </w:rPr>
              <w:t>Uso</w:t>
            </w:r>
            <w:proofErr w:type="spellEnd"/>
            <w:r w:rsidRPr="008E3494">
              <w:rPr>
                <w:rFonts w:ascii="Arial" w:hAnsi="Arial" w:cs="Arial"/>
                <w:sz w:val="20"/>
                <w:szCs w:val="20"/>
                <w:lang w:val="en-US" w:eastAsia="zh-CN"/>
              </w:rPr>
              <w:t xml:space="preserve"> </w:t>
            </w:r>
            <w:proofErr w:type="spellStart"/>
            <w:r w:rsidRPr="008E3494">
              <w:rPr>
                <w:rFonts w:ascii="Arial" w:hAnsi="Arial" w:cs="Arial"/>
                <w:sz w:val="20"/>
                <w:szCs w:val="20"/>
                <w:lang w:val="en-US" w:eastAsia="zh-CN"/>
              </w:rPr>
              <w:t>efectivo</w:t>
            </w:r>
            <w:proofErr w:type="spellEnd"/>
            <w:r w:rsidRPr="008E3494">
              <w:rPr>
                <w:rFonts w:ascii="Arial" w:hAnsi="Arial" w:cs="Arial"/>
                <w:sz w:val="20"/>
                <w:szCs w:val="20"/>
                <w:lang w:val="en-US" w:eastAsia="zh-CN"/>
              </w:rPr>
              <w:t xml:space="preserve"> de </w:t>
            </w:r>
            <w:proofErr w:type="spellStart"/>
            <w:r w:rsidRPr="008E3494">
              <w:rPr>
                <w:rFonts w:ascii="Arial" w:hAnsi="Arial" w:cs="Arial"/>
                <w:sz w:val="20"/>
                <w:szCs w:val="20"/>
                <w:lang w:val="en-US" w:eastAsia="zh-CN"/>
              </w:rPr>
              <w:t>electricidad</w:t>
            </w:r>
            <w:proofErr w:type="spellEnd"/>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3ED2B6A8" w14:textId="57EBEF10" w:rsidR="006B2E5E" w:rsidRPr="008E3494" w:rsidRDefault="006B2E5E" w:rsidP="006B2E5E">
            <w:pPr>
              <w:spacing w:after="0" w:line="240" w:lineRule="auto"/>
              <w:jc w:val="center"/>
              <w:rPr>
                <w:rFonts w:ascii="Arial" w:hAnsi="Arial" w:cs="Arial"/>
                <w:sz w:val="20"/>
                <w:szCs w:val="20"/>
                <w:lang w:eastAsia="zh-CN"/>
              </w:rPr>
            </w:pPr>
            <w:r w:rsidRPr="008E3494">
              <w:rPr>
                <w:rFonts w:ascii="Arial" w:hAnsi="Arial" w:cs="Arial"/>
                <w:sz w:val="20"/>
                <w:szCs w:val="20"/>
                <w:lang w:eastAsia="zh-CN"/>
              </w:rPr>
              <w:t xml:space="preserve">kW/h mensual de   consumo </w:t>
            </w:r>
          </w:p>
        </w:tc>
        <w:tc>
          <w:tcPr>
            <w:tcW w:w="1134" w:type="dxa"/>
            <w:tcBorders>
              <w:top w:val="single" w:sz="4" w:space="0" w:color="000000"/>
              <w:left w:val="single" w:sz="4" w:space="0" w:color="000000"/>
              <w:bottom w:val="single" w:sz="4" w:space="0" w:color="000000"/>
              <w:right w:val="single" w:sz="4" w:space="0" w:color="000000"/>
            </w:tcBorders>
            <w:vAlign w:val="center"/>
          </w:tcPr>
          <w:p w14:paraId="34B61AE8" w14:textId="402ACF42" w:rsidR="006B2E5E" w:rsidRPr="008E3494" w:rsidRDefault="006B2E5E" w:rsidP="006B2E5E">
            <w:pPr>
              <w:spacing w:after="0" w:line="240" w:lineRule="auto"/>
              <w:jc w:val="center"/>
              <w:rPr>
                <w:rFonts w:ascii="Arial" w:hAnsi="Arial" w:cs="Arial"/>
                <w:i/>
                <w:sz w:val="20"/>
                <w:szCs w:val="20"/>
                <w:lang w:eastAsia="zh-CN"/>
              </w:rPr>
            </w:pPr>
            <w:r w:rsidRPr="008E3494">
              <w:rPr>
                <w:rFonts w:ascii="Arial" w:hAnsi="Arial" w:cs="Arial"/>
                <w:bCs/>
                <w:sz w:val="20"/>
                <w:szCs w:val="20"/>
              </w:rPr>
              <w:t>88,9</w:t>
            </w:r>
          </w:p>
        </w:tc>
        <w:tc>
          <w:tcPr>
            <w:tcW w:w="1276" w:type="dxa"/>
            <w:tcBorders>
              <w:top w:val="single" w:sz="4" w:space="0" w:color="000000"/>
              <w:left w:val="single" w:sz="4" w:space="0" w:color="000000"/>
              <w:bottom w:val="single" w:sz="4" w:space="0" w:color="000000"/>
              <w:right w:val="single" w:sz="4" w:space="0" w:color="000000"/>
            </w:tcBorders>
            <w:vAlign w:val="center"/>
          </w:tcPr>
          <w:p w14:paraId="493301E2" w14:textId="3D5FD0F5" w:rsidR="006B2E5E" w:rsidRPr="008E3494" w:rsidRDefault="006B2E5E" w:rsidP="006B2E5E">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2012</w:t>
            </w:r>
          </w:p>
        </w:tc>
        <w:tc>
          <w:tcPr>
            <w:tcW w:w="992" w:type="dxa"/>
            <w:tcBorders>
              <w:top w:val="single" w:sz="4" w:space="0" w:color="000000"/>
              <w:left w:val="single" w:sz="4" w:space="0" w:color="000000"/>
              <w:bottom w:val="single" w:sz="4" w:space="0" w:color="000000"/>
              <w:right w:val="single" w:sz="4" w:space="0" w:color="000000"/>
            </w:tcBorders>
            <w:vAlign w:val="center"/>
          </w:tcPr>
          <w:p w14:paraId="44DC1F81" w14:textId="5A8F1801" w:rsidR="006B2E5E" w:rsidRPr="008E3494" w:rsidRDefault="006B2E5E" w:rsidP="006B2E5E">
            <w:pPr>
              <w:spacing w:after="0" w:line="240" w:lineRule="auto"/>
              <w:jc w:val="center"/>
              <w:rPr>
                <w:rFonts w:ascii="Arial" w:hAnsi="Arial" w:cs="Arial"/>
                <w:i/>
                <w:sz w:val="20"/>
                <w:szCs w:val="20"/>
                <w:lang w:eastAsia="zh-CN"/>
              </w:rPr>
            </w:pPr>
            <w:r w:rsidRPr="008E3494">
              <w:rPr>
                <w:rFonts w:ascii="Arial" w:hAnsi="Arial" w:cs="Arial"/>
                <w:sz w:val="20"/>
                <w:szCs w:val="20"/>
                <w:lang w:eastAsia="zh-CN"/>
              </w:rPr>
              <w:t>50</w:t>
            </w:r>
          </w:p>
        </w:tc>
        <w:tc>
          <w:tcPr>
            <w:tcW w:w="5103" w:type="dxa"/>
            <w:tcBorders>
              <w:top w:val="single" w:sz="4" w:space="0" w:color="000000"/>
              <w:left w:val="single" w:sz="4" w:space="0" w:color="000000"/>
              <w:bottom w:val="single" w:sz="4" w:space="0" w:color="000000"/>
              <w:right w:val="single" w:sz="4" w:space="0" w:color="000000"/>
            </w:tcBorders>
            <w:vAlign w:val="center"/>
          </w:tcPr>
          <w:p w14:paraId="23B4AE18" w14:textId="77777777" w:rsidR="006B2E5E" w:rsidRPr="008E3494" w:rsidRDefault="006B2E5E" w:rsidP="006B2E5E">
            <w:pPr>
              <w:autoSpaceDE w:val="0"/>
              <w:autoSpaceDN w:val="0"/>
              <w:adjustRightInd w:val="0"/>
              <w:spacing w:after="0" w:line="240" w:lineRule="auto"/>
              <w:rPr>
                <w:rFonts w:ascii="Arial" w:eastAsia="Calibri" w:hAnsi="Arial" w:cs="Arial"/>
                <w:color w:val="000000"/>
                <w:sz w:val="20"/>
                <w:szCs w:val="20"/>
                <w:lang w:eastAsia="es-EC"/>
              </w:rPr>
            </w:pPr>
            <w:r w:rsidRPr="008E3494">
              <w:rPr>
                <w:rFonts w:ascii="Arial" w:hAnsi="Arial" w:cs="Arial"/>
                <w:color w:val="000000"/>
                <w:sz w:val="20"/>
                <w:szCs w:val="20"/>
                <w:lang w:eastAsia="es-EC"/>
              </w:rPr>
              <w:t xml:space="preserve">La línea base se obtuvo del </w:t>
            </w:r>
          </w:p>
          <w:p w14:paraId="65879DEA" w14:textId="77777777" w:rsidR="006B2E5E" w:rsidRPr="008E3494" w:rsidRDefault="006B2E5E" w:rsidP="006B2E5E">
            <w:pPr>
              <w:spacing w:after="0" w:line="240" w:lineRule="auto"/>
              <w:rPr>
                <w:rFonts w:ascii="Arial" w:hAnsi="Arial" w:cs="Arial"/>
                <w:sz w:val="20"/>
                <w:szCs w:val="20"/>
                <w:lang w:eastAsia="es-EC"/>
              </w:rPr>
            </w:pPr>
            <w:r w:rsidRPr="008E3494">
              <w:rPr>
                <w:rFonts w:ascii="Arial" w:hAnsi="Arial" w:cs="Arial"/>
                <w:sz w:val="20"/>
                <w:szCs w:val="20"/>
                <w:lang w:eastAsia="es-EC"/>
              </w:rPr>
              <w:t>Módulo de Buenas Prácticas Ambientales 2011 – Modulo de Información Ambiental 2012 ENEMDU – Diciembre, considerando el indicador: “</w:t>
            </w:r>
            <w:r w:rsidRPr="008E3494">
              <w:rPr>
                <w:rFonts w:ascii="Arial" w:hAnsi="Arial" w:cs="Arial"/>
                <w:bCs/>
                <w:sz w:val="20"/>
                <w:szCs w:val="20"/>
                <w:lang w:eastAsia="es-EC"/>
              </w:rPr>
              <w:t>Consumo mensual de energía eléctrica -Rural”</w:t>
            </w:r>
          </w:p>
          <w:p w14:paraId="1EC219FD" w14:textId="77777777" w:rsidR="006B2E5E" w:rsidRPr="008E3494" w:rsidRDefault="006B2E5E" w:rsidP="006B2E5E">
            <w:pPr>
              <w:spacing w:after="0" w:line="240" w:lineRule="auto"/>
              <w:rPr>
                <w:rFonts w:ascii="Arial" w:hAnsi="Arial" w:cs="Arial"/>
                <w:sz w:val="20"/>
                <w:szCs w:val="20"/>
                <w:lang w:eastAsia="zh-CN"/>
              </w:rPr>
            </w:pPr>
          </w:p>
          <w:p w14:paraId="3E98CBC2" w14:textId="176BBBAE" w:rsidR="006B2E5E" w:rsidRPr="008E3494" w:rsidRDefault="006B2E5E" w:rsidP="006B2E5E">
            <w:pPr>
              <w:spacing w:after="0" w:line="240" w:lineRule="auto"/>
              <w:rPr>
                <w:rFonts w:ascii="Arial" w:hAnsi="Arial" w:cs="Arial"/>
                <w:sz w:val="20"/>
                <w:szCs w:val="20"/>
                <w:lang w:eastAsia="zh-CN"/>
              </w:rPr>
            </w:pPr>
            <w:r w:rsidRPr="008E3494">
              <w:rPr>
                <w:rFonts w:ascii="Arial" w:hAnsi="Arial" w:cs="Arial"/>
                <w:sz w:val="20"/>
                <w:szCs w:val="20"/>
                <w:lang w:eastAsia="zh-CN"/>
              </w:rPr>
              <w:t>La meta se establece considerando un consumo promedio de todos los hogares de 50 kW/h por mes.</w:t>
            </w:r>
          </w:p>
          <w:p w14:paraId="1B0BC19A" w14:textId="77777777" w:rsidR="006B2E5E" w:rsidRPr="008E3494" w:rsidRDefault="006B2E5E" w:rsidP="006B2E5E">
            <w:pPr>
              <w:spacing w:after="0" w:line="240" w:lineRule="auto"/>
              <w:rPr>
                <w:rFonts w:ascii="Arial" w:hAnsi="Arial" w:cs="Arial"/>
                <w:b/>
                <w:sz w:val="20"/>
                <w:szCs w:val="20"/>
                <w:lang w:eastAsia="zh-CN"/>
              </w:rPr>
            </w:pPr>
          </w:p>
          <w:p w14:paraId="29D99BEC" w14:textId="77777777" w:rsidR="006B2E5E" w:rsidRPr="008E3494" w:rsidRDefault="006B2E5E" w:rsidP="006B2E5E">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79E1A999" w14:textId="77777777" w:rsidR="006B2E5E" w:rsidRPr="008E3494" w:rsidRDefault="006B2E5E" w:rsidP="006B2E5E">
            <w:pPr>
              <w:spacing w:after="0" w:line="240" w:lineRule="auto"/>
              <w:rPr>
                <w:rFonts w:ascii="Arial" w:hAnsi="Arial" w:cs="Arial"/>
                <w:sz w:val="20"/>
                <w:szCs w:val="20"/>
                <w:lang w:eastAsia="zh-CN"/>
              </w:rPr>
            </w:pPr>
            <w:r w:rsidRPr="008E3494">
              <w:rPr>
                <w:rFonts w:ascii="Arial" w:hAnsi="Arial" w:cs="Arial"/>
                <w:sz w:val="20"/>
                <w:szCs w:val="20"/>
                <w:lang w:eastAsia="zh-CN"/>
              </w:rPr>
              <w:t>Registros administrativos – MIDUVI</w:t>
            </w:r>
          </w:p>
          <w:p w14:paraId="4BB180FD" w14:textId="61344D03" w:rsidR="00387DD8" w:rsidRPr="008E3494" w:rsidRDefault="00387DD8" w:rsidP="006B2E5E">
            <w:pPr>
              <w:spacing w:after="0" w:line="240" w:lineRule="auto"/>
              <w:rPr>
                <w:rFonts w:ascii="Arial" w:hAnsi="Arial" w:cs="Arial"/>
                <w:sz w:val="20"/>
                <w:szCs w:val="20"/>
                <w:lang w:eastAsia="zh-CN"/>
              </w:rPr>
            </w:pPr>
            <w:r w:rsidRPr="008E3494">
              <w:rPr>
                <w:rFonts w:ascii="Arial" w:hAnsi="Arial" w:cs="Arial"/>
                <w:sz w:val="20"/>
                <w:szCs w:val="20"/>
                <w:lang w:eastAsia="zh-CN"/>
              </w:rPr>
              <w:lastRenderedPageBreak/>
              <w:t>La información de consumo eléctrico se podrá obtener a partir del Código Único Eléctrico Nacional (CUEN) de las planillas de energía eléctrica de los hogares.</w:t>
            </w:r>
          </w:p>
        </w:tc>
      </w:tr>
      <w:tr w:rsidR="00AA6EC7" w:rsidRPr="008E3494" w14:paraId="39A4FD8E" w14:textId="77777777" w:rsidTr="00673F3C">
        <w:trPr>
          <w:trHeight w:val="368"/>
        </w:trPr>
        <w:tc>
          <w:tcPr>
            <w:tcW w:w="13036" w:type="dxa"/>
            <w:gridSpan w:val="7"/>
            <w:tcBorders>
              <w:top w:val="single" w:sz="4" w:space="0" w:color="000000"/>
              <w:left w:val="single" w:sz="4" w:space="0" w:color="000000"/>
              <w:bottom w:val="single" w:sz="4" w:space="0" w:color="000000"/>
              <w:right w:val="single" w:sz="4" w:space="0" w:color="auto"/>
            </w:tcBorders>
            <w:vAlign w:val="center"/>
          </w:tcPr>
          <w:p w14:paraId="7E8118E5" w14:textId="77777777" w:rsidR="00AA6EC7" w:rsidRPr="008E3494" w:rsidRDefault="007F5B37">
            <w:pPr>
              <w:spacing w:before="120" w:after="120" w:line="240" w:lineRule="auto"/>
              <w:rPr>
                <w:rFonts w:ascii="Arial" w:hAnsi="Arial" w:cs="Arial"/>
                <w:sz w:val="20"/>
                <w:szCs w:val="20"/>
                <w:lang w:eastAsia="zh-CN"/>
              </w:rPr>
            </w:pPr>
            <w:r w:rsidRPr="008E3494">
              <w:rPr>
                <w:rFonts w:ascii="Arial" w:hAnsi="Arial" w:cs="Arial"/>
                <w:b/>
                <w:caps/>
                <w:sz w:val="20"/>
                <w:szCs w:val="20"/>
                <w:u w:val="single"/>
                <w:lang w:eastAsia="zh-CN"/>
              </w:rPr>
              <w:t>resultado #2: Incremento de viviendas adecuadas (ZONAS URBANAS)</w:t>
            </w:r>
          </w:p>
        </w:tc>
      </w:tr>
      <w:tr w:rsidR="00AA6EC7" w:rsidRPr="008E3494" w14:paraId="2F99BDD0"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09A00DE0" w14:textId="77777777" w:rsidR="00AA6EC7" w:rsidRPr="008E3494" w:rsidRDefault="007F5B37">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Número de hogares beneficiarios con vivienda nueva adecuada</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5C410352"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Número</w:t>
            </w:r>
          </w:p>
        </w:tc>
        <w:tc>
          <w:tcPr>
            <w:tcW w:w="1134" w:type="dxa"/>
            <w:tcBorders>
              <w:top w:val="single" w:sz="4" w:space="0" w:color="000000"/>
              <w:left w:val="single" w:sz="4" w:space="0" w:color="000000"/>
              <w:bottom w:val="single" w:sz="4" w:space="0" w:color="000000"/>
              <w:right w:val="single" w:sz="4" w:space="0" w:color="000000"/>
            </w:tcBorders>
            <w:vAlign w:val="center"/>
          </w:tcPr>
          <w:p w14:paraId="45293C6D"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sz w:val="20"/>
                <w:szCs w:val="20"/>
                <w:lang w:eastAsia="zh-CN"/>
              </w:rPr>
              <w:t>0</w:t>
            </w:r>
          </w:p>
        </w:tc>
        <w:tc>
          <w:tcPr>
            <w:tcW w:w="1276" w:type="dxa"/>
            <w:tcBorders>
              <w:top w:val="single" w:sz="4" w:space="0" w:color="000000"/>
              <w:left w:val="single" w:sz="4" w:space="0" w:color="000000"/>
              <w:bottom w:val="single" w:sz="4" w:space="0" w:color="000000"/>
              <w:right w:val="single" w:sz="4" w:space="0" w:color="000000"/>
            </w:tcBorders>
            <w:vAlign w:val="center"/>
          </w:tcPr>
          <w:p w14:paraId="5A00010E"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sz w:val="20"/>
                <w:szCs w:val="20"/>
                <w:lang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4D355FA9"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7.650</w:t>
            </w:r>
          </w:p>
        </w:tc>
        <w:tc>
          <w:tcPr>
            <w:tcW w:w="5103" w:type="dxa"/>
            <w:tcBorders>
              <w:top w:val="single" w:sz="4" w:space="0" w:color="000000"/>
              <w:left w:val="single" w:sz="4" w:space="0" w:color="000000"/>
              <w:bottom w:val="single" w:sz="4" w:space="0" w:color="000000"/>
              <w:right w:val="single" w:sz="4" w:space="0" w:color="000000"/>
            </w:tcBorders>
            <w:vAlign w:val="center"/>
          </w:tcPr>
          <w:p w14:paraId="65836893" w14:textId="7D4FB96C" w:rsidR="008A0D85" w:rsidRPr="008E3494" w:rsidRDefault="008A0D85" w:rsidP="008A0D85">
            <w:pPr>
              <w:spacing w:after="0" w:line="240" w:lineRule="auto"/>
              <w:rPr>
                <w:rFonts w:ascii="Arial" w:hAnsi="Arial" w:cs="Arial"/>
                <w:b/>
                <w:sz w:val="20"/>
                <w:szCs w:val="20"/>
                <w:lang w:eastAsia="zh-CN"/>
              </w:rPr>
            </w:pPr>
            <w:r w:rsidRPr="008E3494">
              <w:rPr>
                <w:rFonts w:ascii="Arial" w:hAnsi="Arial" w:cs="Arial"/>
                <w:b/>
                <w:sz w:val="20"/>
                <w:szCs w:val="20"/>
                <w:lang w:eastAsia="zh-CN"/>
              </w:rPr>
              <w:t>Medios de verificación:</w:t>
            </w:r>
          </w:p>
          <w:p w14:paraId="13A3AD9D" w14:textId="77777777" w:rsidR="00AA6EC7" w:rsidRPr="008E3494" w:rsidRDefault="007F5B37" w:rsidP="001F4675">
            <w:pPr>
              <w:spacing w:after="0" w:line="240" w:lineRule="auto"/>
              <w:rPr>
                <w:rFonts w:ascii="Arial" w:hAnsi="Arial" w:cs="Arial"/>
                <w:sz w:val="20"/>
                <w:szCs w:val="20"/>
                <w:lang w:eastAsia="zh-CN"/>
              </w:rPr>
            </w:pPr>
            <w:r w:rsidRPr="008E3494">
              <w:rPr>
                <w:rFonts w:ascii="Arial" w:hAnsi="Arial" w:cs="Arial"/>
                <w:sz w:val="20"/>
                <w:szCs w:val="20"/>
                <w:lang w:eastAsia="zh-CN"/>
              </w:rPr>
              <w:t>- Reportes (matrices) de seguimiento</w:t>
            </w:r>
          </w:p>
          <w:p w14:paraId="09482400" w14:textId="77777777" w:rsidR="00AA6EC7" w:rsidRPr="008E3494" w:rsidRDefault="007F5B37" w:rsidP="001F4675">
            <w:pPr>
              <w:spacing w:after="0" w:line="240" w:lineRule="auto"/>
              <w:rPr>
                <w:rFonts w:ascii="Arial" w:hAnsi="Arial" w:cs="Arial"/>
                <w:sz w:val="20"/>
                <w:szCs w:val="20"/>
                <w:lang w:eastAsia="zh-CN"/>
              </w:rPr>
            </w:pPr>
            <w:r w:rsidRPr="008E3494">
              <w:rPr>
                <w:rFonts w:ascii="Arial" w:hAnsi="Arial" w:cs="Arial"/>
                <w:sz w:val="20"/>
                <w:szCs w:val="20"/>
                <w:lang w:eastAsia="zh-CN"/>
              </w:rPr>
              <w:t>-  Actas de entrega-recepción</w:t>
            </w:r>
          </w:p>
        </w:tc>
      </w:tr>
      <w:tr w:rsidR="00AA6EC7" w:rsidRPr="008E3494" w14:paraId="601F06D3" w14:textId="77777777" w:rsidTr="00673F3C">
        <w:trPr>
          <w:trHeight w:val="64"/>
        </w:trPr>
        <w:tc>
          <w:tcPr>
            <w:tcW w:w="13036" w:type="dxa"/>
            <w:gridSpan w:val="7"/>
            <w:tcBorders>
              <w:top w:val="single" w:sz="4" w:space="0" w:color="000000"/>
              <w:left w:val="single" w:sz="4" w:space="0" w:color="000000"/>
              <w:bottom w:val="single" w:sz="4" w:space="0" w:color="000000"/>
              <w:right w:val="single" w:sz="4" w:space="0" w:color="auto"/>
            </w:tcBorders>
            <w:vAlign w:val="center"/>
          </w:tcPr>
          <w:p w14:paraId="6261E1C4" w14:textId="0A54831B" w:rsidR="00AA6EC7" w:rsidRPr="008E3494" w:rsidRDefault="007F5B37">
            <w:pPr>
              <w:spacing w:before="120" w:after="120" w:line="240" w:lineRule="auto"/>
              <w:rPr>
                <w:rFonts w:ascii="Arial" w:hAnsi="Arial" w:cs="Arial"/>
                <w:sz w:val="20"/>
                <w:szCs w:val="20"/>
                <w:lang w:eastAsia="zh-CN"/>
              </w:rPr>
            </w:pPr>
            <w:r w:rsidRPr="008E3494">
              <w:rPr>
                <w:rFonts w:ascii="Arial" w:hAnsi="Arial" w:cs="Arial"/>
              </w:rPr>
              <w:br w:type="page"/>
            </w:r>
            <w:r w:rsidRPr="008E3494">
              <w:rPr>
                <w:rFonts w:ascii="Arial" w:hAnsi="Arial" w:cs="Arial"/>
                <w:b/>
                <w:bCs/>
                <w:color w:val="000000"/>
              </w:rPr>
              <w:t>Resultado #2.1: Reducir déficit habitacional en zona urbana</w:t>
            </w:r>
          </w:p>
        </w:tc>
      </w:tr>
      <w:tr w:rsidR="00AA6EC7" w:rsidRPr="008E3494" w14:paraId="313BBBEE"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2155B8B3" w14:textId="77777777" w:rsidR="00AA6EC7" w:rsidRPr="008E3494" w:rsidRDefault="007F5B37">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Reducción de porcentaje déficit habitacional cuantitativo</w:t>
            </w:r>
          </w:p>
        </w:tc>
        <w:tc>
          <w:tcPr>
            <w:tcW w:w="1276" w:type="dxa"/>
            <w:tcBorders>
              <w:top w:val="single" w:sz="4" w:space="0" w:color="000000"/>
              <w:left w:val="single" w:sz="4" w:space="0" w:color="000000"/>
              <w:bottom w:val="single" w:sz="4" w:space="0" w:color="000000"/>
              <w:right w:val="single" w:sz="4" w:space="0" w:color="000000"/>
            </w:tcBorders>
            <w:vAlign w:val="center"/>
          </w:tcPr>
          <w:p w14:paraId="709B8204"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Porcentaje</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14:paraId="18D7CF3D"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eastAsia="zh-CN"/>
              </w:rPr>
              <w:t>8%</w:t>
            </w:r>
          </w:p>
        </w:tc>
        <w:tc>
          <w:tcPr>
            <w:tcW w:w="1276" w:type="dxa"/>
            <w:tcBorders>
              <w:top w:val="single" w:sz="4" w:space="0" w:color="000000"/>
              <w:left w:val="single" w:sz="4" w:space="0" w:color="000000"/>
              <w:bottom w:val="single" w:sz="4" w:space="0" w:color="000000"/>
              <w:right w:val="single" w:sz="4" w:space="0" w:color="000000"/>
            </w:tcBorders>
            <w:vAlign w:val="center"/>
          </w:tcPr>
          <w:p w14:paraId="2A360D56" w14:textId="77777777" w:rsidR="00AA6EC7" w:rsidRPr="008E3494" w:rsidRDefault="007F5B37">
            <w:pPr>
              <w:spacing w:after="0" w:line="240" w:lineRule="auto"/>
              <w:jc w:val="center"/>
              <w:rPr>
                <w:rFonts w:ascii="Arial" w:hAnsi="Arial" w:cs="Arial"/>
                <w:iCs/>
                <w:sz w:val="20"/>
                <w:szCs w:val="20"/>
                <w:lang w:eastAsia="zh-CN"/>
              </w:rPr>
            </w:pPr>
            <w:r w:rsidRPr="008E3494">
              <w:rPr>
                <w:rFonts w:ascii="Arial" w:hAnsi="Arial" w:cs="Arial"/>
                <w:iCs/>
                <w:sz w:val="20"/>
                <w:szCs w:val="20"/>
                <w:lang w:eastAsia="zh-CN"/>
              </w:rPr>
              <w:t>2017</w:t>
            </w:r>
          </w:p>
          <w:p w14:paraId="76AA5C3A"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eastAsia="zh-CN"/>
              </w:rPr>
              <w:t>(Diciembre)</w:t>
            </w:r>
          </w:p>
        </w:tc>
        <w:tc>
          <w:tcPr>
            <w:tcW w:w="992" w:type="dxa"/>
            <w:tcBorders>
              <w:top w:val="single" w:sz="4" w:space="0" w:color="000000"/>
              <w:left w:val="single" w:sz="4" w:space="0" w:color="000000"/>
              <w:bottom w:val="single" w:sz="4" w:space="0" w:color="000000"/>
              <w:right w:val="single" w:sz="4" w:space="0" w:color="000000"/>
            </w:tcBorders>
            <w:vAlign w:val="center"/>
          </w:tcPr>
          <w:p w14:paraId="00A121EC"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eastAsia="SimSun" w:hAnsi="Arial" w:cs="Arial"/>
                <w:iCs/>
                <w:color w:val="000000"/>
                <w:sz w:val="20"/>
                <w:szCs w:val="20"/>
                <w:lang w:eastAsia="zh-CN" w:bidi="ar"/>
              </w:rPr>
              <w:t>7,68%</w:t>
            </w:r>
          </w:p>
        </w:tc>
        <w:tc>
          <w:tcPr>
            <w:tcW w:w="5103" w:type="dxa"/>
            <w:tcBorders>
              <w:top w:val="single" w:sz="4" w:space="0" w:color="000000"/>
              <w:left w:val="single" w:sz="4" w:space="0" w:color="000000"/>
              <w:bottom w:val="single" w:sz="4" w:space="0" w:color="000000"/>
              <w:right w:val="single" w:sz="4" w:space="0" w:color="auto"/>
            </w:tcBorders>
            <w:vAlign w:val="center"/>
          </w:tcPr>
          <w:p w14:paraId="409F1029" w14:textId="232B6485" w:rsidR="00AA6EC7" w:rsidRPr="008E3494" w:rsidRDefault="008A0D85" w:rsidP="008A0D85">
            <w:pPr>
              <w:spacing w:after="0" w:line="240" w:lineRule="auto"/>
              <w:rPr>
                <w:rFonts w:ascii="Arial" w:hAnsi="Arial" w:cs="Arial"/>
                <w:b/>
                <w:sz w:val="20"/>
                <w:szCs w:val="20"/>
                <w:lang w:eastAsia="zh-CN"/>
              </w:rPr>
            </w:pPr>
            <w:r w:rsidRPr="008E3494">
              <w:rPr>
                <w:rFonts w:ascii="Arial" w:hAnsi="Arial" w:cs="Arial"/>
                <w:b/>
                <w:sz w:val="20"/>
                <w:szCs w:val="20"/>
                <w:lang w:eastAsia="zh-CN"/>
              </w:rPr>
              <w:t xml:space="preserve">Medio de verificación: </w:t>
            </w:r>
            <w:r w:rsidR="007F5B37" w:rsidRPr="008E3494">
              <w:rPr>
                <w:rFonts w:ascii="Arial" w:hAnsi="Arial" w:cs="Arial"/>
                <w:sz w:val="20"/>
                <w:szCs w:val="20"/>
                <w:lang w:eastAsia="zh-CN"/>
              </w:rPr>
              <w:t>Encuesta Nacional de Empleo, Desempleo y subempleo – ENEMDU</w:t>
            </w:r>
          </w:p>
        </w:tc>
      </w:tr>
      <w:tr w:rsidR="00AA6EC7" w:rsidRPr="008E3494" w14:paraId="725CA423" w14:textId="77777777" w:rsidTr="00673F3C">
        <w:trPr>
          <w:trHeight w:val="490"/>
        </w:trPr>
        <w:tc>
          <w:tcPr>
            <w:tcW w:w="13036" w:type="dxa"/>
            <w:gridSpan w:val="7"/>
            <w:tcBorders>
              <w:top w:val="single" w:sz="4" w:space="0" w:color="000000"/>
              <w:left w:val="single" w:sz="4" w:space="0" w:color="000000"/>
              <w:bottom w:val="single" w:sz="4" w:space="0" w:color="000000"/>
              <w:right w:val="single" w:sz="4" w:space="0" w:color="auto"/>
            </w:tcBorders>
            <w:vAlign w:val="center"/>
          </w:tcPr>
          <w:p w14:paraId="5BA55FE4" w14:textId="0576AA91" w:rsidR="00AA6EC7" w:rsidRPr="008E3494" w:rsidRDefault="007F5B37" w:rsidP="00AF0466">
            <w:pPr>
              <w:spacing w:after="0" w:line="240" w:lineRule="auto"/>
              <w:rPr>
                <w:rFonts w:ascii="Arial" w:hAnsi="Arial" w:cs="Arial"/>
                <w:sz w:val="20"/>
                <w:szCs w:val="20"/>
                <w:lang w:eastAsia="zh-CN"/>
              </w:rPr>
            </w:pPr>
            <w:r w:rsidRPr="008E3494">
              <w:rPr>
                <w:rFonts w:ascii="Arial" w:hAnsi="Arial" w:cs="Arial"/>
                <w:b/>
                <w:bCs/>
                <w:color w:val="000000"/>
              </w:rPr>
              <w:t xml:space="preserve">Resultado #2.2: </w:t>
            </w:r>
            <w:r w:rsidR="00AF0466" w:rsidRPr="008E3494">
              <w:rPr>
                <w:rFonts w:ascii="Arial" w:hAnsi="Arial" w:cs="Arial"/>
                <w:b/>
                <w:bCs/>
                <w:color w:val="000000"/>
              </w:rPr>
              <w:t>Reducción de hacinamiento</w:t>
            </w:r>
          </w:p>
        </w:tc>
      </w:tr>
      <w:tr w:rsidR="00AA6EC7" w:rsidRPr="008E3494" w14:paraId="7DF64806"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6711CBA6" w14:textId="77777777" w:rsidR="00AA6EC7" w:rsidRPr="008E3494" w:rsidRDefault="007F5B37">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 xml:space="preserve">Porcentaje de viviendas con hacinamiento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30BE7FBD" w14:textId="77777777" w:rsidR="00AA6EC7" w:rsidRPr="008E3494" w:rsidRDefault="007F5B37">
            <w:pPr>
              <w:spacing w:after="0" w:line="240" w:lineRule="auto"/>
              <w:jc w:val="center"/>
              <w:rPr>
                <w:rFonts w:ascii="Arial" w:hAnsi="Arial" w:cs="Arial"/>
                <w:sz w:val="20"/>
                <w:szCs w:val="20"/>
                <w:lang w:eastAsia="zh-CN"/>
              </w:rPr>
            </w:pPr>
            <w:proofErr w:type="spellStart"/>
            <w:r w:rsidRPr="008E3494">
              <w:rPr>
                <w:rFonts w:ascii="Arial" w:hAnsi="Arial" w:cs="Arial"/>
                <w:sz w:val="20"/>
                <w:szCs w:val="20"/>
                <w:lang w:val="en-US" w:eastAsia="zh-CN"/>
              </w:rPr>
              <w:t>Porcentaje</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173746BC"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0</w:t>
            </w:r>
          </w:p>
        </w:tc>
        <w:tc>
          <w:tcPr>
            <w:tcW w:w="1276" w:type="dxa"/>
            <w:tcBorders>
              <w:top w:val="single" w:sz="4" w:space="0" w:color="000000"/>
              <w:left w:val="single" w:sz="4" w:space="0" w:color="000000"/>
              <w:bottom w:val="single" w:sz="4" w:space="0" w:color="000000"/>
              <w:right w:val="single" w:sz="4" w:space="0" w:color="000000"/>
            </w:tcBorders>
            <w:vAlign w:val="center"/>
          </w:tcPr>
          <w:p w14:paraId="3EA1624E"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5045132A" w14:textId="6C6E9AF5" w:rsidR="00AA6EC7" w:rsidRPr="008E3494" w:rsidRDefault="00AF0466">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0</w:t>
            </w:r>
            <w:r w:rsidR="007F5B37" w:rsidRPr="008E3494">
              <w:rPr>
                <w:rFonts w:ascii="Arial" w:hAnsi="Arial" w:cs="Arial"/>
                <w:iCs/>
                <w:sz w:val="20"/>
                <w:szCs w:val="20"/>
                <w:lang w:val="en-US" w:eastAsia="zh-CN"/>
              </w:rPr>
              <w:t>%</w:t>
            </w:r>
          </w:p>
        </w:tc>
        <w:tc>
          <w:tcPr>
            <w:tcW w:w="5103" w:type="dxa"/>
            <w:tcBorders>
              <w:top w:val="single" w:sz="4" w:space="0" w:color="000000"/>
              <w:left w:val="single" w:sz="4" w:space="0" w:color="000000"/>
              <w:bottom w:val="single" w:sz="4" w:space="0" w:color="000000"/>
              <w:right w:val="single" w:sz="4" w:space="0" w:color="000000"/>
            </w:tcBorders>
            <w:vAlign w:val="center"/>
          </w:tcPr>
          <w:p w14:paraId="50D0F25B" w14:textId="77777777" w:rsidR="00AF0466" w:rsidRPr="008E3494" w:rsidRDefault="00AF0466" w:rsidP="00AF0466">
            <w:pPr>
              <w:spacing w:after="0" w:line="240" w:lineRule="auto"/>
              <w:jc w:val="both"/>
              <w:rPr>
                <w:rFonts w:ascii="Arial" w:hAnsi="Arial" w:cs="Arial"/>
                <w:sz w:val="20"/>
                <w:szCs w:val="20"/>
                <w:lang w:eastAsia="zh-CN"/>
              </w:rPr>
            </w:pPr>
            <w:r w:rsidRPr="008E3494">
              <w:rPr>
                <w:rFonts w:ascii="Arial" w:hAnsi="Arial" w:cs="Arial"/>
                <w:color w:val="000000"/>
                <w:sz w:val="20"/>
                <w:szCs w:val="20"/>
                <w:shd w:val="clear" w:color="auto" w:fill="FFFFFF"/>
              </w:rPr>
              <w:t xml:space="preserve">Hacinamiento: Viviendas con más de 3 personas por dormitorio.  Se define como dormitorio a los cuartos o espacios dedicados sólo para </w:t>
            </w:r>
            <w:proofErr w:type="gramStart"/>
            <w:r w:rsidRPr="008E3494">
              <w:rPr>
                <w:rFonts w:ascii="Arial" w:hAnsi="Arial" w:cs="Arial"/>
                <w:color w:val="000000"/>
                <w:sz w:val="20"/>
                <w:szCs w:val="20"/>
                <w:shd w:val="clear" w:color="auto" w:fill="FFFFFF"/>
              </w:rPr>
              <w:t>dormir  (</w:t>
            </w:r>
            <w:proofErr w:type="gramEnd"/>
            <w:r w:rsidRPr="008E3494">
              <w:rPr>
                <w:rFonts w:ascii="Arial" w:hAnsi="Arial" w:cs="Arial"/>
                <w:color w:val="000000"/>
                <w:sz w:val="20"/>
                <w:szCs w:val="20"/>
                <w:shd w:val="clear" w:color="auto" w:fill="FFFFFF"/>
              </w:rPr>
              <w:t>INEC).</w:t>
            </w:r>
          </w:p>
          <w:p w14:paraId="33229593" w14:textId="77777777" w:rsidR="00AF0466" w:rsidRPr="008E3494" w:rsidRDefault="00AF0466" w:rsidP="008A0D85">
            <w:pPr>
              <w:spacing w:after="0" w:line="240" w:lineRule="auto"/>
              <w:rPr>
                <w:rFonts w:ascii="Arial" w:hAnsi="Arial" w:cs="Arial"/>
                <w:b/>
                <w:sz w:val="20"/>
                <w:szCs w:val="20"/>
                <w:lang w:eastAsia="zh-CN"/>
              </w:rPr>
            </w:pPr>
          </w:p>
          <w:p w14:paraId="04FD2161" w14:textId="1F06F886" w:rsidR="00AA6EC7" w:rsidRPr="008E3494" w:rsidRDefault="008A0D85" w:rsidP="008A0D85">
            <w:pPr>
              <w:spacing w:after="0" w:line="240" w:lineRule="auto"/>
              <w:rPr>
                <w:rFonts w:ascii="Arial" w:hAnsi="Arial" w:cs="Arial"/>
                <w:b/>
                <w:sz w:val="20"/>
                <w:szCs w:val="20"/>
                <w:lang w:eastAsia="zh-CN"/>
              </w:rPr>
            </w:pPr>
            <w:r w:rsidRPr="008E3494">
              <w:rPr>
                <w:rFonts w:ascii="Arial" w:hAnsi="Arial" w:cs="Arial"/>
                <w:b/>
                <w:sz w:val="20"/>
                <w:szCs w:val="20"/>
                <w:lang w:eastAsia="zh-CN"/>
              </w:rPr>
              <w:t>Medio</w:t>
            </w:r>
            <w:r w:rsidR="003A0A61" w:rsidRPr="008E3494">
              <w:rPr>
                <w:rFonts w:ascii="Arial" w:hAnsi="Arial" w:cs="Arial"/>
                <w:b/>
                <w:sz w:val="20"/>
                <w:szCs w:val="20"/>
                <w:lang w:eastAsia="zh-CN"/>
              </w:rPr>
              <w:t xml:space="preserve"> de verificación: </w:t>
            </w:r>
            <w:r w:rsidR="007F5B37" w:rsidRPr="008E3494">
              <w:rPr>
                <w:rFonts w:ascii="Arial" w:hAnsi="Arial" w:cs="Arial"/>
                <w:sz w:val="20"/>
                <w:szCs w:val="20"/>
                <w:lang w:eastAsia="zh-CN"/>
              </w:rPr>
              <w:t>Registros administrativos - MIDUVI</w:t>
            </w:r>
          </w:p>
        </w:tc>
      </w:tr>
      <w:tr w:rsidR="00AA6EC7" w:rsidRPr="008E3494" w14:paraId="2877D149"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6C35FA73" w14:textId="77777777" w:rsidR="00AA6EC7" w:rsidRPr="008E3494" w:rsidRDefault="007F5B37">
            <w:pPr>
              <w:pStyle w:val="ListParagraph"/>
              <w:spacing w:after="0" w:line="240" w:lineRule="auto"/>
              <w:ind w:left="0"/>
              <w:rPr>
                <w:rFonts w:ascii="Arial" w:hAnsi="Arial" w:cs="Arial"/>
                <w:sz w:val="20"/>
                <w:szCs w:val="20"/>
                <w:lang w:eastAsia="zh-CN"/>
              </w:rPr>
            </w:pPr>
            <w:proofErr w:type="spellStart"/>
            <w:r w:rsidRPr="008E3494">
              <w:rPr>
                <w:rFonts w:ascii="Arial" w:hAnsi="Arial" w:cs="Arial"/>
                <w:sz w:val="20"/>
                <w:szCs w:val="20"/>
                <w:lang w:val="en-US" w:eastAsia="zh-CN"/>
              </w:rPr>
              <w:t>Percepción</w:t>
            </w:r>
            <w:proofErr w:type="spellEnd"/>
            <w:r w:rsidRPr="008E3494">
              <w:rPr>
                <w:rFonts w:ascii="Arial" w:hAnsi="Arial" w:cs="Arial"/>
                <w:sz w:val="20"/>
                <w:szCs w:val="20"/>
                <w:lang w:val="en-US" w:eastAsia="zh-CN"/>
              </w:rPr>
              <w:t xml:space="preserve"> de </w:t>
            </w:r>
            <w:proofErr w:type="spellStart"/>
            <w:r w:rsidRPr="008E3494">
              <w:rPr>
                <w:rFonts w:ascii="Arial" w:hAnsi="Arial" w:cs="Arial"/>
                <w:sz w:val="20"/>
                <w:szCs w:val="20"/>
                <w:lang w:val="en-US" w:eastAsia="zh-CN"/>
              </w:rPr>
              <w:t>hacinamiento</w:t>
            </w:r>
            <w:proofErr w:type="spellEnd"/>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DD5F9BF" w14:textId="77777777" w:rsidR="00AA6EC7" w:rsidRPr="008E3494" w:rsidRDefault="007F5B37">
            <w:pPr>
              <w:spacing w:after="0" w:line="240" w:lineRule="auto"/>
              <w:jc w:val="center"/>
              <w:rPr>
                <w:rFonts w:ascii="Arial" w:hAnsi="Arial" w:cs="Arial"/>
                <w:sz w:val="20"/>
                <w:szCs w:val="20"/>
                <w:lang w:eastAsia="zh-CN"/>
              </w:rPr>
            </w:pPr>
            <w:proofErr w:type="spellStart"/>
            <w:r w:rsidRPr="008E3494">
              <w:rPr>
                <w:rFonts w:ascii="Arial" w:hAnsi="Arial" w:cs="Arial"/>
                <w:sz w:val="20"/>
                <w:szCs w:val="20"/>
                <w:lang w:val="en-US" w:eastAsia="zh-CN"/>
              </w:rPr>
              <w:t>Porcentaje</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44DB0AD9"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0</w:t>
            </w:r>
          </w:p>
        </w:tc>
        <w:tc>
          <w:tcPr>
            <w:tcW w:w="1276" w:type="dxa"/>
            <w:tcBorders>
              <w:top w:val="single" w:sz="4" w:space="0" w:color="000000"/>
              <w:left w:val="single" w:sz="4" w:space="0" w:color="000000"/>
              <w:bottom w:val="single" w:sz="4" w:space="0" w:color="000000"/>
              <w:right w:val="single" w:sz="4" w:space="0" w:color="000000"/>
            </w:tcBorders>
            <w:vAlign w:val="center"/>
          </w:tcPr>
          <w:p w14:paraId="223C076B"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73F54C84"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5%</w:t>
            </w:r>
          </w:p>
        </w:tc>
        <w:tc>
          <w:tcPr>
            <w:tcW w:w="5103" w:type="dxa"/>
            <w:tcBorders>
              <w:top w:val="single" w:sz="4" w:space="0" w:color="000000"/>
              <w:left w:val="single" w:sz="4" w:space="0" w:color="000000"/>
              <w:bottom w:val="single" w:sz="4" w:space="0" w:color="000000"/>
              <w:right w:val="single" w:sz="4" w:space="0" w:color="000000"/>
            </w:tcBorders>
            <w:vAlign w:val="center"/>
          </w:tcPr>
          <w:p w14:paraId="28C9B9B4" w14:textId="77777777" w:rsidR="003A0A61" w:rsidRPr="008E3494" w:rsidRDefault="003A0A61" w:rsidP="003A0A61">
            <w:pPr>
              <w:spacing w:after="0" w:line="240" w:lineRule="auto"/>
              <w:jc w:val="both"/>
              <w:rPr>
                <w:rFonts w:ascii="Arial" w:hAnsi="Arial" w:cs="Arial"/>
                <w:sz w:val="20"/>
                <w:szCs w:val="20"/>
                <w:lang w:eastAsia="zh-CN"/>
              </w:rPr>
            </w:pPr>
            <w:r w:rsidRPr="008E3494">
              <w:rPr>
                <w:rFonts w:ascii="Arial" w:hAnsi="Arial" w:cs="Arial"/>
                <w:sz w:val="20"/>
                <w:szCs w:val="20"/>
                <w:lang w:eastAsia="zh-CN"/>
              </w:rPr>
              <w:t>La meta corresponde a que máximo el 5% de los miembros (jefe de hogar) de las viviendas entregadas por año tengan una percepción de hacinamiento.</w:t>
            </w:r>
          </w:p>
          <w:p w14:paraId="5DE60621" w14:textId="77777777" w:rsidR="003A0A61" w:rsidRPr="008E3494" w:rsidRDefault="003A0A61" w:rsidP="003A0A61">
            <w:pPr>
              <w:spacing w:after="0" w:line="240" w:lineRule="auto"/>
              <w:jc w:val="both"/>
              <w:rPr>
                <w:rFonts w:ascii="Arial" w:hAnsi="Arial" w:cs="Arial"/>
                <w:b/>
                <w:sz w:val="20"/>
                <w:szCs w:val="20"/>
                <w:lang w:eastAsia="zh-CN"/>
              </w:rPr>
            </w:pPr>
          </w:p>
          <w:p w14:paraId="24854A15" w14:textId="1261B714" w:rsidR="00AA6EC7" w:rsidRPr="008E3494" w:rsidRDefault="003A0A61" w:rsidP="008A0D85">
            <w:pPr>
              <w:spacing w:after="0" w:line="240" w:lineRule="auto"/>
              <w:rPr>
                <w:rFonts w:ascii="Arial" w:hAnsi="Arial" w:cs="Arial"/>
                <w:b/>
                <w:sz w:val="20"/>
                <w:szCs w:val="20"/>
                <w:lang w:eastAsia="zh-CN"/>
              </w:rPr>
            </w:pPr>
            <w:r w:rsidRPr="008E3494">
              <w:rPr>
                <w:rFonts w:ascii="Arial" w:hAnsi="Arial" w:cs="Arial"/>
                <w:b/>
                <w:sz w:val="20"/>
                <w:szCs w:val="20"/>
                <w:lang w:eastAsia="zh-CN"/>
              </w:rPr>
              <w:t xml:space="preserve">Medio de verificación: </w:t>
            </w:r>
            <w:r w:rsidRPr="008E3494">
              <w:rPr>
                <w:rFonts w:ascii="Arial" w:hAnsi="Arial" w:cs="Arial"/>
                <w:sz w:val="20"/>
                <w:szCs w:val="20"/>
                <w:lang w:eastAsia="zh-CN"/>
              </w:rPr>
              <w:t>Encuesta – MIDUVI</w:t>
            </w:r>
          </w:p>
        </w:tc>
      </w:tr>
      <w:tr w:rsidR="00AA6EC7" w:rsidRPr="008E3494" w14:paraId="2288D3B6" w14:textId="77777777" w:rsidTr="00673F3C">
        <w:trPr>
          <w:trHeight w:val="64"/>
        </w:trPr>
        <w:tc>
          <w:tcPr>
            <w:tcW w:w="13036" w:type="dxa"/>
            <w:gridSpan w:val="7"/>
            <w:tcBorders>
              <w:top w:val="single" w:sz="4" w:space="0" w:color="000000"/>
              <w:left w:val="single" w:sz="4" w:space="0" w:color="000000"/>
              <w:bottom w:val="single" w:sz="4" w:space="0" w:color="000000"/>
              <w:right w:val="single" w:sz="4" w:space="0" w:color="auto"/>
            </w:tcBorders>
            <w:vAlign w:val="center"/>
          </w:tcPr>
          <w:p w14:paraId="17A4A634" w14:textId="77777777" w:rsidR="00AA6EC7" w:rsidRPr="008E3494" w:rsidRDefault="007F5B37">
            <w:pPr>
              <w:spacing w:before="120" w:after="120" w:line="240" w:lineRule="auto"/>
              <w:rPr>
                <w:rFonts w:ascii="Arial" w:hAnsi="Arial" w:cs="Arial"/>
                <w:sz w:val="20"/>
                <w:szCs w:val="20"/>
                <w:lang w:eastAsia="zh-CN"/>
              </w:rPr>
            </w:pPr>
            <w:r w:rsidRPr="008E3494">
              <w:rPr>
                <w:rFonts w:ascii="Arial" w:hAnsi="Arial" w:cs="Arial"/>
                <w:b/>
                <w:bCs/>
                <w:color w:val="000000"/>
              </w:rPr>
              <w:t>Resultado #2.3: Uso efectivo de infraestructura</w:t>
            </w:r>
          </w:p>
        </w:tc>
      </w:tr>
      <w:tr w:rsidR="00AA6EC7" w:rsidRPr="008E3494" w14:paraId="155A681A"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762EB725" w14:textId="77777777" w:rsidR="00AA6EC7" w:rsidRPr="008E3494" w:rsidRDefault="007F5B37">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Porcentaje de hogares con agua de red pública</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7934F1F6"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Porcentaje</w:t>
            </w:r>
          </w:p>
        </w:tc>
        <w:tc>
          <w:tcPr>
            <w:tcW w:w="1134" w:type="dxa"/>
            <w:tcBorders>
              <w:top w:val="single" w:sz="4" w:space="0" w:color="000000"/>
              <w:left w:val="single" w:sz="4" w:space="0" w:color="000000"/>
              <w:bottom w:val="single" w:sz="4" w:space="0" w:color="000000"/>
              <w:right w:val="single" w:sz="4" w:space="0" w:color="000000"/>
            </w:tcBorders>
            <w:vAlign w:val="center"/>
          </w:tcPr>
          <w:p w14:paraId="7F335D61"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eastAsia="SimSun" w:hAnsi="Arial" w:cs="Arial"/>
                <w:iCs/>
                <w:color w:val="000000"/>
                <w:sz w:val="20"/>
                <w:szCs w:val="20"/>
                <w:lang w:eastAsia="zh-CN" w:bidi="ar"/>
              </w:rPr>
              <w:t>96,60%</w:t>
            </w:r>
          </w:p>
        </w:tc>
        <w:tc>
          <w:tcPr>
            <w:tcW w:w="1276" w:type="dxa"/>
            <w:tcBorders>
              <w:top w:val="single" w:sz="4" w:space="0" w:color="000000"/>
              <w:left w:val="single" w:sz="4" w:space="0" w:color="000000"/>
              <w:bottom w:val="single" w:sz="4" w:space="0" w:color="000000"/>
              <w:right w:val="single" w:sz="4" w:space="0" w:color="000000"/>
            </w:tcBorders>
            <w:vAlign w:val="center"/>
          </w:tcPr>
          <w:p w14:paraId="70924B8B" w14:textId="77777777" w:rsidR="00AA6EC7" w:rsidRPr="008E3494" w:rsidRDefault="007F5B37">
            <w:pPr>
              <w:spacing w:after="0" w:line="240" w:lineRule="auto"/>
              <w:jc w:val="center"/>
              <w:rPr>
                <w:rFonts w:ascii="Arial" w:hAnsi="Arial" w:cs="Arial"/>
                <w:iCs/>
                <w:sz w:val="20"/>
                <w:szCs w:val="20"/>
                <w:lang w:eastAsia="zh-CN"/>
              </w:rPr>
            </w:pPr>
            <w:r w:rsidRPr="008E3494">
              <w:rPr>
                <w:rFonts w:ascii="Arial" w:hAnsi="Arial" w:cs="Arial"/>
                <w:iCs/>
                <w:sz w:val="20"/>
                <w:szCs w:val="20"/>
                <w:lang w:eastAsia="zh-CN"/>
              </w:rPr>
              <w:t>2017</w:t>
            </w:r>
          </w:p>
          <w:p w14:paraId="376916B2"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eastAsia="zh-CN"/>
              </w:rPr>
              <w:t>(Diciembre)</w:t>
            </w:r>
          </w:p>
        </w:tc>
        <w:tc>
          <w:tcPr>
            <w:tcW w:w="992" w:type="dxa"/>
            <w:tcBorders>
              <w:top w:val="single" w:sz="4" w:space="0" w:color="000000"/>
              <w:left w:val="single" w:sz="4" w:space="0" w:color="000000"/>
              <w:bottom w:val="single" w:sz="4" w:space="0" w:color="000000"/>
              <w:right w:val="single" w:sz="4" w:space="0" w:color="000000"/>
            </w:tcBorders>
            <w:vAlign w:val="center"/>
          </w:tcPr>
          <w:p w14:paraId="5598869A" w14:textId="1BD77115" w:rsidR="00AA6EC7" w:rsidRPr="008E3494" w:rsidRDefault="001434BA">
            <w:pPr>
              <w:spacing w:after="0" w:line="240" w:lineRule="auto"/>
              <w:jc w:val="center"/>
              <w:rPr>
                <w:rFonts w:ascii="Arial" w:hAnsi="Arial" w:cs="Arial"/>
                <w:i/>
                <w:sz w:val="20"/>
                <w:szCs w:val="20"/>
                <w:lang w:eastAsia="zh-CN"/>
              </w:rPr>
            </w:pPr>
            <w:r w:rsidRPr="008E3494">
              <w:rPr>
                <w:rFonts w:ascii="Arial" w:eastAsia="SimSun" w:hAnsi="Arial" w:cs="Arial"/>
                <w:iCs/>
                <w:color w:val="000000"/>
                <w:sz w:val="20"/>
                <w:szCs w:val="20"/>
                <w:lang w:eastAsia="zh-CN" w:bidi="ar"/>
              </w:rPr>
              <w:t>98,53%</w:t>
            </w:r>
          </w:p>
        </w:tc>
        <w:tc>
          <w:tcPr>
            <w:tcW w:w="5103" w:type="dxa"/>
            <w:tcBorders>
              <w:top w:val="single" w:sz="4" w:space="0" w:color="000000"/>
              <w:left w:val="single" w:sz="4" w:space="0" w:color="000000"/>
              <w:bottom w:val="single" w:sz="4" w:space="0" w:color="000000"/>
              <w:right w:val="single" w:sz="4" w:space="0" w:color="auto"/>
            </w:tcBorders>
            <w:vAlign w:val="center"/>
          </w:tcPr>
          <w:p w14:paraId="0AAEC502" w14:textId="77777777" w:rsidR="001434BA" w:rsidRPr="008E3494" w:rsidRDefault="001434BA" w:rsidP="00B67975">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577096EA" w14:textId="6DC8A416" w:rsidR="00AA6EC7" w:rsidRPr="008E3494" w:rsidRDefault="00B67975" w:rsidP="00B67975">
            <w:pPr>
              <w:spacing w:after="0" w:line="240" w:lineRule="auto"/>
              <w:rPr>
                <w:rFonts w:ascii="Arial" w:hAnsi="Arial" w:cs="Arial"/>
                <w:sz w:val="20"/>
                <w:szCs w:val="20"/>
                <w:lang w:eastAsia="zh-CN"/>
              </w:rPr>
            </w:pPr>
            <w:r w:rsidRPr="008E3494">
              <w:rPr>
                <w:rFonts w:ascii="Arial" w:hAnsi="Arial" w:cs="Arial"/>
                <w:sz w:val="20"/>
                <w:szCs w:val="20"/>
                <w:lang w:eastAsia="zh-CN"/>
              </w:rPr>
              <w:t>Encuesta Nacional de Empleo, Desempleo y subempleo - ENEMDU</w:t>
            </w:r>
          </w:p>
        </w:tc>
      </w:tr>
      <w:tr w:rsidR="00AA6EC7" w:rsidRPr="008E3494" w14:paraId="63C9C1F1"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48585FCC" w14:textId="77777777" w:rsidR="00AA6EC7" w:rsidRPr="008E3494" w:rsidRDefault="007F5B37">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 xml:space="preserve">Porcentaje de hogares que cuentan con un sistema </w:t>
            </w:r>
            <w:r w:rsidRPr="008E3494">
              <w:rPr>
                <w:rFonts w:ascii="Arial" w:hAnsi="Arial" w:cs="Arial"/>
                <w:sz w:val="20"/>
                <w:szCs w:val="20"/>
                <w:lang w:eastAsia="zh-CN"/>
              </w:rPr>
              <w:lastRenderedPageBreak/>
              <w:t>adecuado de alcantarillado o eliminación de excretas</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15FF15A"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lastRenderedPageBreak/>
              <w:t>Porcentaje</w:t>
            </w:r>
          </w:p>
        </w:tc>
        <w:tc>
          <w:tcPr>
            <w:tcW w:w="1134" w:type="dxa"/>
            <w:tcBorders>
              <w:top w:val="single" w:sz="4" w:space="0" w:color="000000"/>
              <w:left w:val="single" w:sz="4" w:space="0" w:color="000000"/>
              <w:bottom w:val="single" w:sz="4" w:space="0" w:color="000000"/>
              <w:right w:val="single" w:sz="4" w:space="0" w:color="000000"/>
            </w:tcBorders>
            <w:vAlign w:val="center"/>
          </w:tcPr>
          <w:p w14:paraId="58BAADCF" w14:textId="6F5C2EFB" w:rsidR="00AA6EC7" w:rsidRPr="008E3494" w:rsidRDefault="001434BA">
            <w:pPr>
              <w:spacing w:after="0" w:line="240" w:lineRule="auto"/>
              <w:jc w:val="center"/>
              <w:rPr>
                <w:rFonts w:ascii="Arial" w:hAnsi="Arial" w:cs="Arial"/>
                <w:i/>
                <w:sz w:val="20"/>
                <w:szCs w:val="20"/>
                <w:lang w:eastAsia="zh-CN"/>
              </w:rPr>
            </w:pPr>
            <w:r w:rsidRPr="008E3494">
              <w:rPr>
                <w:rFonts w:ascii="Arial" w:eastAsia="SimSun" w:hAnsi="Arial" w:cs="Arial"/>
                <w:iCs/>
                <w:color w:val="000000"/>
                <w:sz w:val="20"/>
                <w:szCs w:val="20"/>
                <w:lang w:eastAsia="zh-CN" w:bidi="ar"/>
              </w:rPr>
              <w:t>97,30%</w:t>
            </w:r>
          </w:p>
        </w:tc>
        <w:tc>
          <w:tcPr>
            <w:tcW w:w="1276" w:type="dxa"/>
            <w:tcBorders>
              <w:top w:val="single" w:sz="4" w:space="0" w:color="000000"/>
              <w:left w:val="single" w:sz="4" w:space="0" w:color="000000"/>
              <w:bottom w:val="single" w:sz="4" w:space="0" w:color="000000"/>
              <w:right w:val="single" w:sz="4" w:space="0" w:color="000000"/>
            </w:tcBorders>
            <w:vAlign w:val="center"/>
          </w:tcPr>
          <w:p w14:paraId="0CAACD2C" w14:textId="77777777" w:rsidR="00AA6EC7" w:rsidRPr="008E3494" w:rsidRDefault="007F5B37">
            <w:pPr>
              <w:spacing w:after="0" w:line="240" w:lineRule="auto"/>
              <w:jc w:val="center"/>
              <w:rPr>
                <w:rFonts w:ascii="Arial" w:hAnsi="Arial" w:cs="Arial"/>
                <w:iCs/>
                <w:sz w:val="20"/>
                <w:szCs w:val="20"/>
                <w:lang w:eastAsia="zh-CN"/>
              </w:rPr>
            </w:pPr>
            <w:r w:rsidRPr="008E3494">
              <w:rPr>
                <w:rFonts w:ascii="Arial" w:hAnsi="Arial" w:cs="Arial"/>
                <w:iCs/>
                <w:sz w:val="20"/>
                <w:szCs w:val="20"/>
                <w:lang w:eastAsia="zh-CN"/>
              </w:rPr>
              <w:t>2017</w:t>
            </w:r>
          </w:p>
          <w:p w14:paraId="0F8DD04D"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eastAsia="zh-CN"/>
              </w:rPr>
              <w:t>(Diciembre)</w:t>
            </w:r>
          </w:p>
        </w:tc>
        <w:tc>
          <w:tcPr>
            <w:tcW w:w="992" w:type="dxa"/>
            <w:tcBorders>
              <w:top w:val="single" w:sz="4" w:space="0" w:color="000000"/>
              <w:left w:val="single" w:sz="4" w:space="0" w:color="000000"/>
              <w:bottom w:val="single" w:sz="4" w:space="0" w:color="000000"/>
              <w:right w:val="single" w:sz="4" w:space="0" w:color="000000"/>
            </w:tcBorders>
            <w:vAlign w:val="center"/>
          </w:tcPr>
          <w:p w14:paraId="4E7CE01B" w14:textId="11FBA84B" w:rsidR="00AA6EC7" w:rsidRPr="008E3494" w:rsidRDefault="001434BA">
            <w:pPr>
              <w:spacing w:after="0" w:line="240" w:lineRule="auto"/>
              <w:jc w:val="center"/>
              <w:rPr>
                <w:rFonts w:ascii="Arial" w:hAnsi="Arial" w:cs="Arial"/>
                <w:i/>
                <w:sz w:val="20"/>
                <w:szCs w:val="20"/>
                <w:lang w:eastAsia="zh-CN"/>
              </w:rPr>
            </w:pPr>
            <w:r w:rsidRPr="008E3494">
              <w:rPr>
                <w:rFonts w:ascii="Arial" w:eastAsia="SimSun" w:hAnsi="Arial" w:cs="Arial"/>
                <w:iCs/>
                <w:color w:val="000000"/>
                <w:sz w:val="20"/>
                <w:szCs w:val="20"/>
                <w:lang w:eastAsia="zh-CN" w:bidi="ar"/>
              </w:rPr>
              <w:t>98,86%</w:t>
            </w:r>
          </w:p>
        </w:tc>
        <w:tc>
          <w:tcPr>
            <w:tcW w:w="5103" w:type="dxa"/>
            <w:tcBorders>
              <w:top w:val="single" w:sz="4" w:space="0" w:color="000000"/>
              <w:left w:val="single" w:sz="4" w:space="0" w:color="000000"/>
              <w:bottom w:val="single" w:sz="4" w:space="0" w:color="000000"/>
              <w:right w:val="single" w:sz="4" w:space="0" w:color="auto"/>
            </w:tcBorders>
            <w:vAlign w:val="center"/>
          </w:tcPr>
          <w:p w14:paraId="06104B83" w14:textId="77777777" w:rsidR="001434BA" w:rsidRPr="008E3494" w:rsidRDefault="001434BA" w:rsidP="00B67975">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27AE4640" w14:textId="3A2D9FD4" w:rsidR="00AA6EC7" w:rsidRPr="008E3494" w:rsidRDefault="007F5B37" w:rsidP="00B67975">
            <w:pPr>
              <w:spacing w:after="0" w:line="240" w:lineRule="auto"/>
              <w:rPr>
                <w:rFonts w:ascii="Arial" w:hAnsi="Arial" w:cs="Arial"/>
                <w:sz w:val="20"/>
                <w:szCs w:val="20"/>
                <w:lang w:eastAsia="zh-CN"/>
              </w:rPr>
            </w:pPr>
            <w:r w:rsidRPr="008E3494">
              <w:rPr>
                <w:rFonts w:ascii="Arial" w:hAnsi="Arial" w:cs="Arial"/>
                <w:sz w:val="20"/>
                <w:szCs w:val="20"/>
                <w:lang w:eastAsia="zh-CN"/>
              </w:rPr>
              <w:t xml:space="preserve">Encuesta Nacional de Empleo, Desempleo y subempleo - ENEMDU </w:t>
            </w:r>
          </w:p>
        </w:tc>
      </w:tr>
      <w:tr w:rsidR="00AA6EC7" w:rsidRPr="008E3494" w14:paraId="5DAFAAAE"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4E221956" w14:textId="77777777" w:rsidR="00AA6EC7" w:rsidRPr="008E3494" w:rsidRDefault="007F5B37">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Porcentaje de hogares con acceso a electricidad</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D32C978"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Porcentaje</w:t>
            </w:r>
          </w:p>
        </w:tc>
        <w:tc>
          <w:tcPr>
            <w:tcW w:w="1134" w:type="dxa"/>
            <w:tcBorders>
              <w:top w:val="single" w:sz="4" w:space="0" w:color="000000"/>
              <w:left w:val="single" w:sz="4" w:space="0" w:color="000000"/>
              <w:bottom w:val="single" w:sz="4" w:space="0" w:color="000000"/>
              <w:right w:val="single" w:sz="4" w:space="0" w:color="000000"/>
            </w:tcBorders>
            <w:vAlign w:val="center"/>
          </w:tcPr>
          <w:p w14:paraId="7067B02C"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eastAsia="zh-CN"/>
              </w:rPr>
              <w:t>99,9%</w:t>
            </w:r>
          </w:p>
        </w:tc>
        <w:tc>
          <w:tcPr>
            <w:tcW w:w="1276" w:type="dxa"/>
            <w:tcBorders>
              <w:top w:val="single" w:sz="4" w:space="0" w:color="000000"/>
              <w:left w:val="single" w:sz="4" w:space="0" w:color="000000"/>
              <w:bottom w:val="single" w:sz="4" w:space="0" w:color="000000"/>
              <w:right w:val="single" w:sz="4" w:space="0" w:color="000000"/>
            </w:tcBorders>
            <w:vAlign w:val="center"/>
          </w:tcPr>
          <w:p w14:paraId="54DE6EEF" w14:textId="77777777" w:rsidR="00AA6EC7" w:rsidRPr="008E3494" w:rsidRDefault="007F5B37">
            <w:pPr>
              <w:spacing w:after="0" w:line="240" w:lineRule="auto"/>
              <w:jc w:val="center"/>
              <w:rPr>
                <w:rFonts w:ascii="Arial" w:hAnsi="Arial" w:cs="Arial"/>
                <w:iCs/>
                <w:sz w:val="20"/>
                <w:szCs w:val="20"/>
                <w:lang w:eastAsia="zh-CN"/>
              </w:rPr>
            </w:pPr>
            <w:r w:rsidRPr="008E3494">
              <w:rPr>
                <w:rFonts w:ascii="Arial" w:hAnsi="Arial" w:cs="Arial"/>
                <w:iCs/>
                <w:sz w:val="20"/>
                <w:szCs w:val="20"/>
                <w:lang w:eastAsia="zh-CN"/>
              </w:rPr>
              <w:t>2017</w:t>
            </w:r>
          </w:p>
          <w:p w14:paraId="7452B6D7"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eastAsia="zh-CN"/>
              </w:rPr>
              <w:t>(Diciembre)</w:t>
            </w:r>
          </w:p>
        </w:tc>
        <w:tc>
          <w:tcPr>
            <w:tcW w:w="992" w:type="dxa"/>
            <w:tcBorders>
              <w:top w:val="single" w:sz="4" w:space="0" w:color="000000"/>
              <w:left w:val="single" w:sz="4" w:space="0" w:color="000000"/>
              <w:bottom w:val="single" w:sz="4" w:space="0" w:color="000000"/>
              <w:right w:val="single" w:sz="4" w:space="0" w:color="000000"/>
            </w:tcBorders>
            <w:vAlign w:val="center"/>
          </w:tcPr>
          <w:p w14:paraId="243D4527" w14:textId="6306A7BA" w:rsidR="00AA6EC7" w:rsidRPr="008E3494" w:rsidRDefault="001434BA">
            <w:pPr>
              <w:spacing w:after="0" w:line="240" w:lineRule="auto"/>
              <w:jc w:val="center"/>
              <w:rPr>
                <w:rFonts w:ascii="Arial" w:hAnsi="Arial" w:cs="Arial"/>
                <w:i/>
                <w:sz w:val="20"/>
                <w:szCs w:val="20"/>
                <w:lang w:eastAsia="zh-CN"/>
              </w:rPr>
            </w:pPr>
            <w:r w:rsidRPr="008E3494">
              <w:rPr>
                <w:rFonts w:ascii="Arial" w:eastAsia="SimSun" w:hAnsi="Arial" w:cs="Arial"/>
                <w:iCs/>
                <w:color w:val="000000"/>
                <w:sz w:val="20"/>
                <w:szCs w:val="20"/>
                <w:lang w:eastAsia="zh-CN" w:bidi="ar"/>
              </w:rPr>
              <w:t>99,98%</w:t>
            </w:r>
          </w:p>
        </w:tc>
        <w:tc>
          <w:tcPr>
            <w:tcW w:w="5103" w:type="dxa"/>
            <w:tcBorders>
              <w:top w:val="single" w:sz="4" w:space="0" w:color="000000"/>
              <w:left w:val="single" w:sz="4" w:space="0" w:color="000000"/>
              <w:bottom w:val="single" w:sz="4" w:space="0" w:color="000000"/>
              <w:right w:val="single" w:sz="4" w:space="0" w:color="auto"/>
            </w:tcBorders>
            <w:vAlign w:val="center"/>
          </w:tcPr>
          <w:p w14:paraId="18CC4C0F" w14:textId="77777777" w:rsidR="001434BA" w:rsidRPr="008E3494" w:rsidRDefault="001434BA" w:rsidP="00B67975">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5D92A423" w14:textId="708E97C4" w:rsidR="00AA6EC7" w:rsidRPr="008E3494" w:rsidRDefault="007F5B37" w:rsidP="00B67975">
            <w:pPr>
              <w:spacing w:after="0" w:line="240" w:lineRule="auto"/>
              <w:rPr>
                <w:rFonts w:ascii="Arial" w:hAnsi="Arial" w:cs="Arial"/>
                <w:sz w:val="20"/>
                <w:szCs w:val="20"/>
                <w:lang w:eastAsia="zh-CN"/>
              </w:rPr>
            </w:pPr>
            <w:r w:rsidRPr="008E3494">
              <w:rPr>
                <w:rFonts w:ascii="Arial" w:hAnsi="Arial" w:cs="Arial"/>
                <w:sz w:val="20"/>
                <w:szCs w:val="20"/>
                <w:lang w:eastAsia="zh-CN"/>
              </w:rPr>
              <w:t xml:space="preserve">Encuesta Nacional de Empleo, Desempleo y subempleo - ENEMDU </w:t>
            </w:r>
          </w:p>
        </w:tc>
      </w:tr>
      <w:tr w:rsidR="00AA6EC7" w:rsidRPr="008E3494" w14:paraId="4C9E17C2"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3733B87E" w14:textId="77777777" w:rsidR="00AA6EC7" w:rsidRPr="008E3494" w:rsidRDefault="007F5B37">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Consumo promedio  de agua potable proveniente de una red pública o tubería, por habitante</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56398719" w14:textId="0391D277" w:rsidR="00AA6EC7" w:rsidRPr="008E3494" w:rsidRDefault="0010100F">
            <w:pPr>
              <w:spacing w:after="0" w:line="240" w:lineRule="auto"/>
              <w:jc w:val="center"/>
              <w:rPr>
                <w:rFonts w:ascii="Arial" w:hAnsi="Arial" w:cs="Arial"/>
                <w:sz w:val="20"/>
                <w:szCs w:val="20"/>
                <w:lang w:eastAsia="zh-CN"/>
              </w:rPr>
            </w:pPr>
            <w:r w:rsidRPr="008E3494">
              <w:rPr>
                <w:rFonts w:ascii="Arial" w:hAnsi="Arial" w:cs="Arial"/>
                <w:sz w:val="20"/>
                <w:szCs w:val="20"/>
                <w:lang w:eastAsia="zh-CN"/>
              </w:rPr>
              <w:t>Litros</w:t>
            </w:r>
            <w:r w:rsidR="007F5B37" w:rsidRPr="008E3494">
              <w:rPr>
                <w:rFonts w:ascii="Arial" w:hAnsi="Arial" w:cs="Arial"/>
                <w:sz w:val="20"/>
                <w:szCs w:val="20"/>
                <w:lang w:eastAsia="zh-CN"/>
              </w:rPr>
              <w:t xml:space="preserve"> por persona al día</w:t>
            </w:r>
          </w:p>
        </w:tc>
        <w:tc>
          <w:tcPr>
            <w:tcW w:w="1134" w:type="dxa"/>
            <w:tcBorders>
              <w:top w:val="single" w:sz="4" w:space="0" w:color="000000"/>
              <w:left w:val="single" w:sz="4" w:space="0" w:color="000000"/>
              <w:bottom w:val="single" w:sz="4" w:space="0" w:color="000000"/>
              <w:right w:val="single" w:sz="4" w:space="0" w:color="000000"/>
            </w:tcBorders>
            <w:vAlign w:val="center"/>
          </w:tcPr>
          <w:p w14:paraId="7800B54D"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eastAsia="SimSun" w:hAnsi="Arial" w:cs="Arial"/>
                <w:color w:val="000000"/>
                <w:sz w:val="20"/>
                <w:szCs w:val="20"/>
                <w:lang w:val="en-US" w:eastAsia="zh-CN" w:bidi="ar"/>
              </w:rPr>
              <w:t>0</w:t>
            </w:r>
          </w:p>
        </w:tc>
        <w:tc>
          <w:tcPr>
            <w:tcW w:w="1276" w:type="dxa"/>
            <w:tcBorders>
              <w:top w:val="single" w:sz="4" w:space="0" w:color="000000"/>
              <w:left w:val="single" w:sz="4" w:space="0" w:color="000000"/>
              <w:bottom w:val="single" w:sz="4" w:space="0" w:color="000000"/>
              <w:right w:val="single" w:sz="4" w:space="0" w:color="000000"/>
            </w:tcBorders>
            <w:vAlign w:val="center"/>
          </w:tcPr>
          <w:p w14:paraId="4E384867"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603E73F4" w14:textId="00260C16" w:rsidR="00AA6EC7" w:rsidRPr="008E3494" w:rsidRDefault="0010100F">
            <w:pPr>
              <w:spacing w:after="0" w:line="240" w:lineRule="auto"/>
              <w:jc w:val="center"/>
              <w:rPr>
                <w:rFonts w:ascii="Arial" w:hAnsi="Arial" w:cs="Arial"/>
                <w:i/>
                <w:sz w:val="20"/>
                <w:szCs w:val="20"/>
                <w:lang w:eastAsia="zh-CN"/>
              </w:rPr>
            </w:pPr>
            <w:r w:rsidRPr="008E3494">
              <w:rPr>
                <w:rFonts w:ascii="Arial" w:eastAsia="SimSun" w:hAnsi="Arial" w:cs="Arial"/>
                <w:iCs/>
                <w:color w:val="000000"/>
                <w:sz w:val="20"/>
                <w:szCs w:val="20"/>
                <w:lang w:eastAsia="zh-CN" w:bidi="ar"/>
              </w:rPr>
              <w:t>100</w:t>
            </w:r>
          </w:p>
        </w:tc>
        <w:tc>
          <w:tcPr>
            <w:tcW w:w="5103" w:type="dxa"/>
            <w:tcBorders>
              <w:top w:val="single" w:sz="4" w:space="0" w:color="000000"/>
              <w:left w:val="single" w:sz="4" w:space="0" w:color="000000"/>
              <w:bottom w:val="single" w:sz="4" w:space="0" w:color="000000"/>
              <w:right w:val="single" w:sz="4" w:space="0" w:color="auto"/>
            </w:tcBorders>
            <w:vAlign w:val="center"/>
          </w:tcPr>
          <w:p w14:paraId="5626214E" w14:textId="77777777" w:rsidR="0010100F" w:rsidRPr="008E3494" w:rsidRDefault="0010100F" w:rsidP="0010100F">
            <w:pPr>
              <w:spacing w:after="0" w:line="240" w:lineRule="auto"/>
              <w:jc w:val="both"/>
              <w:rPr>
                <w:rFonts w:ascii="Arial" w:hAnsi="Arial" w:cs="Arial"/>
                <w:sz w:val="20"/>
                <w:szCs w:val="20"/>
                <w:lang w:eastAsia="zh-CN"/>
              </w:rPr>
            </w:pPr>
            <w:r w:rsidRPr="008E3494">
              <w:rPr>
                <w:rFonts w:ascii="Arial" w:hAnsi="Arial" w:cs="Arial"/>
                <w:sz w:val="20"/>
                <w:szCs w:val="20"/>
              </w:rPr>
              <w:t xml:space="preserve">La Organización Mundial de la Salud define el acceso óptimo a una cantidad promedio de 100 l/p/d </w:t>
            </w:r>
            <w:proofErr w:type="spellStart"/>
            <w:r w:rsidRPr="008E3494">
              <w:rPr>
                <w:rFonts w:ascii="Arial" w:hAnsi="Arial" w:cs="Arial"/>
                <w:sz w:val="20"/>
                <w:szCs w:val="20"/>
              </w:rPr>
              <w:t>ó</w:t>
            </w:r>
            <w:proofErr w:type="spellEnd"/>
            <w:r w:rsidRPr="008E3494">
              <w:rPr>
                <w:rFonts w:ascii="Arial" w:hAnsi="Arial" w:cs="Arial"/>
                <w:sz w:val="20"/>
                <w:szCs w:val="20"/>
              </w:rPr>
              <w:t xml:space="preserve"> más.</w:t>
            </w:r>
          </w:p>
          <w:p w14:paraId="0FD8A0CE" w14:textId="77777777" w:rsidR="0010100F" w:rsidRPr="008E3494" w:rsidRDefault="0010100F" w:rsidP="0010100F">
            <w:pPr>
              <w:spacing w:after="0" w:line="240" w:lineRule="auto"/>
              <w:jc w:val="both"/>
              <w:rPr>
                <w:rFonts w:ascii="Arial" w:hAnsi="Arial" w:cs="Arial"/>
                <w:sz w:val="20"/>
                <w:szCs w:val="20"/>
                <w:lang w:eastAsia="zh-CN"/>
              </w:rPr>
            </w:pPr>
          </w:p>
          <w:p w14:paraId="56F33DFE" w14:textId="0FAB0735" w:rsidR="00387DD8" w:rsidRPr="008E3494" w:rsidRDefault="0010100F" w:rsidP="0010100F">
            <w:pPr>
              <w:spacing w:after="0" w:line="240" w:lineRule="auto"/>
              <w:rPr>
                <w:rFonts w:ascii="Arial" w:hAnsi="Arial" w:cs="Arial"/>
                <w:sz w:val="20"/>
                <w:szCs w:val="20"/>
                <w:lang w:eastAsia="zh-CN"/>
              </w:rPr>
            </w:pPr>
            <w:r w:rsidRPr="008E3494">
              <w:rPr>
                <w:rFonts w:ascii="Arial" w:hAnsi="Arial" w:cs="Arial"/>
                <w:b/>
                <w:sz w:val="20"/>
                <w:szCs w:val="20"/>
                <w:lang w:eastAsia="zh-CN"/>
              </w:rPr>
              <w:t>M</w:t>
            </w:r>
            <w:r w:rsidR="00775BE3" w:rsidRPr="008E3494">
              <w:rPr>
                <w:rFonts w:ascii="Arial" w:hAnsi="Arial" w:cs="Arial"/>
                <w:b/>
                <w:sz w:val="20"/>
                <w:szCs w:val="20"/>
                <w:lang w:eastAsia="zh-CN"/>
              </w:rPr>
              <w:t>edio</w:t>
            </w:r>
            <w:r w:rsidRPr="008E3494">
              <w:rPr>
                <w:rFonts w:ascii="Arial" w:hAnsi="Arial" w:cs="Arial"/>
                <w:b/>
                <w:sz w:val="20"/>
                <w:szCs w:val="20"/>
                <w:lang w:eastAsia="zh-CN"/>
              </w:rPr>
              <w:t xml:space="preserve"> de verificación: </w:t>
            </w:r>
            <w:r w:rsidRPr="008E3494">
              <w:rPr>
                <w:rFonts w:ascii="Arial" w:hAnsi="Arial" w:cs="Arial"/>
                <w:sz w:val="20"/>
                <w:szCs w:val="20"/>
                <w:lang w:eastAsia="zh-CN"/>
              </w:rPr>
              <w:t>Registros administrativos – MIDUVI</w:t>
            </w:r>
            <w:r w:rsidR="00387DD8" w:rsidRPr="008E3494">
              <w:rPr>
                <w:rFonts w:ascii="Arial" w:hAnsi="Arial" w:cs="Arial"/>
                <w:sz w:val="20"/>
                <w:szCs w:val="20"/>
                <w:lang w:eastAsia="zh-CN"/>
              </w:rPr>
              <w:t>. La información se deberá gestionar con los GAD municipales.</w:t>
            </w:r>
          </w:p>
        </w:tc>
      </w:tr>
      <w:tr w:rsidR="00AA6EC7" w:rsidRPr="008E3494" w14:paraId="4C199304"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68024930" w14:textId="10990C87" w:rsidR="00AA6EC7" w:rsidRPr="008E3494" w:rsidRDefault="007F5B37">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Número de hogares con conexión a sistema de alcantarillado</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3ABE9CDD" w14:textId="77777777" w:rsidR="00AA6EC7" w:rsidRPr="008E3494" w:rsidRDefault="007F5B37">
            <w:pPr>
              <w:spacing w:after="0" w:line="240" w:lineRule="auto"/>
              <w:jc w:val="center"/>
              <w:rPr>
                <w:rFonts w:ascii="Arial" w:hAnsi="Arial" w:cs="Arial"/>
                <w:sz w:val="20"/>
                <w:szCs w:val="20"/>
                <w:lang w:eastAsia="zh-CN"/>
              </w:rPr>
            </w:pPr>
            <w:proofErr w:type="spellStart"/>
            <w:r w:rsidRPr="008E3494">
              <w:rPr>
                <w:rFonts w:ascii="Arial" w:hAnsi="Arial" w:cs="Arial"/>
                <w:sz w:val="20"/>
                <w:szCs w:val="20"/>
                <w:lang w:val="en-US" w:eastAsia="zh-CN"/>
              </w:rPr>
              <w:t>Número</w:t>
            </w:r>
            <w:proofErr w:type="spellEnd"/>
            <w:r w:rsidRPr="008E3494">
              <w:rPr>
                <w:rFonts w:ascii="Arial" w:hAnsi="Arial" w:cs="Arial"/>
                <w:sz w:val="20"/>
                <w:szCs w:val="20"/>
                <w:lang w:val="en-US" w:eastAsia="zh-CN"/>
              </w:rPr>
              <w:t xml:space="preserve"> de </w:t>
            </w:r>
            <w:proofErr w:type="spellStart"/>
            <w:r w:rsidRPr="008E3494">
              <w:rPr>
                <w:rFonts w:ascii="Arial" w:hAnsi="Arial" w:cs="Arial"/>
                <w:sz w:val="20"/>
                <w:szCs w:val="20"/>
                <w:lang w:val="en-US" w:eastAsia="zh-CN"/>
              </w:rPr>
              <w:t>hogares</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3D94AFBD"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eastAsia="SimSun" w:hAnsi="Arial" w:cs="Arial"/>
                <w:color w:val="000000"/>
                <w:sz w:val="20"/>
                <w:szCs w:val="20"/>
                <w:lang w:val="en-US" w:eastAsia="zh-CN" w:bidi="ar"/>
              </w:rPr>
              <w:t>0</w:t>
            </w:r>
          </w:p>
        </w:tc>
        <w:tc>
          <w:tcPr>
            <w:tcW w:w="1276" w:type="dxa"/>
            <w:tcBorders>
              <w:top w:val="single" w:sz="4" w:space="0" w:color="000000"/>
              <w:left w:val="single" w:sz="4" w:space="0" w:color="000000"/>
              <w:bottom w:val="single" w:sz="4" w:space="0" w:color="000000"/>
              <w:right w:val="single" w:sz="4" w:space="0" w:color="000000"/>
            </w:tcBorders>
            <w:vAlign w:val="center"/>
          </w:tcPr>
          <w:p w14:paraId="0C26BD41"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iCs/>
                <w:sz w:val="20"/>
                <w:szCs w:val="20"/>
                <w:lang w:val="en-US"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4537270D" w14:textId="09827EBB" w:rsidR="00AA6EC7" w:rsidRPr="008E3494" w:rsidRDefault="00775BE3">
            <w:pPr>
              <w:spacing w:after="0" w:line="240" w:lineRule="auto"/>
              <w:jc w:val="center"/>
              <w:rPr>
                <w:rFonts w:ascii="Arial" w:hAnsi="Arial" w:cs="Arial"/>
                <w:i/>
                <w:sz w:val="20"/>
                <w:szCs w:val="20"/>
                <w:lang w:eastAsia="zh-CN"/>
              </w:rPr>
            </w:pPr>
            <w:r w:rsidRPr="008E3494">
              <w:rPr>
                <w:rFonts w:ascii="Arial" w:hAnsi="Arial" w:cs="Arial"/>
                <w:sz w:val="20"/>
                <w:szCs w:val="20"/>
                <w:lang w:eastAsia="zh-CN"/>
              </w:rPr>
              <w:t>7.650</w:t>
            </w:r>
          </w:p>
        </w:tc>
        <w:tc>
          <w:tcPr>
            <w:tcW w:w="5103" w:type="dxa"/>
            <w:tcBorders>
              <w:top w:val="single" w:sz="4" w:space="0" w:color="000000"/>
              <w:left w:val="single" w:sz="4" w:space="0" w:color="000000"/>
              <w:bottom w:val="single" w:sz="4" w:space="0" w:color="000000"/>
              <w:right w:val="single" w:sz="4" w:space="0" w:color="auto"/>
            </w:tcBorders>
            <w:vAlign w:val="center"/>
          </w:tcPr>
          <w:p w14:paraId="5304A717" w14:textId="77777777" w:rsidR="00775BE3" w:rsidRPr="008E3494" w:rsidRDefault="00775BE3" w:rsidP="00775BE3">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6FE1FFA7" w14:textId="77777777" w:rsidR="00AA6EC7" w:rsidRPr="008E3494" w:rsidRDefault="007F5B37" w:rsidP="00775BE3">
            <w:pPr>
              <w:spacing w:after="0" w:line="240" w:lineRule="auto"/>
              <w:rPr>
                <w:rFonts w:ascii="Arial" w:hAnsi="Arial" w:cs="Arial"/>
                <w:sz w:val="20"/>
                <w:szCs w:val="20"/>
                <w:lang w:eastAsia="zh-CN"/>
              </w:rPr>
            </w:pPr>
            <w:r w:rsidRPr="008E3494">
              <w:rPr>
                <w:rFonts w:ascii="Arial" w:hAnsi="Arial" w:cs="Arial"/>
                <w:sz w:val="20"/>
                <w:szCs w:val="20"/>
                <w:lang w:eastAsia="zh-CN"/>
              </w:rPr>
              <w:t>Registros administrativos - MIDUVI</w:t>
            </w:r>
          </w:p>
        </w:tc>
      </w:tr>
      <w:tr w:rsidR="006B2E5E" w:rsidRPr="008E3494" w14:paraId="32736876"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0C29E948" w14:textId="77777777" w:rsidR="006B2E5E" w:rsidRPr="008E3494" w:rsidRDefault="006B2E5E" w:rsidP="006B2E5E">
            <w:pPr>
              <w:pStyle w:val="ListParagraph"/>
              <w:spacing w:after="0" w:line="240" w:lineRule="auto"/>
              <w:ind w:left="0"/>
              <w:rPr>
                <w:rFonts w:ascii="Arial" w:hAnsi="Arial" w:cs="Arial"/>
                <w:sz w:val="20"/>
                <w:szCs w:val="20"/>
                <w:lang w:eastAsia="zh-CN"/>
              </w:rPr>
            </w:pPr>
            <w:proofErr w:type="spellStart"/>
            <w:r w:rsidRPr="008E3494">
              <w:rPr>
                <w:rFonts w:ascii="Arial" w:hAnsi="Arial" w:cs="Arial"/>
                <w:sz w:val="20"/>
                <w:szCs w:val="20"/>
                <w:lang w:val="en-US" w:eastAsia="zh-CN"/>
              </w:rPr>
              <w:t>Uso</w:t>
            </w:r>
            <w:proofErr w:type="spellEnd"/>
            <w:r w:rsidRPr="008E3494">
              <w:rPr>
                <w:rFonts w:ascii="Arial" w:hAnsi="Arial" w:cs="Arial"/>
                <w:sz w:val="20"/>
                <w:szCs w:val="20"/>
                <w:lang w:val="en-US" w:eastAsia="zh-CN"/>
              </w:rPr>
              <w:t xml:space="preserve"> </w:t>
            </w:r>
            <w:proofErr w:type="spellStart"/>
            <w:r w:rsidRPr="008E3494">
              <w:rPr>
                <w:rFonts w:ascii="Arial" w:hAnsi="Arial" w:cs="Arial"/>
                <w:sz w:val="20"/>
                <w:szCs w:val="20"/>
                <w:lang w:val="en-US" w:eastAsia="zh-CN"/>
              </w:rPr>
              <w:t>efectivo</w:t>
            </w:r>
            <w:proofErr w:type="spellEnd"/>
            <w:r w:rsidRPr="008E3494">
              <w:rPr>
                <w:rFonts w:ascii="Arial" w:hAnsi="Arial" w:cs="Arial"/>
                <w:sz w:val="20"/>
                <w:szCs w:val="20"/>
                <w:lang w:val="en-US" w:eastAsia="zh-CN"/>
              </w:rPr>
              <w:t xml:space="preserve"> de </w:t>
            </w:r>
            <w:proofErr w:type="spellStart"/>
            <w:r w:rsidRPr="008E3494">
              <w:rPr>
                <w:rFonts w:ascii="Arial" w:hAnsi="Arial" w:cs="Arial"/>
                <w:sz w:val="20"/>
                <w:szCs w:val="20"/>
                <w:lang w:val="en-US" w:eastAsia="zh-CN"/>
              </w:rPr>
              <w:t>electricidad</w:t>
            </w:r>
            <w:proofErr w:type="spellEnd"/>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3EE7270E" w14:textId="2D4D471B" w:rsidR="006B2E5E" w:rsidRPr="008E3494" w:rsidRDefault="006B2E5E" w:rsidP="006B2E5E">
            <w:pPr>
              <w:spacing w:after="0" w:line="240" w:lineRule="auto"/>
              <w:jc w:val="center"/>
              <w:rPr>
                <w:rFonts w:ascii="Arial" w:hAnsi="Arial" w:cs="Arial"/>
                <w:sz w:val="20"/>
                <w:szCs w:val="20"/>
                <w:lang w:eastAsia="zh-CN"/>
              </w:rPr>
            </w:pPr>
            <w:r w:rsidRPr="008E3494">
              <w:rPr>
                <w:rFonts w:ascii="Arial" w:hAnsi="Arial" w:cs="Arial"/>
                <w:sz w:val="20"/>
                <w:szCs w:val="20"/>
                <w:lang w:eastAsia="zh-CN"/>
              </w:rPr>
              <w:t>kW/h mensual de consumo</w:t>
            </w:r>
          </w:p>
        </w:tc>
        <w:tc>
          <w:tcPr>
            <w:tcW w:w="1134" w:type="dxa"/>
            <w:tcBorders>
              <w:top w:val="single" w:sz="4" w:space="0" w:color="000000"/>
              <w:left w:val="single" w:sz="4" w:space="0" w:color="000000"/>
              <w:bottom w:val="single" w:sz="4" w:space="0" w:color="000000"/>
              <w:right w:val="single" w:sz="4" w:space="0" w:color="000000"/>
            </w:tcBorders>
            <w:vAlign w:val="center"/>
          </w:tcPr>
          <w:p w14:paraId="44D20AE5" w14:textId="1BD44072" w:rsidR="006B2E5E" w:rsidRPr="008E3494" w:rsidRDefault="006B2E5E" w:rsidP="006B2E5E">
            <w:pPr>
              <w:spacing w:after="0" w:line="240" w:lineRule="auto"/>
              <w:jc w:val="center"/>
              <w:rPr>
                <w:rFonts w:ascii="Arial" w:hAnsi="Arial" w:cs="Arial"/>
                <w:i/>
                <w:sz w:val="20"/>
                <w:szCs w:val="20"/>
                <w:lang w:eastAsia="zh-CN"/>
              </w:rPr>
            </w:pPr>
            <w:r w:rsidRPr="008E3494">
              <w:rPr>
                <w:rFonts w:ascii="Arial" w:hAnsi="Arial" w:cs="Arial"/>
                <w:iCs/>
                <w:sz w:val="20"/>
                <w:szCs w:val="20"/>
                <w:lang w:eastAsia="zh-CN"/>
              </w:rPr>
              <w:t>155,4</w:t>
            </w:r>
          </w:p>
        </w:tc>
        <w:tc>
          <w:tcPr>
            <w:tcW w:w="1276" w:type="dxa"/>
            <w:tcBorders>
              <w:top w:val="single" w:sz="4" w:space="0" w:color="000000"/>
              <w:left w:val="single" w:sz="4" w:space="0" w:color="000000"/>
              <w:bottom w:val="single" w:sz="4" w:space="0" w:color="000000"/>
              <w:right w:val="single" w:sz="4" w:space="0" w:color="000000"/>
            </w:tcBorders>
            <w:vAlign w:val="center"/>
          </w:tcPr>
          <w:p w14:paraId="48F8BF9E" w14:textId="2E435CBE" w:rsidR="006B2E5E" w:rsidRPr="008E3494" w:rsidRDefault="006B2E5E" w:rsidP="006B2E5E">
            <w:pPr>
              <w:spacing w:after="0" w:line="240" w:lineRule="auto"/>
              <w:jc w:val="center"/>
              <w:rPr>
                <w:rFonts w:ascii="Arial" w:hAnsi="Arial" w:cs="Arial"/>
                <w:i/>
                <w:sz w:val="20"/>
                <w:szCs w:val="20"/>
                <w:lang w:eastAsia="zh-CN"/>
              </w:rPr>
            </w:pPr>
            <w:r w:rsidRPr="008E3494">
              <w:rPr>
                <w:rFonts w:ascii="Arial" w:hAnsi="Arial" w:cs="Arial"/>
                <w:iCs/>
                <w:sz w:val="20"/>
                <w:szCs w:val="20"/>
                <w:lang w:eastAsia="zh-CN"/>
              </w:rPr>
              <w:t>2012</w:t>
            </w:r>
          </w:p>
        </w:tc>
        <w:tc>
          <w:tcPr>
            <w:tcW w:w="992" w:type="dxa"/>
            <w:tcBorders>
              <w:top w:val="single" w:sz="4" w:space="0" w:color="000000"/>
              <w:left w:val="single" w:sz="4" w:space="0" w:color="000000"/>
              <w:bottom w:val="single" w:sz="4" w:space="0" w:color="000000"/>
              <w:right w:val="single" w:sz="4" w:space="0" w:color="000000"/>
            </w:tcBorders>
            <w:vAlign w:val="center"/>
          </w:tcPr>
          <w:p w14:paraId="09DBF4BB" w14:textId="6949AD54" w:rsidR="006B2E5E" w:rsidRPr="008E3494" w:rsidRDefault="006B2E5E" w:rsidP="006B2E5E">
            <w:pPr>
              <w:spacing w:after="0" w:line="240" w:lineRule="auto"/>
              <w:jc w:val="center"/>
              <w:rPr>
                <w:rFonts w:ascii="Arial" w:hAnsi="Arial" w:cs="Arial"/>
                <w:sz w:val="20"/>
                <w:szCs w:val="20"/>
                <w:lang w:eastAsia="zh-CN"/>
              </w:rPr>
            </w:pPr>
            <w:r w:rsidRPr="008E3494">
              <w:rPr>
                <w:rFonts w:ascii="Arial" w:hAnsi="Arial" w:cs="Arial"/>
                <w:sz w:val="20"/>
                <w:szCs w:val="20"/>
                <w:lang w:eastAsia="zh-CN"/>
              </w:rPr>
              <w:t>100</w:t>
            </w:r>
          </w:p>
        </w:tc>
        <w:tc>
          <w:tcPr>
            <w:tcW w:w="5103" w:type="dxa"/>
            <w:tcBorders>
              <w:top w:val="single" w:sz="4" w:space="0" w:color="000000"/>
              <w:left w:val="single" w:sz="4" w:space="0" w:color="000000"/>
              <w:bottom w:val="single" w:sz="4" w:space="0" w:color="000000"/>
              <w:right w:val="single" w:sz="4" w:space="0" w:color="auto"/>
            </w:tcBorders>
            <w:vAlign w:val="center"/>
          </w:tcPr>
          <w:p w14:paraId="0559DEEB" w14:textId="77777777" w:rsidR="006B2E5E" w:rsidRPr="008E3494" w:rsidRDefault="006B2E5E" w:rsidP="006B2E5E">
            <w:pPr>
              <w:autoSpaceDE w:val="0"/>
              <w:autoSpaceDN w:val="0"/>
              <w:adjustRightInd w:val="0"/>
              <w:spacing w:after="0" w:line="240" w:lineRule="auto"/>
              <w:rPr>
                <w:rFonts w:ascii="Arial" w:eastAsia="Calibri" w:hAnsi="Arial" w:cs="Arial"/>
                <w:color w:val="000000"/>
                <w:sz w:val="20"/>
                <w:szCs w:val="20"/>
                <w:lang w:eastAsia="es-EC"/>
              </w:rPr>
            </w:pPr>
            <w:r w:rsidRPr="008E3494">
              <w:rPr>
                <w:rFonts w:ascii="Arial" w:hAnsi="Arial" w:cs="Arial"/>
                <w:color w:val="000000"/>
                <w:sz w:val="20"/>
                <w:szCs w:val="20"/>
                <w:lang w:eastAsia="es-EC"/>
              </w:rPr>
              <w:t xml:space="preserve">La línea base se obtuvo del </w:t>
            </w:r>
          </w:p>
          <w:p w14:paraId="63C995F1" w14:textId="77777777" w:rsidR="006B2E5E" w:rsidRPr="008E3494" w:rsidRDefault="006B2E5E" w:rsidP="006B2E5E">
            <w:pPr>
              <w:spacing w:after="0" w:line="240" w:lineRule="auto"/>
              <w:rPr>
                <w:rFonts w:ascii="Arial" w:hAnsi="Arial" w:cs="Arial"/>
                <w:sz w:val="20"/>
                <w:szCs w:val="20"/>
                <w:lang w:eastAsia="es-EC"/>
              </w:rPr>
            </w:pPr>
            <w:r w:rsidRPr="008E3494">
              <w:rPr>
                <w:rFonts w:ascii="Arial" w:hAnsi="Arial" w:cs="Arial"/>
                <w:sz w:val="20"/>
                <w:szCs w:val="20"/>
                <w:lang w:eastAsia="es-EC"/>
              </w:rPr>
              <w:t>Módulo de Buenas Prácticas Ambientales 2011 – Modulo de Información Ambiental 2012 ENEMDU – Diciembre, considerando el indicador: “</w:t>
            </w:r>
            <w:r w:rsidRPr="008E3494">
              <w:rPr>
                <w:rFonts w:ascii="Arial" w:hAnsi="Arial" w:cs="Arial"/>
                <w:bCs/>
                <w:sz w:val="20"/>
                <w:szCs w:val="20"/>
                <w:lang w:eastAsia="es-EC"/>
              </w:rPr>
              <w:t>Consumo mensual de energía eléctrica - Urbano”</w:t>
            </w:r>
          </w:p>
          <w:p w14:paraId="478A1DB6" w14:textId="77777777" w:rsidR="006B2E5E" w:rsidRPr="008E3494" w:rsidRDefault="006B2E5E" w:rsidP="006B2E5E">
            <w:pPr>
              <w:spacing w:after="0" w:line="240" w:lineRule="auto"/>
              <w:rPr>
                <w:rFonts w:ascii="Arial" w:hAnsi="Arial" w:cs="Arial"/>
                <w:sz w:val="20"/>
                <w:szCs w:val="20"/>
                <w:lang w:eastAsia="zh-CN"/>
              </w:rPr>
            </w:pPr>
          </w:p>
          <w:p w14:paraId="4A8B5438" w14:textId="18A29CD2" w:rsidR="006B2E5E" w:rsidRPr="008E3494" w:rsidRDefault="006B2E5E" w:rsidP="006B2E5E">
            <w:pPr>
              <w:spacing w:after="0" w:line="240" w:lineRule="auto"/>
              <w:rPr>
                <w:rFonts w:ascii="Arial" w:hAnsi="Arial" w:cs="Arial"/>
                <w:sz w:val="20"/>
                <w:szCs w:val="20"/>
                <w:lang w:eastAsia="zh-CN"/>
              </w:rPr>
            </w:pPr>
            <w:r w:rsidRPr="008E3494">
              <w:rPr>
                <w:rFonts w:ascii="Arial" w:hAnsi="Arial" w:cs="Arial"/>
                <w:sz w:val="20"/>
                <w:szCs w:val="20"/>
                <w:lang w:eastAsia="zh-CN"/>
              </w:rPr>
              <w:t>La meta se establece considerando un consumo promedio de todos los hogares de 100 kW/h por mes.</w:t>
            </w:r>
          </w:p>
          <w:p w14:paraId="3166E5A1" w14:textId="77777777" w:rsidR="006B2E5E" w:rsidRPr="008E3494" w:rsidRDefault="006B2E5E" w:rsidP="006B2E5E">
            <w:pPr>
              <w:spacing w:after="0" w:line="240" w:lineRule="auto"/>
              <w:rPr>
                <w:rFonts w:ascii="Arial" w:hAnsi="Arial" w:cs="Arial"/>
                <w:b/>
                <w:sz w:val="20"/>
                <w:szCs w:val="20"/>
                <w:lang w:eastAsia="zh-CN"/>
              </w:rPr>
            </w:pPr>
          </w:p>
          <w:p w14:paraId="748B0880" w14:textId="77777777" w:rsidR="006B2E5E" w:rsidRPr="008E3494" w:rsidRDefault="006B2E5E" w:rsidP="006B2E5E">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1DCF0F75" w14:textId="77777777" w:rsidR="00387DD8" w:rsidRPr="008E3494" w:rsidRDefault="006B2E5E" w:rsidP="00387DD8">
            <w:pPr>
              <w:spacing w:after="0" w:line="240" w:lineRule="auto"/>
              <w:rPr>
                <w:rFonts w:ascii="Arial" w:hAnsi="Arial" w:cs="Arial"/>
                <w:sz w:val="20"/>
                <w:szCs w:val="20"/>
                <w:lang w:eastAsia="zh-CN"/>
              </w:rPr>
            </w:pPr>
            <w:r w:rsidRPr="008E3494">
              <w:rPr>
                <w:rFonts w:ascii="Arial" w:hAnsi="Arial" w:cs="Arial"/>
                <w:sz w:val="20"/>
                <w:szCs w:val="20"/>
                <w:lang w:eastAsia="zh-CN"/>
              </w:rPr>
              <w:t xml:space="preserve">Registros administrativos </w:t>
            </w:r>
            <w:r w:rsidR="00387DD8" w:rsidRPr="008E3494">
              <w:rPr>
                <w:rFonts w:ascii="Arial" w:hAnsi="Arial" w:cs="Arial"/>
                <w:sz w:val="20"/>
                <w:szCs w:val="20"/>
                <w:lang w:eastAsia="zh-CN"/>
              </w:rPr>
              <w:t>–</w:t>
            </w:r>
            <w:r w:rsidRPr="008E3494">
              <w:rPr>
                <w:rFonts w:ascii="Arial" w:hAnsi="Arial" w:cs="Arial"/>
                <w:sz w:val="20"/>
                <w:szCs w:val="20"/>
                <w:lang w:eastAsia="zh-CN"/>
              </w:rPr>
              <w:t xml:space="preserve"> MIDUVI</w:t>
            </w:r>
            <w:r w:rsidR="00387DD8" w:rsidRPr="008E3494">
              <w:rPr>
                <w:rFonts w:ascii="Arial" w:hAnsi="Arial" w:cs="Arial"/>
                <w:sz w:val="20"/>
                <w:szCs w:val="20"/>
                <w:lang w:eastAsia="zh-CN"/>
              </w:rPr>
              <w:t>.</w:t>
            </w:r>
          </w:p>
          <w:p w14:paraId="564865BA" w14:textId="2B90CAB4" w:rsidR="006B2E5E" w:rsidRPr="008E3494" w:rsidRDefault="00387DD8" w:rsidP="00387DD8">
            <w:pPr>
              <w:spacing w:after="0" w:line="240" w:lineRule="auto"/>
              <w:rPr>
                <w:rFonts w:ascii="Arial" w:hAnsi="Arial" w:cs="Arial"/>
                <w:sz w:val="20"/>
                <w:szCs w:val="20"/>
                <w:lang w:eastAsia="zh-CN"/>
              </w:rPr>
            </w:pPr>
            <w:r w:rsidRPr="008E3494">
              <w:rPr>
                <w:rFonts w:ascii="Arial" w:hAnsi="Arial" w:cs="Arial"/>
                <w:sz w:val="20"/>
                <w:szCs w:val="20"/>
                <w:lang w:eastAsia="zh-CN"/>
              </w:rPr>
              <w:t xml:space="preserve">La información de consumo eléctrico se podrá obtener a partir del Código Único Eléctrico Nacional (CUEN) de las planillas de energía eléctrica de los hogares. </w:t>
            </w:r>
          </w:p>
        </w:tc>
      </w:tr>
      <w:tr w:rsidR="00AA6EC7" w:rsidRPr="008E3494" w14:paraId="6632DD28" w14:textId="77777777" w:rsidTr="00673F3C">
        <w:trPr>
          <w:trHeight w:val="64"/>
        </w:trPr>
        <w:tc>
          <w:tcPr>
            <w:tcW w:w="13036" w:type="dxa"/>
            <w:gridSpan w:val="7"/>
            <w:tcBorders>
              <w:top w:val="single" w:sz="4" w:space="0" w:color="000000"/>
              <w:left w:val="single" w:sz="4" w:space="0" w:color="000000"/>
              <w:bottom w:val="single" w:sz="4" w:space="0" w:color="000000"/>
              <w:right w:val="single" w:sz="4" w:space="0" w:color="auto"/>
            </w:tcBorders>
            <w:vAlign w:val="center"/>
          </w:tcPr>
          <w:p w14:paraId="107B532F" w14:textId="77777777" w:rsidR="00AA6EC7" w:rsidRPr="008E3494" w:rsidRDefault="007F5B37">
            <w:pPr>
              <w:spacing w:before="120" w:after="120" w:line="240" w:lineRule="auto"/>
              <w:rPr>
                <w:rFonts w:ascii="Arial" w:hAnsi="Arial" w:cs="Arial"/>
                <w:sz w:val="20"/>
                <w:szCs w:val="20"/>
                <w:lang w:eastAsia="zh-CN"/>
              </w:rPr>
            </w:pPr>
            <w:r w:rsidRPr="008E3494">
              <w:rPr>
                <w:rFonts w:ascii="Arial" w:hAnsi="Arial" w:cs="Arial"/>
                <w:b/>
                <w:bCs/>
                <w:color w:val="000000"/>
              </w:rPr>
              <w:t>Resultado #2.4: Documentación de perfil financiero</w:t>
            </w:r>
          </w:p>
        </w:tc>
      </w:tr>
      <w:tr w:rsidR="00AA6EC7" w:rsidRPr="008E3494" w14:paraId="63DE477A"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485B3261" w14:textId="77777777" w:rsidR="00AA6EC7" w:rsidRPr="008E3494" w:rsidRDefault="007F5B37">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Historial crediticio del beneficiario</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DA88DD3" w14:textId="61A0EC95" w:rsidR="00AA6EC7" w:rsidRPr="008E3494" w:rsidRDefault="00362A1D">
            <w:pPr>
              <w:spacing w:after="0" w:line="240" w:lineRule="auto"/>
              <w:jc w:val="center"/>
              <w:rPr>
                <w:rFonts w:ascii="Arial" w:hAnsi="Arial" w:cs="Arial"/>
                <w:sz w:val="20"/>
                <w:szCs w:val="20"/>
                <w:lang w:eastAsia="zh-CN"/>
              </w:rPr>
            </w:pPr>
            <w:r w:rsidRPr="008E3494">
              <w:rPr>
                <w:rFonts w:ascii="Arial" w:hAnsi="Arial" w:cs="Arial"/>
                <w:sz w:val="20"/>
                <w:szCs w:val="20"/>
                <w:lang w:eastAsia="zh-CN"/>
              </w:rPr>
              <w:t>B</w:t>
            </w:r>
            <w:r w:rsidR="00FC4321" w:rsidRPr="008E3494">
              <w:rPr>
                <w:rFonts w:ascii="Arial" w:hAnsi="Arial" w:cs="Arial"/>
                <w:sz w:val="20"/>
                <w:szCs w:val="20"/>
                <w:lang w:eastAsia="zh-CN"/>
              </w:rPr>
              <w:t>uró de crédito</w:t>
            </w:r>
            <w:r w:rsidRPr="008E3494">
              <w:rPr>
                <w:rFonts w:ascii="Arial" w:hAnsi="Arial" w:cs="Arial"/>
                <w:sz w:val="20"/>
                <w:szCs w:val="20"/>
                <w:lang w:eastAsia="zh-CN"/>
              </w:rPr>
              <w:t xml:space="preserve"> </w:t>
            </w:r>
            <w:r w:rsidRPr="008E3494">
              <w:rPr>
                <w:rFonts w:ascii="Arial" w:hAnsi="Arial" w:cs="Arial"/>
                <w:sz w:val="20"/>
                <w:szCs w:val="20"/>
                <w:lang w:eastAsia="zh-CN"/>
              </w:rPr>
              <w:lastRenderedPageBreak/>
              <w:t>(Existe o no existe)</w:t>
            </w:r>
          </w:p>
        </w:tc>
        <w:tc>
          <w:tcPr>
            <w:tcW w:w="1134" w:type="dxa"/>
            <w:tcBorders>
              <w:top w:val="single" w:sz="4" w:space="0" w:color="000000"/>
              <w:left w:val="single" w:sz="4" w:space="0" w:color="000000"/>
              <w:bottom w:val="single" w:sz="4" w:space="0" w:color="000000"/>
              <w:right w:val="single" w:sz="4" w:space="0" w:color="000000"/>
            </w:tcBorders>
            <w:vAlign w:val="center"/>
          </w:tcPr>
          <w:p w14:paraId="7655C8A4" w14:textId="1B953B8E" w:rsidR="00AA6EC7" w:rsidRPr="008E3494" w:rsidRDefault="00FC4321">
            <w:pPr>
              <w:spacing w:after="0" w:line="240" w:lineRule="auto"/>
              <w:jc w:val="center"/>
              <w:rPr>
                <w:rFonts w:ascii="Arial" w:hAnsi="Arial" w:cs="Arial"/>
                <w:i/>
                <w:sz w:val="20"/>
                <w:szCs w:val="20"/>
                <w:lang w:eastAsia="zh-CN"/>
              </w:rPr>
            </w:pPr>
            <w:r w:rsidRPr="008E3494">
              <w:rPr>
                <w:rFonts w:ascii="Arial" w:hAnsi="Arial" w:cs="Arial"/>
                <w:sz w:val="20"/>
                <w:szCs w:val="20"/>
                <w:lang w:eastAsia="zh-CN"/>
              </w:rPr>
              <w:lastRenderedPageBreak/>
              <w:t>0</w:t>
            </w:r>
          </w:p>
        </w:tc>
        <w:tc>
          <w:tcPr>
            <w:tcW w:w="1276" w:type="dxa"/>
            <w:tcBorders>
              <w:top w:val="single" w:sz="4" w:space="0" w:color="000000"/>
              <w:left w:val="single" w:sz="4" w:space="0" w:color="000000"/>
              <w:bottom w:val="single" w:sz="4" w:space="0" w:color="000000"/>
              <w:right w:val="single" w:sz="4" w:space="0" w:color="000000"/>
            </w:tcBorders>
            <w:vAlign w:val="center"/>
          </w:tcPr>
          <w:p w14:paraId="53FF387C" w14:textId="77777777" w:rsidR="00AA6EC7" w:rsidRPr="008E3494" w:rsidRDefault="007F5B37">
            <w:pPr>
              <w:spacing w:after="0" w:line="240" w:lineRule="auto"/>
              <w:jc w:val="center"/>
              <w:rPr>
                <w:rFonts w:ascii="Arial" w:hAnsi="Arial" w:cs="Arial"/>
                <w:i/>
                <w:sz w:val="20"/>
                <w:szCs w:val="20"/>
                <w:lang w:eastAsia="zh-CN"/>
              </w:rPr>
            </w:pPr>
            <w:r w:rsidRPr="008E3494">
              <w:rPr>
                <w:rFonts w:ascii="Arial" w:hAnsi="Arial" w:cs="Arial"/>
                <w:sz w:val="20"/>
                <w:szCs w:val="20"/>
                <w:lang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0126BF19" w14:textId="49DAECCD" w:rsidR="00AA6EC7" w:rsidRPr="008E3494" w:rsidRDefault="00751DC4">
            <w:pPr>
              <w:spacing w:after="0" w:line="240" w:lineRule="auto"/>
              <w:jc w:val="center"/>
              <w:rPr>
                <w:rFonts w:ascii="Arial" w:hAnsi="Arial" w:cs="Arial"/>
                <w:i/>
                <w:sz w:val="20"/>
                <w:szCs w:val="20"/>
                <w:lang w:eastAsia="zh-CN"/>
              </w:rPr>
            </w:pPr>
            <w:r w:rsidRPr="008E3494">
              <w:rPr>
                <w:rFonts w:ascii="Arial" w:hAnsi="Arial" w:cs="Arial"/>
                <w:sz w:val="20"/>
                <w:szCs w:val="20"/>
                <w:lang w:eastAsia="zh-CN"/>
              </w:rPr>
              <w:t>7.650</w:t>
            </w:r>
          </w:p>
        </w:tc>
        <w:tc>
          <w:tcPr>
            <w:tcW w:w="5103" w:type="dxa"/>
            <w:tcBorders>
              <w:top w:val="single" w:sz="4" w:space="0" w:color="000000"/>
              <w:left w:val="single" w:sz="4" w:space="0" w:color="000000"/>
              <w:bottom w:val="single" w:sz="4" w:space="0" w:color="000000"/>
              <w:right w:val="single" w:sz="4" w:space="0" w:color="auto"/>
            </w:tcBorders>
            <w:vAlign w:val="center"/>
          </w:tcPr>
          <w:p w14:paraId="058FBB4B" w14:textId="77777777" w:rsidR="00751DC4" w:rsidRPr="008E3494" w:rsidRDefault="00751DC4" w:rsidP="00751DC4">
            <w:pPr>
              <w:spacing w:after="0" w:line="240" w:lineRule="auto"/>
              <w:rPr>
                <w:rFonts w:ascii="Arial" w:eastAsia="Calibri" w:hAnsi="Arial" w:cs="Arial"/>
                <w:sz w:val="20"/>
                <w:szCs w:val="20"/>
                <w:lang w:eastAsia="zh-CN"/>
              </w:rPr>
            </w:pPr>
            <w:r w:rsidRPr="008E3494">
              <w:rPr>
                <w:rFonts w:ascii="Arial" w:hAnsi="Arial" w:cs="Arial"/>
                <w:sz w:val="20"/>
                <w:szCs w:val="20"/>
                <w:lang w:eastAsia="zh-CN"/>
              </w:rPr>
              <w:t>Se establece la línea base asumiendo que ninguno de los beneficiarios actualmente existe en el Buró de crédito.</w:t>
            </w:r>
          </w:p>
          <w:p w14:paraId="7610DF7E" w14:textId="77777777" w:rsidR="00751DC4" w:rsidRPr="008E3494" w:rsidRDefault="00751DC4" w:rsidP="00751DC4">
            <w:pPr>
              <w:spacing w:after="0" w:line="240" w:lineRule="auto"/>
              <w:rPr>
                <w:rFonts w:ascii="Arial" w:hAnsi="Arial" w:cs="Arial"/>
                <w:sz w:val="20"/>
                <w:szCs w:val="20"/>
                <w:lang w:eastAsia="zh-CN"/>
              </w:rPr>
            </w:pPr>
          </w:p>
          <w:p w14:paraId="005AEE45" w14:textId="77777777" w:rsidR="00751DC4" w:rsidRPr="008E3494" w:rsidRDefault="00751DC4" w:rsidP="00751DC4">
            <w:pPr>
              <w:spacing w:after="0" w:line="240" w:lineRule="auto"/>
              <w:rPr>
                <w:rFonts w:ascii="Arial" w:hAnsi="Arial" w:cs="Arial"/>
                <w:sz w:val="20"/>
                <w:szCs w:val="20"/>
                <w:lang w:eastAsia="zh-CN"/>
              </w:rPr>
            </w:pPr>
            <w:r w:rsidRPr="008E3494">
              <w:rPr>
                <w:rFonts w:ascii="Arial" w:hAnsi="Arial" w:cs="Arial"/>
                <w:sz w:val="20"/>
                <w:szCs w:val="20"/>
                <w:lang w:eastAsia="zh-CN"/>
              </w:rPr>
              <w:t>Las metas se establecen asumiendo que todos los beneficiarios (urbanos) existirán en el Buró de crédito a partir de la entrega de la vivienda.</w:t>
            </w:r>
          </w:p>
          <w:p w14:paraId="3B738C88" w14:textId="77777777" w:rsidR="00751DC4" w:rsidRPr="008E3494" w:rsidRDefault="00751DC4" w:rsidP="00751DC4">
            <w:pPr>
              <w:spacing w:after="0" w:line="240" w:lineRule="auto"/>
              <w:rPr>
                <w:rFonts w:ascii="Arial" w:hAnsi="Arial" w:cs="Arial"/>
                <w:sz w:val="20"/>
                <w:szCs w:val="20"/>
                <w:lang w:eastAsia="zh-CN"/>
              </w:rPr>
            </w:pPr>
          </w:p>
          <w:p w14:paraId="6EBB47DE" w14:textId="5AE3117A" w:rsidR="00751DC4" w:rsidRPr="008E3494" w:rsidRDefault="00751DC4" w:rsidP="00751DC4">
            <w:pPr>
              <w:spacing w:after="0" w:line="240" w:lineRule="auto"/>
              <w:rPr>
                <w:rFonts w:ascii="Arial" w:hAnsi="Arial" w:cs="Arial"/>
                <w:sz w:val="20"/>
                <w:szCs w:val="20"/>
                <w:lang w:eastAsia="zh-CN"/>
              </w:rPr>
            </w:pPr>
            <w:r w:rsidRPr="008E3494">
              <w:rPr>
                <w:rFonts w:ascii="Arial" w:hAnsi="Arial" w:cs="Arial"/>
                <w:sz w:val="20"/>
                <w:szCs w:val="20"/>
                <w:lang w:eastAsia="zh-CN"/>
              </w:rPr>
              <w:t>La información del Buró de crédito deberá gestionarla el MIDUVI con la empresa privada que administra el Buró de crédito (EQUIFAX) o con la Superintendencia de Bancos.</w:t>
            </w:r>
          </w:p>
          <w:p w14:paraId="542255E7" w14:textId="77777777" w:rsidR="00751DC4" w:rsidRPr="008E3494" w:rsidRDefault="00751DC4" w:rsidP="00751DC4">
            <w:pPr>
              <w:spacing w:after="0" w:line="240" w:lineRule="auto"/>
              <w:rPr>
                <w:rFonts w:ascii="Arial" w:hAnsi="Arial" w:cs="Arial"/>
                <w:b/>
                <w:sz w:val="20"/>
                <w:szCs w:val="20"/>
                <w:lang w:eastAsia="zh-CN"/>
              </w:rPr>
            </w:pPr>
          </w:p>
          <w:p w14:paraId="2F2657AF" w14:textId="77777777" w:rsidR="00FC4321" w:rsidRPr="008E3494" w:rsidRDefault="00FC4321" w:rsidP="00FC4321">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467DD196" w14:textId="445C2561" w:rsidR="00751DC4" w:rsidRPr="008E3494" w:rsidRDefault="00751DC4" w:rsidP="00FC4321">
            <w:pPr>
              <w:spacing w:after="0" w:line="240" w:lineRule="auto"/>
              <w:rPr>
                <w:rFonts w:ascii="Arial" w:hAnsi="Arial" w:cs="Arial"/>
                <w:sz w:val="20"/>
                <w:szCs w:val="20"/>
                <w:lang w:eastAsia="zh-CN"/>
              </w:rPr>
            </w:pPr>
            <w:r w:rsidRPr="008E3494">
              <w:rPr>
                <w:rFonts w:ascii="Arial" w:hAnsi="Arial" w:cs="Arial"/>
                <w:sz w:val="20"/>
                <w:szCs w:val="20"/>
                <w:lang w:eastAsia="zh-CN"/>
              </w:rPr>
              <w:t>Registros administrativos - MIDUVI</w:t>
            </w:r>
          </w:p>
        </w:tc>
      </w:tr>
      <w:tr w:rsidR="00AA6EC7" w:rsidRPr="008E3494" w14:paraId="114250DD" w14:textId="77777777" w:rsidTr="00673F3C">
        <w:trPr>
          <w:trHeight w:val="64"/>
        </w:trPr>
        <w:tc>
          <w:tcPr>
            <w:tcW w:w="13036" w:type="dxa"/>
            <w:gridSpan w:val="7"/>
            <w:tcBorders>
              <w:top w:val="single" w:sz="4" w:space="0" w:color="000000"/>
              <w:left w:val="single" w:sz="4" w:space="0" w:color="000000"/>
              <w:bottom w:val="single" w:sz="4" w:space="0" w:color="000000"/>
              <w:right w:val="single" w:sz="4" w:space="0" w:color="auto"/>
            </w:tcBorders>
            <w:vAlign w:val="center"/>
          </w:tcPr>
          <w:p w14:paraId="6168EC69" w14:textId="77777777" w:rsidR="00AA6EC7" w:rsidRPr="008E3494" w:rsidRDefault="007F5B37">
            <w:pPr>
              <w:spacing w:before="120" w:after="120"/>
              <w:rPr>
                <w:rFonts w:ascii="Arial" w:hAnsi="Arial" w:cs="Arial"/>
                <w:b/>
                <w:caps/>
                <w:sz w:val="20"/>
                <w:szCs w:val="20"/>
                <w:u w:val="single"/>
                <w:lang w:eastAsia="zh-CN"/>
              </w:rPr>
            </w:pPr>
            <w:r w:rsidRPr="008E3494">
              <w:rPr>
                <w:rFonts w:ascii="Arial" w:hAnsi="Arial" w:cs="Arial"/>
                <w:b/>
                <w:caps/>
                <w:sz w:val="20"/>
                <w:szCs w:val="20"/>
                <w:u w:val="single"/>
                <w:lang w:eastAsia="zh-CN"/>
              </w:rPr>
              <w:t xml:space="preserve">resultado #3: </w:t>
            </w:r>
            <w:r w:rsidRPr="008E3494">
              <w:rPr>
                <w:rFonts w:ascii="Arial" w:hAnsi="Arial" w:cs="Arial"/>
                <w:b/>
                <w:bCs/>
                <w:caps/>
                <w:sz w:val="20"/>
                <w:szCs w:val="20"/>
                <w:u w:val="single"/>
                <w:lang w:eastAsia="zh-CN"/>
              </w:rPr>
              <w:t>Optimización de procesos institucionales</w:t>
            </w:r>
          </w:p>
        </w:tc>
      </w:tr>
      <w:tr w:rsidR="00AA6EC7" w:rsidRPr="008E3494" w14:paraId="330ED970"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3824E429" w14:textId="77777777" w:rsidR="00AA6EC7" w:rsidRPr="008E3494" w:rsidRDefault="007F5B37">
            <w:pPr>
              <w:spacing w:after="0" w:line="240" w:lineRule="auto"/>
              <w:rPr>
                <w:rFonts w:ascii="Arial" w:hAnsi="Arial" w:cs="Arial"/>
                <w:sz w:val="20"/>
                <w:szCs w:val="20"/>
                <w:lang w:eastAsia="zh-CN"/>
              </w:rPr>
            </w:pPr>
            <w:r w:rsidRPr="008E3494">
              <w:rPr>
                <w:rFonts w:ascii="Arial" w:hAnsi="Arial" w:cs="Arial"/>
                <w:sz w:val="20"/>
                <w:szCs w:val="20"/>
                <w:lang w:eastAsia="zh-CN"/>
              </w:rPr>
              <w:t>Desfase entre el tiempo programado vs. realizado en la ejecución de las obras.</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7A51C35F" w14:textId="77777777" w:rsidR="00AA6EC7" w:rsidRPr="008E3494" w:rsidRDefault="007F5B37" w:rsidP="00A90667">
            <w:pPr>
              <w:spacing w:after="0" w:line="240" w:lineRule="auto"/>
              <w:jc w:val="center"/>
              <w:rPr>
                <w:rFonts w:ascii="Arial" w:hAnsi="Arial" w:cs="Arial"/>
                <w:sz w:val="20"/>
                <w:szCs w:val="20"/>
                <w:lang w:eastAsia="zh-CN"/>
              </w:rPr>
            </w:pPr>
            <w:r w:rsidRPr="008E3494">
              <w:rPr>
                <w:rFonts w:ascii="Arial" w:hAnsi="Arial" w:cs="Arial"/>
                <w:sz w:val="20"/>
                <w:szCs w:val="20"/>
                <w:lang w:eastAsia="zh-CN"/>
              </w:rPr>
              <w:t>(Días/Semanas/Meses)</w:t>
            </w:r>
          </w:p>
        </w:tc>
        <w:tc>
          <w:tcPr>
            <w:tcW w:w="1134" w:type="dxa"/>
            <w:tcBorders>
              <w:top w:val="single" w:sz="4" w:space="0" w:color="000000"/>
              <w:left w:val="single" w:sz="4" w:space="0" w:color="000000"/>
              <w:bottom w:val="single" w:sz="4" w:space="0" w:color="000000"/>
              <w:right w:val="single" w:sz="4" w:space="0" w:color="000000"/>
            </w:tcBorders>
            <w:vAlign w:val="center"/>
          </w:tcPr>
          <w:p w14:paraId="2DC1027B" w14:textId="1B03D613" w:rsidR="00AA6EC7" w:rsidRPr="008E3494" w:rsidRDefault="00493ABF" w:rsidP="00A90667">
            <w:pPr>
              <w:pStyle w:val="NormalWeb"/>
              <w:spacing w:beforeAutospacing="0"/>
              <w:rPr>
                <w:rFonts w:ascii="Arial" w:hAnsi="Arial" w:cs="Arial"/>
                <w:i/>
                <w:sz w:val="20"/>
                <w:szCs w:val="20"/>
              </w:rPr>
            </w:pPr>
            <w:r w:rsidRPr="008E3494">
              <w:rPr>
                <w:rFonts w:ascii="Arial" w:hAnsi="Arial" w:cs="Arial"/>
                <w:i/>
                <w:color w:val="000000"/>
                <w:sz w:val="20"/>
                <w:szCs w:val="20"/>
                <w:lang w:bidi="ar"/>
              </w:rPr>
              <w:t>N.D.</w:t>
            </w:r>
          </w:p>
        </w:tc>
        <w:tc>
          <w:tcPr>
            <w:tcW w:w="1276" w:type="dxa"/>
            <w:tcBorders>
              <w:top w:val="single" w:sz="4" w:space="0" w:color="000000"/>
              <w:left w:val="single" w:sz="4" w:space="0" w:color="000000"/>
              <w:bottom w:val="single" w:sz="4" w:space="0" w:color="000000"/>
              <w:right w:val="single" w:sz="4" w:space="0" w:color="000000"/>
            </w:tcBorders>
            <w:vAlign w:val="center"/>
          </w:tcPr>
          <w:p w14:paraId="608902F8" w14:textId="77777777" w:rsidR="00AA6EC7" w:rsidRPr="008E3494" w:rsidRDefault="007F5B37" w:rsidP="00A90667">
            <w:pPr>
              <w:pStyle w:val="NormalWeb"/>
              <w:spacing w:beforeAutospacing="0"/>
              <w:rPr>
                <w:rFonts w:ascii="Arial" w:hAnsi="Arial" w:cs="Arial"/>
                <w:sz w:val="20"/>
                <w:szCs w:val="20"/>
              </w:rPr>
            </w:pPr>
            <w:r w:rsidRPr="008E3494">
              <w:rPr>
                <w:rFonts w:ascii="Arial" w:hAnsi="Arial" w:cs="Arial"/>
                <w:color w:val="000000"/>
                <w:sz w:val="20"/>
                <w:szCs w:val="20"/>
                <w:lang w:bidi="ar"/>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0343DF94" w14:textId="77777777" w:rsidR="00AA6EC7" w:rsidRPr="008E3494" w:rsidRDefault="007F5B37" w:rsidP="00A90667">
            <w:pPr>
              <w:spacing w:after="0" w:line="240" w:lineRule="auto"/>
              <w:jc w:val="center"/>
              <w:rPr>
                <w:rFonts w:ascii="Arial" w:hAnsi="Arial" w:cs="Arial"/>
                <w:sz w:val="20"/>
                <w:szCs w:val="20"/>
                <w:lang w:eastAsia="zh-CN"/>
              </w:rPr>
            </w:pPr>
            <w:r w:rsidRPr="008E3494">
              <w:rPr>
                <w:rFonts w:ascii="Arial" w:hAnsi="Arial" w:cs="Arial"/>
                <w:sz w:val="20"/>
                <w:szCs w:val="20"/>
                <w:lang w:eastAsia="zh-CN"/>
              </w:rPr>
              <w:t>0</w:t>
            </w:r>
          </w:p>
        </w:tc>
        <w:tc>
          <w:tcPr>
            <w:tcW w:w="5103" w:type="dxa"/>
            <w:tcBorders>
              <w:top w:val="single" w:sz="4" w:space="0" w:color="000000"/>
              <w:left w:val="single" w:sz="4" w:space="0" w:color="000000"/>
              <w:bottom w:val="single" w:sz="4" w:space="0" w:color="000000"/>
              <w:right w:val="single" w:sz="4" w:space="0" w:color="auto"/>
            </w:tcBorders>
            <w:vAlign w:val="center"/>
          </w:tcPr>
          <w:p w14:paraId="32B1AEF0" w14:textId="77777777" w:rsidR="003931ED" w:rsidRPr="008E3494" w:rsidRDefault="003931ED" w:rsidP="003931ED">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5DE4F16D" w14:textId="77777777" w:rsidR="00AA6EC7" w:rsidRPr="008E3494" w:rsidRDefault="007F5B37" w:rsidP="003931ED">
            <w:pPr>
              <w:spacing w:after="0" w:line="240" w:lineRule="auto"/>
              <w:rPr>
                <w:rFonts w:ascii="Arial" w:hAnsi="Arial" w:cs="Arial"/>
                <w:sz w:val="20"/>
                <w:szCs w:val="20"/>
                <w:lang w:eastAsia="zh-CN"/>
              </w:rPr>
            </w:pPr>
            <w:r w:rsidRPr="008E3494">
              <w:rPr>
                <w:rFonts w:ascii="Arial" w:hAnsi="Arial" w:cs="Arial"/>
                <w:sz w:val="20"/>
                <w:szCs w:val="20"/>
                <w:lang w:eastAsia="zh-CN"/>
              </w:rPr>
              <w:t>Informes de avance de obra</w:t>
            </w:r>
          </w:p>
        </w:tc>
      </w:tr>
      <w:tr w:rsidR="00AA6EC7" w:rsidRPr="008E3494" w14:paraId="64798A03"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5BB86B50" w14:textId="77777777" w:rsidR="00AA6EC7" w:rsidRPr="008E3494" w:rsidRDefault="007F5B37">
            <w:pPr>
              <w:spacing w:after="0" w:line="240" w:lineRule="auto"/>
              <w:rPr>
                <w:rFonts w:ascii="Arial" w:hAnsi="Arial" w:cs="Arial"/>
                <w:sz w:val="20"/>
                <w:szCs w:val="20"/>
                <w:lang w:eastAsia="zh-CN"/>
              </w:rPr>
            </w:pPr>
            <w:r w:rsidRPr="008E3494">
              <w:rPr>
                <w:rFonts w:ascii="Arial" w:hAnsi="Arial" w:cs="Arial"/>
                <w:sz w:val="20"/>
                <w:szCs w:val="20"/>
                <w:lang w:eastAsia="zh-CN"/>
              </w:rPr>
              <w:t>Distribución equitativa de recursos provinciales y cantonales</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4CF9BCCB" w14:textId="5F9FC1B9" w:rsidR="00AA6EC7" w:rsidRPr="008E3494" w:rsidRDefault="002360E3">
            <w:pPr>
              <w:spacing w:after="0" w:line="240" w:lineRule="auto"/>
              <w:jc w:val="center"/>
              <w:rPr>
                <w:rFonts w:ascii="Arial" w:hAnsi="Arial" w:cs="Arial"/>
                <w:sz w:val="20"/>
                <w:szCs w:val="20"/>
                <w:lang w:eastAsia="zh-CN"/>
              </w:rPr>
            </w:pPr>
            <w:r w:rsidRPr="008E3494">
              <w:rPr>
                <w:rFonts w:ascii="Arial" w:hAnsi="Arial" w:cs="Arial"/>
                <w:sz w:val="20"/>
                <w:szCs w:val="20"/>
                <w:lang w:eastAsia="zh-CN"/>
              </w:rPr>
              <w:t>Porcentaje</w:t>
            </w:r>
          </w:p>
        </w:tc>
        <w:tc>
          <w:tcPr>
            <w:tcW w:w="1134" w:type="dxa"/>
            <w:tcBorders>
              <w:top w:val="single" w:sz="4" w:space="0" w:color="000000"/>
              <w:left w:val="single" w:sz="4" w:space="0" w:color="000000"/>
              <w:bottom w:val="single" w:sz="4" w:space="0" w:color="000000"/>
              <w:right w:val="single" w:sz="4" w:space="0" w:color="000000"/>
            </w:tcBorders>
            <w:vAlign w:val="center"/>
          </w:tcPr>
          <w:p w14:paraId="23CCA4B2" w14:textId="77777777" w:rsidR="00AA6EC7" w:rsidRPr="008E3494" w:rsidRDefault="007F5B37" w:rsidP="002360E3">
            <w:pPr>
              <w:pStyle w:val="NormalWeb"/>
              <w:spacing w:beforeAutospacing="0" w:line="276" w:lineRule="auto"/>
              <w:rPr>
                <w:rFonts w:ascii="Arial" w:hAnsi="Arial" w:cs="Arial"/>
                <w:sz w:val="20"/>
                <w:szCs w:val="20"/>
              </w:rPr>
            </w:pPr>
            <w:r w:rsidRPr="008E3494">
              <w:rPr>
                <w:rFonts w:ascii="Arial" w:hAnsi="Arial" w:cs="Arial"/>
                <w:color w:val="000000"/>
                <w:sz w:val="20"/>
                <w:szCs w:val="20"/>
                <w:lang w:bidi="ar"/>
              </w:rPr>
              <w:t>0%</w:t>
            </w:r>
          </w:p>
        </w:tc>
        <w:tc>
          <w:tcPr>
            <w:tcW w:w="1276" w:type="dxa"/>
            <w:tcBorders>
              <w:top w:val="single" w:sz="4" w:space="0" w:color="000000"/>
              <w:left w:val="single" w:sz="4" w:space="0" w:color="000000"/>
              <w:bottom w:val="single" w:sz="4" w:space="0" w:color="000000"/>
              <w:right w:val="single" w:sz="4" w:space="0" w:color="000000"/>
            </w:tcBorders>
            <w:vAlign w:val="center"/>
          </w:tcPr>
          <w:p w14:paraId="7CD6F82F" w14:textId="77777777" w:rsidR="00AA6EC7" w:rsidRPr="008E3494" w:rsidRDefault="007F5B37" w:rsidP="002360E3">
            <w:pPr>
              <w:pStyle w:val="NormalWeb"/>
              <w:spacing w:beforeAutospacing="0" w:line="276" w:lineRule="auto"/>
              <w:rPr>
                <w:rFonts w:ascii="Arial" w:hAnsi="Arial" w:cs="Arial"/>
                <w:sz w:val="20"/>
                <w:szCs w:val="20"/>
              </w:rPr>
            </w:pPr>
            <w:r w:rsidRPr="008E3494">
              <w:rPr>
                <w:rFonts w:ascii="Arial" w:hAnsi="Arial" w:cs="Arial"/>
                <w:color w:val="000000"/>
                <w:sz w:val="20"/>
                <w:szCs w:val="20"/>
                <w:lang w:bidi="ar"/>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2A8F273D" w14:textId="469A5161" w:rsidR="00AA6EC7" w:rsidRPr="008E3494" w:rsidRDefault="00A70E2B" w:rsidP="002360E3">
            <w:pPr>
              <w:spacing w:after="0" w:line="240" w:lineRule="auto"/>
              <w:jc w:val="center"/>
              <w:rPr>
                <w:rFonts w:ascii="Arial" w:hAnsi="Arial" w:cs="Arial"/>
                <w:sz w:val="20"/>
                <w:szCs w:val="20"/>
                <w:lang w:eastAsia="zh-CN"/>
              </w:rPr>
            </w:pPr>
            <w:r w:rsidRPr="008E3494">
              <w:rPr>
                <w:rFonts w:ascii="Arial" w:hAnsi="Arial" w:cs="Arial"/>
                <w:sz w:val="20"/>
                <w:szCs w:val="20"/>
                <w:lang w:eastAsia="zh-CN"/>
              </w:rPr>
              <w:t>75</w:t>
            </w:r>
            <w:r w:rsidR="007F5B37" w:rsidRPr="008E3494">
              <w:rPr>
                <w:rFonts w:ascii="Arial" w:hAnsi="Arial" w:cs="Arial"/>
                <w:sz w:val="20"/>
                <w:szCs w:val="20"/>
                <w:lang w:eastAsia="zh-CN"/>
              </w:rPr>
              <w:t>%</w:t>
            </w:r>
          </w:p>
        </w:tc>
        <w:tc>
          <w:tcPr>
            <w:tcW w:w="5103" w:type="dxa"/>
            <w:tcBorders>
              <w:top w:val="single" w:sz="4" w:space="0" w:color="000000"/>
              <w:left w:val="single" w:sz="4" w:space="0" w:color="000000"/>
              <w:bottom w:val="single" w:sz="4" w:space="0" w:color="000000"/>
              <w:right w:val="single" w:sz="4" w:space="0" w:color="000000"/>
            </w:tcBorders>
            <w:vAlign w:val="center"/>
          </w:tcPr>
          <w:p w14:paraId="2930DDCA" w14:textId="74C03F29" w:rsidR="00A70E2B" w:rsidRPr="008E3494" w:rsidRDefault="00A70E2B" w:rsidP="003931ED">
            <w:pPr>
              <w:spacing w:after="0" w:line="240" w:lineRule="auto"/>
              <w:rPr>
                <w:rFonts w:ascii="Arial" w:hAnsi="Arial" w:cs="Arial"/>
                <w:color w:val="000000"/>
                <w:sz w:val="20"/>
                <w:szCs w:val="20"/>
              </w:rPr>
            </w:pPr>
            <w:r w:rsidRPr="008E3494">
              <w:rPr>
                <w:rFonts w:ascii="Arial" w:hAnsi="Arial" w:cs="Arial"/>
                <w:color w:val="000000"/>
                <w:sz w:val="20"/>
                <w:szCs w:val="20"/>
              </w:rPr>
              <w:t>El 75% de los subsidios monetarios otorgados deben ser para viviendas ubicadas en los territorios priorizados</w:t>
            </w:r>
          </w:p>
          <w:p w14:paraId="315C07FA" w14:textId="77777777" w:rsidR="00A70E2B" w:rsidRPr="008E3494" w:rsidRDefault="00A70E2B" w:rsidP="003931ED">
            <w:pPr>
              <w:spacing w:after="0" w:line="240" w:lineRule="auto"/>
              <w:rPr>
                <w:rFonts w:ascii="Arial" w:hAnsi="Arial" w:cs="Arial"/>
                <w:b/>
                <w:sz w:val="20"/>
                <w:szCs w:val="20"/>
                <w:lang w:eastAsia="zh-CN"/>
              </w:rPr>
            </w:pPr>
          </w:p>
          <w:p w14:paraId="659107A0" w14:textId="77777777" w:rsidR="003931ED" w:rsidRPr="008E3494" w:rsidRDefault="003931ED" w:rsidP="003931ED">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50E10B40" w14:textId="77777777" w:rsidR="00AA6EC7" w:rsidRPr="008E3494" w:rsidRDefault="007F5B37" w:rsidP="003931ED">
            <w:pPr>
              <w:spacing w:after="0" w:line="240" w:lineRule="auto"/>
              <w:rPr>
                <w:rFonts w:ascii="Arial" w:hAnsi="Arial" w:cs="Arial"/>
                <w:sz w:val="20"/>
                <w:szCs w:val="20"/>
                <w:lang w:eastAsia="zh-CN"/>
              </w:rPr>
            </w:pPr>
            <w:r w:rsidRPr="008E3494">
              <w:rPr>
                <w:rFonts w:ascii="Arial" w:hAnsi="Arial" w:cs="Arial"/>
                <w:sz w:val="20"/>
                <w:szCs w:val="20"/>
                <w:lang w:eastAsia="zh-CN"/>
              </w:rPr>
              <w:t>Reportes (matrices) de seguimiento</w:t>
            </w:r>
          </w:p>
        </w:tc>
      </w:tr>
      <w:tr w:rsidR="00AA6EC7" w:rsidRPr="008E3494" w14:paraId="586BB830"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25B08748" w14:textId="77777777" w:rsidR="00AA6EC7" w:rsidRPr="008E3494" w:rsidRDefault="007F5B37">
            <w:pPr>
              <w:spacing w:after="0" w:line="240" w:lineRule="auto"/>
              <w:rPr>
                <w:rFonts w:ascii="Arial" w:hAnsi="Arial" w:cs="Arial"/>
                <w:sz w:val="20"/>
                <w:szCs w:val="20"/>
                <w:lang w:eastAsia="zh-CN"/>
              </w:rPr>
            </w:pPr>
            <w:r w:rsidRPr="008E3494">
              <w:rPr>
                <w:rFonts w:ascii="Arial" w:hAnsi="Arial" w:cs="Arial"/>
                <w:sz w:val="20"/>
                <w:szCs w:val="20"/>
                <w:lang w:eastAsia="zh-CN"/>
              </w:rPr>
              <w:t>Priorización de beneficiarios mediante puntajes de ponderación</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042A81B"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Porcentaje</w:t>
            </w:r>
          </w:p>
        </w:tc>
        <w:tc>
          <w:tcPr>
            <w:tcW w:w="1134" w:type="dxa"/>
            <w:tcBorders>
              <w:top w:val="single" w:sz="4" w:space="0" w:color="000000"/>
              <w:left w:val="single" w:sz="4" w:space="0" w:color="000000"/>
              <w:bottom w:val="single" w:sz="4" w:space="0" w:color="000000"/>
              <w:right w:val="single" w:sz="4" w:space="0" w:color="000000"/>
            </w:tcBorders>
            <w:vAlign w:val="center"/>
          </w:tcPr>
          <w:p w14:paraId="1837CA36" w14:textId="77777777" w:rsidR="00AA6EC7" w:rsidRPr="008E3494" w:rsidRDefault="007F5B37" w:rsidP="00A70E2B">
            <w:pPr>
              <w:pStyle w:val="NormalWeb"/>
              <w:spacing w:beforeAutospacing="0" w:line="276" w:lineRule="auto"/>
              <w:rPr>
                <w:rFonts w:ascii="Arial" w:hAnsi="Arial" w:cs="Arial"/>
                <w:sz w:val="20"/>
                <w:szCs w:val="20"/>
              </w:rPr>
            </w:pPr>
            <w:r w:rsidRPr="008E3494">
              <w:rPr>
                <w:rFonts w:ascii="Arial" w:hAnsi="Arial" w:cs="Arial"/>
                <w:color w:val="000000"/>
                <w:sz w:val="20"/>
                <w:szCs w:val="20"/>
                <w:lang w:bidi="ar"/>
              </w:rPr>
              <w:t>0%</w:t>
            </w:r>
          </w:p>
        </w:tc>
        <w:tc>
          <w:tcPr>
            <w:tcW w:w="1276" w:type="dxa"/>
            <w:tcBorders>
              <w:top w:val="single" w:sz="4" w:space="0" w:color="000000"/>
              <w:left w:val="single" w:sz="4" w:space="0" w:color="000000"/>
              <w:bottom w:val="single" w:sz="4" w:space="0" w:color="000000"/>
              <w:right w:val="single" w:sz="4" w:space="0" w:color="000000"/>
            </w:tcBorders>
            <w:vAlign w:val="center"/>
          </w:tcPr>
          <w:p w14:paraId="2F552827" w14:textId="77777777" w:rsidR="00AA6EC7" w:rsidRPr="008E3494" w:rsidRDefault="007F5B37" w:rsidP="00A70E2B">
            <w:pPr>
              <w:pStyle w:val="NormalWeb"/>
              <w:spacing w:beforeAutospacing="0" w:line="276" w:lineRule="auto"/>
              <w:rPr>
                <w:rFonts w:ascii="Arial" w:hAnsi="Arial" w:cs="Arial"/>
                <w:sz w:val="20"/>
                <w:szCs w:val="20"/>
              </w:rPr>
            </w:pPr>
            <w:r w:rsidRPr="008E3494">
              <w:rPr>
                <w:rFonts w:ascii="Arial" w:hAnsi="Arial" w:cs="Arial"/>
                <w:color w:val="000000"/>
                <w:sz w:val="20"/>
                <w:szCs w:val="20"/>
                <w:lang w:bidi="ar"/>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70F21A4A" w14:textId="77777777" w:rsidR="00AA6EC7" w:rsidRPr="008E3494" w:rsidRDefault="007F5B37" w:rsidP="00A70E2B">
            <w:pPr>
              <w:spacing w:after="0" w:line="240" w:lineRule="auto"/>
              <w:jc w:val="center"/>
              <w:rPr>
                <w:rFonts w:ascii="Arial" w:hAnsi="Arial" w:cs="Arial"/>
                <w:sz w:val="20"/>
                <w:szCs w:val="20"/>
                <w:lang w:eastAsia="zh-CN"/>
              </w:rPr>
            </w:pPr>
            <w:r w:rsidRPr="008E3494">
              <w:rPr>
                <w:rFonts w:ascii="Arial" w:hAnsi="Arial" w:cs="Arial"/>
                <w:sz w:val="20"/>
                <w:szCs w:val="20"/>
                <w:lang w:eastAsia="zh-CN"/>
              </w:rPr>
              <w:t>100%</w:t>
            </w:r>
          </w:p>
        </w:tc>
        <w:tc>
          <w:tcPr>
            <w:tcW w:w="5103" w:type="dxa"/>
            <w:tcBorders>
              <w:top w:val="single" w:sz="4" w:space="0" w:color="000000"/>
              <w:left w:val="single" w:sz="4" w:space="0" w:color="000000"/>
              <w:bottom w:val="single" w:sz="4" w:space="0" w:color="000000"/>
              <w:right w:val="single" w:sz="4" w:space="0" w:color="000000"/>
            </w:tcBorders>
            <w:vAlign w:val="center"/>
          </w:tcPr>
          <w:p w14:paraId="07DE682F" w14:textId="77777777" w:rsidR="003931ED" w:rsidRPr="008E3494" w:rsidRDefault="003931ED" w:rsidP="003931ED">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12E78F28" w14:textId="77777777" w:rsidR="00AA6EC7" w:rsidRPr="008E3494" w:rsidRDefault="007F5B37" w:rsidP="003931ED">
            <w:pPr>
              <w:spacing w:after="0" w:line="240" w:lineRule="auto"/>
              <w:rPr>
                <w:rFonts w:ascii="Arial" w:hAnsi="Arial" w:cs="Arial"/>
                <w:sz w:val="20"/>
                <w:szCs w:val="20"/>
                <w:lang w:eastAsia="zh-CN"/>
              </w:rPr>
            </w:pPr>
            <w:r w:rsidRPr="008E3494">
              <w:rPr>
                <w:rFonts w:ascii="Arial" w:hAnsi="Arial" w:cs="Arial"/>
                <w:sz w:val="20"/>
                <w:szCs w:val="20"/>
                <w:lang w:eastAsia="zh-CN"/>
              </w:rPr>
              <w:t>Reportes (matrices) de seguimiento</w:t>
            </w:r>
          </w:p>
        </w:tc>
      </w:tr>
      <w:tr w:rsidR="00AA6EC7" w:rsidRPr="008E3494" w14:paraId="355D40E3"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3785EE4B" w14:textId="77777777" w:rsidR="00AA6EC7" w:rsidRPr="008E3494" w:rsidRDefault="007F5B37">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Constructores con innovaciones relacionadas con la mitigación de riesgos de desastres</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8137975"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Porcentaje</w:t>
            </w:r>
          </w:p>
        </w:tc>
        <w:tc>
          <w:tcPr>
            <w:tcW w:w="1134" w:type="dxa"/>
            <w:tcBorders>
              <w:top w:val="single" w:sz="4" w:space="0" w:color="000000"/>
              <w:left w:val="single" w:sz="4" w:space="0" w:color="000000"/>
              <w:bottom w:val="single" w:sz="4" w:space="0" w:color="000000"/>
              <w:right w:val="single" w:sz="4" w:space="0" w:color="000000"/>
            </w:tcBorders>
            <w:vAlign w:val="center"/>
          </w:tcPr>
          <w:p w14:paraId="0E27388D" w14:textId="77777777" w:rsidR="00AA6EC7" w:rsidRPr="008E3494" w:rsidRDefault="007F5B37" w:rsidP="00FF58D1">
            <w:pPr>
              <w:pStyle w:val="NormalWeb"/>
              <w:spacing w:beforeAutospacing="0" w:line="276" w:lineRule="auto"/>
              <w:rPr>
                <w:rFonts w:ascii="Arial" w:hAnsi="Arial" w:cs="Arial"/>
                <w:color w:val="000000"/>
                <w:sz w:val="20"/>
                <w:szCs w:val="20"/>
                <w:lang w:bidi="ar"/>
              </w:rPr>
            </w:pPr>
            <w:r w:rsidRPr="008E3494">
              <w:rPr>
                <w:rFonts w:ascii="Arial" w:hAnsi="Arial" w:cs="Arial"/>
                <w:color w:val="000000"/>
                <w:sz w:val="20"/>
                <w:szCs w:val="20"/>
                <w:lang w:bidi="ar"/>
              </w:rPr>
              <w:t>0%</w:t>
            </w:r>
          </w:p>
        </w:tc>
        <w:tc>
          <w:tcPr>
            <w:tcW w:w="1276" w:type="dxa"/>
            <w:tcBorders>
              <w:top w:val="single" w:sz="4" w:space="0" w:color="000000"/>
              <w:left w:val="single" w:sz="4" w:space="0" w:color="000000"/>
              <w:bottom w:val="single" w:sz="4" w:space="0" w:color="000000"/>
              <w:right w:val="single" w:sz="4" w:space="0" w:color="000000"/>
            </w:tcBorders>
            <w:vAlign w:val="center"/>
          </w:tcPr>
          <w:p w14:paraId="11B131CC" w14:textId="77777777" w:rsidR="00AA6EC7" w:rsidRPr="008E3494" w:rsidRDefault="007F5B37" w:rsidP="00FF58D1">
            <w:pPr>
              <w:pStyle w:val="NormalWeb"/>
              <w:spacing w:beforeAutospacing="0" w:line="276" w:lineRule="auto"/>
              <w:rPr>
                <w:rFonts w:ascii="Arial" w:hAnsi="Arial" w:cs="Arial"/>
                <w:color w:val="000000"/>
                <w:sz w:val="20"/>
                <w:szCs w:val="20"/>
                <w:lang w:bidi="ar"/>
              </w:rPr>
            </w:pPr>
            <w:r w:rsidRPr="008E3494">
              <w:rPr>
                <w:rFonts w:ascii="Arial" w:hAnsi="Arial" w:cs="Arial"/>
                <w:color w:val="000000"/>
                <w:sz w:val="20"/>
                <w:szCs w:val="20"/>
                <w:lang w:bidi="ar"/>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55D017E7" w14:textId="77777777" w:rsidR="00AA6EC7" w:rsidRPr="008E3494" w:rsidRDefault="007F5B37" w:rsidP="00FF58D1">
            <w:pPr>
              <w:spacing w:after="0" w:line="240" w:lineRule="auto"/>
              <w:jc w:val="center"/>
              <w:rPr>
                <w:rFonts w:ascii="Arial" w:eastAsia="SimSun" w:hAnsi="Arial" w:cs="Arial"/>
                <w:color w:val="000000"/>
                <w:sz w:val="20"/>
                <w:szCs w:val="20"/>
                <w:lang w:val="en-US" w:eastAsia="zh-CN" w:bidi="ar"/>
              </w:rPr>
            </w:pPr>
            <w:r w:rsidRPr="008E3494">
              <w:rPr>
                <w:rFonts w:ascii="Arial" w:eastAsia="SimSun" w:hAnsi="Arial" w:cs="Arial"/>
                <w:color w:val="000000"/>
                <w:sz w:val="20"/>
                <w:szCs w:val="20"/>
                <w:lang w:val="en-US" w:eastAsia="zh-CN" w:bidi="ar"/>
              </w:rPr>
              <w:t>25%</w:t>
            </w:r>
          </w:p>
        </w:tc>
        <w:tc>
          <w:tcPr>
            <w:tcW w:w="5103" w:type="dxa"/>
            <w:tcBorders>
              <w:top w:val="single" w:sz="4" w:space="0" w:color="000000"/>
              <w:left w:val="single" w:sz="4" w:space="0" w:color="000000"/>
              <w:bottom w:val="single" w:sz="4" w:space="0" w:color="000000"/>
              <w:right w:val="single" w:sz="4" w:space="0" w:color="000000"/>
            </w:tcBorders>
            <w:vAlign w:val="center"/>
          </w:tcPr>
          <w:p w14:paraId="7A4F8B7E" w14:textId="77777777" w:rsidR="003931ED" w:rsidRPr="008E3494" w:rsidRDefault="003931ED" w:rsidP="003931ED">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2B31ECFC" w14:textId="77777777" w:rsidR="00AA6EC7" w:rsidRPr="008E3494" w:rsidRDefault="007F5B37" w:rsidP="003931ED">
            <w:pPr>
              <w:spacing w:after="0" w:line="240" w:lineRule="auto"/>
              <w:rPr>
                <w:rFonts w:ascii="Arial" w:hAnsi="Arial" w:cs="Arial"/>
                <w:sz w:val="20"/>
                <w:szCs w:val="20"/>
                <w:lang w:eastAsia="zh-CN"/>
              </w:rPr>
            </w:pPr>
            <w:r w:rsidRPr="008E3494">
              <w:rPr>
                <w:rFonts w:ascii="Arial" w:hAnsi="Arial" w:cs="Arial"/>
                <w:sz w:val="20"/>
                <w:szCs w:val="20"/>
                <w:lang w:eastAsia="zh-CN"/>
              </w:rPr>
              <w:t>Informes de fiscalización</w:t>
            </w:r>
          </w:p>
        </w:tc>
      </w:tr>
      <w:tr w:rsidR="00AA6EC7" w:rsidRPr="008E3494" w14:paraId="37F47DE0" w14:textId="77777777" w:rsidTr="00673F3C">
        <w:trPr>
          <w:trHeight w:val="64"/>
        </w:trPr>
        <w:tc>
          <w:tcPr>
            <w:tcW w:w="3114" w:type="dxa"/>
            <w:tcBorders>
              <w:top w:val="single" w:sz="4" w:space="0" w:color="000000"/>
              <w:left w:val="single" w:sz="4" w:space="0" w:color="000000"/>
              <w:bottom w:val="single" w:sz="4" w:space="0" w:color="000000"/>
              <w:right w:val="single" w:sz="4" w:space="0" w:color="000000"/>
            </w:tcBorders>
            <w:vAlign w:val="center"/>
          </w:tcPr>
          <w:p w14:paraId="558F06ED" w14:textId="77777777" w:rsidR="00AA6EC7" w:rsidRPr="008E3494" w:rsidRDefault="007F5B37">
            <w:pPr>
              <w:spacing w:after="0" w:line="240" w:lineRule="auto"/>
              <w:rPr>
                <w:rFonts w:ascii="Arial" w:hAnsi="Arial" w:cs="Arial"/>
                <w:sz w:val="20"/>
                <w:szCs w:val="20"/>
                <w:lang w:eastAsia="zh-CN"/>
              </w:rPr>
            </w:pPr>
            <w:r w:rsidRPr="008E3494">
              <w:rPr>
                <w:rFonts w:ascii="Arial" w:hAnsi="Arial" w:cs="Arial"/>
                <w:sz w:val="20"/>
                <w:szCs w:val="20"/>
                <w:lang w:eastAsia="zh-CN"/>
              </w:rPr>
              <w:t>Capacidad de monitoreo de la ejecución del programa</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B09905B"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Porcentaje</w:t>
            </w:r>
          </w:p>
        </w:tc>
        <w:tc>
          <w:tcPr>
            <w:tcW w:w="1134" w:type="dxa"/>
            <w:tcBorders>
              <w:top w:val="single" w:sz="4" w:space="0" w:color="000000"/>
              <w:left w:val="single" w:sz="4" w:space="0" w:color="000000"/>
              <w:bottom w:val="single" w:sz="4" w:space="0" w:color="000000"/>
              <w:right w:val="single" w:sz="4" w:space="0" w:color="000000"/>
            </w:tcBorders>
            <w:vAlign w:val="center"/>
          </w:tcPr>
          <w:p w14:paraId="68F3E03A" w14:textId="77777777" w:rsidR="00AA6EC7" w:rsidRPr="008E3494" w:rsidRDefault="007F5B37" w:rsidP="00FF58D1">
            <w:pPr>
              <w:pStyle w:val="NormalWeb"/>
              <w:spacing w:beforeAutospacing="0" w:line="276" w:lineRule="auto"/>
              <w:rPr>
                <w:rFonts w:ascii="Arial" w:hAnsi="Arial" w:cs="Arial"/>
                <w:color w:val="000000"/>
                <w:sz w:val="20"/>
                <w:szCs w:val="20"/>
                <w:lang w:bidi="ar"/>
              </w:rPr>
            </w:pPr>
            <w:r w:rsidRPr="008E3494">
              <w:rPr>
                <w:rFonts w:ascii="Arial" w:hAnsi="Arial" w:cs="Arial"/>
                <w:color w:val="000000"/>
                <w:sz w:val="20"/>
                <w:szCs w:val="20"/>
                <w:lang w:bidi="ar"/>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EEE03EF" w14:textId="77777777" w:rsidR="00AA6EC7" w:rsidRPr="008E3494" w:rsidRDefault="007F5B37" w:rsidP="00FF58D1">
            <w:pPr>
              <w:pStyle w:val="NormalWeb"/>
              <w:spacing w:beforeAutospacing="0" w:line="276" w:lineRule="auto"/>
              <w:rPr>
                <w:rFonts w:ascii="Arial" w:hAnsi="Arial" w:cs="Arial"/>
                <w:color w:val="000000"/>
                <w:sz w:val="20"/>
                <w:szCs w:val="20"/>
                <w:lang w:bidi="ar"/>
              </w:rPr>
            </w:pPr>
            <w:r w:rsidRPr="008E3494">
              <w:rPr>
                <w:rFonts w:ascii="Arial" w:hAnsi="Arial" w:cs="Arial"/>
                <w:color w:val="000000"/>
                <w:sz w:val="20"/>
                <w:szCs w:val="20"/>
                <w:lang w:bidi="ar"/>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3C19D31F" w14:textId="77777777" w:rsidR="00AA6EC7" w:rsidRPr="008E3494" w:rsidRDefault="007F5B37" w:rsidP="00FF58D1">
            <w:pPr>
              <w:spacing w:after="0" w:line="240" w:lineRule="auto"/>
              <w:jc w:val="center"/>
              <w:rPr>
                <w:rFonts w:ascii="Arial" w:eastAsia="SimSun" w:hAnsi="Arial" w:cs="Arial"/>
                <w:color w:val="000000"/>
                <w:sz w:val="20"/>
                <w:szCs w:val="20"/>
                <w:lang w:val="en-US" w:eastAsia="zh-CN" w:bidi="ar"/>
              </w:rPr>
            </w:pPr>
            <w:r w:rsidRPr="008E3494">
              <w:rPr>
                <w:rFonts w:ascii="Arial" w:eastAsia="SimSun" w:hAnsi="Arial" w:cs="Arial"/>
                <w:color w:val="000000"/>
                <w:sz w:val="20"/>
                <w:szCs w:val="20"/>
                <w:lang w:val="en-US" w:eastAsia="zh-CN" w:bidi="ar"/>
              </w:rPr>
              <w:t>100%</w:t>
            </w:r>
          </w:p>
        </w:tc>
        <w:tc>
          <w:tcPr>
            <w:tcW w:w="5103" w:type="dxa"/>
            <w:tcBorders>
              <w:top w:val="single" w:sz="4" w:space="0" w:color="000000"/>
              <w:left w:val="single" w:sz="4" w:space="0" w:color="000000"/>
              <w:bottom w:val="single" w:sz="4" w:space="0" w:color="000000"/>
              <w:right w:val="single" w:sz="4" w:space="0" w:color="000000"/>
            </w:tcBorders>
            <w:vAlign w:val="center"/>
          </w:tcPr>
          <w:p w14:paraId="58A7585C" w14:textId="77777777" w:rsidR="003931ED" w:rsidRPr="008E3494" w:rsidRDefault="003931ED" w:rsidP="003931ED">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45C52A4C" w14:textId="77777777" w:rsidR="00AA6EC7" w:rsidRPr="008E3494" w:rsidRDefault="007F5B37" w:rsidP="003931ED">
            <w:pPr>
              <w:spacing w:after="0" w:line="240" w:lineRule="auto"/>
              <w:rPr>
                <w:rFonts w:ascii="Arial" w:hAnsi="Arial" w:cs="Arial"/>
                <w:sz w:val="20"/>
                <w:szCs w:val="20"/>
                <w:lang w:eastAsia="zh-CN"/>
              </w:rPr>
            </w:pPr>
            <w:r w:rsidRPr="008E3494">
              <w:rPr>
                <w:rFonts w:ascii="Arial" w:hAnsi="Arial" w:cs="Arial"/>
                <w:sz w:val="20"/>
                <w:szCs w:val="20"/>
                <w:lang w:eastAsia="zh-CN"/>
              </w:rPr>
              <w:t>Reportes (matrices) de seguimiento</w:t>
            </w:r>
          </w:p>
        </w:tc>
      </w:tr>
    </w:tbl>
    <w:p w14:paraId="398DD32A" w14:textId="77777777" w:rsidR="00F9604D" w:rsidRPr="008E3494" w:rsidRDefault="00F9604D" w:rsidP="00F9604D">
      <w:pPr>
        <w:spacing w:after="0"/>
        <w:jc w:val="center"/>
        <w:rPr>
          <w:rFonts w:ascii="Arial" w:hAnsi="Arial" w:cs="Arial"/>
          <w:b/>
          <w:smallCaps/>
          <w:color w:val="000000"/>
          <w:sz w:val="20"/>
          <w:szCs w:val="20"/>
        </w:rPr>
      </w:pPr>
    </w:p>
    <w:p w14:paraId="10EAD577" w14:textId="77777777" w:rsidR="00F9604D" w:rsidRPr="008E3494" w:rsidRDefault="00F9604D" w:rsidP="00F9604D">
      <w:pPr>
        <w:spacing w:after="0"/>
        <w:jc w:val="center"/>
        <w:rPr>
          <w:rFonts w:ascii="Arial" w:hAnsi="Arial" w:cs="Arial"/>
          <w:b/>
          <w:smallCaps/>
          <w:color w:val="000000"/>
          <w:sz w:val="20"/>
          <w:szCs w:val="20"/>
        </w:rPr>
      </w:pPr>
    </w:p>
    <w:p w14:paraId="1C0BFC97" w14:textId="77777777" w:rsidR="00AA6EC7" w:rsidRPr="008E3494" w:rsidRDefault="007F5B37" w:rsidP="00F9604D">
      <w:pPr>
        <w:spacing w:after="0"/>
        <w:jc w:val="center"/>
        <w:rPr>
          <w:rFonts w:ascii="Arial" w:hAnsi="Arial" w:cs="Arial"/>
          <w:sz w:val="20"/>
          <w:szCs w:val="20"/>
        </w:rPr>
      </w:pPr>
      <w:r w:rsidRPr="008E3494">
        <w:rPr>
          <w:rFonts w:ascii="Arial" w:hAnsi="Arial" w:cs="Arial"/>
          <w:b/>
          <w:smallCaps/>
          <w:color w:val="000000"/>
          <w:sz w:val="20"/>
          <w:szCs w:val="20"/>
        </w:rPr>
        <w:lastRenderedPageBreak/>
        <w:t>Productos</w:t>
      </w:r>
    </w:p>
    <w:tbl>
      <w:tblPr>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1"/>
        <w:gridCol w:w="1275"/>
        <w:gridCol w:w="1134"/>
        <w:gridCol w:w="1273"/>
        <w:gridCol w:w="992"/>
        <w:gridCol w:w="5106"/>
      </w:tblGrid>
      <w:tr w:rsidR="00AA6EC7" w:rsidRPr="008E3494" w14:paraId="0EF76CE1" w14:textId="77777777" w:rsidTr="00673F3C">
        <w:trPr>
          <w:trHeight w:val="1444"/>
          <w:tblHeader/>
        </w:trPr>
        <w:tc>
          <w:tcPr>
            <w:tcW w:w="32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E5F5D7" w14:textId="77777777" w:rsidR="00AA6EC7" w:rsidRPr="008E3494" w:rsidRDefault="007F5B37">
            <w:pPr>
              <w:spacing w:after="0" w:line="240" w:lineRule="auto"/>
              <w:jc w:val="center"/>
              <w:rPr>
                <w:rFonts w:ascii="Arial" w:hAnsi="Arial" w:cs="Arial"/>
                <w:b/>
                <w:sz w:val="20"/>
                <w:szCs w:val="20"/>
                <w:lang w:eastAsia="zh-CN"/>
              </w:rPr>
            </w:pPr>
            <w:r w:rsidRPr="008E3494">
              <w:rPr>
                <w:rFonts w:ascii="Arial" w:hAnsi="Arial" w:cs="Arial"/>
                <w:b/>
                <w:sz w:val="20"/>
                <w:szCs w:val="20"/>
                <w:lang w:eastAsia="zh-CN"/>
              </w:rPr>
              <w:t>Productos</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extDirection w:val="btLr"/>
            <w:vAlign w:val="center"/>
          </w:tcPr>
          <w:p w14:paraId="1B14E970" w14:textId="77777777" w:rsidR="00AA6EC7" w:rsidRPr="008E3494" w:rsidRDefault="007F5B37">
            <w:pPr>
              <w:spacing w:after="0" w:line="240" w:lineRule="auto"/>
              <w:jc w:val="center"/>
              <w:rPr>
                <w:rFonts w:ascii="Arial" w:hAnsi="Arial" w:cs="Arial"/>
                <w:b/>
                <w:sz w:val="20"/>
                <w:szCs w:val="20"/>
                <w:lang w:eastAsia="zh-CN"/>
              </w:rPr>
            </w:pPr>
            <w:r w:rsidRPr="008E3494">
              <w:rPr>
                <w:rFonts w:ascii="Arial" w:hAnsi="Arial" w:cs="Arial"/>
                <w:b/>
                <w:sz w:val="20"/>
                <w:szCs w:val="20"/>
              </w:rPr>
              <w:t>Unidad de medida</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extDirection w:val="btLr"/>
            <w:vAlign w:val="center"/>
          </w:tcPr>
          <w:p w14:paraId="0C4C273C" w14:textId="77777777" w:rsidR="00AA6EC7" w:rsidRPr="008E3494" w:rsidRDefault="007F5B37">
            <w:pPr>
              <w:spacing w:after="0" w:line="240" w:lineRule="auto"/>
              <w:jc w:val="center"/>
              <w:rPr>
                <w:rFonts w:ascii="Arial" w:hAnsi="Arial" w:cs="Arial"/>
                <w:b/>
                <w:sz w:val="20"/>
                <w:szCs w:val="20"/>
                <w:lang w:eastAsia="zh-CN"/>
              </w:rPr>
            </w:pPr>
            <w:r w:rsidRPr="008E3494">
              <w:rPr>
                <w:rFonts w:ascii="Arial" w:hAnsi="Arial" w:cs="Arial"/>
                <w:b/>
                <w:sz w:val="20"/>
                <w:szCs w:val="20"/>
              </w:rPr>
              <w:t>Línea de base</w:t>
            </w:r>
          </w:p>
        </w:tc>
        <w:tc>
          <w:tcPr>
            <w:tcW w:w="1273" w:type="dxa"/>
            <w:tcBorders>
              <w:top w:val="single" w:sz="4" w:space="0" w:color="000000"/>
              <w:left w:val="single" w:sz="4" w:space="0" w:color="000000"/>
              <w:bottom w:val="single" w:sz="4" w:space="0" w:color="000000"/>
              <w:right w:val="single" w:sz="4" w:space="0" w:color="000000"/>
            </w:tcBorders>
            <w:shd w:val="clear" w:color="auto" w:fill="D9D9D9"/>
            <w:textDirection w:val="btLr"/>
            <w:vAlign w:val="center"/>
          </w:tcPr>
          <w:p w14:paraId="6089EF74" w14:textId="77777777" w:rsidR="00AA6EC7" w:rsidRPr="008E3494" w:rsidRDefault="007F5B37">
            <w:pPr>
              <w:spacing w:after="0" w:line="240" w:lineRule="auto"/>
              <w:jc w:val="center"/>
              <w:rPr>
                <w:rFonts w:ascii="Arial" w:hAnsi="Arial" w:cs="Arial"/>
                <w:b/>
                <w:sz w:val="20"/>
                <w:szCs w:val="20"/>
                <w:lang w:eastAsia="zh-CN"/>
              </w:rPr>
            </w:pPr>
            <w:r w:rsidRPr="008E3494">
              <w:rPr>
                <w:rFonts w:ascii="Arial" w:hAnsi="Arial" w:cs="Arial"/>
                <w:b/>
                <w:sz w:val="20"/>
                <w:szCs w:val="20"/>
              </w:rPr>
              <w:t>Año. Línea base</w:t>
            </w:r>
          </w:p>
        </w:tc>
        <w:tc>
          <w:tcPr>
            <w:tcW w:w="992" w:type="dxa"/>
            <w:tcBorders>
              <w:top w:val="single" w:sz="4" w:space="0" w:color="000000"/>
              <w:left w:val="single" w:sz="4" w:space="0" w:color="000000"/>
              <w:bottom w:val="single" w:sz="4" w:space="0" w:color="000000"/>
              <w:right w:val="single" w:sz="4" w:space="0" w:color="000000"/>
            </w:tcBorders>
            <w:shd w:val="clear" w:color="auto" w:fill="D9D9D9"/>
            <w:textDirection w:val="btLr"/>
            <w:vAlign w:val="center"/>
          </w:tcPr>
          <w:p w14:paraId="26B419FF" w14:textId="77777777" w:rsidR="00AA6EC7" w:rsidRPr="008E3494" w:rsidRDefault="007F5B37">
            <w:pPr>
              <w:spacing w:after="0" w:line="240" w:lineRule="auto"/>
              <w:jc w:val="center"/>
              <w:rPr>
                <w:rFonts w:ascii="Arial" w:hAnsi="Arial" w:cs="Arial"/>
                <w:b/>
                <w:sz w:val="20"/>
                <w:szCs w:val="20"/>
                <w:lang w:eastAsia="zh-CN"/>
              </w:rPr>
            </w:pPr>
            <w:r w:rsidRPr="008E3494">
              <w:rPr>
                <w:rFonts w:ascii="Arial" w:hAnsi="Arial" w:cs="Arial"/>
                <w:b/>
                <w:sz w:val="20"/>
                <w:szCs w:val="20"/>
              </w:rPr>
              <w:t>Fin proyecto</w:t>
            </w:r>
          </w:p>
        </w:tc>
        <w:tc>
          <w:tcPr>
            <w:tcW w:w="5106" w:type="dxa"/>
            <w:tcBorders>
              <w:top w:val="single" w:sz="4" w:space="0" w:color="000000"/>
              <w:left w:val="single" w:sz="4" w:space="0" w:color="000000"/>
              <w:bottom w:val="single" w:sz="4" w:space="0" w:color="000000"/>
              <w:right w:val="single" w:sz="4" w:space="0" w:color="auto"/>
            </w:tcBorders>
            <w:shd w:val="clear" w:color="auto" w:fill="D9D9D9"/>
            <w:vAlign w:val="center"/>
          </w:tcPr>
          <w:p w14:paraId="665611D8" w14:textId="77777777" w:rsidR="00AA6EC7" w:rsidRPr="008E3494" w:rsidRDefault="007F5B37">
            <w:pPr>
              <w:spacing w:after="0" w:line="240" w:lineRule="auto"/>
              <w:jc w:val="center"/>
              <w:rPr>
                <w:rFonts w:ascii="Arial" w:hAnsi="Arial" w:cs="Arial"/>
                <w:b/>
                <w:sz w:val="20"/>
                <w:szCs w:val="20"/>
                <w:lang w:eastAsia="zh-CN"/>
              </w:rPr>
            </w:pPr>
            <w:r w:rsidRPr="008E3494">
              <w:rPr>
                <w:rFonts w:ascii="Arial" w:hAnsi="Arial" w:cs="Arial"/>
                <w:b/>
                <w:sz w:val="20"/>
                <w:szCs w:val="20"/>
              </w:rPr>
              <w:t>Comentarios/medio de verificación</w:t>
            </w:r>
          </w:p>
        </w:tc>
      </w:tr>
      <w:tr w:rsidR="00AA6EC7" w:rsidRPr="008E3494" w14:paraId="5E9731DB" w14:textId="77777777" w:rsidTr="00673F3C">
        <w:trPr>
          <w:trHeight w:val="64"/>
        </w:trPr>
        <w:tc>
          <w:tcPr>
            <w:tcW w:w="13041" w:type="dxa"/>
            <w:gridSpan w:val="6"/>
            <w:tcBorders>
              <w:top w:val="single" w:sz="4" w:space="0" w:color="000000"/>
              <w:left w:val="single" w:sz="4" w:space="0" w:color="000000"/>
              <w:bottom w:val="single" w:sz="4" w:space="0" w:color="000000"/>
              <w:right w:val="single" w:sz="4" w:space="0" w:color="auto"/>
            </w:tcBorders>
            <w:shd w:val="clear" w:color="auto" w:fill="C9C9C9"/>
            <w:vAlign w:val="center"/>
          </w:tcPr>
          <w:p w14:paraId="4518AC4F" w14:textId="77777777" w:rsidR="00AA6EC7" w:rsidRPr="008E3494" w:rsidRDefault="007F5B37">
            <w:pPr>
              <w:spacing w:before="120" w:after="120" w:line="240" w:lineRule="auto"/>
              <w:rPr>
                <w:rFonts w:ascii="Arial" w:hAnsi="Arial" w:cs="Arial"/>
                <w:b/>
                <w:sz w:val="20"/>
                <w:szCs w:val="20"/>
                <w:u w:val="single"/>
                <w:lang w:eastAsia="zh-CN"/>
              </w:rPr>
            </w:pPr>
            <w:r w:rsidRPr="008E3494">
              <w:rPr>
                <w:rFonts w:ascii="Arial" w:hAnsi="Arial" w:cs="Arial"/>
                <w:b/>
                <w:sz w:val="20"/>
                <w:szCs w:val="20"/>
                <w:u w:val="single"/>
                <w:lang w:eastAsia="zh-CN"/>
              </w:rPr>
              <w:t>Componente #1: Subsidios para construcción de vivienda nueva en zonas rural y urbano-marginal</w:t>
            </w:r>
          </w:p>
        </w:tc>
      </w:tr>
      <w:tr w:rsidR="00AA6EC7" w:rsidRPr="008E3494" w14:paraId="736E6044" w14:textId="77777777" w:rsidTr="00673F3C">
        <w:trPr>
          <w:trHeight w:val="64"/>
        </w:trPr>
        <w:tc>
          <w:tcPr>
            <w:tcW w:w="3261" w:type="dxa"/>
            <w:tcBorders>
              <w:top w:val="single" w:sz="4" w:space="0" w:color="000000"/>
              <w:left w:val="single" w:sz="4" w:space="0" w:color="000000"/>
              <w:bottom w:val="single" w:sz="4" w:space="0" w:color="000000"/>
              <w:right w:val="single" w:sz="4" w:space="0" w:color="000000"/>
            </w:tcBorders>
            <w:vAlign w:val="center"/>
          </w:tcPr>
          <w:p w14:paraId="6960929F" w14:textId="77777777" w:rsidR="00AA6EC7" w:rsidRPr="008E3494" w:rsidRDefault="007F5B37">
            <w:pPr>
              <w:spacing w:after="0" w:line="240" w:lineRule="auto"/>
              <w:rPr>
                <w:rFonts w:ascii="Arial" w:hAnsi="Arial" w:cs="Arial"/>
                <w:sz w:val="20"/>
                <w:szCs w:val="20"/>
                <w:lang w:eastAsia="zh-CN"/>
              </w:rPr>
            </w:pPr>
            <w:r w:rsidRPr="008E3494">
              <w:rPr>
                <w:rFonts w:ascii="Arial" w:hAnsi="Arial" w:cs="Arial"/>
                <w:sz w:val="20"/>
                <w:szCs w:val="20"/>
                <w:lang w:eastAsia="zh-CN"/>
              </w:rPr>
              <w:t>Número de subsidios para construcción entregados**</w:t>
            </w:r>
          </w:p>
        </w:tc>
        <w:tc>
          <w:tcPr>
            <w:tcW w:w="1275" w:type="dxa"/>
            <w:tcBorders>
              <w:top w:val="single" w:sz="4" w:space="0" w:color="000000"/>
              <w:left w:val="single" w:sz="4" w:space="0" w:color="000000"/>
              <w:bottom w:val="single" w:sz="4" w:space="0" w:color="000000"/>
              <w:right w:val="single" w:sz="4" w:space="0" w:color="000000"/>
            </w:tcBorders>
            <w:vAlign w:val="center"/>
          </w:tcPr>
          <w:p w14:paraId="38E5C577"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Número</w:t>
            </w:r>
          </w:p>
        </w:tc>
        <w:tc>
          <w:tcPr>
            <w:tcW w:w="1134" w:type="dxa"/>
            <w:tcBorders>
              <w:top w:val="single" w:sz="4" w:space="0" w:color="000000"/>
              <w:left w:val="single" w:sz="4" w:space="0" w:color="000000"/>
              <w:bottom w:val="single" w:sz="4" w:space="0" w:color="000000"/>
              <w:right w:val="single" w:sz="4" w:space="0" w:color="000000"/>
            </w:tcBorders>
            <w:vAlign w:val="center"/>
          </w:tcPr>
          <w:p w14:paraId="61D528B1"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0</w:t>
            </w:r>
          </w:p>
        </w:tc>
        <w:tc>
          <w:tcPr>
            <w:tcW w:w="1273" w:type="dxa"/>
            <w:tcBorders>
              <w:top w:val="single" w:sz="4" w:space="0" w:color="000000"/>
              <w:left w:val="single" w:sz="4" w:space="0" w:color="000000"/>
              <w:bottom w:val="single" w:sz="4" w:space="0" w:color="000000"/>
              <w:right w:val="single" w:sz="4" w:space="0" w:color="000000"/>
            </w:tcBorders>
            <w:vAlign w:val="center"/>
          </w:tcPr>
          <w:p w14:paraId="4986EC8F" w14:textId="77777777" w:rsidR="00AA6EC7" w:rsidRPr="008E3494" w:rsidRDefault="007F5B37">
            <w:pPr>
              <w:spacing w:after="0" w:line="240" w:lineRule="auto"/>
              <w:jc w:val="center"/>
              <w:rPr>
                <w:rFonts w:ascii="Arial" w:hAnsi="Arial" w:cs="Arial"/>
                <w:sz w:val="20"/>
                <w:szCs w:val="20"/>
              </w:rPr>
            </w:pPr>
            <w:r w:rsidRPr="008E3494">
              <w:rPr>
                <w:rFonts w:ascii="Arial" w:hAnsi="Arial" w:cs="Arial"/>
                <w:sz w:val="20"/>
                <w:szCs w:val="20"/>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582E171E"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4.200</w:t>
            </w:r>
          </w:p>
        </w:tc>
        <w:tc>
          <w:tcPr>
            <w:tcW w:w="5106" w:type="dxa"/>
            <w:tcBorders>
              <w:top w:val="single" w:sz="4" w:space="0" w:color="000000"/>
              <w:left w:val="single" w:sz="4" w:space="0" w:color="000000"/>
              <w:bottom w:val="single" w:sz="4" w:space="0" w:color="000000"/>
              <w:right w:val="single" w:sz="4" w:space="0" w:color="auto"/>
            </w:tcBorders>
            <w:vAlign w:val="center"/>
          </w:tcPr>
          <w:p w14:paraId="26F5975E" w14:textId="77777777" w:rsidR="003931ED" w:rsidRPr="008E3494" w:rsidRDefault="003931ED" w:rsidP="00FF58D1">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7B39CCAF" w14:textId="77777777" w:rsidR="00AA6EC7" w:rsidRPr="008E3494" w:rsidRDefault="007F5B37" w:rsidP="00FF58D1">
            <w:pPr>
              <w:spacing w:after="0" w:line="240" w:lineRule="auto"/>
              <w:rPr>
                <w:rFonts w:ascii="Arial" w:hAnsi="Arial" w:cs="Arial"/>
                <w:sz w:val="20"/>
                <w:szCs w:val="20"/>
                <w:lang w:eastAsia="zh-CN"/>
              </w:rPr>
            </w:pPr>
            <w:r w:rsidRPr="008E3494">
              <w:rPr>
                <w:rFonts w:ascii="Arial" w:hAnsi="Arial" w:cs="Arial"/>
                <w:sz w:val="20"/>
                <w:szCs w:val="20"/>
                <w:lang w:eastAsia="zh-CN"/>
              </w:rPr>
              <w:t>Reportes (matrices) de seguimiento</w:t>
            </w:r>
          </w:p>
        </w:tc>
      </w:tr>
      <w:tr w:rsidR="00AA6EC7" w:rsidRPr="008E3494" w14:paraId="77A40B64" w14:textId="77777777" w:rsidTr="00673F3C">
        <w:trPr>
          <w:trHeight w:val="64"/>
        </w:trPr>
        <w:tc>
          <w:tcPr>
            <w:tcW w:w="3261" w:type="dxa"/>
            <w:tcBorders>
              <w:top w:val="single" w:sz="4" w:space="0" w:color="000000"/>
              <w:left w:val="single" w:sz="4" w:space="0" w:color="000000"/>
              <w:bottom w:val="single" w:sz="4" w:space="0" w:color="000000"/>
              <w:right w:val="single" w:sz="4" w:space="0" w:color="000000"/>
            </w:tcBorders>
            <w:vAlign w:val="center"/>
          </w:tcPr>
          <w:p w14:paraId="6C6FF2EF" w14:textId="77777777" w:rsidR="00AA6EC7" w:rsidRPr="008E3494" w:rsidRDefault="007F5B37">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Número de subsidios para conexión a agua entregados**</w:t>
            </w:r>
          </w:p>
        </w:tc>
        <w:tc>
          <w:tcPr>
            <w:tcW w:w="1275" w:type="dxa"/>
            <w:tcBorders>
              <w:top w:val="single" w:sz="4" w:space="0" w:color="000000"/>
              <w:left w:val="single" w:sz="4" w:space="0" w:color="000000"/>
              <w:bottom w:val="single" w:sz="4" w:space="0" w:color="000000"/>
              <w:right w:val="single" w:sz="4" w:space="0" w:color="000000"/>
            </w:tcBorders>
            <w:vAlign w:val="center"/>
          </w:tcPr>
          <w:p w14:paraId="1DC799C3"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Número</w:t>
            </w:r>
          </w:p>
        </w:tc>
        <w:tc>
          <w:tcPr>
            <w:tcW w:w="1134" w:type="dxa"/>
            <w:tcBorders>
              <w:top w:val="single" w:sz="4" w:space="0" w:color="000000"/>
              <w:left w:val="single" w:sz="4" w:space="0" w:color="000000"/>
              <w:bottom w:val="single" w:sz="4" w:space="0" w:color="000000"/>
              <w:right w:val="single" w:sz="4" w:space="0" w:color="000000"/>
            </w:tcBorders>
            <w:vAlign w:val="center"/>
          </w:tcPr>
          <w:p w14:paraId="0D6286B7"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0</w:t>
            </w:r>
          </w:p>
        </w:tc>
        <w:tc>
          <w:tcPr>
            <w:tcW w:w="1273" w:type="dxa"/>
            <w:tcBorders>
              <w:top w:val="single" w:sz="4" w:space="0" w:color="000000"/>
              <w:left w:val="single" w:sz="4" w:space="0" w:color="000000"/>
              <w:bottom w:val="single" w:sz="4" w:space="0" w:color="000000"/>
              <w:right w:val="single" w:sz="4" w:space="0" w:color="000000"/>
            </w:tcBorders>
            <w:vAlign w:val="center"/>
          </w:tcPr>
          <w:p w14:paraId="17D6C8CA" w14:textId="77777777" w:rsidR="00AA6EC7" w:rsidRPr="008E3494" w:rsidRDefault="007F5B37">
            <w:pPr>
              <w:spacing w:after="0" w:line="240" w:lineRule="auto"/>
              <w:jc w:val="center"/>
              <w:rPr>
                <w:rFonts w:ascii="Arial" w:hAnsi="Arial" w:cs="Arial"/>
                <w:sz w:val="20"/>
                <w:szCs w:val="20"/>
              </w:rPr>
            </w:pPr>
            <w:r w:rsidRPr="008E3494">
              <w:rPr>
                <w:rFonts w:ascii="Arial" w:hAnsi="Arial" w:cs="Arial"/>
                <w:sz w:val="20"/>
                <w:szCs w:val="20"/>
                <w:lang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25E1AA9A" w14:textId="423533B0" w:rsidR="00AA6EC7" w:rsidRPr="008E3494" w:rsidRDefault="00FB0E26">
            <w:pPr>
              <w:spacing w:after="0" w:line="240" w:lineRule="auto"/>
              <w:jc w:val="center"/>
              <w:rPr>
                <w:rFonts w:ascii="Arial" w:hAnsi="Arial" w:cs="Arial"/>
                <w:sz w:val="20"/>
                <w:szCs w:val="20"/>
                <w:lang w:eastAsia="zh-CN"/>
              </w:rPr>
            </w:pPr>
            <w:r w:rsidRPr="008E3494">
              <w:rPr>
                <w:rFonts w:ascii="Arial" w:hAnsi="Arial" w:cs="Arial"/>
                <w:sz w:val="20"/>
                <w:szCs w:val="20"/>
                <w:lang w:eastAsia="zh-CN"/>
              </w:rPr>
              <w:t>2.1</w:t>
            </w:r>
            <w:r w:rsidR="007F5B37" w:rsidRPr="008E3494">
              <w:rPr>
                <w:rFonts w:ascii="Arial" w:hAnsi="Arial" w:cs="Arial"/>
                <w:sz w:val="20"/>
                <w:szCs w:val="20"/>
                <w:lang w:eastAsia="zh-CN"/>
              </w:rPr>
              <w:t>00</w:t>
            </w:r>
          </w:p>
        </w:tc>
        <w:tc>
          <w:tcPr>
            <w:tcW w:w="5106" w:type="dxa"/>
            <w:tcBorders>
              <w:top w:val="single" w:sz="4" w:space="0" w:color="000000"/>
              <w:left w:val="single" w:sz="4" w:space="0" w:color="000000"/>
              <w:bottom w:val="single" w:sz="4" w:space="0" w:color="000000"/>
              <w:right w:val="single" w:sz="4" w:space="0" w:color="auto"/>
            </w:tcBorders>
            <w:vAlign w:val="center"/>
          </w:tcPr>
          <w:p w14:paraId="36BCB1BD" w14:textId="77777777" w:rsidR="003931ED" w:rsidRPr="008E3494" w:rsidRDefault="003931ED" w:rsidP="00FF58D1">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5D5A98C8" w14:textId="77777777" w:rsidR="00AA6EC7" w:rsidRPr="008E3494" w:rsidRDefault="007F5B37" w:rsidP="00FF58D1">
            <w:pPr>
              <w:spacing w:after="0" w:line="240" w:lineRule="auto"/>
              <w:rPr>
                <w:rFonts w:ascii="Arial" w:hAnsi="Arial" w:cs="Arial"/>
                <w:sz w:val="20"/>
                <w:szCs w:val="20"/>
                <w:lang w:eastAsia="zh-CN"/>
              </w:rPr>
            </w:pPr>
            <w:r w:rsidRPr="008E3494">
              <w:rPr>
                <w:rFonts w:ascii="Arial" w:hAnsi="Arial" w:cs="Arial"/>
                <w:sz w:val="20"/>
                <w:szCs w:val="20"/>
                <w:lang w:eastAsia="zh-CN"/>
              </w:rPr>
              <w:t>Reportes (matrices) de seguimiento</w:t>
            </w:r>
          </w:p>
        </w:tc>
      </w:tr>
      <w:tr w:rsidR="00AA6EC7" w:rsidRPr="008E3494" w14:paraId="5C6E846D" w14:textId="77777777" w:rsidTr="00673F3C">
        <w:trPr>
          <w:trHeight w:val="64"/>
        </w:trPr>
        <w:tc>
          <w:tcPr>
            <w:tcW w:w="13041" w:type="dxa"/>
            <w:gridSpan w:val="6"/>
            <w:tcBorders>
              <w:top w:val="single" w:sz="4" w:space="0" w:color="000000"/>
              <w:left w:val="single" w:sz="4" w:space="0" w:color="000000"/>
              <w:bottom w:val="single" w:sz="4" w:space="0" w:color="000000"/>
              <w:right w:val="single" w:sz="4" w:space="0" w:color="auto"/>
            </w:tcBorders>
            <w:shd w:val="clear" w:color="auto" w:fill="C9C9C9"/>
            <w:vAlign w:val="center"/>
          </w:tcPr>
          <w:p w14:paraId="6B55FA41" w14:textId="77777777" w:rsidR="00AA6EC7" w:rsidRPr="008E3494" w:rsidRDefault="007F5B37">
            <w:pPr>
              <w:spacing w:before="120" w:after="120" w:line="240" w:lineRule="auto"/>
              <w:rPr>
                <w:rFonts w:ascii="Arial" w:hAnsi="Arial" w:cs="Arial"/>
                <w:b/>
                <w:sz w:val="20"/>
                <w:szCs w:val="20"/>
                <w:u w:val="single"/>
                <w:lang w:eastAsia="zh-CN"/>
              </w:rPr>
            </w:pPr>
            <w:r w:rsidRPr="008E3494">
              <w:rPr>
                <w:rFonts w:ascii="Arial" w:hAnsi="Arial" w:cs="Arial"/>
                <w:b/>
                <w:sz w:val="20"/>
                <w:szCs w:val="20"/>
                <w:u w:val="single"/>
                <w:lang w:eastAsia="zh-CN"/>
              </w:rPr>
              <w:t>Componente #2: Subsidios parciales para adquisición de vivienda en zonas urbanas.</w:t>
            </w:r>
          </w:p>
        </w:tc>
      </w:tr>
      <w:tr w:rsidR="00AA6EC7" w:rsidRPr="008E3494" w14:paraId="5BF5DCAB" w14:textId="77777777" w:rsidTr="00673F3C">
        <w:trPr>
          <w:trHeight w:val="64"/>
        </w:trPr>
        <w:tc>
          <w:tcPr>
            <w:tcW w:w="3261" w:type="dxa"/>
            <w:tcBorders>
              <w:top w:val="single" w:sz="4" w:space="0" w:color="000000"/>
              <w:left w:val="single" w:sz="4" w:space="0" w:color="000000"/>
              <w:bottom w:val="single" w:sz="4" w:space="0" w:color="000000"/>
              <w:right w:val="single" w:sz="4" w:space="0" w:color="000000"/>
            </w:tcBorders>
            <w:vAlign w:val="center"/>
          </w:tcPr>
          <w:p w14:paraId="16DB2A55" w14:textId="77777777" w:rsidR="00AA6EC7" w:rsidRPr="008E3494" w:rsidRDefault="007F5B37">
            <w:pPr>
              <w:spacing w:after="0" w:line="240" w:lineRule="auto"/>
              <w:rPr>
                <w:rFonts w:ascii="Arial" w:hAnsi="Arial" w:cs="Arial"/>
                <w:sz w:val="20"/>
                <w:szCs w:val="20"/>
                <w:lang w:eastAsia="zh-CN"/>
              </w:rPr>
            </w:pPr>
            <w:r w:rsidRPr="008E3494">
              <w:rPr>
                <w:rFonts w:ascii="Arial" w:hAnsi="Arial" w:cs="Arial"/>
                <w:sz w:val="20"/>
                <w:szCs w:val="20"/>
                <w:lang w:eastAsia="zh-CN"/>
              </w:rPr>
              <w:t>Número de subsidios para adquisición de vivienda entregados**</w:t>
            </w:r>
          </w:p>
        </w:tc>
        <w:tc>
          <w:tcPr>
            <w:tcW w:w="1275" w:type="dxa"/>
            <w:tcBorders>
              <w:top w:val="single" w:sz="4" w:space="0" w:color="000000"/>
              <w:left w:val="single" w:sz="4" w:space="0" w:color="000000"/>
              <w:bottom w:val="single" w:sz="4" w:space="0" w:color="000000"/>
              <w:right w:val="single" w:sz="4" w:space="0" w:color="000000"/>
            </w:tcBorders>
            <w:vAlign w:val="center"/>
          </w:tcPr>
          <w:p w14:paraId="70F3C575"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Número</w:t>
            </w:r>
          </w:p>
        </w:tc>
        <w:tc>
          <w:tcPr>
            <w:tcW w:w="1134" w:type="dxa"/>
            <w:tcBorders>
              <w:top w:val="single" w:sz="4" w:space="0" w:color="000000"/>
              <w:left w:val="single" w:sz="4" w:space="0" w:color="000000"/>
              <w:bottom w:val="single" w:sz="4" w:space="0" w:color="000000"/>
              <w:right w:val="single" w:sz="4" w:space="0" w:color="000000"/>
            </w:tcBorders>
            <w:vAlign w:val="center"/>
          </w:tcPr>
          <w:p w14:paraId="52EB1DC0"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val="en-US" w:eastAsia="zh-CN"/>
              </w:rPr>
              <w:t>0</w:t>
            </w:r>
          </w:p>
        </w:tc>
        <w:tc>
          <w:tcPr>
            <w:tcW w:w="1273" w:type="dxa"/>
            <w:tcBorders>
              <w:top w:val="single" w:sz="4" w:space="0" w:color="000000"/>
              <w:left w:val="single" w:sz="4" w:space="0" w:color="000000"/>
              <w:bottom w:val="single" w:sz="4" w:space="0" w:color="000000"/>
              <w:right w:val="single" w:sz="4" w:space="0" w:color="000000"/>
            </w:tcBorders>
            <w:vAlign w:val="center"/>
          </w:tcPr>
          <w:p w14:paraId="20E13F85" w14:textId="375E5A62" w:rsidR="00AA6EC7" w:rsidRPr="008E3494" w:rsidRDefault="00085949">
            <w:pPr>
              <w:spacing w:after="0" w:line="240" w:lineRule="auto"/>
              <w:jc w:val="center"/>
              <w:rPr>
                <w:rFonts w:ascii="Arial" w:hAnsi="Arial" w:cs="Arial"/>
                <w:sz w:val="20"/>
                <w:szCs w:val="20"/>
              </w:rPr>
            </w:pPr>
            <w:r w:rsidRPr="008E3494">
              <w:rPr>
                <w:rFonts w:ascii="Arial" w:hAnsi="Arial" w:cs="Arial"/>
                <w:sz w:val="20"/>
                <w:szCs w:val="20"/>
                <w:lang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7C4E92F3"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7.650</w:t>
            </w:r>
          </w:p>
        </w:tc>
        <w:tc>
          <w:tcPr>
            <w:tcW w:w="5106" w:type="dxa"/>
            <w:tcBorders>
              <w:top w:val="single" w:sz="4" w:space="0" w:color="000000"/>
              <w:left w:val="single" w:sz="4" w:space="0" w:color="000000"/>
              <w:bottom w:val="single" w:sz="4" w:space="0" w:color="000000"/>
              <w:right w:val="single" w:sz="4" w:space="0" w:color="auto"/>
            </w:tcBorders>
            <w:vAlign w:val="center"/>
          </w:tcPr>
          <w:p w14:paraId="7FFB6929" w14:textId="77777777" w:rsidR="003931ED" w:rsidRPr="008E3494" w:rsidRDefault="003931ED" w:rsidP="00FF58D1">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6D6878F9" w14:textId="77777777" w:rsidR="00AA6EC7" w:rsidRPr="008E3494" w:rsidRDefault="007F5B37" w:rsidP="00FF58D1">
            <w:pPr>
              <w:spacing w:after="0" w:line="240" w:lineRule="auto"/>
              <w:rPr>
                <w:rFonts w:ascii="Arial" w:hAnsi="Arial" w:cs="Arial"/>
                <w:sz w:val="20"/>
                <w:szCs w:val="20"/>
                <w:lang w:eastAsia="zh-CN"/>
              </w:rPr>
            </w:pPr>
            <w:r w:rsidRPr="008E3494">
              <w:rPr>
                <w:rFonts w:ascii="Arial" w:hAnsi="Arial" w:cs="Arial"/>
                <w:sz w:val="20"/>
                <w:szCs w:val="20"/>
                <w:lang w:eastAsia="zh-CN"/>
              </w:rPr>
              <w:t>Reportes (matrices) de seguimiento</w:t>
            </w:r>
          </w:p>
        </w:tc>
      </w:tr>
      <w:tr w:rsidR="00AA6EC7" w:rsidRPr="008E3494" w14:paraId="3335450D" w14:textId="77777777" w:rsidTr="00673F3C">
        <w:trPr>
          <w:trHeight w:val="242"/>
        </w:trPr>
        <w:tc>
          <w:tcPr>
            <w:tcW w:w="3261" w:type="dxa"/>
            <w:tcBorders>
              <w:top w:val="single" w:sz="4" w:space="0" w:color="000000"/>
              <w:left w:val="single" w:sz="4" w:space="0" w:color="000000"/>
              <w:bottom w:val="single" w:sz="4" w:space="0" w:color="000000"/>
              <w:right w:val="single" w:sz="4" w:space="0" w:color="000000"/>
            </w:tcBorders>
            <w:vAlign w:val="center"/>
          </w:tcPr>
          <w:p w14:paraId="021F81D6" w14:textId="03790767" w:rsidR="00AA6EC7" w:rsidRPr="008E3494" w:rsidRDefault="007F5B37">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Número de apoyos adicionales entregados**</w:t>
            </w:r>
          </w:p>
        </w:tc>
        <w:tc>
          <w:tcPr>
            <w:tcW w:w="1275" w:type="dxa"/>
            <w:tcBorders>
              <w:top w:val="single" w:sz="4" w:space="0" w:color="000000"/>
              <w:left w:val="single" w:sz="4" w:space="0" w:color="000000"/>
              <w:bottom w:val="single" w:sz="4" w:space="0" w:color="000000"/>
              <w:right w:val="single" w:sz="4" w:space="0" w:color="000000"/>
            </w:tcBorders>
            <w:vAlign w:val="center"/>
          </w:tcPr>
          <w:p w14:paraId="0DC4AFEF"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Número</w:t>
            </w:r>
          </w:p>
        </w:tc>
        <w:tc>
          <w:tcPr>
            <w:tcW w:w="1134" w:type="dxa"/>
            <w:tcBorders>
              <w:top w:val="single" w:sz="4" w:space="0" w:color="000000"/>
              <w:left w:val="single" w:sz="4" w:space="0" w:color="000000"/>
              <w:bottom w:val="single" w:sz="4" w:space="0" w:color="000000"/>
              <w:right w:val="single" w:sz="4" w:space="0" w:color="000000"/>
            </w:tcBorders>
            <w:vAlign w:val="center"/>
          </w:tcPr>
          <w:p w14:paraId="4D9E185A"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0</w:t>
            </w:r>
          </w:p>
        </w:tc>
        <w:tc>
          <w:tcPr>
            <w:tcW w:w="1273" w:type="dxa"/>
            <w:tcBorders>
              <w:top w:val="single" w:sz="4" w:space="0" w:color="000000"/>
              <w:left w:val="single" w:sz="4" w:space="0" w:color="000000"/>
              <w:bottom w:val="single" w:sz="4" w:space="0" w:color="000000"/>
              <w:right w:val="single" w:sz="4" w:space="0" w:color="000000"/>
            </w:tcBorders>
            <w:vAlign w:val="center"/>
          </w:tcPr>
          <w:p w14:paraId="45190BD6" w14:textId="77777777" w:rsidR="00AA6EC7" w:rsidRPr="008E3494" w:rsidRDefault="007F5B37">
            <w:pPr>
              <w:spacing w:after="0" w:line="240" w:lineRule="auto"/>
              <w:jc w:val="center"/>
              <w:rPr>
                <w:rFonts w:ascii="Arial" w:hAnsi="Arial" w:cs="Arial"/>
                <w:sz w:val="20"/>
                <w:szCs w:val="20"/>
              </w:rPr>
            </w:pPr>
            <w:r w:rsidRPr="008E3494">
              <w:rPr>
                <w:rFonts w:ascii="Arial" w:hAnsi="Arial" w:cs="Arial"/>
                <w:sz w:val="20"/>
                <w:szCs w:val="20"/>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6CE7F418"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i/>
                <w:sz w:val="20"/>
                <w:szCs w:val="20"/>
                <w:lang w:eastAsia="zh-CN"/>
              </w:rPr>
              <w:t>Por definir</w:t>
            </w:r>
          </w:p>
        </w:tc>
        <w:tc>
          <w:tcPr>
            <w:tcW w:w="5106" w:type="dxa"/>
            <w:tcBorders>
              <w:top w:val="single" w:sz="4" w:space="0" w:color="000000"/>
              <w:left w:val="single" w:sz="4" w:space="0" w:color="000000"/>
              <w:bottom w:val="single" w:sz="4" w:space="0" w:color="000000"/>
              <w:right w:val="single" w:sz="4" w:space="0" w:color="auto"/>
            </w:tcBorders>
            <w:vAlign w:val="center"/>
          </w:tcPr>
          <w:p w14:paraId="6AFE515D" w14:textId="77777777" w:rsidR="003931ED" w:rsidRPr="008E3494" w:rsidRDefault="003931ED" w:rsidP="00FF58D1">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198C3761" w14:textId="77777777" w:rsidR="00AA6EC7" w:rsidRPr="008E3494" w:rsidRDefault="007F5B37" w:rsidP="00FF58D1">
            <w:pPr>
              <w:spacing w:after="0" w:line="240" w:lineRule="auto"/>
              <w:rPr>
                <w:rFonts w:ascii="Arial" w:hAnsi="Arial" w:cs="Arial"/>
                <w:sz w:val="20"/>
                <w:szCs w:val="20"/>
                <w:lang w:eastAsia="zh-CN"/>
              </w:rPr>
            </w:pPr>
            <w:r w:rsidRPr="008E3494">
              <w:rPr>
                <w:rFonts w:ascii="Arial" w:hAnsi="Arial" w:cs="Arial"/>
                <w:sz w:val="20"/>
                <w:szCs w:val="20"/>
                <w:lang w:eastAsia="zh-CN"/>
              </w:rPr>
              <w:t>Reportes (matrices) de seguimiento</w:t>
            </w:r>
          </w:p>
        </w:tc>
      </w:tr>
      <w:tr w:rsidR="00AA6EC7" w:rsidRPr="008E3494" w14:paraId="263E0719" w14:textId="77777777" w:rsidTr="00673F3C">
        <w:trPr>
          <w:trHeight w:val="242"/>
        </w:trPr>
        <w:tc>
          <w:tcPr>
            <w:tcW w:w="13041" w:type="dxa"/>
            <w:gridSpan w:val="6"/>
            <w:tcBorders>
              <w:top w:val="single" w:sz="4" w:space="0" w:color="000000"/>
              <w:left w:val="single" w:sz="4" w:space="0" w:color="000000"/>
              <w:bottom w:val="single" w:sz="4" w:space="0" w:color="000000"/>
              <w:right w:val="single" w:sz="4" w:space="0" w:color="auto"/>
            </w:tcBorders>
            <w:shd w:val="clear" w:color="auto" w:fill="C9C9C9"/>
            <w:vAlign w:val="center"/>
          </w:tcPr>
          <w:p w14:paraId="1DA6E222" w14:textId="77777777" w:rsidR="00AA6EC7" w:rsidRPr="008E3494" w:rsidRDefault="007F5B37">
            <w:pPr>
              <w:spacing w:before="120" w:after="120" w:line="240" w:lineRule="auto"/>
              <w:rPr>
                <w:rFonts w:ascii="Arial" w:hAnsi="Arial" w:cs="Arial"/>
                <w:sz w:val="20"/>
                <w:szCs w:val="20"/>
                <w:lang w:eastAsia="zh-CN"/>
              </w:rPr>
            </w:pPr>
            <w:r w:rsidRPr="008E3494">
              <w:rPr>
                <w:rFonts w:ascii="Arial" w:hAnsi="Arial" w:cs="Arial"/>
                <w:b/>
                <w:sz w:val="20"/>
                <w:szCs w:val="20"/>
                <w:u w:val="single"/>
                <w:lang w:eastAsia="zh-CN"/>
              </w:rPr>
              <w:t>Componente #3: Fortalecimiento de capacidades de MIDUVI</w:t>
            </w:r>
          </w:p>
        </w:tc>
      </w:tr>
      <w:tr w:rsidR="00AA6EC7" w:rsidRPr="008E3494" w14:paraId="08B5BCFF" w14:textId="77777777" w:rsidTr="00673F3C">
        <w:trPr>
          <w:trHeight w:val="242"/>
        </w:trPr>
        <w:tc>
          <w:tcPr>
            <w:tcW w:w="3261" w:type="dxa"/>
            <w:tcBorders>
              <w:top w:val="single" w:sz="4" w:space="0" w:color="000000"/>
              <w:left w:val="single" w:sz="4" w:space="0" w:color="000000"/>
              <w:bottom w:val="single" w:sz="4" w:space="0" w:color="000000"/>
              <w:right w:val="single" w:sz="4" w:space="0" w:color="000000"/>
            </w:tcBorders>
            <w:vAlign w:val="center"/>
          </w:tcPr>
          <w:p w14:paraId="34A30E45" w14:textId="77777777" w:rsidR="00AA6EC7" w:rsidRPr="008E3494" w:rsidRDefault="007F5B37">
            <w:pPr>
              <w:spacing w:after="0" w:line="240" w:lineRule="auto"/>
              <w:rPr>
                <w:rFonts w:ascii="Arial" w:hAnsi="Arial" w:cs="Arial"/>
                <w:sz w:val="20"/>
                <w:szCs w:val="20"/>
                <w:lang w:eastAsia="zh-CN"/>
              </w:rPr>
            </w:pPr>
            <w:r w:rsidRPr="008E3494">
              <w:rPr>
                <w:rFonts w:ascii="Arial" w:hAnsi="Arial" w:cs="Arial"/>
                <w:sz w:val="20"/>
                <w:szCs w:val="20"/>
                <w:lang w:eastAsia="zh-CN"/>
              </w:rPr>
              <w:t>Diagnóstico de capacidad institucional elaborado</w:t>
            </w:r>
          </w:p>
        </w:tc>
        <w:tc>
          <w:tcPr>
            <w:tcW w:w="1275" w:type="dxa"/>
            <w:tcBorders>
              <w:top w:val="single" w:sz="4" w:space="0" w:color="000000"/>
              <w:left w:val="single" w:sz="4" w:space="0" w:color="000000"/>
              <w:bottom w:val="single" w:sz="4" w:space="0" w:color="000000"/>
              <w:right w:val="single" w:sz="4" w:space="0" w:color="000000"/>
            </w:tcBorders>
            <w:vAlign w:val="center"/>
          </w:tcPr>
          <w:p w14:paraId="6E672BC7"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Número</w:t>
            </w:r>
          </w:p>
        </w:tc>
        <w:tc>
          <w:tcPr>
            <w:tcW w:w="1134" w:type="dxa"/>
            <w:tcBorders>
              <w:top w:val="single" w:sz="4" w:space="0" w:color="000000"/>
              <w:left w:val="single" w:sz="4" w:space="0" w:color="000000"/>
              <w:bottom w:val="single" w:sz="4" w:space="0" w:color="000000"/>
              <w:right w:val="single" w:sz="4" w:space="0" w:color="000000"/>
            </w:tcBorders>
            <w:vAlign w:val="center"/>
          </w:tcPr>
          <w:p w14:paraId="070772C6" w14:textId="77777777" w:rsidR="00AA6EC7" w:rsidRPr="008E3494" w:rsidRDefault="007F5B37">
            <w:pPr>
              <w:spacing w:after="0" w:line="240" w:lineRule="auto"/>
              <w:jc w:val="center"/>
              <w:rPr>
                <w:rFonts w:ascii="Arial" w:hAnsi="Arial" w:cs="Arial"/>
                <w:sz w:val="20"/>
                <w:szCs w:val="20"/>
                <w:highlight w:val="yellow"/>
                <w:lang w:eastAsia="zh-CN"/>
              </w:rPr>
            </w:pPr>
            <w:r w:rsidRPr="008E3494">
              <w:rPr>
                <w:rFonts w:ascii="Arial" w:hAnsi="Arial" w:cs="Arial"/>
                <w:sz w:val="20"/>
                <w:szCs w:val="20"/>
                <w:lang w:eastAsia="zh-CN"/>
              </w:rPr>
              <w:t>0</w:t>
            </w:r>
          </w:p>
        </w:tc>
        <w:tc>
          <w:tcPr>
            <w:tcW w:w="1273" w:type="dxa"/>
            <w:tcBorders>
              <w:top w:val="single" w:sz="4" w:space="0" w:color="000000"/>
              <w:left w:val="single" w:sz="4" w:space="0" w:color="000000"/>
              <w:bottom w:val="single" w:sz="4" w:space="0" w:color="000000"/>
              <w:right w:val="single" w:sz="4" w:space="0" w:color="000000"/>
            </w:tcBorders>
            <w:vAlign w:val="center"/>
          </w:tcPr>
          <w:p w14:paraId="43CAC49C" w14:textId="77777777" w:rsidR="00AA6EC7" w:rsidRPr="008E3494" w:rsidRDefault="007F5B37">
            <w:pPr>
              <w:spacing w:after="0" w:line="240" w:lineRule="auto"/>
              <w:jc w:val="center"/>
              <w:rPr>
                <w:rFonts w:ascii="Arial" w:hAnsi="Arial" w:cs="Arial"/>
                <w:sz w:val="20"/>
                <w:szCs w:val="20"/>
                <w:highlight w:val="yellow"/>
                <w:lang w:eastAsia="zh-CN"/>
              </w:rPr>
            </w:pPr>
            <w:r w:rsidRPr="008E3494">
              <w:rPr>
                <w:rFonts w:ascii="Arial" w:hAnsi="Arial" w:cs="Arial"/>
                <w:sz w:val="20"/>
                <w:szCs w:val="20"/>
                <w:lang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54E574BB" w14:textId="77777777" w:rsidR="00AA6EC7" w:rsidRPr="008E3494" w:rsidRDefault="007F5B37">
            <w:pPr>
              <w:spacing w:after="0" w:line="240" w:lineRule="auto"/>
              <w:jc w:val="center"/>
              <w:rPr>
                <w:rFonts w:ascii="Arial" w:hAnsi="Arial" w:cs="Arial"/>
                <w:sz w:val="20"/>
                <w:szCs w:val="20"/>
                <w:highlight w:val="yellow"/>
                <w:lang w:eastAsia="zh-CN"/>
              </w:rPr>
            </w:pPr>
            <w:r w:rsidRPr="008E3494">
              <w:rPr>
                <w:rFonts w:ascii="Arial" w:hAnsi="Arial" w:cs="Arial"/>
                <w:sz w:val="20"/>
                <w:szCs w:val="20"/>
                <w:lang w:eastAsia="zh-CN"/>
              </w:rPr>
              <w:t>1</w:t>
            </w:r>
          </w:p>
        </w:tc>
        <w:tc>
          <w:tcPr>
            <w:tcW w:w="5106" w:type="dxa"/>
            <w:tcBorders>
              <w:top w:val="single" w:sz="4" w:space="0" w:color="000000"/>
              <w:left w:val="single" w:sz="4" w:space="0" w:color="000000"/>
              <w:bottom w:val="single" w:sz="4" w:space="0" w:color="000000"/>
              <w:right w:val="single" w:sz="4" w:space="0" w:color="auto"/>
            </w:tcBorders>
            <w:vAlign w:val="center"/>
          </w:tcPr>
          <w:p w14:paraId="6CC5FFE4" w14:textId="71E42816" w:rsidR="00FF575A" w:rsidRPr="008E3494" w:rsidRDefault="00FF575A" w:rsidP="00FF58D1">
            <w:pPr>
              <w:spacing w:after="0" w:line="240" w:lineRule="auto"/>
              <w:rPr>
                <w:rFonts w:ascii="Arial" w:hAnsi="Arial" w:cs="Arial"/>
                <w:b/>
                <w:sz w:val="20"/>
                <w:szCs w:val="20"/>
                <w:lang w:eastAsia="zh-CN"/>
              </w:rPr>
            </w:pPr>
            <w:r w:rsidRPr="008E3494">
              <w:rPr>
                <w:rFonts w:ascii="Arial" w:hAnsi="Arial" w:cs="Arial"/>
                <w:sz w:val="20"/>
                <w:szCs w:val="20"/>
                <w:lang w:eastAsia="zh-CN"/>
              </w:rPr>
              <w:t>El diagnóstico debe estar elaborado en el primer año de operación del programa.</w:t>
            </w:r>
          </w:p>
          <w:p w14:paraId="02F6B409" w14:textId="77777777" w:rsidR="00FF575A" w:rsidRPr="008E3494" w:rsidRDefault="00FF575A" w:rsidP="00FF58D1">
            <w:pPr>
              <w:spacing w:after="0" w:line="240" w:lineRule="auto"/>
              <w:rPr>
                <w:rFonts w:ascii="Arial" w:hAnsi="Arial" w:cs="Arial"/>
                <w:b/>
                <w:sz w:val="20"/>
                <w:szCs w:val="20"/>
                <w:lang w:eastAsia="zh-CN"/>
              </w:rPr>
            </w:pPr>
          </w:p>
          <w:p w14:paraId="39844636" w14:textId="77777777" w:rsidR="003931ED" w:rsidRPr="008E3494" w:rsidRDefault="003931ED" w:rsidP="00FF58D1">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01BBFE88" w14:textId="77777777" w:rsidR="00AA6EC7" w:rsidRPr="008E3494" w:rsidRDefault="007F5B37" w:rsidP="00FF58D1">
            <w:pPr>
              <w:spacing w:after="0" w:line="240" w:lineRule="auto"/>
              <w:rPr>
                <w:rFonts w:ascii="Arial" w:hAnsi="Arial" w:cs="Arial"/>
                <w:sz w:val="20"/>
                <w:szCs w:val="20"/>
                <w:lang w:eastAsia="zh-CN"/>
              </w:rPr>
            </w:pPr>
            <w:r w:rsidRPr="008E3494">
              <w:rPr>
                <w:rFonts w:ascii="Arial" w:hAnsi="Arial" w:cs="Arial"/>
                <w:sz w:val="20"/>
                <w:szCs w:val="20"/>
                <w:lang w:eastAsia="zh-CN"/>
              </w:rPr>
              <w:t>Diagnóstico elaborado en el primer año</w:t>
            </w:r>
          </w:p>
          <w:p w14:paraId="24205DA8" w14:textId="77777777" w:rsidR="00AA6EC7" w:rsidRPr="008E3494" w:rsidRDefault="007F5B37" w:rsidP="00FF58D1">
            <w:pPr>
              <w:spacing w:after="0" w:line="240" w:lineRule="auto"/>
              <w:rPr>
                <w:rFonts w:ascii="Arial" w:hAnsi="Arial" w:cs="Arial"/>
                <w:sz w:val="20"/>
                <w:szCs w:val="20"/>
                <w:lang w:eastAsia="zh-CN"/>
              </w:rPr>
            </w:pPr>
            <w:r w:rsidRPr="008E3494">
              <w:rPr>
                <w:rFonts w:ascii="Arial" w:hAnsi="Arial" w:cs="Arial"/>
                <w:sz w:val="20"/>
                <w:szCs w:val="20"/>
                <w:lang w:eastAsia="zh-CN"/>
              </w:rPr>
              <w:t>(Documento)</w:t>
            </w:r>
          </w:p>
        </w:tc>
      </w:tr>
      <w:tr w:rsidR="00AA6EC7" w:rsidRPr="008E3494" w14:paraId="4A3088B1" w14:textId="77777777" w:rsidTr="00673F3C">
        <w:trPr>
          <w:trHeight w:val="242"/>
        </w:trPr>
        <w:tc>
          <w:tcPr>
            <w:tcW w:w="3261" w:type="dxa"/>
            <w:tcBorders>
              <w:top w:val="single" w:sz="4" w:space="0" w:color="000000"/>
              <w:left w:val="single" w:sz="4" w:space="0" w:color="000000"/>
              <w:bottom w:val="single" w:sz="4" w:space="0" w:color="000000"/>
              <w:right w:val="single" w:sz="4" w:space="0" w:color="000000"/>
            </w:tcBorders>
            <w:vAlign w:val="center"/>
          </w:tcPr>
          <w:p w14:paraId="3F202747" w14:textId="77777777" w:rsidR="00AA6EC7" w:rsidRPr="008E3494" w:rsidRDefault="007F5B37">
            <w:pPr>
              <w:spacing w:after="0" w:line="240" w:lineRule="auto"/>
              <w:rPr>
                <w:rFonts w:ascii="Arial" w:hAnsi="Arial" w:cs="Arial"/>
                <w:sz w:val="20"/>
                <w:szCs w:val="20"/>
                <w:lang w:eastAsia="zh-CN"/>
              </w:rPr>
            </w:pPr>
            <w:r w:rsidRPr="008E3494">
              <w:rPr>
                <w:rFonts w:ascii="Arial" w:hAnsi="Arial" w:cs="Arial"/>
                <w:sz w:val="20"/>
                <w:szCs w:val="20"/>
                <w:lang w:eastAsia="zh-CN"/>
              </w:rPr>
              <w:t>Sistemas o herramientas informáticas de gestión y monitoreo implementadas</w:t>
            </w:r>
          </w:p>
        </w:tc>
        <w:tc>
          <w:tcPr>
            <w:tcW w:w="1275" w:type="dxa"/>
            <w:tcBorders>
              <w:top w:val="single" w:sz="4" w:space="0" w:color="000000"/>
              <w:left w:val="single" w:sz="4" w:space="0" w:color="000000"/>
              <w:bottom w:val="single" w:sz="4" w:space="0" w:color="000000"/>
              <w:right w:val="single" w:sz="4" w:space="0" w:color="000000"/>
            </w:tcBorders>
            <w:vAlign w:val="center"/>
          </w:tcPr>
          <w:p w14:paraId="4F8FA1D0"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Número</w:t>
            </w:r>
          </w:p>
        </w:tc>
        <w:tc>
          <w:tcPr>
            <w:tcW w:w="1134" w:type="dxa"/>
            <w:tcBorders>
              <w:top w:val="single" w:sz="4" w:space="0" w:color="000000"/>
              <w:left w:val="single" w:sz="4" w:space="0" w:color="000000"/>
              <w:bottom w:val="single" w:sz="4" w:space="0" w:color="000000"/>
              <w:right w:val="single" w:sz="4" w:space="0" w:color="000000"/>
            </w:tcBorders>
            <w:vAlign w:val="center"/>
          </w:tcPr>
          <w:p w14:paraId="543F8C4B"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0</w:t>
            </w:r>
          </w:p>
        </w:tc>
        <w:tc>
          <w:tcPr>
            <w:tcW w:w="1273" w:type="dxa"/>
            <w:tcBorders>
              <w:top w:val="single" w:sz="4" w:space="0" w:color="000000"/>
              <w:left w:val="single" w:sz="4" w:space="0" w:color="000000"/>
              <w:bottom w:val="single" w:sz="4" w:space="0" w:color="000000"/>
              <w:right w:val="single" w:sz="4" w:space="0" w:color="000000"/>
            </w:tcBorders>
            <w:vAlign w:val="center"/>
          </w:tcPr>
          <w:p w14:paraId="24F5EA05" w14:textId="77777777" w:rsidR="00AA6EC7" w:rsidRPr="008E3494" w:rsidRDefault="007F5B37">
            <w:pPr>
              <w:spacing w:after="0" w:line="240" w:lineRule="auto"/>
              <w:jc w:val="center"/>
              <w:rPr>
                <w:rFonts w:ascii="Arial" w:hAnsi="Arial" w:cs="Arial"/>
              </w:rPr>
            </w:pPr>
            <w:r w:rsidRPr="008E3494">
              <w:rPr>
                <w:rFonts w:ascii="Arial" w:hAnsi="Arial" w:cs="Arial"/>
                <w:sz w:val="20"/>
                <w:szCs w:val="20"/>
                <w:lang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091F9451" w14:textId="77777777" w:rsidR="00AA6EC7" w:rsidRPr="008E3494" w:rsidRDefault="007F5B37">
            <w:pPr>
              <w:spacing w:after="0" w:line="240" w:lineRule="auto"/>
              <w:jc w:val="center"/>
              <w:rPr>
                <w:rFonts w:ascii="Arial" w:hAnsi="Arial" w:cs="Arial"/>
                <w:sz w:val="20"/>
                <w:szCs w:val="20"/>
                <w:highlight w:val="yellow"/>
                <w:lang w:eastAsia="zh-CN"/>
              </w:rPr>
            </w:pPr>
            <w:r w:rsidRPr="008E3494">
              <w:rPr>
                <w:rFonts w:ascii="Arial" w:hAnsi="Arial" w:cs="Arial"/>
                <w:sz w:val="20"/>
                <w:szCs w:val="20"/>
                <w:lang w:eastAsia="zh-CN"/>
              </w:rPr>
              <w:t>1</w:t>
            </w:r>
          </w:p>
        </w:tc>
        <w:tc>
          <w:tcPr>
            <w:tcW w:w="5106" w:type="dxa"/>
            <w:tcBorders>
              <w:top w:val="single" w:sz="4" w:space="0" w:color="000000"/>
              <w:left w:val="single" w:sz="4" w:space="0" w:color="000000"/>
              <w:bottom w:val="single" w:sz="4" w:space="0" w:color="000000"/>
              <w:right w:val="single" w:sz="4" w:space="0" w:color="000000"/>
            </w:tcBorders>
            <w:vAlign w:val="center"/>
          </w:tcPr>
          <w:p w14:paraId="53FD6CD0" w14:textId="15E0DF1D" w:rsidR="00A10808" w:rsidRPr="008E3494" w:rsidRDefault="00A10808" w:rsidP="00A10808">
            <w:pPr>
              <w:spacing w:after="0" w:line="240" w:lineRule="auto"/>
              <w:jc w:val="both"/>
              <w:rPr>
                <w:rFonts w:ascii="Arial" w:eastAsia="Calibri" w:hAnsi="Arial" w:cs="Arial"/>
                <w:sz w:val="20"/>
                <w:szCs w:val="20"/>
                <w:lang w:eastAsia="zh-CN"/>
              </w:rPr>
            </w:pPr>
            <w:r w:rsidRPr="008E3494">
              <w:rPr>
                <w:rFonts w:ascii="Arial" w:hAnsi="Arial" w:cs="Arial"/>
                <w:sz w:val="20"/>
                <w:szCs w:val="20"/>
                <w:lang w:eastAsia="zh-CN"/>
              </w:rPr>
              <w:t>La meta es que el sistema de gestión y monitoreo esté implementado a partir del año 1, en adelante.</w:t>
            </w:r>
            <w:r w:rsidRPr="008E3494">
              <w:rPr>
                <w:rFonts w:ascii="Arial" w:eastAsia="Calibri" w:hAnsi="Arial" w:cs="Arial"/>
                <w:sz w:val="20"/>
                <w:szCs w:val="20"/>
                <w:lang w:eastAsia="zh-CN"/>
              </w:rPr>
              <w:t xml:space="preserve"> </w:t>
            </w:r>
            <w:r w:rsidRPr="008E3494">
              <w:rPr>
                <w:rFonts w:ascii="Arial" w:hAnsi="Arial" w:cs="Arial"/>
                <w:sz w:val="20"/>
                <w:szCs w:val="20"/>
                <w:lang w:eastAsia="zh-CN"/>
              </w:rPr>
              <w:t xml:space="preserve">El MIDUVI se encuentra realizando el desarrollo </w:t>
            </w:r>
            <w:proofErr w:type="spellStart"/>
            <w:r w:rsidRPr="008E3494">
              <w:rPr>
                <w:rFonts w:ascii="Arial" w:hAnsi="Arial" w:cs="Arial"/>
                <w:i/>
                <w:sz w:val="20"/>
                <w:szCs w:val="20"/>
                <w:lang w:eastAsia="zh-CN"/>
              </w:rPr>
              <w:t>in-house</w:t>
            </w:r>
            <w:proofErr w:type="spellEnd"/>
            <w:r w:rsidRPr="008E3494">
              <w:rPr>
                <w:rFonts w:ascii="Arial" w:hAnsi="Arial" w:cs="Arial"/>
                <w:sz w:val="20"/>
                <w:szCs w:val="20"/>
                <w:lang w:eastAsia="zh-CN"/>
              </w:rPr>
              <w:t xml:space="preserve"> de un sistema informático.</w:t>
            </w:r>
          </w:p>
          <w:p w14:paraId="5DF29841" w14:textId="77777777" w:rsidR="00A10808" w:rsidRPr="008E3494" w:rsidRDefault="00A10808" w:rsidP="00A10808">
            <w:pPr>
              <w:spacing w:after="0" w:line="240" w:lineRule="auto"/>
              <w:rPr>
                <w:rFonts w:ascii="Arial" w:hAnsi="Arial" w:cs="Arial"/>
                <w:b/>
                <w:sz w:val="20"/>
                <w:szCs w:val="20"/>
                <w:lang w:eastAsia="zh-CN"/>
              </w:rPr>
            </w:pPr>
          </w:p>
          <w:p w14:paraId="159079A1" w14:textId="6296E0CA" w:rsidR="003931ED" w:rsidRPr="008E3494" w:rsidRDefault="003931ED" w:rsidP="00A10808">
            <w:pPr>
              <w:spacing w:after="0" w:line="240" w:lineRule="auto"/>
              <w:rPr>
                <w:rFonts w:ascii="Arial" w:hAnsi="Arial" w:cs="Arial"/>
                <w:b/>
                <w:sz w:val="20"/>
                <w:szCs w:val="20"/>
                <w:lang w:eastAsia="zh-CN"/>
              </w:rPr>
            </w:pPr>
            <w:r w:rsidRPr="008E3494">
              <w:rPr>
                <w:rFonts w:ascii="Arial" w:hAnsi="Arial" w:cs="Arial"/>
                <w:b/>
                <w:sz w:val="20"/>
                <w:szCs w:val="20"/>
                <w:lang w:eastAsia="zh-CN"/>
              </w:rPr>
              <w:t>Medios de verificación:</w:t>
            </w:r>
          </w:p>
          <w:p w14:paraId="1B899A61" w14:textId="77777777" w:rsidR="00AA6EC7" w:rsidRPr="008E3494" w:rsidRDefault="007F5B37" w:rsidP="00A10808">
            <w:pPr>
              <w:spacing w:after="0" w:line="240" w:lineRule="auto"/>
              <w:rPr>
                <w:rFonts w:ascii="Arial" w:hAnsi="Arial" w:cs="Arial"/>
                <w:sz w:val="20"/>
                <w:szCs w:val="20"/>
                <w:lang w:eastAsia="zh-CN"/>
              </w:rPr>
            </w:pPr>
            <w:r w:rsidRPr="008E3494">
              <w:rPr>
                <w:rFonts w:ascii="Arial" w:hAnsi="Arial" w:cs="Arial"/>
                <w:sz w:val="20"/>
                <w:szCs w:val="20"/>
                <w:lang w:eastAsia="zh-CN"/>
              </w:rPr>
              <w:t>- Sistemas operando</w:t>
            </w:r>
          </w:p>
          <w:p w14:paraId="1DA7D203" w14:textId="6EDC0F62" w:rsidR="00AA6EC7" w:rsidRPr="008E3494" w:rsidRDefault="007F5B37" w:rsidP="00A10808">
            <w:pPr>
              <w:spacing w:after="0" w:line="240" w:lineRule="auto"/>
              <w:rPr>
                <w:rFonts w:ascii="Arial" w:hAnsi="Arial" w:cs="Arial"/>
                <w:sz w:val="20"/>
                <w:szCs w:val="20"/>
                <w:lang w:eastAsia="zh-CN"/>
              </w:rPr>
            </w:pPr>
            <w:r w:rsidRPr="008E3494">
              <w:rPr>
                <w:rFonts w:ascii="Arial" w:hAnsi="Arial" w:cs="Arial"/>
                <w:sz w:val="20"/>
                <w:szCs w:val="20"/>
                <w:lang w:eastAsia="zh-CN"/>
              </w:rPr>
              <w:t>- Informes</w:t>
            </w:r>
            <w:r w:rsidR="00A10808" w:rsidRPr="008E3494">
              <w:rPr>
                <w:rFonts w:ascii="Arial" w:hAnsi="Arial" w:cs="Arial"/>
                <w:sz w:val="20"/>
                <w:szCs w:val="20"/>
                <w:lang w:eastAsia="zh-CN"/>
              </w:rPr>
              <w:t xml:space="preserve"> </w:t>
            </w:r>
          </w:p>
        </w:tc>
      </w:tr>
      <w:tr w:rsidR="00AA6EC7" w:rsidRPr="008E3494" w14:paraId="17D3C1B8" w14:textId="77777777" w:rsidTr="00673F3C">
        <w:trPr>
          <w:trHeight w:val="242"/>
        </w:trPr>
        <w:tc>
          <w:tcPr>
            <w:tcW w:w="3261" w:type="dxa"/>
            <w:tcBorders>
              <w:top w:val="single" w:sz="4" w:space="0" w:color="000000"/>
              <w:left w:val="single" w:sz="4" w:space="0" w:color="000000"/>
              <w:bottom w:val="single" w:sz="4" w:space="0" w:color="000000"/>
              <w:right w:val="single" w:sz="4" w:space="0" w:color="000000"/>
            </w:tcBorders>
            <w:vAlign w:val="center"/>
          </w:tcPr>
          <w:p w14:paraId="42F8D2B4" w14:textId="77777777" w:rsidR="00AA6EC7" w:rsidRPr="008E3494" w:rsidRDefault="007F5B37">
            <w:pPr>
              <w:spacing w:after="0" w:line="240" w:lineRule="auto"/>
              <w:rPr>
                <w:rFonts w:ascii="Arial" w:hAnsi="Arial" w:cs="Arial"/>
                <w:sz w:val="20"/>
                <w:szCs w:val="20"/>
                <w:lang w:eastAsia="zh-CN"/>
              </w:rPr>
            </w:pPr>
            <w:r w:rsidRPr="008E3494">
              <w:rPr>
                <w:rFonts w:ascii="Arial" w:hAnsi="Arial" w:cs="Arial"/>
                <w:sz w:val="20"/>
                <w:szCs w:val="20"/>
                <w:lang w:eastAsia="zh-CN"/>
              </w:rPr>
              <w:t>Documentos técnico-normativos elaborados</w:t>
            </w:r>
          </w:p>
        </w:tc>
        <w:tc>
          <w:tcPr>
            <w:tcW w:w="1275" w:type="dxa"/>
            <w:tcBorders>
              <w:top w:val="single" w:sz="4" w:space="0" w:color="000000"/>
              <w:left w:val="single" w:sz="4" w:space="0" w:color="000000"/>
              <w:bottom w:val="single" w:sz="4" w:space="0" w:color="000000"/>
              <w:right w:val="single" w:sz="4" w:space="0" w:color="000000"/>
            </w:tcBorders>
            <w:vAlign w:val="center"/>
          </w:tcPr>
          <w:p w14:paraId="5EB82C83"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Número</w:t>
            </w:r>
          </w:p>
        </w:tc>
        <w:tc>
          <w:tcPr>
            <w:tcW w:w="1134" w:type="dxa"/>
            <w:tcBorders>
              <w:top w:val="single" w:sz="4" w:space="0" w:color="000000"/>
              <w:left w:val="single" w:sz="4" w:space="0" w:color="000000"/>
              <w:bottom w:val="single" w:sz="4" w:space="0" w:color="000000"/>
              <w:right w:val="single" w:sz="4" w:space="0" w:color="000000"/>
            </w:tcBorders>
            <w:vAlign w:val="center"/>
          </w:tcPr>
          <w:p w14:paraId="5A9097B9"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0</w:t>
            </w:r>
          </w:p>
        </w:tc>
        <w:tc>
          <w:tcPr>
            <w:tcW w:w="1273" w:type="dxa"/>
            <w:tcBorders>
              <w:top w:val="single" w:sz="4" w:space="0" w:color="000000"/>
              <w:left w:val="single" w:sz="4" w:space="0" w:color="000000"/>
              <w:bottom w:val="single" w:sz="4" w:space="0" w:color="000000"/>
              <w:right w:val="single" w:sz="4" w:space="0" w:color="000000"/>
            </w:tcBorders>
            <w:vAlign w:val="center"/>
          </w:tcPr>
          <w:p w14:paraId="781970E4" w14:textId="77777777" w:rsidR="00AA6EC7" w:rsidRPr="008E3494" w:rsidRDefault="007F5B37">
            <w:pPr>
              <w:spacing w:after="0" w:line="240" w:lineRule="auto"/>
              <w:jc w:val="center"/>
              <w:rPr>
                <w:rFonts w:ascii="Arial" w:hAnsi="Arial" w:cs="Arial"/>
              </w:rPr>
            </w:pPr>
            <w:r w:rsidRPr="008E3494">
              <w:rPr>
                <w:rFonts w:ascii="Arial" w:hAnsi="Arial" w:cs="Arial"/>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030CCF1F" w14:textId="77777777" w:rsidR="00AA6EC7" w:rsidRPr="008E3494" w:rsidRDefault="007F5B37">
            <w:pPr>
              <w:spacing w:after="0" w:line="240" w:lineRule="auto"/>
              <w:jc w:val="center"/>
              <w:rPr>
                <w:rFonts w:ascii="Arial" w:hAnsi="Arial" w:cs="Arial"/>
                <w:sz w:val="20"/>
                <w:szCs w:val="20"/>
                <w:lang w:eastAsia="zh-CN"/>
              </w:rPr>
            </w:pPr>
            <w:r w:rsidRPr="008E3494">
              <w:rPr>
                <w:rFonts w:ascii="Arial" w:hAnsi="Arial" w:cs="Arial"/>
                <w:sz w:val="20"/>
                <w:szCs w:val="20"/>
                <w:lang w:eastAsia="zh-CN"/>
              </w:rPr>
              <w:t>3</w:t>
            </w:r>
          </w:p>
        </w:tc>
        <w:tc>
          <w:tcPr>
            <w:tcW w:w="5106" w:type="dxa"/>
            <w:tcBorders>
              <w:top w:val="single" w:sz="4" w:space="0" w:color="000000"/>
              <w:left w:val="single" w:sz="4" w:space="0" w:color="000000"/>
              <w:bottom w:val="single" w:sz="4" w:space="0" w:color="000000"/>
              <w:right w:val="single" w:sz="4" w:space="0" w:color="000000"/>
            </w:tcBorders>
            <w:vAlign w:val="center"/>
          </w:tcPr>
          <w:p w14:paraId="531F7362" w14:textId="77777777" w:rsidR="00245AF0" w:rsidRPr="008E3494" w:rsidRDefault="00245AF0" w:rsidP="00245AF0">
            <w:pPr>
              <w:spacing w:after="0" w:line="240" w:lineRule="auto"/>
              <w:rPr>
                <w:rFonts w:ascii="Arial" w:eastAsia="Calibri" w:hAnsi="Arial" w:cs="Arial"/>
                <w:sz w:val="20"/>
                <w:szCs w:val="20"/>
                <w:lang w:eastAsia="zh-CN"/>
              </w:rPr>
            </w:pPr>
            <w:r w:rsidRPr="008E3494">
              <w:rPr>
                <w:rFonts w:ascii="Arial" w:hAnsi="Arial" w:cs="Arial"/>
                <w:sz w:val="20"/>
                <w:szCs w:val="20"/>
                <w:lang w:eastAsia="zh-CN"/>
              </w:rPr>
              <w:t>Se define como meta 3 documentos:</w:t>
            </w:r>
          </w:p>
          <w:p w14:paraId="789A651E" w14:textId="77777777" w:rsidR="00245AF0" w:rsidRPr="008E3494" w:rsidRDefault="00245AF0" w:rsidP="00245AF0">
            <w:pPr>
              <w:pStyle w:val="ListParagraph"/>
              <w:numPr>
                <w:ilvl w:val="0"/>
                <w:numId w:val="15"/>
              </w:numPr>
              <w:spacing w:after="0" w:line="240" w:lineRule="auto"/>
              <w:ind w:left="462" w:hanging="141"/>
              <w:rPr>
                <w:rFonts w:ascii="Arial" w:hAnsi="Arial" w:cs="Arial"/>
                <w:sz w:val="20"/>
                <w:szCs w:val="20"/>
                <w:lang w:eastAsia="zh-CN"/>
              </w:rPr>
            </w:pPr>
            <w:r w:rsidRPr="008E3494">
              <w:rPr>
                <w:rFonts w:ascii="Arial" w:hAnsi="Arial" w:cs="Arial"/>
                <w:sz w:val="20"/>
                <w:szCs w:val="20"/>
                <w:lang w:eastAsia="zh-CN"/>
              </w:rPr>
              <w:t>1 Acuerdo Ministerial</w:t>
            </w:r>
          </w:p>
          <w:p w14:paraId="56262D07" w14:textId="77777777" w:rsidR="00245AF0" w:rsidRPr="008E3494" w:rsidRDefault="00245AF0" w:rsidP="00245AF0">
            <w:pPr>
              <w:pStyle w:val="ListParagraph"/>
              <w:numPr>
                <w:ilvl w:val="0"/>
                <w:numId w:val="15"/>
              </w:numPr>
              <w:spacing w:after="0" w:line="240" w:lineRule="auto"/>
              <w:ind w:left="462" w:hanging="141"/>
              <w:rPr>
                <w:rFonts w:ascii="Arial" w:hAnsi="Arial" w:cs="Arial"/>
                <w:sz w:val="20"/>
                <w:szCs w:val="20"/>
                <w:lang w:eastAsia="zh-CN"/>
              </w:rPr>
            </w:pPr>
            <w:r w:rsidRPr="008E3494">
              <w:rPr>
                <w:rFonts w:ascii="Arial" w:hAnsi="Arial" w:cs="Arial"/>
                <w:sz w:val="20"/>
                <w:szCs w:val="20"/>
                <w:lang w:eastAsia="zh-CN"/>
              </w:rPr>
              <w:t>1 Manual de procesos</w:t>
            </w:r>
          </w:p>
          <w:p w14:paraId="119A4C93" w14:textId="77777777" w:rsidR="00245AF0" w:rsidRPr="008E3494" w:rsidRDefault="00245AF0" w:rsidP="00245AF0">
            <w:pPr>
              <w:pStyle w:val="ListParagraph"/>
              <w:numPr>
                <w:ilvl w:val="0"/>
                <w:numId w:val="15"/>
              </w:numPr>
              <w:spacing w:after="0" w:line="240" w:lineRule="auto"/>
              <w:ind w:left="462" w:hanging="141"/>
              <w:rPr>
                <w:rFonts w:ascii="Arial" w:hAnsi="Arial" w:cs="Arial"/>
                <w:sz w:val="20"/>
                <w:szCs w:val="20"/>
                <w:lang w:eastAsia="zh-CN"/>
              </w:rPr>
            </w:pPr>
            <w:r w:rsidRPr="008E3494">
              <w:rPr>
                <w:rFonts w:ascii="Arial" w:hAnsi="Arial" w:cs="Arial"/>
                <w:sz w:val="20"/>
                <w:szCs w:val="20"/>
                <w:lang w:eastAsia="zh-CN"/>
              </w:rPr>
              <w:lastRenderedPageBreak/>
              <w:t>1 Instructivo de aplicación</w:t>
            </w:r>
          </w:p>
          <w:p w14:paraId="4C774D79" w14:textId="77777777" w:rsidR="00245AF0" w:rsidRPr="008E3494" w:rsidRDefault="00245AF0" w:rsidP="00245AF0">
            <w:pPr>
              <w:spacing w:after="0" w:line="240" w:lineRule="auto"/>
              <w:rPr>
                <w:rFonts w:ascii="Arial" w:hAnsi="Arial" w:cs="Arial"/>
                <w:sz w:val="20"/>
                <w:szCs w:val="20"/>
                <w:lang w:eastAsia="zh-CN"/>
              </w:rPr>
            </w:pPr>
          </w:p>
          <w:p w14:paraId="7D8F4685" w14:textId="41A59812" w:rsidR="00245AF0" w:rsidRPr="008E3494" w:rsidRDefault="00245AF0" w:rsidP="00245AF0">
            <w:pPr>
              <w:spacing w:after="0" w:line="240" w:lineRule="auto"/>
              <w:rPr>
                <w:rFonts w:ascii="Arial" w:hAnsi="Arial" w:cs="Arial"/>
                <w:b/>
                <w:sz w:val="20"/>
                <w:szCs w:val="20"/>
                <w:lang w:eastAsia="zh-CN"/>
              </w:rPr>
            </w:pPr>
            <w:r w:rsidRPr="008E3494">
              <w:rPr>
                <w:rFonts w:ascii="Arial" w:hAnsi="Arial" w:cs="Arial"/>
                <w:sz w:val="20"/>
                <w:szCs w:val="20"/>
                <w:lang w:eastAsia="zh-CN"/>
              </w:rPr>
              <w:t>Los mismos que deben estar elaborados, aprobados y disponibles desde el primer año, para garantizar la correcta operatividad del programa.</w:t>
            </w:r>
          </w:p>
          <w:p w14:paraId="7C9161D6" w14:textId="77777777" w:rsidR="00245AF0" w:rsidRPr="008E3494" w:rsidRDefault="00245AF0" w:rsidP="003931ED">
            <w:pPr>
              <w:spacing w:after="0" w:line="240" w:lineRule="auto"/>
              <w:rPr>
                <w:rFonts w:ascii="Arial" w:hAnsi="Arial" w:cs="Arial"/>
                <w:b/>
                <w:sz w:val="20"/>
                <w:szCs w:val="20"/>
                <w:lang w:eastAsia="zh-CN"/>
              </w:rPr>
            </w:pPr>
          </w:p>
          <w:p w14:paraId="4F573B0A" w14:textId="6080C0E7" w:rsidR="003931ED" w:rsidRPr="008E3494" w:rsidRDefault="003931ED" w:rsidP="003931ED">
            <w:pPr>
              <w:spacing w:after="0" w:line="240" w:lineRule="auto"/>
              <w:rPr>
                <w:rFonts w:ascii="Arial" w:hAnsi="Arial" w:cs="Arial"/>
                <w:b/>
                <w:sz w:val="20"/>
                <w:szCs w:val="20"/>
                <w:lang w:eastAsia="zh-CN"/>
              </w:rPr>
            </w:pPr>
            <w:r w:rsidRPr="008E3494">
              <w:rPr>
                <w:rFonts w:ascii="Arial" w:hAnsi="Arial" w:cs="Arial"/>
                <w:b/>
                <w:sz w:val="20"/>
                <w:szCs w:val="20"/>
                <w:lang w:eastAsia="zh-CN"/>
              </w:rPr>
              <w:t>Medios de verificación:</w:t>
            </w:r>
          </w:p>
          <w:p w14:paraId="1D728825" w14:textId="00EE29AB" w:rsidR="00AA6EC7" w:rsidRPr="008E3494" w:rsidRDefault="00245AF0">
            <w:pPr>
              <w:spacing w:after="0" w:line="240" w:lineRule="auto"/>
              <w:rPr>
                <w:rFonts w:ascii="Arial" w:hAnsi="Arial" w:cs="Arial"/>
                <w:sz w:val="20"/>
                <w:szCs w:val="20"/>
                <w:lang w:eastAsia="zh-CN"/>
              </w:rPr>
            </w:pPr>
            <w:r w:rsidRPr="008E3494">
              <w:rPr>
                <w:rFonts w:ascii="Arial" w:hAnsi="Arial" w:cs="Arial"/>
                <w:sz w:val="20"/>
                <w:szCs w:val="20"/>
                <w:lang w:eastAsia="zh-CN"/>
              </w:rPr>
              <w:t>- Acuerdo Ministerial</w:t>
            </w:r>
          </w:p>
          <w:p w14:paraId="4BBE0985" w14:textId="72595988" w:rsidR="00AA6EC7" w:rsidRPr="008E3494" w:rsidRDefault="00245AF0">
            <w:pPr>
              <w:spacing w:after="0" w:line="240" w:lineRule="auto"/>
              <w:rPr>
                <w:rFonts w:ascii="Arial" w:hAnsi="Arial" w:cs="Arial"/>
                <w:sz w:val="20"/>
                <w:szCs w:val="20"/>
                <w:lang w:eastAsia="zh-CN"/>
              </w:rPr>
            </w:pPr>
            <w:r w:rsidRPr="008E3494">
              <w:rPr>
                <w:rFonts w:ascii="Arial" w:hAnsi="Arial" w:cs="Arial"/>
                <w:sz w:val="20"/>
                <w:szCs w:val="20"/>
                <w:lang w:eastAsia="zh-CN"/>
              </w:rPr>
              <w:t>- Manual</w:t>
            </w:r>
            <w:r w:rsidR="007F5B37" w:rsidRPr="008E3494">
              <w:rPr>
                <w:rFonts w:ascii="Arial" w:hAnsi="Arial" w:cs="Arial"/>
                <w:sz w:val="20"/>
                <w:szCs w:val="20"/>
                <w:lang w:eastAsia="zh-CN"/>
              </w:rPr>
              <w:t xml:space="preserve"> de procesos</w:t>
            </w:r>
          </w:p>
          <w:p w14:paraId="4F7A09B8" w14:textId="70FF6357" w:rsidR="00AA6EC7" w:rsidRPr="008E3494" w:rsidRDefault="00245AF0" w:rsidP="00FF58D1">
            <w:pPr>
              <w:spacing w:after="0" w:line="240" w:lineRule="auto"/>
              <w:rPr>
                <w:rFonts w:ascii="Arial" w:hAnsi="Arial" w:cs="Arial"/>
                <w:sz w:val="20"/>
                <w:szCs w:val="20"/>
                <w:lang w:eastAsia="zh-CN"/>
              </w:rPr>
            </w:pPr>
            <w:r w:rsidRPr="008E3494">
              <w:rPr>
                <w:rFonts w:ascii="Arial" w:hAnsi="Arial" w:cs="Arial"/>
                <w:sz w:val="20"/>
                <w:szCs w:val="20"/>
                <w:lang w:eastAsia="zh-CN"/>
              </w:rPr>
              <w:t>- Instructivo</w:t>
            </w:r>
          </w:p>
        </w:tc>
      </w:tr>
      <w:tr w:rsidR="00AA6EC7" w:rsidRPr="008E3494" w14:paraId="5EF45D96" w14:textId="77777777" w:rsidTr="00673F3C">
        <w:trPr>
          <w:trHeight w:val="242"/>
        </w:trPr>
        <w:tc>
          <w:tcPr>
            <w:tcW w:w="3261" w:type="dxa"/>
            <w:tcBorders>
              <w:top w:val="single" w:sz="4" w:space="0" w:color="000000"/>
              <w:left w:val="single" w:sz="4" w:space="0" w:color="000000"/>
              <w:bottom w:val="single" w:sz="4" w:space="0" w:color="000000"/>
              <w:right w:val="single" w:sz="4" w:space="0" w:color="000000"/>
            </w:tcBorders>
            <w:vAlign w:val="center"/>
          </w:tcPr>
          <w:p w14:paraId="31BB7C92" w14:textId="77777777" w:rsidR="00AA6EC7" w:rsidRPr="008E3494" w:rsidRDefault="007F5B37" w:rsidP="00BA21D6">
            <w:pPr>
              <w:pStyle w:val="NormalWeb"/>
              <w:spacing w:beforeAutospacing="0"/>
              <w:jc w:val="left"/>
              <w:rPr>
                <w:rFonts w:ascii="Arial" w:hAnsi="Arial" w:cs="Arial"/>
                <w:sz w:val="20"/>
                <w:szCs w:val="20"/>
                <w:lang w:val="es-EC"/>
              </w:rPr>
            </w:pPr>
            <w:r w:rsidRPr="008E3494">
              <w:rPr>
                <w:rFonts w:ascii="Arial" w:hAnsi="Arial" w:cs="Arial"/>
                <w:color w:val="000000"/>
                <w:sz w:val="20"/>
                <w:szCs w:val="20"/>
                <w:lang w:val="es-EC" w:bidi="ar"/>
              </w:rPr>
              <w:t>Porcentaje de funcionarios (a nivel Zonal) capacitados</w:t>
            </w:r>
          </w:p>
        </w:tc>
        <w:tc>
          <w:tcPr>
            <w:tcW w:w="1275" w:type="dxa"/>
            <w:tcBorders>
              <w:top w:val="single" w:sz="4" w:space="0" w:color="000000"/>
              <w:left w:val="single" w:sz="4" w:space="0" w:color="000000"/>
              <w:bottom w:val="single" w:sz="4" w:space="0" w:color="000000"/>
              <w:right w:val="single" w:sz="4" w:space="0" w:color="000000"/>
            </w:tcBorders>
            <w:vAlign w:val="center"/>
          </w:tcPr>
          <w:p w14:paraId="00A6C6E2" w14:textId="77777777" w:rsidR="00AA6EC7" w:rsidRPr="008E3494" w:rsidRDefault="007F5B37" w:rsidP="00BA21D6">
            <w:pPr>
              <w:pStyle w:val="NormalWeb"/>
              <w:rPr>
                <w:rFonts w:ascii="Arial" w:hAnsi="Arial" w:cs="Arial"/>
                <w:sz w:val="20"/>
                <w:szCs w:val="20"/>
              </w:rPr>
            </w:pPr>
            <w:proofErr w:type="spellStart"/>
            <w:r w:rsidRPr="008E3494">
              <w:rPr>
                <w:rFonts w:ascii="Arial" w:hAnsi="Arial" w:cs="Arial"/>
                <w:color w:val="000000"/>
                <w:sz w:val="20"/>
                <w:szCs w:val="20"/>
                <w:lang w:bidi="ar"/>
              </w:rPr>
              <w:t>Porcentaje</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1928776A" w14:textId="77777777" w:rsidR="00AA6EC7" w:rsidRPr="008E3494" w:rsidRDefault="007F5B37" w:rsidP="00BA21D6">
            <w:pPr>
              <w:spacing w:after="0" w:line="240" w:lineRule="auto"/>
              <w:jc w:val="center"/>
              <w:rPr>
                <w:rFonts w:ascii="Arial" w:hAnsi="Arial" w:cs="Arial"/>
                <w:sz w:val="20"/>
                <w:szCs w:val="20"/>
                <w:lang w:val="en-US" w:eastAsia="zh-CN"/>
              </w:rPr>
            </w:pPr>
            <w:r w:rsidRPr="008E3494">
              <w:rPr>
                <w:rFonts w:ascii="Arial" w:hAnsi="Arial" w:cs="Arial"/>
                <w:sz w:val="20"/>
                <w:szCs w:val="20"/>
                <w:lang w:eastAsia="zh-CN"/>
              </w:rPr>
              <w:t>0</w:t>
            </w:r>
            <w:r w:rsidRPr="008E3494">
              <w:rPr>
                <w:rFonts w:ascii="Arial" w:hAnsi="Arial" w:cs="Arial"/>
                <w:sz w:val="20"/>
                <w:szCs w:val="20"/>
                <w:lang w:val="en-US"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tcPr>
          <w:p w14:paraId="4079D089" w14:textId="77777777" w:rsidR="00AA6EC7" w:rsidRPr="008E3494" w:rsidRDefault="007F5B37" w:rsidP="00BA21D6">
            <w:pPr>
              <w:spacing w:after="0" w:line="240" w:lineRule="auto"/>
              <w:jc w:val="center"/>
              <w:rPr>
                <w:rFonts w:ascii="Arial" w:hAnsi="Arial" w:cs="Arial"/>
              </w:rPr>
            </w:pPr>
            <w:r w:rsidRPr="008E3494">
              <w:rPr>
                <w:rFonts w:ascii="Arial" w:hAnsi="Arial" w:cs="Arial"/>
                <w:sz w:val="20"/>
                <w:szCs w:val="20"/>
                <w:lang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1C41F180" w14:textId="77777777" w:rsidR="00AA6EC7" w:rsidRPr="008E3494" w:rsidRDefault="007F5B37" w:rsidP="00BA21D6">
            <w:pPr>
              <w:spacing w:after="0" w:line="240" w:lineRule="auto"/>
              <w:jc w:val="center"/>
              <w:rPr>
                <w:rFonts w:ascii="Arial" w:hAnsi="Arial" w:cs="Arial"/>
                <w:sz w:val="20"/>
                <w:szCs w:val="20"/>
                <w:lang w:val="en-US" w:eastAsia="zh-CN"/>
              </w:rPr>
            </w:pPr>
            <w:r w:rsidRPr="008E3494">
              <w:rPr>
                <w:rFonts w:ascii="Arial" w:hAnsi="Arial" w:cs="Arial"/>
                <w:sz w:val="20"/>
                <w:szCs w:val="20"/>
                <w:lang w:val="en-US" w:eastAsia="zh-CN"/>
              </w:rPr>
              <w:t>100%</w:t>
            </w:r>
          </w:p>
        </w:tc>
        <w:tc>
          <w:tcPr>
            <w:tcW w:w="5106" w:type="dxa"/>
            <w:tcBorders>
              <w:top w:val="single" w:sz="4" w:space="0" w:color="000000"/>
              <w:left w:val="single" w:sz="4" w:space="0" w:color="000000"/>
              <w:bottom w:val="single" w:sz="4" w:space="0" w:color="000000"/>
              <w:right w:val="single" w:sz="4" w:space="0" w:color="000000"/>
            </w:tcBorders>
            <w:vAlign w:val="center"/>
          </w:tcPr>
          <w:p w14:paraId="0D061A87" w14:textId="77777777" w:rsidR="00FF58D1" w:rsidRPr="008E3494" w:rsidRDefault="00FF58D1" w:rsidP="00BA21D6">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28DA6F81" w14:textId="77777777" w:rsidR="00AA6EC7" w:rsidRPr="008E3494" w:rsidRDefault="007F5B37" w:rsidP="00BA21D6">
            <w:pPr>
              <w:spacing w:after="0" w:line="240" w:lineRule="auto"/>
              <w:rPr>
                <w:rFonts w:ascii="Arial" w:hAnsi="Arial" w:cs="Arial"/>
                <w:sz w:val="20"/>
                <w:szCs w:val="20"/>
                <w:lang w:eastAsia="zh-CN"/>
              </w:rPr>
            </w:pPr>
            <w:r w:rsidRPr="008E3494">
              <w:rPr>
                <w:rFonts w:ascii="Arial" w:hAnsi="Arial" w:cs="Arial"/>
                <w:sz w:val="20"/>
                <w:szCs w:val="20"/>
                <w:lang w:eastAsia="zh-CN"/>
              </w:rPr>
              <w:t>Informes de capacitación</w:t>
            </w:r>
          </w:p>
        </w:tc>
      </w:tr>
      <w:tr w:rsidR="00AA6EC7" w:rsidRPr="008E3494" w14:paraId="77EB8C12" w14:textId="77777777" w:rsidTr="00673F3C">
        <w:trPr>
          <w:trHeight w:val="242"/>
        </w:trPr>
        <w:tc>
          <w:tcPr>
            <w:tcW w:w="3261" w:type="dxa"/>
            <w:tcBorders>
              <w:top w:val="single" w:sz="4" w:space="0" w:color="000000"/>
              <w:left w:val="single" w:sz="4" w:space="0" w:color="000000"/>
              <w:bottom w:val="single" w:sz="4" w:space="0" w:color="000000"/>
              <w:right w:val="single" w:sz="4" w:space="0" w:color="000000"/>
            </w:tcBorders>
            <w:vAlign w:val="center"/>
          </w:tcPr>
          <w:p w14:paraId="5FB72665" w14:textId="77777777" w:rsidR="00AA6EC7" w:rsidRPr="008E3494" w:rsidRDefault="007F5B37" w:rsidP="00BA21D6">
            <w:pPr>
              <w:pStyle w:val="ListParagraph"/>
              <w:spacing w:after="0" w:line="240" w:lineRule="auto"/>
              <w:ind w:left="0"/>
              <w:rPr>
                <w:rFonts w:ascii="Arial" w:hAnsi="Arial" w:cs="Arial"/>
                <w:sz w:val="20"/>
                <w:szCs w:val="20"/>
                <w:lang w:eastAsia="zh-CN"/>
              </w:rPr>
            </w:pPr>
            <w:r w:rsidRPr="008E3494">
              <w:rPr>
                <w:rFonts w:ascii="Arial" w:hAnsi="Arial" w:cs="Arial"/>
                <w:sz w:val="20"/>
                <w:szCs w:val="20"/>
                <w:lang w:eastAsia="zh-CN"/>
              </w:rPr>
              <w:t>Plan Operativo de mejoras implementado</w:t>
            </w:r>
          </w:p>
        </w:tc>
        <w:tc>
          <w:tcPr>
            <w:tcW w:w="1275" w:type="dxa"/>
            <w:tcBorders>
              <w:top w:val="single" w:sz="4" w:space="0" w:color="000000"/>
              <w:left w:val="single" w:sz="4" w:space="0" w:color="000000"/>
              <w:bottom w:val="single" w:sz="4" w:space="0" w:color="000000"/>
              <w:right w:val="single" w:sz="4" w:space="0" w:color="000000"/>
            </w:tcBorders>
            <w:vAlign w:val="center"/>
          </w:tcPr>
          <w:p w14:paraId="1048E7E8" w14:textId="77777777" w:rsidR="00AA6EC7" w:rsidRPr="008E3494" w:rsidRDefault="007F5B37" w:rsidP="00BA21D6">
            <w:pPr>
              <w:spacing w:after="0" w:line="240" w:lineRule="auto"/>
              <w:jc w:val="center"/>
              <w:rPr>
                <w:rFonts w:ascii="Arial" w:hAnsi="Arial" w:cs="Arial"/>
                <w:sz w:val="20"/>
                <w:szCs w:val="20"/>
                <w:lang w:eastAsia="zh-CN"/>
              </w:rPr>
            </w:pPr>
            <w:r w:rsidRPr="008E3494">
              <w:rPr>
                <w:rFonts w:ascii="Arial" w:hAnsi="Arial" w:cs="Arial"/>
                <w:sz w:val="20"/>
                <w:szCs w:val="20"/>
                <w:lang w:eastAsia="zh-CN"/>
              </w:rPr>
              <w:t>Número</w:t>
            </w:r>
          </w:p>
        </w:tc>
        <w:tc>
          <w:tcPr>
            <w:tcW w:w="1134" w:type="dxa"/>
            <w:tcBorders>
              <w:top w:val="single" w:sz="4" w:space="0" w:color="000000"/>
              <w:left w:val="single" w:sz="4" w:space="0" w:color="000000"/>
              <w:bottom w:val="single" w:sz="4" w:space="0" w:color="000000"/>
              <w:right w:val="single" w:sz="4" w:space="0" w:color="000000"/>
            </w:tcBorders>
            <w:vAlign w:val="center"/>
          </w:tcPr>
          <w:p w14:paraId="57F56262" w14:textId="77777777" w:rsidR="00AA6EC7" w:rsidRPr="008E3494" w:rsidRDefault="007F5B37" w:rsidP="00BA21D6">
            <w:pPr>
              <w:spacing w:after="0" w:line="240" w:lineRule="auto"/>
              <w:jc w:val="center"/>
              <w:rPr>
                <w:rFonts w:ascii="Arial" w:hAnsi="Arial" w:cs="Arial"/>
                <w:sz w:val="20"/>
                <w:szCs w:val="20"/>
                <w:lang w:eastAsia="zh-CN"/>
              </w:rPr>
            </w:pPr>
            <w:r w:rsidRPr="008E3494">
              <w:rPr>
                <w:rFonts w:ascii="Arial" w:hAnsi="Arial" w:cs="Arial"/>
                <w:sz w:val="20"/>
                <w:szCs w:val="20"/>
                <w:lang w:eastAsia="zh-CN"/>
              </w:rPr>
              <w:t>0</w:t>
            </w:r>
          </w:p>
        </w:tc>
        <w:tc>
          <w:tcPr>
            <w:tcW w:w="1273" w:type="dxa"/>
            <w:tcBorders>
              <w:top w:val="single" w:sz="4" w:space="0" w:color="000000"/>
              <w:left w:val="single" w:sz="4" w:space="0" w:color="000000"/>
              <w:bottom w:val="single" w:sz="4" w:space="0" w:color="000000"/>
              <w:right w:val="single" w:sz="4" w:space="0" w:color="000000"/>
            </w:tcBorders>
            <w:vAlign w:val="center"/>
          </w:tcPr>
          <w:p w14:paraId="7BCC1ECB" w14:textId="77777777" w:rsidR="00AA6EC7" w:rsidRPr="008E3494" w:rsidRDefault="007F5B37" w:rsidP="00BA21D6">
            <w:pPr>
              <w:spacing w:after="0" w:line="240" w:lineRule="auto"/>
              <w:jc w:val="center"/>
              <w:rPr>
                <w:rFonts w:ascii="Arial" w:hAnsi="Arial" w:cs="Arial"/>
              </w:rPr>
            </w:pPr>
            <w:r w:rsidRPr="008E3494">
              <w:rPr>
                <w:rFonts w:ascii="Arial" w:hAnsi="Arial" w:cs="Arial"/>
                <w:sz w:val="20"/>
                <w:szCs w:val="20"/>
                <w:lang w:eastAsia="zh-CN"/>
              </w:rPr>
              <w:t>2019</w:t>
            </w:r>
          </w:p>
        </w:tc>
        <w:tc>
          <w:tcPr>
            <w:tcW w:w="992" w:type="dxa"/>
            <w:tcBorders>
              <w:top w:val="single" w:sz="4" w:space="0" w:color="000000"/>
              <w:left w:val="single" w:sz="4" w:space="0" w:color="000000"/>
              <w:bottom w:val="single" w:sz="4" w:space="0" w:color="000000"/>
              <w:right w:val="single" w:sz="4" w:space="0" w:color="000000"/>
            </w:tcBorders>
            <w:vAlign w:val="center"/>
          </w:tcPr>
          <w:p w14:paraId="60C63FBD" w14:textId="77777777" w:rsidR="00AA6EC7" w:rsidRPr="008E3494" w:rsidRDefault="007F5B37" w:rsidP="00BA21D6">
            <w:pPr>
              <w:spacing w:after="0" w:line="240" w:lineRule="auto"/>
              <w:jc w:val="center"/>
              <w:rPr>
                <w:rFonts w:ascii="Arial" w:hAnsi="Arial" w:cs="Arial"/>
                <w:sz w:val="20"/>
                <w:szCs w:val="20"/>
                <w:lang w:eastAsia="zh-CN"/>
              </w:rPr>
            </w:pPr>
            <w:r w:rsidRPr="008E3494">
              <w:rPr>
                <w:rFonts w:ascii="Arial" w:hAnsi="Arial" w:cs="Arial"/>
                <w:sz w:val="20"/>
                <w:szCs w:val="20"/>
                <w:lang w:eastAsia="zh-CN"/>
              </w:rPr>
              <w:t>1</w:t>
            </w:r>
          </w:p>
        </w:tc>
        <w:tc>
          <w:tcPr>
            <w:tcW w:w="5106" w:type="dxa"/>
            <w:tcBorders>
              <w:top w:val="single" w:sz="4" w:space="0" w:color="000000"/>
              <w:left w:val="single" w:sz="4" w:space="0" w:color="000000"/>
              <w:bottom w:val="single" w:sz="4" w:space="0" w:color="000000"/>
              <w:right w:val="single" w:sz="4" w:space="0" w:color="000000"/>
            </w:tcBorders>
            <w:vAlign w:val="center"/>
          </w:tcPr>
          <w:p w14:paraId="006E847D" w14:textId="1843F1CA" w:rsidR="00B73907" w:rsidRPr="008E3494" w:rsidRDefault="00B73907" w:rsidP="00BA21D6">
            <w:pPr>
              <w:spacing w:after="0" w:line="240" w:lineRule="auto"/>
              <w:rPr>
                <w:rFonts w:ascii="Arial" w:hAnsi="Arial" w:cs="Arial"/>
                <w:b/>
                <w:sz w:val="20"/>
                <w:szCs w:val="20"/>
                <w:lang w:eastAsia="zh-CN"/>
              </w:rPr>
            </w:pPr>
            <w:r w:rsidRPr="008E3494">
              <w:rPr>
                <w:rFonts w:ascii="Arial" w:hAnsi="Arial" w:cs="Arial"/>
                <w:sz w:val="20"/>
                <w:szCs w:val="20"/>
                <w:lang w:eastAsia="zh-CN"/>
              </w:rPr>
              <w:t>La meta es que el Plan Operativo de mejoras se encuentre implementado a partir del segundo año de operación del programa, en adelante.</w:t>
            </w:r>
          </w:p>
          <w:p w14:paraId="2ADD504E" w14:textId="77777777" w:rsidR="00B73907" w:rsidRPr="008E3494" w:rsidRDefault="00B73907" w:rsidP="00BA21D6">
            <w:pPr>
              <w:spacing w:after="0" w:line="240" w:lineRule="auto"/>
              <w:rPr>
                <w:rFonts w:ascii="Arial" w:hAnsi="Arial" w:cs="Arial"/>
                <w:b/>
                <w:sz w:val="20"/>
                <w:szCs w:val="20"/>
                <w:lang w:eastAsia="zh-CN"/>
              </w:rPr>
            </w:pPr>
          </w:p>
          <w:p w14:paraId="3E345308" w14:textId="77777777" w:rsidR="00FF58D1" w:rsidRPr="008E3494" w:rsidRDefault="00FF58D1" w:rsidP="00BA21D6">
            <w:pPr>
              <w:spacing w:after="0" w:line="240" w:lineRule="auto"/>
              <w:rPr>
                <w:rFonts w:ascii="Arial" w:hAnsi="Arial" w:cs="Arial"/>
                <w:b/>
                <w:sz w:val="20"/>
                <w:szCs w:val="20"/>
                <w:lang w:eastAsia="zh-CN"/>
              </w:rPr>
            </w:pPr>
            <w:r w:rsidRPr="008E3494">
              <w:rPr>
                <w:rFonts w:ascii="Arial" w:hAnsi="Arial" w:cs="Arial"/>
                <w:b/>
                <w:sz w:val="20"/>
                <w:szCs w:val="20"/>
                <w:lang w:eastAsia="zh-CN"/>
              </w:rPr>
              <w:t>Medio de verificación:</w:t>
            </w:r>
          </w:p>
          <w:p w14:paraId="7281C83C" w14:textId="6AEF11FA" w:rsidR="00AA6EC7" w:rsidRPr="008E3494" w:rsidRDefault="007F5B37" w:rsidP="00BA21D6">
            <w:pPr>
              <w:spacing w:after="0" w:line="240" w:lineRule="auto"/>
              <w:rPr>
                <w:rFonts w:ascii="Arial" w:hAnsi="Arial" w:cs="Arial"/>
                <w:sz w:val="20"/>
                <w:szCs w:val="20"/>
                <w:lang w:eastAsia="zh-CN"/>
              </w:rPr>
            </w:pPr>
            <w:r w:rsidRPr="008E3494">
              <w:rPr>
                <w:rFonts w:ascii="Arial" w:hAnsi="Arial" w:cs="Arial"/>
                <w:sz w:val="20"/>
                <w:szCs w:val="20"/>
                <w:lang w:eastAsia="zh-CN"/>
              </w:rPr>
              <w:t>Plan Operativo</w:t>
            </w:r>
            <w:r w:rsidR="00FF58D1" w:rsidRPr="008E3494">
              <w:rPr>
                <w:rFonts w:ascii="Arial" w:hAnsi="Arial" w:cs="Arial"/>
                <w:sz w:val="20"/>
                <w:szCs w:val="20"/>
                <w:lang w:eastAsia="zh-CN"/>
              </w:rPr>
              <w:t xml:space="preserve"> </w:t>
            </w:r>
            <w:r w:rsidRPr="008E3494">
              <w:rPr>
                <w:rFonts w:ascii="Arial" w:hAnsi="Arial" w:cs="Arial"/>
                <w:sz w:val="20"/>
                <w:szCs w:val="20"/>
                <w:lang w:eastAsia="zh-CN"/>
              </w:rPr>
              <w:t>(Documento)</w:t>
            </w:r>
          </w:p>
        </w:tc>
      </w:tr>
    </w:tbl>
    <w:p w14:paraId="22698C7F" w14:textId="77777777" w:rsidR="00AA6EC7" w:rsidRPr="008E3494" w:rsidRDefault="007F5B37">
      <w:pPr>
        <w:spacing w:after="0" w:line="240" w:lineRule="auto"/>
        <w:rPr>
          <w:rFonts w:ascii="Arial" w:eastAsia="Times New Roman" w:hAnsi="Arial" w:cs="Arial"/>
          <w:i/>
          <w:iCs/>
          <w:color w:val="000000"/>
          <w:sz w:val="20"/>
          <w:szCs w:val="20"/>
          <w:lang w:eastAsia="es-EC"/>
        </w:rPr>
      </w:pPr>
      <w:r w:rsidRPr="008E3494">
        <w:rPr>
          <w:rFonts w:ascii="Arial" w:eastAsia="Times New Roman" w:hAnsi="Arial" w:cs="Arial"/>
          <w:i/>
          <w:iCs/>
          <w:color w:val="000000"/>
          <w:sz w:val="20"/>
          <w:szCs w:val="20"/>
          <w:lang w:eastAsia="es-EC"/>
        </w:rPr>
        <w:t>*No aplica en zona rural (uso de pozo séptico)</w:t>
      </w:r>
    </w:p>
    <w:p w14:paraId="463FA4A6" w14:textId="77777777" w:rsidR="00AA6EC7" w:rsidRPr="008E3494" w:rsidRDefault="007F5B37">
      <w:pPr>
        <w:rPr>
          <w:rFonts w:ascii="Arial" w:hAnsi="Arial" w:cs="Arial"/>
          <w:i/>
          <w:sz w:val="20"/>
          <w:szCs w:val="20"/>
        </w:rPr>
      </w:pPr>
      <w:r w:rsidRPr="008E3494">
        <w:rPr>
          <w:rFonts w:ascii="Arial" w:hAnsi="Arial" w:cs="Arial"/>
          <w:i/>
          <w:sz w:val="20"/>
          <w:szCs w:val="20"/>
        </w:rPr>
        <w:t>**Estos indicadores pueden ser desagregados por grupo de interés.</w:t>
      </w:r>
    </w:p>
    <w:p w14:paraId="129C5D35" w14:textId="77777777" w:rsidR="00AA6EC7" w:rsidRPr="008E3494" w:rsidRDefault="00AA6EC7">
      <w:pPr>
        <w:spacing w:after="160" w:line="259" w:lineRule="auto"/>
        <w:rPr>
          <w:rFonts w:ascii="Arial" w:eastAsia="Arial" w:hAnsi="Arial" w:cs="Arial"/>
        </w:rPr>
        <w:sectPr w:rsidR="00AA6EC7" w:rsidRPr="008E3494">
          <w:pgSz w:w="15840" w:h="12240" w:orient="landscape"/>
          <w:pgMar w:top="1440" w:right="1440" w:bottom="1440" w:left="1440" w:header="720" w:footer="720" w:gutter="0"/>
          <w:cols w:space="720"/>
          <w:docGrid w:linePitch="360"/>
        </w:sectPr>
      </w:pPr>
    </w:p>
    <w:p w14:paraId="74235CF2" w14:textId="77777777" w:rsidR="00AA6EC7" w:rsidRPr="008E3494" w:rsidRDefault="007F5B37" w:rsidP="008E3494">
      <w:pPr>
        <w:pStyle w:val="Heading2"/>
      </w:pPr>
      <w:bookmarkStart w:id="21" w:name="_Toc1373075"/>
      <w:r w:rsidRPr="008E3494">
        <w:lastRenderedPageBreak/>
        <w:t>Plan de diseminación de las evaluaciones</w:t>
      </w:r>
      <w:bookmarkEnd w:id="21"/>
    </w:p>
    <w:p w14:paraId="0BB1A315" w14:textId="77777777" w:rsidR="00AA6EC7" w:rsidRPr="008E3494" w:rsidRDefault="007F5B37">
      <w:pPr>
        <w:spacing w:after="0" w:line="240" w:lineRule="auto"/>
        <w:jc w:val="both"/>
        <w:rPr>
          <w:rFonts w:ascii="Arial" w:hAnsi="Arial" w:cs="Arial"/>
          <w:b/>
          <w:sz w:val="28"/>
        </w:rPr>
      </w:pPr>
      <w:r w:rsidRPr="008E3494">
        <w:rPr>
          <w:rFonts w:ascii="Arial" w:hAnsi="Arial" w:cs="Arial"/>
        </w:rPr>
        <w:t>Los resultados de las evaluaciones se plantearán en informes periódicos que serán presentados a las autoridades pertinentes y que también servirán para sustentar con evidencia empírica la efectividad de la operación. Además, la evaluación de impacto estará sujeta a publicación por parte del Banco para dar a conocer los resultados y contribuir a la generación de conocimiento de las evaluaciones del impacto causal de las intervenciones de vivienda.</w:t>
      </w:r>
    </w:p>
    <w:p w14:paraId="38CA1726" w14:textId="77777777" w:rsidR="00AA6EC7" w:rsidRPr="008E3494" w:rsidRDefault="00AA6EC7">
      <w:pPr>
        <w:spacing w:after="0" w:line="240" w:lineRule="auto"/>
        <w:rPr>
          <w:rFonts w:ascii="Arial" w:hAnsi="Arial" w:cs="Arial"/>
          <w:b/>
          <w:sz w:val="28"/>
        </w:rPr>
      </w:pPr>
    </w:p>
    <w:p w14:paraId="3BE6E153" w14:textId="2137A230" w:rsidR="00AA6EC7" w:rsidRPr="008E3494" w:rsidRDefault="007F5B37" w:rsidP="008E3494">
      <w:pPr>
        <w:pStyle w:val="Heading2"/>
      </w:pPr>
      <w:r w:rsidRPr="008E3494">
        <w:t xml:space="preserve"> </w:t>
      </w:r>
      <w:bookmarkStart w:id="22" w:name="_Toc1373076"/>
      <w:r w:rsidRPr="008E3494">
        <w:t>Coordinación</w:t>
      </w:r>
      <w:r w:rsidR="00337F2F" w:rsidRPr="008E3494">
        <w:t xml:space="preserve">, </w:t>
      </w:r>
      <w:r w:rsidRPr="008E3494">
        <w:t>cronogramas</w:t>
      </w:r>
      <w:r w:rsidR="00337F2F" w:rsidRPr="008E3494">
        <w:t>, informes y presupuesto</w:t>
      </w:r>
      <w:r w:rsidRPr="008E3494">
        <w:t xml:space="preserve"> de las evaluaciones</w:t>
      </w:r>
      <w:bookmarkEnd w:id="22"/>
    </w:p>
    <w:p w14:paraId="51B5666D" w14:textId="680904B0" w:rsidR="00AA6EC7" w:rsidRPr="008E3494" w:rsidRDefault="007F5B37">
      <w:pPr>
        <w:spacing w:after="0" w:line="240" w:lineRule="auto"/>
        <w:jc w:val="both"/>
        <w:rPr>
          <w:rFonts w:ascii="Arial" w:hAnsi="Arial" w:cs="Arial"/>
        </w:rPr>
      </w:pPr>
      <w:r w:rsidRPr="008E3494">
        <w:rPr>
          <w:rFonts w:ascii="Arial" w:hAnsi="Arial" w:cs="Arial"/>
        </w:rPr>
        <w:t>A continuación, se detalla el cronograma</w:t>
      </w:r>
      <w:r w:rsidR="005D5DA8" w:rsidRPr="008E3494">
        <w:rPr>
          <w:rFonts w:ascii="Arial" w:hAnsi="Arial" w:cs="Arial"/>
        </w:rPr>
        <w:t xml:space="preserve"> y presupuesto</w:t>
      </w:r>
      <w:r w:rsidRPr="008E3494">
        <w:rPr>
          <w:rFonts w:ascii="Arial" w:hAnsi="Arial" w:cs="Arial"/>
        </w:rPr>
        <w:t xml:space="preserve"> para la</w:t>
      </w:r>
      <w:r w:rsidR="005D5DA8" w:rsidRPr="008E3494">
        <w:rPr>
          <w:rFonts w:ascii="Arial" w:hAnsi="Arial" w:cs="Arial"/>
        </w:rPr>
        <w:t xml:space="preserve">s evaluaciones de impacto y </w:t>
      </w:r>
      <w:r w:rsidRPr="008E3494">
        <w:rPr>
          <w:rFonts w:ascii="Arial" w:hAnsi="Arial" w:cs="Arial"/>
        </w:rPr>
        <w:t>d</w:t>
      </w:r>
      <w:r w:rsidR="005D5DA8" w:rsidRPr="008E3494">
        <w:rPr>
          <w:rFonts w:ascii="Arial" w:hAnsi="Arial" w:cs="Arial"/>
        </w:rPr>
        <w:t>e procesos y resultados</w:t>
      </w:r>
      <w:r w:rsidR="00567801" w:rsidRPr="008E3494">
        <w:rPr>
          <w:rFonts w:ascii="Arial" w:hAnsi="Arial" w:cs="Arial"/>
        </w:rPr>
        <w:t xml:space="preserve">, el cual </w:t>
      </w:r>
      <w:r w:rsidRPr="008E3494">
        <w:rPr>
          <w:rFonts w:ascii="Arial" w:hAnsi="Arial" w:cs="Arial"/>
        </w:rPr>
        <w:t>deberá ser ajustado en función de la fecha de inicio de la operación.</w:t>
      </w:r>
    </w:p>
    <w:p w14:paraId="3D05CCDF" w14:textId="2291674C" w:rsidR="00482340" w:rsidRPr="008E3494" w:rsidRDefault="00482340">
      <w:pPr>
        <w:spacing w:after="0" w:line="240" w:lineRule="auto"/>
        <w:jc w:val="both"/>
        <w:rPr>
          <w:rFonts w:ascii="Arial" w:hAnsi="Arial" w:cs="Arial"/>
        </w:rPr>
      </w:pPr>
    </w:p>
    <w:p w14:paraId="3F3491BF" w14:textId="5EC81CA2" w:rsidR="00482340" w:rsidRPr="008E3494" w:rsidRDefault="00482340">
      <w:pPr>
        <w:spacing w:after="0" w:line="240" w:lineRule="auto"/>
        <w:jc w:val="both"/>
        <w:rPr>
          <w:rFonts w:ascii="Arial" w:hAnsi="Arial" w:cs="Arial"/>
        </w:rPr>
      </w:pPr>
    </w:p>
    <w:p w14:paraId="3DFF614C" w14:textId="0E5C162F" w:rsidR="00482340" w:rsidRPr="008E3494" w:rsidRDefault="00482340">
      <w:pPr>
        <w:spacing w:after="0" w:line="240" w:lineRule="auto"/>
        <w:jc w:val="both"/>
        <w:rPr>
          <w:rFonts w:ascii="Arial" w:hAnsi="Arial" w:cs="Arial"/>
          <w:b/>
        </w:rPr>
      </w:pPr>
      <w:r w:rsidRPr="008E3494">
        <w:rPr>
          <w:rFonts w:ascii="Arial" w:hAnsi="Arial" w:cs="Arial"/>
          <w:b/>
        </w:rPr>
        <w:t>Cronogramas</w:t>
      </w:r>
    </w:p>
    <w:p w14:paraId="1043333F" w14:textId="7D11B254" w:rsidR="00900F37" w:rsidRPr="008E3494" w:rsidRDefault="00900F37">
      <w:pPr>
        <w:spacing w:after="0" w:line="240" w:lineRule="auto"/>
        <w:jc w:val="both"/>
        <w:rPr>
          <w:rFonts w:ascii="Arial" w:hAnsi="Arial" w:cs="Arial"/>
        </w:rPr>
      </w:pPr>
    </w:p>
    <w:p w14:paraId="2AF3346E" w14:textId="048F698E" w:rsidR="00900F37" w:rsidRPr="008E3494" w:rsidRDefault="00902E6C">
      <w:pPr>
        <w:spacing w:after="0" w:line="240" w:lineRule="auto"/>
        <w:jc w:val="both"/>
        <w:rPr>
          <w:rFonts w:ascii="Arial" w:hAnsi="Arial" w:cs="Arial"/>
        </w:rPr>
      </w:pPr>
      <w:r w:rsidRPr="008E3494">
        <w:rPr>
          <w:rFonts w:ascii="Arial" w:hAnsi="Arial" w:cs="Arial"/>
          <w:noProof/>
        </w:rPr>
        <w:drawing>
          <wp:inline distT="0" distB="0" distL="0" distR="0" wp14:anchorId="00640636" wp14:editId="1DF1AEA2">
            <wp:extent cx="5943600" cy="28301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830195"/>
                    </a:xfrm>
                    <a:prstGeom prst="rect">
                      <a:avLst/>
                    </a:prstGeom>
                    <a:noFill/>
                    <a:ln>
                      <a:noFill/>
                    </a:ln>
                  </pic:spPr>
                </pic:pic>
              </a:graphicData>
            </a:graphic>
          </wp:inline>
        </w:drawing>
      </w:r>
    </w:p>
    <w:tbl>
      <w:tblPr>
        <w:tblpPr w:leftFromText="180" w:rightFromText="180" w:vertAnchor="text" w:horzAnchor="page" w:tblpX="1336" w:tblpY="364"/>
        <w:tblOverlap w:val="never"/>
        <w:tblW w:w="9435" w:type="dxa"/>
        <w:tblLayout w:type="fixed"/>
        <w:tblCellMar>
          <w:left w:w="70" w:type="dxa"/>
          <w:right w:w="70" w:type="dxa"/>
        </w:tblCellMar>
        <w:tblLook w:val="04A0" w:firstRow="1" w:lastRow="0" w:firstColumn="1" w:lastColumn="0" w:noHBand="0" w:noVBand="1"/>
      </w:tblPr>
      <w:tblGrid>
        <w:gridCol w:w="4120"/>
        <w:gridCol w:w="199"/>
        <w:gridCol w:w="258"/>
        <w:gridCol w:w="258"/>
        <w:gridCol w:w="348"/>
        <w:gridCol w:w="199"/>
        <w:gridCol w:w="258"/>
        <w:gridCol w:w="258"/>
        <w:gridCol w:w="348"/>
        <w:gridCol w:w="199"/>
        <w:gridCol w:w="258"/>
        <w:gridCol w:w="258"/>
        <w:gridCol w:w="348"/>
        <w:gridCol w:w="199"/>
        <w:gridCol w:w="258"/>
        <w:gridCol w:w="258"/>
        <w:gridCol w:w="348"/>
        <w:gridCol w:w="199"/>
        <w:gridCol w:w="258"/>
        <w:gridCol w:w="258"/>
        <w:gridCol w:w="348"/>
      </w:tblGrid>
      <w:tr w:rsidR="00AA6EC7" w:rsidRPr="008E3494" w14:paraId="279F343A" w14:textId="77777777">
        <w:trPr>
          <w:trHeight w:val="300"/>
        </w:trPr>
        <w:tc>
          <w:tcPr>
            <w:tcW w:w="4120" w:type="dxa"/>
            <w:tcBorders>
              <w:top w:val="nil"/>
              <w:left w:val="nil"/>
              <w:bottom w:val="nil"/>
              <w:right w:val="nil"/>
            </w:tcBorders>
            <w:shd w:val="clear" w:color="auto" w:fill="auto"/>
            <w:vAlign w:val="bottom"/>
          </w:tcPr>
          <w:p w14:paraId="37274335" w14:textId="77777777" w:rsidR="00AA6EC7" w:rsidRPr="008E3494" w:rsidRDefault="007F5B37">
            <w:pPr>
              <w:spacing w:after="0" w:line="240" w:lineRule="auto"/>
              <w:rPr>
                <w:rFonts w:ascii="Arial" w:eastAsia="Times New Roman" w:hAnsi="Arial" w:cs="Arial"/>
                <w:sz w:val="16"/>
                <w:szCs w:val="16"/>
                <w:lang w:val="es-MX" w:eastAsia="es-MX"/>
              </w:rPr>
            </w:pPr>
            <w:r w:rsidRPr="008E3494">
              <w:rPr>
                <w:rFonts w:ascii="Arial" w:hAnsi="Arial" w:cs="Arial"/>
                <w:sz w:val="16"/>
                <w:szCs w:val="16"/>
              </w:rPr>
              <w:fldChar w:fldCharType="begin"/>
            </w:r>
            <w:r w:rsidRPr="008E3494">
              <w:rPr>
                <w:rFonts w:ascii="Arial" w:hAnsi="Arial" w:cs="Arial"/>
                <w:sz w:val="16"/>
                <w:szCs w:val="16"/>
              </w:rPr>
              <w:instrText xml:space="preserve"> LINK Excel.Sheet.12 D:\\rutpieir\\Documents\\cronograma.xlsx Hoja1!F1C1:F18C21 \a \f 4 \h  \* MERGEFORMAT </w:instrText>
            </w:r>
            <w:r w:rsidRPr="008E3494">
              <w:rPr>
                <w:rFonts w:ascii="Arial" w:hAnsi="Arial" w:cs="Arial"/>
                <w:sz w:val="16"/>
                <w:szCs w:val="16"/>
              </w:rPr>
              <w:fldChar w:fldCharType="separate"/>
            </w:r>
          </w:p>
        </w:tc>
        <w:tc>
          <w:tcPr>
            <w:tcW w:w="1063"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784A1966"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Año 1</w:t>
            </w:r>
          </w:p>
        </w:tc>
        <w:tc>
          <w:tcPr>
            <w:tcW w:w="1063" w:type="dxa"/>
            <w:gridSpan w:val="4"/>
            <w:tcBorders>
              <w:top w:val="single" w:sz="4" w:space="0" w:color="auto"/>
              <w:left w:val="nil"/>
              <w:bottom w:val="single" w:sz="4" w:space="0" w:color="auto"/>
              <w:right w:val="single" w:sz="4" w:space="0" w:color="000000"/>
            </w:tcBorders>
            <w:shd w:val="clear" w:color="auto" w:fill="auto"/>
            <w:vAlign w:val="center"/>
          </w:tcPr>
          <w:p w14:paraId="4DBD5364"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Año 2</w:t>
            </w:r>
          </w:p>
        </w:tc>
        <w:tc>
          <w:tcPr>
            <w:tcW w:w="1063" w:type="dxa"/>
            <w:gridSpan w:val="4"/>
            <w:tcBorders>
              <w:top w:val="single" w:sz="4" w:space="0" w:color="auto"/>
              <w:left w:val="nil"/>
              <w:bottom w:val="single" w:sz="4" w:space="0" w:color="auto"/>
              <w:right w:val="single" w:sz="4" w:space="0" w:color="000000"/>
            </w:tcBorders>
            <w:shd w:val="clear" w:color="auto" w:fill="auto"/>
            <w:vAlign w:val="center"/>
          </w:tcPr>
          <w:p w14:paraId="73350E8C"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Año 3</w:t>
            </w:r>
          </w:p>
        </w:tc>
        <w:tc>
          <w:tcPr>
            <w:tcW w:w="1063" w:type="dxa"/>
            <w:gridSpan w:val="4"/>
            <w:tcBorders>
              <w:top w:val="single" w:sz="4" w:space="0" w:color="auto"/>
              <w:left w:val="nil"/>
              <w:bottom w:val="single" w:sz="4" w:space="0" w:color="auto"/>
              <w:right w:val="single" w:sz="4" w:space="0" w:color="000000"/>
            </w:tcBorders>
            <w:shd w:val="clear" w:color="auto" w:fill="auto"/>
            <w:vAlign w:val="center"/>
          </w:tcPr>
          <w:p w14:paraId="557C0E4A"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Año 4</w:t>
            </w:r>
          </w:p>
        </w:tc>
        <w:tc>
          <w:tcPr>
            <w:tcW w:w="1063" w:type="dxa"/>
            <w:gridSpan w:val="4"/>
            <w:tcBorders>
              <w:top w:val="single" w:sz="4" w:space="0" w:color="auto"/>
              <w:left w:val="nil"/>
              <w:bottom w:val="single" w:sz="4" w:space="0" w:color="auto"/>
              <w:right w:val="single" w:sz="4" w:space="0" w:color="000000"/>
            </w:tcBorders>
            <w:shd w:val="clear" w:color="auto" w:fill="auto"/>
            <w:vAlign w:val="center"/>
          </w:tcPr>
          <w:p w14:paraId="133D096C"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Año 5</w:t>
            </w:r>
          </w:p>
        </w:tc>
      </w:tr>
      <w:tr w:rsidR="00AA6EC7" w:rsidRPr="008E3494" w14:paraId="5A3ECE3E" w14:textId="77777777">
        <w:trPr>
          <w:trHeight w:val="300"/>
        </w:trPr>
        <w:tc>
          <w:tcPr>
            <w:tcW w:w="4120" w:type="dxa"/>
            <w:tcBorders>
              <w:top w:val="nil"/>
              <w:left w:val="nil"/>
              <w:bottom w:val="nil"/>
              <w:right w:val="nil"/>
            </w:tcBorders>
            <w:shd w:val="clear" w:color="auto" w:fill="auto"/>
            <w:vAlign w:val="bottom"/>
          </w:tcPr>
          <w:p w14:paraId="21A34D32" w14:textId="5E6EC111" w:rsidR="00AA6EC7" w:rsidRPr="008E3494" w:rsidRDefault="007F5B37">
            <w:pPr>
              <w:spacing w:after="0" w:line="240" w:lineRule="auto"/>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Evaluación de pro</w:t>
            </w:r>
            <w:r w:rsidR="005D5DA8" w:rsidRPr="008E3494">
              <w:rPr>
                <w:rFonts w:ascii="Arial" w:eastAsia="Times New Roman" w:hAnsi="Arial" w:cs="Arial"/>
                <w:b/>
                <w:bCs/>
                <w:color w:val="000000"/>
                <w:sz w:val="16"/>
                <w:szCs w:val="16"/>
                <w:lang w:val="es-MX" w:eastAsia="es-MX"/>
              </w:rPr>
              <w:t>ceso</w:t>
            </w:r>
            <w:r w:rsidRPr="008E3494">
              <w:rPr>
                <w:rFonts w:ascii="Arial" w:eastAsia="Times New Roman" w:hAnsi="Arial" w:cs="Arial"/>
                <w:b/>
                <w:bCs/>
                <w:color w:val="000000"/>
                <w:sz w:val="16"/>
                <w:szCs w:val="16"/>
                <w:lang w:val="es-MX" w:eastAsia="es-MX"/>
              </w:rPr>
              <w:t>s y resultados</w:t>
            </w:r>
          </w:p>
        </w:tc>
        <w:tc>
          <w:tcPr>
            <w:tcW w:w="199" w:type="dxa"/>
            <w:tcBorders>
              <w:top w:val="nil"/>
              <w:left w:val="single" w:sz="4" w:space="0" w:color="auto"/>
              <w:bottom w:val="single" w:sz="4" w:space="0" w:color="auto"/>
              <w:right w:val="single" w:sz="4" w:space="0" w:color="auto"/>
            </w:tcBorders>
            <w:shd w:val="clear" w:color="auto" w:fill="auto"/>
            <w:vAlign w:val="center"/>
          </w:tcPr>
          <w:p w14:paraId="10D52C84"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w:t>
            </w:r>
          </w:p>
        </w:tc>
        <w:tc>
          <w:tcPr>
            <w:tcW w:w="258" w:type="dxa"/>
            <w:tcBorders>
              <w:top w:val="nil"/>
              <w:left w:val="nil"/>
              <w:bottom w:val="single" w:sz="4" w:space="0" w:color="auto"/>
              <w:right w:val="single" w:sz="4" w:space="0" w:color="auto"/>
            </w:tcBorders>
            <w:shd w:val="clear" w:color="auto" w:fill="auto"/>
            <w:vAlign w:val="center"/>
          </w:tcPr>
          <w:p w14:paraId="5D198404"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II</w:t>
            </w:r>
          </w:p>
        </w:tc>
        <w:tc>
          <w:tcPr>
            <w:tcW w:w="258" w:type="dxa"/>
            <w:tcBorders>
              <w:top w:val="nil"/>
              <w:left w:val="nil"/>
              <w:bottom w:val="single" w:sz="4" w:space="0" w:color="auto"/>
              <w:right w:val="single" w:sz="4" w:space="0" w:color="auto"/>
            </w:tcBorders>
            <w:shd w:val="clear" w:color="auto" w:fill="auto"/>
            <w:vAlign w:val="center"/>
          </w:tcPr>
          <w:p w14:paraId="36EA72E8"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II</w:t>
            </w:r>
          </w:p>
        </w:tc>
        <w:tc>
          <w:tcPr>
            <w:tcW w:w="348" w:type="dxa"/>
            <w:tcBorders>
              <w:top w:val="nil"/>
              <w:left w:val="nil"/>
              <w:bottom w:val="single" w:sz="4" w:space="0" w:color="auto"/>
              <w:right w:val="single" w:sz="4" w:space="0" w:color="auto"/>
            </w:tcBorders>
            <w:shd w:val="clear" w:color="auto" w:fill="auto"/>
            <w:vAlign w:val="center"/>
          </w:tcPr>
          <w:p w14:paraId="5B4705DF"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IV</w:t>
            </w:r>
          </w:p>
        </w:tc>
        <w:tc>
          <w:tcPr>
            <w:tcW w:w="199" w:type="dxa"/>
            <w:tcBorders>
              <w:top w:val="nil"/>
              <w:left w:val="nil"/>
              <w:bottom w:val="single" w:sz="4" w:space="0" w:color="auto"/>
              <w:right w:val="single" w:sz="4" w:space="0" w:color="auto"/>
            </w:tcBorders>
            <w:shd w:val="clear" w:color="auto" w:fill="auto"/>
            <w:vAlign w:val="center"/>
          </w:tcPr>
          <w:p w14:paraId="4EB922D0"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w:t>
            </w:r>
          </w:p>
        </w:tc>
        <w:tc>
          <w:tcPr>
            <w:tcW w:w="258" w:type="dxa"/>
            <w:tcBorders>
              <w:top w:val="nil"/>
              <w:left w:val="nil"/>
              <w:bottom w:val="single" w:sz="4" w:space="0" w:color="auto"/>
              <w:right w:val="single" w:sz="4" w:space="0" w:color="auto"/>
            </w:tcBorders>
            <w:shd w:val="clear" w:color="auto" w:fill="auto"/>
            <w:vAlign w:val="center"/>
          </w:tcPr>
          <w:p w14:paraId="2F79677F"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II</w:t>
            </w:r>
          </w:p>
        </w:tc>
        <w:tc>
          <w:tcPr>
            <w:tcW w:w="258" w:type="dxa"/>
            <w:tcBorders>
              <w:top w:val="nil"/>
              <w:left w:val="nil"/>
              <w:bottom w:val="single" w:sz="4" w:space="0" w:color="auto"/>
              <w:right w:val="single" w:sz="4" w:space="0" w:color="auto"/>
            </w:tcBorders>
            <w:shd w:val="clear" w:color="auto" w:fill="auto"/>
            <w:vAlign w:val="center"/>
          </w:tcPr>
          <w:p w14:paraId="5F84361F"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II</w:t>
            </w:r>
          </w:p>
        </w:tc>
        <w:tc>
          <w:tcPr>
            <w:tcW w:w="348" w:type="dxa"/>
            <w:tcBorders>
              <w:top w:val="nil"/>
              <w:left w:val="nil"/>
              <w:bottom w:val="single" w:sz="4" w:space="0" w:color="auto"/>
              <w:right w:val="single" w:sz="4" w:space="0" w:color="auto"/>
            </w:tcBorders>
            <w:shd w:val="clear" w:color="auto" w:fill="auto"/>
            <w:vAlign w:val="center"/>
          </w:tcPr>
          <w:p w14:paraId="6E1D2BEF"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IV</w:t>
            </w:r>
          </w:p>
        </w:tc>
        <w:tc>
          <w:tcPr>
            <w:tcW w:w="199" w:type="dxa"/>
            <w:tcBorders>
              <w:top w:val="nil"/>
              <w:left w:val="nil"/>
              <w:bottom w:val="single" w:sz="4" w:space="0" w:color="auto"/>
              <w:right w:val="single" w:sz="4" w:space="0" w:color="auto"/>
            </w:tcBorders>
            <w:shd w:val="clear" w:color="auto" w:fill="auto"/>
            <w:vAlign w:val="center"/>
          </w:tcPr>
          <w:p w14:paraId="702B6682"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w:t>
            </w:r>
          </w:p>
        </w:tc>
        <w:tc>
          <w:tcPr>
            <w:tcW w:w="258" w:type="dxa"/>
            <w:tcBorders>
              <w:top w:val="nil"/>
              <w:left w:val="nil"/>
              <w:bottom w:val="single" w:sz="4" w:space="0" w:color="auto"/>
              <w:right w:val="single" w:sz="4" w:space="0" w:color="auto"/>
            </w:tcBorders>
            <w:shd w:val="clear" w:color="auto" w:fill="auto"/>
            <w:vAlign w:val="center"/>
          </w:tcPr>
          <w:p w14:paraId="4C087EA4"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II</w:t>
            </w:r>
          </w:p>
        </w:tc>
        <w:tc>
          <w:tcPr>
            <w:tcW w:w="258" w:type="dxa"/>
            <w:tcBorders>
              <w:top w:val="nil"/>
              <w:left w:val="nil"/>
              <w:bottom w:val="single" w:sz="4" w:space="0" w:color="auto"/>
              <w:right w:val="single" w:sz="4" w:space="0" w:color="auto"/>
            </w:tcBorders>
            <w:shd w:val="clear" w:color="auto" w:fill="auto"/>
            <w:vAlign w:val="center"/>
          </w:tcPr>
          <w:p w14:paraId="7CEF2554"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II</w:t>
            </w:r>
          </w:p>
        </w:tc>
        <w:tc>
          <w:tcPr>
            <w:tcW w:w="348" w:type="dxa"/>
            <w:tcBorders>
              <w:top w:val="nil"/>
              <w:left w:val="nil"/>
              <w:bottom w:val="single" w:sz="4" w:space="0" w:color="auto"/>
              <w:right w:val="single" w:sz="4" w:space="0" w:color="auto"/>
            </w:tcBorders>
            <w:shd w:val="clear" w:color="auto" w:fill="auto"/>
            <w:vAlign w:val="center"/>
          </w:tcPr>
          <w:p w14:paraId="7D77F9DA"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IV</w:t>
            </w:r>
          </w:p>
        </w:tc>
        <w:tc>
          <w:tcPr>
            <w:tcW w:w="199" w:type="dxa"/>
            <w:tcBorders>
              <w:top w:val="nil"/>
              <w:left w:val="nil"/>
              <w:bottom w:val="single" w:sz="4" w:space="0" w:color="auto"/>
              <w:right w:val="single" w:sz="4" w:space="0" w:color="auto"/>
            </w:tcBorders>
            <w:shd w:val="clear" w:color="auto" w:fill="auto"/>
            <w:vAlign w:val="center"/>
          </w:tcPr>
          <w:p w14:paraId="7EB92796"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w:t>
            </w:r>
          </w:p>
        </w:tc>
        <w:tc>
          <w:tcPr>
            <w:tcW w:w="258" w:type="dxa"/>
            <w:tcBorders>
              <w:top w:val="nil"/>
              <w:left w:val="nil"/>
              <w:bottom w:val="single" w:sz="4" w:space="0" w:color="auto"/>
              <w:right w:val="single" w:sz="4" w:space="0" w:color="auto"/>
            </w:tcBorders>
            <w:shd w:val="clear" w:color="auto" w:fill="auto"/>
            <w:vAlign w:val="center"/>
          </w:tcPr>
          <w:p w14:paraId="2030AE63"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II</w:t>
            </w:r>
          </w:p>
        </w:tc>
        <w:tc>
          <w:tcPr>
            <w:tcW w:w="258" w:type="dxa"/>
            <w:tcBorders>
              <w:top w:val="nil"/>
              <w:left w:val="nil"/>
              <w:bottom w:val="single" w:sz="4" w:space="0" w:color="auto"/>
              <w:right w:val="single" w:sz="4" w:space="0" w:color="auto"/>
            </w:tcBorders>
            <w:shd w:val="clear" w:color="auto" w:fill="auto"/>
            <w:vAlign w:val="center"/>
          </w:tcPr>
          <w:p w14:paraId="069EE06A"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II</w:t>
            </w:r>
          </w:p>
        </w:tc>
        <w:tc>
          <w:tcPr>
            <w:tcW w:w="348" w:type="dxa"/>
            <w:tcBorders>
              <w:top w:val="nil"/>
              <w:left w:val="nil"/>
              <w:bottom w:val="single" w:sz="4" w:space="0" w:color="auto"/>
              <w:right w:val="single" w:sz="4" w:space="0" w:color="auto"/>
            </w:tcBorders>
            <w:shd w:val="clear" w:color="auto" w:fill="auto"/>
            <w:vAlign w:val="center"/>
          </w:tcPr>
          <w:p w14:paraId="1813EAD2"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IV</w:t>
            </w:r>
          </w:p>
        </w:tc>
        <w:tc>
          <w:tcPr>
            <w:tcW w:w="199" w:type="dxa"/>
            <w:tcBorders>
              <w:top w:val="nil"/>
              <w:left w:val="nil"/>
              <w:bottom w:val="single" w:sz="4" w:space="0" w:color="auto"/>
              <w:right w:val="single" w:sz="4" w:space="0" w:color="auto"/>
            </w:tcBorders>
            <w:shd w:val="clear" w:color="auto" w:fill="auto"/>
            <w:vAlign w:val="center"/>
          </w:tcPr>
          <w:p w14:paraId="4F24497D"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w:t>
            </w:r>
          </w:p>
        </w:tc>
        <w:tc>
          <w:tcPr>
            <w:tcW w:w="258" w:type="dxa"/>
            <w:tcBorders>
              <w:top w:val="nil"/>
              <w:left w:val="nil"/>
              <w:bottom w:val="single" w:sz="4" w:space="0" w:color="auto"/>
              <w:right w:val="single" w:sz="4" w:space="0" w:color="auto"/>
            </w:tcBorders>
            <w:shd w:val="clear" w:color="auto" w:fill="auto"/>
            <w:vAlign w:val="center"/>
          </w:tcPr>
          <w:p w14:paraId="3E241A06"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II</w:t>
            </w:r>
          </w:p>
        </w:tc>
        <w:tc>
          <w:tcPr>
            <w:tcW w:w="258" w:type="dxa"/>
            <w:tcBorders>
              <w:top w:val="nil"/>
              <w:left w:val="nil"/>
              <w:bottom w:val="single" w:sz="4" w:space="0" w:color="auto"/>
              <w:right w:val="single" w:sz="4" w:space="0" w:color="auto"/>
            </w:tcBorders>
            <w:shd w:val="clear" w:color="auto" w:fill="auto"/>
            <w:vAlign w:val="center"/>
          </w:tcPr>
          <w:p w14:paraId="0A073B50"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II</w:t>
            </w:r>
          </w:p>
        </w:tc>
        <w:tc>
          <w:tcPr>
            <w:tcW w:w="348" w:type="dxa"/>
            <w:tcBorders>
              <w:top w:val="nil"/>
              <w:left w:val="nil"/>
              <w:bottom w:val="single" w:sz="4" w:space="0" w:color="auto"/>
              <w:right w:val="single" w:sz="4" w:space="0" w:color="auto"/>
            </w:tcBorders>
            <w:shd w:val="clear" w:color="auto" w:fill="auto"/>
            <w:vAlign w:val="center"/>
          </w:tcPr>
          <w:p w14:paraId="527B2B73" w14:textId="77777777" w:rsidR="00AA6EC7" w:rsidRPr="008E3494" w:rsidRDefault="007F5B37">
            <w:pPr>
              <w:spacing w:after="0" w:line="240" w:lineRule="auto"/>
              <w:jc w:val="center"/>
              <w:rPr>
                <w:rFonts w:ascii="Arial" w:eastAsia="Times New Roman" w:hAnsi="Arial" w:cs="Arial"/>
                <w:b/>
                <w:bCs/>
                <w:color w:val="000000"/>
                <w:sz w:val="16"/>
                <w:szCs w:val="16"/>
                <w:lang w:val="es-MX" w:eastAsia="es-MX"/>
              </w:rPr>
            </w:pPr>
            <w:r w:rsidRPr="008E3494">
              <w:rPr>
                <w:rFonts w:ascii="Arial" w:eastAsia="Times New Roman" w:hAnsi="Arial" w:cs="Arial"/>
                <w:b/>
                <w:bCs/>
                <w:color w:val="000000"/>
                <w:sz w:val="16"/>
                <w:szCs w:val="16"/>
                <w:lang w:val="es-MX" w:eastAsia="es-MX"/>
              </w:rPr>
              <w:t>IV</w:t>
            </w:r>
          </w:p>
        </w:tc>
      </w:tr>
      <w:tr w:rsidR="00AA6EC7" w:rsidRPr="008E3494" w14:paraId="7A0C72C2" w14:textId="77777777">
        <w:trPr>
          <w:trHeight w:val="300"/>
        </w:trPr>
        <w:tc>
          <w:tcPr>
            <w:tcW w:w="4120" w:type="dxa"/>
            <w:tcBorders>
              <w:top w:val="single" w:sz="4" w:space="0" w:color="auto"/>
              <w:left w:val="single" w:sz="4" w:space="0" w:color="auto"/>
              <w:bottom w:val="single" w:sz="4" w:space="0" w:color="auto"/>
              <w:right w:val="single" w:sz="4" w:space="0" w:color="auto"/>
            </w:tcBorders>
            <w:shd w:val="clear" w:color="auto" w:fill="auto"/>
            <w:vAlign w:val="bottom"/>
          </w:tcPr>
          <w:p w14:paraId="367AF6D7"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xml:space="preserve">Diseño final y aprobación de la evaluación </w:t>
            </w:r>
          </w:p>
        </w:tc>
        <w:tc>
          <w:tcPr>
            <w:tcW w:w="199" w:type="dxa"/>
            <w:tcBorders>
              <w:top w:val="nil"/>
              <w:left w:val="nil"/>
              <w:bottom w:val="single" w:sz="4" w:space="0" w:color="auto"/>
              <w:right w:val="single" w:sz="4" w:space="0" w:color="auto"/>
            </w:tcBorders>
            <w:shd w:val="clear" w:color="000000" w:fill="A6A6A6"/>
            <w:vAlign w:val="center"/>
          </w:tcPr>
          <w:p w14:paraId="265C798A"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center"/>
          </w:tcPr>
          <w:p w14:paraId="44AF5808"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center"/>
          </w:tcPr>
          <w:p w14:paraId="15D10DE4"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auto" w:fill="auto"/>
            <w:vAlign w:val="center"/>
          </w:tcPr>
          <w:p w14:paraId="100E9549"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1A81C081"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7EC2C411"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10E8AAA7"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auto" w:fill="auto"/>
            <w:vAlign w:val="bottom"/>
          </w:tcPr>
          <w:p w14:paraId="48E7807D"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7439219C"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4ECB5495"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6978BC28"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auto" w:fill="auto"/>
            <w:vAlign w:val="bottom"/>
          </w:tcPr>
          <w:p w14:paraId="57D7372D"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766CA1B8"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40851105"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4BEACC59"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auto" w:fill="auto"/>
            <w:vAlign w:val="bottom"/>
          </w:tcPr>
          <w:p w14:paraId="09AE62E1"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0213FE79"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54162C4A"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71AE05E6"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auto" w:fill="auto"/>
            <w:vAlign w:val="bottom"/>
          </w:tcPr>
          <w:p w14:paraId="3C25326E"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r>
      <w:tr w:rsidR="00AA6EC7" w:rsidRPr="008E3494" w14:paraId="6CCC07D4" w14:textId="77777777">
        <w:trPr>
          <w:trHeight w:val="300"/>
        </w:trPr>
        <w:tc>
          <w:tcPr>
            <w:tcW w:w="4120" w:type="dxa"/>
            <w:tcBorders>
              <w:top w:val="nil"/>
              <w:left w:val="single" w:sz="4" w:space="0" w:color="auto"/>
              <w:bottom w:val="single" w:sz="4" w:space="0" w:color="auto"/>
              <w:right w:val="single" w:sz="4" w:space="0" w:color="auto"/>
            </w:tcBorders>
            <w:shd w:val="clear" w:color="auto" w:fill="auto"/>
            <w:vAlign w:val="bottom"/>
          </w:tcPr>
          <w:p w14:paraId="4A9B83A6"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Implementación de obras de infraestructura</w:t>
            </w:r>
          </w:p>
        </w:tc>
        <w:tc>
          <w:tcPr>
            <w:tcW w:w="199" w:type="dxa"/>
            <w:tcBorders>
              <w:top w:val="nil"/>
              <w:left w:val="nil"/>
              <w:bottom w:val="single" w:sz="4" w:space="0" w:color="auto"/>
              <w:right w:val="single" w:sz="4" w:space="0" w:color="auto"/>
            </w:tcBorders>
            <w:shd w:val="clear" w:color="000000" w:fill="A6A6A6"/>
            <w:vAlign w:val="center"/>
          </w:tcPr>
          <w:p w14:paraId="4B1644DB"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305C5F53"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62C1BDDB"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000000" w:fill="A6A6A6"/>
            <w:vAlign w:val="center"/>
          </w:tcPr>
          <w:p w14:paraId="3D9D5812"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000000" w:fill="A6A6A6"/>
            <w:vAlign w:val="bottom"/>
          </w:tcPr>
          <w:p w14:paraId="58487863"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bottom"/>
          </w:tcPr>
          <w:p w14:paraId="6F3F639A"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bottom"/>
          </w:tcPr>
          <w:p w14:paraId="6DDCEB87"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000000" w:fill="A6A6A6"/>
            <w:vAlign w:val="bottom"/>
          </w:tcPr>
          <w:p w14:paraId="4F447920"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000000" w:fill="A6A6A6"/>
            <w:vAlign w:val="bottom"/>
          </w:tcPr>
          <w:p w14:paraId="10E7ADCC"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bottom"/>
          </w:tcPr>
          <w:p w14:paraId="2303378A"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bottom"/>
          </w:tcPr>
          <w:p w14:paraId="4D766719"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000000" w:fill="A6A6A6"/>
            <w:vAlign w:val="bottom"/>
          </w:tcPr>
          <w:p w14:paraId="525E0C3D"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000000" w:fill="A6A6A6"/>
            <w:vAlign w:val="bottom"/>
          </w:tcPr>
          <w:p w14:paraId="7D08580C"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bottom"/>
          </w:tcPr>
          <w:p w14:paraId="4426C709"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bottom"/>
          </w:tcPr>
          <w:p w14:paraId="1EAE75B8"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000000" w:fill="A6A6A6"/>
            <w:vAlign w:val="bottom"/>
          </w:tcPr>
          <w:p w14:paraId="25E6D855"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2405E91B"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11CC7B71"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6CA84E3A"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auto" w:fill="auto"/>
            <w:vAlign w:val="bottom"/>
          </w:tcPr>
          <w:p w14:paraId="0FCDFF69"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r>
      <w:tr w:rsidR="00AA6EC7" w:rsidRPr="008E3494" w14:paraId="6ED16EE2" w14:textId="77777777">
        <w:trPr>
          <w:trHeight w:val="300"/>
        </w:trPr>
        <w:tc>
          <w:tcPr>
            <w:tcW w:w="4120" w:type="dxa"/>
            <w:tcBorders>
              <w:top w:val="nil"/>
              <w:left w:val="single" w:sz="4" w:space="0" w:color="auto"/>
              <w:bottom w:val="single" w:sz="4" w:space="0" w:color="auto"/>
              <w:right w:val="single" w:sz="4" w:space="0" w:color="auto"/>
            </w:tcBorders>
            <w:shd w:val="clear" w:color="auto" w:fill="auto"/>
            <w:vAlign w:val="bottom"/>
          </w:tcPr>
          <w:p w14:paraId="6A55420E"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xml:space="preserve">Levantamiento de información </w:t>
            </w:r>
          </w:p>
        </w:tc>
        <w:tc>
          <w:tcPr>
            <w:tcW w:w="199" w:type="dxa"/>
            <w:tcBorders>
              <w:top w:val="nil"/>
              <w:left w:val="nil"/>
              <w:bottom w:val="single" w:sz="4" w:space="0" w:color="auto"/>
              <w:right w:val="single" w:sz="4" w:space="0" w:color="auto"/>
            </w:tcBorders>
            <w:shd w:val="clear" w:color="000000" w:fill="A6A6A6"/>
            <w:vAlign w:val="center"/>
          </w:tcPr>
          <w:p w14:paraId="63D3FE9B"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56DB733F"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3BE12A27"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000000" w:fill="A6A6A6"/>
            <w:vAlign w:val="center"/>
          </w:tcPr>
          <w:p w14:paraId="481AF415"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000000" w:fill="A6A6A6"/>
            <w:vAlign w:val="center"/>
          </w:tcPr>
          <w:p w14:paraId="4D12A245"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5EE80655"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0647DFD9"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000000" w:fill="A6A6A6"/>
            <w:vAlign w:val="center"/>
          </w:tcPr>
          <w:p w14:paraId="0E6329B4"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000000" w:fill="A6A6A6"/>
            <w:vAlign w:val="center"/>
          </w:tcPr>
          <w:p w14:paraId="0D4395C4"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74D53C98"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33827C7E"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000000" w:fill="A6A6A6"/>
            <w:vAlign w:val="center"/>
          </w:tcPr>
          <w:p w14:paraId="2FEECF8E"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000000" w:fill="A6A6A6"/>
            <w:vAlign w:val="center"/>
          </w:tcPr>
          <w:p w14:paraId="779D55FF"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69F9088D"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11C9FF3D"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000000" w:fill="A6A6A6"/>
            <w:vAlign w:val="center"/>
          </w:tcPr>
          <w:p w14:paraId="0D517DDC"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0A562B54"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26C8F728"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06BE7182"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auto" w:fill="auto"/>
            <w:vAlign w:val="bottom"/>
          </w:tcPr>
          <w:p w14:paraId="53152FA3"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r>
      <w:tr w:rsidR="00AA6EC7" w:rsidRPr="008E3494" w14:paraId="0CB0C5C9" w14:textId="77777777">
        <w:trPr>
          <w:trHeight w:val="300"/>
        </w:trPr>
        <w:tc>
          <w:tcPr>
            <w:tcW w:w="4120" w:type="dxa"/>
            <w:tcBorders>
              <w:top w:val="nil"/>
              <w:left w:val="single" w:sz="4" w:space="0" w:color="auto"/>
              <w:bottom w:val="single" w:sz="4" w:space="0" w:color="auto"/>
              <w:right w:val="single" w:sz="4" w:space="0" w:color="auto"/>
            </w:tcBorders>
            <w:shd w:val="clear" w:color="auto" w:fill="auto"/>
            <w:vAlign w:val="bottom"/>
          </w:tcPr>
          <w:p w14:paraId="7397B8CD"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Análisis de datos</w:t>
            </w:r>
          </w:p>
        </w:tc>
        <w:tc>
          <w:tcPr>
            <w:tcW w:w="199" w:type="dxa"/>
            <w:tcBorders>
              <w:top w:val="nil"/>
              <w:left w:val="nil"/>
              <w:bottom w:val="single" w:sz="4" w:space="0" w:color="auto"/>
              <w:right w:val="single" w:sz="4" w:space="0" w:color="auto"/>
            </w:tcBorders>
            <w:shd w:val="clear" w:color="auto" w:fill="auto"/>
            <w:vAlign w:val="center"/>
          </w:tcPr>
          <w:p w14:paraId="1E999579"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05080652"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center"/>
          </w:tcPr>
          <w:p w14:paraId="1FE73695"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000000" w:fill="A6A6A6"/>
            <w:vAlign w:val="center"/>
          </w:tcPr>
          <w:p w14:paraId="0425ADDA"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348B2EC1"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5A8D828B"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01D605F0"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000000" w:fill="A6A6A6"/>
            <w:vAlign w:val="center"/>
          </w:tcPr>
          <w:p w14:paraId="0AAE69D5"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601ED936"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1A7FCC5E"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33D001F3"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000000" w:fill="A6A6A6"/>
            <w:vAlign w:val="center"/>
          </w:tcPr>
          <w:p w14:paraId="4DE78BE9"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46EF522B"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6630245E"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5FF027CD"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000000" w:fill="A6A6A6"/>
            <w:vAlign w:val="center"/>
          </w:tcPr>
          <w:p w14:paraId="1B33D4C4"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2E762F42"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center"/>
          </w:tcPr>
          <w:p w14:paraId="06FFB878"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1B547DA2"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auto" w:fill="auto"/>
            <w:vAlign w:val="center"/>
          </w:tcPr>
          <w:p w14:paraId="13645F82"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r>
      <w:tr w:rsidR="00AA6EC7" w:rsidRPr="008E3494" w14:paraId="1B067E4C" w14:textId="77777777">
        <w:trPr>
          <w:trHeight w:val="300"/>
        </w:trPr>
        <w:tc>
          <w:tcPr>
            <w:tcW w:w="4120" w:type="dxa"/>
            <w:tcBorders>
              <w:top w:val="nil"/>
              <w:left w:val="single" w:sz="4" w:space="0" w:color="auto"/>
              <w:bottom w:val="single" w:sz="4" w:space="0" w:color="auto"/>
              <w:right w:val="single" w:sz="4" w:space="0" w:color="auto"/>
            </w:tcBorders>
            <w:shd w:val="clear" w:color="auto" w:fill="auto"/>
            <w:vAlign w:val="bottom"/>
          </w:tcPr>
          <w:p w14:paraId="74A07566"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xml:space="preserve">Presentación de informes semestrales </w:t>
            </w:r>
          </w:p>
        </w:tc>
        <w:tc>
          <w:tcPr>
            <w:tcW w:w="199" w:type="dxa"/>
            <w:tcBorders>
              <w:top w:val="nil"/>
              <w:left w:val="nil"/>
              <w:bottom w:val="single" w:sz="4" w:space="0" w:color="auto"/>
              <w:right w:val="single" w:sz="4" w:space="0" w:color="auto"/>
            </w:tcBorders>
            <w:shd w:val="clear" w:color="auto" w:fill="auto"/>
            <w:vAlign w:val="center"/>
          </w:tcPr>
          <w:p w14:paraId="4AC4D1E6"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7BB54A87"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center"/>
          </w:tcPr>
          <w:p w14:paraId="74F92569"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000000" w:fill="A6A6A6"/>
            <w:vAlign w:val="center"/>
          </w:tcPr>
          <w:p w14:paraId="151D1D77"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19001C80"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34520BCE"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4A9BA53E"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000000" w:fill="A6A6A6"/>
            <w:vAlign w:val="center"/>
          </w:tcPr>
          <w:p w14:paraId="501F1955"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541BBB9A"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46F8E819"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55ECE92A"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000000" w:fill="A6A6A6"/>
            <w:vAlign w:val="center"/>
          </w:tcPr>
          <w:p w14:paraId="7CB9C12D"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7D34E224"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000000" w:fill="A6A6A6"/>
            <w:vAlign w:val="center"/>
          </w:tcPr>
          <w:p w14:paraId="70D47696"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21D64DE8"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000000" w:fill="A6A6A6"/>
            <w:vAlign w:val="center"/>
          </w:tcPr>
          <w:p w14:paraId="35778909"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45D0EA3F"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center"/>
          </w:tcPr>
          <w:p w14:paraId="7AB753C4"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66158115"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auto" w:fill="auto"/>
            <w:vAlign w:val="center"/>
          </w:tcPr>
          <w:p w14:paraId="6205FEA2"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r>
      <w:tr w:rsidR="00AA6EC7" w:rsidRPr="008E3494" w14:paraId="39C856FA" w14:textId="77777777">
        <w:trPr>
          <w:trHeight w:val="300"/>
        </w:trPr>
        <w:tc>
          <w:tcPr>
            <w:tcW w:w="4120" w:type="dxa"/>
            <w:tcBorders>
              <w:top w:val="nil"/>
              <w:left w:val="single" w:sz="4" w:space="0" w:color="auto"/>
              <w:bottom w:val="single" w:sz="4" w:space="0" w:color="auto"/>
              <w:right w:val="single" w:sz="4" w:space="0" w:color="auto"/>
            </w:tcBorders>
            <w:shd w:val="clear" w:color="auto" w:fill="auto"/>
            <w:vAlign w:val="bottom"/>
          </w:tcPr>
          <w:p w14:paraId="6327DD3C" w14:textId="4F7268A4"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xml:space="preserve">Presentación del informe </w:t>
            </w:r>
            <w:r w:rsidR="00F22DCD" w:rsidRPr="008E3494">
              <w:rPr>
                <w:rFonts w:ascii="Arial" w:eastAsia="Times New Roman" w:hAnsi="Arial" w:cs="Arial"/>
                <w:color w:val="000000"/>
                <w:sz w:val="16"/>
                <w:szCs w:val="16"/>
                <w:lang w:val="es-MX" w:eastAsia="es-MX"/>
              </w:rPr>
              <w:t>final</w:t>
            </w:r>
            <w:r w:rsidRPr="008E3494">
              <w:rPr>
                <w:rFonts w:ascii="Arial" w:eastAsia="Times New Roman" w:hAnsi="Arial" w:cs="Arial"/>
                <w:color w:val="000000"/>
                <w:sz w:val="16"/>
                <w:szCs w:val="16"/>
                <w:lang w:val="es-MX" w:eastAsia="es-MX"/>
              </w:rPr>
              <w:t xml:space="preserve"> de evaluación</w:t>
            </w:r>
          </w:p>
        </w:tc>
        <w:tc>
          <w:tcPr>
            <w:tcW w:w="199" w:type="dxa"/>
            <w:tcBorders>
              <w:top w:val="nil"/>
              <w:left w:val="nil"/>
              <w:bottom w:val="single" w:sz="4" w:space="0" w:color="auto"/>
              <w:right w:val="single" w:sz="4" w:space="0" w:color="auto"/>
            </w:tcBorders>
            <w:shd w:val="clear" w:color="auto" w:fill="auto"/>
            <w:vAlign w:val="center"/>
          </w:tcPr>
          <w:p w14:paraId="0B5F2669"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center"/>
          </w:tcPr>
          <w:p w14:paraId="5C5134ED"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center"/>
          </w:tcPr>
          <w:p w14:paraId="32685D70"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auto" w:fill="auto"/>
            <w:vAlign w:val="center"/>
          </w:tcPr>
          <w:p w14:paraId="68D55665"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5B60502F"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18F0FFB5"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708E740E"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auto" w:fill="auto"/>
            <w:vAlign w:val="bottom"/>
          </w:tcPr>
          <w:p w14:paraId="24072ADC"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4203F172"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2C526CBF"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7122960E"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auto" w:fill="auto"/>
            <w:vAlign w:val="bottom"/>
          </w:tcPr>
          <w:p w14:paraId="56E3798A"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auto" w:fill="auto"/>
            <w:vAlign w:val="bottom"/>
          </w:tcPr>
          <w:p w14:paraId="6FBA970B"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6441811F"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4003737B"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auto" w:fill="auto"/>
            <w:vAlign w:val="bottom"/>
          </w:tcPr>
          <w:p w14:paraId="5F71FAC4"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199" w:type="dxa"/>
            <w:tcBorders>
              <w:top w:val="nil"/>
              <w:left w:val="nil"/>
              <w:bottom w:val="single" w:sz="4" w:space="0" w:color="auto"/>
              <w:right w:val="single" w:sz="4" w:space="0" w:color="auto"/>
            </w:tcBorders>
            <w:shd w:val="clear" w:color="000000" w:fill="A6A6A6"/>
            <w:vAlign w:val="bottom"/>
          </w:tcPr>
          <w:p w14:paraId="32AE1D2D"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5CA2175F"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258" w:type="dxa"/>
            <w:tcBorders>
              <w:top w:val="nil"/>
              <w:left w:val="nil"/>
              <w:bottom w:val="single" w:sz="4" w:space="0" w:color="auto"/>
              <w:right w:val="single" w:sz="4" w:space="0" w:color="auto"/>
            </w:tcBorders>
            <w:shd w:val="clear" w:color="auto" w:fill="auto"/>
            <w:vAlign w:val="bottom"/>
          </w:tcPr>
          <w:p w14:paraId="5167710D" w14:textId="77777777" w:rsidR="00AA6EC7" w:rsidRPr="008E3494" w:rsidRDefault="007F5B37">
            <w:pPr>
              <w:spacing w:after="0" w:line="240" w:lineRule="auto"/>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c>
          <w:tcPr>
            <w:tcW w:w="348" w:type="dxa"/>
            <w:tcBorders>
              <w:top w:val="nil"/>
              <w:left w:val="nil"/>
              <w:bottom w:val="single" w:sz="4" w:space="0" w:color="auto"/>
              <w:right w:val="single" w:sz="4" w:space="0" w:color="auto"/>
            </w:tcBorders>
            <w:shd w:val="clear" w:color="auto" w:fill="auto"/>
            <w:vAlign w:val="center"/>
          </w:tcPr>
          <w:p w14:paraId="0868DBE3" w14:textId="77777777" w:rsidR="00AA6EC7" w:rsidRPr="008E3494" w:rsidRDefault="007F5B37">
            <w:pPr>
              <w:spacing w:after="0" w:line="240" w:lineRule="auto"/>
              <w:jc w:val="center"/>
              <w:rPr>
                <w:rFonts w:ascii="Arial" w:eastAsia="Times New Roman" w:hAnsi="Arial" w:cs="Arial"/>
                <w:color w:val="000000"/>
                <w:sz w:val="16"/>
                <w:szCs w:val="16"/>
                <w:lang w:val="es-MX" w:eastAsia="es-MX"/>
              </w:rPr>
            </w:pPr>
            <w:r w:rsidRPr="008E3494">
              <w:rPr>
                <w:rFonts w:ascii="Arial" w:eastAsia="Times New Roman" w:hAnsi="Arial" w:cs="Arial"/>
                <w:color w:val="000000"/>
                <w:sz w:val="16"/>
                <w:szCs w:val="16"/>
                <w:lang w:val="es-MX" w:eastAsia="es-MX"/>
              </w:rPr>
              <w:t> </w:t>
            </w:r>
          </w:p>
        </w:tc>
      </w:tr>
    </w:tbl>
    <w:p w14:paraId="55BD818C" w14:textId="6036F6D6" w:rsidR="00AA6EC7" w:rsidRPr="008E3494" w:rsidRDefault="007F5B37">
      <w:pPr>
        <w:spacing w:after="0" w:line="240" w:lineRule="auto"/>
        <w:jc w:val="both"/>
        <w:rPr>
          <w:rFonts w:ascii="Arial" w:hAnsi="Arial" w:cs="Arial"/>
        </w:rPr>
      </w:pPr>
      <w:r w:rsidRPr="008E3494">
        <w:rPr>
          <w:rFonts w:ascii="Arial" w:hAnsi="Arial" w:cs="Arial"/>
        </w:rPr>
        <w:fldChar w:fldCharType="end"/>
      </w:r>
    </w:p>
    <w:p w14:paraId="37A854F9" w14:textId="131C78CD" w:rsidR="00900F37" w:rsidRPr="008E3494" w:rsidRDefault="00900F37">
      <w:pPr>
        <w:spacing w:after="0" w:line="240" w:lineRule="auto"/>
        <w:jc w:val="both"/>
        <w:rPr>
          <w:rFonts w:ascii="Arial" w:hAnsi="Arial" w:cs="Arial"/>
        </w:rPr>
      </w:pPr>
    </w:p>
    <w:p w14:paraId="4653187B" w14:textId="7CDEEF83" w:rsidR="00482340" w:rsidRPr="008E3494" w:rsidRDefault="00482340">
      <w:pPr>
        <w:spacing w:after="0" w:line="240" w:lineRule="auto"/>
        <w:jc w:val="both"/>
        <w:rPr>
          <w:rFonts w:ascii="Arial" w:hAnsi="Arial" w:cs="Arial"/>
        </w:rPr>
      </w:pPr>
    </w:p>
    <w:p w14:paraId="0F9763B6" w14:textId="3DD8FEFB" w:rsidR="00482340" w:rsidRPr="008E3494" w:rsidRDefault="00482340">
      <w:pPr>
        <w:spacing w:after="0" w:line="240" w:lineRule="auto"/>
        <w:jc w:val="both"/>
        <w:rPr>
          <w:rFonts w:ascii="Arial" w:hAnsi="Arial" w:cs="Arial"/>
        </w:rPr>
      </w:pPr>
    </w:p>
    <w:p w14:paraId="48BAB00F" w14:textId="3D01173A" w:rsidR="00482340" w:rsidRPr="008E3494" w:rsidRDefault="00482340">
      <w:pPr>
        <w:spacing w:after="0" w:line="240" w:lineRule="auto"/>
        <w:jc w:val="both"/>
        <w:rPr>
          <w:rFonts w:ascii="Arial" w:hAnsi="Arial" w:cs="Arial"/>
        </w:rPr>
      </w:pPr>
    </w:p>
    <w:p w14:paraId="11583EA3" w14:textId="77777777" w:rsidR="005D5DA8" w:rsidRPr="008E3494" w:rsidRDefault="005D5DA8">
      <w:pPr>
        <w:spacing w:after="160" w:line="259" w:lineRule="auto"/>
        <w:rPr>
          <w:rFonts w:ascii="Arial" w:hAnsi="Arial" w:cs="Arial"/>
          <w:b/>
        </w:rPr>
      </w:pPr>
      <w:r w:rsidRPr="008E3494">
        <w:rPr>
          <w:rFonts w:ascii="Arial" w:hAnsi="Arial" w:cs="Arial"/>
          <w:b/>
        </w:rPr>
        <w:t>Presupuesto estimado</w:t>
      </w:r>
    </w:p>
    <w:tbl>
      <w:tblPr>
        <w:tblStyle w:val="GridTable1Light"/>
        <w:tblW w:w="0" w:type="auto"/>
        <w:jc w:val="center"/>
        <w:tblLook w:val="04A0" w:firstRow="1" w:lastRow="0" w:firstColumn="1" w:lastColumn="0" w:noHBand="0" w:noVBand="1"/>
      </w:tblPr>
      <w:tblGrid>
        <w:gridCol w:w="3440"/>
        <w:gridCol w:w="1120"/>
      </w:tblGrid>
      <w:tr w:rsidR="005D5DA8" w:rsidRPr="008E3494" w14:paraId="49494BB8" w14:textId="77777777" w:rsidTr="005C5AC3">
        <w:trPr>
          <w:cnfStyle w:val="100000000000" w:firstRow="1" w:lastRow="0" w:firstColumn="0" w:lastColumn="0" w:oddVBand="0" w:evenVBand="0" w:oddHBand="0" w:evenHBand="0" w:firstRowFirstColumn="0" w:firstRowLastColumn="0" w:lastRowFirstColumn="0" w:lastRowLastColumn="0"/>
          <w:trHeight w:val="720"/>
          <w:jc w:val="center"/>
        </w:trPr>
        <w:tc>
          <w:tcPr>
            <w:cnfStyle w:val="001000000000" w:firstRow="0" w:lastRow="0" w:firstColumn="1" w:lastColumn="0" w:oddVBand="0" w:evenVBand="0" w:oddHBand="0" w:evenHBand="0" w:firstRowFirstColumn="0" w:firstRowLastColumn="0" w:lastRowFirstColumn="0" w:lastRowLastColumn="0"/>
            <w:tcW w:w="3440" w:type="dxa"/>
            <w:noWrap/>
            <w:vAlign w:val="center"/>
            <w:hideMark/>
          </w:tcPr>
          <w:p w14:paraId="66A8A736" w14:textId="77777777" w:rsidR="005D5DA8" w:rsidRPr="008E3494" w:rsidRDefault="005D5DA8" w:rsidP="005C5AC3">
            <w:pPr>
              <w:spacing w:after="0" w:line="240" w:lineRule="auto"/>
              <w:jc w:val="center"/>
              <w:rPr>
                <w:rFonts w:ascii="Arial" w:hAnsi="Arial" w:cs="Arial"/>
                <w:sz w:val="20"/>
                <w:szCs w:val="20"/>
                <w:lang w:val="es-EC"/>
              </w:rPr>
            </w:pPr>
            <w:r w:rsidRPr="008E3494">
              <w:rPr>
                <w:rFonts w:ascii="Arial" w:hAnsi="Arial" w:cs="Arial"/>
                <w:sz w:val="20"/>
                <w:szCs w:val="20"/>
                <w:lang w:val="es-EC"/>
              </w:rPr>
              <w:t>Rubros</w:t>
            </w:r>
          </w:p>
        </w:tc>
        <w:tc>
          <w:tcPr>
            <w:tcW w:w="1120" w:type="dxa"/>
            <w:noWrap/>
            <w:vAlign w:val="center"/>
            <w:hideMark/>
          </w:tcPr>
          <w:p w14:paraId="6F23BE52" w14:textId="488A6424" w:rsidR="005D5DA8" w:rsidRPr="008E3494" w:rsidRDefault="005D5DA8" w:rsidP="005C5AC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C"/>
              </w:rPr>
            </w:pPr>
            <w:r w:rsidRPr="008E3494">
              <w:rPr>
                <w:rFonts w:ascii="Arial" w:hAnsi="Arial" w:cs="Arial"/>
                <w:sz w:val="20"/>
                <w:szCs w:val="20"/>
                <w:lang w:val="es-EC"/>
              </w:rPr>
              <w:t>Costos</w:t>
            </w:r>
            <w:r w:rsidR="00194627" w:rsidRPr="008E3494">
              <w:rPr>
                <w:rFonts w:ascii="Arial" w:hAnsi="Arial" w:cs="Arial"/>
                <w:sz w:val="20"/>
                <w:szCs w:val="20"/>
                <w:lang w:val="es-EC"/>
              </w:rPr>
              <w:t xml:space="preserve"> (USD)</w:t>
            </w:r>
          </w:p>
        </w:tc>
      </w:tr>
      <w:tr w:rsidR="005D5DA8" w:rsidRPr="008E3494" w14:paraId="020333CA" w14:textId="77777777" w:rsidTr="005C5AC3">
        <w:trPr>
          <w:trHeight w:val="720"/>
          <w:jc w:val="center"/>
        </w:trPr>
        <w:tc>
          <w:tcPr>
            <w:cnfStyle w:val="001000000000" w:firstRow="0" w:lastRow="0" w:firstColumn="1" w:lastColumn="0" w:oddVBand="0" w:evenVBand="0" w:oddHBand="0" w:evenHBand="0" w:firstRowFirstColumn="0" w:firstRowLastColumn="0" w:lastRowFirstColumn="0" w:lastRowLastColumn="0"/>
            <w:tcW w:w="3440" w:type="dxa"/>
            <w:noWrap/>
            <w:vAlign w:val="center"/>
            <w:hideMark/>
          </w:tcPr>
          <w:p w14:paraId="1BEABC78" w14:textId="2E61B264" w:rsidR="005D5DA8" w:rsidRPr="008E3494" w:rsidRDefault="005D5DA8" w:rsidP="005C5AC3">
            <w:pPr>
              <w:spacing w:after="0" w:line="240" w:lineRule="auto"/>
              <w:jc w:val="center"/>
              <w:rPr>
                <w:rFonts w:ascii="Arial" w:hAnsi="Arial" w:cs="Arial"/>
                <w:b w:val="0"/>
                <w:sz w:val="20"/>
                <w:szCs w:val="20"/>
                <w:lang w:val="es-EC"/>
              </w:rPr>
            </w:pPr>
            <w:r w:rsidRPr="008E3494">
              <w:rPr>
                <w:rFonts w:ascii="Arial" w:hAnsi="Arial" w:cs="Arial"/>
                <w:b w:val="0"/>
                <w:sz w:val="20"/>
                <w:szCs w:val="20"/>
                <w:lang w:val="es-EC"/>
              </w:rPr>
              <w:t>Diseño, levantamiento y análisis de línea base</w:t>
            </w:r>
          </w:p>
        </w:tc>
        <w:tc>
          <w:tcPr>
            <w:tcW w:w="1120" w:type="dxa"/>
            <w:noWrap/>
            <w:vAlign w:val="center"/>
            <w:hideMark/>
          </w:tcPr>
          <w:p w14:paraId="174D0D48" w14:textId="35529F00" w:rsidR="005D5DA8" w:rsidRPr="008E3494" w:rsidRDefault="005C5AC3" w:rsidP="005C5AC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C"/>
              </w:rPr>
            </w:pPr>
            <w:r w:rsidRPr="008E3494">
              <w:rPr>
                <w:rFonts w:ascii="Arial" w:hAnsi="Arial" w:cs="Arial"/>
                <w:sz w:val="20"/>
                <w:szCs w:val="20"/>
                <w:lang w:val="es-EC"/>
              </w:rPr>
              <w:t>9</w:t>
            </w:r>
            <w:r w:rsidR="005D5DA8" w:rsidRPr="008E3494">
              <w:rPr>
                <w:rFonts w:ascii="Arial" w:hAnsi="Arial" w:cs="Arial"/>
                <w:sz w:val="20"/>
                <w:szCs w:val="20"/>
                <w:lang w:val="es-EC"/>
              </w:rPr>
              <w:t>0.000</w:t>
            </w:r>
          </w:p>
        </w:tc>
      </w:tr>
      <w:tr w:rsidR="005D5DA8" w:rsidRPr="008E3494" w14:paraId="051E0C11" w14:textId="77777777" w:rsidTr="005C5AC3">
        <w:trPr>
          <w:trHeight w:val="720"/>
          <w:jc w:val="center"/>
        </w:trPr>
        <w:tc>
          <w:tcPr>
            <w:cnfStyle w:val="001000000000" w:firstRow="0" w:lastRow="0" w:firstColumn="1" w:lastColumn="0" w:oddVBand="0" w:evenVBand="0" w:oddHBand="0" w:evenHBand="0" w:firstRowFirstColumn="0" w:firstRowLastColumn="0" w:lastRowFirstColumn="0" w:lastRowLastColumn="0"/>
            <w:tcW w:w="3440" w:type="dxa"/>
            <w:noWrap/>
            <w:vAlign w:val="center"/>
            <w:hideMark/>
          </w:tcPr>
          <w:p w14:paraId="4FE67B70" w14:textId="0E93B818" w:rsidR="005D5DA8" w:rsidRPr="008E3494" w:rsidRDefault="005D5DA8" w:rsidP="005C5AC3">
            <w:pPr>
              <w:spacing w:after="0" w:line="240" w:lineRule="auto"/>
              <w:jc w:val="center"/>
              <w:rPr>
                <w:rFonts w:ascii="Arial" w:hAnsi="Arial" w:cs="Arial"/>
                <w:b w:val="0"/>
                <w:sz w:val="20"/>
                <w:szCs w:val="20"/>
                <w:lang w:val="es-EC"/>
              </w:rPr>
            </w:pPr>
            <w:r w:rsidRPr="008E3494">
              <w:rPr>
                <w:rFonts w:ascii="Arial" w:hAnsi="Arial" w:cs="Arial"/>
                <w:b w:val="0"/>
                <w:sz w:val="20"/>
                <w:szCs w:val="20"/>
                <w:lang w:val="es-EC"/>
              </w:rPr>
              <w:t>Diseño, levantamiento y análisis de seguimiento</w:t>
            </w:r>
          </w:p>
        </w:tc>
        <w:tc>
          <w:tcPr>
            <w:tcW w:w="1120" w:type="dxa"/>
            <w:noWrap/>
            <w:vAlign w:val="center"/>
            <w:hideMark/>
          </w:tcPr>
          <w:p w14:paraId="581A543A" w14:textId="3DAA9100" w:rsidR="005D5DA8" w:rsidRPr="008E3494" w:rsidRDefault="005D5DA8" w:rsidP="005C5AC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C"/>
              </w:rPr>
            </w:pPr>
            <w:r w:rsidRPr="008E3494">
              <w:rPr>
                <w:rFonts w:ascii="Arial" w:hAnsi="Arial" w:cs="Arial"/>
                <w:sz w:val="20"/>
                <w:szCs w:val="20"/>
                <w:lang w:val="es-EC"/>
              </w:rPr>
              <w:t>90.000</w:t>
            </w:r>
          </w:p>
        </w:tc>
      </w:tr>
      <w:tr w:rsidR="005D5DA8" w:rsidRPr="008E3494" w14:paraId="2420A686" w14:textId="77777777" w:rsidTr="005C5AC3">
        <w:trPr>
          <w:trHeight w:val="720"/>
          <w:jc w:val="center"/>
        </w:trPr>
        <w:tc>
          <w:tcPr>
            <w:cnfStyle w:val="001000000000" w:firstRow="0" w:lastRow="0" w:firstColumn="1" w:lastColumn="0" w:oddVBand="0" w:evenVBand="0" w:oddHBand="0" w:evenHBand="0" w:firstRowFirstColumn="0" w:firstRowLastColumn="0" w:lastRowFirstColumn="0" w:lastRowLastColumn="0"/>
            <w:tcW w:w="3440" w:type="dxa"/>
            <w:noWrap/>
            <w:vAlign w:val="center"/>
            <w:hideMark/>
          </w:tcPr>
          <w:p w14:paraId="6CC1973A" w14:textId="5679179A" w:rsidR="005D5DA8" w:rsidRPr="008E3494" w:rsidRDefault="005D5DA8" w:rsidP="005C5AC3">
            <w:pPr>
              <w:spacing w:after="0" w:line="240" w:lineRule="auto"/>
              <w:jc w:val="center"/>
              <w:rPr>
                <w:rFonts w:ascii="Arial" w:hAnsi="Arial" w:cs="Arial"/>
                <w:b w:val="0"/>
                <w:sz w:val="20"/>
                <w:szCs w:val="20"/>
                <w:lang w:val="es-EC"/>
              </w:rPr>
            </w:pPr>
            <w:r w:rsidRPr="008E3494">
              <w:rPr>
                <w:rFonts w:ascii="Arial" w:hAnsi="Arial" w:cs="Arial"/>
                <w:b w:val="0"/>
                <w:sz w:val="20"/>
                <w:szCs w:val="20"/>
                <w:lang w:val="es-EC"/>
              </w:rPr>
              <w:t>Informe y presentación de evaluación</w:t>
            </w:r>
            <w:r w:rsidR="005C5AC3" w:rsidRPr="008E3494">
              <w:rPr>
                <w:rFonts w:ascii="Arial" w:hAnsi="Arial" w:cs="Arial"/>
                <w:b w:val="0"/>
                <w:sz w:val="20"/>
                <w:szCs w:val="20"/>
                <w:lang w:val="es-EC"/>
              </w:rPr>
              <w:t xml:space="preserve"> de impacto</w:t>
            </w:r>
          </w:p>
        </w:tc>
        <w:tc>
          <w:tcPr>
            <w:tcW w:w="1120" w:type="dxa"/>
            <w:noWrap/>
            <w:vAlign w:val="center"/>
            <w:hideMark/>
          </w:tcPr>
          <w:p w14:paraId="59D38EF8" w14:textId="53898A36" w:rsidR="005D5DA8" w:rsidRPr="008E3494" w:rsidRDefault="005D5DA8" w:rsidP="005C5AC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C"/>
              </w:rPr>
            </w:pPr>
            <w:r w:rsidRPr="008E3494">
              <w:rPr>
                <w:rFonts w:ascii="Arial" w:hAnsi="Arial" w:cs="Arial"/>
                <w:sz w:val="20"/>
                <w:szCs w:val="20"/>
                <w:lang w:val="es-EC"/>
              </w:rPr>
              <w:t>5.000</w:t>
            </w:r>
          </w:p>
        </w:tc>
      </w:tr>
      <w:tr w:rsidR="005C5AC3" w:rsidRPr="008E3494" w14:paraId="2C8B7697" w14:textId="77777777" w:rsidTr="005C5AC3">
        <w:trPr>
          <w:trHeight w:val="720"/>
          <w:jc w:val="center"/>
        </w:trPr>
        <w:tc>
          <w:tcPr>
            <w:cnfStyle w:val="001000000000" w:firstRow="0" w:lastRow="0" w:firstColumn="1" w:lastColumn="0" w:oddVBand="0" w:evenVBand="0" w:oddHBand="0" w:evenHBand="0" w:firstRowFirstColumn="0" w:firstRowLastColumn="0" w:lastRowFirstColumn="0" w:lastRowLastColumn="0"/>
            <w:tcW w:w="3440" w:type="dxa"/>
            <w:noWrap/>
            <w:vAlign w:val="center"/>
          </w:tcPr>
          <w:p w14:paraId="61D4CE62" w14:textId="24D4125C" w:rsidR="005C5AC3" w:rsidRPr="008E3494" w:rsidRDefault="00194627" w:rsidP="005C5AC3">
            <w:pPr>
              <w:spacing w:after="0" w:line="240" w:lineRule="auto"/>
              <w:jc w:val="center"/>
              <w:rPr>
                <w:rFonts w:ascii="Arial" w:hAnsi="Arial" w:cs="Arial"/>
                <w:b w:val="0"/>
                <w:sz w:val="20"/>
                <w:szCs w:val="20"/>
                <w:lang w:val="es-EC"/>
              </w:rPr>
            </w:pPr>
            <w:r w:rsidRPr="008E3494">
              <w:rPr>
                <w:rFonts w:ascii="Arial" w:hAnsi="Arial" w:cs="Arial"/>
                <w:b w:val="0"/>
                <w:sz w:val="20"/>
                <w:szCs w:val="20"/>
                <w:lang w:val="es-EC"/>
              </w:rPr>
              <w:t>Diseño, i</w:t>
            </w:r>
            <w:r w:rsidR="005C5AC3" w:rsidRPr="008E3494">
              <w:rPr>
                <w:rFonts w:ascii="Arial" w:hAnsi="Arial" w:cs="Arial"/>
                <w:b w:val="0"/>
                <w:sz w:val="20"/>
                <w:szCs w:val="20"/>
                <w:lang w:val="es-EC"/>
              </w:rPr>
              <w:t>nforme y presentación de evaluación de procesos y resultados</w:t>
            </w:r>
          </w:p>
        </w:tc>
        <w:tc>
          <w:tcPr>
            <w:tcW w:w="1120" w:type="dxa"/>
            <w:noWrap/>
            <w:vAlign w:val="center"/>
          </w:tcPr>
          <w:p w14:paraId="3BFE7997" w14:textId="2CB56C98" w:rsidR="005C5AC3" w:rsidRPr="008E3494" w:rsidRDefault="005C5AC3" w:rsidP="005C5AC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C"/>
              </w:rPr>
            </w:pPr>
            <w:r w:rsidRPr="008E3494">
              <w:rPr>
                <w:rFonts w:ascii="Arial" w:hAnsi="Arial" w:cs="Arial"/>
                <w:sz w:val="20"/>
                <w:szCs w:val="20"/>
                <w:lang w:val="es-EC"/>
              </w:rPr>
              <w:t>35.000</w:t>
            </w:r>
          </w:p>
        </w:tc>
      </w:tr>
      <w:tr w:rsidR="005D5DA8" w:rsidRPr="008E3494" w14:paraId="62DD5A88" w14:textId="77777777" w:rsidTr="005C5AC3">
        <w:trPr>
          <w:trHeight w:val="720"/>
          <w:jc w:val="center"/>
        </w:trPr>
        <w:tc>
          <w:tcPr>
            <w:cnfStyle w:val="001000000000" w:firstRow="0" w:lastRow="0" w:firstColumn="1" w:lastColumn="0" w:oddVBand="0" w:evenVBand="0" w:oddHBand="0" w:evenHBand="0" w:firstRowFirstColumn="0" w:firstRowLastColumn="0" w:lastRowFirstColumn="0" w:lastRowLastColumn="0"/>
            <w:tcW w:w="3440" w:type="dxa"/>
            <w:noWrap/>
            <w:vAlign w:val="center"/>
            <w:hideMark/>
          </w:tcPr>
          <w:p w14:paraId="33CE79D0" w14:textId="77777777" w:rsidR="005D5DA8" w:rsidRPr="008E3494" w:rsidRDefault="005D5DA8" w:rsidP="005C5AC3">
            <w:pPr>
              <w:spacing w:after="0" w:line="240" w:lineRule="auto"/>
              <w:jc w:val="center"/>
              <w:rPr>
                <w:rFonts w:ascii="Arial" w:hAnsi="Arial" w:cs="Arial"/>
                <w:sz w:val="20"/>
                <w:szCs w:val="20"/>
                <w:lang w:val="es-EC"/>
              </w:rPr>
            </w:pPr>
            <w:r w:rsidRPr="008E3494">
              <w:rPr>
                <w:rFonts w:ascii="Arial" w:hAnsi="Arial" w:cs="Arial"/>
                <w:sz w:val="20"/>
                <w:szCs w:val="20"/>
                <w:lang w:val="es-EC"/>
              </w:rPr>
              <w:t>Total</w:t>
            </w:r>
          </w:p>
        </w:tc>
        <w:tc>
          <w:tcPr>
            <w:tcW w:w="1120" w:type="dxa"/>
            <w:noWrap/>
            <w:vAlign w:val="center"/>
            <w:hideMark/>
          </w:tcPr>
          <w:p w14:paraId="1323E38D" w14:textId="2525C3C4" w:rsidR="005D5DA8" w:rsidRPr="008E3494" w:rsidRDefault="005C5AC3" w:rsidP="005C5AC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s-EC"/>
              </w:rPr>
            </w:pPr>
            <w:r w:rsidRPr="008E3494">
              <w:rPr>
                <w:rFonts w:ascii="Arial" w:hAnsi="Arial" w:cs="Arial"/>
                <w:sz w:val="20"/>
                <w:szCs w:val="20"/>
                <w:lang w:val="es-EC"/>
              </w:rPr>
              <w:t>220.000</w:t>
            </w:r>
          </w:p>
        </w:tc>
      </w:tr>
    </w:tbl>
    <w:p w14:paraId="17DBD721" w14:textId="0A73A39C" w:rsidR="00562B6C" w:rsidRPr="008E3494" w:rsidRDefault="00562B6C">
      <w:pPr>
        <w:spacing w:after="160" w:line="259" w:lineRule="auto"/>
        <w:rPr>
          <w:rFonts w:ascii="Arial" w:hAnsi="Arial" w:cs="Arial"/>
          <w:i/>
        </w:rPr>
      </w:pPr>
      <w:r w:rsidRPr="008E3494">
        <w:rPr>
          <w:rFonts w:ascii="Arial" w:hAnsi="Arial" w:cs="Arial"/>
          <w:i/>
        </w:rPr>
        <w:br w:type="page"/>
      </w:r>
    </w:p>
    <w:p w14:paraId="07D7AA24" w14:textId="16729250" w:rsidR="00562B6C" w:rsidRPr="008E3494" w:rsidRDefault="00562B6C" w:rsidP="008E3494">
      <w:pPr>
        <w:pStyle w:val="Heading2"/>
      </w:pPr>
      <w:bookmarkStart w:id="23" w:name="_Toc1373077"/>
      <w:r w:rsidRPr="008E3494">
        <w:lastRenderedPageBreak/>
        <w:t>Bibliografía</w:t>
      </w:r>
      <w:bookmarkEnd w:id="23"/>
    </w:p>
    <w:p w14:paraId="47C4DA25" w14:textId="77777777" w:rsidR="005917E5" w:rsidRDefault="005917E5" w:rsidP="00562B6C">
      <w:pPr>
        <w:ind w:left="720" w:hanging="720"/>
        <w:jc w:val="both"/>
        <w:rPr>
          <w:rFonts w:ascii="Arial" w:hAnsi="Arial" w:cs="Arial"/>
          <w:color w:val="222222"/>
          <w:shd w:val="clear" w:color="auto" w:fill="FFFFFF"/>
          <w:lang w:val="en-US"/>
        </w:rPr>
      </w:pPr>
      <w:r w:rsidRPr="005917E5">
        <w:rPr>
          <w:rFonts w:ascii="Arial" w:hAnsi="Arial" w:cs="Arial"/>
          <w:color w:val="222222"/>
          <w:shd w:val="clear" w:color="auto" w:fill="FFFFFF"/>
          <w:lang w:val="en-US"/>
        </w:rPr>
        <w:t>Abadie, A. (2005). Semiparametric difference-in-differences estimators. The Review of Economic Studies, 72(1), 1-19.</w:t>
      </w:r>
    </w:p>
    <w:p w14:paraId="36FC1AAD" w14:textId="5A534682" w:rsidR="00562B6C" w:rsidRPr="008E3494" w:rsidRDefault="00562B6C" w:rsidP="00562B6C">
      <w:pPr>
        <w:ind w:left="720" w:hanging="720"/>
        <w:jc w:val="both"/>
        <w:rPr>
          <w:rFonts w:ascii="Arial" w:hAnsi="Arial" w:cs="Arial"/>
          <w:color w:val="222222"/>
          <w:shd w:val="clear" w:color="auto" w:fill="FFFFFF"/>
          <w:lang w:val="en-US"/>
        </w:rPr>
      </w:pPr>
      <w:r w:rsidRPr="008E3494">
        <w:rPr>
          <w:rFonts w:ascii="Arial" w:hAnsi="Arial" w:cs="Arial"/>
          <w:color w:val="222222"/>
          <w:shd w:val="clear" w:color="auto" w:fill="FFFFFF"/>
          <w:lang w:val="en-US"/>
        </w:rPr>
        <w:t>Booth, A., &amp; Cowell, J. (1976). Crowding and health. </w:t>
      </w:r>
      <w:r w:rsidRPr="008E3494">
        <w:rPr>
          <w:rFonts w:ascii="Arial" w:hAnsi="Arial" w:cs="Arial"/>
          <w:i/>
          <w:iCs/>
          <w:color w:val="222222"/>
          <w:shd w:val="clear" w:color="auto" w:fill="FFFFFF"/>
          <w:lang w:val="en-US"/>
        </w:rPr>
        <w:t>Journal of Health and Social Behavior</w:t>
      </w:r>
      <w:r w:rsidRPr="008E3494">
        <w:rPr>
          <w:rFonts w:ascii="Arial" w:hAnsi="Arial" w:cs="Arial"/>
          <w:color w:val="222222"/>
          <w:shd w:val="clear" w:color="auto" w:fill="FFFFFF"/>
          <w:lang w:val="en-US"/>
        </w:rPr>
        <w:t>, 204-220.</w:t>
      </w:r>
    </w:p>
    <w:p w14:paraId="009841E9" w14:textId="77777777" w:rsidR="00562B6C" w:rsidRPr="008E3494" w:rsidRDefault="00562B6C" w:rsidP="00562B6C">
      <w:pPr>
        <w:ind w:left="720" w:hanging="720"/>
        <w:jc w:val="both"/>
        <w:rPr>
          <w:rFonts w:ascii="Arial" w:hAnsi="Arial" w:cs="Arial"/>
          <w:color w:val="222222"/>
          <w:shd w:val="clear" w:color="auto" w:fill="FFFFFF"/>
          <w:lang w:val="en-US"/>
        </w:rPr>
      </w:pPr>
      <w:proofErr w:type="spellStart"/>
      <w:r w:rsidRPr="008E3494">
        <w:rPr>
          <w:rFonts w:ascii="Arial" w:hAnsi="Arial" w:cs="Arial"/>
          <w:color w:val="222222"/>
          <w:shd w:val="clear" w:color="auto" w:fill="FFFFFF"/>
          <w:lang w:val="en-US"/>
        </w:rPr>
        <w:t>Brakarz</w:t>
      </w:r>
      <w:proofErr w:type="spellEnd"/>
      <w:r w:rsidRPr="008E3494">
        <w:rPr>
          <w:rFonts w:ascii="Arial" w:hAnsi="Arial" w:cs="Arial"/>
          <w:color w:val="222222"/>
          <w:shd w:val="clear" w:color="auto" w:fill="FFFFFF"/>
          <w:lang w:val="en-US"/>
        </w:rPr>
        <w:t xml:space="preserve">, J., &amp; </w:t>
      </w:r>
      <w:proofErr w:type="spellStart"/>
      <w:r w:rsidRPr="008E3494">
        <w:rPr>
          <w:rFonts w:ascii="Arial" w:hAnsi="Arial" w:cs="Arial"/>
          <w:color w:val="222222"/>
          <w:shd w:val="clear" w:color="auto" w:fill="FFFFFF"/>
          <w:lang w:val="en-US"/>
        </w:rPr>
        <w:t>Jaitman</w:t>
      </w:r>
      <w:proofErr w:type="spellEnd"/>
      <w:r w:rsidRPr="008E3494">
        <w:rPr>
          <w:rFonts w:ascii="Arial" w:hAnsi="Arial" w:cs="Arial"/>
          <w:color w:val="222222"/>
          <w:shd w:val="clear" w:color="auto" w:fill="FFFFFF"/>
          <w:lang w:val="en-US"/>
        </w:rPr>
        <w:t>, L. (2013). </w:t>
      </w:r>
      <w:r w:rsidRPr="008E3494">
        <w:rPr>
          <w:rFonts w:ascii="Arial" w:hAnsi="Arial" w:cs="Arial"/>
          <w:i/>
          <w:iCs/>
          <w:color w:val="222222"/>
          <w:shd w:val="clear" w:color="auto" w:fill="FFFFFF"/>
          <w:lang w:val="en-US"/>
        </w:rPr>
        <w:t>Evaluation of Slum Upgrading Programs: Literature Review and Methodological Approaches</w:t>
      </w:r>
      <w:r w:rsidRPr="008E3494">
        <w:rPr>
          <w:rFonts w:ascii="Arial" w:hAnsi="Arial" w:cs="Arial"/>
          <w:color w:val="222222"/>
          <w:shd w:val="clear" w:color="auto" w:fill="FFFFFF"/>
          <w:lang w:val="en-US"/>
        </w:rPr>
        <w:t>. Inter-American Development Bank.</w:t>
      </w:r>
    </w:p>
    <w:p w14:paraId="6C2530B4" w14:textId="77777777" w:rsidR="00562B6C" w:rsidRPr="008E3494" w:rsidRDefault="00562B6C" w:rsidP="00562B6C">
      <w:pPr>
        <w:ind w:left="720" w:hanging="720"/>
        <w:jc w:val="both"/>
        <w:rPr>
          <w:rFonts w:ascii="Arial" w:hAnsi="Arial" w:cs="Arial"/>
          <w:color w:val="222222"/>
          <w:shd w:val="clear" w:color="auto" w:fill="FFFFFF"/>
          <w:lang w:val="en-US"/>
        </w:rPr>
      </w:pPr>
      <w:r w:rsidRPr="008E3494">
        <w:rPr>
          <w:rFonts w:ascii="Arial" w:hAnsi="Arial" w:cs="Arial"/>
          <w:color w:val="222222"/>
          <w:shd w:val="clear" w:color="auto" w:fill="FFFFFF"/>
          <w:lang w:val="en-US"/>
        </w:rPr>
        <w:t>Byrne, D. S. (1986). </w:t>
      </w:r>
      <w:r w:rsidRPr="008E3494">
        <w:rPr>
          <w:rFonts w:ascii="Arial" w:hAnsi="Arial" w:cs="Arial"/>
          <w:i/>
          <w:iCs/>
          <w:color w:val="222222"/>
          <w:shd w:val="clear" w:color="auto" w:fill="FFFFFF"/>
          <w:lang w:val="en-US"/>
        </w:rPr>
        <w:t>Housing and health: the relationship between housing conditions and the health of council tenants</w:t>
      </w:r>
      <w:r w:rsidRPr="008E3494">
        <w:rPr>
          <w:rFonts w:ascii="Arial" w:hAnsi="Arial" w:cs="Arial"/>
          <w:color w:val="222222"/>
          <w:shd w:val="clear" w:color="auto" w:fill="FFFFFF"/>
          <w:lang w:val="en-US"/>
        </w:rPr>
        <w:t>. Gower Publishing Company, Limited.</w:t>
      </w:r>
    </w:p>
    <w:p w14:paraId="69CA57E9" w14:textId="77777777" w:rsidR="00562B6C" w:rsidRPr="008E3494" w:rsidRDefault="00562B6C" w:rsidP="00562B6C">
      <w:pPr>
        <w:ind w:left="720" w:hanging="720"/>
        <w:jc w:val="both"/>
        <w:rPr>
          <w:rFonts w:ascii="Arial" w:hAnsi="Arial" w:cs="Arial"/>
          <w:color w:val="222222"/>
          <w:shd w:val="clear" w:color="auto" w:fill="FFFFFF"/>
          <w:lang w:val="en-US"/>
        </w:rPr>
      </w:pPr>
      <w:r w:rsidRPr="008E3494">
        <w:rPr>
          <w:rFonts w:ascii="Arial" w:hAnsi="Arial" w:cs="Arial"/>
          <w:color w:val="222222"/>
          <w:shd w:val="clear" w:color="auto" w:fill="FFFFFF"/>
          <w:lang w:val="en-US"/>
        </w:rPr>
        <w:t>Cassel, J. (1973). The relation of the urban environment to health: implications for prevention. </w:t>
      </w:r>
      <w:r w:rsidRPr="008E3494">
        <w:rPr>
          <w:rFonts w:ascii="Arial" w:hAnsi="Arial" w:cs="Arial"/>
          <w:i/>
          <w:iCs/>
          <w:color w:val="222222"/>
          <w:shd w:val="clear" w:color="auto" w:fill="FFFFFF"/>
          <w:lang w:val="en-US"/>
        </w:rPr>
        <w:t>The Mount Sinai journal of medicine, New York</w:t>
      </w:r>
      <w:r w:rsidRPr="008E3494">
        <w:rPr>
          <w:rFonts w:ascii="Arial" w:hAnsi="Arial" w:cs="Arial"/>
          <w:color w:val="222222"/>
          <w:shd w:val="clear" w:color="auto" w:fill="FFFFFF"/>
          <w:lang w:val="en-US"/>
        </w:rPr>
        <w:t>, </w:t>
      </w:r>
      <w:r w:rsidRPr="008E3494">
        <w:rPr>
          <w:rFonts w:ascii="Arial" w:hAnsi="Arial" w:cs="Arial"/>
          <w:i/>
          <w:iCs/>
          <w:color w:val="222222"/>
          <w:shd w:val="clear" w:color="auto" w:fill="FFFFFF"/>
          <w:lang w:val="en-US"/>
        </w:rPr>
        <w:t>40</w:t>
      </w:r>
      <w:r w:rsidRPr="008E3494">
        <w:rPr>
          <w:rFonts w:ascii="Arial" w:hAnsi="Arial" w:cs="Arial"/>
          <w:color w:val="222222"/>
          <w:shd w:val="clear" w:color="auto" w:fill="FFFFFF"/>
          <w:lang w:val="en-US"/>
        </w:rPr>
        <w:t>(4), 539.</w:t>
      </w:r>
    </w:p>
    <w:p w14:paraId="129B6807" w14:textId="77777777" w:rsidR="00562B6C" w:rsidRPr="008E3494" w:rsidRDefault="00562B6C" w:rsidP="00562B6C">
      <w:pPr>
        <w:spacing w:before="100" w:beforeAutospacing="1" w:after="100" w:afterAutospacing="1" w:line="240" w:lineRule="auto"/>
        <w:ind w:left="480" w:hanging="480"/>
        <w:rPr>
          <w:rFonts w:ascii="Arial" w:eastAsia="Times New Roman" w:hAnsi="Arial" w:cs="Arial"/>
          <w:lang w:val="en-US" w:eastAsia="es-EC"/>
        </w:rPr>
      </w:pPr>
      <w:proofErr w:type="spellStart"/>
      <w:r w:rsidRPr="008E3494">
        <w:rPr>
          <w:rFonts w:ascii="Arial" w:eastAsia="Times New Roman" w:hAnsi="Arial" w:cs="Arial"/>
          <w:lang w:val="en-US" w:eastAsia="es-EC"/>
        </w:rPr>
        <w:t>Cattaneo</w:t>
      </w:r>
      <w:proofErr w:type="spellEnd"/>
      <w:r w:rsidRPr="008E3494">
        <w:rPr>
          <w:rFonts w:ascii="Arial" w:eastAsia="Times New Roman" w:hAnsi="Arial" w:cs="Arial"/>
          <w:lang w:val="en-US" w:eastAsia="es-EC"/>
        </w:rPr>
        <w:t xml:space="preserve">, M. D., </w:t>
      </w:r>
      <w:proofErr w:type="spellStart"/>
      <w:r w:rsidRPr="008E3494">
        <w:rPr>
          <w:rFonts w:ascii="Arial" w:eastAsia="Times New Roman" w:hAnsi="Arial" w:cs="Arial"/>
          <w:lang w:val="en-US" w:eastAsia="es-EC"/>
        </w:rPr>
        <w:t>Galiani</w:t>
      </w:r>
      <w:proofErr w:type="spellEnd"/>
      <w:r w:rsidRPr="008E3494">
        <w:rPr>
          <w:rFonts w:ascii="Arial" w:eastAsia="Times New Roman" w:hAnsi="Arial" w:cs="Arial"/>
          <w:lang w:val="en-US" w:eastAsia="es-EC"/>
        </w:rPr>
        <w:t xml:space="preserve">, S., Gertler, P. J., Martinez, S., &amp; </w:t>
      </w:r>
      <w:proofErr w:type="spellStart"/>
      <w:r w:rsidRPr="008E3494">
        <w:rPr>
          <w:rFonts w:ascii="Arial" w:eastAsia="Times New Roman" w:hAnsi="Arial" w:cs="Arial"/>
          <w:lang w:val="en-US" w:eastAsia="es-EC"/>
        </w:rPr>
        <w:t>Titiunik</w:t>
      </w:r>
      <w:proofErr w:type="spellEnd"/>
      <w:r w:rsidRPr="008E3494">
        <w:rPr>
          <w:rFonts w:ascii="Arial" w:eastAsia="Times New Roman" w:hAnsi="Arial" w:cs="Arial"/>
          <w:lang w:val="en-US" w:eastAsia="es-EC"/>
        </w:rPr>
        <w:t>, R. (2009). Housing, health, and happiness. American Economic Journal: Economic Policy, 1(1), 75-105.</w:t>
      </w:r>
    </w:p>
    <w:p w14:paraId="6EF29AF9" w14:textId="77777777" w:rsidR="00562B6C" w:rsidRPr="008E3494" w:rsidRDefault="00562B6C" w:rsidP="00562B6C">
      <w:pPr>
        <w:ind w:left="720" w:hanging="720"/>
        <w:jc w:val="both"/>
        <w:rPr>
          <w:rFonts w:ascii="Arial" w:hAnsi="Arial" w:cs="Arial"/>
          <w:color w:val="222222"/>
          <w:shd w:val="clear" w:color="auto" w:fill="FFFFFF"/>
          <w:lang w:val="en-US"/>
        </w:rPr>
      </w:pPr>
      <w:r w:rsidRPr="008E3494">
        <w:rPr>
          <w:rFonts w:ascii="Arial" w:hAnsi="Arial" w:cs="Arial"/>
          <w:color w:val="222222"/>
          <w:shd w:val="clear" w:color="auto" w:fill="FFFFFF"/>
          <w:lang w:val="en-US"/>
        </w:rPr>
        <w:t>Dean, L. M., Pugh, W. M., &amp; Gunderson, E. E. (1975). Spatial and perceptual components of crowding: Effects on health and satisfaction. </w:t>
      </w:r>
      <w:r w:rsidRPr="008E3494">
        <w:rPr>
          <w:rFonts w:ascii="Arial" w:hAnsi="Arial" w:cs="Arial"/>
          <w:i/>
          <w:iCs/>
          <w:color w:val="222222"/>
          <w:shd w:val="clear" w:color="auto" w:fill="FFFFFF"/>
          <w:lang w:val="en-US"/>
        </w:rPr>
        <w:t>Environment and Behavior</w:t>
      </w:r>
      <w:r w:rsidRPr="008E3494">
        <w:rPr>
          <w:rFonts w:ascii="Arial" w:hAnsi="Arial" w:cs="Arial"/>
          <w:color w:val="222222"/>
          <w:shd w:val="clear" w:color="auto" w:fill="FFFFFF"/>
          <w:lang w:val="en-US"/>
        </w:rPr>
        <w:t>, </w:t>
      </w:r>
      <w:r w:rsidRPr="008E3494">
        <w:rPr>
          <w:rFonts w:ascii="Arial" w:hAnsi="Arial" w:cs="Arial"/>
          <w:i/>
          <w:iCs/>
          <w:color w:val="222222"/>
          <w:shd w:val="clear" w:color="auto" w:fill="FFFFFF"/>
          <w:lang w:val="en-US"/>
        </w:rPr>
        <w:t>7</w:t>
      </w:r>
      <w:r w:rsidRPr="008E3494">
        <w:rPr>
          <w:rFonts w:ascii="Arial" w:hAnsi="Arial" w:cs="Arial"/>
          <w:color w:val="222222"/>
          <w:shd w:val="clear" w:color="auto" w:fill="FFFFFF"/>
          <w:lang w:val="en-US"/>
        </w:rPr>
        <w:t>(2), 225-236.</w:t>
      </w:r>
    </w:p>
    <w:p w14:paraId="6C3038C4" w14:textId="77777777" w:rsidR="00562B6C" w:rsidRPr="008E3494" w:rsidRDefault="00562B6C" w:rsidP="00562B6C">
      <w:pPr>
        <w:ind w:left="720" w:hanging="720"/>
        <w:jc w:val="both"/>
        <w:rPr>
          <w:rFonts w:ascii="Arial" w:hAnsi="Arial" w:cs="Arial"/>
          <w:color w:val="222222"/>
          <w:shd w:val="clear" w:color="auto" w:fill="FFFFFF"/>
        </w:rPr>
      </w:pPr>
      <w:r w:rsidRPr="008E3494">
        <w:rPr>
          <w:rFonts w:ascii="Arial" w:hAnsi="Arial" w:cs="Arial"/>
          <w:color w:val="222222"/>
          <w:shd w:val="clear" w:color="auto" w:fill="FFFFFF"/>
          <w:lang w:val="en-US"/>
        </w:rPr>
        <w:t xml:space="preserve">Evans, G. W., Wells, N. M., &amp; </w:t>
      </w:r>
      <w:proofErr w:type="spellStart"/>
      <w:r w:rsidRPr="008E3494">
        <w:rPr>
          <w:rFonts w:ascii="Arial" w:hAnsi="Arial" w:cs="Arial"/>
          <w:color w:val="222222"/>
          <w:shd w:val="clear" w:color="auto" w:fill="FFFFFF"/>
          <w:lang w:val="en-US"/>
        </w:rPr>
        <w:t>Moch</w:t>
      </w:r>
      <w:proofErr w:type="spellEnd"/>
      <w:r w:rsidRPr="008E3494">
        <w:rPr>
          <w:rFonts w:ascii="Arial" w:hAnsi="Arial" w:cs="Arial"/>
          <w:color w:val="222222"/>
          <w:shd w:val="clear" w:color="auto" w:fill="FFFFFF"/>
          <w:lang w:val="en-US"/>
        </w:rPr>
        <w:t>, A. (2003). Housing and mental health: a review of the evidence and a methodological and conceptual critique. </w:t>
      </w:r>
      <w:proofErr w:type="spellStart"/>
      <w:r w:rsidRPr="008E3494">
        <w:rPr>
          <w:rFonts w:ascii="Arial" w:hAnsi="Arial" w:cs="Arial"/>
          <w:i/>
          <w:iCs/>
          <w:color w:val="222222"/>
          <w:shd w:val="clear" w:color="auto" w:fill="FFFFFF"/>
        </w:rPr>
        <w:t>Journal</w:t>
      </w:r>
      <w:proofErr w:type="spellEnd"/>
      <w:r w:rsidRPr="008E3494">
        <w:rPr>
          <w:rFonts w:ascii="Arial" w:hAnsi="Arial" w:cs="Arial"/>
          <w:i/>
          <w:iCs/>
          <w:color w:val="222222"/>
          <w:shd w:val="clear" w:color="auto" w:fill="FFFFFF"/>
        </w:rPr>
        <w:t xml:space="preserve"> </w:t>
      </w:r>
      <w:proofErr w:type="spellStart"/>
      <w:r w:rsidRPr="008E3494">
        <w:rPr>
          <w:rFonts w:ascii="Arial" w:hAnsi="Arial" w:cs="Arial"/>
          <w:i/>
          <w:iCs/>
          <w:color w:val="222222"/>
          <w:shd w:val="clear" w:color="auto" w:fill="FFFFFF"/>
        </w:rPr>
        <w:t>of</w:t>
      </w:r>
      <w:proofErr w:type="spellEnd"/>
      <w:r w:rsidRPr="008E3494">
        <w:rPr>
          <w:rFonts w:ascii="Arial" w:hAnsi="Arial" w:cs="Arial"/>
          <w:i/>
          <w:iCs/>
          <w:color w:val="222222"/>
          <w:shd w:val="clear" w:color="auto" w:fill="FFFFFF"/>
        </w:rPr>
        <w:t xml:space="preserve"> social </w:t>
      </w:r>
      <w:proofErr w:type="spellStart"/>
      <w:r w:rsidRPr="008E3494">
        <w:rPr>
          <w:rFonts w:ascii="Arial" w:hAnsi="Arial" w:cs="Arial"/>
          <w:i/>
          <w:iCs/>
          <w:color w:val="222222"/>
          <w:shd w:val="clear" w:color="auto" w:fill="FFFFFF"/>
        </w:rPr>
        <w:t>issues</w:t>
      </w:r>
      <w:proofErr w:type="spellEnd"/>
      <w:r w:rsidRPr="008E3494">
        <w:rPr>
          <w:rFonts w:ascii="Arial" w:hAnsi="Arial" w:cs="Arial"/>
          <w:color w:val="222222"/>
          <w:shd w:val="clear" w:color="auto" w:fill="FFFFFF"/>
        </w:rPr>
        <w:t>, </w:t>
      </w:r>
      <w:r w:rsidRPr="008E3494">
        <w:rPr>
          <w:rFonts w:ascii="Arial" w:hAnsi="Arial" w:cs="Arial"/>
          <w:i/>
          <w:iCs/>
          <w:color w:val="222222"/>
          <w:shd w:val="clear" w:color="auto" w:fill="FFFFFF"/>
        </w:rPr>
        <w:t>59</w:t>
      </w:r>
      <w:r w:rsidRPr="008E3494">
        <w:rPr>
          <w:rFonts w:ascii="Arial" w:hAnsi="Arial" w:cs="Arial"/>
          <w:color w:val="222222"/>
          <w:shd w:val="clear" w:color="auto" w:fill="FFFFFF"/>
        </w:rPr>
        <w:t>(3), 475-500.</w:t>
      </w:r>
    </w:p>
    <w:p w14:paraId="15BAEEF2" w14:textId="77777777" w:rsidR="00562B6C" w:rsidRPr="008E3494" w:rsidRDefault="00562B6C" w:rsidP="00562B6C">
      <w:pPr>
        <w:spacing w:before="100" w:beforeAutospacing="1" w:after="100" w:afterAutospacing="1" w:line="240" w:lineRule="auto"/>
        <w:ind w:left="480" w:hanging="480"/>
        <w:rPr>
          <w:rFonts w:ascii="Arial" w:eastAsia="Times New Roman" w:hAnsi="Arial" w:cs="Arial"/>
          <w:lang w:val="en-US" w:eastAsia="es-EC"/>
        </w:rPr>
      </w:pPr>
      <w:r w:rsidRPr="008E3494">
        <w:rPr>
          <w:rFonts w:ascii="Arial" w:eastAsia="Times New Roman" w:hAnsi="Arial" w:cs="Arial"/>
          <w:lang w:eastAsia="es-EC"/>
        </w:rPr>
        <w:t xml:space="preserve">Field, E., &amp; Torero, M. (2003). Diferencias en el Acceso de las Mujeres al </w:t>
      </w:r>
      <w:proofErr w:type="gramStart"/>
      <w:r w:rsidRPr="008E3494">
        <w:rPr>
          <w:rFonts w:ascii="Arial" w:eastAsia="Times New Roman" w:hAnsi="Arial" w:cs="Arial"/>
          <w:lang w:eastAsia="es-EC"/>
        </w:rPr>
        <w:t>Micro Crédito</w:t>
      </w:r>
      <w:proofErr w:type="gramEnd"/>
      <w:r w:rsidRPr="008E3494">
        <w:rPr>
          <w:rFonts w:ascii="Arial" w:eastAsia="Times New Roman" w:hAnsi="Arial" w:cs="Arial"/>
          <w:lang w:eastAsia="es-EC"/>
        </w:rPr>
        <w:t xml:space="preserve"> en el Perú y el Impacto de la Tenencia del Título de Propiedad. </w:t>
      </w:r>
      <w:r w:rsidRPr="008E3494">
        <w:rPr>
          <w:rFonts w:ascii="Arial" w:eastAsia="Times New Roman" w:hAnsi="Arial" w:cs="Arial"/>
          <w:lang w:val="en-US" w:eastAsia="es-EC"/>
        </w:rPr>
        <w:t>CIES. Lima. Perú.</w:t>
      </w:r>
    </w:p>
    <w:p w14:paraId="3F6D7FE6" w14:textId="77777777" w:rsidR="00562B6C" w:rsidRPr="008E3494" w:rsidRDefault="00562B6C" w:rsidP="00562B6C">
      <w:pPr>
        <w:spacing w:before="100" w:beforeAutospacing="1" w:after="100" w:afterAutospacing="1" w:line="240" w:lineRule="auto"/>
        <w:ind w:left="480" w:hanging="480"/>
        <w:rPr>
          <w:rFonts w:ascii="Arial" w:eastAsia="Times New Roman" w:hAnsi="Arial" w:cs="Arial"/>
          <w:lang w:val="en-US" w:eastAsia="es-EC"/>
        </w:rPr>
      </w:pPr>
      <w:r w:rsidRPr="008E3494">
        <w:rPr>
          <w:rFonts w:ascii="Arial" w:eastAsia="Times New Roman" w:hAnsi="Arial" w:cs="Arial"/>
          <w:lang w:val="en-US" w:eastAsia="es-EC"/>
        </w:rPr>
        <w:t>Field, E. (2005). Property rights and investment in urban slums. Journal of the European Economic Association, 3(2</w:t>
      </w:r>
      <w:r w:rsidRPr="008E3494">
        <w:rPr>
          <w:rFonts w:ascii="Cambria Math" w:eastAsia="Times New Roman" w:hAnsi="Cambria Math" w:cs="Cambria Math"/>
          <w:lang w:val="en-US" w:eastAsia="es-EC"/>
        </w:rPr>
        <w:t>‐</w:t>
      </w:r>
      <w:r w:rsidRPr="008E3494">
        <w:rPr>
          <w:rFonts w:ascii="Arial" w:eastAsia="Times New Roman" w:hAnsi="Arial" w:cs="Arial"/>
          <w:lang w:val="en-US" w:eastAsia="es-EC"/>
        </w:rPr>
        <w:t>3), 279-290.</w:t>
      </w:r>
    </w:p>
    <w:p w14:paraId="66D0670E" w14:textId="77777777" w:rsidR="00562B6C" w:rsidRPr="008E3494" w:rsidRDefault="00562B6C" w:rsidP="00562B6C">
      <w:pPr>
        <w:spacing w:before="100" w:beforeAutospacing="1" w:after="100" w:afterAutospacing="1" w:line="240" w:lineRule="auto"/>
        <w:ind w:left="480" w:hanging="480"/>
        <w:rPr>
          <w:rFonts w:ascii="Arial" w:eastAsia="Times New Roman" w:hAnsi="Arial" w:cs="Arial"/>
          <w:lang w:val="en-US" w:eastAsia="es-EC"/>
        </w:rPr>
      </w:pPr>
      <w:r w:rsidRPr="008E3494">
        <w:rPr>
          <w:rFonts w:ascii="Arial" w:eastAsia="Times New Roman" w:hAnsi="Arial" w:cs="Arial"/>
          <w:lang w:val="en-US" w:eastAsia="es-EC"/>
        </w:rPr>
        <w:t>Field, E., &amp; Torero, M. (2006). Do property titles increase credit access among the urban poor? Evidence from a nationwide titling program. Working paper, Department of Economics, Harvard University, Cambridge, MA.</w:t>
      </w:r>
    </w:p>
    <w:p w14:paraId="640E6F62" w14:textId="77777777" w:rsidR="00562B6C" w:rsidRPr="008E3494" w:rsidRDefault="00562B6C" w:rsidP="00562B6C">
      <w:pPr>
        <w:spacing w:before="100" w:beforeAutospacing="1" w:after="100" w:afterAutospacing="1" w:line="240" w:lineRule="auto"/>
        <w:ind w:left="480" w:hanging="480"/>
        <w:rPr>
          <w:rFonts w:ascii="Arial" w:eastAsia="Times New Roman" w:hAnsi="Arial" w:cs="Arial"/>
          <w:lang w:val="en-US" w:eastAsia="es-EC"/>
        </w:rPr>
      </w:pPr>
      <w:r w:rsidRPr="008E3494">
        <w:rPr>
          <w:rFonts w:ascii="Arial" w:eastAsia="Times New Roman" w:hAnsi="Arial" w:cs="Arial"/>
          <w:lang w:val="en-US" w:eastAsia="es-EC"/>
        </w:rPr>
        <w:t>Field, E. M., &amp; Kremer, M. (2006). Impact evaluation for slum upgrading interventions. World Bank, Poverty Reduction and Economic Management, Thematic Group on Poverty Analysis, Monitoring and Impact Evaluation.</w:t>
      </w:r>
    </w:p>
    <w:p w14:paraId="18D3E0A4" w14:textId="77777777" w:rsidR="00562B6C" w:rsidRPr="008E3494" w:rsidRDefault="00562B6C" w:rsidP="00562B6C">
      <w:pPr>
        <w:spacing w:before="100" w:beforeAutospacing="1" w:after="100" w:afterAutospacing="1" w:line="240" w:lineRule="auto"/>
        <w:ind w:left="480" w:hanging="480"/>
        <w:rPr>
          <w:rFonts w:ascii="Arial" w:eastAsia="Times New Roman" w:hAnsi="Arial" w:cs="Arial"/>
          <w:lang w:val="en-US" w:eastAsia="es-EC"/>
        </w:rPr>
      </w:pPr>
      <w:proofErr w:type="spellStart"/>
      <w:r w:rsidRPr="008E3494">
        <w:rPr>
          <w:rFonts w:ascii="Arial" w:eastAsia="Times New Roman" w:hAnsi="Arial" w:cs="Arial"/>
          <w:lang w:val="en-US" w:eastAsia="es-EC"/>
        </w:rPr>
        <w:t>Galiani</w:t>
      </w:r>
      <w:proofErr w:type="spellEnd"/>
      <w:r w:rsidRPr="008E3494">
        <w:rPr>
          <w:rFonts w:ascii="Arial" w:eastAsia="Times New Roman" w:hAnsi="Arial" w:cs="Arial"/>
          <w:lang w:val="en-US" w:eastAsia="es-EC"/>
        </w:rPr>
        <w:t xml:space="preserve">, S., &amp; </w:t>
      </w:r>
      <w:proofErr w:type="spellStart"/>
      <w:r w:rsidRPr="008E3494">
        <w:rPr>
          <w:rFonts w:ascii="Arial" w:eastAsia="Times New Roman" w:hAnsi="Arial" w:cs="Arial"/>
          <w:lang w:val="en-US" w:eastAsia="es-EC"/>
        </w:rPr>
        <w:t>Schargrodsky</w:t>
      </w:r>
      <w:proofErr w:type="spellEnd"/>
      <w:r w:rsidRPr="008E3494">
        <w:rPr>
          <w:rFonts w:ascii="Arial" w:eastAsia="Times New Roman" w:hAnsi="Arial" w:cs="Arial"/>
          <w:lang w:val="en-US" w:eastAsia="es-EC"/>
        </w:rPr>
        <w:t>, E. (2010). Property rights for the poor: Effects of land titling. Journal of Public Economics, 94(9-10), 700-729.</w:t>
      </w:r>
    </w:p>
    <w:p w14:paraId="135DA57C" w14:textId="77777777" w:rsidR="00562B6C" w:rsidRPr="008E3494" w:rsidRDefault="00562B6C" w:rsidP="00562B6C">
      <w:pPr>
        <w:spacing w:before="100" w:beforeAutospacing="1" w:after="100" w:afterAutospacing="1" w:line="240" w:lineRule="auto"/>
        <w:ind w:left="480" w:hanging="480"/>
        <w:rPr>
          <w:rFonts w:ascii="Arial" w:eastAsia="Times New Roman" w:hAnsi="Arial" w:cs="Arial"/>
          <w:lang w:val="en-US" w:eastAsia="es-EC"/>
        </w:rPr>
      </w:pPr>
      <w:proofErr w:type="spellStart"/>
      <w:r w:rsidRPr="008E3494">
        <w:rPr>
          <w:rFonts w:ascii="Arial" w:eastAsia="Times New Roman" w:hAnsi="Arial" w:cs="Arial"/>
          <w:lang w:val="en-US" w:eastAsia="es-EC"/>
        </w:rPr>
        <w:t>Galiani</w:t>
      </w:r>
      <w:proofErr w:type="spellEnd"/>
      <w:r w:rsidRPr="008E3494">
        <w:rPr>
          <w:rFonts w:ascii="Arial" w:eastAsia="Times New Roman" w:hAnsi="Arial" w:cs="Arial"/>
          <w:lang w:val="en-US" w:eastAsia="es-EC"/>
        </w:rPr>
        <w:t xml:space="preserve">, S., Gertler, P. J., </w:t>
      </w:r>
      <w:proofErr w:type="spellStart"/>
      <w:r w:rsidRPr="008E3494">
        <w:rPr>
          <w:rFonts w:ascii="Arial" w:eastAsia="Times New Roman" w:hAnsi="Arial" w:cs="Arial"/>
          <w:lang w:val="en-US" w:eastAsia="es-EC"/>
        </w:rPr>
        <w:t>Undurraga</w:t>
      </w:r>
      <w:proofErr w:type="spellEnd"/>
      <w:r w:rsidRPr="008E3494">
        <w:rPr>
          <w:rFonts w:ascii="Arial" w:eastAsia="Times New Roman" w:hAnsi="Arial" w:cs="Arial"/>
          <w:lang w:val="en-US" w:eastAsia="es-EC"/>
        </w:rPr>
        <w:t>, R., Cooper, R., Martínez, S., &amp; Ross, A. (2017). Shelter from the storm: Upgrading housing infrastructure in Latin American slums. Journal of Urban Economics, 98, 187-213.</w:t>
      </w:r>
    </w:p>
    <w:p w14:paraId="0AA2387A" w14:textId="77777777" w:rsidR="00562B6C" w:rsidRPr="008E3494" w:rsidRDefault="00562B6C" w:rsidP="00562B6C">
      <w:pPr>
        <w:ind w:left="720" w:hanging="720"/>
        <w:jc w:val="both"/>
        <w:rPr>
          <w:rFonts w:ascii="Arial" w:hAnsi="Arial" w:cs="Arial"/>
          <w:color w:val="222222"/>
          <w:shd w:val="clear" w:color="auto" w:fill="FFFFFF"/>
          <w:lang w:val="en-US"/>
        </w:rPr>
      </w:pPr>
      <w:r w:rsidRPr="008E3494">
        <w:rPr>
          <w:rFonts w:ascii="Arial" w:hAnsi="Arial" w:cs="Arial"/>
          <w:color w:val="222222"/>
          <w:shd w:val="clear" w:color="auto" w:fill="FFFFFF"/>
          <w:lang w:val="en-US"/>
        </w:rPr>
        <w:lastRenderedPageBreak/>
        <w:t>Gove, W. R., Hughes, M., &amp; Galle, O. R. (1983). Overcrowding in the household: An analysis of determinants and effects.</w:t>
      </w:r>
    </w:p>
    <w:p w14:paraId="1C50FB4F" w14:textId="77777777" w:rsidR="005917E5" w:rsidRDefault="005917E5" w:rsidP="00562B6C">
      <w:pPr>
        <w:ind w:left="720" w:hanging="720"/>
        <w:jc w:val="both"/>
        <w:rPr>
          <w:rFonts w:ascii="Arial" w:hAnsi="Arial" w:cs="Arial"/>
          <w:color w:val="222222"/>
          <w:shd w:val="clear" w:color="auto" w:fill="FFFFFF"/>
          <w:lang w:val="en-US"/>
        </w:rPr>
      </w:pPr>
      <w:proofErr w:type="spellStart"/>
      <w:r w:rsidRPr="005917E5">
        <w:rPr>
          <w:rFonts w:ascii="Arial" w:hAnsi="Arial" w:cs="Arial"/>
          <w:color w:val="222222"/>
          <w:shd w:val="clear" w:color="auto" w:fill="FFFFFF"/>
          <w:lang w:val="en-US"/>
        </w:rPr>
        <w:t>Griffen</w:t>
      </w:r>
      <w:proofErr w:type="spellEnd"/>
      <w:r w:rsidRPr="005917E5">
        <w:rPr>
          <w:rFonts w:ascii="Arial" w:hAnsi="Arial" w:cs="Arial"/>
          <w:color w:val="222222"/>
          <w:shd w:val="clear" w:color="auto" w:fill="FFFFFF"/>
          <w:lang w:val="en-US"/>
        </w:rPr>
        <w:t>, A. S., &amp; Todd, P. E. (2017). Assessing the performance of nonexperimental estimators for evaluating Head Start. Journal of Labor Economics, 35(S1), S7-S63.</w:t>
      </w:r>
    </w:p>
    <w:p w14:paraId="0C5D5D2A" w14:textId="2D010CB3" w:rsidR="00562B6C" w:rsidRPr="008E3494" w:rsidRDefault="00562B6C" w:rsidP="00562B6C">
      <w:pPr>
        <w:ind w:left="720" w:hanging="720"/>
        <w:jc w:val="both"/>
        <w:rPr>
          <w:rFonts w:ascii="Arial" w:hAnsi="Arial" w:cs="Arial"/>
          <w:color w:val="222222"/>
          <w:shd w:val="clear" w:color="auto" w:fill="FFFFFF"/>
          <w:lang w:val="en-US"/>
        </w:rPr>
      </w:pPr>
      <w:r w:rsidRPr="008E3494">
        <w:rPr>
          <w:rFonts w:ascii="Arial" w:hAnsi="Arial" w:cs="Arial"/>
          <w:color w:val="222222"/>
          <w:shd w:val="clear" w:color="auto" w:fill="FFFFFF"/>
          <w:lang w:val="en-US"/>
        </w:rPr>
        <w:t>Hopton, J. L., &amp; Hunt, S. M. (1996). Housing conditions and mental health in a disadvantaged area in Scotland. </w:t>
      </w:r>
      <w:r w:rsidRPr="008E3494">
        <w:rPr>
          <w:rFonts w:ascii="Arial" w:hAnsi="Arial" w:cs="Arial"/>
          <w:i/>
          <w:iCs/>
          <w:color w:val="222222"/>
          <w:shd w:val="clear" w:color="auto" w:fill="FFFFFF"/>
          <w:lang w:val="en-US"/>
        </w:rPr>
        <w:t>Journal of Epidemiology &amp; Community Health</w:t>
      </w:r>
      <w:r w:rsidRPr="008E3494">
        <w:rPr>
          <w:rFonts w:ascii="Arial" w:hAnsi="Arial" w:cs="Arial"/>
          <w:color w:val="222222"/>
          <w:shd w:val="clear" w:color="auto" w:fill="FFFFFF"/>
          <w:lang w:val="en-US"/>
        </w:rPr>
        <w:t>, </w:t>
      </w:r>
      <w:r w:rsidRPr="008E3494">
        <w:rPr>
          <w:rFonts w:ascii="Arial" w:hAnsi="Arial" w:cs="Arial"/>
          <w:i/>
          <w:iCs/>
          <w:color w:val="222222"/>
          <w:shd w:val="clear" w:color="auto" w:fill="FFFFFF"/>
          <w:lang w:val="en-US"/>
        </w:rPr>
        <w:t>50</w:t>
      </w:r>
      <w:r w:rsidRPr="008E3494">
        <w:rPr>
          <w:rFonts w:ascii="Arial" w:hAnsi="Arial" w:cs="Arial"/>
          <w:color w:val="222222"/>
          <w:shd w:val="clear" w:color="auto" w:fill="FFFFFF"/>
          <w:lang w:val="en-US"/>
        </w:rPr>
        <w:t>(1), 56-61.</w:t>
      </w:r>
    </w:p>
    <w:p w14:paraId="74CBDA9D" w14:textId="77777777" w:rsidR="00562B6C" w:rsidRPr="008E3494" w:rsidRDefault="00562B6C" w:rsidP="00562B6C">
      <w:pPr>
        <w:ind w:left="720" w:hanging="720"/>
        <w:jc w:val="both"/>
        <w:rPr>
          <w:rFonts w:ascii="Arial" w:hAnsi="Arial" w:cs="Arial"/>
          <w:color w:val="222222"/>
          <w:shd w:val="clear" w:color="auto" w:fill="FFFFFF"/>
          <w:lang w:val="en-US"/>
        </w:rPr>
      </w:pPr>
      <w:proofErr w:type="spellStart"/>
      <w:r w:rsidRPr="008E3494">
        <w:rPr>
          <w:rFonts w:ascii="Arial" w:hAnsi="Arial" w:cs="Arial"/>
          <w:color w:val="222222"/>
          <w:shd w:val="clear" w:color="auto" w:fill="FFFFFF"/>
          <w:lang w:val="en-US"/>
        </w:rPr>
        <w:t>Kasl</w:t>
      </w:r>
      <w:proofErr w:type="spellEnd"/>
      <w:r w:rsidRPr="008E3494">
        <w:rPr>
          <w:rFonts w:ascii="Arial" w:hAnsi="Arial" w:cs="Arial"/>
          <w:color w:val="222222"/>
          <w:shd w:val="clear" w:color="auto" w:fill="FFFFFF"/>
          <w:lang w:val="en-US"/>
        </w:rPr>
        <w:t>, S. V. (1977). The effects of the residential environment on health and behavior: A review. </w:t>
      </w:r>
      <w:r w:rsidRPr="008E3494">
        <w:rPr>
          <w:rFonts w:ascii="Arial" w:hAnsi="Arial" w:cs="Arial"/>
          <w:i/>
          <w:iCs/>
          <w:color w:val="222222"/>
          <w:shd w:val="clear" w:color="auto" w:fill="FFFFFF"/>
          <w:lang w:val="en-US"/>
        </w:rPr>
        <w:t>The effect of the man-made environment on health and behavior</w:t>
      </w:r>
      <w:r w:rsidRPr="008E3494">
        <w:rPr>
          <w:rFonts w:ascii="Arial" w:hAnsi="Arial" w:cs="Arial"/>
          <w:color w:val="222222"/>
          <w:shd w:val="clear" w:color="auto" w:fill="FFFFFF"/>
          <w:lang w:val="en-US"/>
        </w:rPr>
        <w:t>, 65-127.</w:t>
      </w:r>
    </w:p>
    <w:p w14:paraId="4B8EA861" w14:textId="77777777" w:rsidR="00562B6C" w:rsidRPr="008E3494" w:rsidRDefault="00562B6C" w:rsidP="00562B6C">
      <w:pPr>
        <w:ind w:left="720" w:hanging="720"/>
        <w:jc w:val="both"/>
        <w:rPr>
          <w:rFonts w:ascii="Arial" w:hAnsi="Arial" w:cs="Arial"/>
          <w:color w:val="222222"/>
          <w:shd w:val="clear" w:color="auto" w:fill="FFFFFF"/>
          <w:lang w:val="en-US"/>
        </w:rPr>
      </w:pPr>
      <w:r w:rsidRPr="008E3494">
        <w:rPr>
          <w:rFonts w:ascii="Arial" w:hAnsi="Arial" w:cs="Arial"/>
          <w:color w:val="222222"/>
          <w:shd w:val="clear" w:color="auto" w:fill="FFFFFF"/>
          <w:lang w:val="en-US"/>
        </w:rPr>
        <w:t>Krieger, J., &amp; Higgins, D. L. (2002). Housing and health: time again for public health action. </w:t>
      </w:r>
      <w:r w:rsidRPr="008E3494">
        <w:rPr>
          <w:rFonts w:ascii="Arial" w:hAnsi="Arial" w:cs="Arial"/>
          <w:i/>
          <w:iCs/>
          <w:color w:val="222222"/>
          <w:shd w:val="clear" w:color="auto" w:fill="FFFFFF"/>
          <w:lang w:val="en-US"/>
        </w:rPr>
        <w:t>American journal of public health</w:t>
      </w:r>
      <w:r w:rsidRPr="008E3494">
        <w:rPr>
          <w:rFonts w:ascii="Arial" w:hAnsi="Arial" w:cs="Arial"/>
          <w:color w:val="222222"/>
          <w:shd w:val="clear" w:color="auto" w:fill="FFFFFF"/>
          <w:lang w:val="en-US"/>
        </w:rPr>
        <w:t>, </w:t>
      </w:r>
      <w:r w:rsidRPr="008E3494">
        <w:rPr>
          <w:rFonts w:ascii="Arial" w:hAnsi="Arial" w:cs="Arial"/>
          <w:i/>
          <w:iCs/>
          <w:color w:val="222222"/>
          <w:shd w:val="clear" w:color="auto" w:fill="FFFFFF"/>
          <w:lang w:val="en-US"/>
        </w:rPr>
        <w:t>92</w:t>
      </w:r>
      <w:r w:rsidRPr="008E3494">
        <w:rPr>
          <w:rFonts w:ascii="Arial" w:hAnsi="Arial" w:cs="Arial"/>
          <w:color w:val="222222"/>
          <w:shd w:val="clear" w:color="auto" w:fill="FFFFFF"/>
          <w:lang w:val="en-US"/>
        </w:rPr>
        <w:t>(5), 758-768.</w:t>
      </w:r>
    </w:p>
    <w:p w14:paraId="3ADE6815" w14:textId="77777777" w:rsidR="00562B6C" w:rsidRPr="008E3494" w:rsidRDefault="00562B6C" w:rsidP="00562B6C">
      <w:pPr>
        <w:spacing w:before="100" w:beforeAutospacing="1" w:after="100" w:afterAutospacing="1" w:line="240" w:lineRule="auto"/>
        <w:ind w:left="480" w:hanging="480"/>
        <w:rPr>
          <w:rFonts w:ascii="Arial" w:eastAsia="Times New Roman" w:hAnsi="Arial" w:cs="Arial"/>
          <w:lang w:val="en-US" w:eastAsia="es-EC"/>
        </w:rPr>
      </w:pPr>
      <w:proofErr w:type="spellStart"/>
      <w:r w:rsidRPr="008E3494">
        <w:rPr>
          <w:rFonts w:ascii="Arial" w:eastAsia="Times New Roman" w:hAnsi="Arial" w:cs="Arial"/>
          <w:lang w:val="en-US" w:eastAsia="es-EC"/>
        </w:rPr>
        <w:t>Lanjouw</w:t>
      </w:r>
      <w:proofErr w:type="spellEnd"/>
      <w:r w:rsidRPr="008E3494">
        <w:rPr>
          <w:rFonts w:ascii="Arial" w:eastAsia="Times New Roman" w:hAnsi="Arial" w:cs="Arial"/>
          <w:lang w:val="en-US" w:eastAsia="es-EC"/>
        </w:rPr>
        <w:t>, J. O., &amp; Levy, P. I. (2002). Untitled: A study of formal and informal property rights in urban Ecuador. The Economic Journal, 112(482), 986-1019.</w:t>
      </w:r>
    </w:p>
    <w:p w14:paraId="014BB51D" w14:textId="77777777" w:rsidR="00562B6C" w:rsidRPr="008E3494" w:rsidRDefault="00562B6C" w:rsidP="00562B6C">
      <w:pPr>
        <w:spacing w:before="100" w:beforeAutospacing="1" w:after="100" w:afterAutospacing="1" w:line="240" w:lineRule="auto"/>
        <w:ind w:left="480" w:hanging="480"/>
        <w:rPr>
          <w:rFonts w:ascii="Arial" w:eastAsia="Times New Roman" w:hAnsi="Arial" w:cs="Arial"/>
          <w:lang w:val="en-US" w:eastAsia="es-EC"/>
        </w:rPr>
      </w:pPr>
      <w:proofErr w:type="spellStart"/>
      <w:r w:rsidRPr="008E3494">
        <w:rPr>
          <w:rFonts w:ascii="Arial" w:eastAsia="Times New Roman" w:hAnsi="Arial" w:cs="Arial"/>
          <w:lang w:val="en-US" w:eastAsia="es-EC"/>
        </w:rPr>
        <w:t>Marcano</w:t>
      </w:r>
      <w:proofErr w:type="spellEnd"/>
      <w:r w:rsidRPr="008E3494">
        <w:rPr>
          <w:rFonts w:ascii="Arial" w:eastAsia="Times New Roman" w:hAnsi="Arial" w:cs="Arial"/>
          <w:lang w:val="en-US" w:eastAsia="es-EC"/>
        </w:rPr>
        <w:t xml:space="preserve">, L., &amp; </w:t>
      </w:r>
      <w:proofErr w:type="spellStart"/>
      <w:r w:rsidRPr="008E3494">
        <w:rPr>
          <w:rFonts w:ascii="Arial" w:eastAsia="Times New Roman" w:hAnsi="Arial" w:cs="Arial"/>
          <w:lang w:val="en-US" w:eastAsia="es-EC"/>
        </w:rPr>
        <w:t>Ruprah</w:t>
      </w:r>
      <w:proofErr w:type="spellEnd"/>
      <w:r w:rsidRPr="008E3494">
        <w:rPr>
          <w:rFonts w:ascii="Arial" w:eastAsia="Times New Roman" w:hAnsi="Arial" w:cs="Arial"/>
          <w:lang w:val="en-US" w:eastAsia="es-EC"/>
        </w:rPr>
        <w:t>, I. J. (2008). An Impact Evaluation of Chile's Progressive Housing Program. Inter-American Development Bank.</w:t>
      </w:r>
    </w:p>
    <w:p w14:paraId="506FD7F3" w14:textId="77777777" w:rsidR="00562B6C" w:rsidRPr="008E3494" w:rsidRDefault="00562B6C" w:rsidP="00562B6C">
      <w:pPr>
        <w:spacing w:before="100" w:beforeAutospacing="1" w:after="100" w:afterAutospacing="1" w:line="240" w:lineRule="auto"/>
        <w:ind w:left="480" w:hanging="480"/>
        <w:rPr>
          <w:rFonts w:ascii="Arial" w:eastAsia="Times New Roman" w:hAnsi="Arial" w:cs="Arial"/>
          <w:lang w:val="en-US" w:eastAsia="es-EC"/>
        </w:rPr>
      </w:pPr>
      <w:proofErr w:type="spellStart"/>
      <w:r w:rsidRPr="008E3494">
        <w:rPr>
          <w:rFonts w:ascii="Arial" w:eastAsia="Times New Roman" w:hAnsi="Arial" w:cs="Arial"/>
          <w:lang w:val="en-US" w:eastAsia="es-EC"/>
        </w:rPr>
        <w:t>Marcano</w:t>
      </w:r>
      <w:proofErr w:type="spellEnd"/>
      <w:r w:rsidRPr="008E3494">
        <w:rPr>
          <w:rFonts w:ascii="Arial" w:eastAsia="Times New Roman" w:hAnsi="Arial" w:cs="Arial"/>
          <w:lang w:val="en-US" w:eastAsia="es-EC"/>
        </w:rPr>
        <w:t xml:space="preserve">, L. T., &amp; </w:t>
      </w:r>
      <w:proofErr w:type="spellStart"/>
      <w:r w:rsidRPr="008E3494">
        <w:rPr>
          <w:rFonts w:ascii="Arial" w:eastAsia="Times New Roman" w:hAnsi="Arial" w:cs="Arial"/>
          <w:lang w:val="en-US" w:eastAsia="es-EC"/>
        </w:rPr>
        <w:t>Ruprah</w:t>
      </w:r>
      <w:proofErr w:type="spellEnd"/>
      <w:r w:rsidRPr="008E3494">
        <w:rPr>
          <w:rFonts w:ascii="Arial" w:eastAsia="Times New Roman" w:hAnsi="Arial" w:cs="Arial"/>
          <w:lang w:val="en-US" w:eastAsia="es-EC"/>
        </w:rPr>
        <w:t>, I. J. (2011). Incapacity to pay or moral hazard? Public mortgage delinquency rates in Chile. Applied Economics Letters, 18(11), 1015-1020.</w:t>
      </w:r>
    </w:p>
    <w:p w14:paraId="6DBC6AE1" w14:textId="77777777" w:rsidR="00562B6C" w:rsidRPr="008E3494" w:rsidRDefault="00562B6C" w:rsidP="00562B6C">
      <w:pPr>
        <w:ind w:left="720" w:hanging="720"/>
        <w:jc w:val="both"/>
        <w:rPr>
          <w:rFonts w:ascii="Arial" w:hAnsi="Arial" w:cs="Arial"/>
          <w:color w:val="222222"/>
          <w:shd w:val="clear" w:color="auto" w:fill="FFFFFF"/>
          <w:lang w:val="en-US"/>
        </w:rPr>
      </w:pPr>
      <w:r w:rsidRPr="008E3494">
        <w:rPr>
          <w:rFonts w:ascii="Arial" w:hAnsi="Arial" w:cs="Arial"/>
          <w:color w:val="222222"/>
          <w:shd w:val="clear" w:color="auto" w:fill="FFFFFF"/>
          <w:lang w:val="en-US"/>
        </w:rPr>
        <w:t>Martin, C. J., Platt, S. D., &amp; Hunt, S. M. (1987). Housing conditions and ill health. </w:t>
      </w:r>
      <w:r w:rsidRPr="008E3494">
        <w:rPr>
          <w:rFonts w:ascii="Arial" w:hAnsi="Arial" w:cs="Arial"/>
          <w:i/>
          <w:iCs/>
          <w:color w:val="222222"/>
          <w:shd w:val="clear" w:color="auto" w:fill="FFFFFF"/>
          <w:lang w:val="en-US"/>
        </w:rPr>
        <w:t>Br Med J (Clin Res Ed)</w:t>
      </w:r>
      <w:r w:rsidRPr="008E3494">
        <w:rPr>
          <w:rFonts w:ascii="Arial" w:hAnsi="Arial" w:cs="Arial"/>
          <w:color w:val="222222"/>
          <w:shd w:val="clear" w:color="auto" w:fill="FFFFFF"/>
          <w:lang w:val="en-US"/>
        </w:rPr>
        <w:t>, </w:t>
      </w:r>
      <w:r w:rsidRPr="008E3494">
        <w:rPr>
          <w:rFonts w:ascii="Arial" w:hAnsi="Arial" w:cs="Arial"/>
          <w:i/>
          <w:iCs/>
          <w:color w:val="222222"/>
          <w:shd w:val="clear" w:color="auto" w:fill="FFFFFF"/>
          <w:lang w:val="en-US"/>
        </w:rPr>
        <w:t>294</w:t>
      </w:r>
      <w:r w:rsidRPr="008E3494">
        <w:rPr>
          <w:rFonts w:ascii="Arial" w:hAnsi="Arial" w:cs="Arial"/>
          <w:color w:val="222222"/>
          <w:shd w:val="clear" w:color="auto" w:fill="FFFFFF"/>
          <w:lang w:val="en-US"/>
        </w:rPr>
        <w:t>(6580), 1125-1127.</w:t>
      </w:r>
    </w:p>
    <w:p w14:paraId="705D2ABA" w14:textId="77777777" w:rsidR="00562B6C" w:rsidRPr="008E3494" w:rsidRDefault="00562B6C" w:rsidP="00562B6C">
      <w:pPr>
        <w:ind w:left="720" w:hanging="720"/>
        <w:jc w:val="both"/>
        <w:rPr>
          <w:rFonts w:ascii="Arial" w:hAnsi="Arial" w:cs="Arial"/>
          <w:color w:val="222222"/>
          <w:shd w:val="clear" w:color="auto" w:fill="FFFFFF"/>
          <w:lang w:val="en-US"/>
        </w:rPr>
      </w:pPr>
      <w:r w:rsidRPr="008E3494">
        <w:rPr>
          <w:rFonts w:ascii="Arial" w:hAnsi="Arial" w:cs="Arial"/>
          <w:color w:val="222222"/>
          <w:shd w:val="clear" w:color="auto" w:fill="FFFFFF"/>
          <w:lang w:val="en-US"/>
        </w:rPr>
        <w:t xml:space="preserve">Platt, S. D., Martin, C. J., Hunt, S. M., &amp; Lewis, C. W. (1989). Damp housing, </w:t>
      </w:r>
      <w:proofErr w:type="spellStart"/>
      <w:r w:rsidRPr="008E3494">
        <w:rPr>
          <w:rFonts w:ascii="Arial" w:hAnsi="Arial" w:cs="Arial"/>
          <w:color w:val="222222"/>
          <w:shd w:val="clear" w:color="auto" w:fill="FFFFFF"/>
          <w:lang w:val="en-US"/>
        </w:rPr>
        <w:t>mould</w:t>
      </w:r>
      <w:proofErr w:type="spellEnd"/>
      <w:r w:rsidRPr="008E3494">
        <w:rPr>
          <w:rFonts w:ascii="Arial" w:hAnsi="Arial" w:cs="Arial"/>
          <w:color w:val="222222"/>
          <w:shd w:val="clear" w:color="auto" w:fill="FFFFFF"/>
          <w:lang w:val="en-US"/>
        </w:rPr>
        <w:t xml:space="preserve"> growth, and symptomatic health state. </w:t>
      </w:r>
      <w:proofErr w:type="spellStart"/>
      <w:r w:rsidRPr="008E3494">
        <w:rPr>
          <w:rFonts w:ascii="Arial" w:hAnsi="Arial" w:cs="Arial"/>
          <w:i/>
          <w:iCs/>
          <w:color w:val="222222"/>
          <w:shd w:val="clear" w:color="auto" w:fill="FFFFFF"/>
          <w:lang w:val="en-US"/>
        </w:rPr>
        <w:t>Bmj</w:t>
      </w:r>
      <w:proofErr w:type="spellEnd"/>
      <w:r w:rsidRPr="008E3494">
        <w:rPr>
          <w:rFonts w:ascii="Arial" w:hAnsi="Arial" w:cs="Arial"/>
          <w:color w:val="222222"/>
          <w:shd w:val="clear" w:color="auto" w:fill="FFFFFF"/>
          <w:lang w:val="en-US"/>
        </w:rPr>
        <w:t>, </w:t>
      </w:r>
      <w:r w:rsidRPr="008E3494">
        <w:rPr>
          <w:rFonts w:ascii="Arial" w:hAnsi="Arial" w:cs="Arial"/>
          <w:i/>
          <w:iCs/>
          <w:color w:val="222222"/>
          <w:shd w:val="clear" w:color="auto" w:fill="FFFFFF"/>
          <w:lang w:val="en-US"/>
        </w:rPr>
        <w:t>298</w:t>
      </w:r>
      <w:r w:rsidRPr="008E3494">
        <w:rPr>
          <w:rFonts w:ascii="Arial" w:hAnsi="Arial" w:cs="Arial"/>
          <w:color w:val="222222"/>
          <w:shd w:val="clear" w:color="auto" w:fill="FFFFFF"/>
          <w:lang w:val="en-US"/>
        </w:rPr>
        <w:t>(6689), 1673-1678.</w:t>
      </w:r>
    </w:p>
    <w:p w14:paraId="413D1E7A" w14:textId="77777777" w:rsidR="00562B6C" w:rsidRPr="008E3494" w:rsidRDefault="00562B6C" w:rsidP="00562B6C">
      <w:pPr>
        <w:ind w:left="720" w:hanging="720"/>
        <w:jc w:val="both"/>
        <w:rPr>
          <w:rFonts w:ascii="Arial" w:hAnsi="Arial" w:cs="Arial"/>
          <w:color w:val="222222"/>
          <w:shd w:val="clear" w:color="auto" w:fill="FFFFFF"/>
          <w:lang w:val="en-US"/>
        </w:rPr>
      </w:pPr>
      <w:r w:rsidRPr="008E3494">
        <w:rPr>
          <w:rFonts w:ascii="Arial" w:hAnsi="Arial" w:cs="Arial"/>
          <w:color w:val="222222"/>
          <w:shd w:val="clear" w:color="auto" w:fill="FFFFFF"/>
          <w:lang w:val="en-US"/>
        </w:rPr>
        <w:t>Smith, S. J. (1990). Health status and the housing system. </w:t>
      </w:r>
      <w:r w:rsidRPr="008E3494">
        <w:rPr>
          <w:rFonts w:ascii="Arial" w:hAnsi="Arial" w:cs="Arial"/>
          <w:i/>
          <w:iCs/>
          <w:color w:val="222222"/>
          <w:shd w:val="clear" w:color="auto" w:fill="FFFFFF"/>
          <w:lang w:val="en-US"/>
        </w:rPr>
        <w:t>Social Science &amp; Medicine</w:t>
      </w:r>
      <w:r w:rsidRPr="008E3494">
        <w:rPr>
          <w:rFonts w:ascii="Arial" w:hAnsi="Arial" w:cs="Arial"/>
          <w:color w:val="222222"/>
          <w:shd w:val="clear" w:color="auto" w:fill="FFFFFF"/>
          <w:lang w:val="en-US"/>
        </w:rPr>
        <w:t>, </w:t>
      </w:r>
      <w:r w:rsidRPr="008E3494">
        <w:rPr>
          <w:rFonts w:ascii="Arial" w:hAnsi="Arial" w:cs="Arial"/>
          <w:i/>
          <w:iCs/>
          <w:color w:val="222222"/>
          <w:shd w:val="clear" w:color="auto" w:fill="FFFFFF"/>
          <w:lang w:val="en-US"/>
        </w:rPr>
        <w:t>31</w:t>
      </w:r>
      <w:r w:rsidRPr="008E3494">
        <w:rPr>
          <w:rFonts w:ascii="Arial" w:hAnsi="Arial" w:cs="Arial"/>
          <w:color w:val="222222"/>
          <w:shd w:val="clear" w:color="auto" w:fill="FFFFFF"/>
          <w:lang w:val="en-US"/>
        </w:rPr>
        <w:t>(7), 753-762.</w:t>
      </w:r>
    </w:p>
    <w:p w14:paraId="60C7005D" w14:textId="77777777" w:rsidR="00562B6C" w:rsidRPr="008E3494" w:rsidRDefault="00562B6C" w:rsidP="00562B6C">
      <w:pPr>
        <w:ind w:left="720" w:hanging="720"/>
        <w:jc w:val="both"/>
        <w:rPr>
          <w:rFonts w:ascii="Arial" w:hAnsi="Arial" w:cs="Arial"/>
          <w:color w:val="222222"/>
          <w:shd w:val="clear" w:color="auto" w:fill="FFFFFF"/>
          <w:lang w:val="en-US"/>
        </w:rPr>
      </w:pPr>
      <w:r w:rsidRPr="008E3494">
        <w:rPr>
          <w:rFonts w:ascii="Arial" w:hAnsi="Arial" w:cs="Arial"/>
          <w:color w:val="222222"/>
          <w:shd w:val="clear" w:color="auto" w:fill="FFFFFF"/>
          <w:lang w:val="en-US"/>
        </w:rPr>
        <w:t>Standard, K. L., &amp; Russell, H. B. (1976). Contributory factors to malnutrition and gastro-enteritis. In </w:t>
      </w:r>
      <w:r w:rsidRPr="008E3494">
        <w:rPr>
          <w:rFonts w:ascii="Arial" w:hAnsi="Arial" w:cs="Arial"/>
          <w:i/>
          <w:iCs/>
          <w:color w:val="222222"/>
          <w:shd w:val="clear" w:color="auto" w:fill="FFFFFF"/>
          <w:lang w:val="en-US"/>
        </w:rPr>
        <w:t>Epidemiology and community health in warm climate countries</w:t>
      </w:r>
      <w:r w:rsidRPr="008E3494">
        <w:rPr>
          <w:rFonts w:ascii="Arial" w:hAnsi="Arial" w:cs="Arial"/>
          <w:color w:val="222222"/>
          <w:shd w:val="clear" w:color="auto" w:fill="FFFFFF"/>
          <w:lang w:val="en-US"/>
        </w:rPr>
        <w:t> (pp. 464-8). Churchill Livingstone.</w:t>
      </w:r>
    </w:p>
    <w:p w14:paraId="4D65EC04" w14:textId="77777777" w:rsidR="00562B6C" w:rsidRPr="008E3494" w:rsidRDefault="00562B6C" w:rsidP="00562B6C">
      <w:pPr>
        <w:ind w:left="720" w:hanging="720"/>
        <w:jc w:val="both"/>
        <w:rPr>
          <w:rFonts w:ascii="Arial" w:hAnsi="Arial" w:cs="Arial"/>
          <w:color w:val="222222"/>
          <w:shd w:val="clear" w:color="auto" w:fill="FFFFFF"/>
          <w:lang w:val="en-US"/>
        </w:rPr>
      </w:pPr>
      <w:r w:rsidRPr="008E3494">
        <w:rPr>
          <w:rFonts w:ascii="Arial" w:hAnsi="Arial" w:cs="Arial"/>
          <w:color w:val="222222"/>
          <w:shd w:val="clear" w:color="auto" w:fill="FFFFFF"/>
          <w:lang w:val="en-US"/>
        </w:rPr>
        <w:t>Strachan, D. P. (1988). Damp housing and childhood asthma: validation of reporting of symptoms. </w:t>
      </w:r>
      <w:proofErr w:type="spellStart"/>
      <w:r w:rsidRPr="008E3494">
        <w:rPr>
          <w:rFonts w:ascii="Arial" w:hAnsi="Arial" w:cs="Arial"/>
          <w:i/>
          <w:iCs/>
          <w:color w:val="222222"/>
          <w:shd w:val="clear" w:color="auto" w:fill="FFFFFF"/>
          <w:lang w:val="en-US"/>
        </w:rPr>
        <w:t>Bmj</w:t>
      </w:r>
      <w:proofErr w:type="spellEnd"/>
      <w:r w:rsidRPr="008E3494">
        <w:rPr>
          <w:rFonts w:ascii="Arial" w:hAnsi="Arial" w:cs="Arial"/>
          <w:color w:val="222222"/>
          <w:shd w:val="clear" w:color="auto" w:fill="FFFFFF"/>
          <w:lang w:val="en-US"/>
        </w:rPr>
        <w:t>, </w:t>
      </w:r>
      <w:r w:rsidRPr="008E3494">
        <w:rPr>
          <w:rFonts w:ascii="Arial" w:hAnsi="Arial" w:cs="Arial"/>
          <w:i/>
          <w:iCs/>
          <w:color w:val="222222"/>
          <w:shd w:val="clear" w:color="auto" w:fill="FFFFFF"/>
          <w:lang w:val="en-US"/>
        </w:rPr>
        <w:t>297</w:t>
      </w:r>
      <w:r w:rsidRPr="008E3494">
        <w:rPr>
          <w:rFonts w:ascii="Arial" w:hAnsi="Arial" w:cs="Arial"/>
          <w:color w:val="222222"/>
          <w:shd w:val="clear" w:color="auto" w:fill="FFFFFF"/>
          <w:lang w:val="en-US"/>
        </w:rPr>
        <w:t>(6658), 1223-1226.</w:t>
      </w:r>
    </w:p>
    <w:p w14:paraId="5A1C356F" w14:textId="77777777" w:rsidR="00562B6C" w:rsidRPr="008E3494" w:rsidRDefault="00562B6C" w:rsidP="00562B6C">
      <w:pPr>
        <w:rPr>
          <w:rFonts w:ascii="Arial" w:hAnsi="Arial" w:cs="Arial"/>
        </w:rPr>
      </w:pPr>
    </w:p>
    <w:p w14:paraId="246A8F21" w14:textId="77777777" w:rsidR="00562B6C" w:rsidRPr="008E3494" w:rsidRDefault="00562B6C">
      <w:pPr>
        <w:spacing w:after="0" w:line="240" w:lineRule="auto"/>
        <w:jc w:val="both"/>
        <w:rPr>
          <w:rFonts w:ascii="Arial" w:hAnsi="Arial" w:cs="Arial"/>
        </w:rPr>
      </w:pPr>
    </w:p>
    <w:sectPr w:rsidR="00562B6C" w:rsidRPr="008E34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5F8ADF" w14:textId="77777777" w:rsidR="00A858DF" w:rsidRDefault="00A858DF">
      <w:pPr>
        <w:spacing w:after="0" w:line="240" w:lineRule="auto"/>
      </w:pPr>
      <w:r>
        <w:separator/>
      </w:r>
    </w:p>
  </w:endnote>
  <w:endnote w:type="continuationSeparator" w:id="0">
    <w:p w14:paraId="3D8432B3" w14:textId="77777777" w:rsidR="00A858DF" w:rsidRDefault="00A85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960" w:type="dxa"/>
      <w:tblLayout w:type="fixed"/>
      <w:tblLook w:val="04A0" w:firstRow="1" w:lastRow="0" w:firstColumn="1" w:lastColumn="0" w:noHBand="0" w:noVBand="1"/>
    </w:tblPr>
    <w:tblGrid>
      <w:gridCol w:w="4320"/>
      <w:gridCol w:w="4320"/>
      <w:gridCol w:w="4320"/>
    </w:tblGrid>
    <w:tr w:rsidR="006861E2" w14:paraId="412E5434" w14:textId="77777777">
      <w:tc>
        <w:tcPr>
          <w:tcW w:w="4320" w:type="dxa"/>
        </w:tcPr>
        <w:p w14:paraId="5DC5757E" w14:textId="77777777" w:rsidR="006861E2" w:rsidRDefault="006861E2">
          <w:pPr>
            <w:pStyle w:val="Header"/>
            <w:ind w:left="-115"/>
          </w:pPr>
        </w:p>
      </w:tc>
      <w:tc>
        <w:tcPr>
          <w:tcW w:w="4320" w:type="dxa"/>
        </w:tcPr>
        <w:p w14:paraId="7B393BEF" w14:textId="77777777" w:rsidR="006861E2" w:rsidRDefault="006861E2">
          <w:pPr>
            <w:pStyle w:val="Header"/>
            <w:jc w:val="center"/>
          </w:pPr>
        </w:p>
      </w:tc>
      <w:tc>
        <w:tcPr>
          <w:tcW w:w="4320" w:type="dxa"/>
        </w:tcPr>
        <w:p w14:paraId="5DBD45DF" w14:textId="77777777" w:rsidR="006861E2" w:rsidRDefault="006861E2">
          <w:pPr>
            <w:pStyle w:val="Header"/>
            <w:ind w:right="-115"/>
            <w:jc w:val="right"/>
          </w:pPr>
        </w:p>
      </w:tc>
    </w:tr>
  </w:tbl>
  <w:p w14:paraId="296120B7" w14:textId="77777777" w:rsidR="006861E2" w:rsidRDefault="006861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60" w:type="dxa"/>
      <w:tblLayout w:type="fixed"/>
      <w:tblLook w:val="04A0" w:firstRow="1" w:lastRow="0" w:firstColumn="1" w:lastColumn="0" w:noHBand="0" w:noVBand="1"/>
    </w:tblPr>
    <w:tblGrid>
      <w:gridCol w:w="3120"/>
      <w:gridCol w:w="3120"/>
      <w:gridCol w:w="3120"/>
    </w:tblGrid>
    <w:tr w:rsidR="006861E2" w14:paraId="468D1EAF" w14:textId="77777777">
      <w:tc>
        <w:tcPr>
          <w:tcW w:w="3120" w:type="dxa"/>
        </w:tcPr>
        <w:p w14:paraId="40A94D2B" w14:textId="77777777" w:rsidR="006861E2" w:rsidRDefault="006861E2">
          <w:pPr>
            <w:pStyle w:val="Header"/>
            <w:ind w:left="-115"/>
          </w:pPr>
        </w:p>
      </w:tc>
      <w:tc>
        <w:tcPr>
          <w:tcW w:w="3120" w:type="dxa"/>
        </w:tcPr>
        <w:p w14:paraId="3A025000" w14:textId="77777777" w:rsidR="006861E2" w:rsidRDefault="006861E2">
          <w:pPr>
            <w:pStyle w:val="Header"/>
            <w:jc w:val="center"/>
          </w:pPr>
        </w:p>
      </w:tc>
      <w:tc>
        <w:tcPr>
          <w:tcW w:w="3120" w:type="dxa"/>
        </w:tcPr>
        <w:p w14:paraId="05C3E0A0" w14:textId="77777777" w:rsidR="006861E2" w:rsidRDefault="006861E2">
          <w:pPr>
            <w:pStyle w:val="Header"/>
            <w:ind w:right="-115"/>
            <w:jc w:val="right"/>
          </w:pPr>
        </w:p>
      </w:tc>
    </w:tr>
  </w:tbl>
  <w:p w14:paraId="2EDF0122" w14:textId="77777777" w:rsidR="006861E2" w:rsidRDefault="006861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5211A" w14:textId="77777777" w:rsidR="00A858DF" w:rsidRDefault="00A858DF">
      <w:pPr>
        <w:spacing w:after="0" w:line="240" w:lineRule="auto"/>
      </w:pPr>
      <w:r>
        <w:separator/>
      </w:r>
    </w:p>
  </w:footnote>
  <w:footnote w:type="continuationSeparator" w:id="0">
    <w:p w14:paraId="3C787AF0" w14:textId="77777777" w:rsidR="00A858DF" w:rsidRDefault="00A858DF">
      <w:pPr>
        <w:spacing w:after="0" w:line="240" w:lineRule="auto"/>
      </w:pPr>
      <w:r>
        <w:continuationSeparator/>
      </w:r>
    </w:p>
  </w:footnote>
  <w:footnote w:id="1">
    <w:p w14:paraId="51752F8E" w14:textId="77777777" w:rsidR="006861E2" w:rsidRPr="00AF3E8A" w:rsidRDefault="006861E2">
      <w:pPr>
        <w:pStyle w:val="FootnoteText"/>
        <w:snapToGrid w:val="0"/>
      </w:pPr>
      <w:r>
        <w:rPr>
          <w:rStyle w:val="FootnoteReference"/>
        </w:rPr>
        <w:footnoteRef/>
      </w:r>
      <w:r>
        <w:t xml:space="preserve"> </w:t>
      </w:r>
      <w:r w:rsidRPr="00AF3E8A">
        <w:tab/>
      </w:r>
      <w:proofErr w:type="spellStart"/>
      <w:r w:rsidRPr="00AF3E8A">
        <w:t>Mokate</w:t>
      </w:r>
      <w:proofErr w:type="spellEnd"/>
      <w:r w:rsidRPr="00AF3E8A">
        <w:t>, Karen Marie (2000), El monitoreo y la evaluación: herramientas indispensables</w:t>
      </w:r>
    </w:p>
    <w:p w14:paraId="17AE3B3F" w14:textId="77777777" w:rsidR="006861E2" w:rsidRPr="00AF3E8A" w:rsidRDefault="006861E2">
      <w:pPr>
        <w:pStyle w:val="FootnoteText"/>
        <w:snapToGrid w:val="0"/>
      </w:pPr>
      <w:r w:rsidRPr="00AF3E8A">
        <w:t>de la gerencia social, Banco Interamericano de Desarrollo, Instituto Interamericano para el</w:t>
      </w:r>
    </w:p>
    <w:p w14:paraId="12239F81" w14:textId="77777777" w:rsidR="006861E2" w:rsidRPr="00AF3E8A" w:rsidRDefault="006861E2">
      <w:pPr>
        <w:pStyle w:val="FootnoteText"/>
        <w:snapToGrid w:val="0"/>
      </w:pPr>
      <w:r w:rsidRPr="00AF3E8A">
        <w:t>Desarrollo Social (INDES).</w:t>
      </w:r>
    </w:p>
  </w:footnote>
  <w:footnote w:id="2">
    <w:p w14:paraId="7BAAD381" w14:textId="77777777" w:rsidR="006861E2" w:rsidRDefault="006861E2">
      <w:pPr>
        <w:pStyle w:val="FootnoteText"/>
        <w:snapToGrid w:val="0"/>
      </w:pPr>
      <w:r>
        <w:rPr>
          <w:rStyle w:val="FootnoteReference"/>
        </w:rPr>
        <w:footnoteRef/>
      </w:r>
      <w:r>
        <w:t xml:space="preserve"> OECD (2002). Glosario de los principales términos</w:t>
      </w:r>
      <w:r w:rsidRPr="00AF3E8A">
        <w:t xml:space="preserve"> </w:t>
      </w:r>
      <w:r>
        <w:t>sobre evaluación y gestión basada en resultados.</w:t>
      </w:r>
    </w:p>
    <w:p w14:paraId="6380EC2E" w14:textId="77777777" w:rsidR="006861E2" w:rsidRDefault="006861E2">
      <w:pPr>
        <w:pStyle w:val="FootnoteText"/>
        <w:snapToGrid w:val="0"/>
        <w:rPr>
          <w:lang w:val="en-US"/>
        </w:rPr>
      </w:pPr>
      <w:r w:rsidRPr="00AF3E8A">
        <w:rPr>
          <w:lang w:val="en-US"/>
        </w:rPr>
        <w:t>Evaluation and Aid Effectiveness, No. 6</w:t>
      </w:r>
      <w:r>
        <w:rPr>
          <w:lang w:val="en-US"/>
        </w:rPr>
        <w:t>.</w:t>
      </w:r>
    </w:p>
  </w:footnote>
  <w:footnote w:id="3">
    <w:p w14:paraId="2C28F440" w14:textId="77777777" w:rsidR="006861E2" w:rsidRPr="00F17A08" w:rsidRDefault="006861E2" w:rsidP="00670180">
      <w:pPr>
        <w:pStyle w:val="FootnoteText"/>
        <w:ind w:left="90" w:hanging="180"/>
        <w:jc w:val="both"/>
        <w:rPr>
          <w:lang w:val="es-ES_tradnl"/>
        </w:rPr>
      </w:pPr>
      <w:r w:rsidRPr="00F17A08">
        <w:rPr>
          <w:rStyle w:val="FootnoteReference"/>
        </w:rPr>
        <w:footnoteRef/>
      </w:r>
      <w:r w:rsidRPr="00F17A08">
        <w:rPr>
          <w:lang w:val="es-ES_tradnl"/>
        </w:rPr>
        <w:t xml:space="preserve"> Si el indicador (impacto, resultado y/o producto) cumple con los criterios Pro-</w:t>
      </w:r>
      <w:proofErr w:type="spellStart"/>
      <w:r w:rsidRPr="00F17A08">
        <w:rPr>
          <w:lang w:val="es-ES_tradnl"/>
        </w:rPr>
        <w:t>Gender</w:t>
      </w:r>
      <w:proofErr w:type="spellEnd"/>
      <w:r w:rsidRPr="00F17A08">
        <w:rPr>
          <w:lang w:val="es-ES_tradnl"/>
        </w:rPr>
        <w:t>, escriba "Pro-</w:t>
      </w:r>
      <w:proofErr w:type="spellStart"/>
      <w:r w:rsidRPr="00F17A08">
        <w:rPr>
          <w:lang w:val="es-ES_tradnl"/>
        </w:rPr>
        <w:t>Gender</w:t>
      </w:r>
      <w:proofErr w:type="spellEnd"/>
      <w:r w:rsidRPr="00F17A08">
        <w:rPr>
          <w:lang w:val="es-ES_tradnl"/>
        </w:rPr>
        <w:t xml:space="preserve">" en esta columna. Si el indicador cumple con los criterios de seguimiento de género, escriba "Seguimiento de género" en esta columna. Si el indicador satisface los criterios de Seguimiento Etnicidad, escriba "Seguimiento Étnico" en esta columna. Estas definiciones están disponibles en el </w:t>
      </w:r>
      <w:hyperlink r:id="rId1" w:history="1">
        <w:r w:rsidRPr="00F17A08">
          <w:rPr>
            <w:rStyle w:val="Hyperlink"/>
            <w:lang w:val="es-ES_tradnl"/>
          </w:rPr>
          <w:t xml:space="preserve"> DEM</w:t>
        </w:r>
      </w:hyperlink>
      <w:r w:rsidRPr="00F17A08">
        <w:rPr>
          <w:rStyle w:val="Hyperlink"/>
        </w:rPr>
        <w:t xml:space="preserve"> </w:t>
      </w:r>
      <w:proofErr w:type="spellStart"/>
      <w:r w:rsidRPr="00F17A08">
        <w:rPr>
          <w:rStyle w:val="Hyperlink"/>
        </w:rPr>
        <w:t>Toolkit</w:t>
      </w:r>
      <w:proofErr w:type="spellEnd"/>
      <w:r w:rsidRPr="00F17A08">
        <w:rPr>
          <w:rStyle w:val="Hyperlink"/>
          <w:lang w:val="es-ES_tradnl"/>
        </w:rPr>
        <w:t>.</w:t>
      </w:r>
    </w:p>
  </w:footnote>
  <w:footnote w:id="4">
    <w:p w14:paraId="62737186" w14:textId="738CAB55" w:rsidR="006861E2" w:rsidRPr="00D82AA9" w:rsidRDefault="006861E2" w:rsidP="006861E2">
      <w:pPr>
        <w:pStyle w:val="FootnoteText"/>
        <w:jc w:val="both"/>
      </w:pPr>
      <w:r>
        <w:rPr>
          <w:rStyle w:val="FootnoteReference"/>
        </w:rPr>
        <w:footnoteRef/>
      </w:r>
      <w:r>
        <w:t xml:space="preserve"> </w:t>
      </w:r>
      <w:r w:rsidRPr="00D82AA9">
        <w:t>Se excluyeron de este cálculo</w:t>
      </w:r>
      <w:r>
        <w:t xml:space="preserve"> las provincias de Galápagos, Morona Santiago, Napo, Zamora Chinchipe, Sucumbíos, y Orellana, puesto que este programa no contempla intervenir estas provincias.</w:t>
      </w:r>
      <w:r w:rsidRPr="00D82AA9">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960" w:type="dxa"/>
      <w:tblLayout w:type="fixed"/>
      <w:tblLook w:val="04A0" w:firstRow="1" w:lastRow="0" w:firstColumn="1" w:lastColumn="0" w:noHBand="0" w:noVBand="1"/>
    </w:tblPr>
    <w:tblGrid>
      <w:gridCol w:w="4320"/>
      <w:gridCol w:w="4320"/>
      <w:gridCol w:w="4320"/>
    </w:tblGrid>
    <w:tr w:rsidR="006861E2" w14:paraId="20D6CEF6" w14:textId="77777777">
      <w:tc>
        <w:tcPr>
          <w:tcW w:w="4320" w:type="dxa"/>
        </w:tcPr>
        <w:p w14:paraId="4826CB0F" w14:textId="77777777" w:rsidR="006861E2" w:rsidRDefault="006861E2">
          <w:pPr>
            <w:pStyle w:val="Header"/>
            <w:ind w:left="-115"/>
          </w:pPr>
        </w:p>
      </w:tc>
      <w:tc>
        <w:tcPr>
          <w:tcW w:w="4320" w:type="dxa"/>
        </w:tcPr>
        <w:p w14:paraId="1348D2D2" w14:textId="77777777" w:rsidR="006861E2" w:rsidRDefault="006861E2">
          <w:pPr>
            <w:pStyle w:val="Header"/>
            <w:jc w:val="center"/>
          </w:pPr>
        </w:p>
      </w:tc>
      <w:tc>
        <w:tcPr>
          <w:tcW w:w="4320" w:type="dxa"/>
        </w:tcPr>
        <w:p w14:paraId="6BCC89FE" w14:textId="77777777" w:rsidR="006861E2" w:rsidRDefault="006861E2">
          <w:pPr>
            <w:pStyle w:val="Header"/>
            <w:ind w:right="-115"/>
            <w:jc w:val="right"/>
          </w:pPr>
        </w:p>
      </w:tc>
    </w:tr>
  </w:tbl>
  <w:p w14:paraId="6BCE663E" w14:textId="77777777" w:rsidR="006861E2" w:rsidRDefault="006861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60" w:type="dxa"/>
      <w:tblLayout w:type="fixed"/>
      <w:tblLook w:val="04A0" w:firstRow="1" w:lastRow="0" w:firstColumn="1" w:lastColumn="0" w:noHBand="0" w:noVBand="1"/>
    </w:tblPr>
    <w:tblGrid>
      <w:gridCol w:w="3120"/>
      <w:gridCol w:w="3120"/>
      <w:gridCol w:w="3120"/>
    </w:tblGrid>
    <w:tr w:rsidR="006861E2" w14:paraId="6D9412A2" w14:textId="77777777">
      <w:tc>
        <w:tcPr>
          <w:tcW w:w="3120" w:type="dxa"/>
        </w:tcPr>
        <w:p w14:paraId="01465467" w14:textId="77777777" w:rsidR="006861E2" w:rsidRDefault="006861E2">
          <w:pPr>
            <w:pStyle w:val="Header"/>
            <w:ind w:left="-115"/>
          </w:pPr>
        </w:p>
      </w:tc>
      <w:tc>
        <w:tcPr>
          <w:tcW w:w="3120" w:type="dxa"/>
        </w:tcPr>
        <w:p w14:paraId="02209990" w14:textId="77777777" w:rsidR="006861E2" w:rsidRDefault="006861E2">
          <w:pPr>
            <w:pStyle w:val="Header"/>
            <w:jc w:val="center"/>
          </w:pPr>
        </w:p>
      </w:tc>
      <w:tc>
        <w:tcPr>
          <w:tcW w:w="3120" w:type="dxa"/>
        </w:tcPr>
        <w:p w14:paraId="37AFC7E3" w14:textId="77777777" w:rsidR="006861E2" w:rsidRDefault="006861E2">
          <w:pPr>
            <w:pStyle w:val="Header"/>
            <w:ind w:right="-115"/>
            <w:jc w:val="right"/>
          </w:pPr>
        </w:p>
      </w:tc>
    </w:tr>
  </w:tbl>
  <w:p w14:paraId="649BC729" w14:textId="77777777" w:rsidR="006861E2" w:rsidRDefault="006861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9BB5E2D"/>
    <w:multiLevelType w:val="singleLevel"/>
    <w:tmpl w:val="89BB5E2D"/>
    <w:lvl w:ilvl="0">
      <w:start w:val="1"/>
      <w:numFmt w:val="bullet"/>
      <w:lvlText w:val="−"/>
      <w:lvlJc w:val="left"/>
      <w:pPr>
        <w:tabs>
          <w:tab w:val="left" w:pos="420"/>
        </w:tabs>
        <w:ind w:left="418" w:hanging="418"/>
      </w:pPr>
      <w:rPr>
        <w:rFonts w:ascii="Arial" w:hAnsi="Arial" w:cs="Arial" w:hint="default"/>
      </w:rPr>
    </w:lvl>
  </w:abstractNum>
  <w:abstractNum w:abstractNumId="1" w15:restartNumberingAfterBreak="0">
    <w:nsid w:val="17E3228E"/>
    <w:multiLevelType w:val="hybridMultilevel"/>
    <w:tmpl w:val="9FF6264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1C204088"/>
    <w:multiLevelType w:val="multilevel"/>
    <w:tmpl w:val="F9C23FB2"/>
    <w:lvl w:ilvl="0">
      <w:start w:val="1"/>
      <w:numFmt w:val="upperRoman"/>
      <w:pStyle w:val="Heading1"/>
      <w:lvlText w:val="%1."/>
      <w:lvlJc w:val="right"/>
      <w:pPr>
        <w:ind w:left="360" w:hanging="360"/>
      </w:pPr>
    </w:lvl>
    <w:lvl w:ilvl="1">
      <w:start w:val="1"/>
      <w:numFmt w:val="lowerLetter"/>
      <w:pStyle w:val="Heading2"/>
      <w:lvlText w:val="%2."/>
      <w:lvlJc w:val="left"/>
      <w:pPr>
        <w:ind w:left="450" w:hanging="360"/>
      </w:pPr>
    </w:lvl>
    <w:lvl w:ilvl="2">
      <w:start w:val="1"/>
      <w:numFmt w:val="lowerRoman"/>
      <w:lvlText w:val="%3."/>
      <w:lvlJc w:val="right"/>
      <w:pPr>
        <w:ind w:left="90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FB060A9"/>
    <w:multiLevelType w:val="multilevel"/>
    <w:tmpl w:val="1C204088"/>
    <w:lvl w:ilvl="0">
      <w:start w:val="1"/>
      <w:numFmt w:val="upperRoman"/>
      <w:lvlText w:val="%1."/>
      <w:lvlJc w:val="right"/>
      <w:pPr>
        <w:ind w:left="360" w:hanging="360"/>
      </w:pPr>
    </w:lvl>
    <w:lvl w:ilvl="1">
      <w:start w:val="1"/>
      <w:numFmt w:val="lowerLetter"/>
      <w:lvlText w:val="%2."/>
      <w:lvlJc w:val="left"/>
      <w:pPr>
        <w:ind w:left="450" w:hanging="360"/>
      </w:pPr>
    </w:lvl>
    <w:lvl w:ilvl="2">
      <w:start w:val="1"/>
      <w:numFmt w:val="lowerRoman"/>
      <w:lvlText w:val="%3."/>
      <w:lvlJc w:val="right"/>
      <w:pPr>
        <w:ind w:left="90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07D06DA"/>
    <w:multiLevelType w:val="hybridMultilevel"/>
    <w:tmpl w:val="24E86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BA30FF"/>
    <w:multiLevelType w:val="hybridMultilevel"/>
    <w:tmpl w:val="1DA23D8E"/>
    <w:lvl w:ilvl="0" w:tplc="2988D304">
      <w:start w:val="1"/>
      <w:numFmt w:val="lowerRoman"/>
      <w:pStyle w:val="Heading3"/>
      <w:lvlText w:val="%1."/>
      <w:lvlJc w:val="righ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266938CB"/>
    <w:multiLevelType w:val="hybridMultilevel"/>
    <w:tmpl w:val="1DA8FFF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0">
    <w:nsid w:val="306FAB34"/>
    <w:multiLevelType w:val="singleLevel"/>
    <w:tmpl w:val="306FAB34"/>
    <w:lvl w:ilvl="0">
      <w:start w:val="1"/>
      <w:numFmt w:val="lowerRoman"/>
      <w:lvlText w:val="%1."/>
      <w:lvlJc w:val="left"/>
      <w:pPr>
        <w:tabs>
          <w:tab w:val="left" w:pos="425"/>
        </w:tabs>
        <w:ind w:left="425" w:hanging="425"/>
      </w:pPr>
      <w:rPr>
        <w:rFonts w:hint="default"/>
      </w:rPr>
    </w:lvl>
  </w:abstractNum>
  <w:abstractNum w:abstractNumId="8" w15:restartNumberingAfterBreak="0">
    <w:nsid w:val="32407788"/>
    <w:multiLevelType w:val="hybridMultilevel"/>
    <w:tmpl w:val="F99C8E8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332F598B"/>
    <w:multiLevelType w:val="hybridMultilevel"/>
    <w:tmpl w:val="D59C7A08"/>
    <w:lvl w:ilvl="0" w:tplc="B918864E">
      <w:start w:val="4"/>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359B4991"/>
    <w:multiLevelType w:val="multilevel"/>
    <w:tmpl w:val="359B4991"/>
    <w:lvl w:ilvl="0">
      <w:start w:val="1"/>
      <w:numFmt w:val="upperRoman"/>
      <w:pStyle w:val="Chapter"/>
      <w:lvlText w:val="%1."/>
      <w:lvlJc w:val="center"/>
      <w:pPr>
        <w:tabs>
          <w:tab w:val="left" w:pos="1800"/>
        </w:tabs>
        <w:ind w:left="1152" w:firstLine="288"/>
      </w:pPr>
      <w:rPr>
        <w:b/>
        <w:i w:val="0"/>
      </w:rPr>
    </w:lvl>
    <w:lvl w:ilvl="1">
      <w:start w:val="1"/>
      <w:numFmt w:val="decimal"/>
      <w:pStyle w:val="Paragraph"/>
      <w:isLgl/>
      <w:lvlText w:val="%1.%2"/>
      <w:lvlJc w:val="left"/>
      <w:pPr>
        <w:tabs>
          <w:tab w:val="left" w:pos="2448"/>
        </w:tabs>
        <w:ind w:left="2448" w:hanging="1296"/>
      </w:pPr>
    </w:lvl>
    <w:lvl w:ilvl="2">
      <w:start w:val="1"/>
      <w:numFmt w:val="lowerLetter"/>
      <w:pStyle w:val="subpar"/>
      <w:lvlText w:val="%3."/>
      <w:lvlJc w:val="left"/>
      <w:pPr>
        <w:tabs>
          <w:tab w:val="left" w:pos="2304"/>
        </w:tabs>
        <w:ind w:left="2304" w:hanging="432"/>
      </w:pPr>
    </w:lvl>
    <w:lvl w:ilvl="3">
      <w:start w:val="1"/>
      <w:numFmt w:val="lowerRoman"/>
      <w:pStyle w:val="SubSubPar"/>
      <w:lvlText w:val="%4."/>
      <w:lvlJc w:val="right"/>
      <w:pPr>
        <w:tabs>
          <w:tab w:val="left"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67145E6"/>
    <w:multiLevelType w:val="hybridMultilevel"/>
    <w:tmpl w:val="801E60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BF1E55"/>
    <w:multiLevelType w:val="hybridMultilevel"/>
    <w:tmpl w:val="AA423CB0"/>
    <w:lvl w:ilvl="0" w:tplc="BAC6C6F2">
      <w:start w:val="1"/>
      <w:numFmt w:val="lowerRoman"/>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15:restartNumberingAfterBreak="0">
    <w:nsid w:val="4C063AE8"/>
    <w:multiLevelType w:val="multilevel"/>
    <w:tmpl w:val="4C063AE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15:restartNumberingAfterBreak="0">
    <w:nsid w:val="4DD057C9"/>
    <w:multiLevelType w:val="multilevel"/>
    <w:tmpl w:val="4DD057C9"/>
    <w:lvl w:ilvl="0">
      <w:start w:val="1"/>
      <w:numFmt w:val="low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52DD3B8C"/>
    <w:multiLevelType w:val="hybridMultilevel"/>
    <w:tmpl w:val="3B6AC4F2"/>
    <w:lvl w:ilvl="0" w:tplc="0409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0">
    <w:nsid w:val="53C451D4"/>
    <w:multiLevelType w:val="hybridMultilevel"/>
    <w:tmpl w:val="F23A4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A967F1"/>
    <w:multiLevelType w:val="multilevel"/>
    <w:tmpl w:val="59A967F1"/>
    <w:lvl w:ilvl="0">
      <w:start w:val="1"/>
      <w:numFmt w:val="bullet"/>
      <w:lvlText w:val=""/>
      <w:lvlJc w:val="left"/>
      <w:pPr>
        <w:ind w:left="940" w:hanging="360"/>
      </w:pPr>
      <w:rPr>
        <w:rFonts w:ascii="Symbol" w:hAnsi="Symbol" w:hint="default"/>
      </w:rPr>
    </w:lvl>
    <w:lvl w:ilvl="1">
      <w:start w:val="1"/>
      <w:numFmt w:val="bullet"/>
      <w:lvlText w:val="o"/>
      <w:lvlJc w:val="left"/>
      <w:pPr>
        <w:ind w:left="1660" w:hanging="360"/>
      </w:pPr>
      <w:rPr>
        <w:rFonts w:ascii="Courier New" w:hAnsi="Courier New" w:cs="Courier New" w:hint="default"/>
      </w:rPr>
    </w:lvl>
    <w:lvl w:ilvl="2">
      <w:start w:val="1"/>
      <w:numFmt w:val="bullet"/>
      <w:lvlText w:val=""/>
      <w:lvlJc w:val="left"/>
      <w:pPr>
        <w:ind w:left="2380" w:hanging="360"/>
      </w:pPr>
      <w:rPr>
        <w:rFonts w:ascii="Wingdings" w:hAnsi="Wingdings" w:hint="default"/>
      </w:rPr>
    </w:lvl>
    <w:lvl w:ilvl="3">
      <w:start w:val="1"/>
      <w:numFmt w:val="bullet"/>
      <w:lvlText w:val=""/>
      <w:lvlJc w:val="left"/>
      <w:pPr>
        <w:ind w:left="3100" w:hanging="360"/>
      </w:pPr>
      <w:rPr>
        <w:rFonts w:ascii="Symbol" w:hAnsi="Symbol" w:hint="default"/>
      </w:rPr>
    </w:lvl>
    <w:lvl w:ilvl="4">
      <w:start w:val="1"/>
      <w:numFmt w:val="bullet"/>
      <w:lvlText w:val="o"/>
      <w:lvlJc w:val="left"/>
      <w:pPr>
        <w:ind w:left="3820" w:hanging="360"/>
      </w:pPr>
      <w:rPr>
        <w:rFonts w:ascii="Courier New" w:hAnsi="Courier New" w:cs="Courier New" w:hint="default"/>
      </w:rPr>
    </w:lvl>
    <w:lvl w:ilvl="5">
      <w:start w:val="1"/>
      <w:numFmt w:val="bullet"/>
      <w:lvlText w:val=""/>
      <w:lvlJc w:val="left"/>
      <w:pPr>
        <w:ind w:left="4540" w:hanging="360"/>
      </w:pPr>
      <w:rPr>
        <w:rFonts w:ascii="Wingdings" w:hAnsi="Wingdings" w:hint="default"/>
      </w:rPr>
    </w:lvl>
    <w:lvl w:ilvl="6">
      <w:start w:val="1"/>
      <w:numFmt w:val="bullet"/>
      <w:lvlText w:val=""/>
      <w:lvlJc w:val="left"/>
      <w:pPr>
        <w:ind w:left="5260" w:hanging="360"/>
      </w:pPr>
      <w:rPr>
        <w:rFonts w:ascii="Symbol" w:hAnsi="Symbol" w:hint="default"/>
      </w:rPr>
    </w:lvl>
    <w:lvl w:ilvl="7">
      <w:start w:val="1"/>
      <w:numFmt w:val="bullet"/>
      <w:lvlText w:val="o"/>
      <w:lvlJc w:val="left"/>
      <w:pPr>
        <w:ind w:left="5980" w:hanging="360"/>
      </w:pPr>
      <w:rPr>
        <w:rFonts w:ascii="Courier New" w:hAnsi="Courier New" w:cs="Courier New" w:hint="default"/>
      </w:rPr>
    </w:lvl>
    <w:lvl w:ilvl="8">
      <w:start w:val="1"/>
      <w:numFmt w:val="bullet"/>
      <w:lvlText w:val=""/>
      <w:lvlJc w:val="left"/>
      <w:pPr>
        <w:ind w:left="6700" w:hanging="360"/>
      </w:pPr>
      <w:rPr>
        <w:rFonts w:ascii="Wingdings" w:hAnsi="Wingdings" w:hint="default"/>
      </w:rPr>
    </w:lvl>
  </w:abstractNum>
  <w:abstractNum w:abstractNumId="18" w15:restartNumberingAfterBreak="0">
    <w:nsid w:val="609923C8"/>
    <w:multiLevelType w:val="multilevel"/>
    <w:tmpl w:val="609923C8"/>
    <w:lvl w:ilvl="0">
      <w:start w:val="1"/>
      <w:numFmt w:val="upperRoman"/>
      <w:lvlText w:val="%1."/>
      <w:lvlJc w:val="right"/>
      <w:pPr>
        <w:tabs>
          <w:tab w:val="left" w:pos="5631"/>
        </w:tabs>
        <w:ind w:left="5631" w:hanging="180"/>
      </w:pPr>
      <w:rPr>
        <w:b/>
        <w:i w:val="0"/>
        <w:sz w:val="24"/>
      </w:rPr>
    </w:lvl>
    <w:lvl w:ilvl="1">
      <w:start w:val="6"/>
      <w:numFmt w:val="decimal"/>
      <w:pStyle w:val="AutoNumpara"/>
      <w:isLgl/>
      <w:lvlText w:val="%1.%2"/>
      <w:lvlJc w:val="left"/>
      <w:pPr>
        <w:tabs>
          <w:tab w:val="left" w:pos="720"/>
        </w:tabs>
        <w:ind w:left="720" w:hanging="720"/>
      </w:pPr>
      <w:rPr>
        <w:rFonts w:cs="Times New Roman"/>
      </w:rPr>
    </w:lvl>
    <w:lvl w:ilvl="2">
      <w:start w:val="2"/>
      <w:numFmt w:val="upperLetter"/>
      <w:pStyle w:val="Heading4"/>
      <w:lvlText w:val="%3."/>
      <w:lvlJc w:val="left"/>
      <w:pPr>
        <w:tabs>
          <w:tab w:val="left" w:pos="1800"/>
        </w:tabs>
        <w:ind w:left="1800" w:hanging="360"/>
      </w:pPr>
      <w:rPr>
        <w:rFonts w:cs="Times New Roman"/>
        <w:b/>
        <w:i w:val="0"/>
        <w:sz w:val="24"/>
      </w:rPr>
    </w:lvl>
    <w:lvl w:ilvl="3">
      <w:start w:val="1"/>
      <w:numFmt w:val="lowerRoman"/>
      <w:lvlRestart w:val="0"/>
      <w:pStyle w:val="Heading5"/>
      <w:lvlText w:val="(%4)"/>
      <w:lvlJc w:val="right"/>
      <w:pPr>
        <w:tabs>
          <w:tab w:val="left" w:pos="2088"/>
        </w:tabs>
        <w:ind w:left="2088" w:hanging="288"/>
      </w:pPr>
      <w:rPr>
        <w:rFonts w:ascii="Times New Roman Bold" w:hAnsi="Times New Roman Bold" w:cs="Times New Roman" w:hint="default"/>
        <w:b/>
        <w:i w:val="0"/>
        <w:sz w:val="24"/>
      </w:rPr>
    </w:lvl>
    <w:lvl w:ilvl="4">
      <w:start w:val="1"/>
      <w:numFmt w:val="none"/>
      <w:lvlText w:val=""/>
      <w:lvlJc w:val="left"/>
      <w:pPr>
        <w:tabs>
          <w:tab w:val="left" w:pos="3240"/>
        </w:tabs>
        <w:ind w:left="2880" w:firstLine="0"/>
      </w:pPr>
      <w:rPr>
        <w:rFonts w:cs="Times New Roman"/>
      </w:rPr>
    </w:lvl>
    <w:lvl w:ilvl="5">
      <w:start w:val="1"/>
      <w:numFmt w:val="none"/>
      <w:lvlText w:val=""/>
      <w:lvlJc w:val="left"/>
      <w:pPr>
        <w:tabs>
          <w:tab w:val="left" w:pos="3960"/>
        </w:tabs>
        <w:ind w:left="3600" w:firstLine="0"/>
      </w:pPr>
      <w:rPr>
        <w:rFonts w:cs="Times New Roman"/>
      </w:rPr>
    </w:lvl>
    <w:lvl w:ilvl="6">
      <w:start w:val="1"/>
      <w:numFmt w:val="none"/>
      <w:lvlText w:val=""/>
      <w:lvlJc w:val="left"/>
      <w:pPr>
        <w:tabs>
          <w:tab w:val="left" w:pos="4680"/>
        </w:tabs>
        <w:ind w:left="4320" w:firstLine="0"/>
      </w:pPr>
      <w:rPr>
        <w:rFonts w:cs="Times New Roman"/>
      </w:rPr>
    </w:lvl>
    <w:lvl w:ilvl="7">
      <w:start w:val="1"/>
      <w:numFmt w:val="none"/>
      <w:lvlText w:val=""/>
      <w:lvlJc w:val="left"/>
      <w:pPr>
        <w:tabs>
          <w:tab w:val="left" w:pos="5400"/>
        </w:tabs>
        <w:ind w:left="5040" w:firstLine="0"/>
      </w:pPr>
      <w:rPr>
        <w:rFonts w:cs="Times New Roman"/>
      </w:rPr>
    </w:lvl>
    <w:lvl w:ilvl="8">
      <w:start w:val="1"/>
      <w:numFmt w:val="none"/>
      <w:lvlText w:val=""/>
      <w:lvlJc w:val="left"/>
      <w:pPr>
        <w:tabs>
          <w:tab w:val="left" w:pos="6120"/>
        </w:tabs>
        <w:ind w:left="5760" w:firstLine="0"/>
      </w:pPr>
      <w:rPr>
        <w:rFonts w:cs="Times New Roman"/>
      </w:rPr>
    </w:lvl>
  </w:abstractNum>
  <w:abstractNum w:abstractNumId="19" w15:restartNumberingAfterBreak="0">
    <w:nsid w:val="655B23ED"/>
    <w:multiLevelType w:val="multilevel"/>
    <w:tmpl w:val="655B23E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F7B00D4"/>
    <w:multiLevelType w:val="hybridMultilevel"/>
    <w:tmpl w:val="005E6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0A50F6"/>
    <w:multiLevelType w:val="hybridMultilevel"/>
    <w:tmpl w:val="7C842FE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num>
  <w:num w:numId="4">
    <w:abstractNumId w:val="0"/>
  </w:num>
  <w:num w:numId="5">
    <w:abstractNumId w:val="17"/>
  </w:num>
  <w:num w:numId="6">
    <w:abstractNumId w:val="7"/>
  </w:num>
  <w:num w:numId="7">
    <w:abstractNumId w:val="13"/>
  </w:num>
  <w:num w:numId="8">
    <w:abstractNumId w:val="14"/>
  </w:num>
  <w:num w:numId="9">
    <w:abstractNumId w:val="19"/>
  </w:num>
  <w:num w:numId="10">
    <w:abstractNumId w:val="8"/>
  </w:num>
  <w:num w:numId="11">
    <w:abstractNumId w:val="6"/>
  </w:num>
  <w:num w:numId="12">
    <w:abstractNumId w:val="21"/>
  </w:num>
  <w:num w:numId="13">
    <w:abstractNumId w:val="12"/>
  </w:num>
  <w:num w:numId="14">
    <w:abstractNumId w:val="9"/>
  </w:num>
  <w:num w:numId="15">
    <w:abstractNumId w:val="1"/>
  </w:num>
  <w:num w:numId="16">
    <w:abstractNumId w:val="3"/>
  </w:num>
  <w:num w:numId="17">
    <w:abstractNumId w:val="4"/>
  </w:num>
  <w:num w:numId="18">
    <w:abstractNumId w:val="11"/>
  </w:num>
  <w:num w:numId="19">
    <w:abstractNumId w:val="20"/>
  </w:num>
  <w:num w:numId="20">
    <w:abstractNumId w:val="16"/>
  </w:num>
  <w:num w:numId="21">
    <w:abstractNumId w:val="5"/>
  </w:num>
  <w:num w:numId="22">
    <w:abstractNumId w:val="5"/>
    <w:lvlOverride w:ilvl="0">
      <w:startOverride w:val="1"/>
    </w:lvlOverride>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70B7"/>
    <w:rsid w:val="0002053C"/>
    <w:rsid w:val="00030F19"/>
    <w:rsid w:val="000332B0"/>
    <w:rsid w:val="0003518E"/>
    <w:rsid w:val="00044B66"/>
    <w:rsid w:val="00045448"/>
    <w:rsid w:val="00082618"/>
    <w:rsid w:val="00085949"/>
    <w:rsid w:val="00094462"/>
    <w:rsid w:val="000A5B4F"/>
    <w:rsid w:val="000A6A51"/>
    <w:rsid w:val="000B12B7"/>
    <w:rsid w:val="000B5944"/>
    <w:rsid w:val="000B7F6B"/>
    <w:rsid w:val="000C6D7D"/>
    <w:rsid w:val="000C7963"/>
    <w:rsid w:val="000D3986"/>
    <w:rsid w:val="000D415B"/>
    <w:rsid w:val="000E1DCA"/>
    <w:rsid w:val="000E5263"/>
    <w:rsid w:val="000E560D"/>
    <w:rsid w:val="000F643B"/>
    <w:rsid w:val="0010100F"/>
    <w:rsid w:val="00103867"/>
    <w:rsid w:val="001108ED"/>
    <w:rsid w:val="00117819"/>
    <w:rsid w:val="0012236B"/>
    <w:rsid w:val="00126DC7"/>
    <w:rsid w:val="00126FE5"/>
    <w:rsid w:val="00134FF9"/>
    <w:rsid w:val="001434BA"/>
    <w:rsid w:val="001452CB"/>
    <w:rsid w:val="0014780E"/>
    <w:rsid w:val="00147CE2"/>
    <w:rsid w:val="00170793"/>
    <w:rsid w:val="00172A27"/>
    <w:rsid w:val="001731B1"/>
    <w:rsid w:val="00181B8D"/>
    <w:rsid w:val="00185D4D"/>
    <w:rsid w:val="00186207"/>
    <w:rsid w:val="00194627"/>
    <w:rsid w:val="001A1067"/>
    <w:rsid w:val="001C73BA"/>
    <w:rsid w:val="001D2F82"/>
    <w:rsid w:val="001F107D"/>
    <w:rsid w:val="001F4675"/>
    <w:rsid w:val="00207580"/>
    <w:rsid w:val="00230FD2"/>
    <w:rsid w:val="002360E3"/>
    <w:rsid w:val="00245AF0"/>
    <w:rsid w:val="0024712F"/>
    <w:rsid w:val="002579BA"/>
    <w:rsid w:val="002749BD"/>
    <w:rsid w:val="002826CB"/>
    <w:rsid w:val="0028745C"/>
    <w:rsid w:val="002B121A"/>
    <w:rsid w:val="002C257A"/>
    <w:rsid w:val="002C280C"/>
    <w:rsid w:val="002D0D5A"/>
    <w:rsid w:val="002D3831"/>
    <w:rsid w:val="002E300B"/>
    <w:rsid w:val="002F5E9C"/>
    <w:rsid w:val="00304B74"/>
    <w:rsid w:val="00307851"/>
    <w:rsid w:val="00312093"/>
    <w:rsid w:val="003237E2"/>
    <w:rsid w:val="003332BC"/>
    <w:rsid w:val="00337F2F"/>
    <w:rsid w:val="00347F6B"/>
    <w:rsid w:val="00355FDF"/>
    <w:rsid w:val="003573ED"/>
    <w:rsid w:val="00362A1D"/>
    <w:rsid w:val="00365E89"/>
    <w:rsid w:val="00382624"/>
    <w:rsid w:val="00382C04"/>
    <w:rsid w:val="00387DD8"/>
    <w:rsid w:val="00391128"/>
    <w:rsid w:val="003931ED"/>
    <w:rsid w:val="003975E4"/>
    <w:rsid w:val="003A0A61"/>
    <w:rsid w:val="003A7464"/>
    <w:rsid w:val="003A7B27"/>
    <w:rsid w:val="003B059B"/>
    <w:rsid w:val="003B3620"/>
    <w:rsid w:val="003C3A58"/>
    <w:rsid w:val="003C4C57"/>
    <w:rsid w:val="003E105A"/>
    <w:rsid w:val="003E57DE"/>
    <w:rsid w:val="003E61B4"/>
    <w:rsid w:val="003F3A31"/>
    <w:rsid w:val="00404962"/>
    <w:rsid w:val="004062A4"/>
    <w:rsid w:val="00421F39"/>
    <w:rsid w:val="00425D8A"/>
    <w:rsid w:val="004268A9"/>
    <w:rsid w:val="0043498E"/>
    <w:rsid w:val="00434EF4"/>
    <w:rsid w:val="00441464"/>
    <w:rsid w:val="004423F4"/>
    <w:rsid w:val="00445D5E"/>
    <w:rsid w:val="00453F9D"/>
    <w:rsid w:val="00466BB1"/>
    <w:rsid w:val="00481402"/>
    <w:rsid w:val="00482340"/>
    <w:rsid w:val="004868B5"/>
    <w:rsid w:val="004910D7"/>
    <w:rsid w:val="0049227E"/>
    <w:rsid w:val="00493ABF"/>
    <w:rsid w:val="00494EE2"/>
    <w:rsid w:val="00497A9F"/>
    <w:rsid w:val="004B2D25"/>
    <w:rsid w:val="004C3212"/>
    <w:rsid w:val="004C5752"/>
    <w:rsid w:val="004D0445"/>
    <w:rsid w:val="004D13CD"/>
    <w:rsid w:val="004D3E49"/>
    <w:rsid w:val="004D6231"/>
    <w:rsid w:val="004D6D33"/>
    <w:rsid w:val="004E24E6"/>
    <w:rsid w:val="004F2A38"/>
    <w:rsid w:val="004F5B7D"/>
    <w:rsid w:val="005225A5"/>
    <w:rsid w:val="00534BDB"/>
    <w:rsid w:val="00535022"/>
    <w:rsid w:val="00536161"/>
    <w:rsid w:val="00544074"/>
    <w:rsid w:val="005441DE"/>
    <w:rsid w:val="00544DD5"/>
    <w:rsid w:val="0055210E"/>
    <w:rsid w:val="00560132"/>
    <w:rsid w:val="00562B6C"/>
    <w:rsid w:val="00563917"/>
    <w:rsid w:val="00566C0D"/>
    <w:rsid w:val="005677C7"/>
    <w:rsid w:val="00567801"/>
    <w:rsid w:val="005709EF"/>
    <w:rsid w:val="0057225B"/>
    <w:rsid w:val="00581A46"/>
    <w:rsid w:val="00590698"/>
    <w:rsid w:val="00590A77"/>
    <w:rsid w:val="005917E5"/>
    <w:rsid w:val="005921E4"/>
    <w:rsid w:val="005A613D"/>
    <w:rsid w:val="005B1039"/>
    <w:rsid w:val="005C5AC3"/>
    <w:rsid w:val="005C7D1E"/>
    <w:rsid w:val="005D5DA8"/>
    <w:rsid w:val="005F57AD"/>
    <w:rsid w:val="00601759"/>
    <w:rsid w:val="0064662A"/>
    <w:rsid w:val="00646C63"/>
    <w:rsid w:val="00650704"/>
    <w:rsid w:val="00665CD8"/>
    <w:rsid w:val="00666900"/>
    <w:rsid w:val="00670180"/>
    <w:rsid w:val="00671FA2"/>
    <w:rsid w:val="00672D22"/>
    <w:rsid w:val="00673F3C"/>
    <w:rsid w:val="00681545"/>
    <w:rsid w:val="006861E2"/>
    <w:rsid w:val="006A0898"/>
    <w:rsid w:val="006B2E5E"/>
    <w:rsid w:val="006B57A0"/>
    <w:rsid w:val="006E48DF"/>
    <w:rsid w:val="006E4C0B"/>
    <w:rsid w:val="006F07C0"/>
    <w:rsid w:val="00704718"/>
    <w:rsid w:val="0070485B"/>
    <w:rsid w:val="0071035E"/>
    <w:rsid w:val="00714994"/>
    <w:rsid w:val="00714DB3"/>
    <w:rsid w:val="00715A1B"/>
    <w:rsid w:val="00716E11"/>
    <w:rsid w:val="007257F1"/>
    <w:rsid w:val="0073376B"/>
    <w:rsid w:val="00733E46"/>
    <w:rsid w:val="00751DC4"/>
    <w:rsid w:val="00751F4F"/>
    <w:rsid w:val="00761C52"/>
    <w:rsid w:val="00764453"/>
    <w:rsid w:val="00775BE3"/>
    <w:rsid w:val="00783E4A"/>
    <w:rsid w:val="00792237"/>
    <w:rsid w:val="007A3A2A"/>
    <w:rsid w:val="007D0A8A"/>
    <w:rsid w:val="007F0CD5"/>
    <w:rsid w:val="007F5B37"/>
    <w:rsid w:val="0080159F"/>
    <w:rsid w:val="00810CA4"/>
    <w:rsid w:val="00817393"/>
    <w:rsid w:val="00832820"/>
    <w:rsid w:val="00834295"/>
    <w:rsid w:val="00843B9E"/>
    <w:rsid w:val="00845DE2"/>
    <w:rsid w:val="0084636C"/>
    <w:rsid w:val="00847054"/>
    <w:rsid w:val="0085276B"/>
    <w:rsid w:val="00854F7F"/>
    <w:rsid w:val="0086552C"/>
    <w:rsid w:val="00880724"/>
    <w:rsid w:val="008A0D85"/>
    <w:rsid w:val="008B56FF"/>
    <w:rsid w:val="008C1120"/>
    <w:rsid w:val="008C4566"/>
    <w:rsid w:val="008C4BB9"/>
    <w:rsid w:val="008D4D8E"/>
    <w:rsid w:val="008E3494"/>
    <w:rsid w:val="008E4196"/>
    <w:rsid w:val="008F15F6"/>
    <w:rsid w:val="00900F37"/>
    <w:rsid w:val="00902E6C"/>
    <w:rsid w:val="00907633"/>
    <w:rsid w:val="00922E3E"/>
    <w:rsid w:val="0094670D"/>
    <w:rsid w:val="00951B8A"/>
    <w:rsid w:val="009525A3"/>
    <w:rsid w:val="00957F78"/>
    <w:rsid w:val="009932B0"/>
    <w:rsid w:val="009A37C0"/>
    <w:rsid w:val="009B1121"/>
    <w:rsid w:val="009B7642"/>
    <w:rsid w:val="009C053D"/>
    <w:rsid w:val="009C4DBD"/>
    <w:rsid w:val="009C6150"/>
    <w:rsid w:val="009D68A1"/>
    <w:rsid w:val="009E063B"/>
    <w:rsid w:val="009F0318"/>
    <w:rsid w:val="00A07554"/>
    <w:rsid w:val="00A10808"/>
    <w:rsid w:val="00A11F3E"/>
    <w:rsid w:val="00A16618"/>
    <w:rsid w:val="00A17B8C"/>
    <w:rsid w:val="00A34316"/>
    <w:rsid w:val="00A372A6"/>
    <w:rsid w:val="00A41A5C"/>
    <w:rsid w:val="00A50A2E"/>
    <w:rsid w:val="00A50AEA"/>
    <w:rsid w:val="00A512F5"/>
    <w:rsid w:val="00A52953"/>
    <w:rsid w:val="00A60ECA"/>
    <w:rsid w:val="00A70E2B"/>
    <w:rsid w:val="00A73063"/>
    <w:rsid w:val="00A75E6B"/>
    <w:rsid w:val="00A858DF"/>
    <w:rsid w:val="00A90667"/>
    <w:rsid w:val="00AA02DF"/>
    <w:rsid w:val="00AA1ACE"/>
    <w:rsid w:val="00AA6EC7"/>
    <w:rsid w:val="00AC5432"/>
    <w:rsid w:val="00AE4FCB"/>
    <w:rsid w:val="00AE67BD"/>
    <w:rsid w:val="00AE743E"/>
    <w:rsid w:val="00AF0466"/>
    <w:rsid w:val="00AF30F8"/>
    <w:rsid w:val="00AF3E8A"/>
    <w:rsid w:val="00B027CC"/>
    <w:rsid w:val="00B03D6E"/>
    <w:rsid w:val="00B06F18"/>
    <w:rsid w:val="00B13E00"/>
    <w:rsid w:val="00B15F0E"/>
    <w:rsid w:val="00B1694D"/>
    <w:rsid w:val="00B226E7"/>
    <w:rsid w:val="00B330C9"/>
    <w:rsid w:val="00B34398"/>
    <w:rsid w:val="00B3496D"/>
    <w:rsid w:val="00B37F5A"/>
    <w:rsid w:val="00B442F3"/>
    <w:rsid w:val="00B477A2"/>
    <w:rsid w:val="00B5748D"/>
    <w:rsid w:val="00B6132A"/>
    <w:rsid w:val="00B652F4"/>
    <w:rsid w:val="00B67975"/>
    <w:rsid w:val="00B71B27"/>
    <w:rsid w:val="00B73907"/>
    <w:rsid w:val="00B76E19"/>
    <w:rsid w:val="00B777C9"/>
    <w:rsid w:val="00B77A62"/>
    <w:rsid w:val="00B8175A"/>
    <w:rsid w:val="00B81923"/>
    <w:rsid w:val="00B82364"/>
    <w:rsid w:val="00B966E4"/>
    <w:rsid w:val="00BA21D6"/>
    <w:rsid w:val="00BA3900"/>
    <w:rsid w:val="00BA5876"/>
    <w:rsid w:val="00BA5B31"/>
    <w:rsid w:val="00BC0B25"/>
    <w:rsid w:val="00BC45D8"/>
    <w:rsid w:val="00BC769D"/>
    <w:rsid w:val="00BD59F0"/>
    <w:rsid w:val="00BD7498"/>
    <w:rsid w:val="00BD774B"/>
    <w:rsid w:val="00BE0F53"/>
    <w:rsid w:val="00BE2FA3"/>
    <w:rsid w:val="00BE48DD"/>
    <w:rsid w:val="00BF1783"/>
    <w:rsid w:val="00BF4013"/>
    <w:rsid w:val="00BF5889"/>
    <w:rsid w:val="00C02A10"/>
    <w:rsid w:val="00C02B20"/>
    <w:rsid w:val="00C057F1"/>
    <w:rsid w:val="00C06125"/>
    <w:rsid w:val="00C116F9"/>
    <w:rsid w:val="00C162B0"/>
    <w:rsid w:val="00C20054"/>
    <w:rsid w:val="00C257BD"/>
    <w:rsid w:val="00C333D5"/>
    <w:rsid w:val="00C610B9"/>
    <w:rsid w:val="00C67831"/>
    <w:rsid w:val="00C75294"/>
    <w:rsid w:val="00C75BFE"/>
    <w:rsid w:val="00C803A1"/>
    <w:rsid w:val="00C833AE"/>
    <w:rsid w:val="00C940E0"/>
    <w:rsid w:val="00CD651C"/>
    <w:rsid w:val="00CE36C3"/>
    <w:rsid w:val="00CE7861"/>
    <w:rsid w:val="00CF7111"/>
    <w:rsid w:val="00D00C79"/>
    <w:rsid w:val="00D04A1C"/>
    <w:rsid w:val="00D123E1"/>
    <w:rsid w:val="00D14EDB"/>
    <w:rsid w:val="00D24306"/>
    <w:rsid w:val="00D31014"/>
    <w:rsid w:val="00D327FD"/>
    <w:rsid w:val="00D4292B"/>
    <w:rsid w:val="00D53123"/>
    <w:rsid w:val="00D53899"/>
    <w:rsid w:val="00D63F58"/>
    <w:rsid w:val="00D654C2"/>
    <w:rsid w:val="00D75D77"/>
    <w:rsid w:val="00D85C7D"/>
    <w:rsid w:val="00D87D1E"/>
    <w:rsid w:val="00DB3F74"/>
    <w:rsid w:val="00DC5A77"/>
    <w:rsid w:val="00DD15FC"/>
    <w:rsid w:val="00DD4A72"/>
    <w:rsid w:val="00DD74B3"/>
    <w:rsid w:val="00E00874"/>
    <w:rsid w:val="00E04D41"/>
    <w:rsid w:val="00E129AB"/>
    <w:rsid w:val="00E15BE8"/>
    <w:rsid w:val="00E26D5F"/>
    <w:rsid w:val="00E426E4"/>
    <w:rsid w:val="00E4322A"/>
    <w:rsid w:val="00E45627"/>
    <w:rsid w:val="00E53DBE"/>
    <w:rsid w:val="00E61F44"/>
    <w:rsid w:val="00E628C8"/>
    <w:rsid w:val="00E64BCC"/>
    <w:rsid w:val="00E80E23"/>
    <w:rsid w:val="00E80EB4"/>
    <w:rsid w:val="00E84823"/>
    <w:rsid w:val="00EA78E5"/>
    <w:rsid w:val="00EB13DF"/>
    <w:rsid w:val="00EB631E"/>
    <w:rsid w:val="00EE15E2"/>
    <w:rsid w:val="00EF03F0"/>
    <w:rsid w:val="00EF0CC6"/>
    <w:rsid w:val="00F051D5"/>
    <w:rsid w:val="00F12571"/>
    <w:rsid w:val="00F1404C"/>
    <w:rsid w:val="00F14930"/>
    <w:rsid w:val="00F16FB0"/>
    <w:rsid w:val="00F22CC5"/>
    <w:rsid w:val="00F22DCD"/>
    <w:rsid w:val="00F36EA1"/>
    <w:rsid w:val="00F42F07"/>
    <w:rsid w:val="00F61651"/>
    <w:rsid w:val="00F61FA3"/>
    <w:rsid w:val="00F636FD"/>
    <w:rsid w:val="00F656DB"/>
    <w:rsid w:val="00F738A1"/>
    <w:rsid w:val="00F73E34"/>
    <w:rsid w:val="00F8122B"/>
    <w:rsid w:val="00F83EE2"/>
    <w:rsid w:val="00F841B9"/>
    <w:rsid w:val="00F86E14"/>
    <w:rsid w:val="00F92543"/>
    <w:rsid w:val="00F926A7"/>
    <w:rsid w:val="00F94AC6"/>
    <w:rsid w:val="00F95442"/>
    <w:rsid w:val="00F9604D"/>
    <w:rsid w:val="00FA7158"/>
    <w:rsid w:val="00FB0E26"/>
    <w:rsid w:val="00FB1DC0"/>
    <w:rsid w:val="00FB4FC8"/>
    <w:rsid w:val="00FC4321"/>
    <w:rsid w:val="00FC5C24"/>
    <w:rsid w:val="00FD11D0"/>
    <w:rsid w:val="00FD1689"/>
    <w:rsid w:val="00FD34EE"/>
    <w:rsid w:val="00FD4D61"/>
    <w:rsid w:val="00FE57BC"/>
    <w:rsid w:val="00FF25E9"/>
    <w:rsid w:val="00FF575A"/>
    <w:rsid w:val="00FF58D1"/>
    <w:rsid w:val="0B370005"/>
    <w:rsid w:val="0C961BAC"/>
    <w:rsid w:val="0D966BEA"/>
    <w:rsid w:val="1274337D"/>
    <w:rsid w:val="12A91B75"/>
    <w:rsid w:val="16B24A44"/>
    <w:rsid w:val="183752F6"/>
    <w:rsid w:val="1C52383B"/>
    <w:rsid w:val="1E105FEE"/>
    <w:rsid w:val="22603A32"/>
    <w:rsid w:val="22A35734"/>
    <w:rsid w:val="272923CE"/>
    <w:rsid w:val="27FF1787"/>
    <w:rsid w:val="2E569D8C"/>
    <w:rsid w:val="317336F1"/>
    <w:rsid w:val="33153BC1"/>
    <w:rsid w:val="40BB1B1D"/>
    <w:rsid w:val="437EC4E1"/>
    <w:rsid w:val="467E4F40"/>
    <w:rsid w:val="47F36A8A"/>
    <w:rsid w:val="5C3959CA"/>
    <w:rsid w:val="5FE43707"/>
    <w:rsid w:val="628B11FC"/>
    <w:rsid w:val="647701E6"/>
    <w:rsid w:val="65FD6D21"/>
    <w:rsid w:val="6C45521A"/>
    <w:rsid w:val="6D547A80"/>
    <w:rsid w:val="6DAE7F14"/>
    <w:rsid w:val="6F1B26E8"/>
    <w:rsid w:val="770E01A6"/>
    <w:rsid w:val="7C5E3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BE571"/>
  <w15:docId w15:val="{8577C937-6B91-4C9C-AE8F-BAA07F5AE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s-EC" w:eastAsia="es-EC"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
    <w:qFormat/>
    <w:rsid w:val="008E3494"/>
    <w:pPr>
      <w:keepNext/>
      <w:keepLines/>
      <w:numPr>
        <w:numId w:val="3"/>
      </w:numPr>
      <w:spacing w:after="360" w:line="240" w:lineRule="auto"/>
      <w:jc w:val="both"/>
      <w:outlineLvl w:val="0"/>
    </w:pPr>
    <w:rPr>
      <w:rFonts w:ascii="Arial" w:eastAsiaTheme="majorEastAsia" w:hAnsi="Arial" w:cs="Arial"/>
      <w:b/>
      <w:color w:val="365F91" w:themeColor="accent1" w:themeShade="BF"/>
      <w:sz w:val="28"/>
    </w:rPr>
  </w:style>
  <w:style w:type="paragraph" w:styleId="Heading2">
    <w:name w:val="heading 2"/>
    <w:basedOn w:val="Normal"/>
    <w:next w:val="Normal"/>
    <w:link w:val="Heading2Char"/>
    <w:uiPriority w:val="9"/>
    <w:unhideWhenUsed/>
    <w:qFormat/>
    <w:rsid w:val="008E3494"/>
    <w:pPr>
      <w:keepNext/>
      <w:keepLines/>
      <w:numPr>
        <w:ilvl w:val="1"/>
        <w:numId w:val="3"/>
      </w:numPr>
      <w:spacing w:after="360" w:line="240" w:lineRule="auto"/>
      <w:ind w:left="446"/>
      <w:jc w:val="both"/>
      <w:outlineLvl w:val="1"/>
    </w:pPr>
    <w:rPr>
      <w:rFonts w:ascii="Arial" w:eastAsiaTheme="majorEastAsia" w:hAnsi="Arial" w:cs="Arial"/>
      <w:b/>
      <w:color w:val="365F91" w:themeColor="accent1" w:themeShade="BF"/>
      <w:sz w:val="28"/>
    </w:rPr>
  </w:style>
  <w:style w:type="paragraph" w:styleId="Heading3">
    <w:name w:val="heading 3"/>
    <w:basedOn w:val="Normal"/>
    <w:next w:val="Normal"/>
    <w:link w:val="Heading3Char"/>
    <w:uiPriority w:val="9"/>
    <w:unhideWhenUsed/>
    <w:qFormat/>
    <w:rsid w:val="00181B8D"/>
    <w:pPr>
      <w:keepNext/>
      <w:keepLines/>
      <w:numPr>
        <w:numId w:val="21"/>
      </w:numPr>
      <w:spacing w:before="40" w:after="0"/>
      <w:outlineLvl w:val="2"/>
    </w:pPr>
    <w:rPr>
      <w:rFonts w:ascii="Arial" w:eastAsiaTheme="majorEastAsia" w:hAnsi="Arial" w:cs="Arial"/>
      <w:b/>
      <w:color w:val="243F60" w:themeColor="accent1" w:themeShade="7F"/>
      <w:sz w:val="24"/>
      <w:szCs w:val="24"/>
      <w:lang w:val="pt-BR"/>
    </w:rPr>
  </w:style>
  <w:style w:type="paragraph" w:styleId="Heading4">
    <w:name w:val="heading 4"/>
    <w:basedOn w:val="Normal"/>
    <w:next w:val="Normal"/>
    <w:link w:val="Heading4Char"/>
    <w:semiHidden/>
    <w:unhideWhenUsed/>
    <w:qFormat/>
    <w:pPr>
      <w:keepNext/>
      <w:numPr>
        <w:ilvl w:val="2"/>
        <w:numId w:val="1"/>
      </w:numPr>
      <w:tabs>
        <w:tab w:val="left" w:pos="1440"/>
      </w:tabs>
      <w:spacing w:before="120" w:after="120" w:line="240" w:lineRule="auto"/>
      <w:jc w:val="both"/>
      <w:outlineLvl w:val="3"/>
    </w:pPr>
    <w:rPr>
      <w:rFonts w:ascii="Times New Roman Bold" w:eastAsia="Times New Roman" w:hAnsi="Times New Roman Bold" w:cs="Times New Roman"/>
      <w:sz w:val="24"/>
      <w:szCs w:val="20"/>
      <w:lang w:val="zh-CN" w:eastAsia="zh-CN"/>
    </w:rPr>
  </w:style>
  <w:style w:type="paragraph" w:styleId="Heading5">
    <w:name w:val="heading 5"/>
    <w:basedOn w:val="Normal"/>
    <w:next w:val="Normal"/>
    <w:link w:val="Heading5Char"/>
    <w:semiHidden/>
    <w:unhideWhenUsed/>
    <w:qFormat/>
    <w:pPr>
      <w:keepNext/>
      <w:numPr>
        <w:ilvl w:val="3"/>
        <w:numId w:val="1"/>
      </w:numPr>
      <w:spacing w:before="120" w:after="120" w:line="240" w:lineRule="auto"/>
      <w:jc w:val="both"/>
      <w:outlineLvl w:val="4"/>
    </w:pPr>
    <w:rPr>
      <w:rFonts w:ascii="Times New Roman Bold" w:eastAsia="Times New Roman" w:hAnsi="Times New Roman Bold" w:cs="Times New Roman"/>
      <w:sz w:val="24"/>
      <w:szCs w:val="20"/>
      <w:lang w:val="zh-CN"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qFormat/>
    <w:pPr>
      <w:widowControl w:val="0"/>
      <w:autoSpaceDE w:val="0"/>
      <w:autoSpaceDN w:val="0"/>
      <w:spacing w:after="0" w:line="240" w:lineRule="auto"/>
    </w:pPr>
    <w:rPr>
      <w:rFonts w:ascii="Arial" w:eastAsia="Arial" w:hAnsi="Arial" w:cs="Arial"/>
      <w:sz w:val="20"/>
      <w:szCs w:val="20"/>
    </w:rPr>
  </w:style>
  <w:style w:type="paragraph" w:styleId="TOC1">
    <w:name w:val="toc 1"/>
    <w:basedOn w:val="Normal"/>
    <w:next w:val="Normal"/>
    <w:uiPriority w:val="39"/>
    <w:unhideWhenUsed/>
    <w:qFormat/>
    <w:pPr>
      <w:spacing w:after="100"/>
    </w:pPr>
  </w:style>
  <w:style w:type="paragraph" w:styleId="TOC2">
    <w:name w:val="toc 2"/>
    <w:basedOn w:val="Normal"/>
    <w:next w:val="Normal"/>
    <w:uiPriority w:val="39"/>
    <w:unhideWhenUsed/>
    <w:qFormat/>
    <w:pPr>
      <w:spacing w:after="100"/>
      <w:ind w:left="220"/>
    </w:pPr>
  </w:style>
  <w:style w:type="paragraph" w:styleId="CommentSubject">
    <w:name w:val="annotation subject"/>
    <w:basedOn w:val="CommentText"/>
    <w:next w:val="CommentText"/>
    <w:link w:val="CommentSubjectChar"/>
    <w:uiPriority w:val="99"/>
    <w:semiHidden/>
    <w:unhideWhenUsed/>
    <w:qFormat/>
    <w:pPr>
      <w:spacing w:after="200"/>
    </w:pPr>
    <w:rPr>
      <w:rFonts w:asciiTheme="minorHAnsi" w:eastAsiaTheme="minorHAnsi" w:hAnsiTheme="minorHAnsi" w:cstheme="minorBidi"/>
      <w:b/>
      <w:bCs/>
    </w:rPr>
  </w:style>
  <w:style w:type="paragraph" w:styleId="CommentText">
    <w:name w:val="annotation text"/>
    <w:basedOn w:val="Normal"/>
    <w:link w:val="CommentTextChar"/>
    <w:uiPriority w:val="99"/>
    <w:unhideWhenUsed/>
    <w:qFormat/>
    <w:pPr>
      <w:spacing w:after="0" w:line="240" w:lineRule="auto"/>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HTMLPreformatted">
    <w:name w:val="HTML Preformatted"/>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paragraph" w:styleId="BodyTextIndent3">
    <w:name w:val="Body Text Indent 3"/>
    <w:basedOn w:val="Normal"/>
    <w:link w:val="BodyTextIndent3Char"/>
    <w:uiPriority w:val="99"/>
    <w:semiHidden/>
    <w:unhideWhenUsed/>
    <w:qFormat/>
    <w:pPr>
      <w:spacing w:after="120"/>
      <w:ind w:left="360"/>
    </w:pPr>
    <w:rPr>
      <w:sz w:val="16"/>
      <w:szCs w:val="16"/>
    </w:rPr>
  </w:style>
  <w:style w:type="paragraph" w:styleId="BodyTextIndent">
    <w:name w:val="Body Text Indent"/>
    <w:basedOn w:val="Normal"/>
    <w:link w:val="BodyTextIndentChar"/>
    <w:uiPriority w:val="99"/>
    <w:semiHidden/>
    <w:unhideWhenUsed/>
    <w:qFormat/>
    <w:pPr>
      <w:spacing w:after="120"/>
      <w:ind w:left="360"/>
    </w:pPr>
  </w:style>
  <w:style w:type="paragraph" w:styleId="NormalWeb">
    <w:name w:val="Normal (Web)"/>
    <w:uiPriority w:val="99"/>
    <w:unhideWhenUsed/>
    <w:qFormat/>
    <w:pPr>
      <w:spacing w:beforeAutospacing="1" w:after="0" w:line="240" w:lineRule="auto"/>
      <w:jc w:val="center"/>
    </w:pPr>
    <w:rPr>
      <w:sz w:val="24"/>
      <w:szCs w:val="24"/>
      <w:lang w:val="en-US" w:eastAsia="zh-CN"/>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BodyText">
    <w:name w:val="Body Text"/>
    <w:basedOn w:val="Normal"/>
    <w:link w:val="BodyTextChar"/>
    <w:uiPriority w:val="1"/>
    <w:qFormat/>
    <w:pPr>
      <w:widowControl w:val="0"/>
      <w:autoSpaceDE w:val="0"/>
      <w:autoSpaceDN w:val="0"/>
      <w:spacing w:after="0" w:line="240" w:lineRule="auto"/>
    </w:pPr>
    <w:rPr>
      <w:rFonts w:ascii="Arial" w:eastAsia="Arial" w:hAnsi="Arial" w:cs="Arial"/>
    </w:rPr>
  </w:style>
  <w:style w:type="character" w:styleId="CommentReference">
    <w:name w:val="annotation reference"/>
    <w:basedOn w:val="DefaultParagraphFont"/>
    <w:uiPriority w:val="99"/>
    <w:unhideWhenUsed/>
    <w:qFormat/>
    <w:rPr>
      <w:sz w:val="16"/>
      <w:szCs w:val="16"/>
    </w:rPr>
  </w:style>
  <w:style w:type="character" w:styleId="FootnoteReference">
    <w:name w:val="footnote reference"/>
    <w:basedOn w:val="DefaultParagraphFont"/>
    <w:uiPriority w:val="99"/>
    <w:unhideWhenUsed/>
    <w:qFormat/>
    <w:rPr>
      <w:vertAlign w:val="superscript"/>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39"/>
    <w:qFormat/>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sid w:val="008E3494"/>
    <w:rPr>
      <w:rFonts w:ascii="Arial" w:eastAsiaTheme="majorEastAsia" w:hAnsi="Arial" w:cs="Arial"/>
      <w:b/>
      <w:color w:val="365F91" w:themeColor="accent1" w:themeShade="BF"/>
      <w:sz w:val="28"/>
      <w:szCs w:val="22"/>
      <w:lang w:eastAsia="en-US"/>
    </w:rPr>
  </w:style>
  <w:style w:type="character" w:customStyle="1" w:styleId="Heading2Char">
    <w:name w:val="Heading 2 Char"/>
    <w:basedOn w:val="DefaultParagraphFont"/>
    <w:link w:val="Heading2"/>
    <w:uiPriority w:val="9"/>
    <w:qFormat/>
    <w:rsid w:val="008E3494"/>
    <w:rPr>
      <w:rFonts w:ascii="Arial" w:eastAsiaTheme="majorEastAsia" w:hAnsi="Arial" w:cs="Arial"/>
      <w:b/>
      <w:color w:val="365F91" w:themeColor="accent1" w:themeShade="BF"/>
      <w:sz w:val="28"/>
      <w:szCs w:val="22"/>
      <w:lang w:eastAsia="en-US"/>
    </w:rPr>
  </w:style>
  <w:style w:type="paragraph" w:customStyle="1" w:styleId="TtulodeTDC1">
    <w:name w:val="Título de TDC1"/>
    <w:basedOn w:val="Heading1"/>
    <w:next w:val="Normal"/>
    <w:uiPriority w:val="39"/>
    <w:unhideWhenUsed/>
    <w:qFormat/>
    <w:pPr>
      <w:spacing w:line="259" w:lineRule="auto"/>
      <w:outlineLvl w:val="9"/>
    </w:pPr>
    <w:rPr>
      <w:lang w:val="en-US"/>
    </w:rPr>
  </w:style>
  <w:style w:type="paragraph" w:styleId="ListParagraph">
    <w:name w:val="List Paragraph"/>
    <w:basedOn w:val="Normal"/>
    <w:link w:val="ListParagraphChar"/>
    <w:uiPriority w:val="34"/>
    <w:qFormat/>
    <w:pPr>
      <w:ind w:left="720"/>
      <w:contextualSpacing/>
    </w:pPr>
  </w:style>
  <w:style w:type="character" w:customStyle="1" w:styleId="BodyTextChar">
    <w:name w:val="Body Text Char"/>
    <w:basedOn w:val="DefaultParagraphFont"/>
    <w:link w:val="BodyText"/>
    <w:uiPriority w:val="1"/>
    <w:qFormat/>
    <w:rPr>
      <w:rFonts w:ascii="Arial" w:eastAsia="Arial" w:hAnsi="Arial" w:cs="Arial"/>
    </w:rPr>
  </w:style>
  <w:style w:type="character" w:customStyle="1" w:styleId="FootnoteTextChar">
    <w:name w:val="Footnote Text Char"/>
    <w:basedOn w:val="DefaultParagraphFont"/>
    <w:link w:val="FootnoteText"/>
    <w:qFormat/>
    <w:rPr>
      <w:rFonts w:ascii="Arial" w:eastAsia="Arial" w:hAnsi="Arial" w:cs="Arial"/>
      <w:sz w:val="20"/>
      <w:szCs w:val="20"/>
    </w:rPr>
  </w:style>
  <w:style w:type="paragraph" w:customStyle="1" w:styleId="Default">
    <w:name w:val="Default"/>
    <w:qFormat/>
    <w:pPr>
      <w:autoSpaceDE w:val="0"/>
      <w:autoSpaceDN w:val="0"/>
      <w:adjustRightInd w:val="0"/>
      <w:spacing w:after="0" w:line="240" w:lineRule="auto"/>
    </w:pPr>
    <w:rPr>
      <w:rFonts w:ascii="Arial" w:eastAsiaTheme="minorHAnsi" w:hAnsi="Arial" w:cs="Arial"/>
      <w:color w:val="000000"/>
      <w:sz w:val="24"/>
      <w:szCs w:val="24"/>
      <w:lang w:val="en-US" w:eastAsia="en-US"/>
    </w:rPr>
  </w:style>
  <w:style w:type="paragraph" w:customStyle="1" w:styleId="Chapter">
    <w:name w:val="Chapter"/>
    <w:basedOn w:val="Normal"/>
    <w:next w:val="Normal"/>
    <w:qFormat/>
    <w:pPr>
      <w:keepNext/>
      <w:numPr>
        <w:numId w:val="2"/>
      </w:numPr>
      <w:tabs>
        <w:tab w:val="clear" w:pos="1800"/>
        <w:tab w:val="left" w:pos="360"/>
        <w:tab w:val="left" w:pos="648"/>
        <w:tab w:val="left" w:pos="1440"/>
      </w:tabs>
      <w:spacing w:before="240" w:after="240" w:line="240" w:lineRule="auto"/>
      <w:ind w:left="0" w:firstLine="0"/>
      <w:jc w:val="center"/>
    </w:pPr>
    <w:rPr>
      <w:rFonts w:ascii="Times New Roman" w:eastAsia="Times New Roman" w:hAnsi="Times New Roman" w:cs="Times New Roman"/>
      <w:b/>
      <w:smallCaps/>
      <w:sz w:val="24"/>
      <w:szCs w:val="20"/>
      <w:lang w:val="es-ES"/>
    </w:rPr>
  </w:style>
  <w:style w:type="paragraph" w:customStyle="1" w:styleId="Paragraph">
    <w:name w:val="Paragraph"/>
    <w:basedOn w:val="BodyTextIndent"/>
    <w:link w:val="ParagraphCar"/>
    <w:qFormat/>
    <w:pPr>
      <w:numPr>
        <w:ilvl w:val="1"/>
        <w:numId w:val="2"/>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qFormat/>
    <w:pPr>
      <w:numPr>
        <w:ilvl w:val="2"/>
        <w:numId w:val="2"/>
      </w:numPr>
      <w:tabs>
        <w:tab w:val="clear" w:pos="2304"/>
        <w:tab w:val="left" w:pos="1152"/>
      </w:tabs>
      <w:spacing w:before="120" w:line="240" w:lineRule="auto"/>
      <w:ind w:left="1152" w:hanging="180"/>
      <w:jc w:val="both"/>
      <w:outlineLvl w:val="2"/>
    </w:pPr>
    <w:rPr>
      <w:rFonts w:ascii="Times New Roman" w:eastAsia="Times New Roman" w:hAnsi="Times New Roman" w:cs="Times New Roman"/>
      <w:sz w:val="24"/>
      <w:szCs w:val="20"/>
    </w:rPr>
  </w:style>
  <w:style w:type="paragraph" w:customStyle="1" w:styleId="SubSubPar">
    <w:name w:val="SubSubPar"/>
    <w:basedOn w:val="subpar"/>
    <w:qFormat/>
    <w:pPr>
      <w:numPr>
        <w:ilvl w:val="3"/>
      </w:numPr>
      <w:tabs>
        <w:tab w:val="left" w:pos="0"/>
        <w:tab w:val="left" w:pos="1296"/>
      </w:tabs>
      <w:ind w:left="1296" w:hanging="360"/>
    </w:pPr>
  </w:style>
  <w:style w:type="character" w:customStyle="1" w:styleId="ParagraphCar">
    <w:name w:val="Paragraph Car"/>
    <w:basedOn w:val="DefaultParagraphFont"/>
    <w:link w:val="Paragraph"/>
    <w:qFormat/>
    <w:locked/>
    <w:rPr>
      <w:rFonts w:ascii="Times New Roman" w:eastAsia="Times New Roman" w:hAnsi="Times New Roman" w:cs="Times New Roman"/>
      <w:sz w:val="24"/>
      <w:szCs w:val="20"/>
      <w:lang w:val="es-ES"/>
    </w:rPr>
  </w:style>
  <w:style w:type="character" w:customStyle="1" w:styleId="CommentTextChar">
    <w:name w:val="Comment Text Char"/>
    <w:basedOn w:val="DefaultParagraphFont"/>
    <w:link w:val="CommentText"/>
    <w:uiPriority w:val="99"/>
    <w:qFormat/>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uiPriority w:val="99"/>
    <w:semiHidden/>
    <w:qFormat/>
  </w:style>
  <w:style w:type="character" w:customStyle="1" w:styleId="BodyTextIndent3Char">
    <w:name w:val="Body Text Indent 3 Char"/>
    <w:basedOn w:val="DefaultParagraphFont"/>
    <w:link w:val="BodyTextIndent3"/>
    <w:uiPriority w:val="99"/>
    <w:semiHidden/>
    <w:qFormat/>
    <w:rPr>
      <w:sz w:val="16"/>
      <w:szCs w:val="16"/>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CommentSubjectChar">
    <w:name w:val="Comment Subject Char"/>
    <w:basedOn w:val="CommentTextChar"/>
    <w:link w:val="CommentSubject"/>
    <w:uiPriority w:val="99"/>
    <w:semiHidden/>
    <w:qFormat/>
    <w:rPr>
      <w:rFonts w:ascii="Times New Roman" w:eastAsia="Times New Roman" w:hAnsi="Times New Roman" w:cs="Times New Roman"/>
      <w:b/>
      <w:bCs/>
      <w:sz w:val="20"/>
      <w:szCs w:val="20"/>
    </w:rPr>
  </w:style>
  <w:style w:type="character" w:customStyle="1" w:styleId="Heading4Char">
    <w:name w:val="Heading 4 Char"/>
    <w:basedOn w:val="DefaultParagraphFont"/>
    <w:link w:val="Heading4"/>
    <w:semiHidden/>
    <w:qFormat/>
    <w:rPr>
      <w:rFonts w:ascii="Times New Roman Bold" w:eastAsia="Times New Roman" w:hAnsi="Times New Roman Bold" w:cs="Times New Roman"/>
      <w:sz w:val="24"/>
      <w:szCs w:val="20"/>
      <w:lang w:val="zh-CN" w:eastAsia="zh-CN"/>
    </w:rPr>
  </w:style>
  <w:style w:type="character" w:customStyle="1" w:styleId="Heading5Char">
    <w:name w:val="Heading 5 Char"/>
    <w:basedOn w:val="DefaultParagraphFont"/>
    <w:link w:val="Heading5"/>
    <w:semiHidden/>
    <w:qFormat/>
    <w:rPr>
      <w:rFonts w:ascii="Times New Roman Bold" w:eastAsia="Times New Roman" w:hAnsi="Times New Roman Bold" w:cs="Times New Roman"/>
      <w:sz w:val="24"/>
      <w:szCs w:val="20"/>
      <w:lang w:val="zh-CN" w:eastAsia="zh-CN"/>
    </w:rPr>
  </w:style>
  <w:style w:type="paragraph" w:customStyle="1" w:styleId="AutoNumpara">
    <w:name w:val="AutoNumpara"/>
    <w:basedOn w:val="BodyTextIndent"/>
    <w:qFormat/>
    <w:pPr>
      <w:numPr>
        <w:ilvl w:val="1"/>
        <w:numId w:val="1"/>
      </w:numPr>
      <w:tabs>
        <w:tab w:val="clear" w:pos="720"/>
        <w:tab w:val="left" w:pos="360"/>
      </w:tabs>
      <w:spacing w:before="120" w:line="240" w:lineRule="auto"/>
      <w:ind w:left="283" w:firstLine="0"/>
      <w:jc w:val="both"/>
    </w:pPr>
    <w:rPr>
      <w:rFonts w:ascii="Times New Roman" w:eastAsia="Times New Roman" w:hAnsi="Times New Roman" w:cs="Times New Roman"/>
      <w:spacing w:val="-2"/>
      <w:sz w:val="24"/>
      <w:szCs w:val="20"/>
      <w:lang w:eastAsia="zh-CN"/>
    </w:rPr>
  </w:style>
  <w:style w:type="table" w:customStyle="1" w:styleId="TableNormal1">
    <w:name w:val="Table Normal1"/>
    <w:uiPriority w:val="2"/>
    <w:semiHidden/>
    <w:unhideWhenUsed/>
    <w:qFormat/>
    <w:pPr>
      <w:widowControl w:val="0"/>
      <w:autoSpaceDE w:val="0"/>
      <w:autoSpaceDN w:val="0"/>
      <w:spacing w:after="0" w:line="240" w:lineRule="auto"/>
    </w:p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after="0" w:line="240" w:lineRule="auto"/>
    </w:pPr>
    <w:rPr>
      <w:rFonts w:ascii="Times New Roman" w:eastAsia="Times New Roman" w:hAnsi="Times New Roman" w:cs="Times New Roman"/>
      <w:lang w:val="en-US" w:bidi="en-US"/>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western">
    <w:name w:val="western"/>
    <w:qFormat/>
    <w:rPr>
      <w:sz w:val="24"/>
      <w:szCs w:val="24"/>
      <w:lang w:val="en-US" w:eastAsia="zh-CN"/>
    </w:rPr>
  </w:style>
  <w:style w:type="paragraph" w:customStyle="1" w:styleId="sdfootnote-western">
    <w:name w:val="sdfootnote-western"/>
    <w:qFormat/>
    <w:pPr>
      <w:keepNext/>
      <w:spacing w:after="115"/>
      <w:ind w:left="288" w:hanging="288"/>
      <w:jc w:val="both"/>
    </w:pPr>
    <w:rPr>
      <w:spacing w:val="-4"/>
      <w:lang w:val="en-US" w:eastAsia="zh-CN"/>
    </w:rPr>
  </w:style>
  <w:style w:type="character" w:customStyle="1" w:styleId="ListParagraphChar">
    <w:name w:val="List Paragraph Char"/>
    <w:link w:val="ListParagraph"/>
    <w:uiPriority w:val="34"/>
    <w:qFormat/>
    <w:locked/>
    <w:rPr>
      <w:rFonts w:asciiTheme="minorHAnsi" w:eastAsiaTheme="minorHAnsi" w:hAnsiTheme="minorHAnsi" w:cstheme="minorBidi"/>
      <w:sz w:val="22"/>
      <w:szCs w:val="22"/>
      <w:lang w:eastAsia="en-US"/>
    </w:rPr>
  </w:style>
  <w:style w:type="paragraph" w:customStyle="1" w:styleId="equation">
    <w:name w:val="equation"/>
    <w:basedOn w:val="Normal"/>
    <w:next w:val="Normal"/>
    <w:uiPriority w:val="99"/>
    <w:rsid w:val="000B7F6B"/>
    <w:pPr>
      <w:keepLines/>
      <w:autoSpaceDE w:val="0"/>
      <w:autoSpaceDN w:val="0"/>
      <w:adjustRightInd w:val="0"/>
      <w:spacing w:before="120" w:after="120" w:line="240" w:lineRule="auto"/>
    </w:pPr>
    <w:rPr>
      <w:rFonts w:ascii="Times New Roman" w:eastAsiaTheme="minorEastAsia" w:hAnsi="Times New Roman" w:cs="Times New Roman"/>
      <w:noProof/>
      <w:sz w:val="24"/>
      <w:szCs w:val="24"/>
      <w:lang w:val="en-US"/>
    </w:rPr>
  </w:style>
  <w:style w:type="table" w:styleId="GridTable1Light">
    <w:name w:val="Grid Table 1 Light"/>
    <w:basedOn w:val="TableNormal"/>
    <w:uiPriority w:val="46"/>
    <w:rsid w:val="005D5DA8"/>
    <w:pPr>
      <w:spacing w:after="0" w:line="240" w:lineRule="auto"/>
    </w:pPr>
    <w:rPr>
      <w:rFonts w:asciiTheme="minorHAnsi" w:eastAsiaTheme="minorHAnsi" w:hAnsiTheme="minorHAnsi" w:cstheme="minorBidi"/>
      <w:sz w:val="22"/>
      <w:szCs w:val="22"/>
      <w:lang w:val="en-US"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3Char">
    <w:name w:val="Heading 3 Char"/>
    <w:basedOn w:val="DefaultParagraphFont"/>
    <w:link w:val="Heading3"/>
    <w:uiPriority w:val="9"/>
    <w:rsid w:val="00181B8D"/>
    <w:rPr>
      <w:rFonts w:ascii="Arial" w:eastAsiaTheme="majorEastAsia" w:hAnsi="Arial" w:cs="Arial"/>
      <w:b/>
      <w:color w:val="243F60" w:themeColor="accent1" w:themeShade="7F"/>
      <w:sz w:val="24"/>
      <w:szCs w:val="24"/>
      <w:lang w:val="pt-BR" w:eastAsia="en-US"/>
    </w:rPr>
  </w:style>
  <w:style w:type="character" w:styleId="Strong">
    <w:name w:val="Strong"/>
    <w:basedOn w:val="DefaultParagraphFont"/>
    <w:uiPriority w:val="22"/>
    <w:qFormat/>
    <w:rsid w:val="00181B8D"/>
    <w:rPr>
      <w:rFonts w:ascii="Arial" w:hAnsi="Arial" w:cs="Arial"/>
      <w:b/>
      <w:bCs/>
    </w:rPr>
  </w:style>
  <w:style w:type="paragraph" w:styleId="TOC3">
    <w:name w:val="toc 3"/>
    <w:basedOn w:val="Normal"/>
    <w:next w:val="Normal"/>
    <w:autoRedefine/>
    <w:uiPriority w:val="39"/>
    <w:unhideWhenUsed/>
    <w:rsid w:val="0012236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01593">
      <w:bodyDiv w:val="1"/>
      <w:marLeft w:val="0"/>
      <w:marRight w:val="0"/>
      <w:marTop w:val="0"/>
      <w:marBottom w:val="0"/>
      <w:divBdr>
        <w:top w:val="none" w:sz="0" w:space="0" w:color="auto"/>
        <w:left w:val="none" w:sz="0" w:space="0" w:color="auto"/>
        <w:bottom w:val="none" w:sz="0" w:space="0" w:color="auto"/>
        <w:right w:val="none" w:sz="0" w:space="0" w:color="auto"/>
      </w:divBdr>
    </w:div>
    <w:div w:id="225724811">
      <w:bodyDiv w:val="1"/>
      <w:marLeft w:val="0"/>
      <w:marRight w:val="0"/>
      <w:marTop w:val="0"/>
      <w:marBottom w:val="0"/>
      <w:divBdr>
        <w:top w:val="none" w:sz="0" w:space="0" w:color="auto"/>
        <w:left w:val="none" w:sz="0" w:space="0" w:color="auto"/>
        <w:bottom w:val="none" w:sz="0" w:space="0" w:color="auto"/>
        <w:right w:val="none" w:sz="0" w:space="0" w:color="auto"/>
      </w:divBdr>
    </w:div>
    <w:div w:id="414743457">
      <w:bodyDiv w:val="1"/>
      <w:marLeft w:val="0"/>
      <w:marRight w:val="0"/>
      <w:marTop w:val="0"/>
      <w:marBottom w:val="0"/>
      <w:divBdr>
        <w:top w:val="none" w:sz="0" w:space="0" w:color="auto"/>
        <w:left w:val="none" w:sz="0" w:space="0" w:color="auto"/>
        <w:bottom w:val="none" w:sz="0" w:space="0" w:color="auto"/>
        <w:right w:val="none" w:sz="0" w:space="0" w:color="auto"/>
      </w:divBdr>
    </w:div>
    <w:div w:id="430204376">
      <w:bodyDiv w:val="1"/>
      <w:marLeft w:val="0"/>
      <w:marRight w:val="0"/>
      <w:marTop w:val="0"/>
      <w:marBottom w:val="0"/>
      <w:divBdr>
        <w:top w:val="none" w:sz="0" w:space="0" w:color="auto"/>
        <w:left w:val="none" w:sz="0" w:space="0" w:color="auto"/>
        <w:bottom w:val="none" w:sz="0" w:space="0" w:color="auto"/>
        <w:right w:val="none" w:sz="0" w:space="0" w:color="auto"/>
      </w:divBdr>
    </w:div>
    <w:div w:id="879634569">
      <w:bodyDiv w:val="1"/>
      <w:marLeft w:val="0"/>
      <w:marRight w:val="0"/>
      <w:marTop w:val="0"/>
      <w:marBottom w:val="0"/>
      <w:divBdr>
        <w:top w:val="none" w:sz="0" w:space="0" w:color="auto"/>
        <w:left w:val="none" w:sz="0" w:space="0" w:color="auto"/>
        <w:bottom w:val="none" w:sz="0" w:space="0" w:color="auto"/>
        <w:right w:val="none" w:sz="0" w:space="0" w:color="auto"/>
      </w:divBdr>
    </w:div>
    <w:div w:id="1031615151">
      <w:bodyDiv w:val="1"/>
      <w:marLeft w:val="0"/>
      <w:marRight w:val="0"/>
      <w:marTop w:val="0"/>
      <w:marBottom w:val="0"/>
      <w:divBdr>
        <w:top w:val="none" w:sz="0" w:space="0" w:color="auto"/>
        <w:left w:val="none" w:sz="0" w:space="0" w:color="auto"/>
        <w:bottom w:val="none" w:sz="0" w:space="0" w:color="auto"/>
        <w:right w:val="none" w:sz="0" w:space="0" w:color="auto"/>
      </w:divBdr>
    </w:div>
    <w:div w:id="1183785522">
      <w:bodyDiv w:val="1"/>
      <w:marLeft w:val="0"/>
      <w:marRight w:val="0"/>
      <w:marTop w:val="0"/>
      <w:marBottom w:val="0"/>
      <w:divBdr>
        <w:top w:val="none" w:sz="0" w:space="0" w:color="auto"/>
        <w:left w:val="none" w:sz="0" w:space="0" w:color="auto"/>
        <w:bottom w:val="none" w:sz="0" w:space="0" w:color="auto"/>
        <w:right w:val="none" w:sz="0" w:space="0" w:color="auto"/>
      </w:divBdr>
    </w:div>
    <w:div w:id="21261474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85627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FFFE617529D9944B81ADBFB1C70B645" ma:contentTypeVersion="2197" ma:contentTypeDescription="A content type to manage public (operations) IDB documents" ma:contentTypeScope="" ma:versionID="125fea9bc300a3c5a86f2fc67dbf01b5">
  <xsd:schema xmlns:xsd="http://www.w3.org/2001/XMLSchema" xmlns:xs="http://www.w3.org/2001/XMLSchema" xmlns:p="http://schemas.microsoft.com/office/2006/metadata/properties" xmlns:ns2="cdc7663a-08f0-4737-9e8c-148ce897a09c" targetNamespace="http://schemas.microsoft.com/office/2006/metadata/properties" ma:root="true" ma:fieldsID="65368e6d67f7a08853fca9371ae309e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4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R0002543226</Record_x0020_Number>
    <Key_x0020_Document xmlns="cdc7663a-08f0-4737-9e8c-148ce897a09c">false</Key_x0020_Document>
    <Division_x0020_or_x0020_Unit xmlns="cdc7663a-08f0-4737-9e8c-148ce897a09c">CSD/HUD</Division_x0020_or_x0020_Unit>
    <IDBDocs_x0020_Number xmlns="cdc7663a-08f0-4737-9e8c-148ce897a09c" xsi:nil="true"/>
    <Document_x0020_Author xmlns="cdc7663a-08f0-4737-9e8c-148ce897a09c">Libertun de Duren, Nora Ruth</Document_x0020_Author>
    <_dlc_DocId xmlns="cdc7663a-08f0-4737-9e8c-148ce897a09c">EZSHARE-301221770-22</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TaxCatchAll xmlns="cdc7663a-08f0-4737-9e8c-148ce897a09c">
      <Value>43</Value>
      <Value>32</Value>
      <Value>30</Value>
      <Value>1</Value>
      <Value>42</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EC-L1245</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HOUSING</TermName>
          <TermId xmlns="http://schemas.microsoft.com/office/infopath/2007/PartnerControls">d64eac7c-6cd0-4be4-b4cc-4d2eef10277e</TermId>
        </TermInfo>
      </Terms>
    </b2ec7cfb18674cb8803df6b262e8b107>
    <Document_x0020_Language_x0020_IDB xmlns="cdc7663a-08f0-4737-9e8c-148ce897a09c">Spanish</Document_x0020_Language_x0020_IDB>
    <_dlc_DocIdUrl xmlns="cdc7663a-08f0-4737-9e8c-148ce897a09c">
      <Url>https://idbg.sharepoint.com/teams/EZ-EC-LON/EC-L1245/_layouts/15/DocIdRedir.aspx?ID=EZSHARE-301221770-22</Url>
      <Description>EZSHARE-301221770-22</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6F663-4177-41D5-8978-4BE94C510F6E}"/>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9C8417E-4B05-4C93-B9C5-5E3C9E14C786}">
  <ds:schemaRefs>
    <ds:schemaRef ds:uri="http://schemas.microsoft.com/sharepoint/v3/contenttype/forms"/>
  </ds:schemaRefs>
</ds:datastoreItem>
</file>

<file path=customXml/itemProps4.xml><?xml version="1.0" encoding="utf-8"?>
<ds:datastoreItem xmlns:ds="http://schemas.openxmlformats.org/officeDocument/2006/customXml" ds:itemID="{1AAE6D29-53A1-4DEF-88A0-976CE55FAC44}">
  <ds:schemaRefs>
    <ds:schemaRef ds:uri="http://schemas.microsoft.com/sharepoint/events"/>
  </ds:schemaRefs>
</ds:datastoreItem>
</file>

<file path=customXml/itemProps5.xml><?xml version="1.0" encoding="utf-8"?>
<ds:datastoreItem xmlns:ds="http://schemas.openxmlformats.org/officeDocument/2006/customXml" ds:itemID="{F67E0A34-F710-4475-A029-971B915E0FC3}">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278DD125-DD82-4046-8A67-7FC3DF989344}">
  <ds:schemaRefs>
    <ds:schemaRef ds:uri="Microsoft.SharePoint.Taxonomy.ContentTypeSync"/>
  </ds:schemaRefs>
</ds:datastoreItem>
</file>

<file path=customXml/itemProps7.xml><?xml version="1.0" encoding="utf-8"?>
<ds:datastoreItem xmlns:ds="http://schemas.openxmlformats.org/officeDocument/2006/customXml" ds:itemID="{3BB1B948-EC1B-4EF7-AEB7-10B75DC98374}">
  <ds:schemaRefs>
    <ds:schemaRef ds:uri="http://schemas.microsoft.com/sharepoint/v3/contenttype/forms/url"/>
  </ds:schemaRefs>
</ds:datastoreItem>
</file>

<file path=customXml/itemProps8.xml><?xml version="1.0" encoding="utf-8"?>
<ds:datastoreItem xmlns:ds="http://schemas.openxmlformats.org/officeDocument/2006/customXml" ds:itemID="{FF923DC7-399D-4065-9442-EA17C04DD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11984</Words>
  <Characters>65917</Characters>
  <Application>Microsoft Office Word</Application>
  <DocSecurity>0</DocSecurity>
  <Lines>549</Lines>
  <Paragraphs>155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Acevedo Alameda, Paloma</dc:creator>
  <cp:keywords/>
  <cp:lastModifiedBy>Melissa Paredes</cp:lastModifiedBy>
  <cp:revision>4</cp:revision>
  <dcterms:created xsi:type="dcterms:W3CDTF">2019-02-18T14:06:00Z</dcterms:created>
  <dcterms:modified xsi:type="dcterms:W3CDTF">2019-02-18T14:21:00Z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43;#HOUSING|d64eac7c-6cd0-4be4-b4cc-4d2eef10277e</vt:lpwstr>
  </property>
  <property fmtid="{D5CDD505-2E9C-101B-9397-08002B2CF9AE}" pid="6" name="Country">
    <vt:lpwstr>32;#Ecuador|8f163189-00fa-4e7c-827d-28fb5798781c</vt:lpwstr>
  </property>
  <property fmtid="{D5CDD505-2E9C-101B-9397-08002B2CF9AE}" pid="7" name="Fund IDB">
    <vt:lpwstr>30;#ORC|c028a4b2-ad8b-4cf4-9cac-a2ae6a778e23</vt:lpwstr>
  </property>
  <property fmtid="{D5CDD505-2E9C-101B-9397-08002B2CF9AE}" pid="8" name="_dlc_DocIdItemGuid">
    <vt:lpwstr>bcab145e-141f-4df3-b999-adcaec2f4c8b</vt:lpwstr>
  </property>
  <property fmtid="{D5CDD505-2E9C-101B-9397-08002B2CF9AE}" pid="9" name="Sector IDB">
    <vt:lpwstr>42;#URBAN DEVELOPMENT AND HOUSING|d14615ee-683d-4ec6-a5cf-ae743c6c4ac1</vt:lpwstr>
  </property>
  <property fmtid="{D5CDD505-2E9C-101B-9397-08002B2CF9AE}" pid="10" name="Function Operations IDB">
    <vt:lpwstr>1;#Project Preparation, Planning and Design|29ca0c72-1fc4-435f-a09c-28585cb5eac9</vt:lpwstr>
  </property>
  <property fmtid="{D5CDD505-2E9C-101B-9397-08002B2CF9AE}" pid="12" name="KSOProductBuildVer">
    <vt:lpwstr>2058-10.2.0.7635</vt:lpwstr>
  </property>
  <property fmtid="{D5CDD505-2E9C-101B-9397-08002B2CF9AE}" pid="13" name="ContentTypeId">
    <vt:lpwstr>0x0101001A458A224826124E8B45B1D613300CFC00FFFFE617529D9944B81ADBFB1C70B645</vt:lpwstr>
  </property>
</Properties>
</file>