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8DF7F" w14:textId="6699B66D" w:rsidR="00EB70D8" w:rsidRPr="00267FC2" w:rsidRDefault="00EB70D8" w:rsidP="00E60CED">
      <w:pPr>
        <w:shd w:val="clear" w:color="auto" w:fill="FFFFFF"/>
        <w:spacing w:line="240" w:lineRule="auto"/>
        <w:jc w:val="center"/>
        <w:outlineLvl w:val="0"/>
        <w:rPr>
          <w:rFonts w:ascii="Times New Roman" w:hAnsi="Times New Roman"/>
          <w:b/>
          <w:smallCaps/>
          <w:sz w:val="20"/>
          <w:szCs w:val="20"/>
          <w:lang w:val="es-ES"/>
        </w:rPr>
      </w:pPr>
      <w:bookmarkStart w:id="0" w:name="_GoBack"/>
      <w:bookmarkEnd w:id="0"/>
      <w:r w:rsidRPr="00267FC2">
        <w:rPr>
          <w:rFonts w:ascii="Times New Roman" w:hAnsi="Times New Roman"/>
          <w:b/>
          <w:smallCaps/>
          <w:sz w:val="20"/>
          <w:szCs w:val="20"/>
          <w:lang w:val="es-ES"/>
        </w:rPr>
        <w:t>M</w:t>
      </w:r>
      <w:r w:rsidR="00957EFA">
        <w:rPr>
          <w:rFonts w:ascii="Times New Roman" w:hAnsi="Times New Roman"/>
          <w:b/>
          <w:smallCaps/>
          <w:sz w:val="20"/>
          <w:szCs w:val="20"/>
          <w:lang w:val="es-ES"/>
        </w:rPr>
        <w:t xml:space="preserve">emoria de </w:t>
      </w:r>
      <w:r w:rsidR="00D50B33">
        <w:rPr>
          <w:rFonts w:ascii="Times New Roman" w:hAnsi="Times New Roman"/>
          <w:b/>
          <w:smallCaps/>
          <w:sz w:val="20"/>
          <w:szCs w:val="20"/>
          <w:lang w:val="es-ES"/>
        </w:rPr>
        <w:t>Cálculo</w:t>
      </w:r>
      <w:r w:rsidR="00957EFA">
        <w:rPr>
          <w:rFonts w:ascii="Times New Roman" w:hAnsi="Times New Roman"/>
          <w:b/>
          <w:smallCaps/>
          <w:sz w:val="20"/>
          <w:szCs w:val="20"/>
          <w:lang w:val="es-ES"/>
        </w:rPr>
        <w:t xml:space="preserve"> de los Indicadores</w:t>
      </w:r>
    </w:p>
    <w:p w14:paraId="69113769" w14:textId="77777777" w:rsidR="00600206" w:rsidRDefault="00600206" w:rsidP="00D467B6">
      <w:pPr>
        <w:spacing w:after="0" w:line="240" w:lineRule="auto"/>
        <w:jc w:val="center"/>
        <w:rPr>
          <w:rFonts w:ascii="Times New Roman" w:hAnsi="Times New Roman"/>
          <w:b/>
          <w:sz w:val="20"/>
          <w:szCs w:val="20"/>
          <w:lang w:val="es-ES"/>
        </w:rPr>
      </w:pPr>
    </w:p>
    <w:p w14:paraId="74F5B3A8" w14:textId="77777777" w:rsidR="00EB70D8" w:rsidRPr="00267FC2" w:rsidRDefault="00EB70D8" w:rsidP="00D467B6">
      <w:pPr>
        <w:spacing w:after="0" w:line="240" w:lineRule="auto"/>
        <w:jc w:val="center"/>
        <w:rPr>
          <w:rFonts w:ascii="Times New Roman" w:hAnsi="Times New Roman"/>
          <w:b/>
          <w:sz w:val="20"/>
          <w:szCs w:val="20"/>
          <w:lang w:val="es-ES"/>
        </w:rPr>
      </w:pPr>
      <w:r w:rsidRPr="00267FC2">
        <w:rPr>
          <w:rFonts w:ascii="Times New Roman" w:hAnsi="Times New Roman"/>
          <w:b/>
          <w:sz w:val="20"/>
          <w:szCs w:val="20"/>
          <w:lang w:val="es-ES"/>
        </w:rPr>
        <w:t>IMPACTO ESPERADO</w:t>
      </w:r>
    </w:p>
    <w:p w14:paraId="2DEC7293" w14:textId="77777777" w:rsidR="00D467B6" w:rsidRDefault="00D467B6" w:rsidP="00D467B6">
      <w:pPr>
        <w:spacing w:after="0" w:line="240" w:lineRule="auto"/>
        <w:jc w:val="both"/>
        <w:rPr>
          <w:rFonts w:ascii="Times New Roman" w:hAnsi="Times New Roman"/>
          <w:b/>
          <w:bCs/>
          <w:sz w:val="20"/>
          <w:szCs w:val="20"/>
          <w:u w:val="single"/>
          <w:lang w:val="es-ES"/>
        </w:rPr>
      </w:pPr>
    </w:p>
    <w:p w14:paraId="10FA285C" w14:textId="23D49889" w:rsidR="00EB70D8" w:rsidRPr="00267FC2" w:rsidRDefault="00957EFA" w:rsidP="00D467B6">
      <w:pPr>
        <w:spacing w:after="0" w:line="240" w:lineRule="auto"/>
        <w:jc w:val="both"/>
        <w:rPr>
          <w:rFonts w:ascii="Times New Roman" w:hAnsi="Times New Roman"/>
          <w:bCs/>
          <w:sz w:val="20"/>
          <w:szCs w:val="20"/>
          <w:lang w:val="es-ES"/>
        </w:rPr>
      </w:pPr>
      <w:r w:rsidRPr="00D467B6">
        <w:rPr>
          <w:rFonts w:ascii="Times New Roman" w:hAnsi="Times New Roman"/>
          <w:b/>
          <w:bCs/>
          <w:sz w:val="20"/>
          <w:szCs w:val="20"/>
          <w:u w:val="single"/>
          <w:lang w:val="es-ES"/>
        </w:rPr>
        <w:t>Impacto Esperado</w:t>
      </w:r>
      <w:r w:rsidR="00D467B6">
        <w:rPr>
          <w:rFonts w:ascii="Times New Roman" w:hAnsi="Times New Roman"/>
          <w:b/>
          <w:bCs/>
          <w:sz w:val="20"/>
          <w:szCs w:val="20"/>
          <w:u w:val="single"/>
          <w:lang w:val="es-ES"/>
        </w:rPr>
        <w:t>:</w:t>
      </w:r>
      <w:r w:rsidRPr="00957EFA">
        <w:rPr>
          <w:rFonts w:ascii="Times New Roman" w:hAnsi="Times New Roman"/>
          <w:bCs/>
          <w:sz w:val="20"/>
          <w:szCs w:val="20"/>
          <w:lang w:val="es-ES"/>
        </w:rPr>
        <w:t xml:space="preserve"> </w:t>
      </w:r>
      <w:r w:rsidR="00D467B6">
        <w:rPr>
          <w:rFonts w:ascii="Times New Roman" w:hAnsi="Times New Roman"/>
          <w:bCs/>
          <w:sz w:val="20"/>
          <w:szCs w:val="20"/>
          <w:lang w:val="es-ES"/>
        </w:rPr>
        <w:t>C</w:t>
      </w:r>
      <w:r w:rsidRPr="00957EFA">
        <w:rPr>
          <w:rFonts w:ascii="Times New Roman" w:hAnsi="Times New Roman"/>
          <w:bCs/>
          <w:sz w:val="20"/>
          <w:szCs w:val="20"/>
          <w:lang w:val="es-ES"/>
        </w:rPr>
        <w:t>ontribuir a reducir los índices de crímenes violentos (homicidios y robos) en 8 municipios de ES.</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957EFA" w:rsidRPr="00957EFA" w14:paraId="07551B15" w14:textId="77777777" w:rsidTr="00D467B6">
        <w:trPr>
          <w:jc w:val="center"/>
        </w:trPr>
        <w:tc>
          <w:tcPr>
            <w:tcW w:w="2597" w:type="dxa"/>
            <w:tcBorders>
              <w:bottom w:val="single" w:sz="4" w:space="0" w:color="auto"/>
            </w:tcBorders>
            <w:shd w:val="clear" w:color="auto" w:fill="D6E3BC" w:themeFill="accent3" w:themeFillTint="66"/>
            <w:vAlign w:val="center"/>
          </w:tcPr>
          <w:p w14:paraId="40FD0DB9" w14:textId="66FCAE66" w:rsidR="00957EFA" w:rsidRPr="00D467B6" w:rsidRDefault="00957EFA" w:rsidP="00D467B6">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47044D3F" w14:textId="38E16843" w:rsidR="00957EFA" w:rsidRPr="00D467B6" w:rsidRDefault="00957EFA" w:rsidP="00D467B6">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Unidad</w:t>
            </w:r>
            <w:r w:rsidR="00D467B6">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21B3BC8C" w14:textId="5C9037E3" w:rsidR="00957EFA" w:rsidRPr="00D467B6" w:rsidRDefault="00957EFA" w:rsidP="00D467B6">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957EFA" w:rsidRPr="000346A8" w14:paraId="582C0161" w14:textId="77777777" w:rsidTr="00D467B6">
        <w:trPr>
          <w:jc w:val="center"/>
        </w:trPr>
        <w:tc>
          <w:tcPr>
            <w:tcW w:w="2597" w:type="dxa"/>
            <w:tcBorders>
              <w:bottom w:val="single" w:sz="4" w:space="0" w:color="auto"/>
            </w:tcBorders>
            <w:vAlign w:val="center"/>
          </w:tcPr>
          <w:p w14:paraId="61B074E2" w14:textId="61988219" w:rsidR="00957EFA" w:rsidRPr="00267FC2" w:rsidRDefault="00D467B6" w:rsidP="009A3882">
            <w:pPr>
              <w:tabs>
                <w:tab w:val="left" w:pos="432"/>
              </w:tabs>
              <w:spacing w:after="0" w:line="240" w:lineRule="auto"/>
              <w:ind w:left="252" w:hanging="252"/>
              <w:rPr>
                <w:rFonts w:ascii="Times New Roman" w:hAnsi="Times New Roman"/>
                <w:sz w:val="20"/>
                <w:szCs w:val="20"/>
                <w:lang w:val="es-ES"/>
              </w:rPr>
            </w:pPr>
            <w:r>
              <w:rPr>
                <w:rFonts w:ascii="Times New Roman" w:hAnsi="Times New Roman"/>
                <w:sz w:val="20"/>
                <w:szCs w:val="20"/>
                <w:lang w:val="es-ES"/>
              </w:rPr>
              <w:t>1. Homicidios</w:t>
            </w:r>
            <w:r w:rsidR="00D1470B">
              <w:rPr>
                <w:rFonts w:ascii="Times New Roman" w:hAnsi="Times New Roman"/>
                <w:sz w:val="20"/>
                <w:szCs w:val="20"/>
                <w:lang w:val="es-ES"/>
              </w:rPr>
              <w:t xml:space="preserve"> </w:t>
            </w:r>
            <w:r w:rsidR="00D1470B">
              <w:rPr>
                <w:rFonts w:ascii="Times New Roman" w:hAnsi="Times New Roman"/>
                <w:sz w:val="20"/>
                <w:szCs w:val="20"/>
                <w:lang w:val="es-ES" w:eastAsia="pt-BR"/>
              </w:rPr>
              <w:t>en los 8 mun</w:t>
            </w:r>
            <w:r w:rsidR="00D1470B">
              <w:rPr>
                <w:rFonts w:ascii="Times New Roman" w:hAnsi="Times New Roman"/>
                <w:sz w:val="20"/>
                <w:szCs w:val="20"/>
                <w:lang w:val="es-ES" w:eastAsia="pt-BR"/>
              </w:rPr>
              <w:t>i</w:t>
            </w:r>
            <w:r w:rsidR="00D1470B">
              <w:rPr>
                <w:rFonts w:ascii="Times New Roman" w:hAnsi="Times New Roman"/>
                <w:sz w:val="20"/>
                <w:szCs w:val="20"/>
                <w:lang w:val="es-ES" w:eastAsia="pt-BR"/>
              </w:rPr>
              <w:t>cipios.</w:t>
            </w:r>
          </w:p>
        </w:tc>
        <w:tc>
          <w:tcPr>
            <w:tcW w:w="1980" w:type="dxa"/>
            <w:tcBorders>
              <w:bottom w:val="single" w:sz="4" w:space="0" w:color="auto"/>
            </w:tcBorders>
            <w:vAlign w:val="center"/>
          </w:tcPr>
          <w:p w14:paraId="4980FE8F" w14:textId="36DB4BC8" w:rsidR="00957EFA" w:rsidRPr="00267FC2" w:rsidRDefault="00957EFA" w:rsidP="004C6233">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r>
              <w:rPr>
                <w:rFonts w:ascii="Times New Roman" w:hAnsi="Times New Roman"/>
                <w:sz w:val="20"/>
                <w:szCs w:val="20"/>
                <w:lang w:val="es-ES"/>
              </w:rPr>
              <w:t xml:space="preserve"> por cien mil habitantes</w:t>
            </w:r>
          </w:p>
        </w:tc>
        <w:tc>
          <w:tcPr>
            <w:tcW w:w="9076" w:type="dxa"/>
            <w:tcBorders>
              <w:bottom w:val="single" w:sz="4" w:space="0" w:color="auto"/>
            </w:tcBorders>
          </w:tcPr>
          <w:p w14:paraId="45ABE718" w14:textId="77777777" w:rsidR="00957EFA" w:rsidRPr="00267FC2" w:rsidRDefault="00957EFA" w:rsidP="002A7CDE">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tasa fue calculada en función de 1.122 homicidios con una población total de  1</w:t>
            </w:r>
            <w:r>
              <w:rPr>
                <w:rFonts w:ascii="Times New Roman" w:hAnsi="Times New Roman"/>
                <w:sz w:val="20"/>
                <w:szCs w:val="20"/>
                <w:lang w:val="es-ES"/>
              </w:rPr>
              <w:t>.</w:t>
            </w:r>
            <w:r w:rsidRPr="00267FC2">
              <w:rPr>
                <w:rFonts w:ascii="Times New Roman" w:hAnsi="Times New Roman"/>
                <w:sz w:val="20"/>
                <w:szCs w:val="20"/>
                <w:lang w:val="es-ES"/>
              </w:rPr>
              <w:t>982</w:t>
            </w:r>
            <w:r>
              <w:rPr>
                <w:rFonts w:ascii="Times New Roman" w:hAnsi="Times New Roman"/>
                <w:sz w:val="20"/>
                <w:szCs w:val="20"/>
                <w:lang w:val="es-ES"/>
              </w:rPr>
              <w:t>.</w:t>
            </w:r>
            <w:r w:rsidRPr="00267FC2">
              <w:rPr>
                <w:rFonts w:ascii="Times New Roman" w:hAnsi="Times New Roman"/>
                <w:sz w:val="20"/>
                <w:szCs w:val="20"/>
                <w:lang w:val="es-ES"/>
              </w:rPr>
              <w:t>105. El  seguimiento de este indicador y de los otros se realizara como parte de la implementación del Programa.</w:t>
            </w:r>
          </w:p>
          <w:p w14:paraId="6ECD61C0" w14:textId="77777777" w:rsidR="00957EFA" w:rsidRPr="00267FC2" w:rsidRDefault="00957EFA" w:rsidP="002A7CDE">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La </w:t>
            </w:r>
            <w:r>
              <w:rPr>
                <w:rFonts w:ascii="Times New Roman" w:hAnsi="Times New Roman"/>
                <w:sz w:val="20"/>
                <w:szCs w:val="20"/>
                <w:lang w:val="es-ES"/>
              </w:rPr>
              <w:t>proyec</w:t>
            </w:r>
            <w:r w:rsidRPr="00267FC2">
              <w:rPr>
                <w:rFonts w:ascii="Times New Roman" w:hAnsi="Times New Roman"/>
                <w:sz w:val="20"/>
                <w:szCs w:val="20"/>
                <w:lang w:val="es-ES"/>
              </w:rPr>
              <w:t>ción de las tasas para 2018 toma en cuenta la tendencia en la reducción observada en los tres años y un impacto conservador del 20% dada intervenciones propuestas y los resultados alcanzados en otros progr</w:t>
            </w:r>
            <w:r w:rsidRPr="00267FC2">
              <w:rPr>
                <w:rFonts w:ascii="Times New Roman" w:hAnsi="Times New Roman"/>
                <w:sz w:val="20"/>
                <w:szCs w:val="20"/>
                <w:lang w:val="es-ES"/>
              </w:rPr>
              <w:t>a</w:t>
            </w:r>
            <w:r w:rsidRPr="00267FC2">
              <w:rPr>
                <w:rFonts w:ascii="Times New Roman" w:hAnsi="Times New Roman"/>
                <w:sz w:val="20"/>
                <w:szCs w:val="20"/>
                <w:lang w:val="es-ES"/>
              </w:rPr>
              <w:t xml:space="preserve">mas: </w:t>
            </w:r>
            <w:r w:rsidRPr="00267FC2">
              <w:rPr>
                <w:rFonts w:ascii="Times New Roman" w:hAnsi="Times New Roman"/>
                <w:i/>
                <w:sz w:val="20"/>
                <w:szCs w:val="20"/>
                <w:lang w:val="es-ES"/>
              </w:rPr>
              <w:t>Fica Vivo impacto atribuible de una reducción de 69% en el número de homicidios;  Diadema, logró reducir en un 85% los homicidios de jóvenes entre 16 y 20 años.</w:t>
            </w:r>
          </w:p>
        </w:tc>
      </w:tr>
      <w:tr w:rsidR="00957EFA" w:rsidRPr="000346A8" w14:paraId="652D3681" w14:textId="77777777" w:rsidTr="00D467B6">
        <w:trPr>
          <w:jc w:val="center"/>
        </w:trPr>
        <w:tc>
          <w:tcPr>
            <w:tcW w:w="2597" w:type="dxa"/>
            <w:tcBorders>
              <w:bottom w:val="single" w:sz="4" w:space="0" w:color="auto"/>
            </w:tcBorders>
            <w:vAlign w:val="center"/>
          </w:tcPr>
          <w:p w14:paraId="2B3DBF08" w14:textId="1A71C387" w:rsidR="00957EFA" w:rsidRPr="00267FC2" w:rsidRDefault="00957EFA" w:rsidP="009A3882">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2. Homicidios de afrode</w:t>
            </w:r>
            <w:r w:rsidRPr="00267FC2">
              <w:rPr>
                <w:rFonts w:ascii="Times New Roman" w:hAnsi="Times New Roman"/>
                <w:sz w:val="20"/>
                <w:szCs w:val="20"/>
                <w:lang w:val="es-ES"/>
              </w:rPr>
              <w:t>s</w:t>
            </w:r>
            <w:r w:rsidRPr="00267FC2">
              <w:rPr>
                <w:rFonts w:ascii="Times New Roman" w:hAnsi="Times New Roman"/>
                <w:sz w:val="20"/>
                <w:szCs w:val="20"/>
                <w:lang w:val="es-ES"/>
              </w:rPr>
              <w:t>cendientes (Pardos y N</w:t>
            </w:r>
            <w:r w:rsidRPr="00267FC2">
              <w:rPr>
                <w:rFonts w:ascii="Times New Roman" w:hAnsi="Times New Roman"/>
                <w:sz w:val="20"/>
                <w:szCs w:val="20"/>
                <w:lang w:val="es-ES"/>
              </w:rPr>
              <w:t>e</w:t>
            </w:r>
            <w:r w:rsidR="00D467B6">
              <w:rPr>
                <w:rFonts w:ascii="Times New Roman" w:hAnsi="Times New Roman"/>
                <w:sz w:val="20"/>
                <w:szCs w:val="20"/>
                <w:lang w:val="es-ES"/>
              </w:rPr>
              <w:t>gros)</w:t>
            </w:r>
            <w:r w:rsidR="00D1470B">
              <w:rPr>
                <w:rFonts w:ascii="Times New Roman" w:hAnsi="Times New Roman"/>
                <w:sz w:val="20"/>
                <w:szCs w:val="20"/>
                <w:lang w:val="es-ES"/>
              </w:rPr>
              <w:t xml:space="preserve"> </w:t>
            </w:r>
            <w:r w:rsidR="00D1470B">
              <w:rPr>
                <w:rFonts w:ascii="Times New Roman" w:hAnsi="Times New Roman"/>
                <w:sz w:val="20"/>
                <w:szCs w:val="20"/>
                <w:lang w:val="es-ES" w:eastAsia="pt-BR"/>
              </w:rPr>
              <w:t>en los 8 municipios.</w:t>
            </w:r>
          </w:p>
        </w:tc>
        <w:tc>
          <w:tcPr>
            <w:tcW w:w="1980" w:type="dxa"/>
            <w:tcBorders>
              <w:bottom w:val="single" w:sz="4" w:space="0" w:color="auto"/>
            </w:tcBorders>
            <w:vAlign w:val="center"/>
          </w:tcPr>
          <w:p w14:paraId="7AD652BF" w14:textId="0BC8967F" w:rsidR="00957EFA" w:rsidRPr="00267FC2" w:rsidRDefault="00957EFA" w:rsidP="004C6233">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r>
              <w:rPr>
                <w:rFonts w:ascii="Times New Roman" w:hAnsi="Times New Roman"/>
                <w:sz w:val="20"/>
                <w:szCs w:val="20"/>
                <w:lang w:val="es-ES"/>
              </w:rPr>
              <w:t xml:space="preserve"> por cien mil habitantes</w:t>
            </w:r>
          </w:p>
        </w:tc>
        <w:tc>
          <w:tcPr>
            <w:tcW w:w="9076" w:type="dxa"/>
            <w:tcBorders>
              <w:bottom w:val="single" w:sz="4" w:space="0" w:color="auto"/>
            </w:tcBorders>
          </w:tcPr>
          <w:p w14:paraId="1D059DB2" w14:textId="77777777" w:rsidR="00957EFA" w:rsidRPr="00267FC2" w:rsidRDefault="00957EFA" w:rsidP="002A7CDE">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el año de 2013 había en los 8 municipios 1.228.905 afrodescendientes.  De estos 1004 fueron víctima de homi</w:t>
            </w:r>
            <w:r>
              <w:rPr>
                <w:rFonts w:ascii="Times New Roman" w:hAnsi="Times New Roman"/>
                <w:sz w:val="20"/>
                <w:szCs w:val="20"/>
                <w:lang w:val="es-ES"/>
              </w:rPr>
              <w:t>c</w:t>
            </w:r>
            <w:r w:rsidRPr="00267FC2">
              <w:rPr>
                <w:rFonts w:ascii="Times New Roman" w:hAnsi="Times New Roman"/>
                <w:sz w:val="20"/>
                <w:szCs w:val="20"/>
                <w:lang w:val="es-ES"/>
              </w:rPr>
              <w:t xml:space="preserve">idios (estimativa con base al IBGE e información  GEAC/SESP-ES). </w:t>
            </w:r>
          </w:p>
          <w:p w14:paraId="7B7F7EB7" w14:textId="77777777" w:rsidR="00957EFA" w:rsidRPr="00267FC2" w:rsidRDefault="00957EFA" w:rsidP="002A7CDE">
            <w:pPr>
              <w:spacing w:after="0" w:line="240" w:lineRule="auto"/>
              <w:jc w:val="both"/>
              <w:rPr>
                <w:rFonts w:ascii="Times New Roman" w:hAnsi="Times New Roman"/>
                <w:sz w:val="20"/>
                <w:szCs w:val="20"/>
                <w:lang w:val="es-ES"/>
              </w:rPr>
            </w:pPr>
            <w:r>
              <w:rPr>
                <w:rFonts w:ascii="Times New Roman" w:hAnsi="Times New Roman"/>
                <w:sz w:val="20"/>
                <w:szCs w:val="20"/>
                <w:lang w:val="es-ES"/>
              </w:rPr>
              <w:t>La proyec</w:t>
            </w:r>
            <w:r w:rsidRPr="00267FC2">
              <w:rPr>
                <w:rFonts w:ascii="Times New Roman" w:hAnsi="Times New Roman"/>
                <w:sz w:val="20"/>
                <w:szCs w:val="20"/>
                <w:lang w:val="es-ES"/>
              </w:rPr>
              <w:t>ción de las tasas para 2018 toma en cuenta la tendencia en la reducción observada en los tres años y un impacto conservador del 20% dada intervenciones propuestas y los resultados alcanzados en otros progr</w:t>
            </w:r>
            <w:r w:rsidRPr="00267FC2">
              <w:rPr>
                <w:rFonts w:ascii="Times New Roman" w:hAnsi="Times New Roman"/>
                <w:sz w:val="20"/>
                <w:szCs w:val="20"/>
                <w:lang w:val="es-ES"/>
              </w:rPr>
              <w:t>a</w:t>
            </w:r>
            <w:r w:rsidRPr="00267FC2">
              <w:rPr>
                <w:rFonts w:ascii="Times New Roman" w:hAnsi="Times New Roman"/>
                <w:sz w:val="20"/>
                <w:szCs w:val="20"/>
                <w:lang w:val="es-ES"/>
              </w:rPr>
              <w:t xml:space="preserve">mas: </w:t>
            </w:r>
            <w:r w:rsidRPr="00267FC2">
              <w:rPr>
                <w:rFonts w:ascii="Times New Roman" w:hAnsi="Times New Roman"/>
                <w:i/>
                <w:sz w:val="20"/>
                <w:szCs w:val="20"/>
                <w:lang w:val="es-ES"/>
              </w:rPr>
              <w:t>Fica Vivo impacto atribuible de una reducción de 69% en el número de homicidios;  Diadema, logró reducir en un 85% los homicidios de jóvenes entre 16 y 20 años.</w:t>
            </w:r>
          </w:p>
        </w:tc>
      </w:tr>
      <w:tr w:rsidR="00957EFA" w:rsidRPr="000346A8" w14:paraId="06E6BF1B" w14:textId="77777777" w:rsidTr="00D467B6">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1290CEA7" w14:textId="27F54F29" w:rsidR="00957EFA" w:rsidRPr="00267FC2" w:rsidRDefault="00D467B6" w:rsidP="009A3882">
            <w:pPr>
              <w:tabs>
                <w:tab w:val="left" w:pos="432"/>
              </w:tabs>
              <w:spacing w:after="0" w:line="240" w:lineRule="auto"/>
              <w:ind w:left="252" w:hanging="252"/>
              <w:rPr>
                <w:rFonts w:ascii="Times New Roman" w:hAnsi="Times New Roman"/>
                <w:sz w:val="20"/>
                <w:szCs w:val="20"/>
                <w:lang w:val="es-ES"/>
              </w:rPr>
            </w:pPr>
            <w:r>
              <w:rPr>
                <w:rFonts w:ascii="Times New Roman" w:hAnsi="Times New Roman"/>
                <w:sz w:val="20"/>
                <w:szCs w:val="20"/>
                <w:lang w:val="es-ES"/>
              </w:rPr>
              <w:t>3. Robos</w:t>
            </w:r>
          </w:p>
        </w:tc>
        <w:tc>
          <w:tcPr>
            <w:tcW w:w="1980" w:type="dxa"/>
            <w:tcBorders>
              <w:top w:val="single" w:sz="4" w:space="0" w:color="auto"/>
              <w:left w:val="single" w:sz="4" w:space="0" w:color="auto"/>
              <w:bottom w:val="single" w:sz="4" w:space="0" w:color="auto"/>
              <w:right w:val="single" w:sz="4" w:space="0" w:color="auto"/>
            </w:tcBorders>
            <w:vAlign w:val="center"/>
          </w:tcPr>
          <w:p w14:paraId="5854A3B3" w14:textId="29423F4F" w:rsidR="00957EFA" w:rsidRPr="00267FC2" w:rsidRDefault="00957EFA" w:rsidP="004C6233">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r>
              <w:rPr>
                <w:rFonts w:ascii="Times New Roman" w:hAnsi="Times New Roman"/>
                <w:sz w:val="20"/>
                <w:szCs w:val="20"/>
                <w:lang w:val="es-ES"/>
              </w:rPr>
              <w:t xml:space="preserve"> por cien mil habitantes</w:t>
            </w:r>
          </w:p>
        </w:tc>
        <w:tc>
          <w:tcPr>
            <w:tcW w:w="9076" w:type="dxa"/>
            <w:tcBorders>
              <w:top w:val="single" w:sz="4" w:space="0" w:color="auto"/>
              <w:left w:val="single" w:sz="4" w:space="0" w:color="auto"/>
              <w:bottom w:val="single" w:sz="4" w:space="0" w:color="auto"/>
              <w:right w:val="single" w:sz="4" w:space="0" w:color="auto"/>
            </w:tcBorders>
          </w:tcPr>
          <w:p w14:paraId="02A8202B" w14:textId="77777777" w:rsidR="00957EFA" w:rsidRPr="00267FC2" w:rsidRDefault="00957EFA" w:rsidP="002A7CDE">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El número de robos observados en 2013 fue de 16</w:t>
            </w:r>
            <w:r>
              <w:rPr>
                <w:rFonts w:ascii="Times New Roman" w:hAnsi="Times New Roman"/>
                <w:sz w:val="20"/>
                <w:szCs w:val="20"/>
                <w:lang w:val="es-ES"/>
              </w:rPr>
              <w:t>.</w:t>
            </w:r>
            <w:r w:rsidRPr="00267FC2">
              <w:rPr>
                <w:rFonts w:ascii="Times New Roman" w:hAnsi="Times New Roman"/>
                <w:sz w:val="20"/>
                <w:szCs w:val="20"/>
                <w:lang w:val="es-ES"/>
              </w:rPr>
              <w:t>525 en los 8 municipios cuya población era de 1</w:t>
            </w:r>
            <w:r>
              <w:rPr>
                <w:rFonts w:ascii="Times New Roman" w:hAnsi="Times New Roman"/>
                <w:sz w:val="20"/>
                <w:szCs w:val="20"/>
                <w:lang w:val="es-ES"/>
              </w:rPr>
              <w:t>.</w:t>
            </w:r>
            <w:r w:rsidRPr="00267FC2">
              <w:rPr>
                <w:rFonts w:ascii="Times New Roman" w:hAnsi="Times New Roman"/>
                <w:sz w:val="20"/>
                <w:szCs w:val="20"/>
                <w:lang w:val="es-ES"/>
              </w:rPr>
              <w:t>982</w:t>
            </w:r>
            <w:r>
              <w:rPr>
                <w:rFonts w:ascii="Times New Roman" w:hAnsi="Times New Roman"/>
                <w:sz w:val="20"/>
                <w:szCs w:val="20"/>
                <w:lang w:val="es-ES"/>
              </w:rPr>
              <w:t>.</w:t>
            </w:r>
            <w:r w:rsidRPr="00267FC2">
              <w:rPr>
                <w:rFonts w:ascii="Times New Roman" w:hAnsi="Times New Roman"/>
                <w:sz w:val="20"/>
                <w:szCs w:val="20"/>
                <w:lang w:val="es-ES"/>
              </w:rPr>
              <w:t>105. La meta en la reducción de la tasa es de 20% en función de los programas de policía comunitaria y de preve</w:t>
            </w:r>
            <w:r w:rsidRPr="00267FC2">
              <w:rPr>
                <w:rFonts w:ascii="Times New Roman" w:hAnsi="Times New Roman"/>
                <w:sz w:val="20"/>
                <w:szCs w:val="20"/>
                <w:lang w:val="es-ES"/>
              </w:rPr>
              <w:t>n</w:t>
            </w:r>
            <w:r w:rsidRPr="00267FC2">
              <w:rPr>
                <w:rFonts w:ascii="Times New Roman" w:hAnsi="Times New Roman"/>
                <w:sz w:val="20"/>
                <w:szCs w:val="20"/>
                <w:lang w:val="es-ES"/>
              </w:rPr>
              <w:t>ción:</w:t>
            </w:r>
            <w:r w:rsidRPr="00267FC2">
              <w:rPr>
                <w:rFonts w:ascii="Times New Roman" w:hAnsi="Times New Roman"/>
                <w:i/>
                <w:sz w:val="20"/>
                <w:szCs w:val="20"/>
                <w:lang w:val="es-ES"/>
              </w:rPr>
              <w:t xml:space="preserve"> Programa IGESP ha contribuido con una reducción del 24% en los delitos contra la propiedad, lo que significa volver a una tasa observada dos años atrás en 2011.</w:t>
            </w:r>
          </w:p>
        </w:tc>
      </w:tr>
    </w:tbl>
    <w:p w14:paraId="5D3E2C1A" w14:textId="77777777" w:rsidR="00E15998" w:rsidRPr="00267FC2" w:rsidRDefault="00E15998" w:rsidP="00E60CED">
      <w:pPr>
        <w:spacing w:after="0" w:line="240" w:lineRule="auto"/>
        <w:rPr>
          <w:rFonts w:ascii="Times New Roman" w:hAnsi="Times New Roman"/>
          <w:bCs/>
          <w:sz w:val="20"/>
          <w:szCs w:val="20"/>
          <w:lang w:val="es-ES"/>
        </w:rPr>
      </w:pPr>
    </w:p>
    <w:p w14:paraId="5487951B" w14:textId="77777777" w:rsidR="00600206" w:rsidRDefault="00600206" w:rsidP="006F4E38">
      <w:pPr>
        <w:spacing w:after="120" w:line="240" w:lineRule="auto"/>
        <w:jc w:val="center"/>
        <w:rPr>
          <w:rStyle w:val="BookTitle"/>
          <w:rFonts w:ascii="Times New Roman" w:hAnsi="Times New Roman"/>
          <w:bCs/>
          <w:sz w:val="20"/>
          <w:szCs w:val="20"/>
          <w:lang w:val="es-ES"/>
        </w:rPr>
      </w:pPr>
    </w:p>
    <w:p w14:paraId="352EC23F" w14:textId="77777777" w:rsidR="00EB70D8" w:rsidRDefault="00AF44A5" w:rsidP="006F4E38">
      <w:pPr>
        <w:spacing w:after="120" w:line="240" w:lineRule="auto"/>
        <w:jc w:val="center"/>
        <w:rPr>
          <w:rStyle w:val="BookTitle"/>
          <w:rFonts w:ascii="Times New Roman" w:hAnsi="Times New Roman"/>
          <w:bCs/>
          <w:sz w:val="20"/>
          <w:szCs w:val="20"/>
          <w:lang w:val="es-ES"/>
        </w:rPr>
      </w:pPr>
      <w:r w:rsidRPr="00267FC2">
        <w:rPr>
          <w:rStyle w:val="BookTitle"/>
          <w:rFonts w:ascii="Times New Roman" w:hAnsi="Times New Roman"/>
          <w:bCs/>
          <w:sz w:val="20"/>
          <w:szCs w:val="20"/>
          <w:lang w:val="es-ES"/>
        </w:rPr>
        <w:t>R</w:t>
      </w:r>
      <w:r w:rsidR="00EB70D8" w:rsidRPr="00267FC2">
        <w:rPr>
          <w:rStyle w:val="BookTitle"/>
          <w:rFonts w:ascii="Times New Roman" w:hAnsi="Times New Roman"/>
          <w:bCs/>
          <w:sz w:val="20"/>
          <w:szCs w:val="20"/>
          <w:lang w:val="es-ES"/>
        </w:rPr>
        <w:t>ESULTADOS ESPERADOS</w:t>
      </w:r>
    </w:p>
    <w:p w14:paraId="44775554" w14:textId="31114C30" w:rsidR="00D467B6" w:rsidRDefault="00D467B6" w:rsidP="00D467B6">
      <w:pPr>
        <w:spacing w:after="120" w:line="240" w:lineRule="auto"/>
        <w:rPr>
          <w:rStyle w:val="BookTitle"/>
          <w:rFonts w:ascii="Times New Roman" w:hAnsi="Times New Roman"/>
          <w:bCs/>
          <w:sz w:val="20"/>
          <w:szCs w:val="20"/>
          <w:lang w:val="es-ES"/>
        </w:rPr>
      </w:pPr>
      <w:r w:rsidRPr="00267FC2">
        <w:rPr>
          <w:rFonts w:ascii="Times New Roman" w:hAnsi="Times New Roman"/>
          <w:b/>
          <w:sz w:val="20"/>
          <w:szCs w:val="20"/>
          <w:u w:val="single"/>
          <w:lang w:val="es-ES"/>
        </w:rPr>
        <w:t>Objetivo Especifico 1</w:t>
      </w:r>
      <w:r w:rsidRPr="00267FC2">
        <w:rPr>
          <w:rFonts w:ascii="Times New Roman" w:hAnsi="Times New Roman"/>
          <w:sz w:val="20"/>
          <w:szCs w:val="20"/>
          <w:lang w:val="es-ES"/>
        </w:rPr>
        <w:t xml:space="preserve">: Aumentar la efectividad de la Policía Civil y de la Policía Militar en </w:t>
      </w:r>
      <w:r>
        <w:rPr>
          <w:rFonts w:ascii="Times New Roman" w:hAnsi="Times New Roman"/>
          <w:sz w:val="20"/>
          <w:szCs w:val="20"/>
          <w:lang w:val="es-ES"/>
        </w:rPr>
        <w:t>el</w:t>
      </w:r>
      <w:r w:rsidRPr="00267FC2">
        <w:rPr>
          <w:rFonts w:ascii="Times New Roman" w:hAnsi="Times New Roman"/>
          <w:sz w:val="20"/>
          <w:szCs w:val="20"/>
          <w:lang w:val="es-ES"/>
        </w:rPr>
        <w:t xml:space="preserve"> control e investigación de la criminalidad violenta en 8 municipios de ES.</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D467B6" w:rsidRPr="00957EFA" w14:paraId="58C8C618" w14:textId="77777777" w:rsidTr="00684477">
        <w:trPr>
          <w:jc w:val="center"/>
        </w:trPr>
        <w:tc>
          <w:tcPr>
            <w:tcW w:w="2597" w:type="dxa"/>
            <w:tcBorders>
              <w:bottom w:val="single" w:sz="4" w:space="0" w:color="auto"/>
            </w:tcBorders>
            <w:shd w:val="clear" w:color="auto" w:fill="D6E3BC" w:themeFill="accent3" w:themeFillTint="66"/>
            <w:vAlign w:val="center"/>
          </w:tcPr>
          <w:p w14:paraId="5B085686" w14:textId="77777777" w:rsidR="00D467B6" w:rsidRPr="00D467B6" w:rsidRDefault="00D467B6" w:rsidP="00D467B6">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69EC288C" w14:textId="77777777" w:rsidR="00D467B6" w:rsidRPr="00D467B6" w:rsidRDefault="00D467B6" w:rsidP="00D467B6">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23DC62D8" w14:textId="77777777" w:rsidR="00D467B6" w:rsidRPr="00D467B6" w:rsidRDefault="00D467B6" w:rsidP="00D467B6">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D467B6" w:rsidRPr="000346A8" w14:paraId="714E1264" w14:textId="77777777" w:rsidTr="00684477">
        <w:trPr>
          <w:jc w:val="center"/>
        </w:trPr>
        <w:tc>
          <w:tcPr>
            <w:tcW w:w="2597" w:type="dxa"/>
            <w:tcBorders>
              <w:bottom w:val="single" w:sz="4" w:space="0" w:color="auto"/>
            </w:tcBorders>
            <w:vAlign w:val="center"/>
          </w:tcPr>
          <w:p w14:paraId="66FBFE6A" w14:textId="77777777" w:rsidR="00D467B6" w:rsidRPr="00267FC2" w:rsidRDefault="00D467B6" w:rsidP="00684477">
            <w:pPr>
              <w:autoSpaceDE w:val="0"/>
              <w:autoSpaceDN w:val="0"/>
              <w:adjustRightInd w:val="0"/>
              <w:spacing w:after="0" w:line="240" w:lineRule="auto"/>
              <w:jc w:val="both"/>
              <w:rPr>
                <w:rFonts w:ascii="Times New Roman" w:hAnsi="Times New Roman"/>
                <w:sz w:val="20"/>
                <w:szCs w:val="20"/>
                <w:lang w:val="es-ES" w:eastAsia="pt-BR"/>
              </w:rPr>
            </w:pPr>
            <w:r w:rsidRPr="00267FC2">
              <w:rPr>
                <w:rFonts w:ascii="Times New Roman" w:hAnsi="Times New Roman"/>
                <w:sz w:val="20"/>
                <w:szCs w:val="20"/>
                <w:lang w:val="es-ES" w:eastAsia="pt-BR"/>
              </w:rPr>
              <w:t>R.1.1 Homicidios</w:t>
            </w:r>
          </w:p>
          <w:p w14:paraId="6C5C142D" w14:textId="77777777" w:rsidR="00D467B6" w:rsidRPr="00267FC2" w:rsidRDefault="00D467B6" w:rsidP="00684477">
            <w:pPr>
              <w:autoSpaceDE w:val="0"/>
              <w:autoSpaceDN w:val="0"/>
              <w:adjustRightInd w:val="0"/>
              <w:spacing w:after="0" w:line="240" w:lineRule="auto"/>
              <w:jc w:val="both"/>
              <w:rPr>
                <w:rFonts w:ascii="Times New Roman" w:hAnsi="Times New Roman"/>
                <w:sz w:val="20"/>
                <w:szCs w:val="20"/>
                <w:lang w:val="es-ES" w:eastAsia="pt-BR"/>
              </w:rPr>
            </w:pPr>
            <w:r w:rsidRPr="00267FC2">
              <w:rPr>
                <w:rFonts w:ascii="Times New Roman" w:hAnsi="Times New Roman"/>
                <w:sz w:val="20"/>
                <w:szCs w:val="20"/>
                <w:lang w:val="es-ES" w:eastAsia="pt-BR"/>
              </w:rPr>
              <w:t>de jóvenes de 15 a</w:t>
            </w:r>
          </w:p>
          <w:p w14:paraId="29646774" w14:textId="237F033A" w:rsidR="00D467B6" w:rsidRPr="00267FC2" w:rsidRDefault="00D467B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eastAsia="pt-BR"/>
              </w:rPr>
              <w:t>24 años</w:t>
            </w:r>
            <w:r>
              <w:rPr>
                <w:rFonts w:ascii="Times New Roman" w:hAnsi="Times New Roman"/>
                <w:sz w:val="20"/>
                <w:szCs w:val="20"/>
                <w:lang w:val="es-ES" w:eastAsia="pt-BR"/>
              </w:rPr>
              <w:t xml:space="preserve"> en los 8 municipios</w:t>
            </w:r>
            <w:r w:rsidRPr="00267FC2">
              <w:rPr>
                <w:rFonts w:ascii="Times New Roman" w:hAnsi="Times New Roman"/>
                <w:sz w:val="20"/>
                <w:szCs w:val="20"/>
                <w:lang w:val="es-ES" w:eastAsia="pt-BR"/>
              </w:rPr>
              <w:t>.</w:t>
            </w:r>
          </w:p>
        </w:tc>
        <w:tc>
          <w:tcPr>
            <w:tcW w:w="1980" w:type="dxa"/>
            <w:tcBorders>
              <w:bottom w:val="single" w:sz="4" w:space="0" w:color="auto"/>
            </w:tcBorders>
            <w:vAlign w:val="center"/>
          </w:tcPr>
          <w:p w14:paraId="0BE193BA" w14:textId="5AAB8BBB" w:rsidR="00D467B6" w:rsidRPr="00267FC2" w:rsidRDefault="00D467B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r>
              <w:rPr>
                <w:rFonts w:ascii="Times New Roman" w:hAnsi="Times New Roman"/>
                <w:sz w:val="20"/>
                <w:szCs w:val="20"/>
                <w:lang w:val="es-ES"/>
              </w:rPr>
              <w:t xml:space="preserve"> por cien mil habitantes</w:t>
            </w:r>
          </w:p>
        </w:tc>
        <w:tc>
          <w:tcPr>
            <w:tcW w:w="9076" w:type="dxa"/>
            <w:tcBorders>
              <w:bottom w:val="single" w:sz="4" w:space="0" w:color="auto"/>
            </w:tcBorders>
          </w:tcPr>
          <w:p w14:paraId="2C4B8413" w14:textId="77777777"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tasa fue calculada en función de 514 homicidios con una población total de  356</w:t>
            </w:r>
            <w:r>
              <w:rPr>
                <w:rFonts w:ascii="Times New Roman" w:hAnsi="Times New Roman"/>
                <w:sz w:val="20"/>
                <w:szCs w:val="20"/>
                <w:lang w:val="es-ES"/>
              </w:rPr>
              <w:t>.</w:t>
            </w:r>
            <w:r w:rsidRPr="00267FC2">
              <w:rPr>
                <w:rFonts w:ascii="Times New Roman" w:hAnsi="Times New Roman"/>
                <w:sz w:val="20"/>
                <w:szCs w:val="20"/>
                <w:lang w:val="es-ES"/>
              </w:rPr>
              <w:t>210. El  seguimiento de este indicador y de los otros se realizara como parte de la implementación del Programa.</w:t>
            </w:r>
          </w:p>
          <w:p w14:paraId="09DCA90D" w14:textId="681689E4"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proyección de las tasas para 2018 toma en cuenta la tendencia en la reducción observada en los tres años y un impacto conservador del 30% dada intervenciones propuestas y los resultados alcanzados en otros progr</w:t>
            </w:r>
            <w:r w:rsidRPr="00267FC2">
              <w:rPr>
                <w:rFonts w:ascii="Times New Roman" w:hAnsi="Times New Roman"/>
                <w:sz w:val="20"/>
                <w:szCs w:val="20"/>
                <w:lang w:val="es-ES"/>
              </w:rPr>
              <w:t>a</w:t>
            </w:r>
            <w:r w:rsidRPr="00267FC2">
              <w:rPr>
                <w:rFonts w:ascii="Times New Roman" w:hAnsi="Times New Roman"/>
                <w:sz w:val="20"/>
                <w:szCs w:val="20"/>
                <w:lang w:val="es-ES"/>
              </w:rPr>
              <w:t>mas:</w:t>
            </w:r>
            <w:r w:rsidRPr="00267FC2">
              <w:rPr>
                <w:rFonts w:ascii="Times New Roman" w:hAnsi="Times New Roman"/>
                <w:i/>
                <w:sz w:val="20"/>
                <w:szCs w:val="20"/>
                <w:lang w:val="es-ES"/>
              </w:rPr>
              <w:t xml:space="preserve"> Fica Vivo impacto atribuible de una reducción de 69% en el número de homicidios;  Diadema, logró reducir en un 85% los homicidios de jóvenes entre 16 y 20 años.</w:t>
            </w:r>
          </w:p>
        </w:tc>
      </w:tr>
      <w:tr w:rsidR="00D467B6" w:rsidRPr="000346A8" w14:paraId="48D8DE3D" w14:textId="77777777" w:rsidTr="00684477">
        <w:trPr>
          <w:jc w:val="center"/>
        </w:trPr>
        <w:tc>
          <w:tcPr>
            <w:tcW w:w="2597" w:type="dxa"/>
            <w:tcBorders>
              <w:bottom w:val="single" w:sz="4" w:space="0" w:color="auto"/>
            </w:tcBorders>
            <w:vAlign w:val="center"/>
          </w:tcPr>
          <w:p w14:paraId="2ACD4E82" w14:textId="77777777" w:rsidR="00D467B6" w:rsidRPr="00267FC2" w:rsidRDefault="00D467B6" w:rsidP="00684477">
            <w:pPr>
              <w:autoSpaceDE w:val="0"/>
              <w:autoSpaceDN w:val="0"/>
              <w:adjustRightInd w:val="0"/>
              <w:spacing w:after="0" w:line="240" w:lineRule="auto"/>
              <w:jc w:val="both"/>
              <w:rPr>
                <w:rFonts w:ascii="Times New Roman" w:hAnsi="Times New Roman"/>
                <w:sz w:val="20"/>
                <w:szCs w:val="20"/>
                <w:lang w:val="es-ES" w:eastAsia="pt-BR"/>
              </w:rPr>
            </w:pPr>
            <w:r w:rsidRPr="00267FC2">
              <w:rPr>
                <w:rFonts w:ascii="Times New Roman" w:hAnsi="Times New Roman"/>
                <w:sz w:val="20"/>
                <w:szCs w:val="20"/>
                <w:lang w:val="es-ES" w:eastAsia="pt-BR"/>
              </w:rPr>
              <w:t>R.1.2 Homicidios</w:t>
            </w:r>
          </w:p>
          <w:p w14:paraId="2149AA78" w14:textId="77777777" w:rsidR="00D467B6" w:rsidRPr="00267FC2" w:rsidRDefault="00D467B6" w:rsidP="00684477">
            <w:pPr>
              <w:autoSpaceDE w:val="0"/>
              <w:autoSpaceDN w:val="0"/>
              <w:adjustRightInd w:val="0"/>
              <w:spacing w:after="0" w:line="240" w:lineRule="auto"/>
              <w:jc w:val="both"/>
              <w:rPr>
                <w:rFonts w:ascii="Times New Roman" w:hAnsi="Times New Roman"/>
                <w:sz w:val="20"/>
                <w:szCs w:val="20"/>
                <w:lang w:val="es-ES" w:eastAsia="pt-BR"/>
              </w:rPr>
            </w:pPr>
            <w:r w:rsidRPr="00267FC2">
              <w:rPr>
                <w:rFonts w:ascii="Times New Roman" w:hAnsi="Times New Roman"/>
                <w:sz w:val="20"/>
                <w:szCs w:val="20"/>
                <w:lang w:val="es-ES" w:eastAsia="pt-BR"/>
              </w:rPr>
              <w:t>de jóvenes afrodescendientes de 15 a</w:t>
            </w:r>
          </w:p>
          <w:p w14:paraId="5B2468C8" w14:textId="221D7DE2" w:rsidR="00D467B6" w:rsidRPr="00267FC2" w:rsidRDefault="00D467B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eastAsia="pt-BR"/>
              </w:rPr>
              <w:t>24 años</w:t>
            </w:r>
            <w:r>
              <w:rPr>
                <w:rFonts w:ascii="Times New Roman" w:hAnsi="Times New Roman"/>
                <w:sz w:val="20"/>
                <w:szCs w:val="20"/>
                <w:lang w:val="es-ES" w:eastAsia="pt-BR"/>
              </w:rPr>
              <w:t xml:space="preserve"> en los 8 municipios</w:t>
            </w:r>
            <w:r w:rsidRPr="00267FC2">
              <w:rPr>
                <w:rFonts w:ascii="Times New Roman" w:hAnsi="Times New Roman"/>
                <w:sz w:val="20"/>
                <w:szCs w:val="20"/>
                <w:lang w:val="es-ES" w:eastAsia="pt-BR"/>
              </w:rPr>
              <w:t>.</w:t>
            </w:r>
          </w:p>
        </w:tc>
        <w:tc>
          <w:tcPr>
            <w:tcW w:w="1980" w:type="dxa"/>
            <w:tcBorders>
              <w:bottom w:val="single" w:sz="4" w:space="0" w:color="auto"/>
            </w:tcBorders>
            <w:vAlign w:val="center"/>
          </w:tcPr>
          <w:p w14:paraId="1ED4B46C" w14:textId="60731B18" w:rsidR="00D467B6" w:rsidRPr="00267FC2" w:rsidRDefault="00D467B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r>
              <w:rPr>
                <w:rFonts w:ascii="Times New Roman" w:hAnsi="Times New Roman"/>
                <w:sz w:val="20"/>
                <w:szCs w:val="20"/>
                <w:lang w:val="es-ES"/>
              </w:rPr>
              <w:t xml:space="preserve"> por cien mil habitantes</w:t>
            </w:r>
          </w:p>
        </w:tc>
        <w:tc>
          <w:tcPr>
            <w:tcW w:w="9076" w:type="dxa"/>
            <w:tcBorders>
              <w:bottom w:val="single" w:sz="4" w:space="0" w:color="auto"/>
            </w:tcBorders>
          </w:tcPr>
          <w:p w14:paraId="43B4EA7C" w14:textId="77777777"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el año de 2013 había en los 8 municipios 231</w:t>
            </w:r>
            <w:r>
              <w:rPr>
                <w:rFonts w:ascii="Times New Roman" w:hAnsi="Times New Roman"/>
                <w:sz w:val="20"/>
                <w:szCs w:val="20"/>
                <w:lang w:val="es-ES"/>
              </w:rPr>
              <w:t>.</w:t>
            </w:r>
            <w:r w:rsidRPr="00267FC2">
              <w:rPr>
                <w:rFonts w:ascii="Times New Roman" w:hAnsi="Times New Roman"/>
                <w:sz w:val="20"/>
                <w:szCs w:val="20"/>
                <w:lang w:val="es-ES"/>
              </w:rPr>
              <w:t xml:space="preserve">536 afrodescendientes de 15 a 24 años. De estos 472 fueron víctima de homicidios (estimativa con base al IBGE e información  GEAC/SESP-ES). </w:t>
            </w:r>
          </w:p>
          <w:p w14:paraId="4BBDBBC2" w14:textId="0E947E27"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proyección de las tasas para 2018 toma en cuenta la tendencia en la reducción observada en los tres años y un impacto conservador del 30% dada intervenciones propuestas y los resultados alcanzados en otros progr</w:t>
            </w:r>
            <w:r w:rsidRPr="00267FC2">
              <w:rPr>
                <w:rFonts w:ascii="Times New Roman" w:hAnsi="Times New Roman"/>
                <w:sz w:val="20"/>
                <w:szCs w:val="20"/>
                <w:lang w:val="es-ES"/>
              </w:rPr>
              <w:t>a</w:t>
            </w:r>
            <w:r w:rsidRPr="00267FC2">
              <w:rPr>
                <w:rFonts w:ascii="Times New Roman" w:hAnsi="Times New Roman"/>
                <w:sz w:val="20"/>
                <w:szCs w:val="20"/>
                <w:lang w:val="es-ES"/>
              </w:rPr>
              <w:t>mas:</w:t>
            </w:r>
            <w:r w:rsidRPr="00267FC2">
              <w:rPr>
                <w:rFonts w:ascii="Times New Roman" w:hAnsi="Times New Roman"/>
                <w:i/>
                <w:sz w:val="20"/>
                <w:szCs w:val="20"/>
                <w:lang w:val="es-ES"/>
              </w:rPr>
              <w:t xml:space="preserve"> Fica Vivo impacto atribuible de una reducción de 69% en el número de homicidios;  Diadema, logró reducir en un 85% los homicidios de jóvenes entre 16 y 20 años.</w:t>
            </w:r>
          </w:p>
        </w:tc>
      </w:tr>
      <w:tr w:rsidR="00D467B6" w:rsidRPr="000346A8" w14:paraId="06BDC239"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42D29F0E" w14:textId="7D073557" w:rsidR="00D467B6" w:rsidRPr="00267FC2" w:rsidRDefault="00D467B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eastAsia="pt-BR"/>
              </w:rPr>
              <w:t>R.1.3 Investigación</w:t>
            </w:r>
            <w:r>
              <w:rPr>
                <w:rFonts w:ascii="Times New Roman" w:hAnsi="Times New Roman"/>
                <w:sz w:val="20"/>
                <w:szCs w:val="20"/>
                <w:lang w:val="es-ES" w:eastAsia="pt-BR"/>
              </w:rPr>
              <w:t xml:space="preserve"> de</w:t>
            </w:r>
            <w:r w:rsidRPr="00267FC2">
              <w:rPr>
                <w:rFonts w:ascii="Times New Roman" w:hAnsi="Times New Roman"/>
                <w:sz w:val="20"/>
                <w:szCs w:val="20"/>
                <w:lang w:val="es-ES" w:eastAsia="pt-BR"/>
              </w:rPr>
              <w:t xml:space="preserve"> hom</w:t>
            </w:r>
            <w:r w:rsidRPr="00267FC2">
              <w:rPr>
                <w:rFonts w:ascii="Times New Roman" w:hAnsi="Times New Roman"/>
                <w:sz w:val="20"/>
                <w:szCs w:val="20"/>
                <w:lang w:val="es-ES" w:eastAsia="pt-BR"/>
              </w:rPr>
              <w:t>i</w:t>
            </w:r>
            <w:r w:rsidRPr="00267FC2">
              <w:rPr>
                <w:rFonts w:ascii="Times New Roman" w:hAnsi="Times New Roman"/>
                <w:sz w:val="20"/>
                <w:szCs w:val="20"/>
                <w:lang w:val="es-ES" w:eastAsia="pt-BR"/>
              </w:rPr>
              <w:lastRenderedPageBreak/>
              <w:t xml:space="preserve">cidios esclarecidos </w:t>
            </w:r>
            <w:r>
              <w:rPr>
                <w:rFonts w:ascii="Times New Roman" w:hAnsi="Times New Roman"/>
                <w:sz w:val="20"/>
                <w:szCs w:val="20"/>
                <w:lang w:val="es-ES" w:eastAsia="pt-BR"/>
              </w:rPr>
              <w:t xml:space="preserve">en ES </w:t>
            </w:r>
            <w:r w:rsidRPr="00267FC2">
              <w:rPr>
                <w:rFonts w:ascii="Times New Roman" w:hAnsi="Times New Roman"/>
                <w:sz w:val="20"/>
                <w:szCs w:val="20"/>
                <w:lang w:val="es-ES" w:eastAsia="pt-BR"/>
              </w:rPr>
              <w:t>dentro de un año y envi</w:t>
            </w:r>
            <w:r w:rsidRPr="00267FC2">
              <w:rPr>
                <w:rFonts w:ascii="Times New Roman" w:hAnsi="Times New Roman"/>
                <w:sz w:val="20"/>
                <w:szCs w:val="20"/>
                <w:lang w:val="es-ES" w:eastAsia="pt-BR"/>
              </w:rPr>
              <w:t>a</w:t>
            </w:r>
            <w:r w:rsidRPr="00267FC2">
              <w:rPr>
                <w:rFonts w:ascii="Times New Roman" w:hAnsi="Times New Roman"/>
                <w:sz w:val="20"/>
                <w:szCs w:val="20"/>
                <w:lang w:val="es-ES" w:eastAsia="pt-BR"/>
              </w:rPr>
              <w:t>dos</w:t>
            </w:r>
            <w:r w:rsidRPr="00267FC2">
              <w:rPr>
                <w:rFonts w:ascii="Times New Roman" w:hAnsi="Times New Roman"/>
                <w:sz w:val="20"/>
                <w:szCs w:val="20"/>
                <w:lang w:val="es-ES"/>
              </w:rPr>
              <w:t xml:space="preserve"> al MP.</w:t>
            </w:r>
          </w:p>
        </w:tc>
        <w:tc>
          <w:tcPr>
            <w:tcW w:w="1980" w:type="dxa"/>
            <w:tcBorders>
              <w:top w:val="single" w:sz="4" w:space="0" w:color="auto"/>
              <w:left w:val="single" w:sz="4" w:space="0" w:color="auto"/>
              <w:bottom w:val="single" w:sz="4" w:space="0" w:color="auto"/>
              <w:right w:val="single" w:sz="4" w:space="0" w:color="auto"/>
            </w:tcBorders>
            <w:vAlign w:val="center"/>
          </w:tcPr>
          <w:p w14:paraId="252CAE36" w14:textId="18965227" w:rsidR="00D467B6" w:rsidRPr="00267FC2" w:rsidRDefault="00D467B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lastRenderedPageBreak/>
              <w:t>Porcentaje</w:t>
            </w:r>
          </w:p>
        </w:tc>
        <w:tc>
          <w:tcPr>
            <w:tcW w:w="9076" w:type="dxa"/>
            <w:tcBorders>
              <w:top w:val="single" w:sz="4" w:space="0" w:color="auto"/>
              <w:left w:val="single" w:sz="4" w:space="0" w:color="auto"/>
              <w:bottom w:val="single" w:sz="4" w:space="0" w:color="auto"/>
              <w:right w:val="single" w:sz="4" w:space="0" w:color="auto"/>
            </w:tcBorders>
          </w:tcPr>
          <w:p w14:paraId="3E240417" w14:textId="7B80FFC3" w:rsidR="00D467B6" w:rsidRPr="00267FC2" w:rsidRDefault="00D467B6" w:rsidP="00684477">
            <w:pPr>
              <w:spacing w:after="0" w:line="240" w:lineRule="auto"/>
              <w:jc w:val="both"/>
              <w:rPr>
                <w:rFonts w:ascii="Times New Roman" w:hAnsi="Times New Roman"/>
                <w:sz w:val="20"/>
                <w:szCs w:val="20"/>
                <w:lang w:val="es-ES"/>
              </w:rPr>
            </w:pPr>
            <w:r>
              <w:rPr>
                <w:rFonts w:ascii="Times New Roman" w:hAnsi="Times New Roman"/>
                <w:sz w:val="20"/>
                <w:szCs w:val="20"/>
                <w:lang w:val="es-ES"/>
              </w:rPr>
              <w:t xml:space="preserve">Este indicador se refiere al porcentaje de todas las investigaciones de homicidio realizadas por la Policía Civil </w:t>
            </w:r>
            <w:r>
              <w:rPr>
                <w:rFonts w:ascii="Times New Roman" w:hAnsi="Times New Roman"/>
                <w:sz w:val="20"/>
                <w:szCs w:val="20"/>
                <w:lang w:val="es-ES"/>
              </w:rPr>
              <w:lastRenderedPageBreak/>
              <w:t xml:space="preserve">en los cuales se ha (i) identificado al autor material del crimen y (ii) se ha enviado el caso a consideración del Ministerio Público. </w:t>
            </w:r>
            <w:r w:rsidRPr="00267FC2">
              <w:rPr>
                <w:rFonts w:ascii="Times New Roman" w:hAnsi="Times New Roman"/>
                <w:sz w:val="20"/>
                <w:szCs w:val="20"/>
                <w:lang w:val="es-ES"/>
              </w:rPr>
              <w:t>En 2012 fueron registrados 1</w:t>
            </w:r>
            <w:r>
              <w:rPr>
                <w:rFonts w:ascii="Times New Roman" w:hAnsi="Times New Roman"/>
                <w:sz w:val="20"/>
                <w:szCs w:val="20"/>
                <w:lang w:val="es-ES"/>
              </w:rPr>
              <w:t>.</w:t>
            </w:r>
            <w:r w:rsidRPr="00267FC2">
              <w:rPr>
                <w:rFonts w:ascii="Times New Roman" w:hAnsi="Times New Roman"/>
                <w:sz w:val="20"/>
                <w:szCs w:val="20"/>
                <w:lang w:val="es-ES"/>
              </w:rPr>
              <w:t>474 homicidios de los cuales 675 fueron esclarecidos y e</w:t>
            </w:r>
            <w:r w:rsidRPr="00267FC2">
              <w:rPr>
                <w:rFonts w:ascii="Times New Roman" w:hAnsi="Times New Roman"/>
                <w:sz w:val="20"/>
                <w:szCs w:val="20"/>
                <w:lang w:val="es-ES"/>
              </w:rPr>
              <w:t>n</w:t>
            </w:r>
            <w:r w:rsidRPr="00267FC2">
              <w:rPr>
                <w:rFonts w:ascii="Times New Roman" w:hAnsi="Times New Roman"/>
                <w:sz w:val="20"/>
                <w:szCs w:val="20"/>
                <w:lang w:val="es-ES"/>
              </w:rPr>
              <w:t xml:space="preserve">viados al MP (Fuente SEAE febrero 2014). El dato de la LB corresponde a los casos de ES en el año 2012. El impacto reconoce que el mayor esfuerzo por la reducción del stock de investigaciones ya fue realizado, y que el Programa continuara su esfuerzo dentro la tendencia observada entre 2011 y 2012 de un incremento anual de 4 puntos porcentuales y que el proyecto se focalizará en la mejora de la calidad de las investigaciones. </w:t>
            </w:r>
            <w:r w:rsidRPr="00267FC2">
              <w:rPr>
                <w:rFonts w:ascii="Times New Roman" w:hAnsi="Times New Roman"/>
                <w:i/>
                <w:sz w:val="20"/>
                <w:szCs w:val="20"/>
                <w:lang w:val="es-ES"/>
              </w:rPr>
              <w:t>La meta propuesta es consistente con el desempeño de la PC en el cumplimiento de los objetivos del Programa Federal  Meta 2 (alcanzando a solucionar 55% de los crímenes en abierto cometidos antes de 2008) y es co</w:t>
            </w:r>
            <w:r w:rsidRPr="00267FC2">
              <w:rPr>
                <w:rFonts w:ascii="Times New Roman" w:hAnsi="Times New Roman"/>
                <w:i/>
                <w:sz w:val="20"/>
                <w:szCs w:val="20"/>
                <w:lang w:val="es-ES"/>
              </w:rPr>
              <w:t>n</w:t>
            </w:r>
            <w:r w:rsidRPr="00267FC2">
              <w:rPr>
                <w:rFonts w:ascii="Times New Roman" w:hAnsi="Times New Roman"/>
                <w:i/>
                <w:sz w:val="20"/>
                <w:szCs w:val="20"/>
                <w:lang w:val="es-ES"/>
              </w:rPr>
              <w:t>sistente con el incremento de la eficacia para resolver delitos contra la propiedad y violentos observados en otros programas de nivel internacional: Garicao, L. &amp; Heaton, P (2010). Las actividades de fortalecimiento y de sistema de apoyo a su gestión tuvieron un impacto en el incremento de  la eficacia de la policía para reso</w:t>
            </w:r>
            <w:r w:rsidRPr="00267FC2">
              <w:rPr>
                <w:rFonts w:ascii="Times New Roman" w:hAnsi="Times New Roman"/>
                <w:i/>
                <w:sz w:val="20"/>
                <w:szCs w:val="20"/>
                <w:lang w:val="es-ES"/>
              </w:rPr>
              <w:t>l</w:t>
            </w:r>
            <w:r w:rsidRPr="00267FC2">
              <w:rPr>
                <w:rFonts w:ascii="Times New Roman" w:hAnsi="Times New Roman"/>
                <w:i/>
                <w:sz w:val="20"/>
                <w:szCs w:val="20"/>
                <w:lang w:val="es-ES"/>
              </w:rPr>
              <w:t>ver delitos contra la propiedad y violentos del 2.31% y 9.36% respectivamente</w:t>
            </w:r>
            <w:r w:rsidRPr="00267FC2">
              <w:rPr>
                <w:rFonts w:ascii="Times New Roman" w:hAnsi="Times New Roman"/>
                <w:sz w:val="20"/>
                <w:szCs w:val="20"/>
                <w:lang w:val="es-ES"/>
              </w:rPr>
              <w:t xml:space="preserve">. </w:t>
            </w:r>
          </w:p>
        </w:tc>
      </w:tr>
      <w:tr w:rsidR="00D467B6" w:rsidRPr="000346A8" w14:paraId="3F010E69"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16548FA0" w14:textId="2791F024" w:rsidR="00D467B6" w:rsidRPr="00267FC2" w:rsidRDefault="00D467B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lastRenderedPageBreak/>
              <w:t>R.1.4. Homicidios encam</w:t>
            </w:r>
            <w:r w:rsidRPr="00267FC2">
              <w:rPr>
                <w:rFonts w:ascii="Times New Roman" w:hAnsi="Times New Roman"/>
                <w:sz w:val="20"/>
                <w:szCs w:val="20"/>
                <w:lang w:val="es-ES"/>
              </w:rPr>
              <w:t>i</w:t>
            </w:r>
            <w:r w:rsidRPr="00267FC2">
              <w:rPr>
                <w:rFonts w:ascii="Times New Roman" w:hAnsi="Times New Roman"/>
                <w:sz w:val="20"/>
                <w:szCs w:val="20"/>
                <w:lang w:val="es-ES"/>
              </w:rPr>
              <w:t xml:space="preserve">nados por la </w:t>
            </w:r>
            <w:r w:rsidRPr="00267FC2">
              <w:rPr>
                <w:rFonts w:ascii="Times New Roman" w:hAnsi="Times New Roman"/>
                <w:sz w:val="20"/>
                <w:szCs w:val="20"/>
                <w:lang w:val="es-ES" w:eastAsia="pt-BR"/>
              </w:rPr>
              <w:t>Policía</w:t>
            </w:r>
            <w:r w:rsidRPr="00267FC2">
              <w:rPr>
                <w:rFonts w:ascii="Times New Roman" w:hAnsi="Times New Roman"/>
                <w:sz w:val="20"/>
                <w:szCs w:val="20"/>
                <w:lang w:val="es-ES"/>
              </w:rPr>
              <w:t xml:space="preserve"> al MP y denunciados en ES.</w:t>
            </w:r>
          </w:p>
        </w:tc>
        <w:tc>
          <w:tcPr>
            <w:tcW w:w="1980" w:type="dxa"/>
            <w:tcBorders>
              <w:top w:val="single" w:sz="4" w:space="0" w:color="auto"/>
              <w:left w:val="single" w:sz="4" w:space="0" w:color="auto"/>
              <w:bottom w:val="single" w:sz="4" w:space="0" w:color="auto"/>
              <w:right w:val="single" w:sz="4" w:space="0" w:color="auto"/>
            </w:tcBorders>
            <w:vAlign w:val="center"/>
          </w:tcPr>
          <w:p w14:paraId="4516B61B" w14:textId="24B655D1" w:rsidR="00D467B6" w:rsidRPr="00267FC2" w:rsidRDefault="00D467B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13550081" w14:textId="1EE0E3D7"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El porcentaje de denuncias sobre el total de casos  es </w:t>
            </w:r>
            <w:r>
              <w:rPr>
                <w:rFonts w:ascii="Times New Roman" w:hAnsi="Times New Roman"/>
                <w:sz w:val="20"/>
                <w:szCs w:val="20"/>
                <w:lang w:val="es-ES"/>
              </w:rPr>
              <w:t xml:space="preserve">un </w:t>
            </w:r>
            <w:r w:rsidRPr="00267FC2">
              <w:rPr>
                <w:rFonts w:ascii="Times New Roman" w:hAnsi="Times New Roman"/>
                <w:sz w:val="20"/>
                <w:szCs w:val="20"/>
                <w:lang w:val="es-ES"/>
              </w:rPr>
              <w:t>indicador de la capacidad de esclarecimiento del cr</w:t>
            </w:r>
            <w:r w:rsidRPr="00267FC2">
              <w:rPr>
                <w:rFonts w:ascii="Times New Roman" w:hAnsi="Times New Roman"/>
                <w:sz w:val="20"/>
                <w:szCs w:val="20"/>
                <w:lang w:val="es-ES"/>
              </w:rPr>
              <w:t>i</w:t>
            </w:r>
            <w:r w:rsidRPr="00267FC2">
              <w:rPr>
                <w:rFonts w:ascii="Times New Roman" w:hAnsi="Times New Roman"/>
                <w:sz w:val="20"/>
                <w:szCs w:val="20"/>
                <w:lang w:val="es-ES"/>
              </w:rPr>
              <w:t>men en ES.</w:t>
            </w:r>
            <w:r>
              <w:rPr>
                <w:rFonts w:ascii="Times New Roman" w:hAnsi="Times New Roman"/>
                <w:sz w:val="20"/>
                <w:szCs w:val="20"/>
                <w:lang w:val="es-ES"/>
              </w:rPr>
              <w:t xml:space="preserve"> Se refiere al número de homicidios en los cuales la PC término la investigación y envió su info</w:t>
            </w:r>
            <w:r>
              <w:rPr>
                <w:rFonts w:ascii="Times New Roman" w:hAnsi="Times New Roman"/>
                <w:sz w:val="20"/>
                <w:szCs w:val="20"/>
                <w:lang w:val="es-ES"/>
              </w:rPr>
              <w:t>r</w:t>
            </w:r>
            <w:r>
              <w:rPr>
                <w:rFonts w:ascii="Times New Roman" w:hAnsi="Times New Roman"/>
                <w:sz w:val="20"/>
                <w:szCs w:val="20"/>
                <w:lang w:val="es-ES"/>
              </w:rPr>
              <w:t xml:space="preserve">me a la MP. </w:t>
            </w:r>
            <w:r w:rsidRPr="00267FC2">
              <w:rPr>
                <w:rFonts w:ascii="Times New Roman" w:hAnsi="Times New Roman"/>
                <w:sz w:val="20"/>
                <w:szCs w:val="20"/>
                <w:lang w:val="es-ES"/>
              </w:rPr>
              <w:t xml:space="preserve">Hubo 80 denuncias relativas a 3610 investigaciones en periodo 2008-2009.  La meta estaría dos puntos porcentuales por encima de la media de Brasil, dado la mejora en la calidad de las investigaciones por las inversiones en capacitación y procedimientos. </w:t>
            </w:r>
            <w:r w:rsidRPr="00267FC2">
              <w:rPr>
                <w:rFonts w:ascii="Times New Roman" w:hAnsi="Times New Roman"/>
                <w:i/>
                <w:sz w:val="20"/>
                <w:szCs w:val="20"/>
                <w:lang w:val="es-ES"/>
              </w:rPr>
              <w:t>La meta propuesta es consistente con el desempeño de la PC en el cumplimiento de los objetivos de la Meta 2 del Programa Federal: Impunidad como Testigo (alca</w:t>
            </w:r>
            <w:r w:rsidRPr="00267FC2">
              <w:rPr>
                <w:rFonts w:ascii="Times New Roman" w:hAnsi="Times New Roman"/>
                <w:i/>
                <w:sz w:val="20"/>
                <w:szCs w:val="20"/>
                <w:lang w:val="es-ES"/>
              </w:rPr>
              <w:t>n</w:t>
            </w:r>
            <w:r w:rsidRPr="00267FC2">
              <w:rPr>
                <w:rFonts w:ascii="Times New Roman" w:hAnsi="Times New Roman"/>
                <w:i/>
                <w:sz w:val="20"/>
                <w:szCs w:val="20"/>
                <w:lang w:val="es-ES"/>
              </w:rPr>
              <w:t>zando a denunciar 6% de los crímenes en abierto cometidos antes de 2008) y con la evidencia internacional identificada para el indicador R.1.3.</w:t>
            </w:r>
          </w:p>
        </w:tc>
      </w:tr>
      <w:tr w:rsidR="00D467B6" w:rsidRPr="000346A8" w14:paraId="71CB439C"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269298CE" w14:textId="1A68AE84" w:rsidR="00D467B6" w:rsidRPr="00267FC2" w:rsidRDefault="00D467B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R.1.5 Registros de robo en la cual se identifica autoría en un año y enviados al MP en 8 municipios.</w:t>
            </w:r>
          </w:p>
        </w:tc>
        <w:tc>
          <w:tcPr>
            <w:tcW w:w="1980" w:type="dxa"/>
            <w:tcBorders>
              <w:top w:val="single" w:sz="4" w:space="0" w:color="auto"/>
              <w:left w:val="single" w:sz="4" w:space="0" w:color="auto"/>
              <w:bottom w:val="single" w:sz="4" w:space="0" w:color="auto"/>
              <w:right w:val="single" w:sz="4" w:space="0" w:color="auto"/>
            </w:tcBorders>
            <w:vAlign w:val="center"/>
          </w:tcPr>
          <w:p w14:paraId="60FCD553" w14:textId="3CFBB075" w:rsidR="00D467B6" w:rsidRPr="00267FC2" w:rsidRDefault="00D467B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34916D39" w14:textId="77777777"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2012 de los 15</w:t>
            </w:r>
            <w:r>
              <w:rPr>
                <w:rFonts w:ascii="Times New Roman" w:hAnsi="Times New Roman"/>
                <w:sz w:val="20"/>
                <w:szCs w:val="20"/>
                <w:lang w:val="es-ES"/>
              </w:rPr>
              <w:t>.</w:t>
            </w:r>
            <w:r w:rsidRPr="00267FC2">
              <w:rPr>
                <w:rFonts w:ascii="Times New Roman" w:hAnsi="Times New Roman"/>
                <w:sz w:val="20"/>
                <w:szCs w:val="20"/>
                <w:lang w:val="es-ES"/>
              </w:rPr>
              <w:t>016 robos registrados solamente 648 robos en los 8 municipios tuvieron autoría identific</w:t>
            </w:r>
            <w:r w:rsidRPr="00267FC2">
              <w:rPr>
                <w:rFonts w:ascii="Times New Roman" w:hAnsi="Times New Roman"/>
                <w:sz w:val="20"/>
                <w:szCs w:val="20"/>
                <w:lang w:val="es-ES"/>
              </w:rPr>
              <w:t>a</w:t>
            </w:r>
            <w:r w:rsidRPr="00267FC2">
              <w:rPr>
                <w:rFonts w:ascii="Times New Roman" w:hAnsi="Times New Roman"/>
                <w:sz w:val="20"/>
                <w:szCs w:val="20"/>
                <w:lang w:val="es-ES"/>
              </w:rPr>
              <w:t xml:space="preserve">da. </w:t>
            </w:r>
          </w:p>
          <w:p w14:paraId="5E90BDB9" w14:textId="4A17ED70" w:rsidR="00D467B6" w:rsidRPr="00267FC2" w:rsidRDefault="00D467B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proy</w:t>
            </w:r>
            <w:r>
              <w:rPr>
                <w:rFonts w:ascii="Times New Roman" w:hAnsi="Times New Roman"/>
                <w:sz w:val="20"/>
                <w:szCs w:val="20"/>
                <w:lang w:val="es-ES"/>
              </w:rPr>
              <w:t>e</w:t>
            </w:r>
            <w:r w:rsidRPr="00267FC2">
              <w:rPr>
                <w:rFonts w:ascii="Times New Roman" w:hAnsi="Times New Roman"/>
                <w:sz w:val="20"/>
                <w:szCs w:val="20"/>
                <w:lang w:val="es-ES"/>
              </w:rPr>
              <w:t>cción de las tasas para 2018 toma en cuenta la tendencia en el aumento observado en los últimos dos años de 2.8% entre 2010 y 2012, lo que llevaría a una meta en 2018 de 10%  y un impacto adi</w:t>
            </w:r>
            <w:r>
              <w:rPr>
                <w:rFonts w:ascii="Times New Roman" w:hAnsi="Times New Roman"/>
                <w:sz w:val="20"/>
                <w:szCs w:val="20"/>
                <w:lang w:val="es-ES"/>
              </w:rPr>
              <w:t>ci</w:t>
            </w:r>
            <w:r w:rsidRPr="00267FC2">
              <w:rPr>
                <w:rFonts w:ascii="Times New Roman" w:hAnsi="Times New Roman"/>
                <w:sz w:val="20"/>
                <w:szCs w:val="20"/>
                <w:lang w:val="es-ES"/>
              </w:rPr>
              <w:t>onal conse</w:t>
            </w:r>
            <w:r w:rsidRPr="00267FC2">
              <w:rPr>
                <w:rFonts w:ascii="Times New Roman" w:hAnsi="Times New Roman"/>
                <w:sz w:val="20"/>
                <w:szCs w:val="20"/>
                <w:lang w:val="es-ES"/>
              </w:rPr>
              <w:t>r</w:t>
            </w:r>
            <w:r w:rsidRPr="00267FC2">
              <w:rPr>
                <w:rFonts w:ascii="Times New Roman" w:hAnsi="Times New Roman"/>
                <w:sz w:val="20"/>
                <w:szCs w:val="20"/>
                <w:lang w:val="es-ES"/>
              </w:rPr>
              <w:t>vador del 10% dada intervenciones propuestas y los resultados alcanzados en otros programas: Tuffin, Morris &amp; Poole (2006) que indica que  una mayor presencia policía en los barrios priorizados , incluyendo la respue</w:t>
            </w:r>
            <w:r w:rsidRPr="00267FC2">
              <w:rPr>
                <w:rFonts w:ascii="Times New Roman" w:hAnsi="Times New Roman"/>
                <w:sz w:val="20"/>
                <w:szCs w:val="20"/>
                <w:lang w:val="es-ES"/>
              </w:rPr>
              <w:t>s</w:t>
            </w:r>
            <w:r w:rsidRPr="00267FC2">
              <w:rPr>
                <w:rFonts w:ascii="Times New Roman" w:hAnsi="Times New Roman"/>
                <w:sz w:val="20"/>
                <w:szCs w:val="20"/>
                <w:lang w:val="es-ES"/>
              </w:rPr>
              <w:t>ta focalizadas y la participación activa de las comunidades residentes redujo el crimen en 4% en los lugares que recibieron el tratamiento en comparación con aquellos lugares que sirvieron de control. Asimismo, Ke</w:t>
            </w:r>
            <w:r w:rsidRPr="00267FC2">
              <w:rPr>
                <w:rFonts w:ascii="Times New Roman" w:hAnsi="Times New Roman"/>
                <w:sz w:val="20"/>
                <w:szCs w:val="20"/>
                <w:lang w:val="es-ES"/>
              </w:rPr>
              <w:t>n</w:t>
            </w:r>
            <w:r w:rsidRPr="00267FC2">
              <w:rPr>
                <w:rFonts w:ascii="Times New Roman" w:hAnsi="Times New Roman"/>
                <w:sz w:val="20"/>
                <w:szCs w:val="20"/>
                <w:lang w:val="es-ES"/>
              </w:rPr>
              <w:t>ney (Colombia 2011), señaló que un 61%  indicó que deberían hacer todo lo que se pueda para ayudar a la policía a resolver el crimen y  arrestar a los autores.</w:t>
            </w:r>
            <w:r>
              <w:rPr>
                <w:rFonts w:ascii="Times New Roman" w:hAnsi="Times New Roman"/>
                <w:sz w:val="20"/>
                <w:szCs w:val="20"/>
                <w:lang w:val="es-ES"/>
              </w:rPr>
              <w:t xml:space="preserve"> Se espera que el porcentaje de registros aumente en fu</w:t>
            </w:r>
            <w:r>
              <w:rPr>
                <w:rFonts w:ascii="Times New Roman" w:hAnsi="Times New Roman"/>
                <w:sz w:val="20"/>
                <w:szCs w:val="20"/>
                <w:lang w:val="es-ES"/>
              </w:rPr>
              <w:t>n</w:t>
            </w:r>
            <w:r>
              <w:rPr>
                <w:rFonts w:ascii="Times New Roman" w:hAnsi="Times New Roman"/>
                <w:sz w:val="20"/>
                <w:szCs w:val="20"/>
                <w:lang w:val="es-ES"/>
              </w:rPr>
              <w:t>ción de las actividades de policía comunitaria.</w:t>
            </w:r>
          </w:p>
        </w:tc>
      </w:tr>
    </w:tbl>
    <w:p w14:paraId="6FE5B491" w14:textId="77777777" w:rsidR="00D467B6" w:rsidRDefault="00D467B6" w:rsidP="006F4E38">
      <w:pPr>
        <w:spacing w:after="120" w:line="240" w:lineRule="auto"/>
        <w:jc w:val="center"/>
        <w:rPr>
          <w:rStyle w:val="BookTitle"/>
          <w:rFonts w:ascii="Times New Roman" w:hAnsi="Times New Roman"/>
          <w:bCs/>
          <w:sz w:val="20"/>
          <w:szCs w:val="20"/>
          <w:lang w:val="es-ES_tradnl"/>
        </w:rPr>
      </w:pPr>
    </w:p>
    <w:p w14:paraId="2972806F" w14:textId="1260772A" w:rsidR="00D467B6" w:rsidRDefault="00D467B6" w:rsidP="00D467B6">
      <w:pPr>
        <w:spacing w:after="0" w:line="240" w:lineRule="auto"/>
        <w:rPr>
          <w:rFonts w:ascii="Times New Roman" w:hAnsi="Times New Roman"/>
          <w:bCs/>
          <w:sz w:val="20"/>
          <w:szCs w:val="20"/>
          <w:lang w:val="es-ES"/>
        </w:rPr>
      </w:pPr>
      <w:r w:rsidRPr="00267FC2">
        <w:rPr>
          <w:rFonts w:ascii="Times New Roman" w:hAnsi="Times New Roman"/>
          <w:b/>
          <w:sz w:val="20"/>
          <w:szCs w:val="20"/>
          <w:u w:val="single"/>
          <w:lang w:val="es-ES"/>
        </w:rPr>
        <w:t>Objetivo Especifico 2</w:t>
      </w:r>
      <w:r w:rsidR="00D50B33" w:rsidRPr="00267FC2">
        <w:rPr>
          <w:rFonts w:ascii="Times New Roman" w:hAnsi="Times New Roman"/>
          <w:b/>
          <w:sz w:val="20"/>
          <w:szCs w:val="20"/>
          <w:lang w:val="es-ES"/>
        </w:rPr>
        <w:t xml:space="preserve">: </w:t>
      </w:r>
      <w:r w:rsidR="00D50B33" w:rsidRPr="00393D52">
        <w:rPr>
          <w:rFonts w:ascii="Times New Roman" w:hAnsi="Times New Roman"/>
          <w:bCs/>
          <w:sz w:val="20"/>
          <w:szCs w:val="20"/>
          <w:lang w:val="es-ES"/>
        </w:rPr>
        <w:t>Incrementar</w:t>
      </w:r>
      <w:r w:rsidRPr="00393D52">
        <w:rPr>
          <w:rFonts w:ascii="Times New Roman" w:hAnsi="Times New Roman"/>
          <w:bCs/>
          <w:sz w:val="20"/>
          <w:szCs w:val="20"/>
          <w:lang w:val="es-ES"/>
        </w:rPr>
        <w:t xml:space="preserve"> las oportunidades de </w:t>
      </w:r>
      <w:r>
        <w:rPr>
          <w:rFonts w:ascii="Times New Roman" w:hAnsi="Times New Roman"/>
          <w:bCs/>
          <w:sz w:val="20"/>
          <w:szCs w:val="20"/>
          <w:lang w:val="es-ES"/>
        </w:rPr>
        <w:t>inclusión social</w:t>
      </w:r>
      <w:r w:rsidRPr="00267FC2">
        <w:rPr>
          <w:rFonts w:ascii="Times New Roman" w:hAnsi="Times New Roman"/>
          <w:bCs/>
          <w:sz w:val="20"/>
          <w:szCs w:val="20"/>
          <w:lang w:val="es-ES"/>
        </w:rPr>
        <w:t xml:space="preserve"> </w:t>
      </w:r>
      <w:r>
        <w:rPr>
          <w:rFonts w:ascii="Times New Roman" w:hAnsi="Times New Roman"/>
          <w:bCs/>
          <w:sz w:val="20"/>
          <w:szCs w:val="20"/>
          <w:lang w:val="es-ES"/>
        </w:rPr>
        <w:t>de los jóvenes de 15 a 24 años</w:t>
      </w:r>
      <w:r w:rsidRPr="00267FC2">
        <w:rPr>
          <w:rFonts w:ascii="Times New Roman" w:hAnsi="Times New Roman"/>
          <w:bCs/>
          <w:sz w:val="20"/>
          <w:szCs w:val="20"/>
          <w:lang w:val="es-ES"/>
        </w:rPr>
        <w:t xml:space="preserve"> en condiciones de riesgo a la violencia.</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D467B6" w:rsidRPr="00957EFA" w14:paraId="535989E7" w14:textId="77777777" w:rsidTr="00684477">
        <w:trPr>
          <w:jc w:val="center"/>
        </w:trPr>
        <w:tc>
          <w:tcPr>
            <w:tcW w:w="2597" w:type="dxa"/>
            <w:tcBorders>
              <w:bottom w:val="single" w:sz="4" w:space="0" w:color="auto"/>
            </w:tcBorders>
            <w:shd w:val="clear" w:color="auto" w:fill="D6E3BC" w:themeFill="accent3" w:themeFillTint="66"/>
            <w:vAlign w:val="center"/>
          </w:tcPr>
          <w:p w14:paraId="3EAFD565" w14:textId="77777777" w:rsidR="00D467B6" w:rsidRPr="00D467B6" w:rsidRDefault="00D467B6"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7A9A59EE" w14:textId="77777777" w:rsidR="00D467B6" w:rsidRPr="00D467B6" w:rsidRDefault="00D467B6"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0E79024A" w14:textId="77777777" w:rsidR="00D467B6" w:rsidRPr="00D467B6" w:rsidRDefault="00D467B6"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A129EF" w:rsidRPr="000346A8" w14:paraId="6CA86943" w14:textId="77777777" w:rsidTr="00684477">
        <w:trPr>
          <w:jc w:val="center"/>
        </w:trPr>
        <w:tc>
          <w:tcPr>
            <w:tcW w:w="2597" w:type="dxa"/>
            <w:tcBorders>
              <w:bottom w:val="single" w:sz="4" w:space="0" w:color="auto"/>
            </w:tcBorders>
            <w:vAlign w:val="center"/>
          </w:tcPr>
          <w:p w14:paraId="4237E067" w14:textId="4E876EE9"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R.2.1</w:t>
            </w:r>
            <w:r>
              <w:rPr>
                <w:rFonts w:ascii="Times New Roman" w:hAnsi="Times New Roman"/>
                <w:sz w:val="20"/>
                <w:szCs w:val="20"/>
                <w:lang w:val="es-ES"/>
              </w:rPr>
              <w:t xml:space="preserve"> Jóvenes de 15 a 20 a</w:t>
            </w:r>
            <w:r w:rsidRPr="00393D52">
              <w:rPr>
                <w:rFonts w:ascii="Times New Roman" w:hAnsi="Times New Roman"/>
                <w:sz w:val="20"/>
                <w:lang w:val="es-ES_tradnl"/>
              </w:rPr>
              <w:t>ños</w:t>
            </w:r>
            <w:r>
              <w:rPr>
                <w:rFonts w:ascii="Times New Roman" w:hAnsi="Times New Roman"/>
                <w:sz w:val="20"/>
                <w:szCs w:val="20"/>
                <w:lang w:val="es-ES"/>
              </w:rPr>
              <w:t xml:space="preserve"> que cursaban el ciclo medio el año anterior y abandonaron la escuela en 8 municipios</w:t>
            </w:r>
            <w:r w:rsidRPr="00267FC2">
              <w:rPr>
                <w:rFonts w:ascii="Times New Roman" w:hAnsi="Times New Roman"/>
                <w:sz w:val="20"/>
                <w:szCs w:val="20"/>
                <w:lang w:val="es-ES"/>
              </w:rPr>
              <w:t>.</w:t>
            </w:r>
          </w:p>
        </w:tc>
        <w:tc>
          <w:tcPr>
            <w:tcW w:w="1980" w:type="dxa"/>
            <w:tcBorders>
              <w:bottom w:val="single" w:sz="4" w:space="0" w:color="auto"/>
            </w:tcBorders>
            <w:vAlign w:val="center"/>
          </w:tcPr>
          <w:p w14:paraId="74A8A31C" w14:textId="3CB6BD98"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p>
        </w:tc>
        <w:tc>
          <w:tcPr>
            <w:tcW w:w="9076" w:type="dxa"/>
            <w:tcBorders>
              <w:bottom w:val="single" w:sz="4" w:space="0" w:color="auto"/>
            </w:tcBorders>
          </w:tcPr>
          <w:p w14:paraId="32E740A9" w14:textId="3529FEA9"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El Sitio Web “Todos por la Educación” pública periódicamente estos indicadores:  </w:t>
            </w:r>
            <w:hyperlink r:id="rId10" w:history="1">
              <w:r w:rsidRPr="00267FC2">
                <w:rPr>
                  <w:rStyle w:val="Hyperlink"/>
                  <w:rFonts w:ascii="Times New Roman" w:hAnsi="Times New Roman"/>
                  <w:sz w:val="20"/>
                  <w:szCs w:val="20"/>
                  <w:lang w:val="es-ES"/>
                </w:rPr>
                <w:t>www.todospelaeducacao.org.br</w:t>
              </w:r>
            </w:hyperlink>
            <w:r w:rsidRPr="00267FC2">
              <w:rPr>
                <w:rFonts w:ascii="Times New Roman" w:hAnsi="Times New Roman"/>
                <w:sz w:val="20"/>
                <w:szCs w:val="20"/>
                <w:lang w:val="es-ES"/>
              </w:rPr>
              <w:t>. La tasa de abando</w:t>
            </w:r>
            <w:r>
              <w:rPr>
                <w:rFonts w:ascii="Times New Roman" w:hAnsi="Times New Roman"/>
                <w:sz w:val="20"/>
                <w:szCs w:val="20"/>
                <w:lang w:val="es-ES"/>
              </w:rPr>
              <w:t>no</w:t>
            </w:r>
            <w:r w:rsidRPr="00267FC2">
              <w:rPr>
                <w:rFonts w:ascii="Times New Roman" w:hAnsi="Times New Roman"/>
                <w:sz w:val="20"/>
                <w:szCs w:val="20"/>
                <w:lang w:val="es-ES"/>
              </w:rPr>
              <w:t xml:space="preserve"> escolar no ciclo medio no periodo 2005 a 2012 se</w:t>
            </w:r>
            <w:r>
              <w:rPr>
                <w:rFonts w:ascii="Times New Roman" w:hAnsi="Times New Roman"/>
                <w:sz w:val="20"/>
                <w:szCs w:val="20"/>
                <w:lang w:val="es-ES"/>
              </w:rPr>
              <w:t xml:space="preserve"> </w:t>
            </w:r>
            <w:r w:rsidRPr="00267FC2">
              <w:rPr>
                <w:rFonts w:ascii="Times New Roman" w:hAnsi="Times New Roman"/>
                <w:sz w:val="20"/>
                <w:szCs w:val="20"/>
                <w:lang w:val="es-ES"/>
              </w:rPr>
              <w:t>redujo de 3,5 puntos porcentuales o de 0,5% al año, esta tendenc</w:t>
            </w:r>
            <w:r>
              <w:rPr>
                <w:rFonts w:ascii="Times New Roman" w:hAnsi="Times New Roman"/>
                <w:sz w:val="20"/>
                <w:szCs w:val="20"/>
                <w:lang w:val="es-ES"/>
              </w:rPr>
              <w:t>i</w:t>
            </w:r>
            <w:r w:rsidRPr="00267FC2">
              <w:rPr>
                <w:rFonts w:ascii="Times New Roman" w:hAnsi="Times New Roman"/>
                <w:sz w:val="20"/>
                <w:szCs w:val="20"/>
                <w:lang w:val="es-ES"/>
              </w:rPr>
              <w:t>a</w:t>
            </w:r>
            <w:r>
              <w:rPr>
                <w:rFonts w:ascii="Times New Roman" w:hAnsi="Times New Roman"/>
                <w:sz w:val="20"/>
                <w:szCs w:val="20"/>
                <w:lang w:val="es-ES"/>
              </w:rPr>
              <w:t xml:space="preserve"> </w:t>
            </w:r>
            <w:r w:rsidRPr="00267FC2">
              <w:rPr>
                <w:rFonts w:ascii="Times New Roman" w:hAnsi="Times New Roman"/>
                <w:sz w:val="20"/>
                <w:szCs w:val="20"/>
                <w:lang w:val="es-ES"/>
              </w:rPr>
              <w:t>sugiere que en 2018 la tasa de abandono alcance a 5,9%. Adicionalmente tomando en cuenta el impacto marginal de una reducción de 0,2 como resultado del impacto del Programa que es consistente con la evidencia internacional “ Effectiveness of Mentoring Pr</w:t>
            </w:r>
            <w:r w:rsidRPr="00267FC2">
              <w:rPr>
                <w:rFonts w:ascii="Times New Roman" w:hAnsi="Times New Roman"/>
                <w:sz w:val="20"/>
                <w:szCs w:val="20"/>
                <w:lang w:val="es-ES"/>
              </w:rPr>
              <w:t>o</w:t>
            </w:r>
            <w:r w:rsidRPr="00267FC2">
              <w:rPr>
                <w:rFonts w:ascii="Times New Roman" w:hAnsi="Times New Roman"/>
                <w:sz w:val="20"/>
                <w:szCs w:val="20"/>
                <w:lang w:val="es-ES"/>
              </w:rPr>
              <w:t xml:space="preserve">grams for Youth: A Meta-Analytic Review David L. DuBois,1 Bruce E. Holloway, Jeffrey C. Valentine, and Harris Cooper,  2002) que </w:t>
            </w:r>
            <w:r w:rsidRPr="00C43C06">
              <w:rPr>
                <w:rFonts w:ascii="Times New Roman" w:hAnsi="Times New Roman"/>
                <w:sz w:val="20"/>
                <w:szCs w:val="20"/>
                <w:lang w:val="es-ES"/>
              </w:rPr>
              <w:t>sugiere un impacto de 0,18 desvíos de la variable de resultado.</w:t>
            </w:r>
          </w:p>
        </w:tc>
      </w:tr>
      <w:tr w:rsidR="00A129EF" w:rsidRPr="00957EFA" w14:paraId="359E1D50" w14:textId="77777777" w:rsidTr="00684477">
        <w:trPr>
          <w:jc w:val="center"/>
        </w:trPr>
        <w:tc>
          <w:tcPr>
            <w:tcW w:w="2597" w:type="dxa"/>
            <w:tcBorders>
              <w:bottom w:val="single" w:sz="4" w:space="0" w:color="auto"/>
            </w:tcBorders>
            <w:vAlign w:val="center"/>
          </w:tcPr>
          <w:p w14:paraId="347882E6" w14:textId="49944364"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 xml:space="preserve">R.2.2 Jóvenes de 15 a 24 años sin el  ciclo básico </w:t>
            </w:r>
            <w:r w:rsidRPr="00267FC2">
              <w:rPr>
                <w:rFonts w:ascii="Times New Roman" w:hAnsi="Times New Roman"/>
                <w:sz w:val="20"/>
                <w:szCs w:val="20"/>
                <w:lang w:val="es-ES"/>
              </w:rPr>
              <w:lastRenderedPageBreak/>
              <w:t>concluido en 8 munic</w:t>
            </w:r>
            <w:r w:rsidRPr="00267FC2">
              <w:rPr>
                <w:rFonts w:ascii="Times New Roman" w:hAnsi="Times New Roman"/>
                <w:sz w:val="20"/>
                <w:szCs w:val="20"/>
                <w:lang w:val="es-ES"/>
              </w:rPr>
              <w:t>i</w:t>
            </w:r>
            <w:r w:rsidRPr="00267FC2">
              <w:rPr>
                <w:rFonts w:ascii="Times New Roman" w:hAnsi="Times New Roman"/>
                <w:sz w:val="20"/>
                <w:szCs w:val="20"/>
                <w:lang w:val="es-ES"/>
              </w:rPr>
              <w:t>pios.</w:t>
            </w:r>
          </w:p>
        </w:tc>
        <w:tc>
          <w:tcPr>
            <w:tcW w:w="1980" w:type="dxa"/>
            <w:tcBorders>
              <w:bottom w:val="single" w:sz="4" w:space="0" w:color="auto"/>
            </w:tcBorders>
            <w:vAlign w:val="center"/>
          </w:tcPr>
          <w:p w14:paraId="0E427405" w14:textId="57EA1EA1"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lastRenderedPageBreak/>
              <w:t>Tasa</w:t>
            </w:r>
          </w:p>
        </w:tc>
        <w:tc>
          <w:tcPr>
            <w:tcW w:w="9076" w:type="dxa"/>
            <w:tcBorders>
              <w:bottom w:val="single" w:sz="4" w:space="0" w:color="auto"/>
            </w:tcBorders>
          </w:tcPr>
          <w:p w14:paraId="3C87824A" w14:textId="271B7855"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línea de base se obtuvo de los datos el Censo 2011 publicado por el IBGE que serán ajustados con una encuestas al inicio y al final del Programa En 2011 existían  160</w:t>
            </w:r>
            <w:r>
              <w:rPr>
                <w:rFonts w:ascii="Times New Roman" w:hAnsi="Times New Roman"/>
                <w:sz w:val="20"/>
                <w:szCs w:val="20"/>
                <w:lang w:val="es-ES"/>
              </w:rPr>
              <w:t>.</w:t>
            </w:r>
            <w:r w:rsidRPr="00267FC2">
              <w:rPr>
                <w:rFonts w:ascii="Times New Roman" w:hAnsi="Times New Roman"/>
                <w:sz w:val="20"/>
                <w:szCs w:val="20"/>
                <w:lang w:val="es-ES"/>
              </w:rPr>
              <w:t>920 de 345</w:t>
            </w:r>
            <w:r>
              <w:rPr>
                <w:rFonts w:ascii="Times New Roman" w:hAnsi="Times New Roman"/>
                <w:sz w:val="20"/>
                <w:szCs w:val="20"/>
                <w:lang w:val="es-ES"/>
              </w:rPr>
              <w:t>.</w:t>
            </w:r>
            <w:r w:rsidRPr="00267FC2">
              <w:rPr>
                <w:rFonts w:ascii="Times New Roman" w:hAnsi="Times New Roman"/>
                <w:sz w:val="20"/>
                <w:szCs w:val="20"/>
                <w:lang w:val="es-ES"/>
              </w:rPr>
              <w:t xml:space="preserve">327 jóvenes de 15 a 24 años de </w:t>
            </w:r>
            <w:r w:rsidRPr="00267FC2">
              <w:rPr>
                <w:rFonts w:ascii="Times New Roman" w:hAnsi="Times New Roman"/>
                <w:sz w:val="20"/>
                <w:szCs w:val="20"/>
                <w:lang w:val="es-ES"/>
              </w:rPr>
              <w:lastRenderedPageBreak/>
              <w:t>edad que no había culminado el ciclo básico en los 8 Municipios. El programa atenderá 23</w:t>
            </w:r>
            <w:r>
              <w:rPr>
                <w:rFonts w:ascii="Times New Roman" w:hAnsi="Times New Roman"/>
                <w:sz w:val="20"/>
                <w:szCs w:val="20"/>
                <w:lang w:val="es-ES"/>
              </w:rPr>
              <w:t>.</w:t>
            </w:r>
            <w:r w:rsidRPr="00267FC2">
              <w:rPr>
                <w:rFonts w:ascii="Times New Roman" w:hAnsi="Times New Roman"/>
                <w:sz w:val="20"/>
                <w:szCs w:val="20"/>
                <w:lang w:val="es-ES"/>
              </w:rPr>
              <w:t>179 del Universo en los Municipios.</w:t>
            </w:r>
          </w:p>
        </w:tc>
      </w:tr>
      <w:tr w:rsidR="00A129EF" w:rsidRPr="000346A8" w14:paraId="72CF07AE"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0DD74408" w14:textId="4BA5F562"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lastRenderedPageBreak/>
              <w:t xml:space="preserve">R.2.3 Jóvenes de 15 a 24  años que trabajan en los 8 municipios. </w:t>
            </w:r>
          </w:p>
        </w:tc>
        <w:tc>
          <w:tcPr>
            <w:tcW w:w="1980" w:type="dxa"/>
            <w:tcBorders>
              <w:top w:val="single" w:sz="4" w:space="0" w:color="auto"/>
              <w:left w:val="single" w:sz="4" w:space="0" w:color="auto"/>
              <w:bottom w:val="single" w:sz="4" w:space="0" w:color="auto"/>
              <w:right w:val="single" w:sz="4" w:space="0" w:color="auto"/>
            </w:tcBorders>
            <w:vAlign w:val="center"/>
          </w:tcPr>
          <w:p w14:paraId="1659A2B4" w14:textId="38C383D9"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07C384EC" w14:textId="63E40DAC"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línea de base se obtuvo de los datos el Censo Demográfico 2010 publicado por el IBGE  .De los 160</w:t>
            </w:r>
            <w:r>
              <w:rPr>
                <w:rFonts w:ascii="Times New Roman" w:hAnsi="Times New Roman"/>
                <w:sz w:val="20"/>
                <w:szCs w:val="20"/>
                <w:lang w:val="es-ES"/>
              </w:rPr>
              <w:t>.</w:t>
            </w:r>
            <w:r w:rsidRPr="00267FC2">
              <w:rPr>
                <w:rFonts w:ascii="Times New Roman" w:hAnsi="Times New Roman"/>
                <w:sz w:val="20"/>
                <w:szCs w:val="20"/>
                <w:lang w:val="es-ES"/>
              </w:rPr>
              <w:t>920 jóvenes sin ciclo básico completo, 78.368 estaban trabajando en 2011. El Programa tendrá un impacto de 24</w:t>
            </w:r>
            <w:r>
              <w:rPr>
                <w:rFonts w:ascii="Times New Roman" w:hAnsi="Times New Roman"/>
                <w:sz w:val="20"/>
                <w:szCs w:val="20"/>
                <w:lang w:val="es-ES"/>
              </w:rPr>
              <w:t>.</w:t>
            </w:r>
            <w:r w:rsidRPr="00267FC2">
              <w:rPr>
                <w:rFonts w:ascii="Times New Roman" w:hAnsi="Times New Roman"/>
                <w:sz w:val="20"/>
                <w:szCs w:val="20"/>
                <w:lang w:val="es-ES"/>
              </w:rPr>
              <w:t xml:space="preserve">500 nuevos jóvenes en el mercado de trabajo. </w:t>
            </w:r>
          </w:p>
        </w:tc>
      </w:tr>
      <w:tr w:rsidR="00A129EF" w:rsidRPr="000346A8" w14:paraId="413276DA"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0B669606" w14:textId="3FA5EE1B"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R.2.4 Jóvenes de 15 a 24  años afrodescendientes que trabajan en los 8 m</w:t>
            </w:r>
            <w:r w:rsidRPr="00267FC2">
              <w:rPr>
                <w:rFonts w:ascii="Times New Roman" w:hAnsi="Times New Roman"/>
                <w:sz w:val="20"/>
                <w:szCs w:val="20"/>
                <w:lang w:val="es-ES"/>
              </w:rPr>
              <w:t>u</w:t>
            </w:r>
            <w:r w:rsidRPr="00267FC2">
              <w:rPr>
                <w:rFonts w:ascii="Times New Roman" w:hAnsi="Times New Roman"/>
                <w:sz w:val="20"/>
                <w:szCs w:val="20"/>
                <w:lang w:val="es-ES"/>
              </w:rPr>
              <w:t>nicipios.</w:t>
            </w:r>
          </w:p>
        </w:tc>
        <w:tc>
          <w:tcPr>
            <w:tcW w:w="1980" w:type="dxa"/>
            <w:tcBorders>
              <w:top w:val="single" w:sz="4" w:space="0" w:color="auto"/>
              <w:left w:val="single" w:sz="4" w:space="0" w:color="auto"/>
              <w:bottom w:val="single" w:sz="4" w:space="0" w:color="auto"/>
              <w:right w:val="single" w:sz="4" w:space="0" w:color="auto"/>
            </w:tcBorders>
            <w:vAlign w:val="center"/>
          </w:tcPr>
          <w:p w14:paraId="799628BC" w14:textId="5BAC4637"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10A5BC38" w14:textId="3EED738C"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2010 existían 78</w:t>
            </w:r>
            <w:r>
              <w:rPr>
                <w:rFonts w:ascii="Times New Roman" w:hAnsi="Times New Roman"/>
                <w:sz w:val="20"/>
                <w:szCs w:val="20"/>
                <w:lang w:val="es-ES"/>
              </w:rPr>
              <w:t>.</w:t>
            </w:r>
            <w:r w:rsidRPr="00267FC2">
              <w:rPr>
                <w:rFonts w:ascii="Times New Roman" w:hAnsi="Times New Roman"/>
                <w:sz w:val="20"/>
                <w:szCs w:val="20"/>
                <w:lang w:val="es-ES"/>
              </w:rPr>
              <w:t>368 jóvenes sin ciclo básico completo que estaban trabajando en los 8 municipios, de estos 68,70%  (53.844) eran afrodescendientes. En estos municipios 81% de los jóvenes son afrodescendie</w:t>
            </w:r>
            <w:r w:rsidRPr="00267FC2">
              <w:rPr>
                <w:rFonts w:ascii="Times New Roman" w:hAnsi="Times New Roman"/>
                <w:sz w:val="20"/>
                <w:szCs w:val="20"/>
                <w:lang w:val="es-ES"/>
              </w:rPr>
              <w:t>n</w:t>
            </w:r>
            <w:r w:rsidRPr="00267FC2">
              <w:rPr>
                <w:rFonts w:ascii="Times New Roman" w:hAnsi="Times New Roman"/>
                <w:sz w:val="20"/>
                <w:szCs w:val="20"/>
                <w:lang w:val="es-ES"/>
              </w:rPr>
              <w:t>tes, lo que significa una población de 130</w:t>
            </w:r>
            <w:r>
              <w:rPr>
                <w:rFonts w:ascii="Times New Roman" w:hAnsi="Times New Roman"/>
                <w:sz w:val="20"/>
                <w:szCs w:val="20"/>
                <w:lang w:val="es-ES"/>
              </w:rPr>
              <w:t>.</w:t>
            </w:r>
            <w:r w:rsidRPr="00267FC2">
              <w:rPr>
                <w:rFonts w:ascii="Times New Roman" w:hAnsi="Times New Roman"/>
                <w:sz w:val="20"/>
                <w:szCs w:val="20"/>
                <w:lang w:val="es-ES"/>
              </w:rPr>
              <w:t>423. De este universo existía una población ocupada de 41,2%.  Se espera que la población de beneficiarios refleje a la población étnica y racial elegible del Programa en los 8  municipios 19</w:t>
            </w:r>
            <w:r>
              <w:rPr>
                <w:rFonts w:ascii="Times New Roman" w:hAnsi="Times New Roman"/>
                <w:sz w:val="20"/>
                <w:szCs w:val="20"/>
                <w:lang w:val="es-ES"/>
              </w:rPr>
              <w:t>.</w:t>
            </w:r>
            <w:r w:rsidRPr="00267FC2">
              <w:rPr>
                <w:rFonts w:ascii="Times New Roman" w:hAnsi="Times New Roman"/>
                <w:sz w:val="20"/>
                <w:szCs w:val="20"/>
                <w:lang w:val="es-ES"/>
              </w:rPr>
              <w:t>845 (81% del total de beneficiarios a participar de la actividad).</w:t>
            </w:r>
          </w:p>
        </w:tc>
      </w:tr>
      <w:tr w:rsidR="00A129EF" w:rsidRPr="000346A8" w14:paraId="3A82F8A8"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4806601D" w14:textId="7B0EA5F6"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 xml:space="preserve">R.2.5. </w:t>
            </w:r>
            <w:r>
              <w:rPr>
                <w:rFonts w:ascii="Times New Roman" w:hAnsi="Times New Roman"/>
                <w:sz w:val="20"/>
                <w:szCs w:val="20"/>
                <w:lang w:val="es-ES"/>
              </w:rPr>
              <w:t>Robos cometidos que tuvieron por autor a un joven de entre 15 y 24 años en los 8 municipios</w:t>
            </w:r>
            <w:r w:rsidRPr="00267FC2">
              <w:rPr>
                <w:rFonts w:ascii="Times New Roman" w:hAnsi="Times New Roman"/>
                <w:sz w:val="20"/>
                <w:szCs w:val="20"/>
                <w:lang w:val="es-ES"/>
              </w:rPr>
              <w:t xml:space="preserve">.  </w:t>
            </w:r>
          </w:p>
        </w:tc>
        <w:tc>
          <w:tcPr>
            <w:tcW w:w="1980" w:type="dxa"/>
            <w:tcBorders>
              <w:top w:val="single" w:sz="4" w:space="0" w:color="auto"/>
              <w:left w:val="single" w:sz="4" w:space="0" w:color="auto"/>
              <w:bottom w:val="single" w:sz="4" w:space="0" w:color="auto"/>
              <w:right w:val="single" w:sz="4" w:space="0" w:color="auto"/>
            </w:tcBorders>
            <w:vAlign w:val="center"/>
          </w:tcPr>
          <w:p w14:paraId="37A206FC" w14:textId="7C01C37A"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4776FADE" w14:textId="3676A990"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tasa de participación asume una tasa de éxito del 20% como resultado de los programas de prevención. Este resultado es consistente con la evidencia preliminar vinculada al uso productivo del joven en comunid</w:t>
            </w:r>
            <w:r w:rsidRPr="00267FC2">
              <w:rPr>
                <w:rFonts w:ascii="Times New Roman" w:hAnsi="Times New Roman"/>
                <w:sz w:val="20"/>
                <w:szCs w:val="20"/>
                <w:lang w:val="es-ES"/>
              </w:rPr>
              <w:t>a</w:t>
            </w:r>
            <w:r w:rsidRPr="00267FC2">
              <w:rPr>
                <w:rFonts w:ascii="Times New Roman" w:hAnsi="Times New Roman"/>
                <w:sz w:val="20"/>
                <w:szCs w:val="20"/>
                <w:lang w:val="es-ES"/>
              </w:rPr>
              <w:t xml:space="preserve">des que indica una reducción de 83%. </w:t>
            </w:r>
            <w:r w:rsidRPr="000629F6">
              <w:rPr>
                <w:rFonts w:ascii="Times New Roman" w:hAnsi="Times New Roman"/>
                <w:sz w:val="20"/>
                <w:szCs w:val="20"/>
              </w:rPr>
              <w:t xml:space="preserve">“New pool programs help to reduce local crime” Smith, B. (1993),  Recreation Exchange, vol.5, no. 3. </w:t>
            </w:r>
            <w:r w:rsidRPr="00267FC2">
              <w:rPr>
                <w:rFonts w:ascii="Times New Roman" w:hAnsi="Times New Roman"/>
                <w:sz w:val="20"/>
                <w:szCs w:val="20"/>
                <w:lang w:val="es-ES"/>
              </w:rPr>
              <w:t>Resultado. El vandalismo y los robos disminuyeron 85% gracias al pr</w:t>
            </w:r>
            <w:r w:rsidRPr="00267FC2">
              <w:rPr>
                <w:rFonts w:ascii="Times New Roman" w:hAnsi="Times New Roman"/>
                <w:sz w:val="20"/>
                <w:szCs w:val="20"/>
                <w:lang w:val="es-ES"/>
              </w:rPr>
              <w:t>o</w:t>
            </w:r>
            <w:r w:rsidRPr="00267FC2">
              <w:rPr>
                <w:rFonts w:ascii="Times New Roman" w:hAnsi="Times New Roman"/>
                <w:sz w:val="20"/>
                <w:szCs w:val="20"/>
                <w:lang w:val="es-ES"/>
              </w:rPr>
              <w:t>grama de la piscina.  El 96% de la línea de base corresponde a 622 jóvenes de 648 casos de robo con autoría identificada.</w:t>
            </w:r>
          </w:p>
        </w:tc>
      </w:tr>
    </w:tbl>
    <w:p w14:paraId="50F0BDD8" w14:textId="77777777" w:rsidR="00D467B6" w:rsidRDefault="00D467B6" w:rsidP="006F4E38">
      <w:pPr>
        <w:spacing w:after="120" w:line="240" w:lineRule="auto"/>
        <w:jc w:val="center"/>
        <w:rPr>
          <w:rStyle w:val="BookTitle"/>
          <w:rFonts w:ascii="Times New Roman" w:hAnsi="Times New Roman"/>
          <w:bCs/>
          <w:sz w:val="20"/>
          <w:szCs w:val="20"/>
          <w:lang w:val="es-ES_tradnl"/>
        </w:rPr>
      </w:pPr>
    </w:p>
    <w:p w14:paraId="71A1581C" w14:textId="77777777" w:rsidR="00A129EF" w:rsidRPr="00267FC2" w:rsidRDefault="00A129EF" w:rsidP="00A129EF">
      <w:pPr>
        <w:spacing w:after="0" w:line="240" w:lineRule="auto"/>
        <w:rPr>
          <w:rFonts w:ascii="Times New Roman" w:hAnsi="Times New Roman"/>
          <w:sz w:val="20"/>
          <w:szCs w:val="20"/>
          <w:lang w:val="es-ES"/>
        </w:rPr>
      </w:pPr>
      <w:r w:rsidRPr="00267FC2">
        <w:rPr>
          <w:rFonts w:ascii="Times New Roman" w:hAnsi="Times New Roman"/>
          <w:b/>
          <w:sz w:val="20"/>
          <w:szCs w:val="20"/>
          <w:u w:val="single"/>
          <w:lang w:val="es-ES"/>
        </w:rPr>
        <w:t>Objetivo Especifico 3</w:t>
      </w:r>
      <w:r w:rsidRPr="00267FC2">
        <w:rPr>
          <w:rFonts w:ascii="Times New Roman" w:hAnsi="Times New Roman"/>
          <w:sz w:val="20"/>
          <w:szCs w:val="20"/>
          <w:lang w:val="es-ES"/>
        </w:rPr>
        <w:t>: Reducir la reincidencia delictiva de los jóvenes</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A129EF" w:rsidRPr="00957EFA" w14:paraId="37B7AD17" w14:textId="77777777" w:rsidTr="00684477">
        <w:trPr>
          <w:jc w:val="center"/>
        </w:trPr>
        <w:tc>
          <w:tcPr>
            <w:tcW w:w="2597" w:type="dxa"/>
            <w:tcBorders>
              <w:bottom w:val="single" w:sz="4" w:space="0" w:color="auto"/>
            </w:tcBorders>
            <w:shd w:val="clear" w:color="auto" w:fill="D6E3BC" w:themeFill="accent3" w:themeFillTint="66"/>
            <w:vAlign w:val="center"/>
          </w:tcPr>
          <w:p w14:paraId="33F9BAF7" w14:textId="77777777" w:rsidR="00A129EF" w:rsidRPr="00D467B6" w:rsidRDefault="00A129EF"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0E86593F" w14:textId="77777777" w:rsidR="00A129EF" w:rsidRPr="00D467B6" w:rsidRDefault="00A129EF"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531A6C40" w14:textId="77777777" w:rsidR="00A129EF" w:rsidRPr="00D467B6" w:rsidRDefault="00A129EF"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A129EF" w:rsidRPr="000346A8" w14:paraId="5A4CDF79" w14:textId="77777777" w:rsidTr="00684477">
        <w:trPr>
          <w:jc w:val="center"/>
        </w:trPr>
        <w:tc>
          <w:tcPr>
            <w:tcW w:w="2597" w:type="dxa"/>
            <w:tcBorders>
              <w:bottom w:val="single" w:sz="4" w:space="0" w:color="auto"/>
            </w:tcBorders>
            <w:vAlign w:val="center"/>
          </w:tcPr>
          <w:p w14:paraId="1C781D08" w14:textId="76049386"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 xml:space="preserve">R.3.1  </w:t>
            </w:r>
            <w:r>
              <w:rPr>
                <w:rFonts w:ascii="Times New Roman" w:hAnsi="Times New Roman"/>
                <w:sz w:val="20"/>
                <w:szCs w:val="20"/>
                <w:lang w:val="es-ES"/>
              </w:rPr>
              <w:t>J</w:t>
            </w:r>
            <w:r w:rsidRPr="00EA6333">
              <w:rPr>
                <w:rFonts w:ascii="Times New Roman" w:hAnsi="Times New Roman"/>
                <w:sz w:val="20"/>
                <w:szCs w:val="20"/>
                <w:lang w:val="es-ES"/>
              </w:rPr>
              <w:t>óvenes que egresaron el año anterior, y volvi</w:t>
            </w:r>
            <w:r w:rsidRPr="00EA6333">
              <w:rPr>
                <w:rFonts w:ascii="Times New Roman" w:hAnsi="Times New Roman"/>
                <w:sz w:val="20"/>
                <w:szCs w:val="20"/>
                <w:lang w:val="es-ES"/>
              </w:rPr>
              <w:t>e</w:t>
            </w:r>
            <w:r w:rsidRPr="00EA6333">
              <w:rPr>
                <w:rFonts w:ascii="Times New Roman" w:hAnsi="Times New Roman"/>
                <w:sz w:val="20"/>
                <w:szCs w:val="20"/>
                <w:lang w:val="es-ES"/>
              </w:rPr>
              <w:t>ron a ingresar a los ce</w:t>
            </w:r>
            <w:r w:rsidRPr="00EA6333">
              <w:rPr>
                <w:rFonts w:ascii="Times New Roman" w:hAnsi="Times New Roman"/>
                <w:sz w:val="20"/>
                <w:szCs w:val="20"/>
                <w:lang w:val="es-ES"/>
              </w:rPr>
              <w:t>n</w:t>
            </w:r>
            <w:r w:rsidRPr="00EA6333">
              <w:rPr>
                <w:rFonts w:ascii="Times New Roman" w:hAnsi="Times New Roman"/>
                <w:sz w:val="20"/>
                <w:szCs w:val="20"/>
                <w:lang w:val="es-ES"/>
              </w:rPr>
              <w:t xml:space="preserve">tros IASES para servir una nueva medida </w:t>
            </w:r>
            <w:r>
              <w:rPr>
                <w:rFonts w:ascii="Times New Roman" w:hAnsi="Times New Roman"/>
                <w:sz w:val="20"/>
                <w:szCs w:val="20"/>
                <w:lang w:val="es-ES"/>
              </w:rPr>
              <w:t>en ES</w:t>
            </w:r>
            <w:r w:rsidRPr="00267FC2">
              <w:rPr>
                <w:rFonts w:ascii="Times New Roman" w:hAnsi="Times New Roman"/>
                <w:sz w:val="20"/>
                <w:szCs w:val="20"/>
                <w:lang w:val="es-ES"/>
              </w:rPr>
              <w:t>.</w:t>
            </w:r>
          </w:p>
        </w:tc>
        <w:tc>
          <w:tcPr>
            <w:tcW w:w="1980" w:type="dxa"/>
            <w:tcBorders>
              <w:bottom w:val="single" w:sz="4" w:space="0" w:color="auto"/>
            </w:tcBorders>
            <w:vAlign w:val="center"/>
          </w:tcPr>
          <w:p w14:paraId="46FE6EEF" w14:textId="58747EEC" w:rsidR="00A129EF" w:rsidRPr="00267FC2" w:rsidRDefault="00A129EF" w:rsidP="00684477">
            <w:pPr>
              <w:spacing w:after="0" w:line="240" w:lineRule="auto"/>
              <w:jc w:val="center"/>
              <w:rPr>
                <w:rFonts w:ascii="Times New Roman" w:hAnsi="Times New Roman"/>
                <w:sz w:val="20"/>
                <w:szCs w:val="20"/>
                <w:lang w:val="es-ES"/>
              </w:rPr>
            </w:pPr>
            <w:r>
              <w:rPr>
                <w:rFonts w:ascii="Times New Roman" w:hAnsi="Times New Roman"/>
                <w:sz w:val="20"/>
                <w:szCs w:val="20"/>
                <w:lang w:val="es-ES"/>
              </w:rPr>
              <w:t>Tasa</w:t>
            </w:r>
          </w:p>
        </w:tc>
        <w:tc>
          <w:tcPr>
            <w:tcW w:w="9076" w:type="dxa"/>
            <w:tcBorders>
              <w:bottom w:val="single" w:sz="4" w:space="0" w:color="auto"/>
            </w:tcBorders>
          </w:tcPr>
          <w:p w14:paraId="29F2950D" w14:textId="1B63A318"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Había 62 jóvenes con menos de 17 años cumpliendo medida de internación, de estos 30</w:t>
            </w:r>
            <w:r>
              <w:rPr>
                <w:rFonts w:ascii="Times New Roman" w:hAnsi="Times New Roman"/>
                <w:sz w:val="20"/>
                <w:szCs w:val="20"/>
                <w:lang w:val="es-ES"/>
              </w:rPr>
              <w:t xml:space="preserve"> </w:t>
            </w:r>
            <w:r w:rsidRPr="00267FC2">
              <w:rPr>
                <w:rFonts w:ascii="Times New Roman" w:hAnsi="Times New Roman"/>
                <w:sz w:val="20"/>
                <w:szCs w:val="20"/>
                <w:lang w:val="es-ES"/>
              </w:rPr>
              <w:t xml:space="preserve">retornaron </w:t>
            </w:r>
            <w:r>
              <w:rPr>
                <w:rFonts w:ascii="Times New Roman" w:hAnsi="Times New Roman"/>
                <w:sz w:val="20"/>
                <w:szCs w:val="20"/>
                <w:lang w:val="es-ES"/>
              </w:rPr>
              <w:t xml:space="preserve">para servir una nueva medida de internación </w:t>
            </w:r>
            <w:r w:rsidRPr="00267FC2">
              <w:rPr>
                <w:rFonts w:ascii="Times New Roman" w:hAnsi="Times New Roman"/>
                <w:sz w:val="20"/>
                <w:szCs w:val="20"/>
                <w:lang w:val="es-ES"/>
              </w:rPr>
              <w:t>en 201</w:t>
            </w:r>
            <w:r>
              <w:rPr>
                <w:rFonts w:ascii="Times New Roman" w:hAnsi="Times New Roman"/>
                <w:sz w:val="20"/>
                <w:szCs w:val="20"/>
                <w:lang w:val="es-ES"/>
              </w:rPr>
              <w:t xml:space="preserve">3, </w:t>
            </w:r>
            <w:r w:rsidRPr="00267FC2">
              <w:rPr>
                <w:rFonts w:ascii="Times New Roman" w:hAnsi="Times New Roman"/>
                <w:sz w:val="20"/>
                <w:szCs w:val="20"/>
                <w:lang w:val="es-ES"/>
              </w:rPr>
              <w:t xml:space="preserve">lo que significa una tasa de </w:t>
            </w:r>
            <w:r>
              <w:rPr>
                <w:rFonts w:ascii="Times New Roman" w:hAnsi="Times New Roman"/>
                <w:sz w:val="20"/>
                <w:szCs w:val="20"/>
                <w:lang w:val="es-ES"/>
              </w:rPr>
              <w:t xml:space="preserve">reingreso </w:t>
            </w:r>
            <w:r w:rsidRPr="00267FC2">
              <w:rPr>
                <w:rFonts w:ascii="Times New Roman" w:hAnsi="Times New Roman"/>
                <w:sz w:val="20"/>
                <w:szCs w:val="20"/>
                <w:lang w:val="es-ES"/>
              </w:rPr>
              <w:t>de 48,8.  La meta ha sido estimada en función de que se implementarán servicios para apoyo a la reinserción social de los egresos y un impacto conservador de reducción de 20%. Este impacto es consistente con la evidencia interna</w:t>
            </w:r>
            <w:r>
              <w:rPr>
                <w:rFonts w:ascii="Times New Roman" w:hAnsi="Times New Roman"/>
                <w:sz w:val="20"/>
                <w:szCs w:val="20"/>
                <w:lang w:val="es-ES"/>
              </w:rPr>
              <w:t>cional</w:t>
            </w:r>
            <w:r w:rsidRPr="00267FC2">
              <w:rPr>
                <w:rFonts w:ascii="Times New Roman" w:hAnsi="Times New Roman"/>
                <w:sz w:val="20"/>
                <w:szCs w:val="20"/>
                <w:lang w:val="es-ES"/>
              </w:rPr>
              <w:t xml:space="preserve"> que sugiere una reducción del 53% Metodología de tratamiento del comportamiento cognitivos de infractores j</w:t>
            </w:r>
            <w:r w:rsidRPr="00267FC2">
              <w:rPr>
                <w:rFonts w:ascii="Times New Roman" w:hAnsi="Times New Roman"/>
                <w:sz w:val="20"/>
                <w:szCs w:val="20"/>
                <w:lang w:val="es-ES"/>
              </w:rPr>
              <w:t>ó</w:t>
            </w:r>
            <w:r w:rsidRPr="00267FC2">
              <w:rPr>
                <w:rFonts w:ascii="Times New Roman" w:hAnsi="Times New Roman"/>
                <w:sz w:val="20"/>
                <w:szCs w:val="20"/>
                <w:lang w:val="es-ES"/>
              </w:rPr>
              <w:t>venes y adultos,  Lipsey, M., Landenberger, N.A., Wilson, S.J. (2007).</w:t>
            </w:r>
          </w:p>
        </w:tc>
      </w:tr>
    </w:tbl>
    <w:p w14:paraId="20353332" w14:textId="77777777" w:rsidR="00A129EF" w:rsidRDefault="00A129EF" w:rsidP="006F4E38">
      <w:pPr>
        <w:spacing w:after="120" w:line="240" w:lineRule="auto"/>
        <w:jc w:val="center"/>
        <w:rPr>
          <w:rStyle w:val="BookTitle"/>
          <w:rFonts w:ascii="Times New Roman" w:hAnsi="Times New Roman"/>
          <w:bCs/>
          <w:sz w:val="20"/>
          <w:szCs w:val="20"/>
          <w:lang w:val="es-ES_tradnl"/>
        </w:rPr>
      </w:pPr>
    </w:p>
    <w:p w14:paraId="012DBCC9" w14:textId="77777777" w:rsidR="00EB70D8" w:rsidRDefault="00EB70D8" w:rsidP="006F4E38">
      <w:pPr>
        <w:spacing w:before="240" w:after="120" w:line="240" w:lineRule="auto"/>
        <w:jc w:val="center"/>
        <w:rPr>
          <w:rStyle w:val="BookTitle"/>
          <w:rFonts w:ascii="Times New Roman" w:hAnsi="Times New Roman"/>
          <w:bCs/>
          <w:sz w:val="20"/>
          <w:szCs w:val="20"/>
          <w:lang w:val="es-ES"/>
        </w:rPr>
      </w:pPr>
      <w:r w:rsidRPr="00267FC2">
        <w:rPr>
          <w:rStyle w:val="BookTitle"/>
          <w:rFonts w:ascii="Times New Roman" w:hAnsi="Times New Roman"/>
          <w:bCs/>
          <w:sz w:val="20"/>
          <w:szCs w:val="20"/>
          <w:lang w:val="es-ES"/>
        </w:rPr>
        <w:t>RESULTADOS INTERMEDIOS</w:t>
      </w:r>
    </w:p>
    <w:p w14:paraId="19E475F9" w14:textId="77777777" w:rsidR="00A129EF" w:rsidRPr="00267FC2" w:rsidRDefault="00A129EF" w:rsidP="00A129EF">
      <w:pPr>
        <w:spacing w:after="0" w:line="240" w:lineRule="auto"/>
        <w:rPr>
          <w:rFonts w:ascii="Times New Roman" w:hAnsi="Times New Roman"/>
          <w:b/>
          <w:sz w:val="20"/>
          <w:szCs w:val="20"/>
          <w:u w:val="single"/>
          <w:lang w:val="es-ES"/>
        </w:rPr>
      </w:pPr>
      <w:r w:rsidRPr="00267FC2">
        <w:rPr>
          <w:rFonts w:ascii="Times New Roman" w:hAnsi="Times New Roman"/>
          <w:b/>
          <w:sz w:val="20"/>
          <w:szCs w:val="20"/>
          <w:u w:val="single"/>
          <w:lang w:val="es-ES"/>
        </w:rPr>
        <w:t>Objetivo Especifico 1</w:t>
      </w:r>
      <w:r w:rsidRPr="00267FC2">
        <w:rPr>
          <w:rFonts w:ascii="Times New Roman" w:hAnsi="Times New Roman"/>
          <w:sz w:val="20"/>
          <w:szCs w:val="20"/>
          <w:lang w:val="es-ES"/>
        </w:rPr>
        <w:t>: Amentar la efectividad de la Policía Civil y de la Policía Militar en</w:t>
      </w:r>
      <w:r>
        <w:rPr>
          <w:rFonts w:ascii="Times New Roman" w:hAnsi="Times New Roman"/>
          <w:sz w:val="20"/>
          <w:szCs w:val="20"/>
          <w:lang w:val="es-ES"/>
        </w:rPr>
        <w:t xml:space="preserve"> el </w:t>
      </w:r>
      <w:r w:rsidRPr="00267FC2">
        <w:rPr>
          <w:rFonts w:ascii="Times New Roman" w:hAnsi="Times New Roman"/>
          <w:sz w:val="20"/>
          <w:szCs w:val="20"/>
          <w:lang w:val="es-ES"/>
        </w:rPr>
        <w:t>control e investigación de la criminalidad violenta.</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A129EF" w:rsidRPr="00957EFA" w14:paraId="15879848" w14:textId="77777777" w:rsidTr="00684477">
        <w:trPr>
          <w:jc w:val="center"/>
        </w:trPr>
        <w:tc>
          <w:tcPr>
            <w:tcW w:w="2597" w:type="dxa"/>
            <w:tcBorders>
              <w:bottom w:val="single" w:sz="4" w:space="0" w:color="auto"/>
            </w:tcBorders>
            <w:shd w:val="clear" w:color="auto" w:fill="D6E3BC" w:themeFill="accent3" w:themeFillTint="66"/>
            <w:vAlign w:val="center"/>
          </w:tcPr>
          <w:p w14:paraId="4ACABB92" w14:textId="77777777" w:rsidR="00A129EF" w:rsidRPr="00D467B6" w:rsidRDefault="00A129EF"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5E8ABB2F" w14:textId="77777777" w:rsidR="00A129EF" w:rsidRPr="00D467B6" w:rsidRDefault="00A129EF"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0B3BF08A" w14:textId="77777777" w:rsidR="00A129EF" w:rsidRPr="00D467B6" w:rsidRDefault="00A129EF"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A129EF" w:rsidRPr="000346A8" w14:paraId="2F02D2E6" w14:textId="77777777" w:rsidTr="00684477">
        <w:trPr>
          <w:jc w:val="center"/>
        </w:trPr>
        <w:tc>
          <w:tcPr>
            <w:tcW w:w="2597" w:type="dxa"/>
            <w:tcBorders>
              <w:bottom w:val="single" w:sz="4" w:space="0" w:color="auto"/>
            </w:tcBorders>
            <w:vAlign w:val="center"/>
          </w:tcPr>
          <w:p w14:paraId="0FCFFAE8" w14:textId="77777777"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R.I.1.1 </w:t>
            </w:r>
            <w:r>
              <w:rPr>
                <w:rFonts w:ascii="Times New Roman" w:hAnsi="Times New Roman"/>
                <w:sz w:val="20"/>
                <w:szCs w:val="20"/>
                <w:lang w:val="es-ES"/>
              </w:rPr>
              <w:t>R</w:t>
            </w:r>
            <w:r w:rsidRPr="00267FC2">
              <w:rPr>
                <w:rFonts w:ascii="Times New Roman" w:hAnsi="Times New Roman"/>
                <w:sz w:val="20"/>
                <w:szCs w:val="20"/>
                <w:lang w:val="es-ES"/>
              </w:rPr>
              <w:t>ecomendaciones de</w:t>
            </w:r>
            <w:r>
              <w:rPr>
                <w:rFonts w:ascii="Times New Roman" w:hAnsi="Times New Roman"/>
                <w:sz w:val="20"/>
                <w:szCs w:val="20"/>
                <w:lang w:val="es-ES"/>
              </w:rPr>
              <w:t xml:space="preserve"> los </w:t>
            </w:r>
            <w:r w:rsidRPr="00267FC2">
              <w:rPr>
                <w:rFonts w:ascii="Times New Roman" w:hAnsi="Times New Roman"/>
                <w:sz w:val="20"/>
                <w:szCs w:val="20"/>
                <w:lang w:val="es-ES"/>
              </w:rPr>
              <w:t>Consejo</w:t>
            </w:r>
            <w:r>
              <w:rPr>
                <w:rFonts w:ascii="Times New Roman" w:hAnsi="Times New Roman"/>
                <w:sz w:val="20"/>
                <w:szCs w:val="20"/>
                <w:lang w:val="es-ES"/>
              </w:rPr>
              <w:t>s</w:t>
            </w:r>
            <w:r w:rsidRPr="00267FC2">
              <w:rPr>
                <w:rFonts w:ascii="Times New Roman" w:hAnsi="Times New Roman"/>
                <w:sz w:val="20"/>
                <w:szCs w:val="20"/>
                <w:lang w:val="es-ES"/>
              </w:rPr>
              <w:t xml:space="preserve"> Comunitario de Seguri</w:t>
            </w:r>
            <w:r>
              <w:rPr>
                <w:rFonts w:ascii="Times New Roman" w:hAnsi="Times New Roman"/>
                <w:sz w:val="20"/>
                <w:szCs w:val="20"/>
                <w:lang w:val="es-ES"/>
              </w:rPr>
              <w:t>dad cumplidas por la PM</w:t>
            </w:r>
            <w:r w:rsidRPr="00267FC2">
              <w:rPr>
                <w:rFonts w:ascii="Times New Roman" w:hAnsi="Times New Roman"/>
                <w:sz w:val="20"/>
                <w:szCs w:val="20"/>
                <w:lang w:val="es-ES"/>
              </w:rPr>
              <w:t>.</w:t>
            </w:r>
          </w:p>
          <w:p w14:paraId="0DE9B3D6" w14:textId="0A27597C"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p>
        </w:tc>
        <w:tc>
          <w:tcPr>
            <w:tcW w:w="1980" w:type="dxa"/>
            <w:tcBorders>
              <w:bottom w:val="single" w:sz="4" w:space="0" w:color="auto"/>
            </w:tcBorders>
            <w:vAlign w:val="center"/>
          </w:tcPr>
          <w:p w14:paraId="59A4DCA0" w14:textId="38D93FCB"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bottom w:val="single" w:sz="4" w:space="0" w:color="auto"/>
            </w:tcBorders>
          </w:tcPr>
          <w:p w14:paraId="24B0D5B2" w14:textId="42C9431C"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Evidencia de la efectividad del cumplimiento, por parte de la policía, de las recomendaciones registradas en las Actas de las reuniones mensuales de coordinación con la comunidad. Existe experiencia previa del ES en policía comunitaria. </w:t>
            </w:r>
            <w:r>
              <w:rPr>
                <w:rFonts w:ascii="Times New Roman" w:hAnsi="Times New Roman"/>
                <w:sz w:val="20"/>
                <w:szCs w:val="20"/>
                <w:lang w:val="es-ES"/>
              </w:rPr>
              <w:t xml:space="preserve">Se </w:t>
            </w:r>
            <w:r w:rsidRPr="00EA6333">
              <w:rPr>
                <w:rFonts w:ascii="Times New Roman" w:hAnsi="Times New Roman"/>
                <w:sz w:val="20"/>
                <w:szCs w:val="20"/>
                <w:lang w:val="es-ES"/>
              </w:rPr>
              <w:t>hará un monitoreo mensual de dichas recomendaciones</w:t>
            </w:r>
            <w:r>
              <w:rPr>
                <w:rFonts w:ascii="Times New Roman" w:hAnsi="Times New Roman"/>
                <w:sz w:val="20"/>
                <w:szCs w:val="20"/>
                <w:lang w:val="es-ES"/>
              </w:rPr>
              <w:t xml:space="preserve">. </w:t>
            </w:r>
          </w:p>
        </w:tc>
      </w:tr>
      <w:tr w:rsidR="00A129EF" w:rsidRPr="000346A8" w14:paraId="56B0DB8A" w14:textId="77777777" w:rsidTr="00684477">
        <w:trPr>
          <w:jc w:val="center"/>
        </w:trPr>
        <w:tc>
          <w:tcPr>
            <w:tcW w:w="2597" w:type="dxa"/>
            <w:tcBorders>
              <w:bottom w:val="single" w:sz="4" w:space="0" w:color="auto"/>
            </w:tcBorders>
            <w:vAlign w:val="center"/>
          </w:tcPr>
          <w:p w14:paraId="1A61951A" w14:textId="01711A5A"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R.I.1.2. Investigaciones de la PC que cumplen con el  checklist de estándar de calidad.</w:t>
            </w:r>
          </w:p>
        </w:tc>
        <w:tc>
          <w:tcPr>
            <w:tcW w:w="1980" w:type="dxa"/>
            <w:tcBorders>
              <w:bottom w:val="single" w:sz="4" w:space="0" w:color="auto"/>
            </w:tcBorders>
            <w:vAlign w:val="center"/>
          </w:tcPr>
          <w:p w14:paraId="2CA1CE3A" w14:textId="6B0CACBC"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bottom w:val="single" w:sz="4" w:space="0" w:color="auto"/>
            </w:tcBorders>
          </w:tcPr>
          <w:p w14:paraId="5671615C" w14:textId="3E204F28" w:rsidR="00A129EF" w:rsidRPr="00267FC2" w:rsidRDefault="00A129EF" w:rsidP="00684477">
            <w:pPr>
              <w:spacing w:after="0" w:line="240" w:lineRule="auto"/>
              <w:jc w:val="both"/>
              <w:rPr>
                <w:rFonts w:ascii="Times New Roman" w:hAnsi="Times New Roman"/>
                <w:sz w:val="20"/>
                <w:szCs w:val="20"/>
                <w:lang w:val="es-ES"/>
              </w:rPr>
            </w:pPr>
            <w:r w:rsidRPr="007F7150">
              <w:rPr>
                <w:rFonts w:ascii="Times New Roman" w:hAnsi="Times New Roman"/>
                <w:sz w:val="20"/>
                <w:szCs w:val="20"/>
                <w:lang w:val="es-ES"/>
              </w:rPr>
              <w:t>Como parte del programa se adoptara un sistema de checklist en función de una propuesta preliminar que ti</w:t>
            </w:r>
            <w:r w:rsidRPr="007F7150">
              <w:rPr>
                <w:rFonts w:ascii="Times New Roman" w:hAnsi="Times New Roman"/>
                <w:sz w:val="20"/>
                <w:szCs w:val="20"/>
                <w:lang w:val="es-ES"/>
              </w:rPr>
              <w:t>e</w:t>
            </w:r>
            <w:r w:rsidRPr="007F7150">
              <w:rPr>
                <w:rFonts w:ascii="Times New Roman" w:hAnsi="Times New Roman"/>
                <w:sz w:val="20"/>
                <w:szCs w:val="20"/>
                <w:lang w:val="es-ES"/>
              </w:rPr>
              <w:t>ne el Gobierno Federal.</w:t>
            </w:r>
            <w:r w:rsidRPr="00267FC2">
              <w:rPr>
                <w:rFonts w:ascii="Times New Roman" w:hAnsi="Times New Roman"/>
                <w:sz w:val="20"/>
                <w:szCs w:val="20"/>
                <w:lang w:val="es-ES"/>
              </w:rPr>
              <w:t xml:space="preserve"> La línea de base se calculó en función de la proporción de las investigaciones que terminan en denuncias (2,2%). La meta se ha calculado en función  a que se espera que 50% de los investig</w:t>
            </w:r>
            <w:r w:rsidRPr="00267FC2">
              <w:rPr>
                <w:rFonts w:ascii="Times New Roman" w:hAnsi="Times New Roman"/>
                <w:sz w:val="20"/>
                <w:szCs w:val="20"/>
                <w:lang w:val="es-ES"/>
              </w:rPr>
              <w:t>a</w:t>
            </w:r>
            <w:r w:rsidRPr="00267FC2">
              <w:rPr>
                <w:rFonts w:ascii="Times New Roman" w:hAnsi="Times New Roman"/>
                <w:sz w:val="20"/>
                <w:szCs w:val="20"/>
                <w:lang w:val="es-ES"/>
              </w:rPr>
              <w:t>ciones concluidas satisfacen un padrón de calidad requerida. Hoy no existe un estándar de calidad. Con su implementación se reducirá el número de investigaciones inconsistentes y archivadas por el MP. El check-list definirá un mínimo de campos para ser digitados y cubiertos y de actividades de análisis e investigación.</w:t>
            </w:r>
            <w:r>
              <w:rPr>
                <w:rFonts w:ascii="Arial" w:hAnsi="Arial" w:cs="Arial"/>
                <w:lang w:val="es-CR"/>
              </w:rPr>
              <w:t xml:space="preserve"> </w:t>
            </w:r>
          </w:p>
        </w:tc>
      </w:tr>
      <w:tr w:rsidR="00A129EF" w:rsidRPr="000346A8" w14:paraId="61415A39"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59E32428" w14:textId="604B916C"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880948">
              <w:rPr>
                <w:rFonts w:ascii="Times New Roman" w:hAnsi="Times New Roman"/>
                <w:sz w:val="20"/>
                <w:szCs w:val="20"/>
                <w:lang w:val="es-ES"/>
              </w:rPr>
              <w:t xml:space="preserve">R.I.1.3.Victimas en los 8 Municipios que registran robos en la Policía. </w:t>
            </w:r>
          </w:p>
        </w:tc>
        <w:tc>
          <w:tcPr>
            <w:tcW w:w="1980" w:type="dxa"/>
            <w:tcBorders>
              <w:top w:val="single" w:sz="4" w:space="0" w:color="auto"/>
              <w:left w:val="single" w:sz="4" w:space="0" w:color="auto"/>
              <w:bottom w:val="single" w:sz="4" w:space="0" w:color="auto"/>
              <w:right w:val="single" w:sz="4" w:space="0" w:color="auto"/>
            </w:tcBorders>
            <w:vAlign w:val="center"/>
          </w:tcPr>
          <w:p w14:paraId="79EF095D" w14:textId="4E16BB78" w:rsidR="00A129EF" w:rsidRPr="00267FC2" w:rsidRDefault="00A129EF" w:rsidP="00684477">
            <w:pPr>
              <w:spacing w:after="0" w:line="240" w:lineRule="auto"/>
              <w:jc w:val="center"/>
              <w:rPr>
                <w:rFonts w:ascii="Times New Roman" w:hAnsi="Times New Roman"/>
                <w:sz w:val="20"/>
                <w:szCs w:val="20"/>
                <w:lang w:val="es-ES"/>
              </w:rPr>
            </w:pPr>
            <w:r w:rsidRPr="00880948">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62473822" w14:textId="78897E08" w:rsidR="00A129EF" w:rsidRPr="00267FC2" w:rsidRDefault="00A129EF" w:rsidP="00684477">
            <w:pPr>
              <w:spacing w:after="0" w:line="240" w:lineRule="auto"/>
              <w:jc w:val="both"/>
              <w:rPr>
                <w:rFonts w:ascii="Times New Roman" w:hAnsi="Times New Roman"/>
                <w:sz w:val="20"/>
                <w:szCs w:val="20"/>
                <w:lang w:val="es-ES"/>
              </w:rPr>
            </w:pPr>
            <w:r w:rsidRPr="00880948">
              <w:rPr>
                <w:rFonts w:ascii="Times New Roman" w:hAnsi="Times New Roman"/>
                <w:sz w:val="20"/>
                <w:szCs w:val="20"/>
                <w:lang w:val="es-ES"/>
              </w:rPr>
              <w:t>La línea de base fue obtenida de la estimativa para ES de la encuesta nacional de victimización de 2012, y será actualizada al inicio del Programa. La meta fue estimada para lograr alcanzar el promedio de Brasil.</w:t>
            </w:r>
          </w:p>
        </w:tc>
      </w:tr>
      <w:tr w:rsidR="00A129EF" w:rsidRPr="000346A8" w14:paraId="4C8FA0AB"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232F2FCD" w14:textId="5922BF43"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R.I.1.4 Victimas Afrode</w:t>
            </w:r>
            <w:r w:rsidRPr="00267FC2">
              <w:rPr>
                <w:rFonts w:ascii="Times New Roman" w:hAnsi="Times New Roman"/>
                <w:sz w:val="20"/>
                <w:szCs w:val="20"/>
                <w:lang w:val="es-ES"/>
              </w:rPr>
              <w:t>s</w:t>
            </w:r>
            <w:r w:rsidRPr="00267FC2">
              <w:rPr>
                <w:rFonts w:ascii="Times New Roman" w:hAnsi="Times New Roman"/>
                <w:sz w:val="20"/>
                <w:szCs w:val="20"/>
                <w:lang w:val="es-ES"/>
              </w:rPr>
              <w:t>cendientes en los 8 Mun</w:t>
            </w:r>
            <w:r w:rsidRPr="00267FC2">
              <w:rPr>
                <w:rFonts w:ascii="Times New Roman" w:hAnsi="Times New Roman"/>
                <w:sz w:val="20"/>
                <w:szCs w:val="20"/>
                <w:lang w:val="es-ES"/>
              </w:rPr>
              <w:t>i</w:t>
            </w:r>
            <w:r w:rsidRPr="00267FC2">
              <w:rPr>
                <w:rFonts w:ascii="Times New Roman" w:hAnsi="Times New Roman"/>
                <w:sz w:val="20"/>
                <w:szCs w:val="20"/>
                <w:lang w:val="es-ES"/>
              </w:rPr>
              <w:t>cipios que registran robos en la Policía.</w:t>
            </w:r>
          </w:p>
        </w:tc>
        <w:tc>
          <w:tcPr>
            <w:tcW w:w="1980" w:type="dxa"/>
            <w:tcBorders>
              <w:top w:val="single" w:sz="4" w:space="0" w:color="auto"/>
              <w:left w:val="single" w:sz="4" w:space="0" w:color="auto"/>
              <w:bottom w:val="single" w:sz="4" w:space="0" w:color="auto"/>
              <w:right w:val="single" w:sz="4" w:space="0" w:color="auto"/>
            </w:tcBorders>
            <w:vAlign w:val="center"/>
          </w:tcPr>
          <w:p w14:paraId="64497EF2" w14:textId="251050EC"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729801F2" w14:textId="4DB4E434"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La línea de base fue obtenida de la estimativa para ES de la encuesta nacional de victimización de 2012, y será actualizada al inicio del Programa. La meta fue estimada para lograr alcanzar el promedio de Brasil.</w:t>
            </w:r>
          </w:p>
        </w:tc>
      </w:tr>
      <w:tr w:rsidR="00A129EF" w:rsidRPr="000346A8" w14:paraId="49B12E2E"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3D138E6C" w14:textId="7DFD3091"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w:t>
            </w:r>
            <w:r>
              <w:rPr>
                <w:rFonts w:ascii="Times New Roman" w:hAnsi="Times New Roman"/>
                <w:sz w:val="20"/>
                <w:szCs w:val="20"/>
                <w:lang w:val="es-ES"/>
              </w:rPr>
              <w:t>1</w:t>
            </w:r>
            <w:r w:rsidRPr="00267FC2">
              <w:rPr>
                <w:rFonts w:ascii="Times New Roman" w:hAnsi="Times New Roman"/>
                <w:sz w:val="20"/>
                <w:szCs w:val="20"/>
                <w:lang w:val="es-ES"/>
              </w:rPr>
              <w:t>.</w:t>
            </w:r>
            <w:r>
              <w:rPr>
                <w:rFonts w:ascii="Times New Roman" w:hAnsi="Times New Roman"/>
                <w:sz w:val="20"/>
                <w:szCs w:val="20"/>
                <w:lang w:val="es-ES"/>
              </w:rPr>
              <w:t>5</w:t>
            </w:r>
            <w:r w:rsidRPr="00267FC2">
              <w:rPr>
                <w:rFonts w:ascii="Times New Roman" w:hAnsi="Times New Roman"/>
                <w:sz w:val="20"/>
                <w:szCs w:val="20"/>
                <w:lang w:val="es-ES"/>
              </w:rPr>
              <w:t xml:space="preserve"> </w:t>
            </w:r>
            <w:r>
              <w:rPr>
                <w:rFonts w:ascii="Times New Roman" w:hAnsi="Times New Roman"/>
                <w:sz w:val="20"/>
                <w:szCs w:val="20"/>
                <w:lang w:val="es-ES"/>
              </w:rPr>
              <w:t>Violaciones de la ley asociadas con la posesión de armas que tuvieron por autores a jóvenes de entre 15 y 24 años en los 8 m</w:t>
            </w:r>
            <w:r>
              <w:rPr>
                <w:rFonts w:ascii="Times New Roman" w:hAnsi="Times New Roman"/>
                <w:sz w:val="20"/>
                <w:szCs w:val="20"/>
                <w:lang w:val="es-ES"/>
              </w:rPr>
              <w:t>u</w:t>
            </w:r>
            <w:r>
              <w:rPr>
                <w:rFonts w:ascii="Times New Roman" w:hAnsi="Times New Roman"/>
                <w:sz w:val="20"/>
                <w:szCs w:val="20"/>
                <w:lang w:val="es-ES"/>
              </w:rPr>
              <w:t>nicipios</w:t>
            </w:r>
            <w:r w:rsidRPr="00267FC2">
              <w:rPr>
                <w:rFonts w:ascii="Times New Roman" w:hAnsi="Times New Roman"/>
                <w:sz w:val="20"/>
                <w:szCs w:val="20"/>
                <w:lang w:val="es-ES"/>
              </w:rPr>
              <w:t>.</w:t>
            </w:r>
          </w:p>
        </w:tc>
        <w:tc>
          <w:tcPr>
            <w:tcW w:w="1980" w:type="dxa"/>
            <w:tcBorders>
              <w:top w:val="single" w:sz="4" w:space="0" w:color="auto"/>
              <w:left w:val="single" w:sz="4" w:space="0" w:color="auto"/>
              <w:bottom w:val="single" w:sz="4" w:space="0" w:color="auto"/>
              <w:right w:val="single" w:sz="4" w:space="0" w:color="auto"/>
            </w:tcBorders>
            <w:vAlign w:val="center"/>
          </w:tcPr>
          <w:p w14:paraId="324B97F5" w14:textId="753D2BC6"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191159DD" w14:textId="2FA37CED"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2012 los jóvenes fueron responsables del 96% (1</w:t>
            </w:r>
            <w:r>
              <w:rPr>
                <w:rFonts w:ascii="Times New Roman" w:hAnsi="Times New Roman"/>
                <w:sz w:val="20"/>
                <w:szCs w:val="20"/>
                <w:lang w:val="es-ES"/>
              </w:rPr>
              <w:t>.</w:t>
            </w:r>
            <w:r w:rsidRPr="00267FC2">
              <w:rPr>
                <w:rFonts w:ascii="Times New Roman" w:hAnsi="Times New Roman"/>
                <w:sz w:val="20"/>
                <w:szCs w:val="20"/>
                <w:lang w:val="es-ES"/>
              </w:rPr>
              <w:t>018 de 1</w:t>
            </w:r>
            <w:r>
              <w:rPr>
                <w:rFonts w:ascii="Times New Roman" w:hAnsi="Times New Roman"/>
                <w:sz w:val="20"/>
                <w:szCs w:val="20"/>
                <w:lang w:val="es-ES"/>
              </w:rPr>
              <w:t>.</w:t>
            </w:r>
            <w:r w:rsidRPr="00267FC2">
              <w:rPr>
                <w:rFonts w:ascii="Times New Roman" w:hAnsi="Times New Roman"/>
                <w:sz w:val="20"/>
                <w:szCs w:val="20"/>
                <w:lang w:val="es-ES"/>
              </w:rPr>
              <w:t xml:space="preserve">056) de los </w:t>
            </w:r>
            <w:r>
              <w:rPr>
                <w:rFonts w:ascii="Times New Roman" w:hAnsi="Times New Roman"/>
                <w:sz w:val="20"/>
                <w:szCs w:val="20"/>
                <w:lang w:val="es-ES"/>
              </w:rPr>
              <w:t>delitos</w:t>
            </w:r>
            <w:r w:rsidRPr="00267FC2">
              <w:rPr>
                <w:rFonts w:ascii="Times New Roman" w:hAnsi="Times New Roman"/>
                <w:sz w:val="20"/>
                <w:szCs w:val="20"/>
                <w:lang w:val="es-ES"/>
              </w:rPr>
              <w:t xml:space="preserve"> por posesión ilegal de armas en los 8 municipios (Fuente SESP). Dado que la tendencia ha sido estable en los últimos dos años, se espera que el programa tenga un impacto del 20%.</w:t>
            </w:r>
          </w:p>
        </w:tc>
      </w:tr>
    </w:tbl>
    <w:p w14:paraId="5520A206" w14:textId="77777777" w:rsidR="00A129EF" w:rsidRDefault="00A129EF" w:rsidP="00A129EF">
      <w:pPr>
        <w:spacing w:after="0" w:line="240" w:lineRule="auto"/>
        <w:jc w:val="center"/>
        <w:rPr>
          <w:rFonts w:ascii="Times New Roman" w:hAnsi="Times New Roman"/>
          <w:b/>
          <w:sz w:val="20"/>
          <w:szCs w:val="20"/>
          <w:u w:val="single"/>
          <w:lang w:val="es-ES"/>
        </w:rPr>
      </w:pPr>
    </w:p>
    <w:p w14:paraId="7743ADC0" w14:textId="4B658A2A" w:rsidR="00A129EF" w:rsidRPr="00A129EF" w:rsidRDefault="00A129EF" w:rsidP="00600206">
      <w:pPr>
        <w:spacing w:after="0" w:line="240" w:lineRule="auto"/>
        <w:rPr>
          <w:rStyle w:val="BookTitle"/>
          <w:rFonts w:ascii="Times New Roman" w:hAnsi="Times New Roman"/>
          <w:bCs/>
          <w:sz w:val="20"/>
          <w:szCs w:val="20"/>
          <w:lang w:val="es-ES"/>
        </w:rPr>
      </w:pPr>
      <w:r w:rsidRPr="00267FC2">
        <w:rPr>
          <w:rFonts w:ascii="Times New Roman" w:hAnsi="Times New Roman"/>
          <w:b/>
          <w:sz w:val="20"/>
          <w:szCs w:val="20"/>
          <w:u w:val="single"/>
          <w:lang w:val="es-ES"/>
        </w:rPr>
        <w:t>Objetivo Especifico 2</w:t>
      </w:r>
      <w:r w:rsidRPr="00267FC2">
        <w:rPr>
          <w:rFonts w:ascii="Times New Roman" w:hAnsi="Times New Roman"/>
          <w:b/>
          <w:sz w:val="20"/>
          <w:szCs w:val="20"/>
          <w:lang w:val="es-ES"/>
        </w:rPr>
        <w:t xml:space="preserve">: </w:t>
      </w:r>
      <w:r>
        <w:rPr>
          <w:rFonts w:ascii="Times New Roman" w:hAnsi="Times New Roman"/>
          <w:bCs/>
          <w:sz w:val="20"/>
          <w:szCs w:val="20"/>
          <w:lang w:val="es-ES"/>
        </w:rPr>
        <w:t>Apoyar la inclusión social</w:t>
      </w:r>
      <w:r w:rsidRPr="00267FC2">
        <w:rPr>
          <w:rFonts w:ascii="Times New Roman" w:hAnsi="Times New Roman"/>
          <w:bCs/>
          <w:sz w:val="20"/>
          <w:szCs w:val="20"/>
          <w:lang w:val="es-ES"/>
        </w:rPr>
        <w:t xml:space="preserve"> de los jóvenes de 15 a 24 años</w:t>
      </w:r>
      <w:r>
        <w:rPr>
          <w:rFonts w:ascii="Times New Roman" w:hAnsi="Times New Roman"/>
          <w:bCs/>
          <w:sz w:val="20"/>
          <w:szCs w:val="20"/>
          <w:lang w:val="es-ES"/>
        </w:rPr>
        <w:t xml:space="preserve"> </w:t>
      </w:r>
      <w:r w:rsidRPr="00267FC2">
        <w:rPr>
          <w:rFonts w:ascii="Times New Roman" w:hAnsi="Times New Roman"/>
          <w:bCs/>
          <w:sz w:val="20"/>
          <w:szCs w:val="20"/>
          <w:lang w:val="es-ES"/>
        </w:rPr>
        <w:t>en condiciones de riesgo a la violencia.</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A129EF" w:rsidRPr="00957EFA" w14:paraId="5160C753" w14:textId="77777777" w:rsidTr="00684477">
        <w:trPr>
          <w:jc w:val="center"/>
        </w:trPr>
        <w:tc>
          <w:tcPr>
            <w:tcW w:w="2597" w:type="dxa"/>
            <w:tcBorders>
              <w:bottom w:val="single" w:sz="4" w:space="0" w:color="auto"/>
            </w:tcBorders>
            <w:shd w:val="clear" w:color="auto" w:fill="D6E3BC" w:themeFill="accent3" w:themeFillTint="66"/>
            <w:vAlign w:val="center"/>
          </w:tcPr>
          <w:p w14:paraId="3998C3D3" w14:textId="77777777" w:rsidR="00A129EF" w:rsidRPr="00D467B6" w:rsidRDefault="00A129EF"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349D400F" w14:textId="77777777" w:rsidR="00A129EF" w:rsidRPr="00D467B6" w:rsidRDefault="00A129EF"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0FAF4117" w14:textId="77777777" w:rsidR="00A129EF" w:rsidRPr="00D467B6" w:rsidRDefault="00A129EF"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A129EF" w:rsidRPr="000346A8" w14:paraId="3CC26E95" w14:textId="77777777" w:rsidTr="00684477">
        <w:trPr>
          <w:jc w:val="center"/>
        </w:trPr>
        <w:tc>
          <w:tcPr>
            <w:tcW w:w="2597" w:type="dxa"/>
            <w:tcBorders>
              <w:bottom w:val="single" w:sz="4" w:space="0" w:color="auto"/>
            </w:tcBorders>
            <w:vAlign w:val="center"/>
          </w:tcPr>
          <w:p w14:paraId="0910988E" w14:textId="3FB9BB1C"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R.I.2.1 Jóvenes que compl</w:t>
            </w:r>
            <w:r w:rsidRPr="00267FC2">
              <w:rPr>
                <w:rFonts w:ascii="Times New Roman" w:hAnsi="Times New Roman"/>
                <w:sz w:val="20"/>
                <w:szCs w:val="20"/>
                <w:lang w:val="es-ES"/>
              </w:rPr>
              <w:t>e</w:t>
            </w:r>
            <w:r w:rsidRPr="00267FC2">
              <w:rPr>
                <w:rFonts w:ascii="Times New Roman" w:hAnsi="Times New Roman"/>
                <w:sz w:val="20"/>
                <w:szCs w:val="20"/>
                <w:lang w:val="es-ES"/>
              </w:rPr>
              <w:t>tan el ciclo básico de e</w:t>
            </w:r>
            <w:r w:rsidRPr="00267FC2">
              <w:rPr>
                <w:rFonts w:ascii="Times New Roman" w:hAnsi="Times New Roman"/>
                <w:sz w:val="20"/>
                <w:szCs w:val="20"/>
                <w:lang w:val="es-ES"/>
              </w:rPr>
              <w:t>n</w:t>
            </w:r>
            <w:r w:rsidRPr="00267FC2">
              <w:rPr>
                <w:rFonts w:ascii="Times New Roman" w:hAnsi="Times New Roman"/>
                <w:sz w:val="20"/>
                <w:szCs w:val="20"/>
                <w:lang w:val="es-ES"/>
              </w:rPr>
              <w:t>señanza, a través del Pr</w:t>
            </w:r>
            <w:r w:rsidRPr="00267FC2">
              <w:rPr>
                <w:rFonts w:ascii="Times New Roman" w:hAnsi="Times New Roman"/>
                <w:sz w:val="20"/>
                <w:szCs w:val="20"/>
                <w:lang w:val="es-ES"/>
              </w:rPr>
              <w:t>o</w:t>
            </w:r>
            <w:r w:rsidRPr="00267FC2">
              <w:rPr>
                <w:rFonts w:ascii="Times New Roman" w:hAnsi="Times New Roman"/>
                <w:sz w:val="20"/>
                <w:szCs w:val="20"/>
                <w:lang w:val="es-ES"/>
              </w:rPr>
              <w:t>grama de aceleración (a</w:t>
            </w:r>
            <w:r w:rsidRPr="00267FC2">
              <w:rPr>
                <w:rFonts w:ascii="Times New Roman" w:hAnsi="Times New Roman"/>
                <w:sz w:val="20"/>
                <w:szCs w:val="20"/>
                <w:lang w:val="es-ES"/>
              </w:rPr>
              <w:t>l</w:t>
            </w:r>
            <w:r w:rsidRPr="00267FC2">
              <w:rPr>
                <w:rFonts w:ascii="Times New Roman" w:hAnsi="Times New Roman"/>
                <w:sz w:val="20"/>
                <w:szCs w:val="20"/>
                <w:lang w:val="es-ES"/>
              </w:rPr>
              <w:t>fabetización) a partir de los Centros de Ciudad</w:t>
            </w:r>
            <w:r w:rsidRPr="00267FC2">
              <w:rPr>
                <w:rFonts w:ascii="Times New Roman" w:hAnsi="Times New Roman"/>
                <w:sz w:val="20"/>
                <w:szCs w:val="20"/>
                <w:lang w:val="es-ES"/>
              </w:rPr>
              <w:t>a</w:t>
            </w:r>
            <w:r w:rsidRPr="00267FC2">
              <w:rPr>
                <w:rFonts w:ascii="Times New Roman" w:hAnsi="Times New Roman"/>
                <w:sz w:val="20"/>
                <w:szCs w:val="20"/>
                <w:lang w:val="es-ES"/>
              </w:rPr>
              <w:t>nía.</w:t>
            </w:r>
          </w:p>
        </w:tc>
        <w:tc>
          <w:tcPr>
            <w:tcW w:w="1980" w:type="dxa"/>
            <w:tcBorders>
              <w:bottom w:val="single" w:sz="4" w:space="0" w:color="auto"/>
            </w:tcBorders>
            <w:vAlign w:val="center"/>
          </w:tcPr>
          <w:p w14:paraId="5CB93DED" w14:textId="534BF0BF"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Tasa</w:t>
            </w:r>
          </w:p>
        </w:tc>
        <w:tc>
          <w:tcPr>
            <w:tcW w:w="9076" w:type="dxa"/>
            <w:tcBorders>
              <w:bottom w:val="single" w:sz="4" w:space="0" w:color="auto"/>
            </w:tcBorders>
          </w:tcPr>
          <w:p w14:paraId="49898BBB" w14:textId="3049C0B3"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De los 82</w:t>
            </w:r>
            <w:r>
              <w:rPr>
                <w:rFonts w:ascii="Times New Roman" w:hAnsi="Times New Roman"/>
                <w:sz w:val="20"/>
                <w:szCs w:val="20"/>
                <w:lang w:val="es-ES"/>
              </w:rPr>
              <w:t>.</w:t>
            </w:r>
            <w:r w:rsidRPr="00267FC2">
              <w:rPr>
                <w:rFonts w:ascii="Times New Roman" w:hAnsi="Times New Roman"/>
                <w:sz w:val="20"/>
                <w:szCs w:val="20"/>
                <w:lang w:val="es-ES"/>
              </w:rPr>
              <w:t>628 Beneficiarios, 46,6% (38529) no tiene el ciclo básico completo, y se espera que de estos 29.000 ingresen en el Programa, y que 60% de estos (17</w:t>
            </w:r>
            <w:r>
              <w:rPr>
                <w:rFonts w:ascii="Times New Roman" w:hAnsi="Times New Roman"/>
                <w:sz w:val="20"/>
                <w:szCs w:val="20"/>
                <w:lang w:val="es-ES"/>
              </w:rPr>
              <w:t>.</w:t>
            </w:r>
            <w:r w:rsidRPr="00267FC2">
              <w:rPr>
                <w:rFonts w:ascii="Times New Roman" w:hAnsi="Times New Roman"/>
                <w:sz w:val="20"/>
                <w:szCs w:val="20"/>
                <w:lang w:val="es-ES"/>
              </w:rPr>
              <w:t>400) completen el ciclo básico. La línea de base fue calcul</w:t>
            </w:r>
            <w:r w:rsidRPr="00267FC2">
              <w:rPr>
                <w:rFonts w:ascii="Times New Roman" w:hAnsi="Times New Roman"/>
                <w:sz w:val="20"/>
                <w:szCs w:val="20"/>
                <w:lang w:val="es-ES"/>
              </w:rPr>
              <w:t>a</w:t>
            </w:r>
            <w:r w:rsidRPr="00267FC2">
              <w:rPr>
                <w:rFonts w:ascii="Times New Roman" w:hAnsi="Times New Roman"/>
                <w:sz w:val="20"/>
                <w:szCs w:val="20"/>
                <w:lang w:val="es-ES"/>
              </w:rPr>
              <w:t xml:space="preserve">da tomando en cuenta que 9633 estaban cursando el EJA al inicio del Programa y que la tasa de éxito es de 60% y que continuaran recibiendo este servicio complementariamente al Programa. </w:t>
            </w:r>
          </w:p>
        </w:tc>
      </w:tr>
      <w:tr w:rsidR="00A129EF" w:rsidRPr="000346A8" w14:paraId="3176DB35" w14:textId="77777777" w:rsidTr="00684477">
        <w:trPr>
          <w:jc w:val="center"/>
        </w:trPr>
        <w:tc>
          <w:tcPr>
            <w:tcW w:w="2597" w:type="dxa"/>
            <w:tcBorders>
              <w:bottom w:val="single" w:sz="4" w:space="0" w:color="auto"/>
            </w:tcBorders>
            <w:vAlign w:val="center"/>
          </w:tcPr>
          <w:p w14:paraId="0A192851" w14:textId="235FA57B"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R.I.2.2. Jóvenes incorporados a la fuerza de trabajo i</w:t>
            </w:r>
            <w:r w:rsidRPr="00267FC2">
              <w:rPr>
                <w:rFonts w:ascii="Times New Roman" w:hAnsi="Times New Roman"/>
                <w:sz w:val="20"/>
                <w:szCs w:val="20"/>
                <w:lang w:val="es-ES"/>
              </w:rPr>
              <w:t>m</w:t>
            </w:r>
            <w:r w:rsidRPr="00267FC2">
              <w:rPr>
                <w:rFonts w:ascii="Times New Roman" w:hAnsi="Times New Roman"/>
                <w:sz w:val="20"/>
                <w:szCs w:val="20"/>
                <w:lang w:val="es-ES"/>
              </w:rPr>
              <w:t>plementados desde los Centros de Ciudadanía.</w:t>
            </w:r>
          </w:p>
        </w:tc>
        <w:tc>
          <w:tcPr>
            <w:tcW w:w="1980" w:type="dxa"/>
            <w:tcBorders>
              <w:bottom w:val="single" w:sz="4" w:space="0" w:color="auto"/>
            </w:tcBorders>
            <w:vAlign w:val="center"/>
          </w:tcPr>
          <w:p w14:paraId="022C6B45" w14:textId="275C2E36"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bottom w:val="single" w:sz="4" w:space="0" w:color="auto"/>
            </w:tcBorders>
          </w:tcPr>
          <w:p w14:paraId="7D1BE03F" w14:textId="18724E13"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De los 52.500 jóvenes beneficiarios de los CC, se espera que 47 %  (24</w:t>
            </w:r>
            <w:r>
              <w:rPr>
                <w:rFonts w:ascii="Times New Roman" w:hAnsi="Times New Roman"/>
                <w:sz w:val="20"/>
                <w:szCs w:val="20"/>
                <w:lang w:val="es-ES"/>
              </w:rPr>
              <w:t>.</w:t>
            </w:r>
            <w:r w:rsidRPr="00267FC2">
              <w:rPr>
                <w:rFonts w:ascii="Times New Roman" w:hAnsi="Times New Roman"/>
                <w:sz w:val="20"/>
                <w:szCs w:val="20"/>
                <w:lang w:val="es-ES"/>
              </w:rPr>
              <w:t xml:space="preserve">500) ingresen al mercado de trabajo y completen el programa a través del programa joven aprendiz, pasantías en el Gobierno  y/o en empresas del sector privado. </w:t>
            </w:r>
          </w:p>
        </w:tc>
      </w:tr>
      <w:tr w:rsidR="00A129EF" w:rsidRPr="000346A8" w14:paraId="16DEB457"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37C4567F" w14:textId="16658EE2"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 xml:space="preserve">R.I.2.3 </w:t>
            </w:r>
            <w:r>
              <w:rPr>
                <w:rFonts w:ascii="Times New Roman" w:hAnsi="Times New Roman"/>
                <w:sz w:val="20"/>
                <w:szCs w:val="20"/>
                <w:lang w:val="es-ES"/>
              </w:rPr>
              <w:t>Delitos consistentes en el consumo de drogas, que tuvieron por autores a jóvenes de entre 15 y 24 años en los 8 municipios</w:t>
            </w:r>
            <w:r w:rsidRPr="00267FC2">
              <w:rPr>
                <w:rFonts w:ascii="Times New Roman" w:hAnsi="Times New Roman"/>
                <w:sz w:val="20"/>
                <w:szCs w:val="20"/>
                <w:lang w:val="es-ES"/>
              </w:rPr>
              <w:t>.</w:t>
            </w:r>
          </w:p>
        </w:tc>
        <w:tc>
          <w:tcPr>
            <w:tcW w:w="1980" w:type="dxa"/>
            <w:tcBorders>
              <w:top w:val="single" w:sz="4" w:space="0" w:color="auto"/>
              <w:left w:val="single" w:sz="4" w:space="0" w:color="auto"/>
              <w:bottom w:val="single" w:sz="4" w:space="0" w:color="auto"/>
              <w:right w:val="single" w:sz="4" w:space="0" w:color="auto"/>
            </w:tcBorders>
            <w:vAlign w:val="center"/>
          </w:tcPr>
          <w:p w14:paraId="0237229A" w14:textId="51272F98"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183726F8" w14:textId="7429E778"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En 2012 los jóvenes fueron responsables del 95% (1001 de 1058) de los </w:t>
            </w:r>
            <w:r>
              <w:rPr>
                <w:rFonts w:ascii="Times New Roman" w:hAnsi="Times New Roman"/>
                <w:sz w:val="20"/>
                <w:szCs w:val="20"/>
                <w:lang w:val="es-ES"/>
              </w:rPr>
              <w:t>delitos</w:t>
            </w:r>
            <w:r w:rsidRPr="00267FC2">
              <w:rPr>
                <w:rFonts w:ascii="Times New Roman" w:hAnsi="Times New Roman"/>
                <w:sz w:val="20"/>
                <w:szCs w:val="20"/>
                <w:lang w:val="es-ES"/>
              </w:rPr>
              <w:t xml:space="preserve"> por consumo de drogas</w:t>
            </w:r>
            <w:r>
              <w:rPr>
                <w:rFonts w:ascii="Times New Roman" w:hAnsi="Times New Roman"/>
                <w:sz w:val="20"/>
                <w:szCs w:val="20"/>
                <w:lang w:val="es-ES"/>
              </w:rPr>
              <w:t xml:space="preserve"> (uso o posesión)</w:t>
            </w:r>
            <w:r w:rsidRPr="00267FC2">
              <w:rPr>
                <w:rFonts w:ascii="Times New Roman" w:hAnsi="Times New Roman"/>
                <w:sz w:val="20"/>
                <w:szCs w:val="20"/>
                <w:lang w:val="es-ES"/>
              </w:rPr>
              <w:t xml:space="preserve"> en los 8 municipios (Fuente SESP). Dado que la tendencia ha sido estable en los últimos dos años, se espera que el programa tenga un impacto del 10%.</w:t>
            </w:r>
          </w:p>
        </w:tc>
      </w:tr>
      <w:tr w:rsidR="00A129EF" w:rsidRPr="000346A8" w14:paraId="4A6F9B43"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78B93994" w14:textId="6759BC99"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R.I.2.</w:t>
            </w:r>
            <w:r>
              <w:rPr>
                <w:rFonts w:ascii="Times New Roman" w:hAnsi="Times New Roman"/>
                <w:sz w:val="20"/>
                <w:szCs w:val="20"/>
                <w:lang w:val="es-ES"/>
              </w:rPr>
              <w:t>4</w:t>
            </w:r>
            <w:r w:rsidRPr="00267FC2">
              <w:rPr>
                <w:rFonts w:ascii="Times New Roman" w:hAnsi="Times New Roman"/>
                <w:sz w:val="20"/>
                <w:szCs w:val="20"/>
                <w:lang w:val="es-ES"/>
              </w:rPr>
              <w:t xml:space="preserve"> </w:t>
            </w:r>
            <w:r>
              <w:rPr>
                <w:rFonts w:ascii="Times New Roman" w:hAnsi="Times New Roman"/>
                <w:sz w:val="20"/>
                <w:szCs w:val="20"/>
                <w:lang w:val="es-ES"/>
              </w:rPr>
              <w:t>Delitos por t</w:t>
            </w:r>
            <w:r w:rsidRPr="00267FC2">
              <w:rPr>
                <w:rFonts w:ascii="Times New Roman" w:hAnsi="Times New Roman"/>
                <w:sz w:val="20"/>
                <w:szCs w:val="20"/>
                <w:lang w:val="es-ES"/>
              </w:rPr>
              <w:t xml:space="preserve">ráfico de drogas </w:t>
            </w:r>
            <w:r>
              <w:rPr>
                <w:rFonts w:ascii="Times New Roman" w:hAnsi="Times New Roman"/>
                <w:sz w:val="20"/>
                <w:szCs w:val="20"/>
                <w:lang w:val="es-ES"/>
              </w:rPr>
              <w:t>que tienen como a autor jóvenes de entre 15 y 24 años en los 8 mun</w:t>
            </w:r>
            <w:r>
              <w:rPr>
                <w:rFonts w:ascii="Times New Roman" w:hAnsi="Times New Roman"/>
                <w:sz w:val="20"/>
                <w:szCs w:val="20"/>
                <w:lang w:val="es-ES"/>
              </w:rPr>
              <w:t>i</w:t>
            </w:r>
            <w:r>
              <w:rPr>
                <w:rFonts w:ascii="Times New Roman" w:hAnsi="Times New Roman"/>
                <w:sz w:val="20"/>
                <w:szCs w:val="20"/>
                <w:lang w:val="es-ES"/>
              </w:rPr>
              <w:t>cipios.</w:t>
            </w:r>
          </w:p>
        </w:tc>
        <w:tc>
          <w:tcPr>
            <w:tcW w:w="1980" w:type="dxa"/>
            <w:tcBorders>
              <w:top w:val="single" w:sz="4" w:space="0" w:color="auto"/>
              <w:left w:val="single" w:sz="4" w:space="0" w:color="auto"/>
              <w:bottom w:val="single" w:sz="4" w:space="0" w:color="auto"/>
              <w:right w:val="single" w:sz="4" w:space="0" w:color="auto"/>
            </w:tcBorders>
            <w:vAlign w:val="center"/>
          </w:tcPr>
          <w:p w14:paraId="74E2EA02" w14:textId="78A52660"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403849AF" w14:textId="06A1EC1F"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2012 los jóvenes fueron responsables del 93% (2</w:t>
            </w:r>
            <w:r>
              <w:rPr>
                <w:rFonts w:ascii="Times New Roman" w:hAnsi="Times New Roman"/>
                <w:sz w:val="20"/>
                <w:szCs w:val="20"/>
                <w:lang w:val="es-ES"/>
              </w:rPr>
              <w:t>.</w:t>
            </w:r>
            <w:r w:rsidRPr="00267FC2">
              <w:rPr>
                <w:rFonts w:ascii="Times New Roman" w:hAnsi="Times New Roman"/>
                <w:sz w:val="20"/>
                <w:szCs w:val="20"/>
                <w:lang w:val="es-ES"/>
              </w:rPr>
              <w:t>176 de 2</w:t>
            </w:r>
            <w:r>
              <w:rPr>
                <w:rFonts w:ascii="Times New Roman" w:hAnsi="Times New Roman"/>
                <w:sz w:val="20"/>
                <w:szCs w:val="20"/>
                <w:lang w:val="es-ES"/>
              </w:rPr>
              <w:t>.</w:t>
            </w:r>
            <w:r w:rsidRPr="00267FC2">
              <w:rPr>
                <w:rFonts w:ascii="Times New Roman" w:hAnsi="Times New Roman"/>
                <w:sz w:val="20"/>
                <w:szCs w:val="20"/>
                <w:lang w:val="es-ES"/>
              </w:rPr>
              <w:t xml:space="preserve">337) de los </w:t>
            </w:r>
            <w:r>
              <w:rPr>
                <w:rFonts w:ascii="Times New Roman" w:hAnsi="Times New Roman"/>
                <w:sz w:val="20"/>
                <w:szCs w:val="20"/>
                <w:lang w:val="es-ES"/>
              </w:rPr>
              <w:t>delitos</w:t>
            </w:r>
            <w:r w:rsidRPr="00267FC2">
              <w:rPr>
                <w:rFonts w:ascii="Times New Roman" w:hAnsi="Times New Roman"/>
                <w:sz w:val="20"/>
                <w:szCs w:val="20"/>
                <w:lang w:val="es-ES"/>
              </w:rPr>
              <w:t xml:space="preserve"> por </w:t>
            </w:r>
            <w:r>
              <w:rPr>
                <w:rFonts w:ascii="Times New Roman" w:hAnsi="Times New Roman"/>
                <w:sz w:val="20"/>
                <w:szCs w:val="20"/>
                <w:lang w:val="es-ES"/>
              </w:rPr>
              <w:t>violación de la ley as</w:t>
            </w:r>
            <w:r>
              <w:rPr>
                <w:rFonts w:ascii="Times New Roman" w:hAnsi="Times New Roman"/>
                <w:sz w:val="20"/>
                <w:szCs w:val="20"/>
                <w:lang w:val="es-ES"/>
              </w:rPr>
              <w:t>o</w:t>
            </w:r>
            <w:r>
              <w:rPr>
                <w:rFonts w:ascii="Times New Roman" w:hAnsi="Times New Roman"/>
                <w:sz w:val="20"/>
                <w:szCs w:val="20"/>
                <w:lang w:val="es-ES"/>
              </w:rPr>
              <w:t xml:space="preserve">ciada </w:t>
            </w:r>
            <w:r w:rsidRPr="00267FC2">
              <w:rPr>
                <w:rFonts w:ascii="Times New Roman" w:hAnsi="Times New Roman"/>
                <w:sz w:val="20"/>
                <w:szCs w:val="20"/>
                <w:lang w:val="es-ES"/>
              </w:rPr>
              <w:t>tráfico de drogas en los 8 municipios (Fuente SESP). Dado que la tendencia ha sido estable en los últ</w:t>
            </w:r>
            <w:r w:rsidRPr="00267FC2">
              <w:rPr>
                <w:rFonts w:ascii="Times New Roman" w:hAnsi="Times New Roman"/>
                <w:sz w:val="20"/>
                <w:szCs w:val="20"/>
                <w:lang w:val="es-ES"/>
              </w:rPr>
              <w:t>i</w:t>
            </w:r>
            <w:r w:rsidRPr="00267FC2">
              <w:rPr>
                <w:rFonts w:ascii="Times New Roman" w:hAnsi="Times New Roman"/>
                <w:sz w:val="20"/>
                <w:szCs w:val="20"/>
                <w:lang w:val="es-ES"/>
              </w:rPr>
              <w:t>mos dos años, se espera que el programa tenga un impacto del 20%.</w:t>
            </w:r>
          </w:p>
        </w:tc>
      </w:tr>
    </w:tbl>
    <w:p w14:paraId="72DB89AE" w14:textId="77777777" w:rsidR="00A129EF" w:rsidRDefault="00A129EF" w:rsidP="00A129EF">
      <w:pPr>
        <w:spacing w:after="0" w:line="240" w:lineRule="auto"/>
        <w:ind w:left="34"/>
        <w:jc w:val="center"/>
        <w:rPr>
          <w:rFonts w:ascii="Times New Roman" w:hAnsi="Times New Roman"/>
          <w:b/>
          <w:sz w:val="20"/>
          <w:szCs w:val="20"/>
          <w:u w:val="single"/>
          <w:lang w:val="es-ES"/>
        </w:rPr>
      </w:pPr>
    </w:p>
    <w:p w14:paraId="10151365" w14:textId="6B3DC288" w:rsidR="00A129EF" w:rsidRPr="00A129EF" w:rsidRDefault="00A129EF" w:rsidP="00A129EF">
      <w:pPr>
        <w:spacing w:after="0" w:line="240" w:lineRule="auto"/>
        <w:ind w:left="34"/>
        <w:rPr>
          <w:rStyle w:val="BookTitle"/>
          <w:rFonts w:ascii="Times New Roman" w:hAnsi="Times New Roman"/>
          <w:bCs/>
          <w:sz w:val="20"/>
          <w:szCs w:val="20"/>
          <w:lang w:val="es-ES"/>
        </w:rPr>
      </w:pPr>
      <w:r w:rsidRPr="00267FC2">
        <w:rPr>
          <w:rFonts w:ascii="Times New Roman" w:hAnsi="Times New Roman"/>
          <w:b/>
          <w:sz w:val="20"/>
          <w:szCs w:val="20"/>
          <w:u w:val="single"/>
          <w:lang w:val="es-ES"/>
        </w:rPr>
        <w:t>Objetivo Especifico 3</w:t>
      </w:r>
      <w:r w:rsidRPr="00267FC2">
        <w:rPr>
          <w:rFonts w:ascii="Times New Roman" w:hAnsi="Times New Roman"/>
          <w:sz w:val="20"/>
          <w:szCs w:val="20"/>
          <w:lang w:val="es-ES"/>
        </w:rPr>
        <w:t>: Reducir la reincidencia delictiva de los jóvenes</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A129EF" w:rsidRPr="00957EFA" w14:paraId="38F58A4F" w14:textId="77777777" w:rsidTr="00684477">
        <w:trPr>
          <w:jc w:val="center"/>
        </w:trPr>
        <w:tc>
          <w:tcPr>
            <w:tcW w:w="2597" w:type="dxa"/>
            <w:tcBorders>
              <w:bottom w:val="single" w:sz="4" w:space="0" w:color="auto"/>
            </w:tcBorders>
            <w:shd w:val="clear" w:color="auto" w:fill="D6E3BC" w:themeFill="accent3" w:themeFillTint="66"/>
            <w:vAlign w:val="center"/>
          </w:tcPr>
          <w:p w14:paraId="2CCFD9D3" w14:textId="77777777" w:rsidR="00A129EF" w:rsidRPr="00D467B6" w:rsidRDefault="00A129EF"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3CE433CB" w14:textId="77777777" w:rsidR="00A129EF" w:rsidRPr="00D467B6" w:rsidRDefault="00A129EF"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19A3B8CF" w14:textId="77777777" w:rsidR="00A129EF" w:rsidRPr="00D467B6" w:rsidRDefault="00A129EF"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A129EF" w:rsidRPr="000346A8" w14:paraId="5EBD8492" w14:textId="77777777" w:rsidTr="00684477">
        <w:trPr>
          <w:jc w:val="center"/>
        </w:trPr>
        <w:tc>
          <w:tcPr>
            <w:tcW w:w="2597" w:type="dxa"/>
            <w:tcBorders>
              <w:bottom w:val="single" w:sz="4" w:space="0" w:color="auto"/>
            </w:tcBorders>
            <w:vAlign w:val="center"/>
          </w:tcPr>
          <w:p w14:paraId="3EC7B983" w14:textId="61926BE4"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R.I.3.1 Jóvenes egresados el año anterior de los IASES con ciclo básico compl</w:t>
            </w:r>
            <w:r w:rsidRPr="00267FC2">
              <w:rPr>
                <w:rFonts w:ascii="Times New Roman" w:hAnsi="Times New Roman"/>
                <w:sz w:val="20"/>
                <w:szCs w:val="20"/>
                <w:lang w:val="es-ES"/>
              </w:rPr>
              <w:t>e</w:t>
            </w:r>
            <w:r w:rsidRPr="00267FC2">
              <w:rPr>
                <w:rFonts w:ascii="Times New Roman" w:hAnsi="Times New Roman"/>
                <w:sz w:val="20"/>
                <w:szCs w:val="20"/>
                <w:lang w:val="es-ES"/>
              </w:rPr>
              <w:t xml:space="preserve">to. </w:t>
            </w:r>
          </w:p>
        </w:tc>
        <w:tc>
          <w:tcPr>
            <w:tcW w:w="1980" w:type="dxa"/>
            <w:tcBorders>
              <w:bottom w:val="single" w:sz="4" w:space="0" w:color="auto"/>
            </w:tcBorders>
            <w:vAlign w:val="center"/>
          </w:tcPr>
          <w:p w14:paraId="0F24B501" w14:textId="494204C9"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bottom w:val="single" w:sz="4" w:space="0" w:color="auto"/>
            </w:tcBorders>
          </w:tcPr>
          <w:p w14:paraId="0E4095BF" w14:textId="06D018E9"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En 2013 existían de 576 jóvenes de 15 a 24 en  cursos de educación remedial de IASES de los cuales 109 h</w:t>
            </w:r>
            <w:r w:rsidRPr="00267FC2">
              <w:rPr>
                <w:rFonts w:ascii="Times New Roman" w:hAnsi="Times New Roman"/>
                <w:sz w:val="20"/>
                <w:szCs w:val="20"/>
                <w:lang w:val="es-ES"/>
              </w:rPr>
              <w:t>a</w:t>
            </w:r>
            <w:r w:rsidRPr="00267FC2">
              <w:rPr>
                <w:rFonts w:ascii="Times New Roman" w:hAnsi="Times New Roman"/>
                <w:sz w:val="20"/>
                <w:szCs w:val="20"/>
                <w:lang w:val="es-ES"/>
              </w:rPr>
              <w:t>bían completado el fundamental (19%). La tasa de aprobación histórica corresponde a 51%. Considerando una mejora en la prestación de los cursos EJA se espera incrementar la tasa de aprobación en un 20% (de 0.51 a 0.61). De esta manera la meta será de lograr un 39% de jóvenes con el ciclo básico completo al finalizar el su paso por el IASES.  La meta ha sido calculada en función de la estimativa de aquellos jóvenes que perman</w:t>
            </w:r>
            <w:r w:rsidRPr="00267FC2">
              <w:rPr>
                <w:rFonts w:ascii="Times New Roman" w:hAnsi="Times New Roman"/>
                <w:sz w:val="20"/>
                <w:szCs w:val="20"/>
                <w:lang w:val="es-ES"/>
              </w:rPr>
              <w:t>e</w:t>
            </w:r>
            <w:r w:rsidRPr="00267FC2">
              <w:rPr>
                <w:rFonts w:ascii="Times New Roman" w:hAnsi="Times New Roman"/>
                <w:sz w:val="20"/>
                <w:szCs w:val="20"/>
                <w:lang w:val="es-ES"/>
              </w:rPr>
              <w:t>cen en los centros IASES por lo menos un año.</w:t>
            </w:r>
          </w:p>
        </w:tc>
      </w:tr>
      <w:tr w:rsidR="00A129EF" w:rsidRPr="000346A8" w14:paraId="1AD96C6A" w14:textId="77777777" w:rsidTr="00684477">
        <w:trPr>
          <w:jc w:val="center"/>
        </w:trPr>
        <w:tc>
          <w:tcPr>
            <w:tcW w:w="2597" w:type="dxa"/>
            <w:tcBorders>
              <w:bottom w:val="single" w:sz="4" w:space="0" w:color="auto"/>
            </w:tcBorders>
            <w:vAlign w:val="center"/>
          </w:tcPr>
          <w:p w14:paraId="2793BA1F" w14:textId="04BE6FA3"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R.I.3.2. jóvenes egresados el año anterior de los IASES que están trabajando.</w:t>
            </w:r>
          </w:p>
        </w:tc>
        <w:tc>
          <w:tcPr>
            <w:tcW w:w="1980" w:type="dxa"/>
            <w:tcBorders>
              <w:bottom w:val="single" w:sz="4" w:space="0" w:color="auto"/>
            </w:tcBorders>
            <w:vAlign w:val="center"/>
          </w:tcPr>
          <w:p w14:paraId="6957EC02" w14:textId="18CD60D0"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bottom w:val="single" w:sz="4" w:space="0" w:color="auto"/>
            </w:tcBorders>
          </w:tcPr>
          <w:p w14:paraId="6D060422" w14:textId="78585119" w:rsidR="00A129EF" w:rsidRPr="00267FC2" w:rsidRDefault="00A129EF" w:rsidP="00684477">
            <w:pPr>
              <w:spacing w:after="0" w:line="240" w:lineRule="auto"/>
              <w:jc w:val="both"/>
              <w:rPr>
                <w:rFonts w:ascii="Times New Roman" w:hAnsi="Times New Roman"/>
                <w:sz w:val="20"/>
                <w:szCs w:val="20"/>
                <w:lang w:val="es-ES"/>
              </w:rPr>
            </w:pPr>
            <w:r>
              <w:rPr>
                <w:rFonts w:ascii="Times New Roman" w:hAnsi="Times New Roman"/>
                <w:sz w:val="20"/>
                <w:szCs w:val="20"/>
                <w:lang w:val="es-ES"/>
              </w:rPr>
              <w:t>E</w:t>
            </w:r>
            <w:r w:rsidRPr="00267FC2">
              <w:rPr>
                <w:rFonts w:ascii="Times New Roman" w:hAnsi="Times New Roman"/>
                <w:sz w:val="20"/>
                <w:szCs w:val="20"/>
                <w:lang w:val="es-ES"/>
              </w:rPr>
              <w:t xml:space="preserve">l número de jóvenes </w:t>
            </w:r>
            <w:r>
              <w:rPr>
                <w:rFonts w:ascii="Times New Roman" w:hAnsi="Times New Roman"/>
                <w:sz w:val="20"/>
                <w:szCs w:val="20"/>
                <w:lang w:val="es-ES"/>
              </w:rPr>
              <w:t xml:space="preserve">que egresan del IASES es 222. De estos 39% </w:t>
            </w:r>
            <w:r w:rsidRPr="00267FC2">
              <w:rPr>
                <w:rFonts w:ascii="Times New Roman" w:hAnsi="Times New Roman"/>
                <w:sz w:val="20"/>
                <w:szCs w:val="20"/>
                <w:lang w:val="es-ES"/>
              </w:rPr>
              <w:t xml:space="preserve">terminará el fundamental </w:t>
            </w:r>
            <w:r>
              <w:rPr>
                <w:rFonts w:ascii="Times New Roman" w:hAnsi="Times New Roman"/>
                <w:sz w:val="20"/>
                <w:szCs w:val="20"/>
                <w:lang w:val="es-ES"/>
              </w:rPr>
              <w:t xml:space="preserve">que corresponde a 86 jóvenes. Todos se beneficiarán del programa </w:t>
            </w:r>
            <w:r w:rsidRPr="00267FC2">
              <w:rPr>
                <w:rFonts w:ascii="Times New Roman" w:hAnsi="Times New Roman"/>
                <w:sz w:val="20"/>
                <w:szCs w:val="20"/>
                <w:lang w:val="es-ES"/>
              </w:rPr>
              <w:t>de formación laboral</w:t>
            </w:r>
            <w:r>
              <w:rPr>
                <w:rFonts w:ascii="Times New Roman" w:hAnsi="Times New Roman"/>
                <w:sz w:val="20"/>
                <w:szCs w:val="20"/>
                <w:lang w:val="es-ES"/>
              </w:rPr>
              <w:t xml:space="preserve"> </w:t>
            </w:r>
            <w:r w:rsidRPr="00267FC2">
              <w:rPr>
                <w:rFonts w:ascii="Times New Roman" w:hAnsi="Times New Roman"/>
                <w:sz w:val="20"/>
                <w:szCs w:val="20"/>
                <w:lang w:val="es-ES"/>
              </w:rPr>
              <w:t xml:space="preserve"> y </w:t>
            </w:r>
            <w:r>
              <w:rPr>
                <w:rFonts w:ascii="Times New Roman" w:hAnsi="Times New Roman"/>
                <w:sz w:val="20"/>
                <w:szCs w:val="20"/>
                <w:lang w:val="es-ES"/>
              </w:rPr>
              <w:t xml:space="preserve">dado </w:t>
            </w:r>
            <w:r w:rsidRPr="00267FC2">
              <w:rPr>
                <w:rFonts w:ascii="Times New Roman" w:hAnsi="Times New Roman"/>
                <w:sz w:val="20"/>
                <w:szCs w:val="20"/>
                <w:lang w:val="es-ES"/>
              </w:rPr>
              <w:t xml:space="preserve">que se </w:t>
            </w:r>
            <w:r>
              <w:rPr>
                <w:rFonts w:ascii="Times New Roman" w:hAnsi="Times New Roman"/>
                <w:sz w:val="20"/>
                <w:szCs w:val="20"/>
                <w:lang w:val="es-ES"/>
              </w:rPr>
              <w:t xml:space="preserve">acompañaran a los egresados y se </w:t>
            </w:r>
            <w:r w:rsidRPr="00267FC2">
              <w:rPr>
                <w:rFonts w:ascii="Times New Roman" w:hAnsi="Times New Roman"/>
                <w:sz w:val="20"/>
                <w:szCs w:val="20"/>
                <w:lang w:val="es-ES"/>
              </w:rPr>
              <w:t xml:space="preserve">crearán nuevas oportunidades de salida laboral en el sector público y privado para </w:t>
            </w:r>
            <w:r>
              <w:rPr>
                <w:rFonts w:ascii="Times New Roman" w:hAnsi="Times New Roman"/>
                <w:sz w:val="20"/>
                <w:szCs w:val="20"/>
                <w:lang w:val="es-ES"/>
              </w:rPr>
              <w:t xml:space="preserve">estos </w:t>
            </w:r>
            <w:r w:rsidRPr="00267FC2">
              <w:rPr>
                <w:rFonts w:ascii="Times New Roman" w:hAnsi="Times New Roman"/>
                <w:sz w:val="20"/>
                <w:szCs w:val="20"/>
                <w:lang w:val="es-ES"/>
              </w:rPr>
              <w:t>jóv</w:t>
            </w:r>
            <w:r w:rsidRPr="00267FC2">
              <w:rPr>
                <w:rFonts w:ascii="Times New Roman" w:hAnsi="Times New Roman"/>
                <w:sz w:val="20"/>
                <w:szCs w:val="20"/>
                <w:lang w:val="es-ES"/>
              </w:rPr>
              <w:t>e</w:t>
            </w:r>
            <w:r w:rsidRPr="00267FC2">
              <w:rPr>
                <w:rFonts w:ascii="Times New Roman" w:hAnsi="Times New Roman"/>
                <w:sz w:val="20"/>
                <w:szCs w:val="20"/>
                <w:lang w:val="es-ES"/>
              </w:rPr>
              <w:t xml:space="preserve">nes se espera colocar </w:t>
            </w:r>
            <w:r>
              <w:rPr>
                <w:rFonts w:ascii="Times New Roman" w:hAnsi="Times New Roman"/>
                <w:sz w:val="20"/>
                <w:szCs w:val="20"/>
                <w:lang w:val="es-ES"/>
              </w:rPr>
              <w:t>en el mercado laboral el</w:t>
            </w:r>
            <w:r w:rsidRPr="00267FC2">
              <w:rPr>
                <w:rFonts w:ascii="Times New Roman" w:hAnsi="Times New Roman"/>
                <w:sz w:val="20"/>
                <w:szCs w:val="20"/>
                <w:lang w:val="es-ES"/>
              </w:rPr>
              <w:t xml:space="preserve"> 75%  </w:t>
            </w:r>
            <w:r>
              <w:rPr>
                <w:rFonts w:ascii="Times New Roman" w:hAnsi="Times New Roman"/>
                <w:sz w:val="20"/>
                <w:szCs w:val="20"/>
                <w:lang w:val="es-ES"/>
              </w:rPr>
              <w:t>de este universo: 65</w:t>
            </w:r>
            <w:r w:rsidRPr="00267FC2">
              <w:rPr>
                <w:rFonts w:ascii="Times New Roman" w:hAnsi="Times New Roman"/>
                <w:sz w:val="20"/>
                <w:szCs w:val="20"/>
                <w:lang w:val="es-ES"/>
              </w:rPr>
              <w:t xml:space="preserve"> </w:t>
            </w:r>
            <w:r>
              <w:rPr>
                <w:rFonts w:ascii="Times New Roman" w:hAnsi="Times New Roman"/>
                <w:sz w:val="20"/>
                <w:szCs w:val="20"/>
                <w:lang w:val="es-ES"/>
              </w:rPr>
              <w:t>jóvenes que corresponde al 29% del total de jóvenes egresados (65 de 222</w:t>
            </w:r>
            <w:r w:rsidRPr="00267FC2">
              <w:rPr>
                <w:rFonts w:ascii="Times New Roman" w:hAnsi="Times New Roman"/>
                <w:sz w:val="20"/>
                <w:szCs w:val="20"/>
                <w:lang w:val="es-ES"/>
              </w:rPr>
              <w:t>).</w:t>
            </w:r>
          </w:p>
        </w:tc>
      </w:tr>
      <w:tr w:rsidR="00A129EF" w:rsidRPr="000346A8" w14:paraId="20B44755"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2220CCBE" w14:textId="1A07BF91" w:rsidR="00A129EF" w:rsidRPr="00267FC2" w:rsidRDefault="00A129EF"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R.I.3.3. Adolescentes en m</w:t>
            </w:r>
            <w:r w:rsidRPr="00267FC2">
              <w:rPr>
                <w:rFonts w:ascii="Times New Roman" w:hAnsi="Times New Roman"/>
                <w:sz w:val="20"/>
                <w:szCs w:val="20"/>
                <w:lang w:val="es-ES"/>
              </w:rPr>
              <w:t>e</w:t>
            </w:r>
            <w:r w:rsidRPr="00267FC2">
              <w:rPr>
                <w:rFonts w:ascii="Times New Roman" w:hAnsi="Times New Roman"/>
                <w:sz w:val="20"/>
                <w:szCs w:val="20"/>
                <w:lang w:val="es-ES"/>
              </w:rPr>
              <w:t>didas de internación y  semilibertad con PIAs d</w:t>
            </w:r>
            <w:r w:rsidRPr="00267FC2">
              <w:rPr>
                <w:rFonts w:ascii="Times New Roman" w:hAnsi="Times New Roman"/>
                <w:sz w:val="20"/>
                <w:szCs w:val="20"/>
                <w:lang w:val="es-ES"/>
              </w:rPr>
              <w:t>i</w:t>
            </w:r>
            <w:r w:rsidRPr="00267FC2">
              <w:rPr>
                <w:rFonts w:ascii="Times New Roman" w:hAnsi="Times New Roman"/>
                <w:sz w:val="20"/>
                <w:szCs w:val="20"/>
                <w:lang w:val="es-ES"/>
              </w:rPr>
              <w:t>señado e implementados conforme al SINASE.</w:t>
            </w:r>
          </w:p>
        </w:tc>
        <w:tc>
          <w:tcPr>
            <w:tcW w:w="1980" w:type="dxa"/>
            <w:tcBorders>
              <w:top w:val="single" w:sz="4" w:space="0" w:color="auto"/>
              <w:left w:val="single" w:sz="4" w:space="0" w:color="auto"/>
              <w:bottom w:val="single" w:sz="4" w:space="0" w:color="auto"/>
              <w:right w:val="single" w:sz="4" w:space="0" w:color="auto"/>
            </w:tcBorders>
            <w:vAlign w:val="center"/>
          </w:tcPr>
          <w:p w14:paraId="5F5B4B45" w14:textId="364CD366" w:rsidR="00A129EF" w:rsidRPr="00267FC2" w:rsidRDefault="00A129EF"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Porcentaje</w:t>
            </w:r>
          </w:p>
        </w:tc>
        <w:tc>
          <w:tcPr>
            <w:tcW w:w="9076" w:type="dxa"/>
            <w:tcBorders>
              <w:top w:val="single" w:sz="4" w:space="0" w:color="auto"/>
              <w:left w:val="single" w:sz="4" w:space="0" w:color="auto"/>
              <w:bottom w:val="single" w:sz="4" w:space="0" w:color="auto"/>
              <w:right w:val="single" w:sz="4" w:space="0" w:color="auto"/>
            </w:tcBorders>
          </w:tcPr>
          <w:p w14:paraId="4C638363" w14:textId="6F2C1D99" w:rsidR="00A129EF" w:rsidRPr="00267FC2" w:rsidRDefault="00A129EF"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Se considerara solamente aquellos PIA </w:t>
            </w:r>
            <w:r>
              <w:rPr>
                <w:rFonts w:ascii="Times New Roman" w:hAnsi="Times New Roman"/>
                <w:sz w:val="20"/>
                <w:szCs w:val="20"/>
                <w:lang w:val="es-ES"/>
              </w:rPr>
              <w:t xml:space="preserve">(Plan Individual de Atención) </w:t>
            </w:r>
            <w:r w:rsidRPr="00267FC2">
              <w:rPr>
                <w:rFonts w:ascii="Times New Roman" w:hAnsi="Times New Roman"/>
                <w:sz w:val="20"/>
                <w:szCs w:val="20"/>
                <w:lang w:val="es-ES"/>
              </w:rPr>
              <w:t>que se elaboran conforme a las  directr</w:t>
            </w:r>
            <w:r w:rsidRPr="00267FC2">
              <w:rPr>
                <w:rFonts w:ascii="Times New Roman" w:hAnsi="Times New Roman"/>
                <w:sz w:val="20"/>
                <w:szCs w:val="20"/>
                <w:lang w:val="es-ES"/>
              </w:rPr>
              <w:t>i</w:t>
            </w:r>
            <w:r w:rsidRPr="00267FC2">
              <w:rPr>
                <w:rFonts w:ascii="Times New Roman" w:hAnsi="Times New Roman"/>
                <w:sz w:val="20"/>
                <w:szCs w:val="20"/>
                <w:lang w:val="es-ES"/>
              </w:rPr>
              <w:t>ces do SINASE y que su diseño contó con la participación en su diseño e implementación de las familias así como su articulación con los planes de acción con la red de servicios de asistencia social en los territorios. El indicador de base es 0 porque aún no se ha implementado.</w:t>
            </w:r>
          </w:p>
        </w:tc>
      </w:tr>
    </w:tbl>
    <w:p w14:paraId="0F67357E" w14:textId="77777777" w:rsidR="00A129EF" w:rsidRDefault="00A129EF" w:rsidP="00A129EF">
      <w:pPr>
        <w:spacing w:before="240" w:line="240" w:lineRule="auto"/>
        <w:jc w:val="center"/>
        <w:rPr>
          <w:rFonts w:ascii="Times New Roman" w:hAnsi="Times New Roman"/>
          <w:b/>
          <w:sz w:val="20"/>
          <w:szCs w:val="20"/>
          <w:lang w:val="es-ES"/>
        </w:rPr>
      </w:pPr>
      <w:r w:rsidRPr="00267FC2">
        <w:rPr>
          <w:rFonts w:ascii="Times New Roman" w:hAnsi="Times New Roman"/>
          <w:b/>
          <w:sz w:val="20"/>
          <w:szCs w:val="20"/>
          <w:lang w:val="es-ES"/>
        </w:rPr>
        <w:t>PRODUCTOS</w:t>
      </w:r>
    </w:p>
    <w:p w14:paraId="7A6D8579" w14:textId="0C95D64A" w:rsidR="00A129EF" w:rsidRDefault="00A129EF" w:rsidP="00A129EF">
      <w:pPr>
        <w:spacing w:after="0" w:line="240" w:lineRule="auto"/>
        <w:rPr>
          <w:rStyle w:val="BookTitle"/>
          <w:rFonts w:ascii="Times New Roman" w:hAnsi="Times New Roman"/>
          <w:bCs/>
          <w:sz w:val="20"/>
          <w:szCs w:val="20"/>
          <w:lang w:val="es-ES"/>
        </w:rPr>
      </w:pPr>
      <w:r w:rsidRPr="00267FC2">
        <w:rPr>
          <w:rFonts w:ascii="Times New Roman" w:hAnsi="Times New Roman"/>
          <w:b/>
          <w:sz w:val="20"/>
          <w:szCs w:val="20"/>
          <w:u w:val="single"/>
          <w:lang w:val="es-ES"/>
        </w:rPr>
        <w:t xml:space="preserve">Componente 1: </w:t>
      </w:r>
      <w:r w:rsidRPr="00267FC2">
        <w:rPr>
          <w:rFonts w:ascii="Times New Roman" w:hAnsi="Times New Roman"/>
          <w:b/>
          <w:spacing w:val="-6"/>
          <w:sz w:val="20"/>
          <w:szCs w:val="20"/>
          <w:lang w:val="es-ES"/>
        </w:rPr>
        <w:t xml:space="preserve"> </w:t>
      </w:r>
      <w:r w:rsidRPr="00267FC2">
        <w:rPr>
          <w:rFonts w:ascii="Times New Roman" w:hAnsi="Times New Roman"/>
          <w:b/>
          <w:sz w:val="20"/>
          <w:szCs w:val="20"/>
          <w:u w:val="single"/>
          <w:lang w:val="es-ES"/>
        </w:rPr>
        <w:t xml:space="preserve">Mejora de la efectividad policial para </w:t>
      </w:r>
      <w:r>
        <w:rPr>
          <w:rFonts w:ascii="Times New Roman" w:hAnsi="Times New Roman"/>
          <w:b/>
          <w:sz w:val="20"/>
          <w:szCs w:val="20"/>
          <w:u w:val="single"/>
          <w:lang w:val="es-ES"/>
        </w:rPr>
        <w:t>el</w:t>
      </w:r>
      <w:r w:rsidRPr="00267FC2">
        <w:rPr>
          <w:rFonts w:ascii="Times New Roman" w:hAnsi="Times New Roman"/>
          <w:b/>
          <w:sz w:val="20"/>
          <w:szCs w:val="20"/>
          <w:u w:val="single"/>
          <w:lang w:val="es-ES"/>
        </w:rPr>
        <w:t xml:space="preserve"> control e investigación</w:t>
      </w:r>
      <w:r w:rsidRPr="00267FC2" w:rsidDel="0045789D">
        <w:rPr>
          <w:rFonts w:ascii="Times New Roman" w:hAnsi="Times New Roman"/>
          <w:b/>
          <w:sz w:val="20"/>
          <w:szCs w:val="20"/>
          <w:u w:val="single"/>
          <w:lang w:val="es-ES"/>
        </w:rPr>
        <w:t xml:space="preserve"> </w:t>
      </w:r>
      <w:r w:rsidRPr="00267FC2">
        <w:rPr>
          <w:rFonts w:ascii="Times New Roman" w:hAnsi="Times New Roman"/>
          <w:b/>
          <w:sz w:val="20"/>
          <w:szCs w:val="20"/>
          <w:u w:val="single"/>
          <w:lang w:val="es-ES"/>
        </w:rPr>
        <w:t>del crimen</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A129EF" w:rsidRPr="00957EFA" w14:paraId="3D508A23" w14:textId="77777777" w:rsidTr="00684477">
        <w:trPr>
          <w:jc w:val="center"/>
        </w:trPr>
        <w:tc>
          <w:tcPr>
            <w:tcW w:w="2597" w:type="dxa"/>
            <w:tcBorders>
              <w:bottom w:val="single" w:sz="4" w:space="0" w:color="auto"/>
            </w:tcBorders>
            <w:shd w:val="clear" w:color="auto" w:fill="D6E3BC" w:themeFill="accent3" w:themeFillTint="66"/>
            <w:vAlign w:val="center"/>
          </w:tcPr>
          <w:p w14:paraId="5A58D858" w14:textId="77777777" w:rsidR="00A129EF" w:rsidRPr="00D467B6" w:rsidRDefault="00A129EF"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1D70A0D5" w14:textId="77777777" w:rsidR="00A129EF" w:rsidRPr="00D467B6" w:rsidRDefault="00A129EF"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04D6BE56" w14:textId="77777777" w:rsidR="00A129EF" w:rsidRPr="00D467B6" w:rsidRDefault="00A129EF"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600206" w:rsidRPr="000346A8" w14:paraId="6561A567" w14:textId="77777777" w:rsidTr="00684477">
        <w:trPr>
          <w:jc w:val="center"/>
        </w:trPr>
        <w:tc>
          <w:tcPr>
            <w:tcW w:w="2597" w:type="dxa"/>
            <w:tcBorders>
              <w:bottom w:val="single" w:sz="4" w:space="0" w:color="auto"/>
            </w:tcBorders>
            <w:vAlign w:val="center"/>
          </w:tcPr>
          <w:p w14:paraId="55D03096" w14:textId="3C1E6E61" w:rsidR="00600206" w:rsidRPr="00267FC2" w:rsidRDefault="00600206" w:rsidP="00684477">
            <w:pPr>
              <w:tabs>
                <w:tab w:val="left" w:pos="432"/>
              </w:tabs>
              <w:spacing w:after="0" w:line="240" w:lineRule="auto"/>
              <w:ind w:left="252" w:hanging="252"/>
              <w:rPr>
                <w:rFonts w:ascii="Times New Roman" w:hAnsi="Times New Roman"/>
                <w:sz w:val="20"/>
                <w:szCs w:val="20"/>
                <w:lang w:val="es-ES"/>
              </w:rPr>
            </w:pPr>
            <w:r>
              <w:rPr>
                <w:rFonts w:ascii="Times New Roman" w:hAnsi="Times New Roman"/>
                <w:color w:val="000000"/>
                <w:sz w:val="20"/>
                <w:szCs w:val="20"/>
                <w:lang w:val="es-ES"/>
              </w:rPr>
              <w:t xml:space="preserve">1.1 </w:t>
            </w:r>
            <w:r w:rsidRPr="00267FC2">
              <w:rPr>
                <w:rFonts w:ascii="Times New Roman" w:hAnsi="Times New Roman"/>
                <w:color w:val="000000"/>
                <w:sz w:val="20"/>
                <w:szCs w:val="20"/>
                <w:lang w:val="es-ES"/>
              </w:rPr>
              <w:t>Modelo de planificación y gestión integrada orie</w:t>
            </w:r>
            <w:r w:rsidRPr="00267FC2">
              <w:rPr>
                <w:rFonts w:ascii="Times New Roman" w:hAnsi="Times New Roman"/>
                <w:color w:val="000000"/>
                <w:sz w:val="20"/>
                <w:szCs w:val="20"/>
                <w:lang w:val="es-ES"/>
              </w:rPr>
              <w:t>n</w:t>
            </w:r>
            <w:r w:rsidRPr="00267FC2">
              <w:rPr>
                <w:rFonts w:ascii="Times New Roman" w:hAnsi="Times New Roman"/>
                <w:color w:val="000000"/>
                <w:sz w:val="20"/>
                <w:szCs w:val="20"/>
                <w:lang w:val="es-ES"/>
              </w:rPr>
              <w:t>tada para resultados de la seguridad pública impl</w:t>
            </w:r>
            <w:r w:rsidRPr="00267FC2">
              <w:rPr>
                <w:rFonts w:ascii="Times New Roman" w:hAnsi="Times New Roman"/>
                <w:color w:val="000000"/>
                <w:sz w:val="20"/>
                <w:szCs w:val="20"/>
                <w:lang w:val="es-ES"/>
              </w:rPr>
              <w:t>e</w:t>
            </w:r>
            <w:r w:rsidRPr="00267FC2">
              <w:rPr>
                <w:rFonts w:ascii="Times New Roman" w:hAnsi="Times New Roman"/>
                <w:color w:val="000000"/>
                <w:sz w:val="20"/>
                <w:szCs w:val="20"/>
                <w:lang w:val="es-ES"/>
              </w:rPr>
              <w:t>mentada y en funcion</w:t>
            </w:r>
            <w:r w:rsidRPr="00267FC2">
              <w:rPr>
                <w:rFonts w:ascii="Times New Roman" w:hAnsi="Times New Roman"/>
                <w:color w:val="000000"/>
                <w:sz w:val="20"/>
                <w:szCs w:val="20"/>
                <w:lang w:val="es-ES"/>
              </w:rPr>
              <w:t>a</w:t>
            </w:r>
            <w:r w:rsidRPr="00267FC2">
              <w:rPr>
                <w:rFonts w:ascii="Times New Roman" w:hAnsi="Times New Roman"/>
                <w:color w:val="000000"/>
                <w:sz w:val="20"/>
                <w:szCs w:val="20"/>
                <w:lang w:val="es-ES"/>
              </w:rPr>
              <w:t>miento.</w:t>
            </w:r>
          </w:p>
        </w:tc>
        <w:tc>
          <w:tcPr>
            <w:tcW w:w="1980" w:type="dxa"/>
            <w:tcBorders>
              <w:bottom w:val="single" w:sz="4" w:space="0" w:color="auto"/>
            </w:tcBorders>
            <w:vAlign w:val="center"/>
          </w:tcPr>
          <w:p w14:paraId="2EE4DC76" w14:textId="2862366F"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color w:val="000000"/>
                <w:sz w:val="20"/>
                <w:szCs w:val="20"/>
                <w:lang w:val="es-ES"/>
              </w:rPr>
              <w:t>Modelo</w:t>
            </w:r>
          </w:p>
        </w:tc>
        <w:tc>
          <w:tcPr>
            <w:tcW w:w="9076" w:type="dxa"/>
            <w:tcBorders>
              <w:bottom w:val="single" w:sz="4" w:space="0" w:color="auto"/>
            </w:tcBorders>
          </w:tcPr>
          <w:p w14:paraId="1CEA58E9" w14:textId="47B81847"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El Modelo consiste en 4 subproductos: (i) Sistema de gestión de la seguridad pública con indicadores y metas; (ii) Plan Estratégico de SP; (iii) Plan Operativo de SP; y (iv) Sistema informatizado para los procedimientos operacionales estandarizados.</w:t>
            </w:r>
            <w:r>
              <w:rPr>
                <w:rFonts w:ascii="Times New Roman" w:hAnsi="Times New Roman"/>
                <w:sz w:val="20"/>
                <w:szCs w:val="20"/>
                <w:lang w:val="es-ES"/>
              </w:rPr>
              <w:t xml:space="preserve"> Se incluye en este subproducto los checklists de estándar de calidad para proc</w:t>
            </w:r>
            <w:r>
              <w:rPr>
                <w:rFonts w:ascii="Times New Roman" w:hAnsi="Times New Roman"/>
                <w:sz w:val="20"/>
                <w:szCs w:val="20"/>
                <w:lang w:val="es-ES"/>
              </w:rPr>
              <w:t>e</w:t>
            </w:r>
            <w:r>
              <w:rPr>
                <w:rFonts w:ascii="Times New Roman" w:hAnsi="Times New Roman"/>
                <w:sz w:val="20"/>
                <w:szCs w:val="20"/>
                <w:lang w:val="es-ES"/>
              </w:rPr>
              <w:t>sos específicos como la investigación criminal.</w:t>
            </w:r>
          </w:p>
        </w:tc>
      </w:tr>
      <w:tr w:rsidR="00600206" w:rsidRPr="000346A8" w14:paraId="2BF4D63B" w14:textId="77777777" w:rsidTr="00684477">
        <w:trPr>
          <w:jc w:val="center"/>
        </w:trPr>
        <w:tc>
          <w:tcPr>
            <w:tcW w:w="2597" w:type="dxa"/>
            <w:tcBorders>
              <w:bottom w:val="single" w:sz="4" w:space="0" w:color="auto"/>
            </w:tcBorders>
            <w:vAlign w:val="center"/>
          </w:tcPr>
          <w:p w14:paraId="5ACF0C3A" w14:textId="0AB93265" w:rsidR="00600206" w:rsidRPr="00267FC2" w:rsidRDefault="00600206" w:rsidP="00600206">
            <w:pPr>
              <w:pStyle w:val="ListParagraph"/>
              <w:numPr>
                <w:ilvl w:val="1"/>
                <w:numId w:val="57"/>
              </w:numPr>
              <w:jc w:val="both"/>
              <w:rPr>
                <w:rFonts w:ascii="Times New Roman" w:hAnsi="Times New Roman"/>
                <w:bCs/>
                <w:sz w:val="20"/>
                <w:szCs w:val="20"/>
                <w:lang w:val="es-ES"/>
              </w:rPr>
            </w:pPr>
            <w:r w:rsidRPr="00267FC2">
              <w:rPr>
                <w:rFonts w:ascii="Times New Roman" w:hAnsi="Times New Roman"/>
                <w:color w:val="000000"/>
                <w:sz w:val="20"/>
                <w:szCs w:val="20"/>
                <w:lang w:val="es-ES"/>
              </w:rPr>
              <w:t>Efectivos policiales c</w:t>
            </w:r>
            <w:r w:rsidRPr="00267FC2">
              <w:rPr>
                <w:rFonts w:ascii="Times New Roman" w:hAnsi="Times New Roman"/>
                <w:color w:val="000000"/>
                <w:sz w:val="20"/>
                <w:szCs w:val="20"/>
                <w:lang w:val="es-ES"/>
              </w:rPr>
              <w:t>a</w:t>
            </w:r>
            <w:r w:rsidRPr="00267FC2">
              <w:rPr>
                <w:rFonts w:ascii="Times New Roman" w:hAnsi="Times New Roman"/>
                <w:color w:val="000000"/>
                <w:sz w:val="20"/>
                <w:szCs w:val="20"/>
                <w:lang w:val="es-ES"/>
              </w:rPr>
              <w:t>pacitados en atención a la comunidad, derechos humanos y análisis cr</w:t>
            </w:r>
            <w:r w:rsidRPr="00267FC2">
              <w:rPr>
                <w:rFonts w:ascii="Times New Roman" w:hAnsi="Times New Roman"/>
                <w:color w:val="000000"/>
                <w:sz w:val="20"/>
                <w:szCs w:val="20"/>
                <w:lang w:val="es-ES"/>
              </w:rPr>
              <w:t>i</w:t>
            </w:r>
            <w:r w:rsidRPr="00267FC2">
              <w:rPr>
                <w:rFonts w:ascii="Times New Roman" w:hAnsi="Times New Roman"/>
                <w:color w:val="000000"/>
                <w:sz w:val="20"/>
                <w:szCs w:val="20"/>
                <w:lang w:val="es-ES"/>
              </w:rPr>
              <w:t>minal, utilizando sus nuevas competencias adquiridas.</w:t>
            </w:r>
          </w:p>
          <w:p w14:paraId="6E135A8C" w14:textId="7251FA42" w:rsidR="00600206" w:rsidRPr="00267FC2" w:rsidRDefault="00600206" w:rsidP="00684477">
            <w:pPr>
              <w:tabs>
                <w:tab w:val="left" w:pos="432"/>
              </w:tabs>
              <w:spacing w:after="0" w:line="240" w:lineRule="auto"/>
              <w:ind w:left="252" w:hanging="252"/>
              <w:rPr>
                <w:rFonts w:ascii="Times New Roman" w:hAnsi="Times New Roman"/>
                <w:sz w:val="20"/>
                <w:szCs w:val="20"/>
                <w:lang w:val="es-ES"/>
              </w:rPr>
            </w:pPr>
          </w:p>
        </w:tc>
        <w:tc>
          <w:tcPr>
            <w:tcW w:w="1980" w:type="dxa"/>
            <w:tcBorders>
              <w:bottom w:val="single" w:sz="4" w:space="0" w:color="auto"/>
            </w:tcBorders>
            <w:vAlign w:val="center"/>
          </w:tcPr>
          <w:p w14:paraId="7785AFE8" w14:textId="5414E6FC"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color w:val="000000"/>
                <w:sz w:val="20"/>
                <w:szCs w:val="20"/>
                <w:lang w:val="es-ES"/>
              </w:rPr>
              <w:t>Efectivos</w:t>
            </w:r>
          </w:p>
        </w:tc>
        <w:tc>
          <w:tcPr>
            <w:tcW w:w="9076" w:type="dxa"/>
            <w:tcBorders>
              <w:bottom w:val="single" w:sz="4" w:space="0" w:color="auto"/>
            </w:tcBorders>
          </w:tcPr>
          <w:p w14:paraId="5EBA4BA5" w14:textId="7C882ECF"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Se capacitarán 2618 agentes de la PM, PTC y PC: (i) 565 efectivos de la PM en Policía comunitaria; (ii) 600 peritos en la elaboración de laudos vinculados principalmente a la escena del crimen, identificación y labor</w:t>
            </w:r>
            <w:r w:rsidRPr="00267FC2">
              <w:rPr>
                <w:rFonts w:ascii="Times New Roman" w:hAnsi="Times New Roman"/>
                <w:sz w:val="20"/>
                <w:szCs w:val="20"/>
                <w:lang w:val="es-ES"/>
              </w:rPr>
              <w:t>a</w:t>
            </w:r>
            <w:r w:rsidRPr="00267FC2">
              <w:rPr>
                <w:rFonts w:ascii="Times New Roman" w:hAnsi="Times New Roman"/>
                <w:sz w:val="20"/>
                <w:szCs w:val="20"/>
                <w:lang w:val="es-ES"/>
              </w:rPr>
              <w:t xml:space="preserve">torio; y 1453 nuevos agentes de la policía civil (1130 investigadores y 323 delegados).    </w:t>
            </w:r>
          </w:p>
        </w:tc>
      </w:tr>
      <w:tr w:rsidR="00600206" w:rsidRPr="000346A8" w14:paraId="31EC6ED3"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6ACB4E60" w14:textId="119AC833" w:rsidR="00600206" w:rsidRPr="00267FC2" w:rsidRDefault="00600206" w:rsidP="00600206">
            <w:pPr>
              <w:numPr>
                <w:ilvl w:val="1"/>
                <w:numId w:val="57"/>
              </w:numPr>
              <w:tabs>
                <w:tab w:val="left" w:pos="432"/>
              </w:tabs>
              <w:spacing w:after="0" w:line="240" w:lineRule="auto"/>
              <w:rPr>
                <w:rFonts w:ascii="Times New Roman" w:hAnsi="Times New Roman"/>
                <w:sz w:val="20"/>
                <w:szCs w:val="20"/>
                <w:lang w:val="es-ES"/>
              </w:rPr>
            </w:pPr>
            <w:r w:rsidRPr="00267FC2">
              <w:rPr>
                <w:rFonts w:ascii="Times New Roman" w:hAnsi="Times New Roman"/>
                <w:color w:val="000000"/>
                <w:sz w:val="20"/>
                <w:szCs w:val="20"/>
                <w:lang w:val="es-ES"/>
              </w:rPr>
              <w:t>Núcleos de Policía C</w:t>
            </w:r>
            <w:r w:rsidRPr="00267FC2">
              <w:rPr>
                <w:rFonts w:ascii="Times New Roman" w:hAnsi="Times New Roman"/>
                <w:color w:val="000000"/>
                <w:sz w:val="20"/>
                <w:szCs w:val="20"/>
                <w:lang w:val="es-ES"/>
              </w:rPr>
              <w:t>o</w:t>
            </w:r>
            <w:r w:rsidRPr="00267FC2">
              <w:rPr>
                <w:rFonts w:ascii="Times New Roman" w:hAnsi="Times New Roman"/>
                <w:color w:val="000000"/>
                <w:sz w:val="20"/>
                <w:szCs w:val="20"/>
                <w:lang w:val="es-ES"/>
              </w:rPr>
              <w:t>munitaria implantados y en funcionamiento con efectivos policiales c</w:t>
            </w:r>
            <w:r w:rsidRPr="00267FC2">
              <w:rPr>
                <w:rFonts w:ascii="Times New Roman" w:hAnsi="Times New Roman"/>
                <w:color w:val="000000"/>
                <w:sz w:val="20"/>
                <w:szCs w:val="20"/>
                <w:lang w:val="es-ES"/>
              </w:rPr>
              <w:t>a</w:t>
            </w:r>
            <w:r w:rsidRPr="00267FC2">
              <w:rPr>
                <w:rFonts w:ascii="Times New Roman" w:hAnsi="Times New Roman"/>
                <w:color w:val="000000"/>
                <w:sz w:val="20"/>
                <w:szCs w:val="20"/>
                <w:lang w:val="es-ES"/>
              </w:rPr>
              <w:t>pacitados y equipamie</w:t>
            </w:r>
            <w:r w:rsidRPr="00267FC2">
              <w:rPr>
                <w:rFonts w:ascii="Times New Roman" w:hAnsi="Times New Roman"/>
                <w:color w:val="000000"/>
                <w:sz w:val="20"/>
                <w:szCs w:val="20"/>
                <w:lang w:val="es-ES"/>
              </w:rPr>
              <w:t>n</w:t>
            </w:r>
            <w:r w:rsidRPr="00267FC2">
              <w:rPr>
                <w:rFonts w:ascii="Times New Roman" w:hAnsi="Times New Roman"/>
                <w:color w:val="000000"/>
                <w:sz w:val="20"/>
                <w:szCs w:val="20"/>
                <w:lang w:val="es-ES"/>
              </w:rPr>
              <w:t>to adecuado para la ej</w:t>
            </w:r>
            <w:r w:rsidRPr="00267FC2">
              <w:rPr>
                <w:rFonts w:ascii="Times New Roman" w:hAnsi="Times New Roman"/>
                <w:color w:val="000000"/>
                <w:sz w:val="20"/>
                <w:szCs w:val="20"/>
                <w:lang w:val="es-ES"/>
              </w:rPr>
              <w:t>e</w:t>
            </w:r>
            <w:r w:rsidRPr="00267FC2">
              <w:rPr>
                <w:rFonts w:ascii="Times New Roman" w:hAnsi="Times New Roman"/>
                <w:color w:val="000000"/>
                <w:sz w:val="20"/>
                <w:szCs w:val="20"/>
                <w:lang w:val="es-ES"/>
              </w:rPr>
              <w:t xml:space="preserve">cución de funciones de policía comunitaria. </w:t>
            </w:r>
          </w:p>
        </w:tc>
        <w:tc>
          <w:tcPr>
            <w:tcW w:w="1980" w:type="dxa"/>
            <w:tcBorders>
              <w:top w:val="single" w:sz="4" w:space="0" w:color="auto"/>
              <w:left w:val="single" w:sz="4" w:space="0" w:color="auto"/>
              <w:bottom w:val="single" w:sz="4" w:space="0" w:color="auto"/>
              <w:right w:val="single" w:sz="4" w:space="0" w:color="auto"/>
            </w:tcBorders>
            <w:vAlign w:val="center"/>
          </w:tcPr>
          <w:p w14:paraId="148ABAE1" w14:textId="0BD548B6"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color w:val="000000"/>
                <w:sz w:val="20"/>
                <w:szCs w:val="20"/>
                <w:lang w:val="es-ES"/>
              </w:rPr>
              <w:t>Núcleos</w:t>
            </w:r>
          </w:p>
        </w:tc>
        <w:tc>
          <w:tcPr>
            <w:tcW w:w="9076" w:type="dxa"/>
            <w:tcBorders>
              <w:top w:val="single" w:sz="4" w:space="0" w:color="auto"/>
              <w:left w:val="single" w:sz="4" w:space="0" w:color="auto"/>
              <w:bottom w:val="single" w:sz="4" w:space="0" w:color="auto"/>
              <w:right w:val="single" w:sz="4" w:space="0" w:color="auto"/>
            </w:tcBorders>
          </w:tcPr>
          <w:p w14:paraId="293002E9" w14:textId="05689B5E"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Los núcleos de policía comunitaria a ser implementado en los 14 aglomerados de  los 8 municipios, incluirán: 565 efectivos de la PM asignados a los territorios de manera permanente; 102 patrullas, 102 camionetas; 204 motocicletas;</w:t>
            </w:r>
            <w:r w:rsidR="00C03409">
              <w:rPr>
                <w:rFonts w:ascii="Times New Roman" w:hAnsi="Times New Roman"/>
                <w:sz w:val="20"/>
                <w:szCs w:val="20"/>
                <w:lang w:val="es-ES"/>
              </w:rPr>
              <w:t xml:space="preserve"> </w:t>
            </w:r>
            <w:r w:rsidRPr="00267FC2">
              <w:rPr>
                <w:rFonts w:ascii="Times New Roman" w:hAnsi="Times New Roman"/>
                <w:sz w:val="20"/>
                <w:szCs w:val="20"/>
                <w:lang w:val="es-ES"/>
              </w:rPr>
              <w:t xml:space="preserve">184 bicicletas;16 puestos móviles comunitarios; y 235 equipos de radio comunicación portátil. </w:t>
            </w:r>
          </w:p>
        </w:tc>
      </w:tr>
      <w:tr w:rsidR="00600206" w:rsidRPr="000346A8" w14:paraId="4D7BA1D0"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566467BF" w14:textId="47D52AD8" w:rsidR="00600206" w:rsidRPr="00267FC2" w:rsidRDefault="00600206" w:rsidP="00600206">
            <w:pPr>
              <w:numPr>
                <w:ilvl w:val="1"/>
                <w:numId w:val="57"/>
              </w:numPr>
              <w:tabs>
                <w:tab w:val="left" w:pos="432"/>
              </w:tabs>
              <w:spacing w:after="0" w:line="240" w:lineRule="auto"/>
              <w:rPr>
                <w:rFonts w:ascii="Times New Roman" w:hAnsi="Times New Roman"/>
                <w:sz w:val="20"/>
                <w:szCs w:val="20"/>
                <w:lang w:val="es-ES"/>
              </w:rPr>
            </w:pPr>
            <w:r w:rsidRPr="00267FC2">
              <w:rPr>
                <w:rFonts w:ascii="Times New Roman" w:hAnsi="Times New Roman"/>
                <w:color w:val="000000"/>
                <w:sz w:val="20"/>
                <w:szCs w:val="20"/>
                <w:lang w:val="es-ES"/>
              </w:rPr>
              <w:t>Centro integrado de Pericia Técnica-Científica de ES, con</w:t>
            </w:r>
            <w:r w:rsidRPr="00267FC2">
              <w:rPr>
                <w:rFonts w:ascii="Times New Roman" w:hAnsi="Times New Roman"/>
                <w:color w:val="000000"/>
                <w:sz w:val="20"/>
                <w:szCs w:val="20"/>
                <w:lang w:val="es-ES"/>
              </w:rPr>
              <w:t>s</w:t>
            </w:r>
            <w:r w:rsidRPr="00267FC2">
              <w:rPr>
                <w:rFonts w:ascii="Times New Roman" w:hAnsi="Times New Roman"/>
                <w:color w:val="000000"/>
                <w:sz w:val="20"/>
                <w:szCs w:val="20"/>
                <w:lang w:val="es-ES"/>
              </w:rPr>
              <w:t>truido, equipado y en funcionamiento.</w:t>
            </w:r>
          </w:p>
        </w:tc>
        <w:tc>
          <w:tcPr>
            <w:tcW w:w="1980" w:type="dxa"/>
            <w:tcBorders>
              <w:top w:val="single" w:sz="4" w:space="0" w:color="auto"/>
              <w:left w:val="single" w:sz="4" w:space="0" w:color="auto"/>
              <w:bottom w:val="single" w:sz="4" w:space="0" w:color="auto"/>
              <w:right w:val="single" w:sz="4" w:space="0" w:color="auto"/>
            </w:tcBorders>
            <w:vAlign w:val="center"/>
          </w:tcPr>
          <w:p w14:paraId="64ECF515" w14:textId="5E8D694A"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color w:val="000000"/>
                <w:sz w:val="20"/>
                <w:szCs w:val="20"/>
                <w:lang w:val="es-ES"/>
              </w:rPr>
              <w:t>Centro</w:t>
            </w:r>
          </w:p>
        </w:tc>
        <w:tc>
          <w:tcPr>
            <w:tcW w:w="9076" w:type="dxa"/>
            <w:tcBorders>
              <w:top w:val="single" w:sz="4" w:space="0" w:color="auto"/>
              <w:left w:val="single" w:sz="4" w:space="0" w:color="auto"/>
              <w:bottom w:val="single" w:sz="4" w:space="0" w:color="auto"/>
              <w:right w:val="single" w:sz="4" w:space="0" w:color="auto"/>
            </w:tcBorders>
          </w:tcPr>
          <w:p w14:paraId="27359F18" w14:textId="77777777"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Definir el padrón requerido. </w:t>
            </w:r>
          </w:p>
          <w:p w14:paraId="718319A4" w14:textId="4F25352F"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El Equipo del Centro será adquirido por el Gobierno con recursos del aporte local.</w:t>
            </w:r>
          </w:p>
        </w:tc>
      </w:tr>
      <w:tr w:rsidR="00600206" w:rsidRPr="000346A8" w14:paraId="77C354A9"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1AFB7E5C" w14:textId="4D63F84D" w:rsidR="00600206" w:rsidRPr="00267FC2" w:rsidRDefault="00600206" w:rsidP="00600206">
            <w:pPr>
              <w:numPr>
                <w:ilvl w:val="1"/>
                <w:numId w:val="57"/>
              </w:numPr>
              <w:tabs>
                <w:tab w:val="left" w:pos="432"/>
              </w:tabs>
              <w:spacing w:after="0" w:line="240" w:lineRule="auto"/>
              <w:rPr>
                <w:rFonts w:ascii="Times New Roman" w:hAnsi="Times New Roman"/>
                <w:sz w:val="20"/>
                <w:szCs w:val="20"/>
                <w:lang w:val="es-ES"/>
              </w:rPr>
            </w:pPr>
            <w:r w:rsidRPr="00267FC2">
              <w:rPr>
                <w:rFonts w:ascii="Times New Roman" w:hAnsi="Times New Roman"/>
                <w:color w:val="000000"/>
                <w:sz w:val="20"/>
                <w:szCs w:val="20"/>
                <w:lang w:val="es-ES"/>
              </w:rPr>
              <w:t>Consejos Comunitarios de Seguridad en los M</w:t>
            </w:r>
            <w:r w:rsidRPr="00267FC2">
              <w:rPr>
                <w:rFonts w:ascii="Times New Roman" w:hAnsi="Times New Roman"/>
                <w:color w:val="000000"/>
                <w:sz w:val="20"/>
                <w:szCs w:val="20"/>
                <w:lang w:val="es-ES"/>
              </w:rPr>
              <w:t>u</w:t>
            </w:r>
            <w:r w:rsidRPr="00267FC2">
              <w:rPr>
                <w:rFonts w:ascii="Times New Roman" w:hAnsi="Times New Roman"/>
                <w:color w:val="000000"/>
                <w:sz w:val="20"/>
                <w:szCs w:val="20"/>
                <w:lang w:val="es-ES"/>
              </w:rPr>
              <w:t>nicipios del Programa fortalecidos y en funci</w:t>
            </w:r>
            <w:r w:rsidRPr="00267FC2">
              <w:rPr>
                <w:rFonts w:ascii="Times New Roman" w:hAnsi="Times New Roman"/>
                <w:color w:val="000000"/>
                <w:sz w:val="20"/>
                <w:szCs w:val="20"/>
                <w:lang w:val="es-ES"/>
              </w:rPr>
              <w:t>o</w:t>
            </w:r>
            <w:r w:rsidRPr="00267FC2">
              <w:rPr>
                <w:rFonts w:ascii="Times New Roman" w:hAnsi="Times New Roman"/>
                <w:color w:val="000000"/>
                <w:sz w:val="20"/>
                <w:szCs w:val="20"/>
                <w:lang w:val="es-ES"/>
              </w:rPr>
              <w:t>namiento.</w:t>
            </w:r>
          </w:p>
        </w:tc>
        <w:tc>
          <w:tcPr>
            <w:tcW w:w="1980" w:type="dxa"/>
            <w:tcBorders>
              <w:top w:val="single" w:sz="4" w:space="0" w:color="auto"/>
              <w:left w:val="single" w:sz="4" w:space="0" w:color="auto"/>
              <w:bottom w:val="single" w:sz="4" w:space="0" w:color="auto"/>
              <w:right w:val="single" w:sz="4" w:space="0" w:color="auto"/>
            </w:tcBorders>
            <w:vAlign w:val="center"/>
          </w:tcPr>
          <w:p w14:paraId="3D2B4213" w14:textId="7B9CA527"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color w:val="000000"/>
                <w:sz w:val="20"/>
                <w:szCs w:val="20"/>
                <w:lang w:val="es-ES"/>
              </w:rPr>
              <w:t>Consejos</w:t>
            </w:r>
          </w:p>
        </w:tc>
        <w:tc>
          <w:tcPr>
            <w:tcW w:w="9076" w:type="dxa"/>
            <w:tcBorders>
              <w:top w:val="single" w:sz="4" w:space="0" w:color="auto"/>
              <w:left w:val="single" w:sz="4" w:space="0" w:color="auto"/>
              <w:bottom w:val="single" w:sz="4" w:space="0" w:color="auto"/>
              <w:right w:val="single" w:sz="4" w:space="0" w:color="auto"/>
            </w:tcBorders>
          </w:tcPr>
          <w:p w14:paraId="3F92A4A6" w14:textId="61762144"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Los Consejos son instancias formales de deliberación constituidas por representantes de las comunidad y de la policía con el fin de discutir, evaluar y proponer mejoras en los servicios de seguridad que reciben de la Pol</w:t>
            </w:r>
            <w:r w:rsidRPr="00267FC2">
              <w:rPr>
                <w:rFonts w:ascii="Times New Roman" w:hAnsi="Times New Roman"/>
                <w:sz w:val="20"/>
                <w:szCs w:val="20"/>
                <w:lang w:val="es-ES"/>
              </w:rPr>
              <w:t>i</w:t>
            </w:r>
            <w:r w:rsidRPr="00267FC2">
              <w:rPr>
                <w:rFonts w:ascii="Times New Roman" w:hAnsi="Times New Roman"/>
                <w:sz w:val="20"/>
                <w:szCs w:val="20"/>
                <w:lang w:val="es-ES"/>
              </w:rPr>
              <w:t>cía en su comunidad y brindar retroalimentación para mejorar dichos servicios. Los Consejos operarán en los CC y en sus actividades principales: las reunirse mensuales registrando sus conclusiones, acuerdos y rec</w:t>
            </w:r>
            <w:r w:rsidRPr="00267FC2">
              <w:rPr>
                <w:rFonts w:ascii="Times New Roman" w:hAnsi="Times New Roman"/>
                <w:sz w:val="20"/>
                <w:szCs w:val="20"/>
                <w:lang w:val="es-ES"/>
              </w:rPr>
              <w:t>o</w:t>
            </w:r>
            <w:r w:rsidRPr="00267FC2">
              <w:rPr>
                <w:rFonts w:ascii="Times New Roman" w:hAnsi="Times New Roman"/>
                <w:sz w:val="20"/>
                <w:szCs w:val="20"/>
                <w:lang w:val="es-ES"/>
              </w:rPr>
              <w:t>mendaciones. Se elaborará un modelo de    Plan de trabajo y un  Reglamento Operativo estandarizado para todos los Consejos.</w:t>
            </w:r>
          </w:p>
        </w:tc>
      </w:tr>
      <w:tr w:rsidR="00600206" w:rsidRPr="000346A8" w14:paraId="1FC30E8D"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376E3218" w14:textId="2CDC5A64" w:rsidR="00600206" w:rsidRPr="00267FC2" w:rsidRDefault="00600206" w:rsidP="00600206">
            <w:pPr>
              <w:numPr>
                <w:ilvl w:val="1"/>
                <w:numId w:val="57"/>
              </w:numPr>
              <w:tabs>
                <w:tab w:val="left" w:pos="432"/>
              </w:tabs>
              <w:spacing w:after="0" w:line="240" w:lineRule="auto"/>
              <w:rPr>
                <w:rFonts w:ascii="Times New Roman" w:hAnsi="Times New Roman"/>
                <w:sz w:val="20"/>
                <w:szCs w:val="20"/>
                <w:lang w:val="es-ES"/>
              </w:rPr>
            </w:pPr>
            <w:r w:rsidRPr="00267FC2">
              <w:rPr>
                <w:rFonts w:ascii="Times New Roman" w:hAnsi="Times New Roman"/>
                <w:color w:val="000000"/>
                <w:sz w:val="20"/>
                <w:szCs w:val="20"/>
                <w:lang w:val="es-ES"/>
              </w:rPr>
              <w:t>Certificación</w:t>
            </w:r>
            <w:r>
              <w:rPr>
                <w:rFonts w:ascii="Times New Roman" w:hAnsi="Times New Roman"/>
                <w:color w:val="000000"/>
                <w:sz w:val="20"/>
                <w:szCs w:val="20"/>
                <w:lang w:val="es-ES"/>
              </w:rPr>
              <w:t xml:space="preserve"> semestral</w:t>
            </w:r>
            <w:r w:rsidRPr="00267FC2">
              <w:rPr>
                <w:rFonts w:ascii="Times New Roman" w:hAnsi="Times New Roman"/>
                <w:color w:val="000000"/>
                <w:sz w:val="20"/>
                <w:szCs w:val="20"/>
                <w:lang w:val="es-ES"/>
              </w:rPr>
              <w:t xml:space="preserve"> del adecuado funcion</w:t>
            </w:r>
            <w:r w:rsidRPr="00267FC2">
              <w:rPr>
                <w:rFonts w:ascii="Times New Roman" w:hAnsi="Times New Roman"/>
                <w:color w:val="000000"/>
                <w:sz w:val="20"/>
                <w:szCs w:val="20"/>
                <w:lang w:val="es-ES"/>
              </w:rPr>
              <w:t>a</w:t>
            </w:r>
            <w:r w:rsidRPr="00267FC2">
              <w:rPr>
                <w:rFonts w:ascii="Times New Roman" w:hAnsi="Times New Roman"/>
                <w:color w:val="000000"/>
                <w:sz w:val="20"/>
                <w:szCs w:val="20"/>
                <w:lang w:val="es-ES"/>
              </w:rPr>
              <w:t>miento del control i</w:t>
            </w:r>
            <w:r w:rsidRPr="00267FC2">
              <w:rPr>
                <w:rFonts w:ascii="Times New Roman" w:hAnsi="Times New Roman"/>
                <w:color w:val="000000"/>
                <w:sz w:val="20"/>
                <w:szCs w:val="20"/>
                <w:lang w:val="es-ES"/>
              </w:rPr>
              <w:t>n</w:t>
            </w:r>
            <w:r w:rsidRPr="00267FC2">
              <w:rPr>
                <w:rFonts w:ascii="Times New Roman" w:hAnsi="Times New Roman"/>
                <w:color w:val="000000"/>
                <w:sz w:val="20"/>
                <w:szCs w:val="20"/>
                <w:lang w:val="es-ES"/>
              </w:rPr>
              <w:t>terno y externo de la p</w:t>
            </w:r>
            <w:r w:rsidRPr="00267FC2">
              <w:rPr>
                <w:rFonts w:ascii="Times New Roman" w:hAnsi="Times New Roman"/>
                <w:color w:val="000000"/>
                <w:sz w:val="20"/>
                <w:szCs w:val="20"/>
                <w:lang w:val="es-ES"/>
              </w:rPr>
              <w:t>o</w:t>
            </w:r>
            <w:r w:rsidRPr="00267FC2">
              <w:rPr>
                <w:rFonts w:ascii="Times New Roman" w:hAnsi="Times New Roman"/>
                <w:color w:val="000000"/>
                <w:sz w:val="20"/>
                <w:szCs w:val="20"/>
                <w:lang w:val="es-ES"/>
              </w:rPr>
              <w:t>licía en los territorios del Programa.</w:t>
            </w:r>
          </w:p>
        </w:tc>
        <w:tc>
          <w:tcPr>
            <w:tcW w:w="1980" w:type="dxa"/>
            <w:tcBorders>
              <w:top w:val="single" w:sz="4" w:space="0" w:color="auto"/>
              <w:left w:val="single" w:sz="4" w:space="0" w:color="auto"/>
              <w:bottom w:val="single" w:sz="4" w:space="0" w:color="auto"/>
              <w:right w:val="single" w:sz="4" w:space="0" w:color="auto"/>
            </w:tcBorders>
            <w:vAlign w:val="center"/>
          </w:tcPr>
          <w:p w14:paraId="198487BB" w14:textId="08627AD6"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color w:val="000000"/>
                <w:sz w:val="20"/>
                <w:szCs w:val="20"/>
                <w:lang w:val="es-ES"/>
              </w:rPr>
              <w:t>Certificación</w:t>
            </w:r>
          </w:p>
        </w:tc>
        <w:tc>
          <w:tcPr>
            <w:tcW w:w="9076" w:type="dxa"/>
            <w:tcBorders>
              <w:top w:val="single" w:sz="4" w:space="0" w:color="auto"/>
              <w:left w:val="single" w:sz="4" w:space="0" w:color="auto"/>
              <w:bottom w:val="single" w:sz="4" w:space="0" w:color="auto"/>
              <w:right w:val="single" w:sz="4" w:space="0" w:color="auto"/>
            </w:tcBorders>
          </w:tcPr>
          <w:p w14:paraId="0C57CF94" w14:textId="7664A3D2"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Certificación </w:t>
            </w:r>
            <w:r>
              <w:rPr>
                <w:rFonts w:ascii="Times New Roman" w:hAnsi="Times New Roman"/>
                <w:sz w:val="20"/>
                <w:szCs w:val="20"/>
                <w:lang w:val="es-ES"/>
              </w:rPr>
              <w:t xml:space="preserve">de la </w:t>
            </w:r>
            <w:r w:rsidR="000346A8">
              <w:rPr>
                <w:rFonts w:ascii="Times New Roman" w:hAnsi="Times New Roman"/>
                <w:sz w:val="20"/>
                <w:szCs w:val="20"/>
                <w:lang w:val="es-ES"/>
              </w:rPr>
              <w:t>ONUDD</w:t>
            </w:r>
            <w:r>
              <w:rPr>
                <w:rFonts w:ascii="Times New Roman" w:hAnsi="Times New Roman"/>
                <w:sz w:val="20"/>
                <w:szCs w:val="20"/>
                <w:lang w:val="es-ES"/>
              </w:rPr>
              <w:t xml:space="preserve"> de que el desempeño de la policía en sus funciones de policía comunitaria en los territorios del Programa se realiza conforme </w:t>
            </w:r>
            <w:r w:rsidRPr="00267FC2">
              <w:rPr>
                <w:rFonts w:ascii="Times New Roman" w:hAnsi="Times New Roman"/>
                <w:sz w:val="20"/>
                <w:szCs w:val="20"/>
                <w:lang w:val="es-ES"/>
              </w:rPr>
              <w:t>los procedimientos establecidos por Ley</w:t>
            </w:r>
            <w:r>
              <w:rPr>
                <w:rFonts w:ascii="Times New Roman" w:hAnsi="Times New Roman"/>
                <w:sz w:val="20"/>
                <w:szCs w:val="20"/>
                <w:lang w:val="es-ES"/>
              </w:rPr>
              <w:t xml:space="preserve"> vinculado al uso apr</w:t>
            </w:r>
            <w:r>
              <w:rPr>
                <w:rFonts w:ascii="Times New Roman" w:hAnsi="Times New Roman"/>
                <w:sz w:val="20"/>
                <w:szCs w:val="20"/>
                <w:lang w:val="es-ES"/>
              </w:rPr>
              <w:t>o</w:t>
            </w:r>
            <w:r>
              <w:rPr>
                <w:rFonts w:ascii="Times New Roman" w:hAnsi="Times New Roman"/>
                <w:sz w:val="20"/>
                <w:szCs w:val="20"/>
                <w:lang w:val="es-ES"/>
              </w:rPr>
              <w:t>piado de la fuerza. La certificación abarcará los 14 aglomerados donde el Programa desarrollará sus activid</w:t>
            </w:r>
            <w:r>
              <w:rPr>
                <w:rFonts w:ascii="Times New Roman" w:hAnsi="Times New Roman"/>
                <w:sz w:val="20"/>
                <w:szCs w:val="20"/>
                <w:lang w:val="es-ES"/>
              </w:rPr>
              <w:t>a</w:t>
            </w:r>
            <w:r>
              <w:rPr>
                <w:rFonts w:ascii="Times New Roman" w:hAnsi="Times New Roman"/>
                <w:sz w:val="20"/>
                <w:szCs w:val="20"/>
                <w:lang w:val="es-ES"/>
              </w:rPr>
              <w:t xml:space="preserve">des de policía comunitaria. Esta certificación consiste en informes que la </w:t>
            </w:r>
            <w:r w:rsidR="000346A8">
              <w:rPr>
                <w:rFonts w:ascii="Times New Roman" w:hAnsi="Times New Roman"/>
                <w:sz w:val="20"/>
                <w:szCs w:val="20"/>
                <w:lang w:val="es-ES"/>
              </w:rPr>
              <w:t>ONUDD</w:t>
            </w:r>
            <w:r>
              <w:rPr>
                <w:rFonts w:ascii="Times New Roman" w:hAnsi="Times New Roman"/>
                <w:sz w:val="20"/>
                <w:szCs w:val="20"/>
                <w:lang w:val="es-ES"/>
              </w:rPr>
              <w:t xml:space="preserve"> va presentar semestralme</w:t>
            </w:r>
            <w:r>
              <w:rPr>
                <w:rFonts w:ascii="Times New Roman" w:hAnsi="Times New Roman"/>
                <w:sz w:val="20"/>
                <w:szCs w:val="20"/>
                <w:lang w:val="es-ES"/>
              </w:rPr>
              <w:t>n</w:t>
            </w:r>
            <w:r>
              <w:rPr>
                <w:rFonts w:ascii="Times New Roman" w:hAnsi="Times New Roman"/>
                <w:sz w:val="20"/>
                <w:szCs w:val="20"/>
                <w:lang w:val="es-ES"/>
              </w:rPr>
              <w:t>te.</w:t>
            </w:r>
          </w:p>
        </w:tc>
      </w:tr>
    </w:tbl>
    <w:p w14:paraId="18792178" w14:textId="77777777" w:rsidR="00600206" w:rsidRDefault="00600206" w:rsidP="00600206">
      <w:pPr>
        <w:spacing w:after="0" w:line="240" w:lineRule="auto"/>
        <w:jc w:val="center"/>
        <w:rPr>
          <w:rFonts w:ascii="Times New Roman" w:hAnsi="Times New Roman"/>
          <w:b/>
          <w:sz w:val="20"/>
          <w:szCs w:val="20"/>
          <w:u w:val="single"/>
          <w:lang w:val="es-ES"/>
        </w:rPr>
      </w:pPr>
    </w:p>
    <w:p w14:paraId="17B511D0" w14:textId="77777777" w:rsidR="00600206" w:rsidRPr="00267FC2" w:rsidRDefault="00600206" w:rsidP="00600206">
      <w:pPr>
        <w:spacing w:after="0" w:line="240" w:lineRule="auto"/>
        <w:rPr>
          <w:rFonts w:ascii="Times New Roman" w:hAnsi="Times New Roman"/>
          <w:b/>
          <w:sz w:val="20"/>
          <w:szCs w:val="20"/>
          <w:u w:val="single"/>
          <w:lang w:val="es-ES"/>
        </w:rPr>
      </w:pPr>
      <w:r w:rsidRPr="00267FC2">
        <w:rPr>
          <w:rFonts w:ascii="Times New Roman" w:hAnsi="Times New Roman"/>
          <w:b/>
          <w:sz w:val="20"/>
          <w:szCs w:val="20"/>
          <w:u w:val="single"/>
          <w:lang w:val="es-ES"/>
        </w:rPr>
        <w:t>Componente 2: Prevención social de la violencia para la población joven</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600206" w:rsidRPr="00957EFA" w14:paraId="5AD10911" w14:textId="77777777" w:rsidTr="00684477">
        <w:trPr>
          <w:jc w:val="center"/>
        </w:trPr>
        <w:tc>
          <w:tcPr>
            <w:tcW w:w="2597" w:type="dxa"/>
            <w:tcBorders>
              <w:bottom w:val="single" w:sz="4" w:space="0" w:color="auto"/>
            </w:tcBorders>
            <w:shd w:val="clear" w:color="auto" w:fill="D6E3BC" w:themeFill="accent3" w:themeFillTint="66"/>
            <w:vAlign w:val="center"/>
          </w:tcPr>
          <w:p w14:paraId="5F1A7D20" w14:textId="77777777" w:rsidR="00600206" w:rsidRPr="00D467B6" w:rsidRDefault="00600206"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163F2073" w14:textId="77777777" w:rsidR="00600206" w:rsidRPr="00D467B6" w:rsidRDefault="00600206"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0ECC9DDE" w14:textId="77777777" w:rsidR="00600206" w:rsidRPr="00D467B6" w:rsidRDefault="00600206"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600206" w:rsidRPr="000346A8" w14:paraId="4F0346F0" w14:textId="77777777" w:rsidTr="00684477">
        <w:trPr>
          <w:jc w:val="center"/>
        </w:trPr>
        <w:tc>
          <w:tcPr>
            <w:tcW w:w="2597" w:type="dxa"/>
            <w:tcBorders>
              <w:bottom w:val="single" w:sz="4" w:space="0" w:color="auto"/>
            </w:tcBorders>
            <w:vAlign w:val="center"/>
          </w:tcPr>
          <w:p w14:paraId="2055AC97" w14:textId="30DAA205" w:rsidR="00600206" w:rsidRPr="00267FC2" w:rsidRDefault="0060020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2.1 Establecimiento de una red</w:t>
            </w:r>
            <w:r>
              <w:rPr>
                <w:rFonts w:ascii="Times New Roman" w:hAnsi="Times New Roman"/>
                <w:sz w:val="20"/>
                <w:szCs w:val="20"/>
                <w:lang w:val="es-ES"/>
              </w:rPr>
              <w:t xml:space="preserve"> con 15 centros com</w:t>
            </w:r>
            <w:r>
              <w:rPr>
                <w:rFonts w:ascii="Times New Roman" w:hAnsi="Times New Roman"/>
                <w:sz w:val="20"/>
                <w:szCs w:val="20"/>
                <w:lang w:val="es-ES"/>
              </w:rPr>
              <w:t>u</w:t>
            </w:r>
            <w:r>
              <w:rPr>
                <w:rFonts w:ascii="Times New Roman" w:hAnsi="Times New Roman"/>
                <w:sz w:val="20"/>
                <w:szCs w:val="20"/>
                <w:lang w:val="es-ES"/>
              </w:rPr>
              <w:t xml:space="preserve">nitarios </w:t>
            </w:r>
            <w:r w:rsidRPr="00267FC2">
              <w:rPr>
                <w:rFonts w:ascii="Times New Roman" w:hAnsi="Times New Roman"/>
                <w:sz w:val="20"/>
                <w:szCs w:val="20"/>
                <w:lang w:val="es-ES"/>
              </w:rPr>
              <w:t xml:space="preserve"> de  servicios de prevención de  la viole</w:t>
            </w:r>
            <w:r w:rsidRPr="00267FC2">
              <w:rPr>
                <w:rFonts w:ascii="Times New Roman" w:hAnsi="Times New Roman"/>
                <w:sz w:val="20"/>
                <w:szCs w:val="20"/>
                <w:lang w:val="es-ES"/>
              </w:rPr>
              <w:t>n</w:t>
            </w:r>
            <w:r w:rsidRPr="00267FC2">
              <w:rPr>
                <w:rFonts w:ascii="Times New Roman" w:hAnsi="Times New Roman"/>
                <w:sz w:val="20"/>
                <w:szCs w:val="20"/>
                <w:lang w:val="es-ES"/>
              </w:rPr>
              <w:t>cia juvenil en los territ</w:t>
            </w:r>
            <w:r w:rsidRPr="00267FC2">
              <w:rPr>
                <w:rFonts w:ascii="Times New Roman" w:hAnsi="Times New Roman"/>
                <w:sz w:val="20"/>
                <w:szCs w:val="20"/>
                <w:lang w:val="es-ES"/>
              </w:rPr>
              <w:t>o</w:t>
            </w:r>
            <w:r w:rsidRPr="00267FC2">
              <w:rPr>
                <w:rFonts w:ascii="Times New Roman" w:hAnsi="Times New Roman"/>
                <w:sz w:val="20"/>
                <w:szCs w:val="20"/>
                <w:lang w:val="es-ES"/>
              </w:rPr>
              <w:t>rios del Programa</w:t>
            </w:r>
            <w:r>
              <w:rPr>
                <w:rFonts w:ascii="Times New Roman" w:hAnsi="Times New Roman"/>
                <w:sz w:val="20"/>
                <w:szCs w:val="20"/>
                <w:lang w:val="es-ES"/>
              </w:rPr>
              <w:t xml:space="preserve"> funci</w:t>
            </w:r>
            <w:r>
              <w:rPr>
                <w:rFonts w:ascii="Times New Roman" w:hAnsi="Times New Roman"/>
                <w:sz w:val="20"/>
                <w:szCs w:val="20"/>
                <w:lang w:val="es-ES"/>
              </w:rPr>
              <w:t>o</w:t>
            </w:r>
            <w:r>
              <w:rPr>
                <w:rFonts w:ascii="Times New Roman" w:hAnsi="Times New Roman"/>
                <w:sz w:val="20"/>
                <w:szCs w:val="20"/>
                <w:lang w:val="es-ES"/>
              </w:rPr>
              <w:t>nando</w:t>
            </w:r>
            <w:r w:rsidRPr="00267FC2">
              <w:rPr>
                <w:rFonts w:ascii="Times New Roman" w:hAnsi="Times New Roman"/>
                <w:sz w:val="20"/>
                <w:szCs w:val="20"/>
                <w:lang w:val="es-ES"/>
              </w:rPr>
              <w:t>.</w:t>
            </w:r>
          </w:p>
        </w:tc>
        <w:tc>
          <w:tcPr>
            <w:tcW w:w="1980" w:type="dxa"/>
            <w:tcBorders>
              <w:bottom w:val="single" w:sz="4" w:space="0" w:color="auto"/>
            </w:tcBorders>
            <w:vAlign w:val="center"/>
          </w:tcPr>
          <w:p w14:paraId="11CAE76A" w14:textId="4E86662B"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Red</w:t>
            </w:r>
          </w:p>
        </w:tc>
        <w:tc>
          <w:tcPr>
            <w:tcW w:w="9076" w:type="dxa"/>
            <w:tcBorders>
              <w:bottom w:val="single" w:sz="4" w:space="0" w:color="auto"/>
            </w:tcBorders>
          </w:tcPr>
          <w:p w14:paraId="301C76B8" w14:textId="6756764F"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 xml:space="preserve">La red será administrada por </w:t>
            </w:r>
            <w:r>
              <w:rPr>
                <w:rFonts w:ascii="Times New Roman" w:hAnsi="Times New Roman"/>
                <w:sz w:val="20"/>
                <w:szCs w:val="20"/>
                <w:lang w:val="es-ES"/>
              </w:rPr>
              <w:t>la</w:t>
            </w:r>
            <w:r w:rsidRPr="00267FC2">
              <w:rPr>
                <w:rFonts w:ascii="Times New Roman" w:hAnsi="Times New Roman"/>
                <w:sz w:val="20"/>
                <w:szCs w:val="20"/>
                <w:lang w:val="es-ES"/>
              </w:rPr>
              <w:t xml:space="preserve"> SEAE</w:t>
            </w:r>
            <w:r>
              <w:rPr>
                <w:rFonts w:ascii="Times New Roman" w:hAnsi="Times New Roman"/>
                <w:sz w:val="20"/>
                <w:szCs w:val="20"/>
                <w:lang w:val="es-ES"/>
              </w:rPr>
              <w:t xml:space="preserve"> y contemplará el funcionamiento de 15 CCs que brindarán servicios a la población joven de 15 a 24 años y se espera que atiendan a un universo de 52.500 jóvenes durante los cinco años a partir del primer año. Los subproductos 2.1.1 hasta 2.1.9 forman parte de los servicios de prevención social que la Red brindará.</w:t>
            </w:r>
          </w:p>
        </w:tc>
      </w:tr>
      <w:tr w:rsidR="00600206" w:rsidRPr="00957EFA" w14:paraId="7C398BB1" w14:textId="77777777" w:rsidTr="00684477">
        <w:trPr>
          <w:jc w:val="center"/>
        </w:trPr>
        <w:tc>
          <w:tcPr>
            <w:tcW w:w="2597" w:type="dxa"/>
            <w:tcBorders>
              <w:bottom w:val="single" w:sz="4" w:space="0" w:color="auto"/>
            </w:tcBorders>
            <w:vAlign w:val="center"/>
          </w:tcPr>
          <w:p w14:paraId="675DB4BE" w14:textId="150A5CFC" w:rsidR="00600206" w:rsidRPr="00267FC2" w:rsidRDefault="0060020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2.1.1 CC en Terra Vermella construido, equipado y en funcionamiento.</w:t>
            </w:r>
          </w:p>
        </w:tc>
        <w:tc>
          <w:tcPr>
            <w:tcW w:w="1980" w:type="dxa"/>
            <w:tcBorders>
              <w:bottom w:val="single" w:sz="4" w:space="0" w:color="auto"/>
            </w:tcBorders>
            <w:vAlign w:val="center"/>
          </w:tcPr>
          <w:p w14:paraId="10EBBEE2" w14:textId="499DEF76"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Centro</w:t>
            </w:r>
          </w:p>
        </w:tc>
        <w:tc>
          <w:tcPr>
            <w:tcW w:w="9076" w:type="dxa"/>
            <w:tcBorders>
              <w:bottom w:val="single" w:sz="4" w:space="0" w:color="auto"/>
            </w:tcBorders>
          </w:tcPr>
          <w:p w14:paraId="3F06A01F" w14:textId="410954BD" w:rsidR="00600206" w:rsidRPr="00267FC2" w:rsidRDefault="00600206" w:rsidP="00684477">
            <w:pPr>
              <w:spacing w:after="0" w:line="240" w:lineRule="auto"/>
              <w:jc w:val="both"/>
              <w:rPr>
                <w:rFonts w:ascii="Times New Roman" w:hAnsi="Times New Roman"/>
                <w:sz w:val="20"/>
                <w:szCs w:val="20"/>
                <w:lang w:val="es-ES"/>
              </w:rPr>
            </w:pPr>
          </w:p>
        </w:tc>
      </w:tr>
      <w:tr w:rsidR="00600206" w:rsidRPr="000346A8" w14:paraId="542F2E3F"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46B0FB9D" w14:textId="4AF85962"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2.1.2. CC operando en los territorios del Pr</w:t>
            </w:r>
            <w:r w:rsidRPr="00267FC2">
              <w:rPr>
                <w:rFonts w:ascii="Times New Roman" w:hAnsi="Times New Roman"/>
                <w:sz w:val="20"/>
                <w:szCs w:val="20"/>
                <w:lang w:val="es-ES"/>
              </w:rPr>
              <w:t>o</w:t>
            </w:r>
            <w:r w:rsidRPr="00267FC2">
              <w:rPr>
                <w:rFonts w:ascii="Times New Roman" w:hAnsi="Times New Roman"/>
                <w:sz w:val="20"/>
                <w:szCs w:val="20"/>
                <w:lang w:val="es-ES"/>
              </w:rPr>
              <w:t>grama por Organizaci</w:t>
            </w:r>
            <w:r w:rsidRPr="00267FC2">
              <w:rPr>
                <w:rFonts w:ascii="Times New Roman" w:hAnsi="Times New Roman"/>
                <w:sz w:val="20"/>
                <w:szCs w:val="20"/>
                <w:lang w:val="es-ES"/>
              </w:rPr>
              <w:t>o</w:t>
            </w:r>
            <w:r w:rsidRPr="00267FC2">
              <w:rPr>
                <w:rFonts w:ascii="Times New Roman" w:hAnsi="Times New Roman"/>
                <w:sz w:val="20"/>
                <w:szCs w:val="20"/>
                <w:lang w:val="es-ES"/>
              </w:rPr>
              <w:t>nes de la Sociedad Civil contratadas.</w:t>
            </w:r>
          </w:p>
        </w:tc>
        <w:tc>
          <w:tcPr>
            <w:tcW w:w="1980" w:type="dxa"/>
            <w:tcBorders>
              <w:top w:val="single" w:sz="4" w:space="0" w:color="auto"/>
              <w:left w:val="single" w:sz="4" w:space="0" w:color="auto"/>
              <w:bottom w:val="single" w:sz="4" w:space="0" w:color="auto"/>
              <w:right w:val="single" w:sz="4" w:space="0" w:color="auto"/>
            </w:tcBorders>
            <w:vAlign w:val="center"/>
          </w:tcPr>
          <w:p w14:paraId="0EB188AF" w14:textId="3489E470"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Centros</w:t>
            </w:r>
          </w:p>
        </w:tc>
        <w:tc>
          <w:tcPr>
            <w:tcW w:w="9076" w:type="dxa"/>
            <w:tcBorders>
              <w:top w:val="single" w:sz="4" w:space="0" w:color="auto"/>
              <w:left w:val="single" w:sz="4" w:space="0" w:color="auto"/>
              <w:bottom w:val="single" w:sz="4" w:space="0" w:color="auto"/>
              <w:right w:val="single" w:sz="4" w:space="0" w:color="auto"/>
            </w:tcBorders>
          </w:tcPr>
          <w:p w14:paraId="4BD56276" w14:textId="7B05A5B0" w:rsidR="00600206" w:rsidRPr="00267FC2" w:rsidRDefault="00600206" w:rsidP="00684477">
            <w:pPr>
              <w:spacing w:after="0" w:line="240" w:lineRule="auto"/>
              <w:jc w:val="both"/>
              <w:rPr>
                <w:rFonts w:ascii="Times New Roman" w:hAnsi="Times New Roman"/>
                <w:sz w:val="20"/>
                <w:szCs w:val="20"/>
                <w:lang w:val="es-ES"/>
              </w:rPr>
            </w:pPr>
            <w:r>
              <w:rPr>
                <w:rFonts w:ascii="Times New Roman" w:hAnsi="Times New Roman"/>
                <w:sz w:val="20"/>
                <w:szCs w:val="20"/>
                <w:lang w:val="es-ES"/>
              </w:rPr>
              <w:t>El Programa financiará la operación de 14 CCs que serán atendidos por Organizaciones de Sociedad Civil a contratarse por un proceso competitivo en el primer año del Programa.</w:t>
            </w:r>
          </w:p>
        </w:tc>
      </w:tr>
      <w:tr w:rsidR="00600206" w:rsidRPr="00957EFA" w14:paraId="0406422B"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310DF783" w14:textId="290D5C61"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2.1.3 Jóvenes atendidos con servicios de depo</w:t>
            </w:r>
            <w:r w:rsidRPr="00267FC2">
              <w:rPr>
                <w:rFonts w:ascii="Times New Roman" w:hAnsi="Times New Roman"/>
                <w:sz w:val="20"/>
                <w:szCs w:val="20"/>
                <w:lang w:val="es-ES"/>
              </w:rPr>
              <w:t>r</w:t>
            </w:r>
            <w:r w:rsidRPr="00267FC2">
              <w:rPr>
                <w:rFonts w:ascii="Times New Roman" w:hAnsi="Times New Roman"/>
                <w:sz w:val="20"/>
                <w:szCs w:val="20"/>
                <w:lang w:val="es-ES"/>
              </w:rPr>
              <w:t>tes, cultura, recreación, métodos de resolución de conflictos  y prom</w:t>
            </w:r>
            <w:r w:rsidRPr="00267FC2">
              <w:rPr>
                <w:rFonts w:ascii="Times New Roman" w:hAnsi="Times New Roman"/>
                <w:sz w:val="20"/>
                <w:szCs w:val="20"/>
                <w:lang w:val="es-ES"/>
              </w:rPr>
              <w:t>o</w:t>
            </w:r>
            <w:r w:rsidRPr="00267FC2">
              <w:rPr>
                <w:rFonts w:ascii="Times New Roman" w:hAnsi="Times New Roman"/>
                <w:sz w:val="20"/>
                <w:szCs w:val="20"/>
                <w:lang w:val="es-ES"/>
              </w:rPr>
              <w:t>ción de una cultura de paz y desarrollo pers</w:t>
            </w:r>
            <w:r w:rsidRPr="00267FC2">
              <w:rPr>
                <w:rFonts w:ascii="Times New Roman" w:hAnsi="Times New Roman"/>
                <w:sz w:val="20"/>
                <w:szCs w:val="20"/>
                <w:lang w:val="es-ES"/>
              </w:rPr>
              <w:t>o</w:t>
            </w:r>
            <w:r w:rsidRPr="00267FC2">
              <w:rPr>
                <w:rFonts w:ascii="Times New Roman" w:hAnsi="Times New Roman"/>
                <w:sz w:val="20"/>
                <w:szCs w:val="20"/>
                <w:lang w:val="es-ES"/>
              </w:rPr>
              <w:t>nal.</w:t>
            </w:r>
          </w:p>
        </w:tc>
        <w:tc>
          <w:tcPr>
            <w:tcW w:w="1980" w:type="dxa"/>
            <w:tcBorders>
              <w:top w:val="single" w:sz="4" w:space="0" w:color="auto"/>
              <w:left w:val="single" w:sz="4" w:space="0" w:color="auto"/>
              <w:bottom w:val="single" w:sz="4" w:space="0" w:color="auto"/>
              <w:right w:val="single" w:sz="4" w:space="0" w:color="auto"/>
            </w:tcBorders>
            <w:vAlign w:val="center"/>
          </w:tcPr>
          <w:p w14:paraId="7FDD2125" w14:textId="009DB7DB"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77A8064A" w14:textId="560D7E00"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2A7DC045"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7F2513B4" w14:textId="3DA2EC07"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2.1.4 Jóvenes que se b</w:t>
            </w:r>
            <w:r w:rsidRPr="00267FC2">
              <w:rPr>
                <w:rFonts w:ascii="Times New Roman" w:hAnsi="Times New Roman"/>
                <w:sz w:val="20"/>
                <w:szCs w:val="20"/>
                <w:lang w:val="es-ES"/>
              </w:rPr>
              <w:t>e</w:t>
            </w:r>
            <w:r w:rsidRPr="00267FC2">
              <w:rPr>
                <w:rFonts w:ascii="Times New Roman" w:hAnsi="Times New Roman"/>
                <w:sz w:val="20"/>
                <w:szCs w:val="20"/>
                <w:lang w:val="es-ES"/>
              </w:rPr>
              <w:t>nefician de las activid</w:t>
            </w:r>
            <w:r w:rsidRPr="00267FC2">
              <w:rPr>
                <w:rFonts w:ascii="Times New Roman" w:hAnsi="Times New Roman"/>
                <w:sz w:val="20"/>
                <w:szCs w:val="20"/>
                <w:lang w:val="es-ES"/>
              </w:rPr>
              <w:t>a</w:t>
            </w:r>
            <w:r w:rsidRPr="00267FC2">
              <w:rPr>
                <w:rFonts w:ascii="Times New Roman" w:hAnsi="Times New Roman"/>
                <w:sz w:val="20"/>
                <w:szCs w:val="20"/>
                <w:lang w:val="es-ES"/>
              </w:rPr>
              <w:t>des escolares de aceler</w:t>
            </w:r>
            <w:r w:rsidRPr="00267FC2">
              <w:rPr>
                <w:rFonts w:ascii="Times New Roman" w:hAnsi="Times New Roman"/>
                <w:sz w:val="20"/>
                <w:szCs w:val="20"/>
                <w:lang w:val="es-ES"/>
              </w:rPr>
              <w:t>a</w:t>
            </w:r>
            <w:r w:rsidRPr="00267FC2">
              <w:rPr>
                <w:rFonts w:ascii="Times New Roman" w:hAnsi="Times New Roman"/>
                <w:sz w:val="20"/>
                <w:szCs w:val="20"/>
                <w:lang w:val="es-ES"/>
              </w:rPr>
              <w:t>ción y alfabetización</w:t>
            </w:r>
          </w:p>
        </w:tc>
        <w:tc>
          <w:tcPr>
            <w:tcW w:w="1980" w:type="dxa"/>
            <w:tcBorders>
              <w:top w:val="single" w:sz="4" w:space="0" w:color="auto"/>
              <w:left w:val="single" w:sz="4" w:space="0" w:color="auto"/>
              <w:bottom w:val="single" w:sz="4" w:space="0" w:color="auto"/>
              <w:right w:val="single" w:sz="4" w:space="0" w:color="auto"/>
            </w:tcBorders>
            <w:vAlign w:val="center"/>
          </w:tcPr>
          <w:p w14:paraId="4C71E769" w14:textId="2E45AD79"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48C78D1F" w14:textId="05E482FD" w:rsidR="00600206" w:rsidRPr="00267FC2" w:rsidRDefault="00600206" w:rsidP="00684477">
            <w:pPr>
              <w:spacing w:after="0" w:line="240" w:lineRule="auto"/>
              <w:jc w:val="both"/>
              <w:rPr>
                <w:rFonts w:ascii="Times New Roman" w:hAnsi="Times New Roman"/>
                <w:sz w:val="20"/>
                <w:szCs w:val="20"/>
                <w:lang w:val="es-ES"/>
              </w:rPr>
            </w:pPr>
          </w:p>
        </w:tc>
      </w:tr>
      <w:tr w:rsidR="00600206" w:rsidRPr="000346A8" w14:paraId="38C5C525"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3545E106" w14:textId="421CD399"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 xml:space="preserve">2.1.5 Jóvenes que </w:t>
            </w:r>
            <w:r>
              <w:rPr>
                <w:rFonts w:ascii="Times New Roman" w:hAnsi="Times New Roman"/>
                <w:sz w:val="20"/>
                <w:szCs w:val="20"/>
                <w:lang w:val="es-ES"/>
              </w:rPr>
              <w:t>rec</w:t>
            </w:r>
            <w:r>
              <w:rPr>
                <w:rFonts w:ascii="Times New Roman" w:hAnsi="Times New Roman"/>
                <w:sz w:val="20"/>
                <w:szCs w:val="20"/>
                <w:lang w:val="es-ES"/>
              </w:rPr>
              <w:t>i</w:t>
            </w:r>
            <w:r>
              <w:rPr>
                <w:rFonts w:ascii="Times New Roman" w:hAnsi="Times New Roman"/>
                <w:sz w:val="20"/>
                <w:szCs w:val="20"/>
                <w:lang w:val="es-ES"/>
              </w:rPr>
              <w:t>ben capacitación laboral</w:t>
            </w:r>
            <w:r w:rsidRPr="00267FC2">
              <w:rPr>
                <w:rFonts w:ascii="Times New Roman" w:hAnsi="Times New Roman"/>
                <w:sz w:val="20"/>
                <w:szCs w:val="20"/>
                <w:lang w:val="es-ES"/>
              </w:rPr>
              <w:t>.</w:t>
            </w:r>
          </w:p>
        </w:tc>
        <w:tc>
          <w:tcPr>
            <w:tcW w:w="1980" w:type="dxa"/>
            <w:tcBorders>
              <w:top w:val="single" w:sz="4" w:space="0" w:color="auto"/>
              <w:left w:val="single" w:sz="4" w:space="0" w:color="auto"/>
              <w:bottom w:val="single" w:sz="4" w:space="0" w:color="auto"/>
              <w:right w:val="single" w:sz="4" w:space="0" w:color="auto"/>
            </w:tcBorders>
            <w:vAlign w:val="center"/>
          </w:tcPr>
          <w:p w14:paraId="54D6615F" w14:textId="66EE69D9"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3F624A36" w14:textId="22B24DD8"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El Programa atenderá al 57% de las necesidades en los territorios del Programa 43000.</w:t>
            </w:r>
          </w:p>
        </w:tc>
      </w:tr>
      <w:tr w:rsidR="00600206" w:rsidRPr="000346A8" w14:paraId="19F4E738"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2ED6E9F7" w14:textId="635F9ECB"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 xml:space="preserve">2.1.6  </w:t>
            </w:r>
            <w:r>
              <w:rPr>
                <w:rFonts w:ascii="Times New Roman" w:hAnsi="Times New Roman"/>
                <w:sz w:val="20"/>
                <w:szCs w:val="20"/>
                <w:lang w:val="es-ES"/>
              </w:rPr>
              <w:t xml:space="preserve">Centros </w:t>
            </w:r>
            <w:r w:rsidRPr="00267FC2">
              <w:rPr>
                <w:rFonts w:ascii="Times New Roman" w:hAnsi="Times New Roman"/>
                <w:sz w:val="20"/>
                <w:szCs w:val="20"/>
                <w:lang w:val="es-ES"/>
              </w:rPr>
              <w:t xml:space="preserve">de </w:t>
            </w:r>
            <w:r>
              <w:rPr>
                <w:rFonts w:ascii="Times New Roman" w:hAnsi="Times New Roman"/>
                <w:sz w:val="20"/>
                <w:szCs w:val="20"/>
                <w:lang w:val="es-ES"/>
              </w:rPr>
              <w:t>A</w:t>
            </w:r>
            <w:r w:rsidRPr="00267FC2">
              <w:rPr>
                <w:rFonts w:ascii="Times New Roman" w:hAnsi="Times New Roman"/>
                <w:sz w:val="20"/>
                <w:szCs w:val="20"/>
                <w:lang w:val="es-ES"/>
              </w:rPr>
              <w:t>si</w:t>
            </w:r>
            <w:r w:rsidRPr="00267FC2">
              <w:rPr>
                <w:rFonts w:ascii="Times New Roman" w:hAnsi="Times New Roman"/>
                <w:sz w:val="20"/>
                <w:szCs w:val="20"/>
                <w:lang w:val="es-ES"/>
              </w:rPr>
              <w:t>s</w:t>
            </w:r>
            <w:r w:rsidRPr="00267FC2">
              <w:rPr>
                <w:rFonts w:ascii="Times New Roman" w:hAnsi="Times New Roman"/>
                <w:sz w:val="20"/>
                <w:szCs w:val="20"/>
                <w:lang w:val="es-ES"/>
              </w:rPr>
              <w:t xml:space="preserve">tencia de </w:t>
            </w:r>
            <w:r>
              <w:rPr>
                <w:rFonts w:ascii="Times New Roman" w:hAnsi="Times New Roman"/>
                <w:sz w:val="20"/>
                <w:szCs w:val="20"/>
                <w:lang w:val="es-ES"/>
              </w:rPr>
              <w:t xml:space="preserve">Dependientes </w:t>
            </w:r>
            <w:r w:rsidRPr="00267FC2">
              <w:rPr>
                <w:rFonts w:ascii="Times New Roman" w:hAnsi="Times New Roman"/>
                <w:sz w:val="20"/>
                <w:szCs w:val="20"/>
                <w:lang w:val="es-ES"/>
              </w:rPr>
              <w:t xml:space="preserve">al </w:t>
            </w:r>
            <w:r>
              <w:rPr>
                <w:rFonts w:ascii="Times New Roman" w:hAnsi="Times New Roman"/>
                <w:sz w:val="20"/>
                <w:szCs w:val="20"/>
                <w:lang w:val="es-ES"/>
              </w:rPr>
              <w:t>A</w:t>
            </w:r>
            <w:r w:rsidRPr="00267FC2">
              <w:rPr>
                <w:rFonts w:ascii="Times New Roman" w:hAnsi="Times New Roman"/>
                <w:sz w:val="20"/>
                <w:szCs w:val="20"/>
                <w:lang w:val="es-ES"/>
              </w:rPr>
              <w:t xml:space="preserve">lcohol y </w:t>
            </w:r>
            <w:r>
              <w:rPr>
                <w:rFonts w:ascii="Times New Roman" w:hAnsi="Times New Roman"/>
                <w:sz w:val="20"/>
                <w:szCs w:val="20"/>
                <w:lang w:val="es-ES"/>
              </w:rPr>
              <w:t>D</w:t>
            </w:r>
            <w:r w:rsidRPr="00267FC2">
              <w:rPr>
                <w:rFonts w:ascii="Times New Roman" w:hAnsi="Times New Roman"/>
                <w:sz w:val="20"/>
                <w:szCs w:val="20"/>
                <w:lang w:val="es-ES"/>
              </w:rPr>
              <w:t>rogas CAPS-AD  construidos, equipados y en funci</w:t>
            </w:r>
            <w:r w:rsidRPr="00267FC2">
              <w:rPr>
                <w:rFonts w:ascii="Times New Roman" w:hAnsi="Times New Roman"/>
                <w:sz w:val="20"/>
                <w:szCs w:val="20"/>
                <w:lang w:val="es-ES"/>
              </w:rPr>
              <w:t>o</w:t>
            </w:r>
            <w:r w:rsidRPr="00267FC2">
              <w:rPr>
                <w:rFonts w:ascii="Times New Roman" w:hAnsi="Times New Roman"/>
                <w:sz w:val="20"/>
                <w:szCs w:val="20"/>
                <w:lang w:val="es-ES"/>
              </w:rPr>
              <w:t>namiento.</w:t>
            </w:r>
          </w:p>
        </w:tc>
        <w:tc>
          <w:tcPr>
            <w:tcW w:w="1980" w:type="dxa"/>
            <w:tcBorders>
              <w:top w:val="single" w:sz="4" w:space="0" w:color="auto"/>
              <w:left w:val="single" w:sz="4" w:space="0" w:color="auto"/>
              <w:bottom w:val="single" w:sz="4" w:space="0" w:color="auto"/>
              <w:right w:val="single" w:sz="4" w:space="0" w:color="auto"/>
            </w:tcBorders>
            <w:vAlign w:val="center"/>
          </w:tcPr>
          <w:p w14:paraId="05DA6CD8" w14:textId="665BC057" w:rsidR="00600206" w:rsidRPr="00267FC2" w:rsidRDefault="00600206" w:rsidP="00684477">
            <w:pPr>
              <w:spacing w:after="0" w:line="240" w:lineRule="auto"/>
              <w:jc w:val="center"/>
              <w:rPr>
                <w:rFonts w:ascii="Times New Roman" w:hAnsi="Times New Roman"/>
                <w:sz w:val="20"/>
                <w:szCs w:val="20"/>
                <w:lang w:val="es-ES"/>
              </w:rPr>
            </w:pPr>
            <w:r>
              <w:rPr>
                <w:rFonts w:ascii="Times New Roman" w:hAnsi="Times New Roman"/>
                <w:sz w:val="20"/>
                <w:szCs w:val="20"/>
                <w:lang w:val="es-ES"/>
              </w:rPr>
              <w:t>Centro</w:t>
            </w:r>
          </w:p>
        </w:tc>
        <w:tc>
          <w:tcPr>
            <w:tcW w:w="9076" w:type="dxa"/>
            <w:tcBorders>
              <w:top w:val="single" w:sz="4" w:space="0" w:color="auto"/>
              <w:left w:val="single" w:sz="4" w:space="0" w:color="auto"/>
              <w:bottom w:val="single" w:sz="4" w:space="0" w:color="auto"/>
              <w:right w:val="single" w:sz="4" w:space="0" w:color="auto"/>
            </w:tcBorders>
          </w:tcPr>
          <w:p w14:paraId="278E5238" w14:textId="2D612984" w:rsidR="00600206" w:rsidRPr="00267FC2" w:rsidRDefault="00600206" w:rsidP="00684477">
            <w:pPr>
              <w:spacing w:after="0" w:line="240" w:lineRule="auto"/>
              <w:jc w:val="both"/>
              <w:rPr>
                <w:rFonts w:ascii="Times New Roman" w:hAnsi="Times New Roman"/>
                <w:sz w:val="20"/>
                <w:szCs w:val="20"/>
                <w:lang w:val="es-ES"/>
              </w:rPr>
            </w:pPr>
            <w:r w:rsidRPr="00267FC2">
              <w:rPr>
                <w:rFonts w:ascii="Times New Roman" w:hAnsi="Times New Roman"/>
                <w:sz w:val="20"/>
                <w:szCs w:val="20"/>
                <w:lang w:val="es-ES"/>
              </w:rPr>
              <w:t>De los 8 municipios del programa, no existe en los municipios de Cariacica y Guarapari Centros de Atención a Jóvenes</w:t>
            </w:r>
            <w:r>
              <w:rPr>
                <w:rFonts w:ascii="Times New Roman" w:hAnsi="Times New Roman"/>
                <w:sz w:val="20"/>
                <w:szCs w:val="20"/>
                <w:lang w:val="es-ES"/>
              </w:rPr>
              <w:t xml:space="preserve"> de</w:t>
            </w:r>
            <w:r w:rsidRPr="00267FC2">
              <w:rPr>
                <w:rFonts w:ascii="Times New Roman" w:hAnsi="Times New Roman"/>
                <w:sz w:val="20"/>
                <w:szCs w:val="20"/>
                <w:lang w:val="es-ES"/>
              </w:rPr>
              <w:t>pen</w:t>
            </w:r>
            <w:r>
              <w:rPr>
                <w:rFonts w:ascii="Times New Roman" w:hAnsi="Times New Roman"/>
                <w:sz w:val="20"/>
                <w:szCs w:val="20"/>
                <w:lang w:val="es-ES"/>
              </w:rPr>
              <w:t>d</w:t>
            </w:r>
            <w:r w:rsidRPr="00267FC2">
              <w:rPr>
                <w:rFonts w:ascii="Times New Roman" w:hAnsi="Times New Roman"/>
                <w:sz w:val="20"/>
                <w:szCs w:val="20"/>
                <w:lang w:val="es-ES"/>
              </w:rPr>
              <w:t>i</w:t>
            </w:r>
            <w:r>
              <w:rPr>
                <w:rFonts w:ascii="Times New Roman" w:hAnsi="Times New Roman"/>
                <w:sz w:val="20"/>
                <w:szCs w:val="20"/>
                <w:lang w:val="es-ES"/>
              </w:rPr>
              <w:t>e</w:t>
            </w:r>
            <w:r w:rsidRPr="00267FC2">
              <w:rPr>
                <w:rFonts w:ascii="Times New Roman" w:hAnsi="Times New Roman"/>
                <w:sz w:val="20"/>
                <w:szCs w:val="20"/>
                <w:lang w:val="es-ES"/>
              </w:rPr>
              <w:t>ntes de Alcohol  y Drogas (CAPS-AD). Con el Programa en sociedad con los dos munic</w:t>
            </w:r>
            <w:r w:rsidRPr="00267FC2">
              <w:rPr>
                <w:rFonts w:ascii="Times New Roman" w:hAnsi="Times New Roman"/>
                <w:sz w:val="20"/>
                <w:szCs w:val="20"/>
                <w:lang w:val="es-ES"/>
              </w:rPr>
              <w:t>i</w:t>
            </w:r>
            <w:r w:rsidRPr="00267FC2">
              <w:rPr>
                <w:rFonts w:ascii="Times New Roman" w:hAnsi="Times New Roman"/>
                <w:sz w:val="20"/>
                <w:szCs w:val="20"/>
                <w:lang w:val="es-ES"/>
              </w:rPr>
              <w:t>pios se pondrán en funcionamiento 2 Centros para atender a los 10200 jóvenes dependientes que se han est</w:t>
            </w:r>
            <w:r w:rsidRPr="00267FC2">
              <w:rPr>
                <w:rFonts w:ascii="Times New Roman" w:hAnsi="Times New Roman"/>
                <w:sz w:val="20"/>
                <w:szCs w:val="20"/>
                <w:lang w:val="es-ES"/>
              </w:rPr>
              <w:t>i</w:t>
            </w:r>
            <w:r w:rsidRPr="00267FC2">
              <w:rPr>
                <w:rFonts w:ascii="Times New Roman" w:hAnsi="Times New Roman"/>
                <w:sz w:val="20"/>
                <w:szCs w:val="20"/>
                <w:lang w:val="es-ES"/>
              </w:rPr>
              <w:t>mado residen en Cariacica y 3000 en Guarapari.</w:t>
            </w:r>
          </w:p>
        </w:tc>
      </w:tr>
      <w:tr w:rsidR="00600206" w:rsidRPr="000346A8" w14:paraId="0898BBB7"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6356FDA6" w14:textId="68EEA757"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2.1.7  Jóvenes que rec</w:t>
            </w:r>
            <w:r w:rsidRPr="00267FC2">
              <w:rPr>
                <w:rFonts w:ascii="Times New Roman" w:hAnsi="Times New Roman"/>
                <w:sz w:val="20"/>
                <w:szCs w:val="20"/>
                <w:lang w:val="es-ES"/>
              </w:rPr>
              <w:t>i</w:t>
            </w:r>
            <w:r w:rsidRPr="00267FC2">
              <w:rPr>
                <w:rFonts w:ascii="Times New Roman" w:hAnsi="Times New Roman"/>
                <w:sz w:val="20"/>
                <w:szCs w:val="20"/>
                <w:lang w:val="es-ES"/>
              </w:rPr>
              <w:t>ben becas actuando c</w:t>
            </w:r>
            <w:r w:rsidRPr="00267FC2">
              <w:rPr>
                <w:rFonts w:ascii="Times New Roman" w:hAnsi="Times New Roman"/>
                <w:sz w:val="20"/>
                <w:szCs w:val="20"/>
                <w:lang w:val="es-ES"/>
              </w:rPr>
              <w:t>o</w:t>
            </w:r>
            <w:r w:rsidRPr="00267FC2">
              <w:rPr>
                <w:rFonts w:ascii="Times New Roman" w:hAnsi="Times New Roman"/>
                <w:sz w:val="20"/>
                <w:szCs w:val="20"/>
                <w:lang w:val="es-ES"/>
              </w:rPr>
              <w:t xml:space="preserve">mo promotores en los CC. </w:t>
            </w:r>
          </w:p>
        </w:tc>
        <w:tc>
          <w:tcPr>
            <w:tcW w:w="1980" w:type="dxa"/>
            <w:tcBorders>
              <w:top w:val="single" w:sz="4" w:space="0" w:color="auto"/>
              <w:left w:val="single" w:sz="4" w:space="0" w:color="auto"/>
              <w:bottom w:val="single" w:sz="4" w:space="0" w:color="auto"/>
              <w:right w:val="single" w:sz="4" w:space="0" w:color="auto"/>
            </w:tcBorders>
            <w:vAlign w:val="center"/>
          </w:tcPr>
          <w:p w14:paraId="1B4DACE3" w14:textId="2696975D"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0DEE434E" w14:textId="038282D3" w:rsidR="00600206" w:rsidRPr="00267FC2" w:rsidRDefault="00600206" w:rsidP="00684477">
            <w:pPr>
              <w:spacing w:after="0" w:line="240" w:lineRule="auto"/>
              <w:jc w:val="both"/>
              <w:rPr>
                <w:rFonts w:ascii="Times New Roman" w:hAnsi="Times New Roman"/>
                <w:sz w:val="20"/>
                <w:szCs w:val="20"/>
                <w:lang w:val="es-ES"/>
              </w:rPr>
            </w:pPr>
            <w:r>
              <w:rPr>
                <w:rFonts w:ascii="Times New Roman" w:hAnsi="Times New Roman"/>
                <w:sz w:val="20"/>
                <w:szCs w:val="20"/>
                <w:lang w:val="es-ES"/>
              </w:rPr>
              <w:t>Los jóvenes recibirán becas y orientación para el desarrollo de sus funciones.</w:t>
            </w:r>
          </w:p>
        </w:tc>
      </w:tr>
      <w:tr w:rsidR="00600206" w:rsidRPr="000346A8" w14:paraId="29B89AF1"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66660DAE" w14:textId="7A398DB1" w:rsidR="00600206" w:rsidRPr="00267FC2" w:rsidRDefault="00600206" w:rsidP="00600206">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2.1.8 Sistema implant</w:t>
            </w:r>
            <w:r w:rsidRPr="00267FC2">
              <w:rPr>
                <w:rFonts w:ascii="Times New Roman" w:hAnsi="Times New Roman"/>
                <w:sz w:val="20"/>
                <w:szCs w:val="20"/>
                <w:lang w:val="es-ES"/>
              </w:rPr>
              <w:t>a</w:t>
            </w:r>
            <w:r w:rsidRPr="00267FC2">
              <w:rPr>
                <w:rFonts w:ascii="Times New Roman" w:hAnsi="Times New Roman"/>
                <w:sz w:val="20"/>
                <w:szCs w:val="20"/>
                <w:lang w:val="es-ES"/>
              </w:rPr>
              <w:t xml:space="preserve">do y en funcionamiento para </w:t>
            </w:r>
            <w:r>
              <w:rPr>
                <w:rFonts w:ascii="Times New Roman" w:hAnsi="Times New Roman"/>
                <w:sz w:val="20"/>
                <w:szCs w:val="20"/>
                <w:lang w:val="es-ES"/>
              </w:rPr>
              <w:t xml:space="preserve">la </w:t>
            </w:r>
            <w:r w:rsidRPr="00267FC2">
              <w:rPr>
                <w:rFonts w:ascii="Times New Roman" w:hAnsi="Times New Roman"/>
                <w:sz w:val="20"/>
                <w:szCs w:val="20"/>
                <w:lang w:val="es-ES"/>
              </w:rPr>
              <w:t>gestión</w:t>
            </w:r>
            <w:r>
              <w:rPr>
                <w:rFonts w:ascii="Times New Roman" w:hAnsi="Times New Roman"/>
                <w:sz w:val="20"/>
                <w:szCs w:val="20"/>
                <w:lang w:val="es-ES"/>
              </w:rPr>
              <w:t xml:space="preserve"> segu</w:t>
            </w:r>
            <w:r>
              <w:rPr>
                <w:rFonts w:ascii="Times New Roman" w:hAnsi="Times New Roman"/>
                <w:sz w:val="20"/>
                <w:szCs w:val="20"/>
                <w:lang w:val="es-ES"/>
              </w:rPr>
              <w:t>i</w:t>
            </w:r>
            <w:r>
              <w:rPr>
                <w:rFonts w:ascii="Times New Roman" w:hAnsi="Times New Roman"/>
                <w:sz w:val="20"/>
                <w:szCs w:val="20"/>
                <w:lang w:val="es-ES"/>
              </w:rPr>
              <w:t>miento y</w:t>
            </w:r>
            <w:r w:rsidRPr="00267FC2">
              <w:rPr>
                <w:rFonts w:ascii="Times New Roman" w:hAnsi="Times New Roman"/>
                <w:sz w:val="20"/>
                <w:szCs w:val="20"/>
                <w:lang w:val="es-ES"/>
              </w:rPr>
              <w:t xml:space="preserve"> evaluación de la red. </w:t>
            </w:r>
          </w:p>
        </w:tc>
        <w:tc>
          <w:tcPr>
            <w:tcW w:w="1980" w:type="dxa"/>
            <w:tcBorders>
              <w:top w:val="single" w:sz="4" w:space="0" w:color="auto"/>
              <w:left w:val="single" w:sz="4" w:space="0" w:color="auto"/>
              <w:bottom w:val="single" w:sz="4" w:space="0" w:color="auto"/>
              <w:right w:val="single" w:sz="4" w:space="0" w:color="auto"/>
            </w:tcBorders>
            <w:vAlign w:val="center"/>
          </w:tcPr>
          <w:p w14:paraId="7427C0DF" w14:textId="0CFDC760"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Sistema</w:t>
            </w:r>
          </w:p>
        </w:tc>
        <w:tc>
          <w:tcPr>
            <w:tcW w:w="9076" w:type="dxa"/>
            <w:tcBorders>
              <w:top w:val="single" w:sz="4" w:space="0" w:color="auto"/>
              <w:left w:val="single" w:sz="4" w:space="0" w:color="auto"/>
              <w:bottom w:val="single" w:sz="4" w:space="0" w:color="auto"/>
              <w:right w:val="single" w:sz="4" w:space="0" w:color="auto"/>
            </w:tcBorders>
          </w:tcPr>
          <w:p w14:paraId="341F2419" w14:textId="40E19246" w:rsidR="00600206" w:rsidRPr="00267FC2" w:rsidRDefault="00600206" w:rsidP="00684477">
            <w:pPr>
              <w:spacing w:after="0" w:line="240" w:lineRule="auto"/>
              <w:jc w:val="both"/>
              <w:rPr>
                <w:rFonts w:ascii="Times New Roman" w:hAnsi="Times New Roman"/>
                <w:sz w:val="20"/>
                <w:szCs w:val="20"/>
                <w:lang w:val="es-ES"/>
              </w:rPr>
            </w:pPr>
            <w:r>
              <w:rPr>
                <w:rFonts w:ascii="Times New Roman" w:hAnsi="Times New Roman"/>
                <w:sz w:val="20"/>
                <w:szCs w:val="20"/>
                <w:lang w:val="es-ES"/>
              </w:rPr>
              <w:t>Un sistema de información para el seguimiento de las labores de los CCs a ser implantado en la SEAE para que esta tenga un control efectivo sobre el desempeño de las Organizaciones de la Sociedad Civil que brind</w:t>
            </w:r>
            <w:r>
              <w:rPr>
                <w:rFonts w:ascii="Times New Roman" w:hAnsi="Times New Roman"/>
                <w:sz w:val="20"/>
                <w:szCs w:val="20"/>
                <w:lang w:val="es-ES"/>
              </w:rPr>
              <w:t>a</w:t>
            </w:r>
            <w:r>
              <w:rPr>
                <w:rFonts w:ascii="Times New Roman" w:hAnsi="Times New Roman"/>
                <w:sz w:val="20"/>
                <w:szCs w:val="20"/>
                <w:lang w:val="es-ES"/>
              </w:rPr>
              <w:t>rán los servicios.</w:t>
            </w:r>
          </w:p>
        </w:tc>
      </w:tr>
      <w:tr w:rsidR="00600206" w:rsidRPr="000346A8" w14:paraId="0B018D12"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5422E3C2" w14:textId="558D9965" w:rsidR="00600206" w:rsidRPr="00267FC2" w:rsidRDefault="00600206" w:rsidP="00600206">
            <w:pPr>
              <w:tabs>
                <w:tab w:val="left" w:pos="432"/>
              </w:tabs>
              <w:spacing w:after="0" w:line="240" w:lineRule="auto"/>
              <w:ind w:left="360"/>
              <w:rPr>
                <w:rFonts w:ascii="Times New Roman" w:hAnsi="Times New Roman"/>
                <w:sz w:val="20"/>
                <w:szCs w:val="20"/>
                <w:lang w:val="es-ES"/>
              </w:rPr>
            </w:pPr>
            <w:r>
              <w:rPr>
                <w:rFonts w:ascii="Times New Roman" w:hAnsi="Times New Roman"/>
                <w:sz w:val="20"/>
                <w:szCs w:val="20"/>
                <w:lang w:val="es-ES"/>
              </w:rPr>
              <w:t>2.1.9 Jóvenes y sus f</w:t>
            </w:r>
            <w:r>
              <w:rPr>
                <w:rFonts w:ascii="Times New Roman" w:hAnsi="Times New Roman"/>
                <w:sz w:val="20"/>
                <w:szCs w:val="20"/>
                <w:lang w:val="es-ES"/>
              </w:rPr>
              <w:t>a</w:t>
            </w:r>
            <w:r>
              <w:rPr>
                <w:rFonts w:ascii="Times New Roman" w:hAnsi="Times New Roman"/>
                <w:sz w:val="20"/>
                <w:szCs w:val="20"/>
                <w:lang w:val="es-ES"/>
              </w:rPr>
              <w:t>milias que reciben acompañamiento para su permanencia en la escu</w:t>
            </w:r>
            <w:r>
              <w:rPr>
                <w:rFonts w:ascii="Times New Roman" w:hAnsi="Times New Roman"/>
                <w:sz w:val="20"/>
                <w:szCs w:val="20"/>
                <w:lang w:val="es-ES"/>
              </w:rPr>
              <w:t>e</w:t>
            </w:r>
            <w:r>
              <w:rPr>
                <w:rFonts w:ascii="Times New Roman" w:hAnsi="Times New Roman"/>
                <w:sz w:val="20"/>
                <w:szCs w:val="20"/>
                <w:lang w:val="es-ES"/>
              </w:rPr>
              <w:t xml:space="preserve">la.  </w:t>
            </w:r>
          </w:p>
        </w:tc>
        <w:tc>
          <w:tcPr>
            <w:tcW w:w="1980" w:type="dxa"/>
            <w:tcBorders>
              <w:top w:val="single" w:sz="4" w:space="0" w:color="auto"/>
              <w:left w:val="single" w:sz="4" w:space="0" w:color="auto"/>
              <w:bottom w:val="single" w:sz="4" w:space="0" w:color="auto"/>
              <w:right w:val="single" w:sz="4" w:space="0" w:color="auto"/>
            </w:tcBorders>
            <w:vAlign w:val="center"/>
          </w:tcPr>
          <w:p w14:paraId="5988781B" w14:textId="344297D3" w:rsidR="00600206" w:rsidRPr="00267FC2" w:rsidRDefault="00600206" w:rsidP="00684477">
            <w:pPr>
              <w:spacing w:after="0" w:line="240" w:lineRule="auto"/>
              <w:jc w:val="center"/>
              <w:rPr>
                <w:rFonts w:ascii="Times New Roman" w:hAnsi="Times New Roman"/>
                <w:sz w:val="20"/>
                <w:szCs w:val="20"/>
                <w:lang w:val="es-ES"/>
              </w:rPr>
            </w:pPr>
            <w:r>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6374983F" w14:textId="28B5550F" w:rsidR="00600206" w:rsidRPr="00267FC2" w:rsidRDefault="00600206" w:rsidP="00684477">
            <w:pPr>
              <w:spacing w:after="0" w:line="240" w:lineRule="auto"/>
              <w:jc w:val="both"/>
              <w:rPr>
                <w:rFonts w:ascii="Times New Roman" w:hAnsi="Times New Roman"/>
                <w:sz w:val="20"/>
                <w:szCs w:val="20"/>
                <w:lang w:val="es-ES"/>
              </w:rPr>
            </w:pPr>
            <w:r>
              <w:rPr>
                <w:rFonts w:ascii="Times New Roman" w:hAnsi="Times New Roman"/>
                <w:sz w:val="20"/>
                <w:szCs w:val="20"/>
                <w:lang w:val="es-ES"/>
              </w:rPr>
              <w:t>Durante 2013 se atendieron 2549 estudiantes a través del Programa de Coordinadores de Padres de la Fund</w:t>
            </w:r>
            <w:r>
              <w:rPr>
                <w:rFonts w:ascii="Times New Roman" w:hAnsi="Times New Roman"/>
                <w:sz w:val="20"/>
                <w:szCs w:val="20"/>
                <w:lang w:val="es-ES"/>
              </w:rPr>
              <w:t>a</w:t>
            </w:r>
            <w:r>
              <w:rPr>
                <w:rFonts w:ascii="Times New Roman" w:hAnsi="Times New Roman"/>
                <w:sz w:val="20"/>
                <w:szCs w:val="20"/>
                <w:lang w:val="es-ES"/>
              </w:rPr>
              <w:t>ción ITAU Social</w:t>
            </w:r>
          </w:p>
        </w:tc>
      </w:tr>
    </w:tbl>
    <w:p w14:paraId="01BFF4D4" w14:textId="77777777" w:rsidR="00600206" w:rsidRDefault="00600206" w:rsidP="00600206">
      <w:pPr>
        <w:spacing w:after="0" w:line="240" w:lineRule="auto"/>
        <w:jc w:val="center"/>
        <w:rPr>
          <w:rFonts w:ascii="Times New Roman" w:hAnsi="Times New Roman"/>
          <w:b/>
          <w:sz w:val="20"/>
          <w:szCs w:val="20"/>
          <w:u w:val="single"/>
          <w:lang w:val="es-ES"/>
        </w:rPr>
      </w:pPr>
    </w:p>
    <w:p w14:paraId="231AE891" w14:textId="3C20124D" w:rsidR="00A129EF" w:rsidRPr="00600206" w:rsidRDefault="00600206" w:rsidP="00600206">
      <w:pPr>
        <w:spacing w:after="0" w:line="240" w:lineRule="auto"/>
        <w:rPr>
          <w:rStyle w:val="BookTitle"/>
          <w:rFonts w:ascii="Times New Roman" w:hAnsi="Times New Roman"/>
          <w:bCs/>
          <w:sz w:val="20"/>
          <w:szCs w:val="20"/>
          <w:lang w:val="es-ES"/>
        </w:rPr>
      </w:pPr>
      <w:r w:rsidRPr="00267FC2">
        <w:rPr>
          <w:rFonts w:ascii="Times New Roman" w:hAnsi="Times New Roman"/>
          <w:b/>
          <w:sz w:val="20"/>
          <w:szCs w:val="20"/>
          <w:u w:val="single"/>
          <w:lang w:val="es-ES"/>
        </w:rPr>
        <w:t>Componente 3. Modernización del proceso de resocialización</w:t>
      </w:r>
    </w:p>
    <w:tbl>
      <w:tblPr>
        <w:tblW w:w="13653" w:type="dxa"/>
        <w:jc w:val="center"/>
        <w:tblInd w:w="-11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7"/>
        <w:gridCol w:w="1980"/>
        <w:gridCol w:w="9076"/>
      </w:tblGrid>
      <w:tr w:rsidR="00600206" w:rsidRPr="00957EFA" w14:paraId="0F2EDFC7" w14:textId="77777777" w:rsidTr="00684477">
        <w:trPr>
          <w:jc w:val="center"/>
        </w:trPr>
        <w:tc>
          <w:tcPr>
            <w:tcW w:w="2597" w:type="dxa"/>
            <w:tcBorders>
              <w:bottom w:val="single" w:sz="4" w:space="0" w:color="auto"/>
            </w:tcBorders>
            <w:shd w:val="clear" w:color="auto" w:fill="D6E3BC" w:themeFill="accent3" w:themeFillTint="66"/>
            <w:vAlign w:val="center"/>
          </w:tcPr>
          <w:p w14:paraId="2D39BFFF" w14:textId="77777777" w:rsidR="00600206" w:rsidRPr="00D467B6" w:rsidRDefault="00600206" w:rsidP="00684477">
            <w:pPr>
              <w:tabs>
                <w:tab w:val="left" w:pos="432"/>
              </w:tabs>
              <w:spacing w:after="0" w:line="240" w:lineRule="auto"/>
              <w:ind w:left="252" w:hanging="252"/>
              <w:jc w:val="center"/>
              <w:rPr>
                <w:rFonts w:ascii="Times New Roman" w:hAnsi="Times New Roman"/>
                <w:b/>
                <w:sz w:val="20"/>
                <w:szCs w:val="20"/>
                <w:lang w:val="es-ES"/>
              </w:rPr>
            </w:pPr>
            <w:r w:rsidRPr="00D467B6">
              <w:rPr>
                <w:rFonts w:ascii="Times New Roman" w:hAnsi="Times New Roman"/>
                <w:b/>
                <w:sz w:val="20"/>
                <w:szCs w:val="20"/>
                <w:lang w:val="es-ES"/>
              </w:rPr>
              <w:t>Indicadores</w:t>
            </w:r>
          </w:p>
        </w:tc>
        <w:tc>
          <w:tcPr>
            <w:tcW w:w="1980" w:type="dxa"/>
            <w:tcBorders>
              <w:bottom w:val="single" w:sz="4" w:space="0" w:color="auto"/>
            </w:tcBorders>
            <w:shd w:val="clear" w:color="auto" w:fill="D6E3BC" w:themeFill="accent3" w:themeFillTint="66"/>
            <w:vAlign w:val="center"/>
          </w:tcPr>
          <w:p w14:paraId="1B877367" w14:textId="77777777" w:rsidR="00600206" w:rsidRPr="00D467B6" w:rsidRDefault="00600206" w:rsidP="00684477">
            <w:pPr>
              <w:spacing w:after="0" w:line="240" w:lineRule="auto"/>
              <w:rPr>
                <w:rFonts w:ascii="Times New Roman" w:hAnsi="Times New Roman"/>
                <w:b/>
                <w:sz w:val="20"/>
                <w:szCs w:val="20"/>
                <w:lang w:val="es-ES"/>
              </w:rPr>
            </w:pPr>
            <w:r w:rsidRPr="00D467B6">
              <w:rPr>
                <w:rFonts w:ascii="Times New Roman" w:hAnsi="Times New Roman"/>
                <w:b/>
                <w:sz w:val="20"/>
                <w:szCs w:val="20"/>
                <w:lang w:val="es-ES"/>
              </w:rPr>
              <w:t>Unidad</w:t>
            </w:r>
            <w:r>
              <w:rPr>
                <w:rFonts w:ascii="Times New Roman" w:hAnsi="Times New Roman"/>
                <w:b/>
                <w:sz w:val="20"/>
                <w:szCs w:val="20"/>
                <w:lang w:val="es-ES"/>
              </w:rPr>
              <w:t xml:space="preserve"> de medida</w:t>
            </w:r>
          </w:p>
        </w:tc>
        <w:tc>
          <w:tcPr>
            <w:tcW w:w="9076" w:type="dxa"/>
            <w:tcBorders>
              <w:bottom w:val="single" w:sz="4" w:space="0" w:color="auto"/>
            </w:tcBorders>
            <w:shd w:val="clear" w:color="auto" w:fill="D6E3BC" w:themeFill="accent3" w:themeFillTint="66"/>
          </w:tcPr>
          <w:p w14:paraId="3663011F" w14:textId="77777777" w:rsidR="00600206" w:rsidRPr="00D467B6" w:rsidRDefault="00600206" w:rsidP="00684477">
            <w:pPr>
              <w:spacing w:after="0" w:line="240" w:lineRule="auto"/>
              <w:jc w:val="center"/>
              <w:rPr>
                <w:rFonts w:ascii="Times New Roman" w:hAnsi="Times New Roman"/>
                <w:b/>
                <w:sz w:val="20"/>
                <w:szCs w:val="20"/>
                <w:lang w:val="es-ES"/>
              </w:rPr>
            </w:pPr>
            <w:r w:rsidRPr="00D467B6">
              <w:rPr>
                <w:rFonts w:ascii="Times New Roman" w:hAnsi="Times New Roman"/>
                <w:b/>
                <w:sz w:val="20"/>
                <w:szCs w:val="20"/>
                <w:lang w:val="es-ES"/>
              </w:rPr>
              <w:t>Observaciones</w:t>
            </w:r>
          </w:p>
        </w:tc>
      </w:tr>
      <w:tr w:rsidR="00600206" w:rsidRPr="00957EFA" w14:paraId="252DAF02" w14:textId="77777777" w:rsidTr="00684477">
        <w:trPr>
          <w:jc w:val="center"/>
        </w:trPr>
        <w:tc>
          <w:tcPr>
            <w:tcW w:w="2597" w:type="dxa"/>
            <w:tcBorders>
              <w:bottom w:val="single" w:sz="4" w:space="0" w:color="auto"/>
            </w:tcBorders>
            <w:vAlign w:val="center"/>
          </w:tcPr>
          <w:p w14:paraId="144B7CC8" w14:textId="41049C23" w:rsidR="00600206" w:rsidRPr="00267FC2" w:rsidRDefault="0060020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3.1 Sistema de gestión s</w:t>
            </w:r>
            <w:r w:rsidRPr="00267FC2">
              <w:rPr>
                <w:rFonts w:ascii="Times New Roman" w:hAnsi="Times New Roman"/>
                <w:sz w:val="20"/>
                <w:szCs w:val="20"/>
                <w:lang w:val="es-ES"/>
              </w:rPr>
              <w:t>e</w:t>
            </w:r>
            <w:r w:rsidRPr="00267FC2">
              <w:rPr>
                <w:rFonts w:ascii="Times New Roman" w:hAnsi="Times New Roman"/>
                <w:sz w:val="20"/>
                <w:szCs w:val="20"/>
                <w:lang w:val="es-ES"/>
              </w:rPr>
              <w:t>guimiento y evaluación de desempeño de los centros IASE, incluyendo vide</w:t>
            </w:r>
            <w:r w:rsidRPr="00267FC2">
              <w:rPr>
                <w:rFonts w:ascii="Times New Roman" w:hAnsi="Times New Roman"/>
                <w:sz w:val="20"/>
                <w:szCs w:val="20"/>
                <w:lang w:val="es-ES"/>
              </w:rPr>
              <w:t>o</w:t>
            </w:r>
            <w:r w:rsidRPr="00267FC2">
              <w:rPr>
                <w:rFonts w:ascii="Times New Roman" w:hAnsi="Times New Roman"/>
                <w:sz w:val="20"/>
                <w:szCs w:val="20"/>
                <w:lang w:val="es-ES"/>
              </w:rPr>
              <w:t>monitoramento de las in</w:t>
            </w:r>
            <w:r w:rsidRPr="00267FC2">
              <w:rPr>
                <w:rFonts w:ascii="Times New Roman" w:hAnsi="Times New Roman"/>
                <w:sz w:val="20"/>
                <w:szCs w:val="20"/>
                <w:lang w:val="es-ES"/>
              </w:rPr>
              <w:t>s</w:t>
            </w:r>
            <w:r w:rsidRPr="00267FC2">
              <w:rPr>
                <w:rFonts w:ascii="Times New Roman" w:hAnsi="Times New Roman"/>
                <w:sz w:val="20"/>
                <w:szCs w:val="20"/>
                <w:lang w:val="es-ES"/>
              </w:rPr>
              <w:t xml:space="preserve">talaciones implantado y en funcionamiento. </w:t>
            </w:r>
          </w:p>
        </w:tc>
        <w:tc>
          <w:tcPr>
            <w:tcW w:w="1980" w:type="dxa"/>
            <w:tcBorders>
              <w:bottom w:val="single" w:sz="4" w:space="0" w:color="auto"/>
            </w:tcBorders>
            <w:vAlign w:val="center"/>
          </w:tcPr>
          <w:p w14:paraId="2EFED3EF" w14:textId="68E6B591"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Sistema</w:t>
            </w:r>
          </w:p>
        </w:tc>
        <w:tc>
          <w:tcPr>
            <w:tcW w:w="9076" w:type="dxa"/>
            <w:tcBorders>
              <w:bottom w:val="single" w:sz="4" w:space="0" w:color="auto"/>
            </w:tcBorders>
          </w:tcPr>
          <w:p w14:paraId="0115320C" w14:textId="2DCEA91B"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78450B05" w14:textId="77777777" w:rsidTr="00B37E90">
        <w:trPr>
          <w:jc w:val="center"/>
        </w:trPr>
        <w:tc>
          <w:tcPr>
            <w:tcW w:w="2597" w:type="dxa"/>
            <w:tcBorders>
              <w:bottom w:val="single" w:sz="4" w:space="0" w:color="auto"/>
            </w:tcBorders>
            <w:vAlign w:val="center"/>
          </w:tcPr>
          <w:p w14:paraId="649F9F7D" w14:textId="75D0671F" w:rsidR="00600206" w:rsidRPr="00267FC2" w:rsidRDefault="00600206" w:rsidP="00684477">
            <w:pPr>
              <w:tabs>
                <w:tab w:val="left" w:pos="432"/>
              </w:tabs>
              <w:spacing w:after="0" w:line="240" w:lineRule="auto"/>
              <w:ind w:left="252" w:hanging="252"/>
              <w:rPr>
                <w:rFonts w:ascii="Times New Roman" w:hAnsi="Times New Roman"/>
                <w:sz w:val="20"/>
                <w:szCs w:val="20"/>
                <w:lang w:val="es-ES"/>
              </w:rPr>
            </w:pPr>
            <w:r w:rsidRPr="00267FC2">
              <w:rPr>
                <w:rFonts w:ascii="Times New Roman" w:hAnsi="Times New Roman"/>
                <w:sz w:val="20"/>
                <w:szCs w:val="20"/>
                <w:lang w:val="es-ES"/>
              </w:rPr>
              <w:t xml:space="preserve">3.2 Servidores públicos que actúan en los centros s IASE capacitados. </w:t>
            </w:r>
          </w:p>
        </w:tc>
        <w:tc>
          <w:tcPr>
            <w:tcW w:w="1980" w:type="dxa"/>
            <w:tcBorders>
              <w:bottom w:val="single" w:sz="4" w:space="0" w:color="auto"/>
            </w:tcBorders>
          </w:tcPr>
          <w:p w14:paraId="5AB679DA" w14:textId="5710FC3B"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Servidores</w:t>
            </w:r>
          </w:p>
        </w:tc>
        <w:tc>
          <w:tcPr>
            <w:tcW w:w="9076" w:type="dxa"/>
            <w:tcBorders>
              <w:bottom w:val="single" w:sz="4" w:space="0" w:color="auto"/>
            </w:tcBorders>
          </w:tcPr>
          <w:p w14:paraId="256D96F5" w14:textId="77777777"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3CE9D71D" w14:textId="77777777" w:rsidTr="00B37E90">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0BC4ACBD" w14:textId="41A959E5"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3.3 Modelo de atención a los joven infractores desarrollado e impl</w:t>
            </w:r>
            <w:r w:rsidRPr="00267FC2">
              <w:rPr>
                <w:rFonts w:ascii="Times New Roman" w:hAnsi="Times New Roman"/>
                <w:sz w:val="20"/>
                <w:szCs w:val="20"/>
                <w:lang w:val="es-ES"/>
              </w:rPr>
              <w:t>e</w:t>
            </w:r>
            <w:r w:rsidRPr="00267FC2">
              <w:rPr>
                <w:rFonts w:ascii="Times New Roman" w:hAnsi="Times New Roman"/>
                <w:sz w:val="20"/>
                <w:szCs w:val="20"/>
                <w:lang w:val="es-ES"/>
              </w:rPr>
              <w:t>mentado involucrando al sector privado en form</w:t>
            </w:r>
            <w:r w:rsidRPr="00267FC2">
              <w:rPr>
                <w:rFonts w:ascii="Times New Roman" w:hAnsi="Times New Roman"/>
                <w:sz w:val="20"/>
                <w:szCs w:val="20"/>
                <w:lang w:val="es-ES"/>
              </w:rPr>
              <w:t>a</w:t>
            </w:r>
            <w:r w:rsidRPr="00267FC2">
              <w:rPr>
                <w:rFonts w:ascii="Times New Roman" w:hAnsi="Times New Roman"/>
                <w:sz w:val="20"/>
                <w:szCs w:val="20"/>
                <w:lang w:val="es-ES"/>
              </w:rPr>
              <w:t>ción profesional y rei</w:t>
            </w:r>
            <w:r w:rsidRPr="00267FC2">
              <w:rPr>
                <w:rFonts w:ascii="Times New Roman" w:hAnsi="Times New Roman"/>
                <w:sz w:val="20"/>
                <w:szCs w:val="20"/>
                <w:lang w:val="es-ES"/>
              </w:rPr>
              <w:t>n</w:t>
            </w:r>
            <w:r w:rsidRPr="00267FC2">
              <w:rPr>
                <w:rFonts w:ascii="Times New Roman" w:hAnsi="Times New Roman"/>
                <w:sz w:val="20"/>
                <w:szCs w:val="20"/>
                <w:lang w:val="es-ES"/>
              </w:rPr>
              <w:t>tegración de los jóvenes socioeducandos  y el fo</w:t>
            </w:r>
            <w:r w:rsidRPr="00267FC2">
              <w:rPr>
                <w:rFonts w:ascii="Times New Roman" w:hAnsi="Times New Roman"/>
                <w:sz w:val="20"/>
                <w:szCs w:val="20"/>
                <w:lang w:val="es-ES"/>
              </w:rPr>
              <w:t>r</w:t>
            </w:r>
            <w:r w:rsidRPr="00267FC2">
              <w:rPr>
                <w:rFonts w:ascii="Times New Roman" w:hAnsi="Times New Roman"/>
                <w:sz w:val="20"/>
                <w:szCs w:val="20"/>
                <w:lang w:val="es-ES"/>
              </w:rPr>
              <w:t>talecimiento del vínculo con su familia y com</w:t>
            </w:r>
            <w:r w:rsidRPr="00267FC2">
              <w:rPr>
                <w:rFonts w:ascii="Times New Roman" w:hAnsi="Times New Roman"/>
                <w:sz w:val="20"/>
                <w:szCs w:val="20"/>
                <w:lang w:val="es-ES"/>
              </w:rPr>
              <w:t>u</w:t>
            </w:r>
            <w:r w:rsidRPr="00267FC2">
              <w:rPr>
                <w:rFonts w:ascii="Times New Roman" w:hAnsi="Times New Roman"/>
                <w:sz w:val="20"/>
                <w:szCs w:val="20"/>
                <w:lang w:val="es-ES"/>
              </w:rPr>
              <w:t xml:space="preserve">nidad de origen. </w:t>
            </w:r>
          </w:p>
        </w:tc>
        <w:tc>
          <w:tcPr>
            <w:tcW w:w="1980" w:type="dxa"/>
            <w:tcBorders>
              <w:top w:val="single" w:sz="4" w:space="0" w:color="auto"/>
              <w:left w:val="single" w:sz="4" w:space="0" w:color="auto"/>
              <w:bottom w:val="single" w:sz="4" w:space="0" w:color="auto"/>
              <w:right w:val="single" w:sz="4" w:space="0" w:color="auto"/>
            </w:tcBorders>
          </w:tcPr>
          <w:p w14:paraId="1323941F" w14:textId="18EA86B4"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Modelo</w:t>
            </w:r>
          </w:p>
        </w:tc>
        <w:tc>
          <w:tcPr>
            <w:tcW w:w="9076" w:type="dxa"/>
            <w:tcBorders>
              <w:top w:val="single" w:sz="4" w:space="0" w:color="auto"/>
              <w:left w:val="single" w:sz="4" w:space="0" w:color="auto"/>
              <w:bottom w:val="single" w:sz="4" w:space="0" w:color="auto"/>
              <w:right w:val="single" w:sz="4" w:space="0" w:color="auto"/>
            </w:tcBorders>
          </w:tcPr>
          <w:p w14:paraId="56F62B59" w14:textId="15E1881B"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47AD329B" w14:textId="77777777" w:rsidTr="00B37E90">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71EE4EF2" w14:textId="783E5911"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3.3.1 Jóvenes internados atendidos con servicios de deportes, cultura, r</w:t>
            </w:r>
            <w:r w:rsidRPr="00267FC2">
              <w:rPr>
                <w:rFonts w:ascii="Times New Roman" w:hAnsi="Times New Roman"/>
                <w:sz w:val="20"/>
                <w:szCs w:val="20"/>
                <w:lang w:val="es-ES"/>
              </w:rPr>
              <w:t>e</w:t>
            </w:r>
            <w:r w:rsidRPr="00267FC2">
              <w:rPr>
                <w:rFonts w:ascii="Times New Roman" w:hAnsi="Times New Roman"/>
                <w:sz w:val="20"/>
                <w:szCs w:val="20"/>
                <w:lang w:val="es-ES"/>
              </w:rPr>
              <w:t>creación, métodos de r</w:t>
            </w:r>
            <w:r w:rsidRPr="00267FC2">
              <w:rPr>
                <w:rFonts w:ascii="Times New Roman" w:hAnsi="Times New Roman"/>
                <w:sz w:val="20"/>
                <w:szCs w:val="20"/>
                <w:lang w:val="es-ES"/>
              </w:rPr>
              <w:t>e</w:t>
            </w:r>
            <w:r w:rsidRPr="00267FC2">
              <w:rPr>
                <w:rFonts w:ascii="Times New Roman" w:hAnsi="Times New Roman"/>
                <w:sz w:val="20"/>
                <w:szCs w:val="20"/>
                <w:lang w:val="es-ES"/>
              </w:rPr>
              <w:t>solución de conflictos  y promoción de una cult</w:t>
            </w:r>
            <w:r w:rsidRPr="00267FC2">
              <w:rPr>
                <w:rFonts w:ascii="Times New Roman" w:hAnsi="Times New Roman"/>
                <w:sz w:val="20"/>
                <w:szCs w:val="20"/>
                <w:lang w:val="es-ES"/>
              </w:rPr>
              <w:t>u</w:t>
            </w:r>
            <w:r w:rsidRPr="00267FC2">
              <w:rPr>
                <w:rFonts w:ascii="Times New Roman" w:hAnsi="Times New Roman"/>
                <w:sz w:val="20"/>
                <w:szCs w:val="20"/>
                <w:lang w:val="es-ES"/>
              </w:rPr>
              <w:t>ra de paz y desarrollo personal.</w:t>
            </w:r>
          </w:p>
        </w:tc>
        <w:tc>
          <w:tcPr>
            <w:tcW w:w="1980" w:type="dxa"/>
            <w:tcBorders>
              <w:top w:val="single" w:sz="4" w:space="0" w:color="auto"/>
              <w:left w:val="single" w:sz="4" w:space="0" w:color="auto"/>
              <w:bottom w:val="single" w:sz="4" w:space="0" w:color="auto"/>
              <w:right w:val="single" w:sz="4" w:space="0" w:color="auto"/>
            </w:tcBorders>
          </w:tcPr>
          <w:p w14:paraId="5E578AD4" w14:textId="0AEBCB6D"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5F75DD07" w14:textId="77777777"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3D0C9893" w14:textId="77777777" w:rsidTr="00B37E90">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5A7B2EB6" w14:textId="12E7DDCE"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3.3.2 Jóvenes internados que se benefician de las actividades escolares de aceleración y alfabetiz</w:t>
            </w:r>
            <w:r w:rsidRPr="00267FC2">
              <w:rPr>
                <w:rFonts w:ascii="Times New Roman" w:hAnsi="Times New Roman"/>
                <w:sz w:val="20"/>
                <w:szCs w:val="20"/>
                <w:lang w:val="es-ES"/>
              </w:rPr>
              <w:t>a</w:t>
            </w:r>
            <w:r w:rsidRPr="00267FC2">
              <w:rPr>
                <w:rFonts w:ascii="Times New Roman" w:hAnsi="Times New Roman"/>
                <w:sz w:val="20"/>
                <w:szCs w:val="20"/>
                <w:lang w:val="es-ES"/>
              </w:rPr>
              <w:t>ción.</w:t>
            </w:r>
          </w:p>
        </w:tc>
        <w:tc>
          <w:tcPr>
            <w:tcW w:w="1980" w:type="dxa"/>
            <w:tcBorders>
              <w:top w:val="single" w:sz="4" w:space="0" w:color="auto"/>
              <w:left w:val="single" w:sz="4" w:space="0" w:color="auto"/>
              <w:bottom w:val="single" w:sz="4" w:space="0" w:color="auto"/>
              <w:right w:val="single" w:sz="4" w:space="0" w:color="auto"/>
            </w:tcBorders>
          </w:tcPr>
          <w:p w14:paraId="42BBE41E" w14:textId="6434ED11"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3D2B313C" w14:textId="77777777"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109CDA5E" w14:textId="77777777" w:rsidTr="00B37E90">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274607B6" w14:textId="5D779F15"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3.3.3 Jóvenes internados que completan activid</w:t>
            </w:r>
            <w:r w:rsidRPr="00267FC2">
              <w:rPr>
                <w:rFonts w:ascii="Times New Roman" w:hAnsi="Times New Roman"/>
                <w:sz w:val="20"/>
                <w:szCs w:val="20"/>
                <w:lang w:val="es-ES"/>
              </w:rPr>
              <w:t>a</w:t>
            </w:r>
            <w:r w:rsidRPr="00267FC2">
              <w:rPr>
                <w:rFonts w:ascii="Times New Roman" w:hAnsi="Times New Roman"/>
                <w:sz w:val="20"/>
                <w:szCs w:val="20"/>
                <w:lang w:val="es-ES"/>
              </w:rPr>
              <w:t>des de capacitación lab</w:t>
            </w:r>
            <w:r w:rsidRPr="00267FC2">
              <w:rPr>
                <w:rFonts w:ascii="Times New Roman" w:hAnsi="Times New Roman"/>
                <w:sz w:val="20"/>
                <w:szCs w:val="20"/>
                <w:lang w:val="es-ES"/>
              </w:rPr>
              <w:t>o</w:t>
            </w:r>
            <w:r w:rsidRPr="00267FC2">
              <w:rPr>
                <w:rFonts w:ascii="Times New Roman" w:hAnsi="Times New Roman"/>
                <w:sz w:val="20"/>
                <w:szCs w:val="20"/>
                <w:lang w:val="es-ES"/>
              </w:rPr>
              <w:t xml:space="preserve">ral. </w:t>
            </w:r>
          </w:p>
        </w:tc>
        <w:tc>
          <w:tcPr>
            <w:tcW w:w="1980" w:type="dxa"/>
            <w:tcBorders>
              <w:top w:val="single" w:sz="4" w:space="0" w:color="auto"/>
              <w:left w:val="single" w:sz="4" w:space="0" w:color="auto"/>
              <w:bottom w:val="single" w:sz="4" w:space="0" w:color="auto"/>
              <w:right w:val="single" w:sz="4" w:space="0" w:color="auto"/>
            </w:tcBorders>
          </w:tcPr>
          <w:p w14:paraId="44A28F75" w14:textId="511ED6C6"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2B665A24" w14:textId="6329125C"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25265190"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6C71FFF8" w14:textId="27224438"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3.4 Sistema de segu</w:t>
            </w:r>
            <w:r w:rsidRPr="00267FC2">
              <w:rPr>
                <w:rFonts w:ascii="Times New Roman" w:hAnsi="Times New Roman"/>
                <w:sz w:val="20"/>
                <w:szCs w:val="20"/>
                <w:lang w:val="es-ES"/>
              </w:rPr>
              <w:t>i</w:t>
            </w:r>
            <w:r w:rsidRPr="00267FC2">
              <w:rPr>
                <w:rFonts w:ascii="Times New Roman" w:hAnsi="Times New Roman"/>
                <w:sz w:val="20"/>
                <w:szCs w:val="20"/>
                <w:lang w:val="es-ES"/>
              </w:rPr>
              <w:t>miento y apoyo a la rei</w:t>
            </w:r>
            <w:r w:rsidRPr="00267FC2">
              <w:rPr>
                <w:rFonts w:ascii="Times New Roman" w:hAnsi="Times New Roman"/>
                <w:sz w:val="20"/>
                <w:szCs w:val="20"/>
                <w:lang w:val="es-ES"/>
              </w:rPr>
              <w:t>n</w:t>
            </w:r>
            <w:r w:rsidRPr="00267FC2">
              <w:rPr>
                <w:rFonts w:ascii="Times New Roman" w:hAnsi="Times New Roman"/>
                <w:sz w:val="20"/>
                <w:szCs w:val="20"/>
                <w:lang w:val="es-ES"/>
              </w:rPr>
              <w:t>tegración de jóvenes que salen de los centros desarrollados y en op</w:t>
            </w:r>
            <w:r w:rsidRPr="00267FC2">
              <w:rPr>
                <w:rFonts w:ascii="Times New Roman" w:hAnsi="Times New Roman"/>
                <w:sz w:val="20"/>
                <w:szCs w:val="20"/>
                <w:lang w:val="es-ES"/>
              </w:rPr>
              <w:t>e</w:t>
            </w:r>
            <w:r w:rsidRPr="00267FC2">
              <w:rPr>
                <w:rFonts w:ascii="Times New Roman" w:hAnsi="Times New Roman"/>
                <w:sz w:val="20"/>
                <w:szCs w:val="20"/>
                <w:lang w:val="es-ES"/>
              </w:rPr>
              <w:t>ración.</w:t>
            </w:r>
          </w:p>
        </w:tc>
        <w:tc>
          <w:tcPr>
            <w:tcW w:w="1980" w:type="dxa"/>
            <w:tcBorders>
              <w:top w:val="single" w:sz="4" w:space="0" w:color="auto"/>
              <w:left w:val="single" w:sz="4" w:space="0" w:color="auto"/>
              <w:bottom w:val="single" w:sz="4" w:space="0" w:color="auto"/>
              <w:right w:val="single" w:sz="4" w:space="0" w:color="auto"/>
            </w:tcBorders>
            <w:vAlign w:val="center"/>
          </w:tcPr>
          <w:p w14:paraId="6C75B34B" w14:textId="689FED76"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Sistema</w:t>
            </w:r>
          </w:p>
        </w:tc>
        <w:tc>
          <w:tcPr>
            <w:tcW w:w="9076" w:type="dxa"/>
            <w:tcBorders>
              <w:top w:val="single" w:sz="4" w:space="0" w:color="auto"/>
              <w:left w:val="single" w:sz="4" w:space="0" w:color="auto"/>
              <w:bottom w:val="single" w:sz="4" w:space="0" w:color="auto"/>
              <w:right w:val="single" w:sz="4" w:space="0" w:color="auto"/>
            </w:tcBorders>
          </w:tcPr>
          <w:p w14:paraId="7A6C3B27" w14:textId="3767F618"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676A86B7"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4A13C7AB" w14:textId="5A65AEE4"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3.4.1 Centro de Atención e Inclusión Social para jóvenes egresos equip</w:t>
            </w:r>
            <w:r w:rsidRPr="00267FC2">
              <w:rPr>
                <w:rFonts w:ascii="Times New Roman" w:hAnsi="Times New Roman"/>
                <w:sz w:val="20"/>
                <w:szCs w:val="20"/>
                <w:lang w:val="es-ES"/>
              </w:rPr>
              <w:t>a</w:t>
            </w:r>
            <w:r w:rsidRPr="00267FC2">
              <w:rPr>
                <w:rFonts w:ascii="Times New Roman" w:hAnsi="Times New Roman"/>
                <w:sz w:val="20"/>
                <w:szCs w:val="20"/>
                <w:lang w:val="es-ES"/>
              </w:rPr>
              <w:t xml:space="preserve">do y en funcionamiento. </w:t>
            </w:r>
          </w:p>
        </w:tc>
        <w:tc>
          <w:tcPr>
            <w:tcW w:w="1980" w:type="dxa"/>
            <w:tcBorders>
              <w:top w:val="single" w:sz="4" w:space="0" w:color="auto"/>
              <w:left w:val="single" w:sz="4" w:space="0" w:color="auto"/>
              <w:bottom w:val="single" w:sz="4" w:space="0" w:color="auto"/>
              <w:right w:val="single" w:sz="4" w:space="0" w:color="auto"/>
            </w:tcBorders>
            <w:vAlign w:val="center"/>
          </w:tcPr>
          <w:p w14:paraId="73DFDA76" w14:textId="09F357AB"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Centro</w:t>
            </w:r>
          </w:p>
        </w:tc>
        <w:tc>
          <w:tcPr>
            <w:tcW w:w="9076" w:type="dxa"/>
            <w:tcBorders>
              <w:top w:val="single" w:sz="4" w:space="0" w:color="auto"/>
              <w:left w:val="single" w:sz="4" w:space="0" w:color="auto"/>
              <w:bottom w:val="single" w:sz="4" w:space="0" w:color="auto"/>
              <w:right w:val="single" w:sz="4" w:space="0" w:color="auto"/>
            </w:tcBorders>
          </w:tcPr>
          <w:p w14:paraId="6DCCDDEC" w14:textId="52D5E60F" w:rsidR="00600206" w:rsidRPr="00267FC2" w:rsidRDefault="00600206" w:rsidP="00684477">
            <w:pPr>
              <w:spacing w:after="0" w:line="240" w:lineRule="auto"/>
              <w:jc w:val="both"/>
              <w:rPr>
                <w:rFonts w:ascii="Times New Roman" w:hAnsi="Times New Roman"/>
                <w:sz w:val="20"/>
                <w:szCs w:val="20"/>
                <w:lang w:val="es-ES"/>
              </w:rPr>
            </w:pPr>
          </w:p>
        </w:tc>
      </w:tr>
      <w:tr w:rsidR="00600206" w:rsidRPr="00957EFA" w14:paraId="2EB3B82C" w14:textId="77777777" w:rsidTr="00684477">
        <w:trPr>
          <w:jc w:val="center"/>
        </w:trPr>
        <w:tc>
          <w:tcPr>
            <w:tcW w:w="2597" w:type="dxa"/>
            <w:tcBorders>
              <w:top w:val="single" w:sz="4" w:space="0" w:color="auto"/>
              <w:left w:val="single" w:sz="4" w:space="0" w:color="auto"/>
              <w:bottom w:val="single" w:sz="4" w:space="0" w:color="auto"/>
              <w:right w:val="single" w:sz="4" w:space="0" w:color="auto"/>
            </w:tcBorders>
            <w:vAlign w:val="center"/>
          </w:tcPr>
          <w:p w14:paraId="7CBF0E8A" w14:textId="5776F1BE" w:rsidR="00600206" w:rsidRPr="00267FC2" w:rsidRDefault="00600206" w:rsidP="00684477">
            <w:pPr>
              <w:tabs>
                <w:tab w:val="left" w:pos="432"/>
              </w:tabs>
              <w:spacing w:after="0" w:line="240" w:lineRule="auto"/>
              <w:ind w:left="360"/>
              <w:rPr>
                <w:rFonts w:ascii="Times New Roman" w:hAnsi="Times New Roman"/>
                <w:sz w:val="20"/>
                <w:szCs w:val="20"/>
                <w:lang w:val="es-ES"/>
              </w:rPr>
            </w:pPr>
            <w:r w:rsidRPr="00267FC2">
              <w:rPr>
                <w:rFonts w:ascii="Times New Roman" w:hAnsi="Times New Roman"/>
                <w:sz w:val="20"/>
                <w:szCs w:val="20"/>
                <w:lang w:val="es-ES"/>
              </w:rPr>
              <w:t>3.4.2 Jóvenes egres</w:t>
            </w:r>
            <w:r>
              <w:rPr>
                <w:rFonts w:ascii="Times New Roman" w:hAnsi="Times New Roman"/>
                <w:sz w:val="20"/>
                <w:szCs w:val="20"/>
                <w:lang w:val="es-ES"/>
              </w:rPr>
              <w:t>ados</w:t>
            </w:r>
            <w:r w:rsidRPr="00267FC2">
              <w:rPr>
                <w:rFonts w:ascii="Times New Roman" w:hAnsi="Times New Roman"/>
                <w:sz w:val="20"/>
                <w:szCs w:val="20"/>
                <w:lang w:val="es-ES"/>
              </w:rPr>
              <w:t xml:space="preserve"> de los IASES que se r</w:t>
            </w:r>
            <w:r w:rsidRPr="00267FC2">
              <w:rPr>
                <w:rFonts w:ascii="Times New Roman" w:hAnsi="Times New Roman"/>
                <w:sz w:val="20"/>
                <w:szCs w:val="20"/>
                <w:lang w:val="es-ES"/>
              </w:rPr>
              <w:t>e</w:t>
            </w:r>
            <w:r w:rsidRPr="00267FC2">
              <w:rPr>
                <w:rFonts w:ascii="Times New Roman" w:hAnsi="Times New Roman"/>
                <w:sz w:val="20"/>
                <w:szCs w:val="20"/>
                <w:lang w:val="es-ES"/>
              </w:rPr>
              <w:t>ciben apoyo en su proc</w:t>
            </w:r>
            <w:r w:rsidRPr="00267FC2">
              <w:rPr>
                <w:rFonts w:ascii="Times New Roman" w:hAnsi="Times New Roman"/>
                <w:sz w:val="20"/>
                <w:szCs w:val="20"/>
                <w:lang w:val="es-ES"/>
              </w:rPr>
              <w:t>e</w:t>
            </w:r>
            <w:r w:rsidRPr="00267FC2">
              <w:rPr>
                <w:rFonts w:ascii="Times New Roman" w:hAnsi="Times New Roman"/>
                <w:sz w:val="20"/>
                <w:szCs w:val="20"/>
                <w:lang w:val="es-ES"/>
              </w:rPr>
              <w:t xml:space="preserve">so de reintegración. </w:t>
            </w:r>
          </w:p>
        </w:tc>
        <w:tc>
          <w:tcPr>
            <w:tcW w:w="1980" w:type="dxa"/>
            <w:tcBorders>
              <w:top w:val="single" w:sz="4" w:space="0" w:color="auto"/>
              <w:left w:val="single" w:sz="4" w:space="0" w:color="auto"/>
              <w:bottom w:val="single" w:sz="4" w:space="0" w:color="auto"/>
              <w:right w:val="single" w:sz="4" w:space="0" w:color="auto"/>
            </w:tcBorders>
            <w:vAlign w:val="center"/>
          </w:tcPr>
          <w:p w14:paraId="489DD232" w14:textId="0924EFD3" w:rsidR="00600206" w:rsidRPr="00267FC2" w:rsidRDefault="00600206" w:rsidP="00684477">
            <w:pPr>
              <w:spacing w:after="0" w:line="240" w:lineRule="auto"/>
              <w:jc w:val="center"/>
              <w:rPr>
                <w:rFonts w:ascii="Times New Roman" w:hAnsi="Times New Roman"/>
                <w:sz w:val="20"/>
                <w:szCs w:val="20"/>
                <w:lang w:val="es-ES"/>
              </w:rPr>
            </w:pPr>
            <w:r w:rsidRPr="00267FC2">
              <w:rPr>
                <w:rFonts w:ascii="Times New Roman" w:hAnsi="Times New Roman"/>
                <w:sz w:val="20"/>
                <w:szCs w:val="20"/>
                <w:lang w:val="es-ES"/>
              </w:rPr>
              <w:t>Jóvenes</w:t>
            </w:r>
          </w:p>
        </w:tc>
        <w:tc>
          <w:tcPr>
            <w:tcW w:w="9076" w:type="dxa"/>
            <w:tcBorders>
              <w:top w:val="single" w:sz="4" w:space="0" w:color="auto"/>
              <w:left w:val="single" w:sz="4" w:space="0" w:color="auto"/>
              <w:bottom w:val="single" w:sz="4" w:space="0" w:color="auto"/>
              <w:right w:val="single" w:sz="4" w:space="0" w:color="auto"/>
            </w:tcBorders>
          </w:tcPr>
          <w:p w14:paraId="6995B0FD" w14:textId="2122A88B" w:rsidR="00600206" w:rsidRPr="00267FC2" w:rsidRDefault="00600206" w:rsidP="00684477">
            <w:pPr>
              <w:spacing w:after="0" w:line="240" w:lineRule="auto"/>
              <w:jc w:val="both"/>
              <w:rPr>
                <w:rFonts w:ascii="Times New Roman" w:hAnsi="Times New Roman"/>
                <w:sz w:val="20"/>
                <w:szCs w:val="20"/>
                <w:lang w:val="es-ES"/>
              </w:rPr>
            </w:pPr>
          </w:p>
        </w:tc>
      </w:tr>
    </w:tbl>
    <w:p w14:paraId="56A6745B" w14:textId="77777777" w:rsidR="00A129EF" w:rsidRPr="00600206" w:rsidRDefault="00A129EF" w:rsidP="006F4E38">
      <w:pPr>
        <w:spacing w:before="240" w:after="120" w:line="240" w:lineRule="auto"/>
        <w:jc w:val="center"/>
        <w:rPr>
          <w:rStyle w:val="BookTitle"/>
          <w:rFonts w:ascii="Times New Roman" w:hAnsi="Times New Roman"/>
          <w:bCs/>
          <w:sz w:val="20"/>
          <w:szCs w:val="20"/>
          <w:lang w:val="es-ES_tradnl"/>
        </w:rPr>
      </w:pPr>
    </w:p>
    <w:p w14:paraId="3DECF65A" w14:textId="77777777" w:rsidR="000F1571" w:rsidRPr="009F79B0" w:rsidRDefault="000F1571" w:rsidP="00600206">
      <w:pPr>
        <w:pStyle w:val="ListParagraph"/>
        <w:ind w:left="0"/>
        <w:jc w:val="both"/>
        <w:rPr>
          <w:rFonts w:ascii="Times New Roman" w:hAnsi="Times New Roman"/>
          <w:sz w:val="2"/>
          <w:szCs w:val="2"/>
          <w:lang w:val="es-ES"/>
        </w:rPr>
      </w:pPr>
    </w:p>
    <w:p w14:paraId="46B39E21" w14:textId="77777777" w:rsidR="002A7CDE" w:rsidRPr="009F79B0" w:rsidRDefault="002A7CDE">
      <w:pPr>
        <w:pStyle w:val="ListParagraph"/>
        <w:ind w:left="360"/>
        <w:jc w:val="both"/>
        <w:rPr>
          <w:rFonts w:ascii="Times New Roman" w:hAnsi="Times New Roman"/>
          <w:sz w:val="2"/>
          <w:szCs w:val="2"/>
          <w:lang w:val="es-ES"/>
        </w:rPr>
      </w:pPr>
    </w:p>
    <w:sectPr w:rsidR="002A7CDE" w:rsidRPr="009F79B0" w:rsidSect="00CA31B3">
      <w:pgSz w:w="15840" w:h="12240" w:orient="landscape"/>
      <w:pgMar w:top="1050" w:right="1440" w:bottom="99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90D0F" w14:textId="77777777" w:rsidR="00957EFA" w:rsidRDefault="00957EFA" w:rsidP="00B66CA2">
      <w:pPr>
        <w:spacing w:after="0" w:line="240" w:lineRule="auto"/>
      </w:pPr>
      <w:r>
        <w:separator/>
      </w:r>
    </w:p>
  </w:endnote>
  <w:endnote w:type="continuationSeparator" w:id="0">
    <w:p w14:paraId="47357E23" w14:textId="77777777" w:rsidR="00957EFA" w:rsidRDefault="00957EFA" w:rsidP="00B66CA2">
      <w:pPr>
        <w:spacing w:after="0" w:line="240" w:lineRule="auto"/>
      </w:pPr>
      <w:r>
        <w:continuationSeparator/>
      </w:r>
    </w:p>
  </w:endnote>
  <w:endnote w:type="continuationNotice" w:id="1">
    <w:p w14:paraId="0A6192B7" w14:textId="77777777" w:rsidR="00957EFA" w:rsidRDefault="00957E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9487F" w14:textId="77777777" w:rsidR="00957EFA" w:rsidRDefault="00957EFA" w:rsidP="00B66CA2">
      <w:pPr>
        <w:spacing w:after="0" w:line="240" w:lineRule="auto"/>
      </w:pPr>
      <w:r>
        <w:separator/>
      </w:r>
    </w:p>
  </w:footnote>
  <w:footnote w:type="continuationSeparator" w:id="0">
    <w:p w14:paraId="299A8F82" w14:textId="77777777" w:rsidR="00957EFA" w:rsidRDefault="00957EFA" w:rsidP="00B66CA2">
      <w:pPr>
        <w:spacing w:after="0" w:line="240" w:lineRule="auto"/>
      </w:pPr>
      <w:r>
        <w:continuationSeparator/>
      </w:r>
    </w:p>
  </w:footnote>
  <w:footnote w:type="continuationNotice" w:id="1">
    <w:p w14:paraId="34FB5828" w14:textId="77777777" w:rsidR="00957EFA" w:rsidRDefault="00957EF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4128"/>
    <w:multiLevelType w:val="hybridMultilevel"/>
    <w:tmpl w:val="C83E95A6"/>
    <w:lvl w:ilvl="0" w:tplc="040A0017">
      <w:start w:val="1"/>
      <w:numFmt w:val="lowerLetter"/>
      <w:lvlText w:val="%1)"/>
      <w:lvlJc w:val="left"/>
      <w:pPr>
        <w:ind w:left="360" w:hanging="360"/>
      </w:pPr>
      <w:rPr>
        <w:rFonts w:cs="Times New Roman"/>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nsid w:val="0A017534"/>
    <w:multiLevelType w:val="hybridMultilevel"/>
    <w:tmpl w:val="3D9E4D72"/>
    <w:lvl w:ilvl="0" w:tplc="040A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8D6420"/>
    <w:multiLevelType w:val="multilevel"/>
    <w:tmpl w:val="E36093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C6E11A0"/>
    <w:multiLevelType w:val="multilevel"/>
    <w:tmpl w:val="CE448F40"/>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DAB7FC9"/>
    <w:multiLevelType w:val="multilevel"/>
    <w:tmpl w:val="D966ABC2"/>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720"/>
        </w:tabs>
        <w:ind w:left="720" w:hanging="720"/>
      </w:pPr>
      <w:rPr>
        <w:rFonts w:ascii="Times New Roman" w:hAnsi="Times New Roman" w:cs="Times New Roman" w:hint="default"/>
        <w:b w:val="0"/>
        <w:sz w:val="24"/>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nsid w:val="0E9B12A9"/>
    <w:multiLevelType w:val="multilevel"/>
    <w:tmpl w:val="05BE8C00"/>
    <w:lvl w:ilvl="0">
      <w:start w:val="3"/>
      <w:numFmt w:val="decimal"/>
      <w:lvlText w:val="%1"/>
      <w:lvlJc w:val="left"/>
      <w:pPr>
        <w:ind w:left="360" w:hanging="360"/>
      </w:pPr>
      <w:rPr>
        <w:rFonts w:ascii="Calibri" w:hAnsi="Calibri" w:hint="default"/>
        <w:sz w:val="22"/>
      </w:rPr>
    </w:lvl>
    <w:lvl w:ilvl="1">
      <w:start w:val="4"/>
      <w:numFmt w:val="decimal"/>
      <w:lvlText w:val="%1.%2"/>
      <w:lvlJc w:val="left"/>
      <w:pPr>
        <w:ind w:left="360" w:hanging="360"/>
      </w:pPr>
      <w:rPr>
        <w:rFonts w:ascii="Calibri" w:hAnsi="Calibri" w:hint="default"/>
        <w:sz w:val="22"/>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720" w:hanging="72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080" w:hanging="108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440" w:hanging="1440"/>
      </w:pPr>
      <w:rPr>
        <w:rFonts w:ascii="Calibri" w:hAnsi="Calibri" w:hint="default"/>
        <w:sz w:val="22"/>
      </w:rPr>
    </w:lvl>
  </w:abstractNum>
  <w:abstractNum w:abstractNumId="6">
    <w:nsid w:val="15B214F9"/>
    <w:multiLevelType w:val="hybridMultilevel"/>
    <w:tmpl w:val="C42A2B26"/>
    <w:lvl w:ilvl="0" w:tplc="040A000F">
      <w:start w:val="1"/>
      <w:numFmt w:val="decimal"/>
      <w:lvlText w:val="%1."/>
      <w:lvlJc w:val="left"/>
      <w:pPr>
        <w:ind w:left="360" w:hanging="360"/>
      </w:pPr>
      <w:rPr>
        <w:rFonts w:cs="Times New Roman" w:hint="default"/>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7">
    <w:nsid w:val="18436DC2"/>
    <w:multiLevelType w:val="hybridMultilevel"/>
    <w:tmpl w:val="FE7A424E"/>
    <w:lvl w:ilvl="0" w:tplc="040A0005">
      <w:start w:val="1"/>
      <w:numFmt w:val="bullet"/>
      <w:lvlText w:val=""/>
      <w:lvlJc w:val="left"/>
      <w:pPr>
        <w:ind w:left="720" w:hanging="360"/>
      </w:pPr>
      <w:rPr>
        <w:rFonts w:ascii="Wingdings" w:hAnsi="Wingdings"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8">
    <w:nsid w:val="1DB30E67"/>
    <w:multiLevelType w:val="multilevel"/>
    <w:tmpl w:val="B108F528"/>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9">
    <w:nsid w:val="1F571297"/>
    <w:multiLevelType w:val="hybridMultilevel"/>
    <w:tmpl w:val="C83E95A6"/>
    <w:lvl w:ilvl="0" w:tplc="040A0017">
      <w:start w:val="1"/>
      <w:numFmt w:val="lowerLetter"/>
      <w:lvlText w:val="%1)"/>
      <w:lvlJc w:val="left"/>
      <w:pPr>
        <w:ind w:left="360" w:hanging="360"/>
      </w:pPr>
      <w:rPr>
        <w:rFonts w:cs="Times New Roman"/>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0">
    <w:nsid w:val="22275CE0"/>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39A149F"/>
    <w:multiLevelType w:val="multilevel"/>
    <w:tmpl w:val="A74EC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61E764B"/>
    <w:multiLevelType w:val="hybridMultilevel"/>
    <w:tmpl w:val="3D9E4D72"/>
    <w:lvl w:ilvl="0" w:tplc="040A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A78717E"/>
    <w:multiLevelType w:val="multilevel"/>
    <w:tmpl w:val="46BABD6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2AE54695"/>
    <w:multiLevelType w:val="multilevel"/>
    <w:tmpl w:val="19FAD7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D067BA5"/>
    <w:multiLevelType w:val="hybridMultilevel"/>
    <w:tmpl w:val="5C7EADE6"/>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nsid w:val="2D1E12A8"/>
    <w:multiLevelType w:val="hybridMultilevel"/>
    <w:tmpl w:val="1694B2B2"/>
    <w:lvl w:ilvl="0" w:tplc="040A0005">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7">
    <w:nsid w:val="3179270F"/>
    <w:multiLevelType w:val="multilevel"/>
    <w:tmpl w:val="676644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3167FFC"/>
    <w:multiLevelType w:val="multilevel"/>
    <w:tmpl w:val="E360939C"/>
    <w:lvl w:ilvl="0">
      <w:start w:val="1"/>
      <w:numFmt w:val="decimal"/>
      <w:lvlText w:val="%1."/>
      <w:lvlJc w:val="left"/>
      <w:pPr>
        <w:ind w:left="360" w:hanging="360"/>
      </w:pPr>
      <w:rPr>
        <w:rFonts w:cs="Times New Roman" w:hint="default"/>
      </w:rPr>
    </w:lvl>
    <w:lvl w:ilvl="1">
      <w:start w:val="1"/>
      <w:numFmt w:val="decimal"/>
      <w:lvlText w:val="%1.%2."/>
      <w:lvlJc w:val="left"/>
      <w:pPr>
        <w:ind w:left="45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338A7395"/>
    <w:multiLevelType w:val="multilevel"/>
    <w:tmpl w:val="E360939C"/>
    <w:lvl w:ilvl="0">
      <w:start w:val="1"/>
      <w:numFmt w:val="decimal"/>
      <w:lvlText w:val="%1."/>
      <w:lvlJc w:val="left"/>
      <w:pPr>
        <w:ind w:left="360" w:hanging="360"/>
      </w:pPr>
      <w:rPr>
        <w:rFonts w:cs="Times New Roman" w:hint="default"/>
      </w:rPr>
    </w:lvl>
    <w:lvl w:ilvl="1">
      <w:start w:val="1"/>
      <w:numFmt w:val="decimal"/>
      <w:lvlText w:val="%1.%2."/>
      <w:lvlJc w:val="left"/>
      <w:pPr>
        <w:ind w:left="45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C251F0A"/>
    <w:multiLevelType w:val="hybridMultilevel"/>
    <w:tmpl w:val="3D9E4D72"/>
    <w:lvl w:ilvl="0" w:tplc="040A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F247F3A"/>
    <w:multiLevelType w:val="multilevel"/>
    <w:tmpl w:val="38A685FC"/>
    <w:lvl w:ilvl="0">
      <w:start w:val="1"/>
      <w:numFmt w:val="decimal"/>
      <w:lvlText w:val="%1."/>
      <w:lvlJc w:val="left"/>
      <w:pPr>
        <w:ind w:left="360" w:hanging="360"/>
      </w:pPr>
      <w:rPr>
        <w:rFonts w:hint="default"/>
        <w:color w:val="000000"/>
      </w:rPr>
    </w:lvl>
    <w:lvl w:ilvl="1">
      <w:start w:val="5"/>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nsid w:val="42B723FF"/>
    <w:multiLevelType w:val="multilevel"/>
    <w:tmpl w:val="8F007FCE"/>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nsid w:val="469C0AC7"/>
    <w:multiLevelType w:val="hybridMultilevel"/>
    <w:tmpl w:val="FE6C1FE8"/>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4">
    <w:nsid w:val="473E550F"/>
    <w:multiLevelType w:val="hybridMultilevel"/>
    <w:tmpl w:val="3D9E4D72"/>
    <w:lvl w:ilvl="0" w:tplc="040A0017">
      <w:start w:val="1"/>
      <w:numFmt w:val="lowerLetter"/>
      <w:lvlText w:val="%1)"/>
      <w:lvlJc w:val="left"/>
      <w:pPr>
        <w:ind w:left="2912" w:hanging="360"/>
      </w:pPr>
      <w:rPr>
        <w:rFonts w:cs="Times New Roman" w:hint="default"/>
      </w:rPr>
    </w:lvl>
    <w:lvl w:ilvl="1" w:tplc="04090003" w:tentative="1">
      <w:start w:val="1"/>
      <w:numFmt w:val="bullet"/>
      <w:lvlText w:val="o"/>
      <w:lvlJc w:val="left"/>
      <w:pPr>
        <w:ind w:left="3632" w:hanging="360"/>
      </w:pPr>
      <w:rPr>
        <w:rFonts w:ascii="Courier New" w:hAnsi="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25">
    <w:nsid w:val="482A38B4"/>
    <w:multiLevelType w:val="hybridMultilevel"/>
    <w:tmpl w:val="C83E95A6"/>
    <w:lvl w:ilvl="0" w:tplc="040A0017">
      <w:start w:val="1"/>
      <w:numFmt w:val="lowerLetter"/>
      <w:lvlText w:val="%1)"/>
      <w:lvlJc w:val="left"/>
      <w:pPr>
        <w:ind w:left="360" w:hanging="360"/>
      </w:pPr>
      <w:rPr>
        <w:rFonts w:cs="Times New Roman"/>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26">
    <w:nsid w:val="48FB7F19"/>
    <w:multiLevelType w:val="multilevel"/>
    <w:tmpl w:val="5DD87CEE"/>
    <w:lvl w:ilvl="0">
      <w:start w:val="3"/>
      <w:numFmt w:val="decimal"/>
      <w:lvlText w:val="%1."/>
      <w:lvlJc w:val="left"/>
      <w:pPr>
        <w:ind w:left="360" w:hanging="360"/>
      </w:pPr>
      <w:rPr>
        <w:rFonts w:cs="Times New Roman" w:hint="default"/>
        <w:sz w:val="18"/>
      </w:rPr>
    </w:lvl>
    <w:lvl w:ilvl="1">
      <w:start w:val="4"/>
      <w:numFmt w:val="decimal"/>
      <w:lvlText w:val="%1.%2."/>
      <w:lvlJc w:val="left"/>
      <w:pPr>
        <w:ind w:left="360" w:hanging="360"/>
      </w:pPr>
      <w:rPr>
        <w:rFonts w:cs="Times New Roman" w:hint="default"/>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080" w:hanging="108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440" w:hanging="1440"/>
      </w:pPr>
      <w:rPr>
        <w:rFonts w:cs="Times New Roman" w:hint="default"/>
        <w:sz w:val="18"/>
      </w:rPr>
    </w:lvl>
  </w:abstractNum>
  <w:abstractNum w:abstractNumId="27">
    <w:nsid w:val="4B053575"/>
    <w:multiLevelType w:val="multilevel"/>
    <w:tmpl w:val="22EC01F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8">
    <w:nsid w:val="5039560C"/>
    <w:multiLevelType w:val="multilevel"/>
    <w:tmpl w:val="3C365D5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12A0B80"/>
    <w:multiLevelType w:val="hybridMultilevel"/>
    <w:tmpl w:val="3D9E4D72"/>
    <w:lvl w:ilvl="0" w:tplc="040A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4FC211B"/>
    <w:multiLevelType w:val="multilevel"/>
    <w:tmpl w:val="E3AE2266"/>
    <w:lvl w:ilvl="0">
      <w:start w:val="1"/>
      <w:numFmt w:val="decimal"/>
      <w:lvlText w:val="%1."/>
      <w:lvlJc w:val="left"/>
      <w:pPr>
        <w:ind w:left="360" w:hanging="360"/>
      </w:pPr>
      <w:rPr>
        <w:rFonts w:cs="Times New Roman" w:hint="default"/>
      </w:rPr>
    </w:lvl>
    <w:lvl w:ilvl="1">
      <w:start w:val="1"/>
      <w:numFmt w:val="decimal"/>
      <w:lvlText w:val="1.%2."/>
      <w:lvlJc w:val="left"/>
      <w:pPr>
        <w:ind w:left="243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nsid w:val="572608FD"/>
    <w:multiLevelType w:val="multilevel"/>
    <w:tmpl w:val="E360939C"/>
    <w:lvl w:ilvl="0">
      <w:start w:val="2"/>
      <w:numFmt w:val="decimal"/>
      <w:lvlText w:val="%1."/>
      <w:lvlJc w:val="left"/>
      <w:pPr>
        <w:ind w:left="360" w:hanging="360"/>
      </w:pPr>
      <w:rPr>
        <w:rFonts w:cs="Times New Roman" w:hint="default"/>
      </w:rPr>
    </w:lvl>
    <w:lvl w:ilvl="1">
      <w:start w:val="1"/>
      <w:numFmt w:val="decimal"/>
      <w:lvlText w:val="%1.%2."/>
      <w:lvlJc w:val="left"/>
      <w:pPr>
        <w:ind w:left="99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5F1B66DC"/>
    <w:multiLevelType w:val="hybridMultilevel"/>
    <w:tmpl w:val="3D9E4D72"/>
    <w:lvl w:ilvl="0" w:tplc="040A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12E621B"/>
    <w:multiLevelType w:val="hybridMultilevel"/>
    <w:tmpl w:val="C952CEAE"/>
    <w:lvl w:ilvl="0" w:tplc="5DE202FC">
      <w:start w:val="1"/>
      <w:numFmt w:val="lowerRoman"/>
      <w:lvlText w:val="(%1)"/>
      <w:lvlJc w:val="left"/>
      <w:pPr>
        <w:ind w:left="720" w:hanging="720"/>
      </w:pPr>
      <w:rPr>
        <w:rFonts w:cs="Times New Roman" w:hint="default"/>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34">
    <w:nsid w:val="6B6557A2"/>
    <w:multiLevelType w:val="multilevel"/>
    <w:tmpl w:val="7458BA14"/>
    <w:lvl w:ilvl="0">
      <w:start w:val="2"/>
      <w:numFmt w:val="decimal"/>
      <w:lvlText w:val="%1"/>
      <w:lvlJc w:val="left"/>
      <w:pPr>
        <w:ind w:left="360" w:hanging="360"/>
      </w:pPr>
      <w:rPr>
        <w:rFonts w:hint="default"/>
        <w:color w:val="000000"/>
      </w:rPr>
    </w:lvl>
    <w:lvl w:ilvl="1">
      <w:start w:val="2"/>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070" w:hanging="720"/>
      </w:pPr>
      <w:rPr>
        <w:rFonts w:hint="default"/>
        <w:color w:val="000000"/>
      </w:rPr>
    </w:lvl>
    <w:lvl w:ilvl="4">
      <w:start w:val="1"/>
      <w:numFmt w:val="decimal"/>
      <w:lvlText w:val="%1.%2.%3.%4.%5"/>
      <w:lvlJc w:val="left"/>
      <w:pPr>
        <w:ind w:left="2520" w:hanging="720"/>
      </w:pPr>
      <w:rPr>
        <w:rFonts w:hint="default"/>
        <w:color w:val="000000"/>
      </w:rPr>
    </w:lvl>
    <w:lvl w:ilvl="5">
      <w:start w:val="1"/>
      <w:numFmt w:val="decimal"/>
      <w:lvlText w:val="%1.%2.%3.%4.%5.%6"/>
      <w:lvlJc w:val="left"/>
      <w:pPr>
        <w:ind w:left="3330" w:hanging="1080"/>
      </w:pPr>
      <w:rPr>
        <w:rFonts w:hint="default"/>
        <w:color w:val="000000"/>
      </w:rPr>
    </w:lvl>
    <w:lvl w:ilvl="6">
      <w:start w:val="1"/>
      <w:numFmt w:val="decimal"/>
      <w:lvlText w:val="%1.%2.%3.%4.%5.%6.%7"/>
      <w:lvlJc w:val="left"/>
      <w:pPr>
        <w:ind w:left="3780" w:hanging="1080"/>
      </w:pPr>
      <w:rPr>
        <w:rFonts w:hint="default"/>
        <w:color w:val="000000"/>
      </w:rPr>
    </w:lvl>
    <w:lvl w:ilvl="7">
      <w:start w:val="1"/>
      <w:numFmt w:val="decimal"/>
      <w:lvlText w:val="%1.%2.%3.%4.%5.%6.%7.%8"/>
      <w:lvlJc w:val="left"/>
      <w:pPr>
        <w:ind w:left="4590" w:hanging="1440"/>
      </w:pPr>
      <w:rPr>
        <w:rFonts w:hint="default"/>
        <w:color w:val="000000"/>
      </w:rPr>
    </w:lvl>
    <w:lvl w:ilvl="8">
      <w:start w:val="1"/>
      <w:numFmt w:val="decimal"/>
      <w:lvlText w:val="%1.%2.%3.%4.%5.%6.%7.%8.%9"/>
      <w:lvlJc w:val="left"/>
      <w:pPr>
        <w:ind w:left="5040" w:hanging="1440"/>
      </w:pPr>
      <w:rPr>
        <w:rFonts w:hint="default"/>
        <w:color w:val="000000"/>
      </w:rPr>
    </w:lvl>
  </w:abstractNum>
  <w:abstractNum w:abstractNumId="35">
    <w:nsid w:val="6FAA1B9C"/>
    <w:multiLevelType w:val="hybridMultilevel"/>
    <w:tmpl w:val="C83E95A6"/>
    <w:lvl w:ilvl="0" w:tplc="040A0017">
      <w:start w:val="1"/>
      <w:numFmt w:val="lowerLetter"/>
      <w:lvlText w:val="%1)"/>
      <w:lvlJc w:val="left"/>
      <w:pPr>
        <w:ind w:left="360" w:hanging="360"/>
      </w:pPr>
      <w:rPr>
        <w:rFonts w:cs="Times New Roman"/>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36">
    <w:nsid w:val="70901378"/>
    <w:multiLevelType w:val="multilevel"/>
    <w:tmpl w:val="E864E482"/>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nsid w:val="729E6CDA"/>
    <w:multiLevelType w:val="multilevel"/>
    <w:tmpl w:val="E36093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nsid w:val="758248FA"/>
    <w:multiLevelType w:val="multilevel"/>
    <w:tmpl w:val="E360939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nsid w:val="795B60E9"/>
    <w:multiLevelType w:val="hybridMultilevel"/>
    <w:tmpl w:val="7A466488"/>
    <w:lvl w:ilvl="0" w:tplc="CDD26558">
      <w:start w:val="1"/>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0">
    <w:nsid w:val="79EF2994"/>
    <w:multiLevelType w:val="multilevel"/>
    <w:tmpl w:val="B4D285F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1">
    <w:nsid w:val="7DCE0A7C"/>
    <w:multiLevelType w:val="multilevel"/>
    <w:tmpl w:val="E16C7F4C"/>
    <w:lvl w:ilvl="0">
      <w:start w:val="1"/>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2">
    <w:nsid w:val="7E863955"/>
    <w:multiLevelType w:val="multilevel"/>
    <w:tmpl w:val="E864E482"/>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nsid w:val="7F315281"/>
    <w:multiLevelType w:val="hybridMultilevel"/>
    <w:tmpl w:val="3D9E4D72"/>
    <w:lvl w:ilvl="0" w:tplc="040A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4"/>
  </w:num>
  <w:num w:numId="3">
    <w:abstractNumId w:val="35"/>
  </w:num>
  <w:num w:numId="4">
    <w:abstractNumId w:val="1"/>
  </w:num>
  <w:num w:numId="5">
    <w:abstractNumId w:val="7"/>
  </w:num>
  <w:num w:numId="6">
    <w:abstractNumId w:val="9"/>
  </w:num>
  <w:num w:numId="7">
    <w:abstractNumId w:val="43"/>
  </w:num>
  <w:num w:numId="8">
    <w:abstractNumId w:val="4"/>
  </w:num>
  <w:num w:numId="9">
    <w:abstractNumId w:val="4"/>
  </w:num>
  <w:num w:numId="10">
    <w:abstractNumId w:val="4"/>
  </w:num>
  <w:num w:numId="11">
    <w:abstractNumId w:val="4"/>
  </w:num>
  <w:num w:numId="12">
    <w:abstractNumId w:val="4"/>
  </w:num>
  <w:num w:numId="13">
    <w:abstractNumId w:val="12"/>
  </w:num>
  <w:num w:numId="14">
    <w:abstractNumId w:val="4"/>
  </w:num>
  <w:num w:numId="15">
    <w:abstractNumId w:val="25"/>
  </w:num>
  <w:num w:numId="16">
    <w:abstractNumId w:val="29"/>
  </w:num>
  <w:num w:numId="17">
    <w:abstractNumId w:val="20"/>
  </w:num>
  <w:num w:numId="18">
    <w:abstractNumId w:val="4"/>
  </w:num>
  <w:num w:numId="19">
    <w:abstractNumId w:val="4"/>
  </w:num>
  <w:num w:numId="20">
    <w:abstractNumId w:val="0"/>
  </w:num>
  <w:num w:numId="21">
    <w:abstractNumId w:val="32"/>
  </w:num>
  <w:num w:numId="22">
    <w:abstractNumId w:val="4"/>
  </w:num>
  <w:num w:numId="23">
    <w:abstractNumId w:val="4"/>
  </w:num>
  <w:num w:numId="24">
    <w:abstractNumId w:val="4"/>
  </w:num>
  <w:num w:numId="25">
    <w:abstractNumId w:val="4"/>
  </w:num>
  <w:num w:numId="26">
    <w:abstractNumId w:val="19"/>
  </w:num>
  <w:num w:numId="27">
    <w:abstractNumId w:val="31"/>
  </w:num>
  <w:num w:numId="28">
    <w:abstractNumId w:val="37"/>
  </w:num>
  <w:num w:numId="29">
    <w:abstractNumId w:val="16"/>
  </w:num>
  <w:num w:numId="30">
    <w:abstractNumId w:val="23"/>
  </w:num>
  <w:num w:numId="31">
    <w:abstractNumId w:val="10"/>
  </w:num>
  <w:num w:numId="32">
    <w:abstractNumId w:val="38"/>
  </w:num>
  <w:num w:numId="33">
    <w:abstractNumId w:val="2"/>
  </w:num>
  <w:num w:numId="34">
    <w:abstractNumId w:val="6"/>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13"/>
  </w:num>
  <w:num w:numId="38">
    <w:abstractNumId w:val="36"/>
  </w:num>
  <w:num w:numId="39">
    <w:abstractNumId w:val="22"/>
  </w:num>
  <w:num w:numId="40">
    <w:abstractNumId w:val="15"/>
  </w:num>
  <w:num w:numId="41">
    <w:abstractNumId w:val="33"/>
  </w:num>
  <w:num w:numId="42">
    <w:abstractNumId w:val="26"/>
  </w:num>
  <w:num w:numId="43">
    <w:abstractNumId w:val="30"/>
  </w:num>
  <w:num w:numId="44">
    <w:abstractNumId w:val="8"/>
  </w:num>
  <w:num w:numId="45">
    <w:abstractNumId w:val="18"/>
  </w:num>
  <w:num w:numId="46">
    <w:abstractNumId w:val="28"/>
  </w:num>
  <w:num w:numId="47">
    <w:abstractNumId w:val="40"/>
  </w:num>
  <w:num w:numId="48">
    <w:abstractNumId w:val="21"/>
  </w:num>
  <w:num w:numId="49">
    <w:abstractNumId w:val="27"/>
  </w:num>
  <w:num w:numId="50">
    <w:abstractNumId w:val="11"/>
  </w:num>
  <w:num w:numId="51">
    <w:abstractNumId w:val="17"/>
  </w:num>
  <w:num w:numId="52">
    <w:abstractNumId w:val="42"/>
  </w:num>
  <w:num w:numId="53">
    <w:abstractNumId w:val="3"/>
  </w:num>
  <w:num w:numId="54">
    <w:abstractNumId w:val="14"/>
  </w:num>
  <w:num w:numId="55">
    <w:abstractNumId w:val="34"/>
  </w:num>
  <w:num w:numId="56">
    <w:abstractNumId w:val="5"/>
  </w:num>
  <w:num w:numId="57">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20"/>
  <w:autoHyphenation/>
  <w:hyphenationZone w:val="357"/>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00C59"/>
    <w:rsid w:val="00005605"/>
    <w:rsid w:val="00005E95"/>
    <w:rsid w:val="00006C06"/>
    <w:rsid w:val="00007D4B"/>
    <w:rsid w:val="00012DB9"/>
    <w:rsid w:val="00014D93"/>
    <w:rsid w:val="00014FC4"/>
    <w:rsid w:val="000155E4"/>
    <w:rsid w:val="00017639"/>
    <w:rsid w:val="000222CD"/>
    <w:rsid w:val="00022823"/>
    <w:rsid w:val="00025853"/>
    <w:rsid w:val="000260FE"/>
    <w:rsid w:val="00026183"/>
    <w:rsid w:val="00026E2F"/>
    <w:rsid w:val="000301B6"/>
    <w:rsid w:val="000346A8"/>
    <w:rsid w:val="00036E5E"/>
    <w:rsid w:val="00037DD0"/>
    <w:rsid w:val="00044778"/>
    <w:rsid w:val="00046337"/>
    <w:rsid w:val="0004769E"/>
    <w:rsid w:val="00051067"/>
    <w:rsid w:val="00051DEC"/>
    <w:rsid w:val="0005219E"/>
    <w:rsid w:val="0005576E"/>
    <w:rsid w:val="00056919"/>
    <w:rsid w:val="000604B3"/>
    <w:rsid w:val="0006235E"/>
    <w:rsid w:val="000629F6"/>
    <w:rsid w:val="000631E8"/>
    <w:rsid w:val="000642B2"/>
    <w:rsid w:val="00064A9C"/>
    <w:rsid w:val="000659AA"/>
    <w:rsid w:val="000668AF"/>
    <w:rsid w:val="000719F3"/>
    <w:rsid w:val="00071F55"/>
    <w:rsid w:val="000738B2"/>
    <w:rsid w:val="00073975"/>
    <w:rsid w:val="00074981"/>
    <w:rsid w:val="00076ED6"/>
    <w:rsid w:val="00081559"/>
    <w:rsid w:val="00081565"/>
    <w:rsid w:val="000830D3"/>
    <w:rsid w:val="0008435A"/>
    <w:rsid w:val="00084385"/>
    <w:rsid w:val="0008488D"/>
    <w:rsid w:val="00084D57"/>
    <w:rsid w:val="00084E53"/>
    <w:rsid w:val="0008516F"/>
    <w:rsid w:val="000857DC"/>
    <w:rsid w:val="0008606F"/>
    <w:rsid w:val="00087645"/>
    <w:rsid w:val="0008791E"/>
    <w:rsid w:val="00087A5A"/>
    <w:rsid w:val="000927BF"/>
    <w:rsid w:val="000972F2"/>
    <w:rsid w:val="000A0664"/>
    <w:rsid w:val="000A156E"/>
    <w:rsid w:val="000A163A"/>
    <w:rsid w:val="000A1DD6"/>
    <w:rsid w:val="000A48F8"/>
    <w:rsid w:val="000A5189"/>
    <w:rsid w:val="000A5E57"/>
    <w:rsid w:val="000A750F"/>
    <w:rsid w:val="000B219E"/>
    <w:rsid w:val="000B33D1"/>
    <w:rsid w:val="000B4B31"/>
    <w:rsid w:val="000B4E13"/>
    <w:rsid w:val="000B5895"/>
    <w:rsid w:val="000B6147"/>
    <w:rsid w:val="000C06A9"/>
    <w:rsid w:val="000C1D56"/>
    <w:rsid w:val="000C316D"/>
    <w:rsid w:val="000C5429"/>
    <w:rsid w:val="000C762A"/>
    <w:rsid w:val="000D4951"/>
    <w:rsid w:val="000D7176"/>
    <w:rsid w:val="000E41B6"/>
    <w:rsid w:val="000E5153"/>
    <w:rsid w:val="000E5A47"/>
    <w:rsid w:val="000E6502"/>
    <w:rsid w:val="000E6872"/>
    <w:rsid w:val="000F1571"/>
    <w:rsid w:val="000F2C4C"/>
    <w:rsid w:val="000F3D24"/>
    <w:rsid w:val="000F5474"/>
    <w:rsid w:val="0010026C"/>
    <w:rsid w:val="0010047B"/>
    <w:rsid w:val="00103D51"/>
    <w:rsid w:val="00105EBC"/>
    <w:rsid w:val="00111D3C"/>
    <w:rsid w:val="00113710"/>
    <w:rsid w:val="0011501A"/>
    <w:rsid w:val="00117A23"/>
    <w:rsid w:val="001224D2"/>
    <w:rsid w:val="0012354F"/>
    <w:rsid w:val="00124369"/>
    <w:rsid w:val="001251F0"/>
    <w:rsid w:val="0013132F"/>
    <w:rsid w:val="00135F57"/>
    <w:rsid w:val="00141E82"/>
    <w:rsid w:val="00143833"/>
    <w:rsid w:val="001441E8"/>
    <w:rsid w:val="00144B7F"/>
    <w:rsid w:val="001472B4"/>
    <w:rsid w:val="001516B9"/>
    <w:rsid w:val="00151B1C"/>
    <w:rsid w:val="0015341A"/>
    <w:rsid w:val="00162B77"/>
    <w:rsid w:val="0016356A"/>
    <w:rsid w:val="001653D9"/>
    <w:rsid w:val="001704D3"/>
    <w:rsid w:val="0017218D"/>
    <w:rsid w:val="00175F88"/>
    <w:rsid w:val="0017638F"/>
    <w:rsid w:val="00176A0A"/>
    <w:rsid w:val="00180CFE"/>
    <w:rsid w:val="00182549"/>
    <w:rsid w:val="0018489B"/>
    <w:rsid w:val="00185FF4"/>
    <w:rsid w:val="00192505"/>
    <w:rsid w:val="00192708"/>
    <w:rsid w:val="0019341D"/>
    <w:rsid w:val="00195981"/>
    <w:rsid w:val="001966E8"/>
    <w:rsid w:val="001968BB"/>
    <w:rsid w:val="001A1ED4"/>
    <w:rsid w:val="001A504E"/>
    <w:rsid w:val="001A78F4"/>
    <w:rsid w:val="001B0045"/>
    <w:rsid w:val="001B180A"/>
    <w:rsid w:val="001B1947"/>
    <w:rsid w:val="001B50DA"/>
    <w:rsid w:val="001B7D20"/>
    <w:rsid w:val="001D4DE9"/>
    <w:rsid w:val="001D55E3"/>
    <w:rsid w:val="001D5953"/>
    <w:rsid w:val="001D6542"/>
    <w:rsid w:val="001D79A9"/>
    <w:rsid w:val="001E266A"/>
    <w:rsid w:val="001E2C8B"/>
    <w:rsid w:val="001E3335"/>
    <w:rsid w:val="001E33D4"/>
    <w:rsid w:val="001E3CFD"/>
    <w:rsid w:val="001E63B2"/>
    <w:rsid w:val="001F605D"/>
    <w:rsid w:val="001F7902"/>
    <w:rsid w:val="00200573"/>
    <w:rsid w:val="0020145D"/>
    <w:rsid w:val="0020181A"/>
    <w:rsid w:val="00201ACD"/>
    <w:rsid w:val="00204014"/>
    <w:rsid w:val="002049DC"/>
    <w:rsid w:val="00210341"/>
    <w:rsid w:val="0021113D"/>
    <w:rsid w:val="00217084"/>
    <w:rsid w:val="002177D3"/>
    <w:rsid w:val="00223AF3"/>
    <w:rsid w:val="00225BAB"/>
    <w:rsid w:val="0022614F"/>
    <w:rsid w:val="0022745B"/>
    <w:rsid w:val="00227C0A"/>
    <w:rsid w:val="0023028D"/>
    <w:rsid w:val="00230593"/>
    <w:rsid w:val="002351BC"/>
    <w:rsid w:val="00236450"/>
    <w:rsid w:val="00240094"/>
    <w:rsid w:val="002422DD"/>
    <w:rsid w:val="002428A0"/>
    <w:rsid w:val="002438FB"/>
    <w:rsid w:val="00243DC2"/>
    <w:rsid w:val="0024765E"/>
    <w:rsid w:val="00251025"/>
    <w:rsid w:val="00253037"/>
    <w:rsid w:val="00255B85"/>
    <w:rsid w:val="0025623A"/>
    <w:rsid w:val="00256D10"/>
    <w:rsid w:val="002617DF"/>
    <w:rsid w:val="00264C1D"/>
    <w:rsid w:val="002654C7"/>
    <w:rsid w:val="002658DE"/>
    <w:rsid w:val="00267FC2"/>
    <w:rsid w:val="0027256A"/>
    <w:rsid w:val="0027358C"/>
    <w:rsid w:val="00273696"/>
    <w:rsid w:val="00273A35"/>
    <w:rsid w:val="00273D35"/>
    <w:rsid w:val="0027579D"/>
    <w:rsid w:val="0028088A"/>
    <w:rsid w:val="002810DF"/>
    <w:rsid w:val="002830CC"/>
    <w:rsid w:val="0028414E"/>
    <w:rsid w:val="00286B0A"/>
    <w:rsid w:val="00286D8C"/>
    <w:rsid w:val="00292281"/>
    <w:rsid w:val="002922E5"/>
    <w:rsid w:val="002928AA"/>
    <w:rsid w:val="002944C0"/>
    <w:rsid w:val="00296DB1"/>
    <w:rsid w:val="002978DF"/>
    <w:rsid w:val="00297BFE"/>
    <w:rsid w:val="002A244F"/>
    <w:rsid w:val="002A31D0"/>
    <w:rsid w:val="002A375D"/>
    <w:rsid w:val="002A7725"/>
    <w:rsid w:val="002A7CDE"/>
    <w:rsid w:val="002B1AA4"/>
    <w:rsid w:val="002B2CCE"/>
    <w:rsid w:val="002B503A"/>
    <w:rsid w:val="002B7B3E"/>
    <w:rsid w:val="002C0480"/>
    <w:rsid w:val="002C407E"/>
    <w:rsid w:val="002C5501"/>
    <w:rsid w:val="002C7408"/>
    <w:rsid w:val="002D220C"/>
    <w:rsid w:val="002D2E51"/>
    <w:rsid w:val="002D3295"/>
    <w:rsid w:val="002E0535"/>
    <w:rsid w:val="002E0AB6"/>
    <w:rsid w:val="002E748A"/>
    <w:rsid w:val="002E7D00"/>
    <w:rsid w:val="002F005E"/>
    <w:rsid w:val="002F1ACE"/>
    <w:rsid w:val="002F4C16"/>
    <w:rsid w:val="002F5068"/>
    <w:rsid w:val="002F63B5"/>
    <w:rsid w:val="002F697D"/>
    <w:rsid w:val="002F7D44"/>
    <w:rsid w:val="00300B8E"/>
    <w:rsid w:val="00300C59"/>
    <w:rsid w:val="00303184"/>
    <w:rsid w:val="00304166"/>
    <w:rsid w:val="00305C40"/>
    <w:rsid w:val="00306218"/>
    <w:rsid w:val="003072D8"/>
    <w:rsid w:val="003074C6"/>
    <w:rsid w:val="00310C03"/>
    <w:rsid w:val="0031561C"/>
    <w:rsid w:val="003179FB"/>
    <w:rsid w:val="0032317A"/>
    <w:rsid w:val="003258F3"/>
    <w:rsid w:val="0032669A"/>
    <w:rsid w:val="00326CC8"/>
    <w:rsid w:val="00330F82"/>
    <w:rsid w:val="003336E1"/>
    <w:rsid w:val="00333DCF"/>
    <w:rsid w:val="003370C7"/>
    <w:rsid w:val="00340B9C"/>
    <w:rsid w:val="00342101"/>
    <w:rsid w:val="003428E9"/>
    <w:rsid w:val="00342F24"/>
    <w:rsid w:val="00345AE4"/>
    <w:rsid w:val="0034601F"/>
    <w:rsid w:val="003466FF"/>
    <w:rsid w:val="00347C33"/>
    <w:rsid w:val="0035003E"/>
    <w:rsid w:val="00350D5E"/>
    <w:rsid w:val="00351EC7"/>
    <w:rsid w:val="00355831"/>
    <w:rsid w:val="0035690D"/>
    <w:rsid w:val="00360E06"/>
    <w:rsid w:val="003631BB"/>
    <w:rsid w:val="00363A87"/>
    <w:rsid w:val="00367BE6"/>
    <w:rsid w:val="00373415"/>
    <w:rsid w:val="0037638F"/>
    <w:rsid w:val="00376740"/>
    <w:rsid w:val="00381A6C"/>
    <w:rsid w:val="00381F66"/>
    <w:rsid w:val="00385D92"/>
    <w:rsid w:val="003931D7"/>
    <w:rsid w:val="00393D52"/>
    <w:rsid w:val="00394512"/>
    <w:rsid w:val="003971C6"/>
    <w:rsid w:val="003A2058"/>
    <w:rsid w:val="003A2303"/>
    <w:rsid w:val="003A3074"/>
    <w:rsid w:val="003A7709"/>
    <w:rsid w:val="003B1349"/>
    <w:rsid w:val="003B19E1"/>
    <w:rsid w:val="003B1A8D"/>
    <w:rsid w:val="003B4026"/>
    <w:rsid w:val="003B4547"/>
    <w:rsid w:val="003B5BB2"/>
    <w:rsid w:val="003B6A72"/>
    <w:rsid w:val="003C4079"/>
    <w:rsid w:val="003C5EF0"/>
    <w:rsid w:val="003D18CF"/>
    <w:rsid w:val="003D372B"/>
    <w:rsid w:val="003D3ACC"/>
    <w:rsid w:val="003D4978"/>
    <w:rsid w:val="003D4B41"/>
    <w:rsid w:val="003D4B6F"/>
    <w:rsid w:val="003D7192"/>
    <w:rsid w:val="003D7C81"/>
    <w:rsid w:val="003E3D0F"/>
    <w:rsid w:val="003E76F3"/>
    <w:rsid w:val="003F0879"/>
    <w:rsid w:val="003F2A4C"/>
    <w:rsid w:val="003F323B"/>
    <w:rsid w:val="003F4557"/>
    <w:rsid w:val="0040075C"/>
    <w:rsid w:val="00402521"/>
    <w:rsid w:val="0040560D"/>
    <w:rsid w:val="004058FE"/>
    <w:rsid w:val="00410D81"/>
    <w:rsid w:val="00413FFF"/>
    <w:rsid w:val="004148AA"/>
    <w:rsid w:val="00415811"/>
    <w:rsid w:val="0041582A"/>
    <w:rsid w:val="004220D3"/>
    <w:rsid w:val="00422683"/>
    <w:rsid w:val="00422B9F"/>
    <w:rsid w:val="00422E82"/>
    <w:rsid w:val="00424185"/>
    <w:rsid w:val="004317AA"/>
    <w:rsid w:val="004414C5"/>
    <w:rsid w:val="0044255D"/>
    <w:rsid w:val="0044539C"/>
    <w:rsid w:val="00451DE8"/>
    <w:rsid w:val="004521D7"/>
    <w:rsid w:val="00452E4A"/>
    <w:rsid w:val="004537ED"/>
    <w:rsid w:val="004577EF"/>
    <w:rsid w:val="00464667"/>
    <w:rsid w:val="00466F62"/>
    <w:rsid w:val="004704F1"/>
    <w:rsid w:val="00475C94"/>
    <w:rsid w:val="004810B8"/>
    <w:rsid w:val="00481525"/>
    <w:rsid w:val="00481563"/>
    <w:rsid w:val="00484588"/>
    <w:rsid w:val="00485C0D"/>
    <w:rsid w:val="00487D26"/>
    <w:rsid w:val="00490911"/>
    <w:rsid w:val="00491C10"/>
    <w:rsid w:val="00491C47"/>
    <w:rsid w:val="00491E5C"/>
    <w:rsid w:val="004A06C5"/>
    <w:rsid w:val="004A40F9"/>
    <w:rsid w:val="004A7A1C"/>
    <w:rsid w:val="004B112E"/>
    <w:rsid w:val="004B17D4"/>
    <w:rsid w:val="004B3C81"/>
    <w:rsid w:val="004B46B3"/>
    <w:rsid w:val="004B51D8"/>
    <w:rsid w:val="004C5E65"/>
    <w:rsid w:val="004C6233"/>
    <w:rsid w:val="004C75E0"/>
    <w:rsid w:val="004C7DD2"/>
    <w:rsid w:val="004D057C"/>
    <w:rsid w:val="004D1804"/>
    <w:rsid w:val="004D190D"/>
    <w:rsid w:val="004D22CB"/>
    <w:rsid w:val="004D7BD1"/>
    <w:rsid w:val="004D7CA2"/>
    <w:rsid w:val="004E3F79"/>
    <w:rsid w:val="004E5D5C"/>
    <w:rsid w:val="004E6A6D"/>
    <w:rsid w:val="004F0FFE"/>
    <w:rsid w:val="004F151B"/>
    <w:rsid w:val="004F5766"/>
    <w:rsid w:val="004F5ADF"/>
    <w:rsid w:val="004F6477"/>
    <w:rsid w:val="004F6B3B"/>
    <w:rsid w:val="00514F4A"/>
    <w:rsid w:val="0051634D"/>
    <w:rsid w:val="00520F22"/>
    <w:rsid w:val="005233CB"/>
    <w:rsid w:val="00525258"/>
    <w:rsid w:val="00531356"/>
    <w:rsid w:val="00535101"/>
    <w:rsid w:val="0053702E"/>
    <w:rsid w:val="0053751A"/>
    <w:rsid w:val="005577D1"/>
    <w:rsid w:val="00570F76"/>
    <w:rsid w:val="00574898"/>
    <w:rsid w:val="00576DC3"/>
    <w:rsid w:val="00577408"/>
    <w:rsid w:val="0058123B"/>
    <w:rsid w:val="00581F09"/>
    <w:rsid w:val="00583E92"/>
    <w:rsid w:val="005844BC"/>
    <w:rsid w:val="00586CB7"/>
    <w:rsid w:val="00592AFF"/>
    <w:rsid w:val="00596C9C"/>
    <w:rsid w:val="0059711B"/>
    <w:rsid w:val="005A3AE9"/>
    <w:rsid w:val="005A58EA"/>
    <w:rsid w:val="005A7494"/>
    <w:rsid w:val="005A7AD0"/>
    <w:rsid w:val="005B01E1"/>
    <w:rsid w:val="005B16B5"/>
    <w:rsid w:val="005B4F28"/>
    <w:rsid w:val="005B76E0"/>
    <w:rsid w:val="005C260E"/>
    <w:rsid w:val="005C483D"/>
    <w:rsid w:val="005C560D"/>
    <w:rsid w:val="005C7649"/>
    <w:rsid w:val="005C79E0"/>
    <w:rsid w:val="005C7CBF"/>
    <w:rsid w:val="005D070B"/>
    <w:rsid w:val="005D0EAC"/>
    <w:rsid w:val="005D19B7"/>
    <w:rsid w:val="005D3C08"/>
    <w:rsid w:val="005E21A0"/>
    <w:rsid w:val="005E23F8"/>
    <w:rsid w:val="005E3BBF"/>
    <w:rsid w:val="005F0F03"/>
    <w:rsid w:val="005F114A"/>
    <w:rsid w:val="005F1C72"/>
    <w:rsid w:val="005F2204"/>
    <w:rsid w:val="005F2DB2"/>
    <w:rsid w:val="005F397A"/>
    <w:rsid w:val="005F416F"/>
    <w:rsid w:val="005F44A2"/>
    <w:rsid w:val="00600206"/>
    <w:rsid w:val="0060063E"/>
    <w:rsid w:val="00600B00"/>
    <w:rsid w:val="006027DA"/>
    <w:rsid w:val="0060285D"/>
    <w:rsid w:val="006068CC"/>
    <w:rsid w:val="00613150"/>
    <w:rsid w:val="00614426"/>
    <w:rsid w:val="0061680B"/>
    <w:rsid w:val="00621AFF"/>
    <w:rsid w:val="00622D38"/>
    <w:rsid w:val="00622EAE"/>
    <w:rsid w:val="006231A8"/>
    <w:rsid w:val="006232CE"/>
    <w:rsid w:val="00626258"/>
    <w:rsid w:val="00626365"/>
    <w:rsid w:val="00631EF6"/>
    <w:rsid w:val="0063492E"/>
    <w:rsid w:val="00635031"/>
    <w:rsid w:val="0063534E"/>
    <w:rsid w:val="006415C0"/>
    <w:rsid w:val="00645A24"/>
    <w:rsid w:val="006462EC"/>
    <w:rsid w:val="006464DF"/>
    <w:rsid w:val="00647C58"/>
    <w:rsid w:val="006529A6"/>
    <w:rsid w:val="00655270"/>
    <w:rsid w:val="00656B50"/>
    <w:rsid w:val="0066063B"/>
    <w:rsid w:val="00660744"/>
    <w:rsid w:val="0066117E"/>
    <w:rsid w:val="006628FB"/>
    <w:rsid w:val="006654C4"/>
    <w:rsid w:val="006729D9"/>
    <w:rsid w:val="006733BD"/>
    <w:rsid w:val="00677DA6"/>
    <w:rsid w:val="006808A7"/>
    <w:rsid w:val="0068230B"/>
    <w:rsid w:val="00684D0C"/>
    <w:rsid w:val="0069026E"/>
    <w:rsid w:val="00691142"/>
    <w:rsid w:val="006934BB"/>
    <w:rsid w:val="0069617A"/>
    <w:rsid w:val="00696E77"/>
    <w:rsid w:val="006A0A32"/>
    <w:rsid w:val="006A273F"/>
    <w:rsid w:val="006B3E96"/>
    <w:rsid w:val="006B55E0"/>
    <w:rsid w:val="006B7B4D"/>
    <w:rsid w:val="006B7F8F"/>
    <w:rsid w:val="006C0017"/>
    <w:rsid w:val="006C242D"/>
    <w:rsid w:val="006D0CC1"/>
    <w:rsid w:val="006D1ABF"/>
    <w:rsid w:val="006D530C"/>
    <w:rsid w:val="006D68E5"/>
    <w:rsid w:val="006E30CD"/>
    <w:rsid w:val="006E5B88"/>
    <w:rsid w:val="006E6637"/>
    <w:rsid w:val="006F0592"/>
    <w:rsid w:val="006F4E38"/>
    <w:rsid w:val="006F50FB"/>
    <w:rsid w:val="006F60CF"/>
    <w:rsid w:val="006F685C"/>
    <w:rsid w:val="006F70E6"/>
    <w:rsid w:val="00704805"/>
    <w:rsid w:val="00710221"/>
    <w:rsid w:val="0071122C"/>
    <w:rsid w:val="0071149A"/>
    <w:rsid w:val="00717383"/>
    <w:rsid w:val="00720363"/>
    <w:rsid w:val="00721DDE"/>
    <w:rsid w:val="007237C4"/>
    <w:rsid w:val="007241DA"/>
    <w:rsid w:val="00731C33"/>
    <w:rsid w:val="00731E19"/>
    <w:rsid w:val="00733F2D"/>
    <w:rsid w:val="00734667"/>
    <w:rsid w:val="00737CC9"/>
    <w:rsid w:val="007419FF"/>
    <w:rsid w:val="00742BA9"/>
    <w:rsid w:val="00742FB9"/>
    <w:rsid w:val="007445D1"/>
    <w:rsid w:val="007458D5"/>
    <w:rsid w:val="00747FE4"/>
    <w:rsid w:val="007526E7"/>
    <w:rsid w:val="00753529"/>
    <w:rsid w:val="00755DD5"/>
    <w:rsid w:val="007564DD"/>
    <w:rsid w:val="0075682D"/>
    <w:rsid w:val="007576E6"/>
    <w:rsid w:val="007579B1"/>
    <w:rsid w:val="00760CEE"/>
    <w:rsid w:val="0076142C"/>
    <w:rsid w:val="0076242A"/>
    <w:rsid w:val="00762452"/>
    <w:rsid w:val="0076549C"/>
    <w:rsid w:val="00767E58"/>
    <w:rsid w:val="00770D03"/>
    <w:rsid w:val="00773F04"/>
    <w:rsid w:val="00774AB3"/>
    <w:rsid w:val="00775724"/>
    <w:rsid w:val="00775762"/>
    <w:rsid w:val="007774D2"/>
    <w:rsid w:val="00777EFA"/>
    <w:rsid w:val="0078045B"/>
    <w:rsid w:val="00780C30"/>
    <w:rsid w:val="00781455"/>
    <w:rsid w:val="00783542"/>
    <w:rsid w:val="00792415"/>
    <w:rsid w:val="007934DF"/>
    <w:rsid w:val="00796010"/>
    <w:rsid w:val="0079795C"/>
    <w:rsid w:val="007A39BE"/>
    <w:rsid w:val="007B2AC8"/>
    <w:rsid w:val="007B2AE3"/>
    <w:rsid w:val="007B344B"/>
    <w:rsid w:val="007B45CA"/>
    <w:rsid w:val="007B6FF0"/>
    <w:rsid w:val="007B7218"/>
    <w:rsid w:val="007B7C28"/>
    <w:rsid w:val="007C14E2"/>
    <w:rsid w:val="007C225C"/>
    <w:rsid w:val="007C6451"/>
    <w:rsid w:val="007C7AD4"/>
    <w:rsid w:val="007D09A4"/>
    <w:rsid w:val="007D1E14"/>
    <w:rsid w:val="007D2EF7"/>
    <w:rsid w:val="007D64A8"/>
    <w:rsid w:val="007D72DB"/>
    <w:rsid w:val="007E1EFB"/>
    <w:rsid w:val="007E2DF0"/>
    <w:rsid w:val="007E71F0"/>
    <w:rsid w:val="007F1283"/>
    <w:rsid w:val="007F5769"/>
    <w:rsid w:val="007F7150"/>
    <w:rsid w:val="007F78B3"/>
    <w:rsid w:val="0080014B"/>
    <w:rsid w:val="0080087B"/>
    <w:rsid w:val="008011DF"/>
    <w:rsid w:val="00802257"/>
    <w:rsid w:val="00802BAF"/>
    <w:rsid w:val="00806F3E"/>
    <w:rsid w:val="00810332"/>
    <w:rsid w:val="00811CB9"/>
    <w:rsid w:val="00811F35"/>
    <w:rsid w:val="00822EF9"/>
    <w:rsid w:val="008238BA"/>
    <w:rsid w:val="00830082"/>
    <w:rsid w:val="0083695E"/>
    <w:rsid w:val="00837723"/>
    <w:rsid w:val="0084461B"/>
    <w:rsid w:val="00845181"/>
    <w:rsid w:val="008457F0"/>
    <w:rsid w:val="008477DA"/>
    <w:rsid w:val="00850486"/>
    <w:rsid w:val="00853CAD"/>
    <w:rsid w:val="00855A9B"/>
    <w:rsid w:val="00855D4A"/>
    <w:rsid w:val="00856695"/>
    <w:rsid w:val="00856CC8"/>
    <w:rsid w:val="0086209F"/>
    <w:rsid w:val="00862DEC"/>
    <w:rsid w:val="0086448B"/>
    <w:rsid w:val="0086590A"/>
    <w:rsid w:val="00866262"/>
    <w:rsid w:val="008715E3"/>
    <w:rsid w:val="00872ABC"/>
    <w:rsid w:val="00872FAC"/>
    <w:rsid w:val="0087371A"/>
    <w:rsid w:val="0087375D"/>
    <w:rsid w:val="00873E4C"/>
    <w:rsid w:val="00875279"/>
    <w:rsid w:val="00880197"/>
    <w:rsid w:val="00880948"/>
    <w:rsid w:val="00880D1A"/>
    <w:rsid w:val="008826F6"/>
    <w:rsid w:val="00884C73"/>
    <w:rsid w:val="00891238"/>
    <w:rsid w:val="008913C7"/>
    <w:rsid w:val="008952A0"/>
    <w:rsid w:val="00895FD3"/>
    <w:rsid w:val="008A0993"/>
    <w:rsid w:val="008A7BB8"/>
    <w:rsid w:val="008B05EF"/>
    <w:rsid w:val="008B0DD0"/>
    <w:rsid w:val="008B438B"/>
    <w:rsid w:val="008C164C"/>
    <w:rsid w:val="008C3EF9"/>
    <w:rsid w:val="008C4BCE"/>
    <w:rsid w:val="008C6952"/>
    <w:rsid w:val="008D536B"/>
    <w:rsid w:val="008E3776"/>
    <w:rsid w:val="008E3E43"/>
    <w:rsid w:val="008E4733"/>
    <w:rsid w:val="008E4E3C"/>
    <w:rsid w:val="008E64B1"/>
    <w:rsid w:val="008E6F03"/>
    <w:rsid w:val="008E722B"/>
    <w:rsid w:val="008E78A8"/>
    <w:rsid w:val="008F5299"/>
    <w:rsid w:val="009022D4"/>
    <w:rsid w:val="0090675A"/>
    <w:rsid w:val="00910B2E"/>
    <w:rsid w:val="00911225"/>
    <w:rsid w:val="00912465"/>
    <w:rsid w:val="00912B62"/>
    <w:rsid w:val="00913317"/>
    <w:rsid w:val="009173EA"/>
    <w:rsid w:val="00917558"/>
    <w:rsid w:val="0092208A"/>
    <w:rsid w:val="00922991"/>
    <w:rsid w:val="009240D7"/>
    <w:rsid w:val="009246A2"/>
    <w:rsid w:val="00926154"/>
    <w:rsid w:val="00926AD1"/>
    <w:rsid w:val="00926AFE"/>
    <w:rsid w:val="00926C0E"/>
    <w:rsid w:val="00932B0D"/>
    <w:rsid w:val="00932D09"/>
    <w:rsid w:val="00933C2B"/>
    <w:rsid w:val="00933EB6"/>
    <w:rsid w:val="00934EE0"/>
    <w:rsid w:val="0094082C"/>
    <w:rsid w:val="009449A9"/>
    <w:rsid w:val="0094577E"/>
    <w:rsid w:val="00945EDB"/>
    <w:rsid w:val="00946F07"/>
    <w:rsid w:val="00951631"/>
    <w:rsid w:val="0095391E"/>
    <w:rsid w:val="00954123"/>
    <w:rsid w:val="00955EB1"/>
    <w:rsid w:val="00957EFA"/>
    <w:rsid w:val="0096092C"/>
    <w:rsid w:val="00961C09"/>
    <w:rsid w:val="0096305D"/>
    <w:rsid w:val="00965C50"/>
    <w:rsid w:val="009660E8"/>
    <w:rsid w:val="00967E56"/>
    <w:rsid w:val="0097089B"/>
    <w:rsid w:val="0097152C"/>
    <w:rsid w:val="009748B1"/>
    <w:rsid w:val="00975982"/>
    <w:rsid w:val="009762C9"/>
    <w:rsid w:val="009762E3"/>
    <w:rsid w:val="00977DF8"/>
    <w:rsid w:val="00983631"/>
    <w:rsid w:val="009860DA"/>
    <w:rsid w:val="009900E4"/>
    <w:rsid w:val="009945CF"/>
    <w:rsid w:val="00995220"/>
    <w:rsid w:val="0099639F"/>
    <w:rsid w:val="009A008A"/>
    <w:rsid w:val="009A0280"/>
    <w:rsid w:val="009A14CD"/>
    <w:rsid w:val="009A1531"/>
    <w:rsid w:val="009A3882"/>
    <w:rsid w:val="009A668F"/>
    <w:rsid w:val="009B0995"/>
    <w:rsid w:val="009B2F9E"/>
    <w:rsid w:val="009B360B"/>
    <w:rsid w:val="009B5914"/>
    <w:rsid w:val="009B7635"/>
    <w:rsid w:val="009C086B"/>
    <w:rsid w:val="009C26EE"/>
    <w:rsid w:val="009C3158"/>
    <w:rsid w:val="009C675B"/>
    <w:rsid w:val="009D2D82"/>
    <w:rsid w:val="009D6A84"/>
    <w:rsid w:val="009E4808"/>
    <w:rsid w:val="009E62EC"/>
    <w:rsid w:val="009F10D6"/>
    <w:rsid w:val="009F3BCC"/>
    <w:rsid w:val="009F4071"/>
    <w:rsid w:val="009F47E0"/>
    <w:rsid w:val="009F5F11"/>
    <w:rsid w:val="009F79B0"/>
    <w:rsid w:val="00A03C9F"/>
    <w:rsid w:val="00A05D78"/>
    <w:rsid w:val="00A075A9"/>
    <w:rsid w:val="00A07844"/>
    <w:rsid w:val="00A10615"/>
    <w:rsid w:val="00A10CBC"/>
    <w:rsid w:val="00A12138"/>
    <w:rsid w:val="00A12982"/>
    <w:rsid w:val="00A129EF"/>
    <w:rsid w:val="00A1497A"/>
    <w:rsid w:val="00A16624"/>
    <w:rsid w:val="00A2276C"/>
    <w:rsid w:val="00A235D9"/>
    <w:rsid w:val="00A239AB"/>
    <w:rsid w:val="00A23A85"/>
    <w:rsid w:val="00A24DCC"/>
    <w:rsid w:val="00A267C2"/>
    <w:rsid w:val="00A314BE"/>
    <w:rsid w:val="00A31ACE"/>
    <w:rsid w:val="00A34885"/>
    <w:rsid w:val="00A35EA2"/>
    <w:rsid w:val="00A4127A"/>
    <w:rsid w:val="00A4219B"/>
    <w:rsid w:val="00A450A2"/>
    <w:rsid w:val="00A451B6"/>
    <w:rsid w:val="00A512B6"/>
    <w:rsid w:val="00A51CE2"/>
    <w:rsid w:val="00A60118"/>
    <w:rsid w:val="00A61652"/>
    <w:rsid w:val="00A6196E"/>
    <w:rsid w:val="00A61E8A"/>
    <w:rsid w:val="00A63AFA"/>
    <w:rsid w:val="00A64E59"/>
    <w:rsid w:val="00A675ED"/>
    <w:rsid w:val="00A70172"/>
    <w:rsid w:val="00A706D7"/>
    <w:rsid w:val="00A72724"/>
    <w:rsid w:val="00A75519"/>
    <w:rsid w:val="00A80E03"/>
    <w:rsid w:val="00A81ECE"/>
    <w:rsid w:val="00A82307"/>
    <w:rsid w:val="00A827A8"/>
    <w:rsid w:val="00A83148"/>
    <w:rsid w:val="00A83CD1"/>
    <w:rsid w:val="00A85E19"/>
    <w:rsid w:val="00A86243"/>
    <w:rsid w:val="00A86929"/>
    <w:rsid w:val="00A90D5C"/>
    <w:rsid w:val="00A910CF"/>
    <w:rsid w:val="00A91623"/>
    <w:rsid w:val="00A91996"/>
    <w:rsid w:val="00A94BA8"/>
    <w:rsid w:val="00A9701E"/>
    <w:rsid w:val="00AA0085"/>
    <w:rsid w:val="00AA361C"/>
    <w:rsid w:val="00AA5FB7"/>
    <w:rsid w:val="00AA6B47"/>
    <w:rsid w:val="00AA7B48"/>
    <w:rsid w:val="00AB2AB1"/>
    <w:rsid w:val="00AB482A"/>
    <w:rsid w:val="00AB77AE"/>
    <w:rsid w:val="00AB7D6E"/>
    <w:rsid w:val="00AB7E47"/>
    <w:rsid w:val="00AC17C4"/>
    <w:rsid w:val="00AC2236"/>
    <w:rsid w:val="00AC2AD9"/>
    <w:rsid w:val="00AC3E88"/>
    <w:rsid w:val="00AC51CC"/>
    <w:rsid w:val="00AC5866"/>
    <w:rsid w:val="00AD01C9"/>
    <w:rsid w:val="00AD0547"/>
    <w:rsid w:val="00AD06B7"/>
    <w:rsid w:val="00AD69C2"/>
    <w:rsid w:val="00AD7B08"/>
    <w:rsid w:val="00AE1A87"/>
    <w:rsid w:val="00AE562E"/>
    <w:rsid w:val="00AE72D4"/>
    <w:rsid w:val="00AE76A8"/>
    <w:rsid w:val="00AF3169"/>
    <w:rsid w:val="00AF44A5"/>
    <w:rsid w:val="00AF4D97"/>
    <w:rsid w:val="00AF641A"/>
    <w:rsid w:val="00B03671"/>
    <w:rsid w:val="00B04640"/>
    <w:rsid w:val="00B0641F"/>
    <w:rsid w:val="00B0701A"/>
    <w:rsid w:val="00B075D2"/>
    <w:rsid w:val="00B12D84"/>
    <w:rsid w:val="00B13874"/>
    <w:rsid w:val="00B13A58"/>
    <w:rsid w:val="00B14046"/>
    <w:rsid w:val="00B142F7"/>
    <w:rsid w:val="00B14C41"/>
    <w:rsid w:val="00B15427"/>
    <w:rsid w:val="00B16DAA"/>
    <w:rsid w:val="00B17C85"/>
    <w:rsid w:val="00B238AA"/>
    <w:rsid w:val="00B26300"/>
    <w:rsid w:val="00B2657F"/>
    <w:rsid w:val="00B32C03"/>
    <w:rsid w:val="00B36BFD"/>
    <w:rsid w:val="00B37B0A"/>
    <w:rsid w:val="00B4293D"/>
    <w:rsid w:val="00B45BD5"/>
    <w:rsid w:val="00B52D9D"/>
    <w:rsid w:val="00B54AD2"/>
    <w:rsid w:val="00B5529B"/>
    <w:rsid w:val="00B57CE8"/>
    <w:rsid w:val="00B57D6D"/>
    <w:rsid w:val="00B642A0"/>
    <w:rsid w:val="00B6451B"/>
    <w:rsid w:val="00B66CA2"/>
    <w:rsid w:val="00B675C5"/>
    <w:rsid w:val="00B7020F"/>
    <w:rsid w:val="00B7064B"/>
    <w:rsid w:val="00B71135"/>
    <w:rsid w:val="00B71A61"/>
    <w:rsid w:val="00B77096"/>
    <w:rsid w:val="00B80BE0"/>
    <w:rsid w:val="00B82065"/>
    <w:rsid w:val="00B82296"/>
    <w:rsid w:val="00B835B5"/>
    <w:rsid w:val="00B845E0"/>
    <w:rsid w:val="00B84998"/>
    <w:rsid w:val="00B86A2C"/>
    <w:rsid w:val="00B873FE"/>
    <w:rsid w:val="00B876F7"/>
    <w:rsid w:val="00B879D7"/>
    <w:rsid w:val="00B91042"/>
    <w:rsid w:val="00B9354A"/>
    <w:rsid w:val="00B97D40"/>
    <w:rsid w:val="00BA039E"/>
    <w:rsid w:val="00BA37C7"/>
    <w:rsid w:val="00BA42F7"/>
    <w:rsid w:val="00BA6577"/>
    <w:rsid w:val="00BA7BF5"/>
    <w:rsid w:val="00BB1372"/>
    <w:rsid w:val="00BB34FC"/>
    <w:rsid w:val="00BC0871"/>
    <w:rsid w:val="00BC3812"/>
    <w:rsid w:val="00BC3D64"/>
    <w:rsid w:val="00BC447A"/>
    <w:rsid w:val="00BC45A5"/>
    <w:rsid w:val="00BD0FB5"/>
    <w:rsid w:val="00BD2ED3"/>
    <w:rsid w:val="00BD5AA3"/>
    <w:rsid w:val="00BD5C13"/>
    <w:rsid w:val="00BD6163"/>
    <w:rsid w:val="00BD6FEB"/>
    <w:rsid w:val="00BD7593"/>
    <w:rsid w:val="00BE0AB7"/>
    <w:rsid w:val="00BE11CD"/>
    <w:rsid w:val="00BE4E04"/>
    <w:rsid w:val="00BE7379"/>
    <w:rsid w:val="00BE79AF"/>
    <w:rsid w:val="00BE7E87"/>
    <w:rsid w:val="00BF2304"/>
    <w:rsid w:val="00BF26D8"/>
    <w:rsid w:val="00BF3AA1"/>
    <w:rsid w:val="00BF6EF7"/>
    <w:rsid w:val="00BF7B82"/>
    <w:rsid w:val="00C01D55"/>
    <w:rsid w:val="00C03409"/>
    <w:rsid w:val="00C06C98"/>
    <w:rsid w:val="00C06F36"/>
    <w:rsid w:val="00C10ED4"/>
    <w:rsid w:val="00C124DF"/>
    <w:rsid w:val="00C15CF2"/>
    <w:rsid w:val="00C162ED"/>
    <w:rsid w:val="00C178B5"/>
    <w:rsid w:val="00C17FCD"/>
    <w:rsid w:val="00C20873"/>
    <w:rsid w:val="00C21ABF"/>
    <w:rsid w:val="00C2232C"/>
    <w:rsid w:val="00C23E26"/>
    <w:rsid w:val="00C24AA6"/>
    <w:rsid w:val="00C24DBE"/>
    <w:rsid w:val="00C24E23"/>
    <w:rsid w:val="00C253BA"/>
    <w:rsid w:val="00C25D59"/>
    <w:rsid w:val="00C278DF"/>
    <w:rsid w:val="00C300E8"/>
    <w:rsid w:val="00C32096"/>
    <w:rsid w:val="00C34CAB"/>
    <w:rsid w:val="00C36F68"/>
    <w:rsid w:val="00C4082B"/>
    <w:rsid w:val="00C408B0"/>
    <w:rsid w:val="00C43C06"/>
    <w:rsid w:val="00C45D33"/>
    <w:rsid w:val="00C46310"/>
    <w:rsid w:val="00C513A3"/>
    <w:rsid w:val="00C51DE8"/>
    <w:rsid w:val="00C52A4F"/>
    <w:rsid w:val="00C556B7"/>
    <w:rsid w:val="00C565F1"/>
    <w:rsid w:val="00C60751"/>
    <w:rsid w:val="00C63C07"/>
    <w:rsid w:val="00C64FC5"/>
    <w:rsid w:val="00C7348A"/>
    <w:rsid w:val="00C76863"/>
    <w:rsid w:val="00C7736B"/>
    <w:rsid w:val="00C86DC1"/>
    <w:rsid w:val="00C87C04"/>
    <w:rsid w:val="00C92A75"/>
    <w:rsid w:val="00C92A8D"/>
    <w:rsid w:val="00C92B23"/>
    <w:rsid w:val="00C92B40"/>
    <w:rsid w:val="00C93612"/>
    <w:rsid w:val="00C94366"/>
    <w:rsid w:val="00C950CB"/>
    <w:rsid w:val="00C95785"/>
    <w:rsid w:val="00CA06C1"/>
    <w:rsid w:val="00CA251A"/>
    <w:rsid w:val="00CA31B3"/>
    <w:rsid w:val="00CA445B"/>
    <w:rsid w:val="00CA5268"/>
    <w:rsid w:val="00CB00C1"/>
    <w:rsid w:val="00CB1125"/>
    <w:rsid w:val="00CB1C39"/>
    <w:rsid w:val="00CB2E18"/>
    <w:rsid w:val="00CB6C70"/>
    <w:rsid w:val="00CC0C20"/>
    <w:rsid w:val="00CC1E3B"/>
    <w:rsid w:val="00CC418E"/>
    <w:rsid w:val="00CC7088"/>
    <w:rsid w:val="00CD09BD"/>
    <w:rsid w:val="00CD0CBB"/>
    <w:rsid w:val="00CD142A"/>
    <w:rsid w:val="00CD4E98"/>
    <w:rsid w:val="00CD6B46"/>
    <w:rsid w:val="00CE3AE9"/>
    <w:rsid w:val="00CE4C6A"/>
    <w:rsid w:val="00CE50B9"/>
    <w:rsid w:val="00CF49BE"/>
    <w:rsid w:val="00CF6094"/>
    <w:rsid w:val="00CF6D87"/>
    <w:rsid w:val="00CF7820"/>
    <w:rsid w:val="00D00351"/>
    <w:rsid w:val="00D004CC"/>
    <w:rsid w:val="00D00D94"/>
    <w:rsid w:val="00D01784"/>
    <w:rsid w:val="00D0317E"/>
    <w:rsid w:val="00D05B3F"/>
    <w:rsid w:val="00D07C29"/>
    <w:rsid w:val="00D10A85"/>
    <w:rsid w:val="00D12FBA"/>
    <w:rsid w:val="00D1470B"/>
    <w:rsid w:val="00D157E1"/>
    <w:rsid w:val="00D15A9D"/>
    <w:rsid w:val="00D164C2"/>
    <w:rsid w:val="00D17F85"/>
    <w:rsid w:val="00D22A96"/>
    <w:rsid w:val="00D23D79"/>
    <w:rsid w:val="00D23FA1"/>
    <w:rsid w:val="00D2462F"/>
    <w:rsid w:val="00D3148B"/>
    <w:rsid w:val="00D33DF1"/>
    <w:rsid w:val="00D41F04"/>
    <w:rsid w:val="00D44098"/>
    <w:rsid w:val="00D44F15"/>
    <w:rsid w:val="00D45105"/>
    <w:rsid w:val="00D45B7D"/>
    <w:rsid w:val="00D467B6"/>
    <w:rsid w:val="00D46EC7"/>
    <w:rsid w:val="00D47B2C"/>
    <w:rsid w:val="00D50B33"/>
    <w:rsid w:val="00D52CAD"/>
    <w:rsid w:val="00D609AC"/>
    <w:rsid w:val="00D65357"/>
    <w:rsid w:val="00D66A9E"/>
    <w:rsid w:val="00D67A6F"/>
    <w:rsid w:val="00D71610"/>
    <w:rsid w:val="00D759FD"/>
    <w:rsid w:val="00D76CD0"/>
    <w:rsid w:val="00D8261E"/>
    <w:rsid w:val="00D82C5B"/>
    <w:rsid w:val="00D831A4"/>
    <w:rsid w:val="00D83C02"/>
    <w:rsid w:val="00D86AF4"/>
    <w:rsid w:val="00D92C39"/>
    <w:rsid w:val="00DA1067"/>
    <w:rsid w:val="00DA3D40"/>
    <w:rsid w:val="00DA4EE5"/>
    <w:rsid w:val="00DA68C8"/>
    <w:rsid w:val="00DA7156"/>
    <w:rsid w:val="00DB13FC"/>
    <w:rsid w:val="00DB2355"/>
    <w:rsid w:val="00DB38AB"/>
    <w:rsid w:val="00DB446F"/>
    <w:rsid w:val="00DB797D"/>
    <w:rsid w:val="00DC7583"/>
    <w:rsid w:val="00DC774E"/>
    <w:rsid w:val="00DD35AE"/>
    <w:rsid w:val="00DD4CD2"/>
    <w:rsid w:val="00DD51CB"/>
    <w:rsid w:val="00DD6EC8"/>
    <w:rsid w:val="00DD7DC5"/>
    <w:rsid w:val="00DD7FC2"/>
    <w:rsid w:val="00DE04C0"/>
    <w:rsid w:val="00DE1C87"/>
    <w:rsid w:val="00DE4472"/>
    <w:rsid w:val="00DE5D2A"/>
    <w:rsid w:val="00DF19F4"/>
    <w:rsid w:val="00DF4B8D"/>
    <w:rsid w:val="00DF58AE"/>
    <w:rsid w:val="00DF666E"/>
    <w:rsid w:val="00DF717A"/>
    <w:rsid w:val="00DF7A55"/>
    <w:rsid w:val="00E025E1"/>
    <w:rsid w:val="00E02AB9"/>
    <w:rsid w:val="00E030B9"/>
    <w:rsid w:val="00E04CA7"/>
    <w:rsid w:val="00E05BFD"/>
    <w:rsid w:val="00E0629B"/>
    <w:rsid w:val="00E07C34"/>
    <w:rsid w:val="00E14CDC"/>
    <w:rsid w:val="00E15998"/>
    <w:rsid w:val="00E16933"/>
    <w:rsid w:val="00E177AA"/>
    <w:rsid w:val="00E21B2C"/>
    <w:rsid w:val="00E24932"/>
    <w:rsid w:val="00E24B4A"/>
    <w:rsid w:val="00E259EF"/>
    <w:rsid w:val="00E26765"/>
    <w:rsid w:val="00E26824"/>
    <w:rsid w:val="00E273E7"/>
    <w:rsid w:val="00E278E4"/>
    <w:rsid w:val="00E27CC0"/>
    <w:rsid w:val="00E31DDA"/>
    <w:rsid w:val="00E37091"/>
    <w:rsid w:val="00E3768F"/>
    <w:rsid w:val="00E40B2E"/>
    <w:rsid w:val="00E421A3"/>
    <w:rsid w:val="00E44744"/>
    <w:rsid w:val="00E45108"/>
    <w:rsid w:val="00E51346"/>
    <w:rsid w:val="00E5164F"/>
    <w:rsid w:val="00E523F4"/>
    <w:rsid w:val="00E538F8"/>
    <w:rsid w:val="00E56BEB"/>
    <w:rsid w:val="00E56CFD"/>
    <w:rsid w:val="00E5738A"/>
    <w:rsid w:val="00E57428"/>
    <w:rsid w:val="00E60CED"/>
    <w:rsid w:val="00E63FFB"/>
    <w:rsid w:val="00E66BFB"/>
    <w:rsid w:val="00E70403"/>
    <w:rsid w:val="00E7200E"/>
    <w:rsid w:val="00E75DD2"/>
    <w:rsid w:val="00E7670E"/>
    <w:rsid w:val="00E770AB"/>
    <w:rsid w:val="00E77CAB"/>
    <w:rsid w:val="00E80E06"/>
    <w:rsid w:val="00E81427"/>
    <w:rsid w:val="00E817A3"/>
    <w:rsid w:val="00E902A8"/>
    <w:rsid w:val="00E913F0"/>
    <w:rsid w:val="00E91FCD"/>
    <w:rsid w:val="00E93E9B"/>
    <w:rsid w:val="00E94175"/>
    <w:rsid w:val="00E96253"/>
    <w:rsid w:val="00E97F32"/>
    <w:rsid w:val="00EA0B55"/>
    <w:rsid w:val="00EA4065"/>
    <w:rsid w:val="00EA5F33"/>
    <w:rsid w:val="00EA6333"/>
    <w:rsid w:val="00EB0766"/>
    <w:rsid w:val="00EB09C3"/>
    <w:rsid w:val="00EB0B6A"/>
    <w:rsid w:val="00EB40BF"/>
    <w:rsid w:val="00EB70C3"/>
    <w:rsid w:val="00EB70D8"/>
    <w:rsid w:val="00EC0B3F"/>
    <w:rsid w:val="00EC0FD2"/>
    <w:rsid w:val="00EC2346"/>
    <w:rsid w:val="00EC2BD6"/>
    <w:rsid w:val="00EC3D7E"/>
    <w:rsid w:val="00EC4378"/>
    <w:rsid w:val="00EC5EE7"/>
    <w:rsid w:val="00EC5F6D"/>
    <w:rsid w:val="00ED0C7B"/>
    <w:rsid w:val="00ED2208"/>
    <w:rsid w:val="00ED5AC1"/>
    <w:rsid w:val="00ED76AA"/>
    <w:rsid w:val="00EE2573"/>
    <w:rsid w:val="00EE3104"/>
    <w:rsid w:val="00EE3A88"/>
    <w:rsid w:val="00EE3ED6"/>
    <w:rsid w:val="00EE474E"/>
    <w:rsid w:val="00EE4A93"/>
    <w:rsid w:val="00EE4C98"/>
    <w:rsid w:val="00EF0445"/>
    <w:rsid w:val="00EF0EC1"/>
    <w:rsid w:val="00EF2033"/>
    <w:rsid w:val="00EF54E5"/>
    <w:rsid w:val="00EF62A7"/>
    <w:rsid w:val="00EF6E19"/>
    <w:rsid w:val="00F003E3"/>
    <w:rsid w:val="00F022BF"/>
    <w:rsid w:val="00F06207"/>
    <w:rsid w:val="00F11924"/>
    <w:rsid w:val="00F1213B"/>
    <w:rsid w:val="00F12F04"/>
    <w:rsid w:val="00F130B0"/>
    <w:rsid w:val="00F13ADD"/>
    <w:rsid w:val="00F148CB"/>
    <w:rsid w:val="00F149FE"/>
    <w:rsid w:val="00F14C71"/>
    <w:rsid w:val="00F1565D"/>
    <w:rsid w:val="00F1669A"/>
    <w:rsid w:val="00F16EDA"/>
    <w:rsid w:val="00F21759"/>
    <w:rsid w:val="00F22606"/>
    <w:rsid w:val="00F22843"/>
    <w:rsid w:val="00F22DF2"/>
    <w:rsid w:val="00F24E70"/>
    <w:rsid w:val="00F2603F"/>
    <w:rsid w:val="00F269A6"/>
    <w:rsid w:val="00F318F6"/>
    <w:rsid w:val="00F3263F"/>
    <w:rsid w:val="00F339D5"/>
    <w:rsid w:val="00F36202"/>
    <w:rsid w:val="00F41E85"/>
    <w:rsid w:val="00F42F9A"/>
    <w:rsid w:val="00F46D90"/>
    <w:rsid w:val="00F508C0"/>
    <w:rsid w:val="00F51BFF"/>
    <w:rsid w:val="00F522AC"/>
    <w:rsid w:val="00F564C8"/>
    <w:rsid w:val="00F564EB"/>
    <w:rsid w:val="00F56DA7"/>
    <w:rsid w:val="00F5711A"/>
    <w:rsid w:val="00F57158"/>
    <w:rsid w:val="00F621DC"/>
    <w:rsid w:val="00F701E1"/>
    <w:rsid w:val="00F7093C"/>
    <w:rsid w:val="00F71AB0"/>
    <w:rsid w:val="00F73278"/>
    <w:rsid w:val="00F74317"/>
    <w:rsid w:val="00F81BDD"/>
    <w:rsid w:val="00F82A42"/>
    <w:rsid w:val="00F9299B"/>
    <w:rsid w:val="00F932AD"/>
    <w:rsid w:val="00F959E2"/>
    <w:rsid w:val="00F971DA"/>
    <w:rsid w:val="00FA07D4"/>
    <w:rsid w:val="00FA144C"/>
    <w:rsid w:val="00FA5108"/>
    <w:rsid w:val="00FA63A0"/>
    <w:rsid w:val="00FA6A55"/>
    <w:rsid w:val="00FA7A02"/>
    <w:rsid w:val="00FB04A4"/>
    <w:rsid w:val="00FB2C44"/>
    <w:rsid w:val="00FB36CA"/>
    <w:rsid w:val="00FB3732"/>
    <w:rsid w:val="00FB56A1"/>
    <w:rsid w:val="00FC1041"/>
    <w:rsid w:val="00FC1191"/>
    <w:rsid w:val="00FC3F4C"/>
    <w:rsid w:val="00FC5398"/>
    <w:rsid w:val="00FC66A3"/>
    <w:rsid w:val="00FC7BC6"/>
    <w:rsid w:val="00FD30A4"/>
    <w:rsid w:val="00FD42A3"/>
    <w:rsid w:val="00FD518F"/>
    <w:rsid w:val="00FD5798"/>
    <w:rsid w:val="00FE1E05"/>
    <w:rsid w:val="00FE2803"/>
    <w:rsid w:val="00FE65EC"/>
    <w:rsid w:val="00FF214F"/>
    <w:rsid w:val="00FF3EDC"/>
    <w:rsid w:val="00FF48BB"/>
    <w:rsid w:val="00FF4944"/>
    <w:rsid w:val="00FF716E"/>
    <w:rsid w:val="00FF770C"/>
    <w:rsid w:val="00FF7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9EF"/>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8E6F03"/>
    <w:rPr>
      <w:rFonts w:cs="Times New Roman"/>
      <w:sz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link w:val="CommentText"/>
    <w:uiPriority w:val="99"/>
    <w:semiHidden/>
    <w:locked/>
    <w:rsid w:val="008E6F03"/>
    <w:rPr>
      <w:rFonts w:cs="Times New Roman"/>
    </w:rPr>
  </w:style>
  <w:style w:type="paragraph" w:styleId="CommentSubject">
    <w:name w:val="annotation subject"/>
    <w:basedOn w:val="CommentText"/>
    <w:next w:val="CommentText"/>
    <w:link w:val="CommentSubjectChar"/>
    <w:uiPriority w:val="99"/>
    <w:semiHidden/>
    <w:unhideWhenUsed/>
    <w:rsid w:val="008E6F03"/>
    <w:rPr>
      <w:b/>
      <w:bCs/>
      <w:lang w:val="pt-BR" w:eastAsia="pt-BR"/>
    </w:rPr>
  </w:style>
  <w:style w:type="character" w:customStyle="1" w:styleId="CommentSubjectChar">
    <w:name w:val="Comment Subject Char"/>
    <w:link w:val="CommentSubject"/>
    <w:uiPriority w:val="99"/>
    <w:semiHidden/>
    <w:locked/>
    <w:rsid w:val="008E6F03"/>
    <w:rPr>
      <w:rFonts w:cs="Times New Roman"/>
      <w:b/>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sz w:val="16"/>
      <w:szCs w:val="16"/>
      <w:lang w:val="pt-BR" w:eastAsia="pt-BR"/>
    </w:rPr>
  </w:style>
  <w:style w:type="character" w:customStyle="1" w:styleId="BalloonTextChar">
    <w:name w:val="Balloon Text Char"/>
    <w:link w:val="BalloonText"/>
    <w:uiPriority w:val="99"/>
    <w:semiHidden/>
    <w:locked/>
    <w:rsid w:val="008E6F03"/>
    <w:rPr>
      <w:rFonts w:ascii="Tahoma" w:hAnsi="Tahoma" w:cs="Times New Roman"/>
      <w:sz w:val="16"/>
    </w:rPr>
  </w:style>
  <w:style w:type="paragraph" w:customStyle="1" w:styleId="Chapter">
    <w:name w:val="Chapter"/>
    <w:basedOn w:val="Normal"/>
    <w:next w:val="Normal"/>
    <w:rsid w:val="002422DD"/>
    <w:pPr>
      <w:numPr>
        <w:numId w:val="2"/>
      </w:numPr>
      <w:tabs>
        <w:tab w:val="left" w:pos="1440"/>
      </w:tabs>
      <w:spacing w:after="240" w:line="240" w:lineRule="auto"/>
      <w:jc w:val="center"/>
    </w:pPr>
    <w:rPr>
      <w:rFonts w:ascii="Times New Roman" w:hAnsi="Times New Roman"/>
      <w:b/>
      <w:smallCaps/>
      <w:sz w:val="24"/>
      <w:szCs w:val="20"/>
      <w:lang w:val="es-ES_tradnl"/>
    </w:rPr>
  </w:style>
  <w:style w:type="paragraph" w:customStyle="1" w:styleId="Paragraph">
    <w:name w:val="Paragraph"/>
    <w:aliases w:val="paragraph,p,PARAGRAPH,PG,pa,at"/>
    <w:basedOn w:val="BodyTextIndent"/>
    <w:link w:val="ParagraphChar"/>
    <w:rsid w:val="002422DD"/>
    <w:pPr>
      <w:numPr>
        <w:ilvl w:val="1"/>
        <w:numId w:val="2"/>
      </w:numPr>
      <w:spacing w:before="120" w:line="240" w:lineRule="auto"/>
      <w:jc w:val="both"/>
      <w:outlineLvl w:val="1"/>
    </w:pPr>
    <w:rPr>
      <w:rFonts w:ascii="Times New Roman" w:hAnsi="Times New Roman"/>
      <w:sz w:val="24"/>
      <w:szCs w:val="20"/>
      <w:lang w:val="pt-BR"/>
    </w:rPr>
  </w:style>
  <w:style w:type="paragraph" w:customStyle="1" w:styleId="subpar">
    <w:name w:val="subpar"/>
    <w:basedOn w:val="BodyTextIndent3"/>
    <w:rsid w:val="002422DD"/>
    <w:pPr>
      <w:numPr>
        <w:ilvl w:val="2"/>
        <w:numId w:val="2"/>
      </w:numPr>
      <w:spacing w:before="120" w:line="240" w:lineRule="auto"/>
      <w:jc w:val="both"/>
      <w:outlineLvl w:val="2"/>
    </w:pPr>
    <w:rPr>
      <w:rFonts w:ascii="Times New Roman" w:hAnsi="Times New Roman"/>
      <w:sz w:val="24"/>
      <w:szCs w:val="20"/>
      <w:lang w:val="es-ES_tradnl"/>
    </w:rPr>
  </w:style>
  <w:style w:type="paragraph" w:customStyle="1" w:styleId="SubSubPar">
    <w:name w:val="SubSubPar"/>
    <w:basedOn w:val="subpar"/>
    <w:rsid w:val="002422DD"/>
    <w:pPr>
      <w:numPr>
        <w:ilvl w:val="3"/>
      </w:numPr>
      <w:tabs>
        <w:tab w:val="left" w:pos="0"/>
      </w:tabs>
      <w:ind w:left="2745" w:hanging="360"/>
    </w:pPr>
  </w:style>
  <w:style w:type="character" w:customStyle="1" w:styleId="ParagraphChar">
    <w:name w:val="Paragraph Char"/>
    <w:link w:val="Paragraph"/>
    <w:locked/>
    <w:rsid w:val="002422DD"/>
    <w:rPr>
      <w:rFonts w:ascii="Times New Roman" w:hAnsi="Times New Roman"/>
      <w:sz w:val="24"/>
      <w:lang w:eastAsia="en-US"/>
    </w:rPr>
  </w:style>
  <w:style w:type="paragraph" w:styleId="BodyTextIndent">
    <w:name w:val="Body Text Indent"/>
    <w:basedOn w:val="Normal"/>
    <w:link w:val="BodyTextIndentChar"/>
    <w:uiPriority w:val="99"/>
    <w:semiHidden/>
    <w:unhideWhenUsed/>
    <w:rsid w:val="002422DD"/>
    <w:pPr>
      <w:spacing w:after="120"/>
      <w:ind w:left="283"/>
    </w:pPr>
  </w:style>
  <w:style w:type="character" w:customStyle="1" w:styleId="BodyTextIndentChar">
    <w:name w:val="Body Text Indent Char"/>
    <w:link w:val="BodyTextIndent"/>
    <w:uiPriority w:val="99"/>
    <w:semiHidden/>
    <w:locked/>
    <w:rsid w:val="002422DD"/>
    <w:rPr>
      <w:rFonts w:cs="Times New Roman"/>
      <w:sz w:val="22"/>
      <w:lang w:val="en-US" w:eastAsia="en-US"/>
    </w:rPr>
  </w:style>
  <w:style w:type="paragraph" w:styleId="BodyTextIndent3">
    <w:name w:val="Body Text Indent 3"/>
    <w:basedOn w:val="Normal"/>
    <w:link w:val="BodyTextIndent3Char"/>
    <w:uiPriority w:val="99"/>
    <w:semiHidden/>
    <w:unhideWhenUsed/>
    <w:rsid w:val="002422DD"/>
    <w:pPr>
      <w:spacing w:after="120"/>
      <w:ind w:left="283"/>
    </w:pPr>
    <w:rPr>
      <w:sz w:val="16"/>
      <w:szCs w:val="16"/>
    </w:rPr>
  </w:style>
  <w:style w:type="character" w:customStyle="1" w:styleId="BodyTextIndent3Char">
    <w:name w:val="Body Text Indent 3 Char"/>
    <w:link w:val="BodyTextIndent3"/>
    <w:uiPriority w:val="99"/>
    <w:semiHidden/>
    <w:locked/>
    <w:rsid w:val="002422DD"/>
    <w:rPr>
      <w:rFonts w:cs="Times New Roman"/>
      <w:sz w:val="16"/>
      <w:lang w:val="en-US" w:eastAsia="en-US"/>
    </w:rPr>
  </w:style>
  <w:style w:type="paragraph" w:styleId="Header">
    <w:name w:val="header"/>
    <w:basedOn w:val="Normal"/>
    <w:link w:val="HeaderChar"/>
    <w:uiPriority w:val="99"/>
    <w:unhideWhenUsed/>
    <w:rsid w:val="00B66CA2"/>
    <w:pPr>
      <w:tabs>
        <w:tab w:val="center" w:pos="4513"/>
        <w:tab w:val="right" w:pos="9026"/>
      </w:tabs>
    </w:pPr>
  </w:style>
  <w:style w:type="character" w:customStyle="1" w:styleId="HeaderChar">
    <w:name w:val="Header Char"/>
    <w:link w:val="Header"/>
    <w:uiPriority w:val="99"/>
    <w:locked/>
    <w:rsid w:val="00B66CA2"/>
    <w:rPr>
      <w:rFonts w:cs="Times New Roman"/>
      <w:sz w:val="22"/>
      <w:lang w:val="en-US" w:eastAsia="en-US"/>
    </w:rPr>
  </w:style>
  <w:style w:type="paragraph" w:styleId="Footer">
    <w:name w:val="footer"/>
    <w:basedOn w:val="Normal"/>
    <w:link w:val="FooterChar"/>
    <w:uiPriority w:val="99"/>
    <w:unhideWhenUsed/>
    <w:rsid w:val="00B66CA2"/>
    <w:pPr>
      <w:tabs>
        <w:tab w:val="center" w:pos="4513"/>
        <w:tab w:val="right" w:pos="9026"/>
      </w:tabs>
    </w:pPr>
  </w:style>
  <w:style w:type="character" w:customStyle="1" w:styleId="FooterChar">
    <w:name w:val="Footer Char"/>
    <w:link w:val="Footer"/>
    <w:uiPriority w:val="99"/>
    <w:locked/>
    <w:rsid w:val="00B66CA2"/>
    <w:rPr>
      <w:rFonts w:cs="Times New Roman"/>
      <w:sz w:val="22"/>
      <w:lang w:val="en-US" w:eastAsia="en-US"/>
    </w:rPr>
  </w:style>
  <w:style w:type="character" w:styleId="PageNumber">
    <w:name w:val="page number"/>
    <w:uiPriority w:val="99"/>
    <w:rsid w:val="00B66CA2"/>
    <w:rPr>
      <w:rFonts w:cs="Times New Roman"/>
    </w:rPr>
  </w:style>
  <w:style w:type="character" w:customStyle="1" w:styleId="textoformbold1">
    <w:name w:val="textoformbold1"/>
    <w:rsid w:val="00B66CA2"/>
    <w:rPr>
      <w:rFonts w:ascii="Verdana" w:hAnsi="Verdana"/>
      <w:b/>
      <w:color w:val="000000"/>
      <w:sz w:val="17"/>
    </w:rPr>
  </w:style>
  <w:style w:type="character" w:styleId="BookTitle">
    <w:name w:val="Book Title"/>
    <w:uiPriority w:val="33"/>
    <w:qFormat/>
    <w:rsid w:val="00B66CA2"/>
    <w:rPr>
      <w:rFonts w:cs="Times New Roman"/>
      <w:b/>
      <w:smallCaps/>
      <w:spacing w:val="5"/>
    </w:rPr>
  </w:style>
  <w:style w:type="paragraph" w:styleId="ListParagraph">
    <w:name w:val="List Paragraph"/>
    <w:basedOn w:val="Normal"/>
    <w:uiPriority w:val="34"/>
    <w:qFormat/>
    <w:rsid w:val="00614426"/>
    <w:pPr>
      <w:spacing w:after="0" w:line="240" w:lineRule="auto"/>
      <w:ind w:left="720"/>
    </w:pPr>
  </w:style>
  <w:style w:type="paragraph" w:styleId="FootnoteText">
    <w:name w:val="footnote text"/>
    <w:basedOn w:val="Normal"/>
    <w:link w:val="FootnoteTextChar"/>
    <w:uiPriority w:val="99"/>
    <w:semiHidden/>
    <w:unhideWhenUsed/>
    <w:rsid w:val="00C565F1"/>
    <w:pPr>
      <w:spacing w:after="0" w:line="240" w:lineRule="auto"/>
    </w:pPr>
    <w:rPr>
      <w:sz w:val="20"/>
      <w:szCs w:val="20"/>
    </w:rPr>
  </w:style>
  <w:style w:type="character" w:customStyle="1" w:styleId="FootnoteTextChar">
    <w:name w:val="Footnote Text Char"/>
    <w:link w:val="FootnoteText"/>
    <w:uiPriority w:val="99"/>
    <w:semiHidden/>
    <w:rsid w:val="00C565F1"/>
    <w:rPr>
      <w:rFonts w:cs="Times New Roman"/>
      <w:lang w:val="en-US" w:eastAsia="en-US"/>
    </w:rPr>
  </w:style>
  <w:style w:type="character" w:styleId="FootnoteReference">
    <w:name w:val="footnote reference"/>
    <w:aliases w:val="titulo 2,Style 24,pie pddes,referencia nota al pie,Fußnotenzeichen DISS,16 Point,Superscript 6 Point,ftref,FC"/>
    <w:rsid w:val="00C565F1"/>
    <w:rPr>
      <w:rFonts w:cs="Times New Roman"/>
      <w:vertAlign w:val="superscript"/>
    </w:rPr>
  </w:style>
  <w:style w:type="paragraph" w:customStyle="1" w:styleId="Default">
    <w:name w:val="Default"/>
    <w:rsid w:val="00AD69C2"/>
    <w:pPr>
      <w:autoSpaceDE w:val="0"/>
      <w:autoSpaceDN w:val="0"/>
      <w:adjustRightInd w:val="0"/>
    </w:pPr>
    <w:rPr>
      <w:rFonts w:ascii="Times New Roman" w:hAnsi="Times New Roman" w:cs="Times New Roman"/>
      <w:color w:val="000000"/>
      <w:sz w:val="24"/>
      <w:szCs w:val="24"/>
      <w:lang w:eastAsia="pt-BR"/>
    </w:rPr>
  </w:style>
  <w:style w:type="paragraph" w:styleId="Revision">
    <w:name w:val="Revision"/>
    <w:hidden/>
    <w:uiPriority w:val="99"/>
    <w:semiHidden/>
    <w:rsid w:val="005233CB"/>
    <w:rPr>
      <w:rFonts w:cs="Times New Roman"/>
      <w:sz w:val="22"/>
      <w:szCs w:val="22"/>
    </w:rPr>
  </w:style>
  <w:style w:type="character" w:styleId="Hyperlink">
    <w:name w:val="Hyperlink"/>
    <w:uiPriority w:val="99"/>
    <w:unhideWhenUsed/>
    <w:rsid w:val="002A244F"/>
    <w:rPr>
      <w:color w:val="0000FF"/>
      <w:u w:val="single"/>
    </w:rPr>
  </w:style>
  <w:style w:type="paragraph" w:customStyle="1" w:styleId="Standard">
    <w:name w:val="Standard"/>
    <w:rsid w:val="00264C1D"/>
    <w:pPr>
      <w:suppressAutoHyphens/>
      <w:autoSpaceDN w:val="0"/>
      <w:spacing w:after="200" w:line="276" w:lineRule="auto"/>
      <w:textAlignment w:val="baseline"/>
    </w:pPr>
    <w:rPr>
      <w:rFonts w:eastAsia="Calibri" w:cs="Times New Roman"/>
      <w:kern w:val="3"/>
      <w:sz w:val="22"/>
      <w:szCs w:val="22"/>
      <w:lang w:val="pt-BR" w:eastAsia="zh-CN"/>
    </w:rPr>
  </w:style>
  <w:style w:type="character" w:styleId="FollowedHyperlink">
    <w:name w:val="FollowedHyperlink"/>
    <w:uiPriority w:val="99"/>
    <w:semiHidden/>
    <w:unhideWhenUsed/>
    <w:rsid w:val="001224D2"/>
    <w:rPr>
      <w:color w:val="800080"/>
      <w:u w:val="single"/>
    </w:rPr>
  </w:style>
  <w:style w:type="paragraph" w:styleId="NoSpacing">
    <w:name w:val="No Spacing"/>
    <w:uiPriority w:val="99"/>
    <w:qFormat/>
    <w:rsid w:val="00576DC3"/>
    <w:rPr>
      <w:rFonts w:eastAsia="MS Mincho"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9EF"/>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8E6F03"/>
    <w:rPr>
      <w:rFonts w:cs="Times New Roman"/>
      <w:sz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link w:val="CommentText"/>
    <w:uiPriority w:val="99"/>
    <w:semiHidden/>
    <w:locked/>
    <w:rsid w:val="008E6F03"/>
    <w:rPr>
      <w:rFonts w:cs="Times New Roman"/>
    </w:rPr>
  </w:style>
  <w:style w:type="paragraph" w:styleId="CommentSubject">
    <w:name w:val="annotation subject"/>
    <w:basedOn w:val="CommentText"/>
    <w:next w:val="CommentText"/>
    <w:link w:val="CommentSubjectChar"/>
    <w:uiPriority w:val="99"/>
    <w:semiHidden/>
    <w:unhideWhenUsed/>
    <w:rsid w:val="008E6F03"/>
    <w:rPr>
      <w:b/>
      <w:bCs/>
      <w:lang w:val="pt-BR" w:eastAsia="pt-BR"/>
    </w:rPr>
  </w:style>
  <w:style w:type="character" w:customStyle="1" w:styleId="CommentSubjectChar">
    <w:name w:val="Comment Subject Char"/>
    <w:link w:val="CommentSubject"/>
    <w:uiPriority w:val="99"/>
    <w:semiHidden/>
    <w:locked/>
    <w:rsid w:val="008E6F03"/>
    <w:rPr>
      <w:rFonts w:cs="Times New Roman"/>
      <w:b/>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sz w:val="16"/>
      <w:szCs w:val="16"/>
      <w:lang w:val="pt-BR" w:eastAsia="pt-BR"/>
    </w:rPr>
  </w:style>
  <w:style w:type="character" w:customStyle="1" w:styleId="BalloonTextChar">
    <w:name w:val="Balloon Text Char"/>
    <w:link w:val="BalloonText"/>
    <w:uiPriority w:val="99"/>
    <w:semiHidden/>
    <w:locked/>
    <w:rsid w:val="008E6F03"/>
    <w:rPr>
      <w:rFonts w:ascii="Tahoma" w:hAnsi="Tahoma" w:cs="Times New Roman"/>
      <w:sz w:val="16"/>
    </w:rPr>
  </w:style>
  <w:style w:type="paragraph" w:customStyle="1" w:styleId="Chapter">
    <w:name w:val="Chapter"/>
    <w:basedOn w:val="Normal"/>
    <w:next w:val="Normal"/>
    <w:rsid w:val="002422DD"/>
    <w:pPr>
      <w:numPr>
        <w:numId w:val="2"/>
      </w:numPr>
      <w:tabs>
        <w:tab w:val="left" w:pos="1440"/>
      </w:tabs>
      <w:spacing w:after="240" w:line="240" w:lineRule="auto"/>
      <w:jc w:val="center"/>
    </w:pPr>
    <w:rPr>
      <w:rFonts w:ascii="Times New Roman" w:hAnsi="Times New Roman"/>
      <w:b/>
      <w:smallCaps/>
      <w:sz w:val="24"/>
      <w:szCs w:val="20"/>
      <w:lang w:val="es-ES_tradnl"/>
    </w:rPr>
  </w:style>
  <w:style w:type="paragraph" w:customStyle="1" w:styleId="Paragraph">
    <w:name w:val="Paragraph"/>
    <w:aliases w:val="paragraph,p,PARAGRAPH,PG,pa,at"/>
    <w:basedOn w:val="BodyTextIndent"/>
    <w:link w:val="ParagraphChar"/>
    <w:rsid w:val="002422DD"/>
    <w:pPr>
      <w:numPr>
        <w:ilvl w:val="1"/>
        <w:numId w:val="2"/>
      </w:numPr>
      <w:spacing w:before="120" w:line="240" w:lineRule="auto"/>
      <w:jc w:val="both"/>
      <w:outlineLvl w:val="1"/>
    </w:pPr>
    <w:rPr>
      <w:rFonts w:ascii="Times New Roman" w:hAnsi="Times New Roman"/>
      <w:sz w:val="24"/>
      <w:szCs w:val="20"/>
      <w:lang w:val="pt-BR"/>
    </w:rPr>
  </w:style>
  <w:style w:type="paragraph" w:customStyle="1" w:styleId="subpar">
    <w:name w:val="subpar"/>
    <w:basedOn w:val="BodyTextIndent3"/>
    <w:rsid w:val="002422DD"/>
    <w:pPr>
      <w:numPr>
        <w:ilvl w:val="2"/>
        <w:numId w:val="2"/>
      </w:numPr>
      <w:spacing w:before="120" w:line="240" w:lineRule="auto"/>
      <w:jc w:val="both"/>
      <w:outlineLvl w:val="2"/>
    </w:pPr>
    <w:rPr>
      <w:rFonts w:ascii="Times New Roman" w:hAnsi="Times New Roman"/>
      <w:sz w:val="24"/>
      <w:szCs w:val="20"/>
      <w:lang w:val="es-ES_tradnl"/>
    </w:rPr>
  </w:style>
  <w:style w:type="paragraph" w:customStyle="1" w:styleId="SubSubPar">
    <w:name w:val="SubSubPar"/>
    <w:basedOn w:val="subpar"/>
    <w:rsid w:val="002422DD"/>
    <w:pPr>
      <w:numPr>
        <w:ilvl w:val="3"/>
      </w:numPr>
      <w:tabs>
        <w:tab w:val="left" w:pos="0"/>
      </w:tabs>
      <w:ind w:left="2745" w:hanging="360"/>
    </w:pPr>
  </w:style>
  <w:style w:type="character" w:customStyle="1" w:styleId="ParagraphChar">
    <w:name w:val="Paragraph Char"/>
    <w:link w:val="Paragraph"/>
    <w:locked/>
    <w:rsid w:val="002422DD"/>
    <w:rPr>
      <w:rFonts w:ascii="Times New Roman" w:hAnsi="Times New Roman"/>
      <w:sz w:val="24"/>
      <w:lang w:eastAsia="en-US"/>
    </w:rPr>
  </w:style>
  <w:style w:type="paragraph" w:styleId="BodyTextIndent">
    <w:name w:val="Body Text Indent"/>
    <w:basedOn w:val="Normal"/>
    <w:link w:val="BodyTextIndentChar"/>
    <w:uiPriority w:val="99"/>
    <w:semiHidden/>
    <w:unhideWhenUsed/>
    <w:rsid w:val="002422DD"/>
    <w:pPr>
      <w:spacing w:after="120"/>
      <w:ind w:left="283"/>
    </w:pPr>
  </w:style>
  <w:style w:type="character" w:customStyle="1" w:styleId="BodyTextIndentChar">
    <w:name w:val="Body Text Indent Char"/>
    <w:link w:val="BodyTextIndent"/>
    <w:uiPriority w:val="99"/>
    <w:semiHidden/>
    <w:locked/>
    <w:rsid w:val="002422DD"/>
    <w:rPr>
      <w:rFonts w:cs="Times New Roman"/>
      <w:sz w:val="22"/>
      <w:lang w:val="en-US" w:eastAsia="en-US"/>
    </w:rPr>
  </w:style>
  <w:style w:type="paragraph" w:styleId="BodyTextIndent3">
    <w:name w:val="Body Text Indent 3"/>
    <w:basedOn w:val="Normal"/>
    <w:link w:val="BodyTextIndent3Char"/>
    <w:uiPriority w:val="99"/>
    <w:semiHidden/>
    <w:unhideWhenUsed/>
    <w:rsid w:val="002422DD"/>
    <w:pPr>
      <w:spacing w:after="120"/>
      <w:ind w:left="283"/>
    </w:pPr>
    <w:rPr>
      <w:sz w:val="16"/>
      <w:szCs w:val="16"/>
    </w:rPr>
  </w:style>
  <w:style w:type="character" w:customStyle="1" w:styleId="BodyTextIndent3Char">
    <w:name w:val="Body Text Indent 3 Char"/>
    <w:link w:val="BodyTextIndent3"/>
    <w:uiPriority w:val="99"/>
    <w:semiHidden/>
    <w:locked/>
    <w:rsid w:val="002422DD"/>
    <w:rPr>
      <w:rFonts w:cs="Times New Roman"/>
      <w:sz w:val="16"/>
      <w:lang w:val="en-US" w:eastAsia="en-US"/>
    </w:rPr>
  </w:style>
  <w:style w:type="paragraph" w:styleId="Header">
    <w:name w:val="header"/>
    <w:basedOn w:val="Normal"/>
    <w:link w:val="HeaderChar"/>
    <w:uiPriority w:val="99"/>
    <w:unhideWhenUsed/>
    <w:rsid w:val="00B66CA2"/>
    <w:pPr>
      <w:tabs>
        <w:tab w:val="center" w:pos="4513"/>
        <w:tab w:val="right" w:pos="9026"/>
      </w:tabs>
    </w:pPr>
  </w:style>
  <w:style w:type="character" w:customStyle="1" w:styleId="HeaderChar">
    <w:name w:val="Header Char"/>
    <w:link w:val="Header"/>
    <w:uiPriority w:val="99"/>
    <w:locked/>
    <w:rsid w:val="00B66CA2"/>
    <w:rPr>
      <w:rFonts w:cs="Times New Roman"/>
      <w:sz w:val="22"/>
      <w:lang w:val="en-US" w:eastAsia="en-US"/>
    </w:rPr>
  </w:style>
  <w:style w:type="paragraph" w:styleId="Footer">
    <w:name w:val="footer"/>
    <w:basedOn w:val="Normal"/>
    <w:link w:val="FooterChar"/>
    <w:uiPriority w:val="99"/>
    <w:unhideWhenUsed/>
    <w:rsid w:val="00B66CA2"/>
    <w:pPr>
      <w:tabs>
        <w:tab w:val="center" w:pos="4513"/>
        <w:tab w:val="right" w:pos="9026"/>
      </w:tabs>
    </w:pPr>
  </w:style>
  <w:style w:type="character" w:customStyle="1" w:styleId="FooterChar">
    <w:name w:val="Footer Char"/>
    <w:link w:val="Footer"/>
    <w:uiPriority w:val="99"/>
    <w:locked/>
    <w:rsid w:val="00B66CA2"/>
    <w:rPr>
      <w:rFonts w:cs="Times New Roman"/>
      <w:sz w:val="22"/>
      <w:lang w:val="en-US" w:eastAsia="en-US"/>
    </w:rPr>
  </w:style>
  <w:style w:type="character" w:styleId="PageNumber">
    <w:name w:val="page number"/>
    <w:uiPriority w:val="99"/>
    <w:rsid w:val="00B66CA2"/>
    <w:rPr>
      <w:rFonts w:cs="Times New Roman"/>
    </w:rPr>
  </w:style>
  <w:style w:type="character" w:customStyle="1" w:styleId="textoformbold1">
    <w:name w:val="textoformbold1"/>
    <w:rsid w:val="00B66CA2"/>
    <w:rPr>
      <w:rFonts w:ascii="Verdana" w:hAnsi="Verdana"/>
      <w:b/>
      <w:color w:val="000000"/>
      <w:sz w:val="17"/>
    </w:rPr>
  </w:style>
  <w:style w:type="character" w:styleId="BookTitle">
    <w:name w:val="Book Title"/>
    <w:uiPriority w:val="33"/>
    <w:qFormat/>
    <w:rsid w:val="00B66CA2"/>
    <w:rPr>
      <w:rFonts w:cs="Times New Roman"/>
      <w:b/>
      <w:smallCaps/>
      <w:spacing w:val="5"/>
    </w:rPr>
  </w:style>
  <w:style w:type="paragraph" w:styleId="ListParagraph">
    <w:name w:val="List Paragraph"/>
    <w:basedOn w:val="Normal"/>
    <w:uiPriority w:val="34"/>
    <w:qFormat/>
    <w:rsid w:val="00614426"/>
    <w:pPr>
      <w:spacing w:after="0" w:line="240" w:lineRule="auto"/>
      <w:ind w:left="720"/>
    </w:pPr>
  </w:style>
  <w:style w:type="paragraph" w:styleId="FootnoteText">
    <w:name w:val="footnote text"/>
    <w:basedOn w:val="Normal"/>
    <w:link w:val="FootnoteTextChar"/>
    <w:uiPriority w:val="99"/>
    <w:semiHidden/>
    <w:unhideWhenUsed/>
    <w:rsid w:val="00C565F1"/>
    <w:pPr>
      <w:spacing w:after="0" w:line="240" w:lineRule="auto"/>
    </w:pPr>
    <w:rPr>
      <w:sz w:val="20"/>
      <w:szCs w:val="20"/>
    </w:rPr>
  </w:style>
  <w:style w:type="character" w:customStyle="1" w:styleId="FootnoteTextChar">
    <w:name w:val="Footnote Text Char"/>
    <w:link w:val="FootnoteText"/>
    <w:uiPriority w:val="99"/>
    <w:semiHidden/>
    <w:rsid w:val="00C565F1"/>
    <w:rPr>
      <w:rFonts w:cs="Times New Roman"/>
      <w:lang w:val="en-US" w:eastAsia="en-US"/>
    </w:rPr>
  </w:style>
  <w:style w:type="character" w:styleId="FootnoteReference">
    <w:name w:val="footnote reference"/>
    <w:aliases w:val="titulo 2,Style 24,pie pddes,referencia nota al pie,Fußnotenzeichen DISS,16 Point,Superscript 6 Point,ftref,FC"/>
    <w:rsid w:val="00C565F1"/>
    <w:rPr>
      <w:rFonts w:cs="Times New Roman"/>
      <w:vertAlign w:val="superscript"/>
    </w:rPr>
  </w:style>
  <w:style w:type="paragraph" w:customStyle="1" w:styleId="Default">
    <w:name w:val="Default"/>
    <w:rsid w:val="00AD69C2"/>
    <w:pPr>
      <w:autoSpaceDE w:val="0"/>
      <w:autoSpaceDN w:val="0"/>
      <w:adjustRightInd w:val="0"/>
    </w:pPr>
    <w:rPr>
      <w:rFonts w:ascii="Times New Roman" w:hAnsi="Times New Roman" w:cs="Times New Roman"/>
      <w:color w:val="000000"/>
      <w:sz w:val="24"/>
      <w:szCs w:val="24"/>
      <w:lang w:eastAsia="pt-BR"/>
    </w:rPr>
  </w:style>
  <w:style w:type="paragraph" w:styleId="Revision">
    <w:name w:val="Revision"/>
    <w:hidden/>
    <w:uiPriority w:val="99"/>
    <w:semiHidden/>
    <w:rsid w:val="005233CB"/>
    <w:rPr>
      <w:rFonts w:cs="Times New Roman"/>
      <w:sz w:val="22"/>
      <w:szCs w:val="22"/>
    </w:rPr>
  </w:style>
  <w:style w:type="character" w:styleId="Hyperlink">
    <w:name w:val="Hyperlink"/>
    <w:uiPriority w:val="99"/>
    <w:unhideWhenUsed/>
    <w:rsid w:val="002A244F"/>
    <w:rPr>
      <w:color w:val="0000FF"/>
      <w:u w:val="single"/>
    </w:rPr>
  </w:style>
  <w:style w:type="paragraph" w:customStyle="1" w:styleId="Standard">
    <w:name w:val="Standard"/>
    <w:rsid w:val="00264C1D"/>
    <w:pPr>
      <w:suppressAutoHyphens/>
      <w:autoSpaceDN w:val="0"/>
      <w:spacing w:after="200" w:line="276" w:lineRule="auto"/>
      <w:textAlignment w:val="baseline"/>
    </w:pPr>
    <w:rPr>
      <w:rFonts w:eastAsia="Calibri" w:cs="Times New Roman"/>
      <w:kern w:val="3"/>
      <w:sz w:val="22"/>
      <w:szCs w:val="22"/>
      <w:lang w:val="pt-BR" w:eastAsia="zh-CN"/>
    </w:rPr>
  </w:style>
  <w:style w:type="character" w:styleId="FollowedHyperlink">
    <w:name w:val="FollowedHyperlink"/>
    <w:uiPriority w:val="99"/>
    <w:semiHidden/>
    <w:unhideWhenUsed/>
    <w:rsid w:val="001224D2"/>
    <w:rPr>
      <w:color w:val="800080"/>
      <w:u w:val="single"/>
    </w:rPr>
  </w:style>
  <w:style w:type="paragraph" w:styleId="NoSpacing">
    <w:name w:val="No Spacing"/>
    <w:uiPriority w:val="99"/>
    <w:qFormat/>
    <w:rsid w:val="00576DC3"/>
    <w:rPr>
      <w:rFonts w:eastAsia="MS Mincho"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26184">
      <w:bodyDiv w:val="1"/>
      <w:marLeft w:val="0"/>
      <w:marRight w:val="0"/>
      <w:marTop w:val="0"/>
      <w:marBottom w:val="0"/>
      <w:divBdr>
        <w:top w:val="none" w:sz="0" w:space="0" w:color="auto"/>
        <w:left w:val="none" w:sz="0" w:space="0" w:color="auto"/>
        <w:bottom w:val="none" w:sz="0" w:space="0" w:color="auto"/>
        <w:right w:val="none" w:sz="0" w:space="0" w:color="auto"/>
      </w:divBdr>
    </w:div>
    <w:div w:id="838353803">
      <w:bodyDiv w:val="1"/>
      <w:marLeft w:val="0"/>
      <w:marRight w:val="0"/>
      <w:marTop w:val="0"/>
      <w:marBottom w:val="0"/>
      <w:divBdr>
        <w:top w:val="none" w:sz="0" w:space="0" w:color="auto"/>
        <w:left w:val="none" w:sz="0" w:space="0" w:color="auto"/>
        <w:bottom w:val="none" w:sz="0" w:space="0" w:color="auto"/>
        <w:right w:val="none" w:sz="0" w:space="0" w:color="auto"/>
      </w:divBdr>
    </w:div>
    <w:div w:id="1337222827">
      <w:marLeft w:val="0"/>
      <w:marRight w:val="0"/>
      <w:marTop w:val="0"/>
      <w:marBottom w:val="0"/>
      <w:divBdr>
        <w:top w:val="none" w:sz="0" w:space="0" w:color="auto"/>
        <w:left w:val="none" w:sz="0" w:space="0" w:color="auto"/>
        <w:bottom w:val="none" w:sz="0" w:space="0" w:color="auto"/>
        <w:right w:val="none" w:sz="0" w:space="0" w:color="auto"/>
      </w:divBdr>
    </w:div>
    <w:div w:id="1337222830">
      <w:marLeft w:val="0"/>
      <w:marRight w:val="0"/>
      <w:marTop w:val="0"/>
      <w:marBottom w:val="0"/>
      <w:divBdr>
        <w:top w:val="none" w:sz="0" w:space="0" w:color="auto"/>
        <w:left w:val="none" w:sz="0" w:space="0" w:color="auto"/>
        <w:bottom w:val="none" w:sz="0" w:space="0" w:color="auto"/>
        <w:right w:val="none" w:sz="0" w:space="0" w:color="auto"/>
      </w:divBdr>
    </w:div>
    <w:div w:id="1337222833">
      <w:marLeft w:val="0"/>
      <w:marRight w:val="0"/>
      <w:marTop w:val="0"/>
      <w:marBottom w:val="0"/>
      <w:divBdr>
        <w:top w:val="none" w:sz="0" w:space="0" w:color="auto"/>
        <w:left w:val="none" w:sz="0" w:space="0" w:color="auto"/>
        <w:bottom w:val="none" w:sz="0" w:space="0" w:color="auto"/>
        <w:right w:val="none" w:sz="0" w:space="0" w:color="auto"/>
      </w:divBdr>
    </w:div>
    <w:div w:id="1337222837">
      <w:marLeft w:val="0"/>
      <w:marRight w:val="0"/>
      <w:marTop w:val="0"/>
      <w:marBottom w:val="0"/>
      <w:divBdr>
        <w:top w:val="none" w:sz="0" w:space="0" w:color="auto"/>
        <w:left w:val="none" w:sz="0" w:space="0" w:color="auto"/>
        <w:bottom w:val="none" w:sz="0" w:space="0" w:color="auto"/>
        <w:right w:val="none" w:sz="0" w:space="0" w:color="auto"/>
      </w:divBdr>
    </w:div>
    <w:div w:id="1337222839">
      <w:marLeft w:val="0"/>
      <w:marRight w:val="0"/>
      <w:marTop w:val="0"/>
      <w:marBottom w:val="0"/>
      <w:divBdr>
        <w:top w:val="none" w:sz="0" w:space="0" w:color="auto"/>
        <w:left w:val="none" w:sz="0" w:space="0" w:color="auto"/>
        <w:bottom w:val="none" w:sz="0" w:space="0" w:color="auto"/>
        <w:right w:val="none" w:sz="0" w:space="0" w:color="auto"/>
      </w:divBdr>
      <w:divsChild>
        <w:div w:id="1337222824">
          <w:marLeft w:val="0"/>
          <w:marRight w:val="0"/>
          <w:marTop w:val="0"/>
          <w:marBottom w:val="0"/>
          <w:divBdr>
            <w:top w:val="none" w:sz="0" w:space="0" w:color="auto"/>
            <w:left w:val="none" w:sz="0" w:space="0" w:color="auto"/>
            <w:bottom w:val="none" w:sz="0" w:space="0" w:color="auto"/>
            <w:right w:val="none" w:sz="0" w:space="0" w:color="auto"/>
          </w:divBdr>
        </w:div>
        <w:div w:id="1337222825">
          <w:marLeft w:val="0"/>
          <w:marRight w:val="0"/>
          <w:marTop w:val="0"/>
          <w:marBottom w:val="0"/>
          <w:divBdr>
            <w:top w:val="none" w:sz="0" w:space="0" w:color="auto"/>
            <w:left w:val="none" w:sz="0" w:space="0" w:color="auto"/>
            <w:bottom w:val="none" w:sz="0" w:space="0" w:color="auto"/>
            <w:right w:val="none" w:sz="0" w:space="0" w:color="auto"/>
          </w:divBdr>
        </w:div>
        <w:div w:id="1337222826">
          <w:marLeft w:val="0"/>
          <w:marRight w:val="0"/>
          <w:marTop w:val="0"/>
          <w:marBottom w:val="0"/>
          <w:divBdr>
            <w:top w:val="none" w:sz="0" w:space="0" w:color="auto"/>
            <w:left w:val="none" w:sz="0" w:space="0" w:color="auto"/>
            <w:bottom w:val="none" w:sz="0" w:space="0" w:color="auto"/>
            <w:right w:val="none" w:sz="0" w:space="0" w:color="auto"/>
          </w:divBdr>
        </w:div>
        <w:div w:id="1337222828">
          <w:marLeft w:val="0"/>
          <w:marRight w:val="0"/>
          <w:marTop w:val="0"/>
          <w:marBottom w:val="0"/>
          <w:divBdr>
            <w:top w:val="none" w:sz="0" w:space="0" w:color="auto"/>
            <w:left w:val="none" w:sz="0" w:space="0" w:color="auto"/>
            <w:bottom w:val="none" w:sz="0" w:space="0" w:color="auto"/>
            <w:right w:val="none" w:sz="0" w:space="0" w:color="auto"/>
          </w:divBdr>
        </w:div>
        <w:div w:id="1337222829">
          <w:marLeft w:val="0"/>
          <w:marRight w:val="0"/>
          <w:marTop w:val="0"/>
          <w:marBottom w:val="0"/>
          <w:divBdr>
            <w:top w:val="none" w:sz="0" w:space="0" w:color="auto"/>
            <w:left w:val="none" w:sz="0" w:space="0" w:color="auto"/>
            <w:bottom w:val="none" w:sz="0" w:space="0" w:color="auto"/>
            <w:right w:val="none" w:sz="0" w:space="0" w:color="auto"/>
          </w:divBdr>
        </w:div>
        <w:div w:id="1337222831">
          <w:marLeft w:val="0"/>
          <w:marRight w:val="0"/>
          <w:marTop w:val="0"/>
          <w:marBottom w:val="0"/>
          <w:divBdr>
            <w:top w:val="none" w:sz="0" w:space="0" w:color="auto"/>
            <w:left w:val="none" w:sz="0" w:space="0" w:color="auto"/>
            <w:bottom w:val="none" w:sz="0" w:space="0" w:color="auto"/>
            <w:right w:val="none" w:sz="0" w:space="0" w:color="auto"/>
          </w:divBdr>
        </w:div>
        <w:div w:id="1337222832">
          <w:marLeft w:val="0"/>
          <w:marRight w:val="0"/>
          <w:marTop w:val="0"/>
          <w:marBottom w:val="0"/>
          <w:divBdr>
            <w:top w:val="none" w:sz="0" w:space="0" w:color="auto"/>
            <w:left w:val="none" w:sz="0" w:space="0" w:color="auto"/>
            <w:bottom w:val="none" w:sz="0" w:space="0" w:color="auto"/>
            <w:right w:val="none" w:sz="0" w:space="0" w:color="auto"/>
          </w:divBdr>
        </w:div>
        <w:div w:id="1337222834">
          <w:marLeft w:val="0"/>
          <w:marRight w:val="0"/>
          <w:marTop w:val="0"/>
          <w:marBottom w:val="0"/>
          <w:divBdr>
            <w:top w:val="none" w:sz="0" w:space="0" w:color="auto"/>
            <w:left w:val="none" w:sz="0" w:space="0" w:color="auto"/>
            <w:bottom w:val="none" w:sz="0" w:space="0" w:color="auto"/>
            <w:right w:val="none" w:sz="0" w:space="0" w:color="auto"/>
          </w:divBdr>
        </w:div>
        <w:div w:id="1337222835">
          <w:marLeft w:val="0"/>
          <w:marRight w:val="0"/>
          <w:marTop w:val="0"/>
          <w:marBottom w:val="0"/>
          <w:divBdr>
            <w:top w:val="none" w:sz="0" w:space="0" w:color="auto"/>
            <w:left w:val="none" w:sz="0" w:space="0" w:color="auto"/>
            <w:bottom w:val="none" w:sz="0" w:space="0" w:color="auto"/>
            <w:right w:val="none" w:sz="0" w:space="0" w:color="auto"/>
          </w:divBdr>
        </w:div>
        <w:div w:id="1337222836">
          <w:marLeft w:val="0"/>
          <w:marRight w:val="0"/>
          <w:marTop w:val="0"/>
          <w:marBottom w:val="0"/>
          <w:divBdr>
            <w:top w:val="none" w:sz="0" w:space="0" w:color="auto"/>
            <w:left w:val="none" w:sz="0" w:space="0" w:color="auto"/>
            <w:bottom w:val="none" w:sz="0" w:space="0" w:color="auto"/>
            <w:right w:val="none" w:sz="0" w:space="0" w:color="auto"/>
          </w:divBdr>
        </w:div>
        <w:div w:id="1337222838">
          <w:marLeft w:val="0"/>
          <w:marRight w:val="0"/>
          <w:marTop w:val="0"/>
          <w:marBottom w:val="0"/>
          <w:divBdr>
            <w:top w:val="none" w:sz="0" w:space="0" w:color="auto"/>
            <w:left w:val="none" w:sz="0" w:space="0" w:color="auto"/>
            <w:bottom w:val="none" w:sz="0" w:space="0" w:color="auto"/>
            <w:right w:val="none" w:sz="0" w:space="0" w:color="auto"/>
          </w:divBdr>
        </w:div>
        <w:div w:id="1337222841">
          <w:marLeft w:val="0"/>
          <w:marRight w:val="0"/>
          <w:marTop w:val="0"/>
          <w:marBottom w:val="0"/>
          <w:divBdr>
            <w:top w:val="none" w:sz="0" w:space="0" w:color="auto"/>
            <w:left w:val="none" w:sz="0" w:space="0" w:color="auto"/>
            <w:bottom w:val="none" w:sz="0" w:space="0" w:color="auto"/>
            <w:right w:val="none" w:sz="0" w:space="0" w:color="auto"/>
          </w:divBdr>
        </w:div>
        <w:div w:id="1337222842">
          <w:marLeft w:val="0"/>
          <w:marRight w:val="0"/>
          <w:marTop w:val="0"/>
          <w:marBottom w:val="0"/>
          <w:divBdr>
            <w:top w:val="none" w:sz="0" w:space="0" w:color="auto"/>
            <w:left w:val="none" w:sz="0" w:space="0" w:color="auto"/>
            <w:bottom w:val="none" w:sz="0" w:space="0" w:color="auto"/>
            <w:right w:val="none" w:sz="0" w:space="0" w:color="auto"/>
          </w:divBdr>
        </w:div>
        <w:div w:id="1337222843">
          <w:marLeft w:val="0"/>
          <w:marRight w:val="0"/>
          <w:marTop w:val="0"/>
          <w:marBottom w:val="0"/>
          <w:divBdr>
            <w:top w:val="none" w:sz="0" w:space="0" w:color="auto"/>
            <w:left w:val="none" w:sz="0" w:space="0" w:color="auto"/>
            <w:bottom w:val="none" w:sz="0" w:space="0" w:color="auto"/>
            <w:right w:val="none" w:sz="0" w:space="0" w:color="auto"/>
          </w:divBdr>
        </w:div>
        <w:div w:id="1337222845">
          <w:marLeft w:val="0"/>
          <w:marRight w:val="0"/>
          <w:marTop w:val="0"/>
          <w:marBottom w:val="0"/>
          <w:divBdr>
            <w:top w:val="none" w:sz="0" w:space="0" w:color="auto"/>
            <w:left w:val="none" w:sz="0" w:space="0" w:color="auto"/>
            <w:bottom w:val="none" w:sz="0" w:space="0" w:color="auto"/>
            <w:right w:val="none" w:sz="0" w:space="0" w:color="auto"/>
          </w:divBdr>
        </w:div>
        <w:div w:id="1337222846">
          <w:marLeft w:val="0"/>
          <w:marRight w:val="0"/>
          <w:marTop w:val="0"/>
          <w:marBottom w:val="0"/>
          <w:divBdr>
            <w:top w:val="none" w:sz="0" w:space="0" w:color="auto"/>
            <w:left w:val="none" w:sz="0" w:space="0" w:color="auto"/>
            <w:bottom w:val="none" w:sz="0" w:space="0" w:color="auto"/>
            <w:right w:val="none" w:sz="0" w:space="0" w:color="auto"/>
          </w:divBdr>
        </w:div>
        <w:div w:id="1337222847">
          <w:marLeft w:val="0"/>
          <w:marRight w:val="0"/>
          <w:marTop w:val="0"/>
          <w:marBottom w:val="0"/>
          <w:divBdr>
            <w:top w:val="none" w:sz="0" w:space="0" w:color="auto"/>
            <w:left w:val="none" w:sz="0" w:space="0" w:color="auto"/>
            <w:bottom w:val="none" w:sz="0" w:space="0" w:color="auto"/>
            <w:right w:val="none" w:sz="0" w:space="0" w:color="auto"/>
          </w:divBdr>
        </w:div>
      </w:divsChild>
    </w:div>
    <w:div w:id="1337222840">
      <w:marLeft w:val="0"/>
      <w:marRight w:val="0"/>
      <w:marTop w:val="0"/>
      <w:marBottom w:val="0"/>
      <w:divBdr>
        <w:top w:val="none" w:sz="0" w:space="0" w:color="auto"/>
        <w:left w:val="none" w:sz="0" w:space="0" w:color="auto"/>
        <w:bottom w:val="none" w:sz="0" w:space="0" w:color="auto"/>
        <w:right w:val="none" w:sz="0" w:space="0" w:color="auto"/>
      </w:divBdr>
    </w:div>
    <w:div w:id="1337222844">
      <w:marLeft w:val="0"/>
      <w:marRight w:val="0"/>
      <w:marTop w:val="0"/>
      <w:marBottom w:val="0"/>
      <w:divBdr>
        <w:top w:val="none" w:sz="0" w:space="0" w:color="auto"/>
        <w:left w:val="none" w:sz="0" w:space="0" w:color="auto"/>
        <w:bottom w:val="none" w:sz="0" w:space="0" w:color="auto"/>
        <w:right w:val="none" w:sz="0" w:space="0" w:color="auto"/>
      </w:divBdr>
    </w:div>
    <w:div w:id="136224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5.xml"/><Relationship Id="rId10" Type="http://schemas.openxmlformats.org/officeDocument/2006/relationships/hyperlink" Target="http://www.todospelaeducacao.org.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12076B397E58D4C8DD2C5EE9E61C6A4" ma:contentTypeVersion="0" ma:contentTypeDescription="A content type to manage public (operations) IDB documents" ma:contentTypeScope="" ma:versionID="942a62262b5b3589c454b1e0ed287ba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7.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38781867</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Caprirolo, Dino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Proposal&lt;/USER_STAGE&gt;&lt;PD_OBJ_TYPE&gt;0&lt;/PD_OBJ_TYPE&gt;&lt;MAKERECORD&gt;N&lt;/MAKERECORD&gt;&lt;PD_FILEPT_NO&gt;PO-BR-L1387-Anl&lt;/PD_FILEPT_NO&gt;&lt;/Data&gt;</Migration_x0020_Info>
    <Operation_x0020_Type xmlns="9c571b2f-e523-4ab2-ba2e-09e151a03ef4" xsi:nil="true"/>
    <Document_x0020_Language_x0020_IDB xmlns="9c571b2f-e523-4ab2-ba2e-09e151a03ef4">Spanish</Document_x0020_Language_x0020_IDB>
    <Identifier xmlns="9c571b2f-e523-4ab2-ba2e-09e151a03ef4"> APPENDIX</Identifier>
    <Disclosure_x0020_Activity xmlns="9c571b2f-e523-4ab2-ba2e-09e151a03ef4">Loan Proposal</Disclosure_x0020_Activity>
    <Webtopic xmlns="9c571b2f-e523-4ab2-ba2e-09e151a03ef4">DS-SEC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7EA0E20-0871-409C-ACD0-A24471A83801}"/>
</file>

<file path=customXml/itemProps2.xml><?xml version="1.0" encoding="utf-8"?>
<ds:datastoreItem xmlns:ds="http://schemas.openxmlformats.org/officeDocument/2006/customXml" ds:itemID="{A0227D63-2D4C-4C06-9C0D-EC03EF790857}"/>
</file>

<file path=customXml/itemProps3.xml><?xml version="1.0" encoding="utf-8"?>
<ds:datastoreItem xmlns:ds="http://schemas.openxmlformats.org/officeDocument/2006/customXml" ds:itemID="{AEB69374-7390-4D8A-AD19-E0DF887BD20E}"/>
</file>

<file path=customXml/itemProps4.xml><?xml version="1.0" encoding="utf-8"?>
<ds:datastoreItem xmlns:ds="http://schemas.openxmlformats.org/officeDocument/2006/customXml" ds:itemID="{71B269E5-11A6-4E69-9960-FBE0EE3C19BC}"/>
</file>

<file path=customXml/itemProps5.xml><?xml version="1.0" encoding="utf-8"?>
<ds:datastoreItem xmlns:ds="http://schemas.openxmlformats.org/officeDocument/2006/customXml" ds:itemID="{1639B1C5-8C66-4F7B-9736-A8C73B62F95E}"/>
</file>

<file path=customXml/itemProps6.xml><?xml version="1.0" encoding="utf-8"?>
<ds:datastoreItem xmlns:ds="http://schemas.openxmlformats.org/officeDocument/2006/customXml" ds:itemID="{B95D8209-2BB8-4EF8-B532-1CA0C9736BE8}"/>
</file>

<file path=customXml/itemProps7.xml><?xml version="1.0" encoding="utf-8"?>
<ds:datastoreItem xmlns:ds="http://schemas.openxmlformats.org/officeDocument/2006/customXml" ds:itemID="{8D9ADEE5-79B8-4F7C-AFCA-8FB5DE51C40F}"/>
</file>

<file path=docProps/app.xml><?xml version="1.0" encoding="utf-8"?>
<Properties xmlns="http://schemas.openxmlformats.org/officeDocument/2006/extended-properties" xmlns:vt="http://schemas.openxmlformats.org/officeDocument/2006/docPropsVTypes">
  <Template>Normal.dotm</Template>
  <TotalTime>5</TotalTime>
  <Pages>8</Pages>
  <Words>3869</Words>
  <Characters>20293</Characters>
  <Application>Microsoft Office Word</Application>
  <DocSecurity>0</DocSecurity>
  <Lines>169</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24114</CharactersWithSpaces>
  <SharedDoc>false</SharedDoc>
  <HLinks>
    <vt:vector size="6" baseType="variant">
      <vt:variant>
        <vt:i4>131164</vt:i4>
      </vt:variant>
      <vt:variant>
        <vt:i4>0</vt:i4>
      </vt:variant>
      <vt:variant>
        <vt:i4>0</vt:i4>
      </vt:variant>
      <vt:variant>
        <vt:i4>5</vt:i4>
      </vt:variant>
      <vt:variant>
        <vt:lpwstr>http://www.todospelaeducacao.org.br/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Memoria de Cálculo de los Indicadores de la Matriz de Resultados</dc:title>
  <dc:creator>IADB</dc:creator>
  <cp:lastModifiedBy>BlancaT</cp:lastModifiedBy>
  <cp:revision>6</cp:revision>
  <cp:lastPrinted>2014-04-11T20:52:00Z</cp:lastPrinted>
  <dcterms:created xsi:type="dcterms:W3CDTF">2014-05-07T20:22:00Z</dcterms:created>
  <dcterms:modified xsi:type="dcterms:W3CDTF">2014-05-15T00:43:00Z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0x01010046CF21643EE8D14686A648AA6DAD089200012076B397E58D4C8DD2C5EE9E61C6A4</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