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0C" w:rsidRPr="00F237BB" w:rsidRDefault="002D2C0C" w:rsidP="002D2C0C">
      <w:pPr>
        <w:jc w:val="center"/>
        <w:rPr>
          <w:rFonts w:ascii="Arial" w:hAnsi="Arial" w:cs="Arial"/>
        </w:rPr>
      </w:pPr>
      <w:r w:rsidRPr="00F237BB">
        <w:rPr>
          <w:rFonts w:ascii="Arial" w:hAnsi="Arial" w:cs="Arial"/>
        </w:rPr>
        <w:t>ARGENTINA</w:t>
      </w:r>
    </w:p>
    <w:p w:rsidR="00052B89" w:rsidRPr="00F237BB" w:rsidRDefault="00052B89" w:rsidP="002D2C0C">
      <w:pPr>
        <w:jc w:val="center"/>
        <w:rPr>
          <w:rFonts w:ascii="Arial" w:hAnsi="Arial" w:cs="Arial"/>
        </w:rPr>
      </w:pPr>
      <w:r w:rsidRPr="00F237BB">
        <w:rPr>
          <w:rFonts w:ascii="Arial" w:hAnsi="Arial" w:cs="Arial"/>
        </w:rPr>
        <w:t>AR-L1247</w:t>
      </w:r>
    </w:p>
    <w:p w:rsidR="002D2C0C" w:rsidRPr="00F237BB" w:rsidRDefault="002D2C0C" w:rsidP="002D2C0C">
      <w:pPr>
        <w:jc w:val="center"/>
        <w:rPr>
          <w:rFonts w:ascii="Arial" w:hAnsi="Arial" w:cs="Arial"/>
        </w:rPr>
      </w:pPr>
      <w:r w:rsidRPr="00F237BB">
        <w:rPr>
          <w:rFonts w:ascii="Arial" w:hAnsi="Arial" w:cs="Arial"/>
        </w:rPr>
        <w:t xml:space="preserve">FORTALECIMIENTO DEL </w:t>
      </w:r>
      <w:r w:rsidR="00217341" w:rsidRPr="00F237BB">
        <w:rPr>
          <w:rFonts w:ascii="Arial" w:hAnsi="Arial" w:cs="Arial"/>
        </w:rPr>
        <w:t xml:space="preserve">MINISTERIO HACIENDA </w:t>
      </w:r>
      <w:r w:rsidRPr="00F237BB">
        <w:rPr>
          <w:rFonts w:ascii="Arial" w:hAnsi="Arial" w:cs="Arial"/>
        </w:rPr>
        <w:t>Y FINANZAS PÚBLICAS</w:t>
      </w:r>
    </w:p>
    <w:p w:rsidR="009462F6" w:rsidRPr="00F237BB" w:rsidRDefault="009462F6" w:rsidP="00D04EC0">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501014" w:rsidRPr="00F237BB" w:rsidRDefault="00481C6D" w:rsidP="00481C6D">
      <w:pPr>
        <w:jc w:val="center"/>
        <w:rPr>
          <w:rFonts w:ascii="Arial" w:hAnsi="Arial" w:cs="Arial"/>
          <w:b/>
        </w:rPr>
      </w:pPr>
      <w:r w:rsidRPr="00F237BB">
        <w:rPr>
          <w:rFonts w:ascii="Arial" w:hAnsi="Arial" w:cs="Arial"/>
          <w:b/>
        </w:rPr>
        <w:t xml:space="preserve">DIAGNÓSTICO </w:t>
      </w:r>
      <w:r w:rsidR="00501014" w:rsidRPr="00F237BB">
        <w:rPr>
          <w:rFonts w:ascii="Arial" w:hAnsi="Arial" w:cs="Arial"/>
          <w:b/>
        </w:rPr>
        <w:t xml:space="preserve">DE LA </w:t>
      </w:r>
      <w:r w:rsidR="009E35B0" w:rsidRPr="00F237BB">
        <w:rPr>
          <w:rFonts w:ascii="Arial" w:hAnsi="Arial" w:cs="Arial"/>
          <w:b/>
        </w:rPr>
        <w:t xml:space="preserve">FUNCIÓN DE ELABORACIÓN DE POLÍTICAS ECONÓMICAS EN EL </w:t>
      </w:r>
      <w:proofErr w:type="spellStart"/>
      <w:r w:rsidR="00F86B3F" w:rsidRPr="00F237BB">
        <w:rPr>
          <w:rFonts w:ascii="Arial" w:hAnsi="Arial" w:cs="Arial"/>
          <w:b/>
        </w:rPr>
        <w:t>MH</w:t>
      </w:r>
      <w:r w:rsidR="00D83CE6" w:rsidRPr="00F237BB">
        <w:rPr>
          <w:rFonts w:ascii="Arial" w:hAnsi="Arial" w:cs="Arial"/>
          <w:b/>
        </w:rPr>
        <w:t>y</w:t>
      </w:r>
      <w:r w:rsidR="00F86B3F" w:rsidRPr="00F237BB">
        <w:rPr>
          <w:rFonts w:ascii="Arial" w:hAnsi="Arial" w:cs="Arial"/>
          <w:b/>
        </w:rPr>
        <w:t>FP</w:t>
      </w:r>
      <w:proofErr w:type="spellEnd"/>
    </w:p>
    <w:p w:rsidR="00501014" w:rsidRPr="00F237BB" w:rsidRDefault="00501014" w:rsidP="00501014">
      <w:pPr>
        <w:rPr>
          <w:rFonts w:ascii="Arial" w:hAnsi="Arial" w:cs="Arial"/>
        </w:rPr>
      </w:pPr>
    </w:p>
    <w:p w:rsidR="00501014" w:rsidRPr="00F237BB" w:rsidRDefault="00501014" w:rsidP="00501014">
      <w:pPr>
        <w:rPr>
          <w:rFonts w:ascii="Arial" w:hAnsi="Arial" w:cs="Arial"/>
        </w:rPr>
      </w:pPr>
    </w:p>
    <w:p w:rsidR="00501014" w:rsidRPr="00F237BB" w:rsidRDefault="00501014" w:rsidP="00501014">
      <w:pPr>
        <w:rPr>
          <w:rFonts w:ascii="Arial" w:hAnsi="Arial" w:cs="Arial"/>
        </w:rPr>
      </w:pPr>
    </w:p>
    <w:p w:rsidR="00501014" w:rsidRPr="00F237BB" w:rsidRDefault="00501014" w:rsidP="00501014">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3B31E0" w:rsidRPr="00F237BB" w:rsidRDefault="003B31E0"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B22FBB" w:rsidRPr="00F237BB" w:rsidRDefault="00B22FBB" w:rsidP="00481C6D">
      <w:pPr>
        <w:rPr>
          <w:rFonts w:ascii="Arial" w:hAnsi="Arial" w:cs="Arial"/>
        </w:rPr>
      </w:pPr>
    </w:p>
    <w:p w:rsidR="00B22FBB" w:rsidRPr="00F237BB" w:rsidRDefault="00B22FBB" w:rsidP="00481C6D">
      <w:pPr>
        <w:rPr>
          <w:rFonts w:ascii="Arial" w:hAnsi="Arial" w:cs="Arial"/>
        </w:rPr>
      </w:pPr>
    </w:p>
    <w:p w:rsidR="00B22FBB" w:rsidRPr="00F237BB" w:rsidRDefault="00B22FBB"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217341" w:rsidRPr="00F237BB" w:rsidRDefault="00217341" w:rsidP="00481C6D">
      <w:pPr>
        <w:jc w:val="right"/>
        <w:rPr>
          <w:rFonts w:ascii="Arial" w:hAnsi="Arial" w:cs="Arial"/>
        </w:rPr>
      </w:pPr>
      <w:r w:rsidRPr="00F237BB">
        <w:rPr>
          <w:rFonts w:ascii="Arial" w:hAnsi="Arial" w:cs="Arial"/>
        </w:rPr>
        <w:t>Carla Bonahora</w:t>
      </w:r>
    </w:p>
    <w:p w:rsidR="00481C6D" w:rsidRPr="00F237BB" w:rsidRDefault="00481C6D" w:rsidP="00481C6D">
      <w:pPr>
        <w:jc w:val="right"/>
        <w:rPr>
          <w:rFonts w:ascii="Arial" w:hAnsi="Arial" w:cs="Arial"/>
        </w:rPr>
      </w:pPr>
    </w:p>
    <w:p w:rsidR="00481C6D" w:rsidRPr="00F237BB" w:rsidRDefault="00217341" w:rsidP="00481C6D">
      <w:pPr>
        <w:jc w:val="right"/>
        <w:rPr>
          <w:rFonts w:ascii="Arial" w:hAnsi="Arial" w:cs="Arial"/>
        </w:rPr>
      </w:pPr>
      <w:r w:rsidRPr="00F237BB">
        <w:rPr>
          <w:rFonts w:ascii="Arial" w:hAnsi="Arial" w:cs="Arial"/>
        </w:rPr>
        <w:t>Mayo 2016</w:t>
      </w:r>
    </w:p>
    <w:p w:rsidR="00481C6D" w:rsidRPr="00F237BB" w:rsidRDefault="00481C6D" w:rsidP="00481C6D">
      <w:pPr>
        <w:rPr>
          <w:rFonts w:ascii="Arial" w:hAnsi="Arial" w:cs="Arial"/>
        </w:rPr>
      </w:pPr>
    </w:p>
    <w:p w:rsidR="00481C6D" w:rsidRPr="00F237BB" w:rsidRDefault="00481C6D" w:rsidP="00481C6D">
      <w:pPr>
        <w:rPr>
          <w:rFonts w:ascii="Arial" w:hAnsi="Arial" w:cs="Arial"/>
        </w:rPr>
        <w:sectPr w:rsidR="00481C6D" w:rsidRPr="00F237BB" w:rsidSect="004659E6">
          <w:headerReference w:type="first" r:id="rId9"/>
          <w:pgSz w:w="12240" w:h="15840" w:code="1"/>
          <w:pgMar w:top="1135" w:right="1134" w:bottom="1418" w:left="1418" w:header="709" w:footer="713" w:gutter="0"/>
          <w:cols w:space="708"/>
          <w:docGrid w:linePitch="360"/>
        </w:sect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sdt>
      <w:sdtPr>
        <w:rPr>
          <w:rFonts w:ascii="Arial" w:hAnsi="Arial" w:cs="Arial"/>
          <w:b w:val="0"/>
          <w:bCs w:val="0"/>
          <w:color w:val="auto"/>
          <w:sz w:val="22"/>
          <w:szCs w:val="22"/>
          <w:lang w:eastAsia="es-ES"/>
        </w:rPr>
        <w:id w:val="-1052385081"/>
        <w:docPartObj>
          <w:docPartGallery w:val="Table of Contents"/>
          <w:docPartUnique/>
        </w:docPartObj>
      </w:sdtPr>
      <w:sdtEndPr/>
      <w:sdtContent>
        <w:p w:rsidR="00481C6D" w:rsidRPr="00F237BB" w:rsidRDefault="00481C6D">
          <w:pPr>
            <w:pStyle w:val="TOCHeading"/>
            <w:rPr>
              <w:rFonts w:ascii="Arial" w:hAnsi="Arial" w:cs="Arial"/>
              <w:sz w:val="22"/>
              <w:szCs w:val="22"/>
            </w:rPr>
          </w:pPr>
          <w:r w:rsidRPr="00F237BB">
            <w:rPr>
              <w:rFonts w:ascii="Arial" w:hAnsi="Arial" w:cs="Arial"/>
              <w:sz w:val="22"/>
              <w:szCs w:val="22"/>
            </w:rPr>
            <w:t>Contenido</w:t>
          </w:r>
        </w:p>
        <w:p w:rsidR="00ED357D" w:rsidRPr="00F237BB" w:rsidRDefault="008F5B03">
          <w:pPr>
            <w:pStyle w:val="TOC1"/>
            <w:rPr>
              <w:rFonts w:ascii="Arial" w:eastAsiaTheme="minorEastAsia" w:hAnsi="Arial" w:cs="Arial"/>
              <w:b w:val="0"/>
            </w:rPr>
          </w:pPr>
          <w:r w:rsidRPr="00F237BB">
            <w:rPr>
              <w:rFonts w:ascii="Arial" w:hAnsi="Arial" w:cs="Arial"/>
            </w:rPr>
            <w:fldChar w:fldCharType="begin"/>
          </w:r>
          <w:r w:rsidR="00DB1F97" w:rsidRPr="00F237BB">
            <w:rPr>
              <w:rFonts w:ascii="Arial" w:hAnsi="Arial" w:cs="Arial"/>
            </w:rPr>
            <w:instrText xml:space="preserve"> TOC \o "1-2" \h \z \u </w:instrText>
          </w:r>
          <w:r w:rsidRPr="00F237BB">
            <w:rPr>
              <w:rFonts w:ascii="Arial" w:hAnsi="Arial" w:cs="Arial"/>
            </w:rPr>
            <w:fldChar w:fldCharType="separate"/>
          </w:r>
          <w:hyperlink w:anchor="_Toc458521458" w:history="1">
            <w:r w:rsidR="00ED357D" w:rsidRPr="00F237BB">
              <w:rPr>
                <w:rStyle w:val="Hyperlink"/>
                <w:rFonts w:ascii="Arial" w:hAnsi="Arial" w:cs="Arial"/>
              </w:rPr>
              <w:t>1.</w:t>
            </w:r>
            <w:r w:rsidR="00ED357D" w:rsidRPr="00F237BB">
              <w:rPr>
                <w:rFonts w:ascii="Arial" w:eastAsiaTheme="minorEastAsia" w:hAnsi="Arial" w:cs="Arial"/>
                <w:b w:val="0"/>
              </w:rPr>
              <w:tab/>
            </w:r>
            <w:r w:rsidR="00ED357D" w:rsidRPr="00F237BB">
              <w:rPr>
                <w:rStyle w:val="Hyperlink"/>
                <w:rFonts w:ascii="Arial" w:hAnsi="Arial" w:cs="Arial"/>
              </w:rPr>
              <w:t>Contexto institucional</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_Toc458521458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5</w:t>
            </w:r>
            <w:r w:rsidR="00ED357D" w:rsidRPr="00F237BB">
              <w:rPr>
                <w:rFonts w:ascii="Arial" w:hAnsi="Arial" w:cs="Arial"/>
                <w:webHidden/>
              </w:rPr>
              <w:fldChar w:fldCharType="end"/>
            </w:r>
          </w:hyperlink>
        </w:p>
        <w:p w:rsidR="00ED357D" w:rsidRPr="00F237BB" w:rsidRDefault="00B75855">
          <w:pPr>
            <w:pStyle w:val="TOC2"/>
            <w:rPr>
              <w:rFonts w:ascii="Arial" w:eastAsiaTheme="minorEastAsia" w:hAnsi="Arial" w:cs="Arial"/>
              <w:szCs w:val="22"/>
            </w:rPr>
          </w:pPr>
          <w:hyperlink w:anchor="_Toc458521459" w:history="1">
            <w:r w:rsidR="00ED357D" w:rsidRPr="00F237BB">
              <w:rPr>
                <w:rStyle w:val="Hyperlink"/>
                <w:rFonts w:ascii="Arial" w:hAnsi="Arial" w:cs="Arial"/>
                <w:szCs w:val="22"/>
              </w:rPr>
              <w:t>1.1.</w:t>
            </w:r>
            <w:r w:rsidR="00ED357D" w:rsidRPr="00F237BB">
              <w:rPr>
                <w:rFonts w:ascii="Arial" w:eastAsiaTheme="minorEastAsia" w:hAnsi="Arial" w:cs="Arial"/>
                <w:szCs w:val="22"/>
              </w:rPr>
              <w:tab/>
            </w:r>
            <w:r w:rsidR="00ED357D" w:rsidRPr="00F237BB">
              <w:rPr>
                <w:rStyle w:val="Hyperlink"/>
                <w:rFonts w:ascii="Arial" w:hAnsi="Arial" w:cs="Arial"/>
                <w:szCs w:val="22"/>
              </w:rPr>
              <w:t>Marco básico legal de la Secretaría de Política Económica y Planificación del Desarrollo</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_Toc458521459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5</w:t>
            </w:r>
            <w:r w:rsidR="00ED357D" w:rsidRPr="00F237BB">
              <w:rPr>
                <w:rFonts w:ascii="Arial" w:hAnsi="Arial" w:cs="Arial"/>
                <w:webHidden/>
                <w:szCs w:val="22"/>
              </w:rPr>
              <w:fldChar w:fldCharType="end"/>
            </w:r>
          </w:hyperlink>
        </w:p>
        <w:p w:rsidR="00ED357D" w:rsidRPr="00F237BB" w:rsidRDefault="00B75855">
          <w:pPr>
            <w:pStyle w:val="TOC2"/>
            <w:rPr>
              <w:rFonts w:ascii="Arial" w:eastAsiaTheme="minorEastAsia" w:hAnsi="Arial" w:cs="Arial"/>
              <w:szCs w:val="22"/>
            </w:rPr>
          </w:pPr>
          <w:hyperlink w:anchor="_Toc458521460" w:history="1">
            <w:r w:rsidR="00ED357D" w:rsidRPr="00F237BB">
              <w:rPr>
                <w:rStyle w:val="Hyperlink"/>
                <w:rFonts w:ascii="Arial" w:hAnsi="Arial" w:cs="Arial"/>
                <w:szCs w:val="22"/>
              </w:rPr>
              <w:t>1.2.</w:t>
            </w:r>
            <w:r w:rsidR="00ED357D" w:rsidRPr="00F237BB">
              <w:rPr>
                <w:rFonts w:ascii="Arial" w:eastAsiaTheme="minorEastAsia" w:hAnsi="Arial" w:cs="Arial"/>
                <w:szCs w:val="22"/>
              </w:rPr>
              <w:tab/>
            </w:r>
            <w:r w:rsidR="00ED357D" w:rsidRPr="00F237BB">
              <w:rPr>
                <w:rStyle w:val="Hyperlink"/>
                <w:rFonts w:ascii="Arial" w:hAnsi="Arial" w:cs="Arial"/>
                <w:szCs w:val="22"/>
              </w:rPr>
              <w:t>Organización de la SPEyPD</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_Toc458521460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7</w:t>
            </w:r>
            <w:r w:rsidR="00ED357D" w:rsidRPr="00F237BB">
              <w:rPr>
                <w:rFonts w:ascii="Arial" w:hAnsi="Arial" w:cs="Arial"/>
                <w:webHidden/>
                <w:szCs w:val="22"/>
              </w:rPr>
              <w:fldChar w:fldCharType="end"/>
            </w:r>
          </w:hyperlink>
        </w:p>
        <w:p w:rsidR="00ED357D" w:rsidRPr="00F237BB" w:rsidRDefault="00B75855">
          <w:pPr>
            <w:pStyle w:val="TOC1"/>
            <w:rPr>
              <w:rFonts w:ascii="Arial" w:eastAsiaTheme="minorEastAsia" w:hAnsi="Arial" w:cs="Arial"/>
              <w:b w:val="0"/>
            </w:rPr>
          </w:pPr>
          <w:hyperlink w:anchor="_Toc458521461" w:history="1">
            <w:r w:rsidR="00ED357D" w:rsidRPr="00F237BB">
              <w:rPr>
                <w:rStyle w:val="Hyperlink"/>
                <w:rFonts w:ascii="Arial" w:hAnsi="Arial" w:cs="Arial"/>
              </w:rPr>
              <w:t>2.</w:t>
            </w:r>
            <w:r w:rsidR="00ED357D" w:rsidRPr="00F237BB">
              <w:rPr>
                <w:rFonts w:ascii="Arial" w:eastAsiaTheme="minorEastAsia" w:hAnsi="Arial" w:cs="Arial"/>
                <w:b w:val="0"/>
              </w:rPr>
              <w:tab/>
            </w:r>
            <w:r w:rsidR="00ED357D" w:rsidRPr="00F237BB">
              <w:rPr>
                <w:rStyle w:val="Hyperlink"/>
                <w:rFonts w:ascii="Arial" w:hAnsi="Arial" w:cs="Arial"/>
              </w:rPr>
              <w:t>Retos y desafíos</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_Toc458521461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8</w:t>
            </w:r>
            <w:r w:rsidR="00ED357D" w:rsidRPr="00F237BB">
              <w:rPr>
                <w:rFonts w:ascii="Arial" w:hAnsi="Arial" w:cs="Arial"/>
                <w:webHidden/>
              </w:rPr>
              <w:fldChar w:fldCharType="end"/>
            </w:r>
          </w:hyperlink>
        </w:p>
        <w:p w:rsidR="00ED357D" w:rsidRPr="00F237BB" w:rsidRDefault="00B75855">
          <w:pPr>
            <w:pStyle w:val="TOC2"/>
            <w:rPr>
              <w:rFonts w:ascii="Arial" w:eastAsiaTheme="minorEastAsia" w:hAnsi="Arial" w:cs="Arial"/>
              <w:szCs w:val="22"/>
            </w:rPr>
          </w:pPr>
          <w:hyperlink w:anchor="_Toc458521462" w:history="1">
            <w:r w:rsidR="00ED357D" w:rsidRPr="00F237BB">
              <w:rPr>
                <w:rStyle w:val="Hyperlink"/>
                <w:rFonts w:ascii="Arial" w:hAnsi="Arial" w:cs="Arial"/>
                <w:szCs w:val="22"/>
              </w:rPr>
              <w:t>2.1.</w:t>
            </w:r>
            <w:r w:rsidR="00ED357D" w:rsidRPr="00F237BB">
              <w:rPr>
                <w:rFonts w:ascii="Arial" w:eastAsiaTheme="minorEastAsia" w:hAnsi="Arial" w:cs="Arial"/>
                <w:szCs w:val="22"/>
              </w:rPr>
              <w:tab/>
            </w:r>
            <w:r w:rsidR="00ED357D" w:rsidRPr="00F237BB">
              <w:rPr>
                <w:rStyle w:val="Hyperlink"/>
                <w:rFonts w:ascii="Arial" w:hAnsi="Arial" w:cs="Arial"/>
                <w:szCs w:val="22"/>
              </w:rPr>
              <w:t>Nuevo contexto de políticas y desafíos</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_Toc458521462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8</w:t>
            </w:r>
            <w:r w:rsidR="00ED357D" w:rsidRPr="00F237BB">
              <w:rPr>
                <w:rFonts w:ascii="Arial" w:hAnsi="Arial" w:cs="Arial"/>
                <w:webHidden/>
                <w:szCs w:val="22"/>
              </w:rPr>
              <w:fldChar w:fldCharType="end"/>
            </w:r>
          </w:hyperlink>
        </w:p>
        <w:p w:rsidR="00ED357D" w:rsidRPr="00F237BB" w:rsidRDefault="00B75855">
          <w:pPr>
            <w:pStyle w:val="TOC2"/>
            <w:rPr>
              <w:rFonts w:ascii="Arial" w:eastAsiaTheme="minorEastAsia" w:hAnsi="Arial" w:cs="Arial"/>
              <w:szCs w:val="22"/>
            </w:rPr>
          </w:pPr>
          <w:hyperlink w:anchor="_Toc458521463" w:history="1">
            <w:r w:rsidR="00ED357D" w:rsidRPr="00F237BB">
              <w:rPr>
                <w:rStyle w:val="Hyperlink"/>
                <w:rFonts w:ascii="Arial" w:hAnsi="Arial" w:cs="Arial"/>
                <w:szCs w:val="22"/>
              </w:rPr>
              <w:t>2.2.</w:t>
            </w:r>
            <w:r w:rsidR="00ED357D" w:rsidRPr="00F237BB">
              <w:rPr>
                <w:rFonts w:ascii="Arial" w:eastAsiaTheme="minorEastAsia" w:hAnsi="Arial" w:cs="Arial"/>
                <w:szCs w:val="22"/>
              </w:rPr>
              <w:tab/>
            </w:r>
            <w:r w:rsidR="00ED357D" w:rsidRPr="00F237BB">
              <w:rPr>
                <w:rStyle w:val="Hyperlink"/>
                <w:rFonts w:ascii="Arial" w:hAnsi="Arial" w:cs="Arial"/>
                <w:szCs w:val="22"/>
              </w:rPr>
              <w:t>La gestión jurídica de las causas contra el MHyFP</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_Toc458521463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9</w:t>
            </w:r>
            <w:r w:rsidR="00ED357D" w:rsidRPr="00F237BB">
              <w:rPr>
                <w:rFonts w:ascii="Arial" w:hAnsi="Arial" w:cs="Arial"/>
                <w:webHidden/>
                <w:szCs w:val="22"/>
              </w:rPr>
              <w:fldChar w:fldCharType="end"/>
            </w:r>
          </w:hyperlink>
        </w:p>
        <w:p w:rsidR="00ED357D" w:rsidRPr="00F237BB" w:rsidRDefault="00B75855">
          <w:pPr>
            <w:pStyle w:val="TOC1"/>
            <w:rPr>
              <w:rFonts w:ascii="Arial" w:eastAsiaTheme="minorEastAsia" w:hAnsi="Arial" w:cs="Arial"/>
              <w:b w:val="0"/>
            </w:rPr>
          </w:pPr>
          <w:hyperlink w:anchor="_Toc458521464" w:history="1">
            <w:r w:rsidR="00ED357D" w:rsidRPr="00F237BB">
              <w:rPr>
                <w:rStyle w:val="Hyperlink"/>
                <w:rFonts w:ascii="Arial" w:hAnsi="Arial" w:cs="Arial"/>
              </w:rPr>
              <w:t>3.</w:t>
            </w:r>
            <w:r w:rsidR="00ED357D" w:rsidRPr="00F237BB">
              <w:rPr>
                <w:rFonts w:ascii="Arial" w:eastAsiaTheme="minorEastAsia" w:hAnsi="Arial" w:cs="Arial"/>
                <w:b w:val="0"/>
              </w:rPr>
              <w:tab/>
            </w:r>
            <w:r w:rsidR="00ED357D" w:rsidRPr="00F237BB">
              <w:rPr>
                <w:rStyle w:val="Hyperlink"/>
                <w:rFonts w:ascii="Arial" w:hAnsi="Arial" w:cs="Arial"/>
              </w:rPr>
              <w:t>Consideraciones metodológicas</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_Toc458521464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10</w:t>
            </w:r>
            <w:r w:rsidR="00ED357D" w:rsidRPr="00F237BB">
              <w:rPr>
                <w:rFonts w:ascii="Arial" w:hAnsi="Arial" w:cs="Arial"/>
                <w:webHidden/>
              </w:rPr>
              <w:fldChar w:fldCharType="end"/>
            </w:r>
          </w:hyperlink>
        </w:p>
        <w:p w:rsidR="00ED357D" w:rsidRPr="00F237BB" w:rsidRDefault="00B75855">
          <w:pPr>
            <w:pStyle w:val="TOC2"/>
            <w:rPr>
              <w:rFonts w:ascii="Arial" w:eastAsiaTheme="minorEastAsia" w:hAnsi="Arial" w:cs="Arial"/>
              <w:szCs w:val="22"/>
            </w:rPr>
          </w:pPr>
          <w:hyperlink w:anchor="_Toc458521465" w:history="1">
            <w:r w:rsidR="00ED357D" w:rsidRPr="00F237BB">
              <w:rPr>
                <w:rStyle w:val="Hyperlink"/>
                <w:rFonts w:ascii="Arial" w:hAnsi="Arial" w:cs="Arial"/>
                <w:szCs w:val="22"/>
              </w:rPr>
              <w:t>3.1.</w:t>
            </w:r>
            <w:r w:rsidR="00ED357D" w:rsidRPr="00F237BB">
              <w:rPr>
                <w:rFonts w:ascii="Arial" w:eastAsiaTheme="minorEastAsia" w:hAnsi="Arial" w:cs="Arial"/>
                <w:szCs w:val="22"/>
              </w:rPr>
              <w:tab/>
            </w:r>
            <w:r w:rsidR="00ED357D" w:rsidRPr="00F237BB">
              <w:rPr>
                <w:rStyle w:val="Hyperlink"/>
                <w:rFonts w:ascii="Arial" w:hAnsi="Arial" w:cs="Arial"/>
                <w:szCs w:val="22"/>
              </w:rPr>
              <w:t>Identificación de los productos relevantes</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_Toc458521465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10</w:t>
            </w:r>
            <w:r w:rsidR="00ED357D" w:rsidRPr="00F237BB">
              <w:rPr>
                <w:rFonts w:ascii="Arial" w:hAnsi="Arial" w:cs="Arial"/>
                <w:webHidden/>
                <w:szCs w:val="22"/>
              </w:rPr>
              <w:fldChar w:fldCharType="end"/>
            </w:r>
          </w:hyperlink>
        </w:p>
        <w:p w:rsidR="00ED357D" w:rsidRPr="00F237BB" w:rsidRDefault="00B75855">
          <w:pPr>
            <w:pStyle w:val="TOC2"/>
            <w:rPr>
              <w:rFonts w:ascii="Arial" w:eastAsiaTheme="minorEastAsia" w:hAnsi="Arial" w:cs="Arial"/>
              <w:szCs w:val="22"/>
            </w:rPr>
          </w:pPr>
          <w:hyperlink w:anchor="_Toc458521466" w:history="1">
            <w:r w:rsidR="00ED357D" w:rsidRPr="00F237BB">
              <w:rPr>
                <w:rStyle w:val="Hyperlink"/>
                <w:rFonts w:ascii="Arial" w:hAnsi="Arial" w:cs="Arial"/>
                <w:szCs w:val="22"/>
              </w:rPr>
              <w:t>3.2.</w:t>
            </w:r>
            <w:r w:rsidR="00ED357D" w:rsidRPr="00F237BB">
              <w:rPr>
                <w:rFonts w:ascii="Arial" w:eastAsiaTheme="minorEastAsia" w:hAnsi="Arial" w:cs="Arial"/>
                <w:szCs w:val="22"/>
              </w:rPr>
              <w:tab/>
            </w:r>
            <w:r w:rsidR="00ED357D" w:rsidRPr="00F237BB">
              <w:rPr>
                <w:rStyle w:val="Hyperlink"/>
                <w:rFonts w:ascii="Arial" w:hAnsi="Arial" w:cs="Arial"/>
                <w:szCs w:val="22"/>
              </w:rPr>
              <w:t>Instrumentos de medición utilizados</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_Toc458521466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11</w:t>
            </w:r>
            <w:r w:rsidR="00ED357D" w:rsidRPr="00F237BB">
              <w:rPr>
                <w:rFonts w:ascii="Arial" w:hAnsi="Arial" w:cs="Arial"/>
                <w:webHidden/>
                <w:szCs w:val="22"/>
              </w:rPr>
              <w:fldChar w:fldCharType="end"/>
            </w:r>
          </w:hyperlink>
        </w:p>
        <w:p w:rsidR="00ED357D" w:rsidRPr="00F237BB" w:rsidRDefault="00B75855">
          <w:pPr>
            <w:pStyle w:val="TOC1"/>
            <w:rPr>
              <w:rFonts w:ascii="Arial" w:eastAsiaTheme="minorEastAsia" w:hAnsi="Arial" w:cs="Arial"/>
              <w:b w:val="0"/>
            </w:rPr>
          </w:pPr>
          <w:hyperlink w:anchor="_Toc458521467" w:history="1">
            <w:r w:rsidR="00ED357D" w:rsidRPr="00F237BB">
              <w:rPr>
                <w:rStyle w:val="Hyperlink"/>
                <w:rFonts w:ascii="Arial" w:hAnsi="Arial" w:cs="Arial"/>
              </w:rPr>
              <w:t>4.</w:t>
            </w:r>
            <w:r w:rsidR="00ED357D" w:rsidRPr="00F237BB">
              <w:rPr>
                <w:rFonts w:ascii="Arial" w:eastAsiaTheme="minorEastAsia" w:hAnsi="Arial" w:cs="Arial"/>
                <w:b w:val="0"/>
              </w:rPr>
              <w:tab/>
            </w:r>
            <w:r w:rsidR="00ED357D" w:rsidRPr="00F237BB">
              <w:rPr>
                <w:rStyle w:val="Hyperlink"/>
                <w:rFonts w:ascii="Arial" w:hAnsi="Arial" w:cs="Arial"/>
              </w:rPr>
              <w:t>El problema principal a enfrentar</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_Toc458521467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14</w:t>
            </w:r>
            <w:r w:rsidR="00ED357D" w:rsidRPr="00F237BB">
              <w:rPr>
                <w:rFonts w:ascii="Arial" w:hAnsi="Arial" w:cs="Arial"/>
                <w:webHidden/>
              </w:rPr>
              <w:fldChar w:fldCharType="end"/>
            </w:r>
          </w:hyperlink>
        </w:p>
        <w:p w:rsidR="00ED357D" w:rsidRPr="00F237BB" w:rsidRDefault="00B75855">
          <w:pPr>
            <w:pStyle w:val="TOC2"/>
            <w:rPr>
              <w:rFonts w:ascii="Arial" w:eastAsiaTheme="minorEastAsia" w:hAnsi="Arial" w:cs="Arial"/>
              <w:szCs w:val="22"/>
            </w:rPr>
          </w:pPr>
          <w:hyperlink w:anchor="_Toc458521468" w:history="1">
            <w:r w:rsidR="00ED357D" w:rsidRPr="00F237BB">
              <w:rPr>
                <w:rStyle w:val="Hyperlink"/>
                <w:rFonts w:ascii="Arial" w:hAnsi="Arial" w:cs="Arial"/>
                <w:szCs w:val="22"/>
              </w:rPr>
              <w:t>4.1.</w:t>
            </w:r>
            <w:r w:rsidR="00ED357D" w:rsidRPr="00F237BB">
              <w:rPr>
                <w:rFonts w:ascii="Arial" w:eastAsiaTheme="minorEastAsia" w:hAnsi="Arial" w:cs="Arial"/>
                <w:szCs w:val="22"/>
              </w:rPr>
              <w:tab/>
            </w:r>
            <w:r w:rsidR="00ED357D" w:rsidRPr="00F237BB">
              <w:rPr>
                <w:rStyle w:val="Hyperlink"/>
                <w:rFonts w:ascii="Arial" w:hAnsi="Arial" w:cs="Arial"/>
                <w:szCs w:val="22"/>
              </w:rPr>
              <w:t>Descripción del problema principal</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_Toc458521468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14</w:t>
            </w:r>
            <w:r w:rsidR="00ED357D" w:rsidRPr="00F237BB">
              <w:rPr>
                <w:rFonts w:ascii="Arial" w:hAnsi="Arial" w:cs="Arial"/>
                <w:webHidden/>
                <w:szCs w:val="22"/>
              </w:rPr>
              <w:fldChar w:fldCharType="end"/>
            </w:r>
          </w:hyperlink>
        </w:p>
        <w:p w:rsidR="00ED357D" w:rsidRPr="00F237BB" w:rsidRDefault="00B75855">
          <w:pPr>
            <w:pStyle w:val="TOC2"/>
            <w:rPr>
              <w:rFonts w:ascii="Arial" w:eastAsiaTheme="minorEastAsia" w:hAnsi="Arial" w:cs="Arial"/>
              <w:szCs w:val="22"/>
            </w:rPr>
          </w:pPr>
          <w:hyperlink w:anchor="_Toc458521469" w:history="1">
            <w:r w:rsidR="00ED357D" w:rsidRPr="00F237BB">
              <w:rPr>
                <w:rStyle w:val="Hyperlink"/>
                <w:rFonts w:ascii="Arial" w:hAnsi="Arial" w:cs="Arial"/>
                <w:szCs w:val="22"/>
              </w:rPr>
              <w:t>4.2.</w:t>
            </w:r>
            <w:r w:rsidR="00ED357D" w:rsidRPr="00F237BB">
              <w:rPr>
                <w:rFonts w:ascii="Arial" w:eastAsiaTheme="minorEastAsia" w:hAnsi="Arial" w:cs="Arial"/>
                <w:szCs w:val="22"/>
              </w:rPr>
              <w:tab/>
            </w:r>
            <w:r w:rsidR="00ED357D" w:rsidRPr="00F237BB">
              <w:rPr>
                <w:rStyle w:val="Hyperlink"/>
                <w:rFonts w:ascii="Arial" w:hAnsi="Arial" w:cs="Arial"/>
                <w:szCs w:val="22"/>
              </w:rPr>
              <w:t>Problemas vinculados al problema principal</w:t>
            </w:r>
            <w:r w:rsidR="00ED357D" w:rsidRPr="00F237BB">
              <w:rPr>
                <w:rFonts w:ascii="Arial" w:hAnsi="Arial" w:cs="Arial"/>
                <w:webHidden/>
                <w:szCs w:val="22"/>
              </w:rPr>
              <w:tab/>
            </w:r>
            <w:r w:rsidR="00ED357D" w:rsidRPr="00F237BB">
              <w:rPr>
                <w:rFonts w:ascii="Arial" w:hAnsi="Arial" w:cs="Arial"/>
                <w:webHidden/>
                <w:szCs w:val="22"/>
              </w:rPr>
              <w:fldChar w:fldCharType="begin"/>
            </w:r>
            <w:r w:rsidR="00ED357D" w:rsidRPr="00F237BB">
              <w:rPr>
                <w:rFonts w:ascii="Arial" w:hAnsi="Arial" w:cs="Arial"/>
                <w:webHidden/>
                <w:szCs w:val="22"/>
              </w:rPr>
              <w:instrText xml:space="preserve"> PAGEREF _Toc458521469 \h </w:instrText>
            </w:r>
            <w:r w:rsidR="00ED357D" w:rsidRPr="00F237BB">
              <w:rPr>
                <w:rFonts w:ascii="Arial" w:hAnsi="Arial" w:cs="Arial"/>
                <w:webHidden/>
                <w:szCs w:val="22"/>
              </w:rPr>
            </w:r>
            <w:r w:rsidR="00ED357D" w:rsidRPr="00F237BB">
              <w:rPr>
                <w:rFonts w:ascii="Arial" w:hAnsi="Arial" w:cs="Arial"/>
                <w:webHidden/>
                <w:szCs w:val="22"/>
              </w:rPr>
              <w:fldChar w:fldCharType="separate"/>
            </w:r>
            <w:r w:rsidR="00ED357D" w:rsidRPr="00F237BB">
              <w:rPr>
                <w:rFonts w:ascii="Arial" w:hAnsi="Arial" w:cs="Arial"/>
                <w:webHidden/>
                <w:szCs w:val="22"/>
              </w:rPr>
              <w:t>16</w:t>
            </w:r>
            <w:r w:rsidR="00ED357D" w:rsidRPr="00F237BB">
              <w:rPr>
                <w:rFonts w:ascii="Arial" w:hAnsi="Arial" w:cs="Arial"/>
                <w:webHidden/>
                <w:szCs w:val="22"/>
              </w:rPr>
              <w:fldChar w:fldCharType="end"/>
            </w:r>
          </w:hyperlink>
        </w:p>
        <w:p w:rsidR="00ED357D" w:rsidRPr="00F237BB" w:rsidRDefault="00B75855">
          <w:pPr>
            <w:pStyle w:val="TOC1"/>
            <w:rPr>
              <w:rFonts w:ascii="Arial" w:eastAsiaTheme="minorEastAsia" w:hAnsi="Arial" w:cs="Arial"/>
              <w:b w:val="0"/>
            </w:rPr>
          </w:pPr>
          <w:hyperlink w:anchor="_Toc458521470" w:history="1">
            <w:r w:rsidR="00ED357D" w:rsidRPr="00F237BB">
              <w:rPr>
                <w:rStyle w:val="Hyperlink"/>
                <w:rFonts w:ascii="Arial" w:hAnsi="Arial" w:cs="Arial"/>
              </w:rPr>
              <w:t>5.</w:t>
            </w:r>
            <w:r w:rsidR="00ED357D" w:rsidRPr="00F237BB">
              <w:rPr>
                <w:rFonts w:ascii="Arial" w:eastAsiaTheme="minorEastAsia" w:hAnsi="Arial" w:cs="Arial"/>
                <w:b w:val="0"/>
              </w:rPr>
              <w:tab/>
            </w:r>
            <w:r w:rsidR="00ED357D" w:rsidRPr="00F237BB">
              <w:rPr>
                <w:rStyle w:val="Hyperlink"/>
                <w:rFonts w:ascii="Arial" w:hAnsi="Arial" w:cs="Arial"/>
              </w:rPr>
              <w:t>Relaciones entre factores y problemas</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_Toc458521470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28</w:t>
            </w:r>
            <w:r w:rsidR="00ED357D" w:rsidRPr="00F237BB">
              <w:rPr>
                <w:rFonts w:ascii="Arial" w:hAnsi="Arial" w:cs="Arial"/>
                <w:webHidden/>
              </w:rPr>
              <w:fldChar w:fldCharType="end"/>
            </w:r>
          </w:hyperlink>
        </w:p>
        <w:p w:rsidR="00ED357D" w:rsidRPr="00F237BB" w:rsidRDefault="00B75855">
          <w:pPr>
            <w:pStyle w:val="TOC1"/>
            <w:rPr>
              <w:rFonts w:ascii="Arial" w:eastAsiaTheme="minorEastAsia" w:hAnsi="Arial" w:cs="Arial"/>
              <w:b w:val="0"/>
            </w:rPr>
          </w:pPr>
          <w:hyperlink w:anchor="_Toc458521471" w:history="1">
            <w:r w:rsidR="00ED357D" w:rsidRPr="00F237BB">
              <w:rPr>
                <w:rStyle w:val="Hyperlink"/>
                <w:rFonts w:ascii="Arial" w:hAnsi="Arial" w:cs="Arial"/>
              </w:rPr>
              <w:t>Anexo 1. Competencias de la Secretaría de Política Económica y Planificación del Desarrollo (Decreto 442/2016)</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_Toc458521471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32</w:t>
            </w:r>
            <w:r w:rsidR="00ED357D" w:rsidRPr="00F237BB">
              <w:rPr>
                <w:rFonts w:ascii="Arial" w:hAnsi="Arial" w:cs="Arial"/>
                <w:webHidden/>
              </w:rPr>
              <w:fldChar w:fldCharType="end"/>
            </w:r>
          </w:hyperlink>
        </w:p>
        <w:p w:rsidR="00ED357D" w:rsidRPr="00F237BB" w:rsidRDefault="00B75855">
          <w:pPr>
            <w:pStyle w:val="TOC1"/>
            <w:rPr>
              <w:rFonts w:ascii="Arial" w:eastAsiaTheme="minorEastAsia" w:hAnsi="Arial" w:cs="Arial"/>
              <w:b w:val="0"/>
            </w:rPr>
          </w:pPr>
          <w:hyperlink w:anchor="_Toc458521472" w:history="1">
            <w:r w:rsidR="00ED357D" w:rsidRPr="00F237BB">
              <w:rPr>
                <w:rStyle w:val="Hyperlink"/>
                <w:rFonts w:ascii="Arial" w:hAnsi="Arial" w:cs="Arial"/>
              </w:rPr>
              <w:t>Anexo 2. Sistema de indicadores de política económica (SIMPE)</w:t>
            </w:r>
            <w:r w:rsidR="00ED357D" w:rsidRPr="00F237BB">
              <w:rPr>
                <w:rFonts w:ascii="Arial" w:hAnsi="Arial" w:cs="Arial"/>
                <w:webHidden/>
              </w:rPr>
              <w:tab/>
            </w:r>
            <w:r w:rsidR="00ED357D" w:rsidRPr="00F237BB">
              <w:rPr>
                <w:rFonts w:ascii="Arial" w:hAnsi="Arial" w:cs="Arial"/>
                <w:webHidden/>
              </w:rPr>
              <w:fldChar w:fldCharType="begin"/>
            </w:r>
            <w:r w:rsidR="00ED357D" w:rsidRPr="00F237BB">
              <w:rPr>
                <w:rFonts w:ascii="Arial" w:hAnsi="Arial" w:cs="Arial"/>
                <w:webHidden/>
              </w:rPr>
              <w:instrText xml:space="preserve"> PAGEREF _Toc458521472 \h </w:instrText>
            </w:r>
            <w:r w:rsidR="00ED357D" w:rsidRPr="00F237BB">
              <w:rPr>
                <w:rFonts w:ascii="Arial" w:hAnsi="Arial" w:cs="Arial"/>
                <w:webHidden/>
              </w:rPr>
            </w:r>
            <w:r w:rsidR="00ED357D" w:rsidRPr="00F237BB">
              <w:rPr>
                <w:rFonts w:ascii="Arial" w:hAnsi="Arial" w:cs="Arial"/>
                <w:webHidden/>
              </w:rPr>
              <w:fldChar w:fldCharType="separate"/>
            </w:r>
            <w:r w:rsidR="00ED357D" w:rsidRPr="00F237BB">
              <w:rPr>
                <w:rFonts w:ascii="Arial" w:hAnsi="Arial" w:cs="Arial"/>
                <w:webHidden/>
              </w:rPr>
              <w:t>33</w:t>
            </w:r>
            <w:r w:rsidR="00ED357D" w:rsidRPr="00F237BB">
              <w:rPr>
                <w:rFonts w:ascii="Arial" w:hAnsi="Arial" w:cs="Arial"/>
                <w:webHidden/>
              </w:rPr>
              <w:fldChar w:fldCharType="end"/>
            </w:r>
          </w:hyperlink>
        </w:p>
        <w:p w:rsidR="00481C6D" w:rsidRPr="00F237BB" w:rsidRDefault="008F5B03" w:rsidP="00481C6D">
          <w:pPr>
            <w:rPr>
              <w:rFonts w:ascii="Arial" w:hAnsi="Arial" w:cs="Arial"/>
            </w:rPr>
          </w:pPr>
          <w:r w:rsidRPr="00F237BB">
            <w:rPr>
              <w:rFonts w:ascii="Arial" w:hAnsi="Arial" w:cs="Arial"/>
              <w:noProof/>
            </w:rPr>
            <w:fldChar w:fldCharType="end"/>
          </w:r>
        </w:p>
      </w:sdtContent>
    </w:sdt>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C774A" w:rsidRPr="00F237BB" w:rsidRDefault="004C774A">
      <w:pPr>
        <w:jc w:val="left"/>
        <w:rPr>
          <w:rFonts w:ascii="Arial" w:hAnsi="Arial" w:cs="Arial"/>
        </w:rPr>
      </w:pPr>
      <w:r w:rsidRPr="00F237BB">
        <w:rPr>
          <w:rFonts w:ascii="Arial" w:hAnsi="Arial" w:cs="Arial"/>
        </w:rPr>
        <w:br w:type="page"/>
      </w:r>
    </w:p>
    <w:p w:rsidR="002D2C0C" w:rsidRPr="00F237BB" w:rsidRDefault="004C774A" w:rsidP="00704EA2">
      <w:pPr>
        <w:shd w:val="clear" w:color="auto" w:fill="D9D9D9" w:themeFill="background1" w:themeFillShade="D9"/>
        <w:spacing w:after="360"/>
        <w:rPr>
          <w:rFonts w:ascii="Arial" w:hAnsi="Arial" w:cs="Arial"/>
          <w:b/>
          <w:u w:val="single"/>
        </w:rPr>
      </w:pPr>
      <w:r w:rsidRPr="00F237BB">
        <w:rPr>
          <w:rFonts w:ascii="Arial" w:hAnsi="Arial" w:cs="Arial"/>
          <w:b/>
          <w:u w:val="single"/>
        </w:rPr>
        <w:lastRenderedPageBreak/>
        <w:t>Glosario</w:t>
      </w:r>
    </w:p>
    <w:tbl>
      <w:tblPr>
        <w:tblStyle w:val="TableGrid"/>
        <w:tblW w:w="0" w:type="auto"/>
        <w:tblLook w:val="04A0" w:firstRow="1" w:lastRow="0" w:firstColumn="1" w:lastColumn="0" w:noHBand="0" w:noVBand="1"/>
      </w:tblPr>
      <w:tblGrid>
        <w:gridCol w:w="2518"/>
        <w:gridCol w:w="7229"/>
      </w:tblGrid>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ACB</w:t>
            </w:r>
          </w:p>
        </w:tc>
        <w:tc>
          <w:tcPr>
            <w:tcW w:w="7229" w:type="dxa"/>
          </w:tcPr>
          <w:p w:rsidR="00107CE3" w:rsidRPr="00F237BB" w:rsidRDefault="00107CE3" w:rsidP="00DB1F97">
            <w:pPr>
              <w:rPr>
                <w:rFonts w:ascii="Arial" w:hAnsi="Arial" w:cs="Arial"/>
                <w:lang w:val="es-ES_tradnl"/>
              </w:rPr>
            </w:pPr>
            <w:r w:rsidRPr="00F237BB">
              <w:rPr>
                <w:rFonts w:ascii="Arial" w:hAnsi="Arial" w:cs="Arial"/>
                <w:lang w:val="es-ES_tradnl"/>
              </w:rPr>
              <w:t>Herramientas de análisis costo-beneficio</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ACE</w:t>
            </w:r>
          </w:p>
        </w:tc>
        <w:tc>
          <w:tcPr>
            <w:tcW w:w="7229" w:type="dxa"/>
          </w:tcPr>
          <w:p w:rsidR="00107CE3" w:rsidRPr="00F237BB" w:rsidRDefault="00107CE3" w:rsidP="00107CE3">
            <w:pPr>
              <w:rPr>
                <w:rFonts w:ascii="Arial" w:hAnsi="Arial" w:cs="Arial"/>
                <w:lang w:val="es-ES_tradnl"/>
              </w:rPr>
            </w:pPr>
            <w:r w:rsidRPr="00F237BB">
              <w:rPr>
                <w:rFonts w:ascii="Arial" w:hAnsi="Arial" w:cs="Arial"/>
                <w:lang w:val="es-ES_tradnl"/>
              </w:rPr>
              <w:t>Herramientas de análisis costo-efectividad</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DGAJ</w:t>
            </w:r>
          </w:p>
        </w:tc>
        <w:tc>
          <w:tcPr>
            <w:tcW w:w="7229" w:type="dxa"/>
          </w:tcPr>
          <w:p w:rsidR="00107CE3" w:rsidRPr="00F237BB" w:rsidRDefault="00107CE3" w:rsidP="00DB1F97">
            <w:pPr>
              <w:rPr>
                <w:rFonts w:ascii="Arial" w:hAnsi="Arial" w:cs="Arial"/>
                <w:lang w:val="es-ES_tradnl"/>
              </w:rPr>
            </w:pPr>
            <w:r w:rsidRPr="00F237BB">
              <w:rPr>
                <w:rFonts w:ascii="Arial" w:hAnsi="Arial" w:cs="Arial"/>
                <w:lang w:val="es-ES_tradnl"/>
              </w:rPr>
              <w:t>Dirección General de Asuntos Jurídicos</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DMP</w:t>
            </w:r>
          </w:p>
        </w:tc>
        <w:tc>
          <w:tcPr>
            <w:tcW w:w="7229" w:type="dxa"/>
          </w:tcPr>
          <w:p w:rsidR="00107CE3" w:rsidRPr="00F237BB" w:rsidRDefault="00107CE3" w:rsidP="00DB1F97">
            <w:pPr>
              <w:rPr>
                <w:rFonts w:ascii="Arial" w:hAnsi="Arial" w:cs="Arial"/>
                <w:lang w:val="es-ES_tradnl"/>
              </w:rPr>
            </w:pPr>
            <w:r w:rsidRPr="00F237BB">
              <w:rPr>
                <w:rFonts w:ascii="Arial" w:hAnsi="Arial" w:cs="Arial"/>
                <w:lang w:val="es-ES_tradnl"/>
              </w:rPr>
              <w:t xml:space="preserve">Dirección de </w:t>
            </w:r>
            <w:r w:rsidRPr="00F237BB">
              <w:rPr>
                <w:rFonts w:ascii="Arial" w:hAnsi="Arial" w:cs="Arial"/>
              </w:rPr>
              <w:t>Modelos y Proyecciones</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DNPR</w:t>
            </w:r>
          </w:p>
        </w:tc>
        <w:tc>
          <w:tcPr>
            <w:tcW w:w="7229" w:type="dxa"/>
          </w:tcPr>
          <w:p w:rsidR="00107CE3" w:rsidRPr="00F237BB" w:rsidRDefault="00107CE3" w:rsidP="00597D65">
            <w:pPr>
              <w:rPr>
                <w:rFonts w:ascii="Arial" w:hAnsi="Arial" w:cs="Arial"/>
              </w:rPr>
            </w:pPr>
            <w:r w:rsidRPr="00F237BB">
              <w:rPr>
                <w:rFonts w:ascii="Arial" w:hAnsi="Arial" w:cs="Arial"/>
                <w:lang w:val="es-ES_tradnl"/>
              </w:rPr>
              <w:t xml:space="preserve">Dirección Nacional de </w:t>
            </w:r>
            <w:r w:rsidR="00597D65" w:rsidRPr="00F237BB">
              <w:rPr>
                <w:rFonts w:ascii="Arial" w:hAnsi="Arial" w:cs="Arial"/>
                <w:lang w:val="es-ES_tradnl"/>
              </w:rPr>
              <w:t>Planificación</w:t>
            </w:r>
            <w:r w:rsidRPr="00F237BB">
              <w:rPr>
                <w:rFonts w:ascii="Arial" w:hAnsi="Arial" w:cs="Arial"/>
                <w:lang w:val="es-ES_tradnl"/>
              </w:rPr>
              <w:t xml:space="preserve"> Regional</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DNPM</w:t>
            </w:r>
          </w:p>
        </w:tc>
        <w:tc>
          <w:tcPr>
            <w:tcW w:w="7229" w:type="dxa"/>
          </w:tcPr>
          <w:p w:rsidR="00107CE3" w:rsidRPr="00F237BB" w:rsidRDefault="00107CE3" w:rsidP="00597D65">
            <w:pPr>
              <w:rPr>
                <w:rFonts w:ascii="Arial" w:hAnsi="Arial" w:cs="Arial"/>
              </w:rPr>
            </w:pPr>
            <w:r w:rsidRPr="00F237BB">
              <w:rPr>
                <w:rFonts w:ascii="Arial" w:hAnsi="Arial" w:cs="Arial"/>
                <w:lang w:val="es-ES_tradnl"/>
              </w:rPr>
              <w:t xml:space="preserve">Dirección Nacional de </w:t>
            </w:r>
            <w:r w:rsidR="00597D65" w:rsidRPr="00F237BB">
              <w:rPr>
                <w:rFonts w:ascii="Arial" w:hAnsi="Arial" w:cs="Arial"/>
                <w:lang w:val="es-ES_tradnl"/>
              </w:rPr>
              <w:t xml:space="preserve">Política </w:t>
            </w:r>
            <w:r w:rsidRPr="00F237BB">
              <w:rPr>
                <w:rFonts w:ascii="Arial" w:hAnsi="Arial" w:cs="Arial"/>
                <w:lang w:val="es-ES_tradnl"/>
              </w:rPr>
              <w:t>Macroeconómica</w:t>
            </w:r>
          </w:p>
        </w:tc>
      </w:tr>
      <w:tr w:rsidR="00107CE3" w:rsidRPr="00F237BB" w:rsidTr="00704EA2">
        <w:tc>
          <w:tcPr>
            <w:tcW w:w="2518" w:type="dxa"/>
          </w:tcPr>
          <w:p w:rsidR="00107CE3" w:rsidRPr="00F237BB" w:rsidRDefault="00F86B3F" w:rsidP="00192CFD">
            <w:pPr>
              <w:rPr>
                <w:rFonts w:ascii="Arial" w:hAnsi="Arial" w:cs="Arial"/>
              </w:rPr>
            </w:pPr>
            <w:proofErr w:type="spellStart"/>
            <w:r w:rsidRPr="00F237BB">
              <w:rPr>
                <w:rFonts w:ascii="Arial" w:hAnsi="Arial" w:cs="Arial"/>
              </w:rPr>
              <w:t>MH</w:t>
            </w:r>
            <w:r w:rsidR="00192CFD" w:rsidRPr="00F237BB">
              <w:rPr>
                <w:rFonts w:ascii="Arial" w:hAnsi="Arial" w:cs="Arial"/>
              </w:rPr>
              <w:t>y</w:t>
            </w:r>
            <w:r w:rsidRPr="00F237BB">
              <w:rPr>
                <w:rFonts w:ascii="Arial" w:hAnsi="Arial" w:cs="Arial"/>
              </w:rPr>
              <w:t>FP</w:t>
            </w:r>
            <w:proofErr w:type="spellEnd"/>
          </w:p>
        </w:tc>
        <w:tc>
          <w:tcPr>
            <w:tcW w:w="7229" w:type="dxa"/>
          </w:tcPr>
          <w:p w:rsidR="00107CE3" w:rsidRPr="00F237BB" w:rsidRDefault="00217341" w:rsidP="00DB1F97">
            <w:pPr>
              <w:rPr>
                <w:rFonts w:ascii="Arial" w:hAnsi="Arial" w:cs="Arial"/>
              </w:rPr>
            </w:pPr>
            <w:r w:rsidRPr="00F237BB">
              <w:rPr>
                <w:rFonts w:ascii="Arial" w:hAnsi="Arial" w:cs="Arial"/>
              </w:rPr>
              <w:t>Ministerio de Hacienda</w:t>
            </w:r>
            <w:r w:rsidR="00107CE3" w:rsidRPr="00F237BB">
              <w:rPr>
                <w:rFonts w:ascii="Arial" w:hAnsi="Arial" w:cs="Arial"/>
              </w:rPr>
              <w:t xml:space="preserve"> y Finanzas Públicas</w:t>
            </w:r>
          </w:p>
        </w:tc>
      </w:tr>
      <w:tr w:rsidR="00597D65" w:rsidRPr="00F237BB" w:rsidTr="00704EA2">
        <w:tc>
          <w:tcPr>
            <w:tcW w:w="2518" w:type="dxa"/>
          </w:tcPr>
          <w:p w:rsidR="00597D65" w:rsidRPr="00F237BB" w:rsidDel="00F86B3F" w:rsidRDefault="00597D65" w:rsidP="00192CFD">
            <w:pPr>
              <w:rPr>
                <w:rFonts w:ascii="Arial" w:hAnsi="Arial" w:cs="Arial"/>
              </w:rPr>
            </w:pPr>
            <w:r w:rsidRPr="00F237BB">
              <w:rPr>
                <w:rFonts w:ascii="Arial" w:hAnsi="Arial" w:cs="Arial"/>
              </w:rPr>
              <w:t>MPROD</w:t>
            </w:r>
          </w:p>
        </w:tc>
        <w:tc>
          <w:tcPr>
            <w:tcW w:w="7229" w:type="dxa"/>
          </w:tcPr>
          <w:p w:rsidR="00597D65" w:rsidRPr="00F237BB" w:rsidDel="00217341" w:rsidRDefault="00597D65" w:rsidP="00DB1F97">
            <w:pPr>
              <w:rPr>
                <w:rFonts w:ascii="Arial" w:hAnsi="Arial" w:cs="Arial"/>
              </w:rPr>
            </w:pPr>
            <w:r w:rsidRPr="00F237BB">
              <w:rPr>
                <w:rFonts w:ascii="Arial" w:hAnsi="Arial" w:cs="Arial"/>
              </w:rPr>
              <w:t>Ministerio de Producción</w:t>
            </w:r>
          </w:p>
        </w:tc>
      </w:tr>
      <w:tr w:rsidR="00107CE3" w:rsidRPr="00F237BB" w:rsidTr="00704EA2">
        <w:tc>
          <w:tcPr>
            <w:tcW w:w="2518" w:type="dxa"/>
          </w:tcPr>
          <w:p w:rsidR="00107CE3" w:rsidRPr="00F237BB" w:rsidRDefault="00107CE3" w:rsidP="00DB1F97">
            <w:pPr>
              <w:rPr>
                <w:rFonts w:ascii="Arial" w:hAnsi="Arial" w:cs="Arial"/>
              </w:rPr>
            </w:pPr>
            <w:r w:rsidRPr="00F237BB">
              <w:rPr>
                <w:rFonts w:ascii="Arial" w:hAnsi="Arial" w:cs="Arial"/>
              </w:rPr>
              <w:t>NA</w:t>
            </w:r>
          </w:p>
        </w:tc>
        <w:tc>
          <w:tcPr>
            <w:tcW w:w="7229" w:type="dxa"/>
          </w:tcPr>
          <w:p w:rsidR="00107CE3" w:rsidRPr="00F237BB" w:rsidRDefault="00107CE3" w:rsidP="00DB1F97">
            <w:pPr>
              <w:rPr>
                <w:rFonts w:ascii="Arial" w:hAnsi="Arial" w:cs="Arial"/>
              </w:rPr>
            </w:pPr>
            <w:r w:rsidRPr="00F237BB">
              <w:rPr>
                <w:rFonts w:ascii="Arial" w:hAnsi="Arial" w:cs="Arial"/>
              </w:rPr>
              <w:t>No aplica</w:t>
            </w:r>
          </w:p>
        </w:tc>
      </w:tr>
      <w:tr w:rsidR="00107CE3" w:rsidRPr="00F237BB" w:rsidTr="00E414CE">
        <w:tc>
          <w:tcPr>
            <w:tcW w:w="2518" w:type="dxa"/>
          </w:tcPr>
          <w:p w:rsidR="00107CE3" w:rsidRPr="00F237BB" w:rsidRDefault="00107CE3" w:rsidP="00E414CE">
            <w:pPr>
              <w:rPr>
                <w:rFonts w:ascii="Arial" w:hAnsi="Arial" w:cs="Arial"/>
              </w:rPr>
            </w:pPr>
            <w:r w:rsidRPr="00F237BB">
              <w:rPr>
                <w:rFonts w:ascii="Arial" w:hAnsi="Arial" w:cs="Arial"/>
              </w:rPr>
              <w:t>ND</w:t>
            </w:r>
          </w:p>
        </w:tc>
        <w:tc>
          <w:tcPr>
            <w:tcW w:w="7229" w:type="dxa"/>
          </w:tcPr>
          <w:p w:rsidR="00107CE3" w:rsidRPr="00F237BB" w:rsidRDefault="00107CE3" w:rsidP="00E414CE">
            <w:pPr>
              <w:rPr>
                <w:rFonts w:ascii="Arial" w:hAnsi="Arial" w:cs="Arial"/>
              </w:rPr>
            </w:pPr>
            <w:r w:rsidRPr="00F237BB">
              <w:rPr>
                <w:rFonts w:ascii="Arial" w:hAnsi="Arial" w:cs="Arial"/>
              </w:rPr>
              <w:t>Dato no disponible</w:t>
            </w:r>
          </w:p>
        </w:tc>
      </w:tr>
      <w:tr w:rsidR="003D0983" w:rsidRPr="00F237BB" w:rsidTr="00E414CE">
        <w:tc>
          <w:tcPr>
            <w:tcW w:w="2518" w:type="dxa"/>
          </w:tcPr>
          <w:p w:rsidR="003D0983" w:rsidRPr="00F237BB" w:rsidRDefault="003D0983" w:rsidP="00E414CE">
            <w:pPr>
              <w:rPr>
                <w:rFonts w:ascii="Arial" w:hAnsi="Arial" w:cs="Arial"/>
              </w:rPr>
            </w:pPr>
            <w:r w:rsidRPr="00F237BB">
              <w:rPr>
                <w:rFonts w:ascii="Arial" w:hAnsi="Arial" w:cs="Arial"/>
              </w:rPr>
              <w:t>PEN</w:t>
            </w:r>
          </w:p>
        </w:tc>
        <w:tc>
          <w:tcPr>
            <w:tcW w:w="7229" w:type="dxa"/>
          </w:tcPr>
          <w:p w:rsidR="003D0983" w:rsidRPr="00F237BB" w:rsidRDefault="003D0983" w:rsidP="00E414CE">
            <w:pPr>
              <w:rPr>
                <w:rFonts w:ascii="Arial" w:hAnsi="Arial" w:cs="Arial"/>
              </w:rPr>
            </w:pPr>
            <w:r w:rsidRPr="00F237BB">
              <w:rPr>
                <w:rFonts w:ascii="Arial" w:hAnsi="Arial" w:cs="Arial"/>
              </w:rPr>
              <w:t>Poder Ejecutivo Nacional</w:t>
            </w:r>
          </w:p>
        </w:tc>
      </w:tr>
      <w:tr w:rsidR="00CC5616" w:rsidRPr="00F237BB" w:rsidTr="00E414CE">
        <w:tc>
          <w:tcPr>
            <w:tcW w:w="2518" w:type="dxa"/>
          </w:tcPr>
          <w:p w:rsidR="00CC5616" w:rsidRPr="00F237BB" w:rsidRDefault="00CC5616" w:rsidP="00E414CE">
            <w:pPr>
              <w:rPr>
                <w:rFonts w:ascii="Arial" w:hAnsi="Arial" w:cs="Arial"/>
              </w:rPr>
            </w:pPr>
            <w:r w:rsidRPr="00F237BB">
              <w:rPr>
                <w:rFonts w:ascii="Arial" w:hAnsi="Arial" w:cs="Arial"/>
              </w:rPr>
              <w:t>SIMPE</w:t>
            </w:r>
          </w:p>
        </w:tc>
        <w:tc>
          <w:tcPr>
            <w:tcW w:w="7229" w:type="dxa"/>
          </w:tcPr>
          <w:p w:rsidR="00CC5616" w:rsidRPr="00F237BB" w:rsidRDefault="00CC5616" w:rsidP="00CC5616">
            <w:pPr>
              <w:rPr>
                <w:rFonts w:ascii="Arial" w:hAnsi="Arial" w:cs="Arial"/>
              </w:rPr>
            </w:pPr>
            <w:r w:rsidRPr="00F237BB">
              <w:rPr>
                <w:rFonts w:ascii="Arial" w:hAnsi="Arial" w:cs="Arial"/>
              </w:rPr>
              <w:t>Sistema de Indicadores de Política Económica</w:t>
            </w:r>
          </w:p>
        </w:tc>
      </w:tr>
      <w:tr w:rsidR="00107CE3" w:rsidRPr="00F237BB" w:rsidTr="00704EA2">
        <w:tc>
          <w:tcPr>
            <w:tcW w:w="2518" w:type="dxa"/>
          </w:tcPr>
          <w:p w:rsidR="00107CE3" w:rsidRPr="00F237BB" w:rsidRDefault="00107CE3" w:rsidP="00DB1F97">
            <w:pPr>
              <w:rPr>
                <w:rFonts w:ascii="Arial" w:hAnsi="Arial" w:cs="Arial"/>
              </w:rPr>
            </w:pPr>
            <w:proofErr w:type="spellStart"/>
            <w:r w:rsidRPr="00F237BB">
              <w:rPr>
                <w:rFonts w:ascii="Arial" w:hAnsi="Arial" w:cs="Arial"/>
              </w:rPr>
              <w:t>SPE</w:t>
            </w:r>
            <w:r w:rsidR="00217341" w:rsidRPr="00F237BB">
              <w:rPr>
                <w:rFonts w:ascii="Arial" w:hAnsi="Arial" w:cs="Arial"/>
              </w:rPr>
              <w:t>yPD</w:t>
            </w:r>
            <w:proofErr w:type="spellEnd"/>
          </w:p>
        </w:tc>
        <w:tc>
          <w:tcPr>
            <w:tcW w:w="7229" w:type="dxa"/>
          </w:tcPr>
          <w:p w:rsidR="00107CE3" w:rsidRPr="00F237BB" w:rsidRDefault="00217341" w:rsidP="00DB1F97">
            <w:pPr>
              <w:rPr>
                <w:rFonts w:ascii="Arial" w:hAnsi="Arial" w:cs="Arial"/>
              </w:rPr>
            </w:pPr>
            <w:r w:rsidRPr="00F237BB">
              <w:rPr>
                <w:rFonts w:ascii="Arial" w:hAnsi="Arial" w:cs="Arial"/>
              </w:rPr>
              <w:t>Secretaría de Política Económica y Planificación del Desarrollo</w:t>
            </w:r>
          </w:p>
        </w:tc>
      </w:tr>
    </w:tbl>
    <w:p w:rsidR="004C774A" w:rsidRPr="00F237BB" w:rsidRDefault="004C774A" w:rsidP="004C774A">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8374D4" w:rsidRPr="00F237BB" w:rsidRDefault="008374D4" w:rsidP="00481C6D">
      <w:pPr>
        <w:rPr>
          <w:rFonts w:ascii="Arial" w:hAnsi="Arial" w:cs="Arial"/>
        </w:rPr>
        <w:sectPr w:rsidR="008374D4" w:rsidRPr="00F237BB" w:rsidSect="00245009">
          <w:pgSz w:w="12240" w:h="15840" w:code="1"/>
          <w:pgMar w:top="1135" w:right="1134" w:bottom="1418" w:left="1418" w:header="709" w:footer="713" w:gutter="0"/>
          <w:cols w:space="708"/>
          <w:docGrid w:linePitch="360"/>
        </w:sectPr>
      </w:pPr>
    </w:p>
    <w:p w:rsidR="00481C6D" w:rsidRPr="00F237BB" w:rsidRDefault="008374D4" w:rsidP="00481C6D">
      <w:pPr>
        <w:rPr>
          <w:rFonts w:ascii="Arial" w:hAnsi="Arial" w:cs="Arial"/>
          <w:b/>
        </w:rPr>
      </w:pPr>
      <w:r w:rsidRPr="00F237BB">
        <w:rPr>
          <w:rFonts w:ascii="Arial" w:hAnsi="Arial" w:cs="Arial"/>
          <w:b/>
        </w:rPr>
        <w:lastRenderedPageBreak/>
        <w:t>Nota introductoria</w:t>
      </w:r>
    </w:p>
    <w:p w:rsidR="008374D4" w:rsidRPr="00F237BB" w:rsidRDefault="008374D4" w:rsidP="00481C6D">
      <w:pPr>
        <w:rPr>
          <w:rFonts w:ascii="Arial" w:hAnsi="Arial" w:cs="Arial"/>
        </w:rPr>
      </w:pPr>
    </w:p>
    <w:p w:rsidR="008374D4" w:rsidRPr="00F237BB" w:rsidRDefault="008374D4" w:rsidP="00481C6D">
      <w:pPr>
        <w:rPr>
          <w:rFonts w:ascii="Arial" w:hAnsi="Arial" w:cs="Arial"/>
        </w:rPr>
      </w:pPr>
    </w:p>
    <w:p w:rsidR="002E6988" w:rsidRPr="00F237BB" w:rsidRDefault="006F34B0" w:rsidP="002E6988">
      <w:pPr>
        <w:rPr>
          <w:rFonts w:ascii="Arial" w:hAnsi="Arial" w:cs="Arial"/>
          <w:i/>
        </w:rPr>
      </w:pPr>
      <w:r w:rsidRPr="00F237BB">
        <w:rPr>
          <w:rFonts w:ascii="Arial" w:hAnsi="Arial" w:cs="Arial"/>
          <w:i/>
        </w:rPr>
        <w:t xml:space="preserve">Este informe de diagnóstico forma parte de un conjunto de actividades tendentes a la preparación de un programa de fortalecimiento institucional del </w:t>
      </w:r>
      <w:r w:rsidR="00217341" w:rsidRPr="00F237BB">
        <w:rPr>
          <w:rFonts w:ascii="Arial" w:hAnsi="Arial" w:cs="Arial"/>
          <w:i/>
        </w:rPr>
        <w:t>Ministerio de Hacienda</w:t>
      </w:r>
      <w:r w:rsidRPr="00F237BB">
        <w:rPr>
          <w:rFonts w:ascii="Arial" w:hAnsi="Arial" w:cs="Arial"/>
          <w:i/>
        </w:rPr>
        <w:t xml:space="preserve"> y Finanzas Públicas de Argentina. </w:t>
      </w:r>
    </w:p>
    <w:p w:rsidR="006F34B0" w:rsidRPr="00F237BB" w:rsidRDefault="006F34B0" w:rsidP="006F34B0">
      <w:pPr>
        <w:rPr>
          <w:rFonts w:ascii="Arial" w:hAnsi="Arial" w:cs="Arial"/>
          <w:i/>
        </w:rPr>
      </w:pPr>
    </w:p>
    <w:p w:rsidR="006F34B0" w:rsidRPr="00F237BB" w:rsidRDefault="006F34B0" w:rsidP="006F34B0">
      <w:pPr>
        <w:rPr>
          <w:rFonts w:ascii="Arial" w:hAnsi="Arial" w:cs="Arial"/>
          <w:i/>
        </w:rPr>
      </w:pPr>
      <w:r w:rsidRPr="00F237BB">
        <w:rPr>
          <w:rFonts w:ascii="Arial" w:hAnsi="Arial" w:cs="Arial"/>
          <w:i/>
        </w:rPr>
        <w:t xml:space="preserve">Para la identificación de los problemas, causas y efectos se han utilizado básicamente tres fuentes de información: a) datos y documentos analíticos provenientes de la </w:t>
      </w:r>
      <w:r w:rsidR="00217341" w:rsidRPr="00F237BB">
        <w:rPr>
          <w:rFonts w:ascii="Arial" w:hAnsi="Arial" w:cs="Arial"/>
          <w:i/>
        </w:rPr>
        <w:t>Secretaría de Política Económica y Planificación del Desarrollo</w:t>
      </w:r>
      <w:r w:rsidRPr="00F237BB">
        <w:rPr>
          <w:rFonts w:ascii="Arial" w:hAnsi="Arial" w:cs="Arial"/>
          <w:i/>
        </w:rPr>
        <w:t>, que en muchos casos se prepararon ex profeso para la elaboración de este informe; b) una encuesta preparada por el equipo de proyecto específicamente orientada al levantamiento de información sobre las condiciones de capacitación y herramientas de trabajo utilizadas; y c) diversas reuniones de trabajo entre el equipo de proyecto del Banco</w:t>
      </w:r>
      <w:r w:rsidR="009E35B0" w:rsidRPr="00F237BB">
        <w:rPr>
          <w:rFonts w:ascii="Arial" w:hAnsi="Arial" w:cs="Arial"/>
          <w:i/>
        </w:rPr>
        <w:t xml:space="preserve"> </w:t>
      </w:r>
      <w:r w:rsidRPr="00F237BB">
        <w:rPr>
          <w:rFonts w:ascii="Arial" w:hAnsi="Arial" w:cs="Arial"/>
          <w:i/>
        </w:rPr>
        <w:t xml:space="preserve">y las autoridades y directivos de la </w:t>
      </w:r>
      <w:r w:rsidR="00217341" w:rsidRPr="00F237BB">
        <w:rPr>
          <w:rFonts w:ascii="Arial" w:hAnsi="Arial" w:cs="Arial"/>
          <w:i/>
        </w:rPr>
        <w:t>Secretaría de Política Económica y Planificación del Desarrollo</w:t>
      </w:r>
      <w:r w:rsidRPr="00F237BB">
        <w:rPr>
          <w:rFonts w:ascii="Arial" w:hAnsi="Arial" w:cs="Arial"/>
          <w:i/>
        </w:rPr>
        <w:t xml:space="preserve"> </w:t>
      </w:r>
      <w:r w:rsidR="00DC2606" w:rsidRPr="00F237BB">
        <w:rPr>
          <w:rFonts w:ascii="Arial" w:hAnsi="Arial" w:cs="Arial"/>
          <w:i/>
        </w:rPr>
        <w:t>(</w:t>
      </w:r>
      <w:proofErr w:type="spellStart"/>
      <w:r w:rsidR="00DC2606" w:rsidRPr="00F237BB">
        <w:rPr>
          <w:rFonts w:ascii="Arial" w:hAnsi="Arial" w:cs="Arial"/>
          <w:i/>
        </w:rPr>
        <w:t>SPEyPD</w:t>
      </w:r>
      <w:proofErr w:type="spellEnd"/>
      <w:r w:rsidR="00DC2606" w:rsidRPr="00F237BB">
        <w:rPr>
          <w:rFonts w:ascii="Arial" w:hAnsi="Arial" w:cs="Arial"/>
          <w:i/>
        </w:rPr>
        <w:t xml:space="preserve">) </w:t>
      </w:r>
      <w:r w:rsidRPr="00F237BB">
        <w:rPr>
          <w:rFonts w:ascii="Arial" w:hAnsi="Arial" w:cs="Arial"/>
          <w:i/>
        </w:rPr>
        <w:t xml:space="preserve">y la Dirección General de Asuntos Jurídicos </w:t>
      </w:r>
      <w:r w:rsidR="00DC2606" w:rsidRPr="00F237BB">
        <w:rPr>
          <w:rFonts w:ascii="Arial" w:hAnsi="Arial" w:cs="Arial"/>
          <w:i/>
        </w:rPr>
        <w:t xml:space="preserve">(DGAJ) </w:t>
      </w:r>
      <w:r w:rsidRPr="00F237BB">
        <w:rPr>
          <w:rFonts w:ascii="Arial" w:hAnsi="Arial" w:cs="Arial"/>
          <w:i/>
        </w:rPr>
        <w:t xml:space="preserve">del </w:t>
      </w:r>
      <w:r w:rsidR="00217341" w:rsidRPr="00F237BB">
        <w:rPr>
          <w:rFonts w:ascii="Arial" w:hAnsi="Arial" w:cs="Arial"/>
          <w:i/>
        </w:rPr>
        <w:t>Ministerio de Hacienda</w:t>
      </w:r>
      <w:r w:rsidRPr="00F237BB">
        <w:rPr>
          <w:rFonts w:ascii="Arial" w:hAnsi="Arial" w:cs="Arial"/>
          <w:i/>
        </w:rPr>
        <w:t xml:space="preserve"> y Finanzas Publicas</w:t>
      </w:r>
      <w:r w:rsidR="00DC2606" w:rsidRPr="00F237BB">
        <w:rPr>
          <w:rFonts w:ascii="Arial" w:hAnsi="Arial" w:cs="Arial"/>
          <w:i/>
        </w:rPr>
        <w:t xml:space="preserve"> (</w:t>
      </w:r>
      <w:proofErr w:type="spellStart"/>
      <w:r w:rsidR="00DC2606" w:rsidRPr="00F237BB">
        <w:rPr>
          <w:rFonts w:ascii="Arial" w:hAnsi="Arial" w:cs="Arial"/>
          <w:i/>
        </w:rPr>
        <w:t>MHyFP</w:t>
      </w:r>
      <w:proofErr w:type="spellEnd"/>
      <w:r w:rsidR="00DC2606" w:rsidRPr="00F237BB">
        <w:rPr>
          <w:rFonts w:ascii="Arial" w:hAnsi="Arial" w:cs="Arial"/>
          <w:i/>
        </w:rPr>
        <w:t>)</w:t>
      </w:r>
      <w:r w:rsidRPr="00F237BB">
        <w:rPr>
          <w:rFonts w:ascii="Arial" w:hAnsi="Arial" w:cs="Arial"/>
          <w:i/>
        </w:rPr>
        <w:t xml:space="preserve">. </w:t>
      </w:r>
    </w:p>
    <w:p w:rsidR="00F359F1" w:rsidRPr="00F237BB" w:rsidRDefault="00F359F1" w:rsidP="006F34B0">
      <w:pPr>
        <w:rPr>
          <w:rFonts w:ascii="Arial" w:hAnsi="Arial" w:cs="Arial"/>
          <w:i/>
        </w:rPr>
      </w:pPr>
    </w:p>
    <w:p w:rsidR="002E6988" w:rsidRPr="00F237BB" w:rsidRDefault="000D49E8" w:rsidP="002E6988">
      <w:pPr>
        <w:rPr>
          <w:rFonts w:ascii="Arial" w:hAnsi="Arial" w:cs="Arial"/>
          <w:i/>
        </w:rPr>
      </w:pPr>
      <w:r w:rsidRPr="00F237BB">
        <w:rPr>
          <w:rFonts w:ascii="Arial" w:hAnsi="Arial" w:cs="Arial"/>
          <w:i/>
        </w:rPr>
        <w:t>El</w:t>
      </w:r>
      <w:r w:rsidR="002E6988" w:rsidRPr="00F237BB">
        <w:rPr>
          <w:rFonts w:ascii="Arial" w:hAnsi="Arial" w:cs="Arial"/>
          <w:i/>
        </w:rPr>
        <w:t xml:space="preserve"> presente</w:t>
      </w:r>
      <w:r w:rsidR="001D33C3" w:rsidRPr="00F237BB">
        <w:rPr>
          <w:rFonts w:ascii="Arial" w:hAnsi="Arial" w:cs="Arial"/>
          <w:i/>
        </w:rPr>
        <w:t xml:space="preserve"> </w:t>
      </w:r>
      <w:r w:rsidR="002E6988" w:rsidRPr="00F237BB">
        <w:rPr>
          <w:rFonts w:ascii="Arial" w:hAnsi="Arial" w:cs="Arial"/>
          <w:i/>
        </w:rPr>
        <w:t xml:space="preserve">documento </w:t>
      </w:r>
      <w:r w:rsidR="001D33C3" w:rsidRPr="00F237BB">
        <w:rPr>
          <w:rFonts w:ascii="Arial" w:hAnsi="Arial" w:cs="Arial"/>
          <w:i/>
        </w:rPr>
        <w:t>constituye una</w:t>
      </w:r>
      <w:r w:rsidR="00DC2606" w:rsidRPr="00F237BB">
        <w:rPr>
          <w:rFonts w:ascii="Arial" w:hAnsi="Arial" w:cs="Arial"/>
          <w:i/>
        </w:rPr>
        <w:t xml:space="preserve"> actualiza</w:t>
      </w:r>
      <w:r w:rsidR="001D33C3" w:rsidRPr="00F237BB">
        <w:rPr>
          <w:rFonts w:ascii="Arial" w:hAnsi="Arial" w:cs="Arial"/>
          <w:i/>
        </w:rPr>
        <w:t xml:space="preserve">ción de la primera versión elaborada </w:t>
      </w:r>
      <w:r w:rsidRPr="00F237BB">
        <w:rPr>
          <w:rFonts w:ascii="Arial" w:hAnsi="Arial" w:cs="Arial"/>
          <w:i/>
        </w:rPr>
        <w:t xml:space="preserve">originalmente </w:t>
      </w:r>
      <w:r w:rsidR="001D33C3" w:rsidRPr="00F237BB">
        <w:rPr>
          <w:rFonts w:ascii="Arial" w:hAnsi="Arial" w:cs="Arial"/>
          <w:i/>
        </w:rPr>
        <w:t>en 2011</w:t>
      </w:r>
      <w:r w:rsidRPr="00F237BB">
        <w:rPr>
          <w:rFonts w:ascii="Arial" w:hAnsi="Arial" w:cs="Arial"/>
          <w:i/>
        </w:rPr>
        <w:t>, en ocasión de la primera preparación del Programa de Fortalecimiento</w:t>
      </w:r>
      <w:r w:rsidR="00DC2606" w:rsidRPr="00F237BB">
        <w:rPr>
          <w:rFonts w:ascii="Arial" w:hAnsi="Arial" w:cs="Arial"/>
          <w:i/>
        </w:rPr>
        <w:t xml:space="preserve">. En el proceso de actualización se realizó un nuevo relevamiento de la encuesta a las direcciones pertenecientes a la </w:t>
      </w:r>
      <w:proofErr w:type="spellStart"/>
      <w:r w:rsidR="00DC2606" w:rsidRPr="00F237BB">
        <w:rPr>
          <w:rFonts w:ascii="Arial" w:hAnsi="Arial" w:cs="Arial"/>
          <w:i/>
        </w:rPr>
        <w:t>SPEyPD</w:t>
      </w:r>
      <w:proofErr w:type="spellEnd"/>
      <w:r w:rsidR="00DC2606" w:rsidRPr="00F237BB">
        <w:rPr>
          <w:rFonts w:ascii="Arial" w:hAnsi="Arial" w:cs="Arial"/>
          <w:i/>
        </w:rPr>
        <w:t xml:space="preserve">, con el objetivo de </w:t>
      </w:r>
      <w:r w:rsidR="001D33C3" w:rsidRPr="00F237BB">
        <w:rPr>
          <w:rFonts w:ascii="Arial" w:hAnsi="Arial" w:cs="Arial"/>
          <w:i/>
        </w:rPr>
        <w:t xml:space="preserve">contar con los datos a Mayo 2016 </w:t>
      </w:r>
      <w:r w:rsidR="00DC2606" w:rsidRPr="00F237BB">
        <w:rPr>
          <w:rFonts w:ascii="Arial" w:hAnsi="Arial" w:cs="Arial"/>
          <w:i/>
        </w:rPr>
        <w:t xml:space="preserve"> referid</w:t>
      </w:r>
      <w:r w:rsidR="001D33C3" w:rsidRPr="00F237BB">
        <w:rPr>
          <w:rFonts w:ascii="Arial" w:hAnsi="Arial" w:cs="Arial"/>
          <w:i/>
        </w:rPr>
        <w:t>os</w:t>
      </w:r>
      <w:r w:rsidR="00DC2606" w:rsidRPr="00F237BB">
        <w:rPr>
          <w:rFonts w:ascii="Arial" w:hAnsi="Arial" w:cs="Arial"/>
          <w:i/>
        </w:rPr>
        <w:t xml:space="preserve"> a la calidad de la elaboración de políticas económicas. </w:t>
      </w:r>
    </w:p>
    <w:p w:rsidR="000D49E8" w:rsidRPr="00F237BB" w:rsidRDefault="000D49E8" w:rsidP="002E6988">
      <w:pPr>
        <w:rPr>
          <w:rFonts w:ascii="Arial" w:hAnsi="Arial" w:cs="Arial"/>
          <w:i/>
        </w:rPr>
      </w:pPr>
    </w:p>
    <w:p w:rsidR="000D49E8" w:rsidRPr="00F237BB" w:rsidRDefault="000D49E8" w:rsidP="002E6988">
      <w:pPr>
        <w:rPr>
          <w:rFonts w:ascii="Arial" w:hAnsi="Arial" w:cs="Arial"/>
          <w:i/>
        </w:rPr>
      </w:pPr>
      <w:r w:rsidRPr="00F237BB">
        <w:rPr>
          <w:rFonts w:ascii="Arial" w:hAnsi="Arial" w:cs="Arial"/>
          <w:i/>
        </w:rPr>
        <w:t xml:space="preserve">Vale destacar que la información referida a </w:t>
      </w:r>
      <w:r w:rsidR="00D46012" w:rsidRPr="00F237BB">
        <w:rPr>
          <w:rFonts w:ascii="Arial" w:hAnsi="Arial" w:cs="Arial"/>
          <w:i/>
        </w:rPr>
        <w:t>la interacción de</w:t>
      </w:r>
      <w:r w:rsidR="005B5337" w:rsidRPr="00F237BB">
        <w:rPr>
          <w:rFonts w:ascii="Arial" w:hAnsi="Arial" w:cs="Arial"/>
          <w:i/>
        </w:rPr>
        <w:t xml:space="preserve"> </w:t>
      </w:r>
      <w:r w:rsidR="00D46012" w:rsidRPr="00F237BB">
        <w:rPr>
          <w:rFonts w:ascii="Arial" w:hAnsi="Arial" w:cs="Arial"/>
          <w:i/>
        </w:rPr>
        <w:t>l</w:t>
      </w:r>
      <w:r w:rsidR="005B5337" w:rsidRPr="00F237BB">
        <w:rPr>
          <w:rFonts w:ascii="Arial" w:hAnsi="Arial" w:cs="Arial"/>
          <w:i/>
        </w:rPr>
        <w:t xml:space="preserve">a </w:t>
      </w:r>
      <w:proofErr w:type="spellStart"/>
      <w:r w:rsidR="005B5337" w:rsidRPr="00F237BB">
        <w:rPr>
          <w:rFonts w:ascii="Arial" w:hAnsi="Arial" w:cs="Arial"/>
          <w:i/>
        </w:rPr>
        <w:t>SPEyPD</w:t>
      </w:r>
      <w:proofErr w:type="spellEnd"/>
      <w:r w:rsidR="00D46012" w:rsidRPr="00F237BB">
        <w:rPr>
          <w:rFonts w:ascii="Arial" w:hAnsi="Arial" w:cs="Arial"/>
          <w:i/>
        </w:rPr>
        <w:t xml:space="preserve"> con otros organismos y dependencias externas </w:t>
      </w:r>
      <w:r w:rsidR="005B5337" w:rsidRPr="00F237BB">
        <w:rPr>
          <w:rFonts w:ascii="Arial" w:hAnsi="Arial" w:cs="Arial"/>
          <w:i/>
        </w:rPr>
        <w:t xml:space="preserve">al </w:t>
      </w:r>
      <w:proofErr w:type="spellStart"/>
      <w:r w:rsidR="005B5337" w:rsidRPr="00F237BB">
        <w:rPr>
          <w:rFonts w:ascii="Arial" w:hAnsi="Arial" w:cs="Arial"/>
          <w:i/>
        </w:rPr>
        <w:t>MHy</w:t>
      </w:r>
      <w:r w:rsidR="00597D65" w:rsidRPr="00F237BB">
        <w:rPr>
          <w:rFonts w:ascii="Arial" w:hAnsi="Arial" w:cs="Arial"/>
          <w:i/>
        </w:rPr>
        <w:t>FP</w:t>
      </w:r>
      <w:proofErr w:type="spellEnd"/>
      <w:r w:rsidR="005B5337" w:rsidRPr="00F237BB">
        <w:rPr>
          <w:rFonts w:ascii="Arial" w:hAnsi="Arial" w:cs="Arial"/>
          <w:i/>
        </w:rPr>
        <w:t xml:space="preserve">, así como el perfil de formación del personal de la Secretaría, </w:t>
      </w:r>
      <w:r w:rsidR="00D46012" w:rsidRPr="00F237BB">
        <w:rPr>
          <w:rFonts w:ascii="Arial" w:hAnsi="Arial" w:cs="Arial"/>
          <w:i/>
        </w:rPr>
        <w:t>será act</w:t>
      </w:r>
      <w:r w:rsidR="005B5337" w:rsidRPr="00F237BB">
        <w:rPr>
          <w:rFonts w:ascii="Arial" w:hAnsi="Arial" w:cs="Arial"/>
          <w:i/>
        </w:rPr>
        <w:t xml:space="preserve">ualizada con posterioridad atendiendo </w:t>
      </w:r>
      <w:r w:rsidR="00D46012" w:rsidRPr="00F237BB">
        <w:rPr>
          <w:rFonts w:ascii="Arial" w:hAnsi="Arial" w:cs="Arial"/>
          <w:i/>
        </w:rPr>
        <w:t xml:space="preserve">a </w:t>
      </w:r>
      <w:r w:rsidR="005B5337" w:rsidRPr="00F237BB">
        <w:rPr>
          <w:rFonts w:ascii="Arial" w:hAnsi="Arial" w:cs="Arial"/>
          <w:i/>
        </w:rPr>
        <w:t>que en la actualidad las diversas dependencias aún se encuentran en proceso de cambios substantivos en términos organizacionales y contratación de personal.</w:t>
      </w:r>
    </w:p>
    <w:p w:rsidR="008374D4" w:rsidRPr="00F237BB" w:rsidRDefault="008374D4"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pPr>
    </w:p>
    <w:p w:rsidR="00481C6D" w:rsidRPr="00F237BB" w:rsidRDefault="00481C6D" w:rsidP="00481C6D">
      <w:pPr>
        <w:rPr>
          <w:rFonts w:ascii="Arial" w:hAnsi="Arial" w:cs="Arial"/>
        </w:rPr>
        <w:sectPr w:rsidR="00481C6D" w:rsidRPr="00F237BB" w:rsidSect="00245009">
          <w:pgSz w:w="12240" w:h="15840" w:code="1"/>
          <w:pgMar w:top="1135" w:right="1134" w:bottom="1418" w:left="1418" w:header="709" w:footer="713" w:gutter="0"/>
          <w:cols w:space="708"/>
          <w:docGrid w:linePitch="360"/>
        </w:sectPr>
      </w:pPr>
    </w:p>
    <w:p w:rsidR="009462F6" w:rsidRPr="00F237BB" w:rsidRDefault="00DB63C5" w:rsidP="00DB63C5">
      <w:pPr>
        <w:pStyle w:val="Heading1"/>
        <w:rPr>
          <w:rFonts w:ascii="Arial" w:hAnsi="Arial" w:cs="Arial"/>
          <w:sz w:val="22"/>
          <w:szCs w:val="22"/>
        </w:rPr>
      </w:pPr>
      <w:bookmarkStart w:id="0" w:name="_Toc458521458"/>
      <w:r w:rsidRPr="00F237BB">
        <w:rPr>
          <w:rFonts w:ascii="Arial" w:hAnsi="Arial" w:cs="Arial"/>
          <w:sz w:val="22"/>
          <w:szCs w:val="22"/>
        </w:rPr>
        <w:lastRenderedPageBreak/>
        <w:t>Contexto institucional</w:t>
      </w:r>
      <w:bookmarkEnd w:id="0"/>
    </w:p>
    <w:p w:rsidR="009462F6" w:rsidRPr="00F237BB" w:rsidRDefault="009462F6" w:rsidP="00406ECB">
      <w:pPr>
        <w:pStyle w:val="Heading2"/>
        <w:rPr>
          <w:rFonts w:ascii="Arial" w:hAnsi="Arial" w:cs="Arial"/>
          <w:sz w:val="22"/>
          <w:szCs w:val="22"/>
        </w:rPr>
      </w:pPr>
      <w:bookmarkStart w:id="1" w:name="_Toc458521459"/>
      <w:r w:rsidRPr="00F237BB">
        <w:rPr>
          <w:rFonts w:ascii="Arial" w:hAnsi="Arial" w:cs="Arial"/>
          <w:sz w:val="22"/>
          <w:szCs w:val="22"/>
        </w:rPr>
        <w:t xml:space="preserve">Marco básico legal </w:t>
      </w:r>
      <w:r w:rsidR="00EC5171" w:rsidRPr="00F237BB">
        <w:rPr>
          <w:rFonts w:ascii="Arial" w:hAnsi="Arial" w:cs="Arial"/>
          <w:sz w:val="22"/>
          <w:szCs w:val="22"/>
        </w:rPr>
        <w:t xml:space="preserve">de la </w:t>
      </w:r>
      <w:r w:rsidR="00217341" w:rsidRPr="00F237BB">
        <w:rPr>
          <w:rFonts w:ascii="Arial" w:hAnsi="Arial" w:cs="Arial"/>
          <w:sz w:val="22"/>
          <w:szCs w:val="22"/>
        </w:rPr>
        <w:t>Secretaría de Política Económica y Planificación del Desarrollo</w:t>
      </w:r>
      <w:bookmarkEnd w:id="1"/>
      <w:r w:rsidRPr="00F237BB">
        <w:rPr>
          <w:rFonts w:ascii="Arial" w:hAnsi="Arial" w:cs="Arial"/>
          <w:sz w:val="22"/>
          <w:szCs w:val="22"/>
        </w:rPr>
        <w:t xml:space="preserve"> </w:t>
      </w:r>
    </w:p>
    <w:p w:rsidR="006F34B0" w:rsidRPr="00F237BB" w:rsidRDefault="007B388A" w:rsidP="00C60E00">
      <w:pPr>
        <w:pStyle w:val="ListParagraph"/>
        <w:numPr>
          <w:ilvl w:val="0"/>
          <w:numId w:val="14"/>
        </w:numPr>
        <w:ind w:left="567" w:hanging="567"/>
        <w:rPr>
          <w:rFonts w:ascii="Arial" w:hAnsi="Arial" w:cs="Arial"/>
        </w:rPr>
      </w:pPr>
      <w:r w:rsidRPr="00F237BB">
        <w:rPr>
          <w:rFonts w:ascii="Arial" w:hAnsi="Arial" w:cs="Arial"/>
        </w:rPr>
        <w:t xml:space="preserve">La reciente modificación </w:t>
      </w:r>
      <w:r w:rsidR="002E186C" w:rsidRPr="00F237BB">
        <w:rPr>
          <w:rFonts w:ascii="Arial" w:hAnsi="Arial" w:cs="Arial"/>
        </w:rPr>
        <w:t>de la Ley de Ministerios (Ley N° 22.520, ordenado por Decreto N° 438/92, y sus modificatorias)</w:t>
      </w:r>
      <w:r w:rsidRPr="00F237BB">
        <w:rPr>
          <w:rFonts w:ascii="Arial" w:hAnsi="Arial" w:cs="Arial"/>
        </w:rPr>
        <w:t xml:space="preserve"> por medio del Decreto 13/2015</w:t>
      </w:r>
      <w:r w:rsidR="002E186C" w:rsidRPr="00F237BB">
        <w:rPr>
          <w:rFonts w:ascii="Arial" w:hAnsi="Arial" w:cs="Arial"/>
        </w:rPr>
        <w:t xml:space="preserve">, establece </w:t>
      </w:r>
      <w:r w:rsidR="00952735" w:rsidRPr="00F237BB">
        <w:rPr>
          <w:rFonts w:ascii="Arial" w:hAnsi="Arial" w:cs="Arial"/>
        </w:rPr>
        <w:t xml:space="preserve">una nueva denominación para el anterior Ministerio de Economía y Finanzas Públicas, pasando a ser </w:t>
      </w:r>
      <w:r w:rsidR="00217341" w:rsidRPr="00F237BB">
        <w:rPr>
          <w:rFonts w:ascii="Arial" w:hAnsi="Arial" w:cs="Arial"/>
        </w:rPr>
        <w:t>Ministerio de Hacienda</w:t>
      </w:r>
      <w:r w:rsidR="006F34B0" w:rsidRPr="00F237BB">
        <w:rPr>
          <w:rFonts w:ascii="Arial" w:hAnsi="Arial" w:cs="Arial"/>
        </w:rPr>
        <w:t xml:space="preserve"> y Finanzas Públicas (</w:t>
      </w:r>
      <w:proofErr w:type="spellStart"/>
      <w:r w:rsidR="006F34B0" w:rsidRPr="00F237BB">
        <w:rPr>
          <w:rFonts w:ascii="Arial" w:hAnsi="Arial" w:cs="Arial"/>
        </w:rPr>
        <w:t>M</w:t>
      </w:r>
      <w:r w:rsidR="00952735" w:rsidRPr="00F237BB">
        <w:rPr>
          <w:rFonts w:ascii="Arial" w:hAnsi="Arial" w:cs="Arial"/>
        </w:rPr>
        <w:t>H</w:t>
      </w:r>
      <w:r w:rsidR="001D3FA3" w:rsidRPr="00F237BB">
        <w:rPr>
          <w:rFonts w:ascii="Arial" w:hAnsi="Arial" w:cs="Arial"/>
        </w:rPr>
        <w:t>yFP</w:t>
      </w:r>
      <w:proofErr w:type="spellEnd"/>
      <w:r w:rsidR="006F34B0" w:rsidRPr="00F237BB">
        <w:rPr>
          <w:rFonts w:ascii="Arial" w:hAnsi="Arial" w:cs="Arial"/>
        </w:rPr>
        <w:t>)</w:t>
      </w:r>
      <w:r w:rsidR="00952735" w:rsidRPr="00F237BB">
        <w:rPr>
          <w:rFonts w:ascii="Arial" w:hAnsi="Arial" w:cs="Arial"/>
        </w:rPr>
        <w:t xml:space="preserve">, así como también el traspaso de algunas de sus competencias a la órbita del Ministerio de la Producción. </w:t>
      </w:r>
      <w:r w:rsidR="00104279" w:rsidRPr="00F237BB">
        <w:rPr>
          <w:rFonts w:ascii="Arial" w:hAnsi="Arial" w:cs="Arial"/>
        </w:rPr>
        <w:t xml:space="preserve">El </w:t>
      </w:r>
      <w:proofErr w:type="spellStart"/>
      <w:r w:rsidR="001D3FA3" w:rsidRPr="00F237BB">
        <w:rPr>
          <w:rFonts w:ascii="Arial" w:hAnsi="Arial" w:cs="Arial"/>
        </w:rPr>
        <w:t>MHyFP</w:t>
      </w:r>
      <w:proofErr w:type="spellEnd"/>
      <w:r w:rsidR="006F34B0" w:rsidRPr="00F237BB">
        <w:rPr>
          <w:rFonts w:ascii="Arial" w:hAnsi="Arial" w:cs="Arial"/>
        </w:rPr>
        <w:t xml:space="preserve"> tiene en el ámbito del Poder Ejecutivo</w:t>
      </w:r>
      <w:r w:rsidR="00104279" w:rsidRPr="00F237BB">
        <w:rPr>
          <w:rFonts w:ascii="Arial" w:hAnsi="Arial" w:cs="Arial"/>
        </w:rPr>
        <w:t xml:space="preserve"> Nacional (PEN)</w:t>
      </w:r>
      <w:r w:rsidR="006F34B0" w:rsidRPr="00F237BB">
        <w:rPr>
          <w:rFonts w:ascii="Arial" w:hAnsi="Arial" w:cs="Arial"/>
        </w:rPr>
        <w:t xml:space="preserve"> amplísimas competencias en materia de política económica, tanto la definición de las estrategias económicas hasta la responsabilidad de la gestión de todo el ciclo de gasto presupuestario, pasando por el control y gestión de la contabilidad del gasto e inversión del Tesoro público, entre otros. </w:t>
      </w:r>
    </w:p>
    <w:p w:rsidR="006F34B0" w:rsidRPr="00F237BB" w:rsidRDefault="006F34B0" w:rsidP="006F34B0">
      <w:pPr>
        <w:pStyle w:val="ListParagraph"/>
        <w:ind w:left="567"/>
        <w:rPr>
          <w:rFonts w:ascii="Arial" w:hAnsi="Arial" w:cs="Arial"/>
        </w:rPr>
      </w:pPr>
    </w:p>
    <w:p w:rsidR="006F34B0" w:rsidRPr="00F237BB" w:rsidRDefault="006F34B0" w:rsidP="006F34B0">
      <w:pPr>
        <w:pStyle w:val="ListParagraph"/>
        <w:numPr>
          <w:ilvl w:val="0"/>
          <w:numId w:val="14"/>
        </w:numPr>
        <w:ind w:left="567" w:hanging="567"/>
        <w:rPr>
          <w:rFonts w:ascii="Arial" w:hAnsi="Arial" w:cs="Arial"/>
        </w:rPr>
      </w:pPr>
      <w:r w:rsidRPr="00F237BB">
        <w:rPr>
          <w:rFonts w:ascii="Arial" w:hAnsi="Arial" w:cs="Arial"/>
        </w:rPr>
        <w:t xml:space="preserve">Para la ejecución de todas estas competencias, el </w:t>
      </w:r>
      <w:proofErr w:type="spellStart"/>
      <w:r w:rsidR="001D3FA3" w:rsidRPr="00F237BB">
        <w:rPr>
          <w:rFonts w:ascii="Arial" w:hAnsi="Arial" w:cs="Arial"/>
        </w:rPr>
        <w:t>MHyFP</w:t>
      </w:r>
      <w:proofErr w:type="spellEnd"/>
      <w:r w:rsidR="00104279" w:rsidRPr="00F237BB">
        <w:rPr>
          <w:rFonts w:ascii="Arial" w:hAnsi="Arial" w:cs="Arial"/>
        </w:rPr>
        <w:t xml:space="preserve"> </w:t>
      </w:r>
      <w:r w:rsidRPr="00F237BB">
        <w:rPr>
          <w:rFonts w:ascii="Arial" w:hAnsi="Arial" w:cs="Arial"/>
        </w:rPr>
        <w:t xml:space="preserve">se organiza en torno a </w:t>
      </w:r>
      <w:r w:rsidR="00104279" w:rsidRPr="00F237BB">
        <w:rPr>
          <w:rFonts w:ascii="Arial" w:hAnsi="Arial" w:cs="Arial"/>
        </w:rPr>
        <w:t xml:space="preserve">cuatro </w:t>
      </w:r>
      <w:r w:rsidRPr="00F237BB">
        <w:rPr>
          <w:rFonts w:ascii="Arial" w:hAnsi="Arial" w:cs="Arial"/>
        </w:rPr>
        <w:t>Secretarías de Estado, una de las cuales es la Secretaría de Política Económica</w:t>
      </w:r>
      <w:r w:rsidR="00104279" w:rsidRPr="00F237BB">
        <w:rPr>
          <w:rFonts w:ascii="Arial" w:hAnsi="Arial" w:cs="Arial"/>
        </w:rPr>
        <w:t xml:space="preserve"> y Planificación del Desarrollo (</w:t>
      </w:r>
      <w:proofErr w:type="spellStart"/>
      <w:r w:rsidR="00104279" w:rsidRPr="00F237BB">
        <w:rPr>
          <w:rFonts w:ascii="Arial" w:hAnsi="Arial" w:cs="Arial"/>
        </w:rPr>
        <w:t>SPE</w:t>
      </w:r>
      <w:r w:rsidR="001D3FA3" w:rsidRPr="00F237BB">
        <w:rPr>
          <w:rFonts w:ascii="Arial" w:hAnsi="Arial" w:cs="Arial"/>
        </w:rPr>
        <w:t>yPD</w:t>
      </w:r>
      <w:proofErr w:type="spellEnd"/>
      <w:r w:rsidR="001D3FA3" w:rsidRPr="00F237BB">
        <w:rPr>
          <w:rFonts w:ascii="Arial" w:hAnsi="Arial" w:cs="Arial"/>
        </w:rPr>
        <w:t>)</w:t>
      </w:r>
      <w:r w:rsidRPr="00F237BB">
        <w:rPr>
          <w:rFonts w:ascii="Arial" w:hAnsi="Arial" w:cs="Arial"/>
        </w:rPr>
        <w:t xml:space="preserve">, </w:t>
      </w:r>
      <w:r w:rsidR="009E35B0" w:rsidRPr="00F237BB">
        <w:rPr>
          <w:rFonts w:ascii="Arial" w:hAnsi="Arial" w:cs="Arial"/>
        </w:rPr>
        <w:t>sobre cuyas funciones específicas se centra</w:t>
      </w:r>
      <w:r w:rsidRPr="00F237BB">
        <w:rPr>
          <w:rFonts w:ascii="Arial" w:hAnsi="Arial" w:cs="Arial"/>
        </w:rPr>
        <w:t xml:space="preserve"> </w:t>
      </w:r>
      <w:r w:rsidR="001D3FA3" w:rsidRPr="00F237BB">
        <w:rPr>
          <w:rFonts w:ascii="Arial" w:hAnsi="Arial" w:cs="Arial"/>
        </w:rPr>
        <w:t xml:space="preserve">el </w:t>
      </w:r>
      <w:r w:rsidRPr="00F237BB">
        <w:rPr>
          <w:rFonts w:ascii="Arial" w:hAnsi="Arial" w:cs="Arial"/>
        </w:rPr>
        <w:t>diagnóstico</w:t>
      </w:r>
      <w:r w:rsidR="001D3FA3" w:rsidRPr="00F237BB">
        <w:rPr>
          <w:rFonts w:ascii="Arial" w:hAnsi="Arial" w:cs="Arial"/>
        </w:rPr>
        <w:t xml:space="preserve"> en el presente documento</w:t>
      </w:r>
      <w:r w:rsidRPr="00F237BB">
        <w:rPr>
          <w:rFonts w:ascii="Arial" w:hAnsi="Arial" w:cs="Arial"/>
        </w:rPr>
        <w:t>.</w:t>
      </w:r>
      <w:r w:rsidR="001D3FA3" w:rsidRPr="00F237BB">
        <w:rPr>
          <w:rFonts w:ascii="Arial" w:hAnsi="Arial" w:cs="Arial"/>
        </w:rPr>
        <w:t xml:space="preserve"> Vale aclarar que la mencionada secretaría era denominada anteriormente Secretaría de Política Económica</w:t>
      </w:r>
      <w:r w:rsidR="00840EA7" w:rsidRPr="00F237BB">
        <w:rPr>
          <w:rFonts w:ascii="Arial" w:hAnsi="Arial" w:cs="Arial"/>
        </w:rPr>
        <w:t>.</w:t>
      </w:r>
    </w:p>
    <w:p w:rsidR="00087F2B" w:rsidRPr="00F237BB" w:rsidRDefault="00087F2B" w:rsidP="00C60E00">
      <w:pPr>
        <w:pStyle w:val="ListParagraph"/>
        <w:rPr>
          <w:rFonts w:ascii="Arial" w:hAnsi="Arial" w:cs="Arial"/>
        </w:rPr>
      </w:pPr>
    </w:p>
    <w:p w:rsidR="00087F2B" w:rsidRPr="00F237BB" w:rsidRDefault="00087F2B" w:rsidP="00C60E00">
      <w:pPr>
        <w:pStyle w:val="ListParagraph"/>
        <w:ind w:left="567"/>
        <w:rPr>
          <w:rFonts w:ascii="Arial" w:hAnsi="Arial" w:cs="Arial"/>
        </w:rPr>
      </w:pPr>
      <w:r w:rsidRPr="00F237BB">
        <w:rPr>
          <w:rFonts w:ascii="Arial" w:hAnsi="Arial" w:cs="Arial"/>
          <w:noProof/>
          <w:lang w:val="en-US" w:eastAsia="en-US"/>
        </w:rPr>
        <w:drawing>
          <wp:inline distT="0" distB="0" distL="0" distR="0" wp14:anchorId="346A8620" wp14:editId="75A85928">
            <wp:extent cx="5602605" cy="232283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2605" cy="2322830"/>
                    </a:xfrm>
                    <a:prstGeom prst="rect">
                      <a:avLst/>
                    </a:prstGeom>
                    <a:noFill/>
                  </pic:spPr>
                </pic:pic>
              </a:graphicData>
            </a:graphic>
          </wp:inline>
        </w:drawing>
      </w:r>
    </w:p>
    <w:p w:rsidR="001D3FA3" w:rsidRPr="00F237BB" w:rsidRDefault="001D3FA3" w:rsidP="00C60E00">
      <w:pPr>
        <w:pStyle w:val="ListParagraph"/>
        <w:rPr>
          <w:rFonts w:ascii="Arial" w:hAnsi="Arial" w:cs="Arial"/>
        </w:rPr>
      </w:pPr>
    </w:p>
    <w:p w:rsidR="00410169" w:rsidRPr="00F237BB" w:rsidRDefault="00410169" w:rsidP="00273FCB">
      <w:pPr>
        <w:rPr>
          <w:rFonts w:ascii="Arial" w:hAnsi="Arial" w:cs="Arial"/>
        </w:rPr>
      </w:pPr>
    </w:p>
    <w:p w:rsidR="006F34B0" w:rsidRPr="00F237BB" w:rsidRDefault="006F34B0" w:rsidP="00C60E00">
      <w:pPr>
        <w:pStyle w:val="ListParagraph"/>
        <w:numPr>
          <w:ilvl w:val="0"/>
          <w:numId w:val="14"/>
        </w:numPr>
        <w:ind w:left="567" w:hanging="567"/>
        <w:rPr>
          <w:rFonts w:ascii="Arial" w:hAnsi="Arial" w:cs="Arial"/>
        </w:rPr>
      </w:pPr>
      <w:r w:rsidRPr="00F237BB">
        <w:rPr>
          <w:rFonts w:ascii="Arial" w:hAnsi="Arial" w:cs="Arial"/>
        </w:rPr>
        <w:t xml:space="preserve">Las </w:t>
      </w:r>
      <w:r w:rsidR="00952A84" w:rsidRPr="00F237BB">
        <w:rPr>
          <w:rFonts w:ascii="Arial" w:hAnsi="Arial" w:cs="Arial"/>
        </w:rPr>
        <w:t xml:space="preserve">nuevas </w:t>
      </w:r>
      <w:r w:rsidRPr="00F237BB">
        <w:rPr>
          <w:rFonts w:ascii="Arial" w:hAnsi="Arial" w:cs="Arial"/>
        </w:rPr>
        <w:t xml:space="preserve">competencias básicas de la </w:t>
      </w:r>
      <w:r w:rsidR="00217341" w:rsidRPr="00F237BB">
        <w:rPr>
          <w:rFonts w:ascii="Arial" w:hAnsi="Arial" w:cs="Arial"/>
        </w:rPr>
        <w:t>Secretaría de Política Económica y Planificación del Desarrollo</w:t>
      </w:r>
      <w:r w:rsidRPr="00F237BB">
        <w:rPr>
          <w:rFonts w:ascii="Arial" w:hAnsi="Arial" w:cs="Arial"/>
        </w:rPr>
        <w:t xml:space="preserve"> (</w:t>
      </w:r>
      <w:proofErr w:type="spellStart"/>
      <w:r w:rsidRPr="00F237BB">
        <w:rPr>
          <w:rFonts w:ascii="Arial" w:hAnsi="Arial" w:cs="Arial"/>
        </w:rPr>
        <w:t>SPE</w:t>
      </w:r>
      <w:r w:rsidR="00483576" w:rsidRPr="00F237BB">
        <w:rPr>
          <w:rFonts w:ascii="Arial" w:hAnsi="Arial" w:cs="Arial"/>
        </w:rPr>
        <w:t>yPD</w:t>
      </w:r>
      <w:proofErr w:type="spellEnd"/>
      <w:r w:rsidRPr="00F237BB">
        <w:rPr>
          <w:rFonts w:ascii="Arial" w:hAnsi="Arial" w:cs="Arial"/>
        </w:rPr>
        <w:t xml:space="preserve">) están definidas en el </w:t>
      </w:r>
      <w:r w:rsidR="003B1B28" w:rsidRPr="00F237BB">
        <w:rPr>
          <w:rFonts w:ascii="Arial" w:hAnsi="Arial" w:cs="Arial"/>
        </w:rPr>
        <w:t xml:space="preserve">Decreto 442/2016, que </w:t>
      </w:r>
      <w:r w:rsidR="00952A84" w:rsidRPr="00F237BB">
        <w:rPr>
          <w:rFonts w:ascii="Arial" w:hAnsi="Arial" w:cs="Arial"/>
        </w:rPr>
        <w:t>actualiza</w:t>
      </w:r>
      <w:r w:rsidR="003B1B28" w:rsidRPr="00F237BB">
        <w:rPr>
          <w:rFonts w:ascii="Arial" w:hAnsi="Arial" w:cs="Arial"/>
        </w:rPr>
        <w:t xml:space="preserve"> la normativa </w:t>
      </w:r>
      <w:r w:rsidR="00952A84" w:rsidRPr="00F237BB">
        <w:rPr>
          <w:rFonts w:ascii="Arial" w:hAnsi="Arial" w:cs="Arial"/>
        </w:rPr>
        <w:t>explicitada por Decreto 357/2002 y sus modificatorios</w:t>
      </w:r>
      <w:r w:rsidRPr="00F237BB">
        <w:rPr>
          <w:rFonts w:ascii="Arial" w:hAnsi="Arial" w:cs="Arial"/>
        </w:rPr>
        <w:t xml:space="preserve">. En esta norma se establece que la </w:t>
      </w:r>
      <w:proofErr w:type="spellStart"/>
      <w:r w:rsidRPr="00F237BB">
        <w:rPr>
          <w:rFonts w:ascii="Arial" w:hAnsi="Arial" w:cs="Arial"/>
        </w:rPr>
        <w:t>SPE</w:t>
      </w:r>
      <w:r w:rsidR="00952A84" w:rsidRPr="00F237BB">
        <w:rPr>
          <w:rFonts w:ascii="Arial" w:hAnsi="Arial" w:cs="Arial"/>
        </w:rPr>
        <w:t>yPD</w:t>
      </w:r>
      <w:proofErr w:type="spellEnd"/>
      <w:r w:rsidRPr="00F237BB">
        <w:rPr>
          <w:rFonts w:ascii="Arial" w:hAnsi="Arial" w:cs="Arial"/>
        </w:rPr>
        <w:t xml:space="preserve"> es la responsable de la coordinación, diseño, elaboración y propuesta de los lineamientos estratégicos para la programación de la política económica</w:t>
      </w:r>
      <w:r w:rsidR="007B0021" w:rsidRPr="00F237BB">
        <w:rPr>
          <w:rFonts w:ascii="Arial" w:hAnsi="Arial" w:cs="Arial"/>
        </w:rPr>
        <w:t xml:space="preserve"> y la planificación del desarrollo</w:t>
      </w:r>
      <w:r w:rsidRPr="00F237BB">
        <w:rPr>
          <w:rFonts w:ascii="Arial" w:hAnsi="Arial" w:cs="Arial"/>
        </w:rPr>
        <w:t>, así como la evaluación de los impactos</w:t>
      </w:r>
      <w:r w:rsidR="007B0021" w:rsidRPr="00F237BB">
        <w:rPr>
          <w:rFonts w:ascii="Arial" w:hAnsi="Arial" w:cs="Arial"/>
        </w:rPr>
        <w:t xml:space="preserve"> económicos de las políticas y programas desarrollados en la órbita del </w:t>
      </w:r>
      <w:proofErr w:type="spellStart"/>
      <w:r w:rsidR="007B0021" w:rsidRPr="00F237BB">
        <w:rPr>
          <w:rFonts w:ascii="Arial" w:hAnsi="Arial" w:cs="Arial"/>
        </w:rPr>
        <w:t>MHyFP</w:t>
      </w:r>
      <w:proofErr w:type="spellEnd"/>
      <w:r w:rsidRPr="00F237BB">
        <w:rPr>
          <w:rFonts w:ascii="Arial" w:hAnsi="Arial" w:cs="Arial"/>
        </w:rPr>
        <w:t>.</w:t>
      </w:r>
      <w:r w:rsidRPr="00F237BB">
        <w:rPr>
          <w:rStyle w:val="FootnoteReference"/>
          <w:rFonts w:ascii="Arial" w:hAnsi="Arial" w:cs="Arial"/>
          <w:sz w:val="22"/>
        </w:rPr>
        <w:footnoteReference w:id="1"/>
      </w:r>
      <w:r w:rsidRPr="00F237BB">
        <w:rPr>
          <w:rStyle w:val="FootnoteReference"/>
          <w:rFonts w:ascii="Arial" w:hAnsi="Arial" w:cs="Arial"/>
          <w:sz w:val="22"/>
        </w:rPr>
        <w:t xml:space="preserve"> </w:t>
      </w:r>
    </w:p>
    <w:p w:rsidR="00F244B6" w:rsidRPr="00F237BB" w:rsidRDefault="00F244B6" w:rsidP="00C60E00">
      <w:pPr>
        <w:pStyle w:val="ListParagraph"/>
        <w:ind w:left="567"/>
        <w:rPr>
          <w:rFonts w:ascii="Arial" w:hAnsi="Arial" w:cs="Arial"/>
        </w:rPr>
      </w:pPr>
    </w:p>
    <w:p w:rsidR="006F34B0" w:rsidRPr="00F237BB" w:rsidRDefault="006F34B0" w:rsidP="006F34B0">
      <w:pPr>
        <w:pStyle w:val="ListParagraph"/>
        <w:numPr>
          <w:ilvl w:val="0"/>
          <w:numId w:val="14"/>
        </w:numPr>
        <w:ind w:left="567" w:hanging="567"/>
        <w:rPr>
          <w:rFonts w:ascii="Arial" w:hAnsi="Arial" w:cs="Arial"/>
        </w:rPr>
      </w:pPr>
      <w:r w:rsidRPr="00F237BB">
        <w:rPr>
          <w:rFonts w:ascii="Arial" w:hAnsi="Arial" w:cs="Arial"/>
        </w:rPr>
        <w:t xml:space="preserve">Entrando en el detalle de facultades y competencias establecidas por mandato legal para la </w:t>
      </w:r>
      <w:proofErr w:type="spellStart"/>
      <w:r w:rsidRPr="00F237BB">
        <w:rPr>
          <w:rFonts w:ascii="Arial" w:hAnsi="Arial" w:cs="Arial"/>
        </w:rPr>
        <w:t>SPE</w:t>
      </w:r>
      <w:r w:rsidR="00483576" w:rsidRPr="00F237BB">
        <w:rPr>
          <w:rFonts w:ascii="Arial" w:hAnsi="Arial" w:cs="Arial"/>
        </w:rPr>
        <w:t>yPD</w:t>
      </w:r>
      <w:proofErr w:type="spellEnd"/>
      <w:r w:rsidRPr="00F237BB">
        <w:rPr>
          <w:rFonts w:ascii="Arial" w:hAnsi="Arial" w:cs="Arial"/>
        </w:rPr>
        <w:t>, pueden destacarse las funciones vinculadas con el</w:t>
      </w:r>
      <w:r w:rsidRPr="00F237BB">
        <w:rPr>
          <w:rFonts w:ascii="Arial" w:hAnsi="Arial" w:cs="Arial"/>
          <w:i/>
        </w:rPr>
        <w:t xml:space="preserve"> ciclo de políticas</w:t>
      </w:r>
      <w:r w:rsidRPr="00F237BB">
        <w:rPr>
          <w:rFonts w:ascii="Arial" w:hAnsi="Arial" w:cs="Arial"/>
        </w:rPr>
        <w:t xml:space="preserve"> </w:t>
      </w:r>
      <w:r w:rsidRPr="00F237BB">
        <w:rPr>
          <w:rFonts w:ascii="Arial" w:hAnsi="Arial" w:cs="Arial"/>
          <w:i/>
        </w:rPr>
        <w:t>económicas</w:t>
      </w:r>
      <w:r w:rsidRPr="00F237BB">
        <w:rPr>
          <w:rFonts w:ascii="Arial" w:hAnsi="Arial" w:cs="Arial"/>
        </w:rPr>
        <w:t>:</w:t>
      </w:r>
      <w:r w:rsidRPr="00F237BB">
        <w:rPr>
          <w:rStyle w:val="FootnoteReference"/>
          <w:rFonts w:ascii="Arial" w:hAnsi="Arial" w:cs="Arial"/>
          <w:sz w:val="22"/>
        </w:rPr>
        <w:footnoteReference w:id="2"/>
      </w:r>
    </w:p>
    <w:p w:rsidR="006F34B0" w:rsidRPr="00F237BB" w:rsidRDefault="006F34B0" w:rsidP="006F34B0">
      <w:pPr>
        <w:pStyle w:val="ListParagraph"/>
        <w:rPr>
          <w:rFonts w:ascii="Arial" w:hAnsi="Arial" w:cs="Arial"/>
        </w:rPr>
      </w:pPr>
    </w:p>
    <w:p w:rsidR="00775402" w:rsidRPr="00F237BB" w:rsidRDefault="00775402" w:rsidP="00D7652E">
      <w:pPr>
        <w:pStyle w:val="ListParagraph"/>
        <w:numPr>
          <w:ilvl w:val="0"/>
          <w:numId w:val="16"/>
        </w:numPr>
        <w:rPr>
          <w:rFonts w:ascii="Arial" w:hAnsi="Arial" w:cs="Arial"/>
        </w:rPr>
      </w:pPr>
      <w:r w:rsidRPr="00F237BB">
        <w:rPr>
          <w:rFonts w:ascii="Arial" w:hAnsi="Arial" w:cs="Arial"/>
        </w:rPr>
        <w:t>Co</w:t>
      </w:r>
      <w:r w:rsidR="00D7652E" w:rsidRPr="00F237BB">
        <w:rPr>
          <w:rFonts w:ascii="Arial" w:hAnsi="Arial" w:cs="Arial"/>
        </w:rPr>
        <w:t xml:space="preserve">ordinar el diseño, elaboración y propuesta de los lineamientos estratégicos para la programación de la política económica y la planificación del desarrollo </w:t>
      </w:r>
      <w:r w:rsidR="00594AD7" w:rsidRPr="00F237BB">
        <w:rPr>
          <w:rFonts w:ascii="Arial" w:hAnsi="Arial" w:cs="Arial"/>
        </w:rPr>
        <w:t xml:space="preserve">(numeral </w:t>
      </w:r>
      <w:r w:rsidR="005E50C4" w:rsidRPr="00F237BB">
        <w:rPr>
          <w:rFonts w:ascii="Arial" w:hAnsi="Arial" w:cs="Arial"/>
        </w:rPr>
        <w:t>1).</w:t>
      </w:r>
    </w:p>
    <w:p w:rsidR="00D7652E" w:rsidRPr="00F237BB" w:rsidRDefault="00D7652E" w:rsidP="00D7652E">
      <w:pPr>
        <w:pStyle w:val="ListParagraph"/>
        <w:numPr>
          <w:ilvl w:val="0"/>
          <w:numId w:val="16"/>
        </w:numPr>
        <w:rPr>
          <w:rFonts w:ascii="Arial" w:hAnsi="Arial" w:cs="Arial"/>
        </w:rPr>
      </w:pPr>
      <w:r w:rsidRPr="00F237BB">
        <w:rPr>
          <w:rFonts w:ascii="Arial" w:hAnsi="Arial" w:cs="Arial"/>
        </w:rPr>
        <w:t>Coordinar el desarrollo e instrumentación de los mecanismos institucionales que aseguren la sistematicidad, coherencia, unidad y organicidad en la toma de decisiones de las diferentes áreas de la jurisdicción ministerial, en lo que es materia de su competencia (numeral 2).</w:t>
      </w:r>
    </w:p>
    <w:p w:rsidR="00775402" w:rsidRPr="00F237BB" w:rsidRDefault="00D7652E" w:rsidP="00D7652E">
      <w:pPr>
        <w:pStyle w:val="ListParagraph"/>
        <w:numPr>
          <w:ilvl w:val="0"/>
          <w:numId w:val="16"/>
        </w:numPr>
        <w:rPr>
          <w:rFonts w:ascii="Arial" w:hAnsi="Arial" w:cs="Arial"/>
        </w:rPr>
      </w:pPr>
      <w:r w:rsidRPr="00F237BB">
        <w:rPr>
          <w:rFonts w:ascii="Arial" w:hAnsi="Arial" w:cs="Arial"/>
        </w:rPr>
        <w:t xml:space="preserve">Efectuar la evaluación del impacto económico del cumplimiento de las políticas, planes y programas ejecutados en el ámbito de su competencia, desarrollando criterios e indicadores que permitan un adecuado control estratégico sobre su efectiva instrumentación </w:t>
      </w:r>
      <w:r w:rsidR="005E50C4" w:rsidRPr="00F237BB">
        <w:rPr>
          <w:rFonts w:ascii="Arial" w:hAnsi="Arial" w:cs="Arial"/>
        </w:rPr>
        <w:t xml:space="preserve">(numeral </w:t>
      </w:r>
      <w:r w:rsidRPr="00F237BB">
        <w:rPr>
          <w:rFonts w:ascii="Arial" w:hAnsi="Arial" w:cs="Arial"/>
        </w:rPr>
        <w:t>3</w:t>
      </w:r>
      <w:r w:rsidR="005E50C4" w:rsidRPr="00F237BB">
        <w:rPr>
          <w:rFonts w:ascii="Arial" w:hAnsi="Arial" w:cs="Arial"/>
        </w:rPr>
        <w:t>).</w:t>
      </w:r>
    </w:p>
    <w:p w:rsidR="00775402" w:rsidRPr="00F237BB" w:rsidRDefault="00D7652E" w:rsidP="00D7652E">
      <w:pPr>
        <w:pStyle w:val="ListParagraph"/>
        <w:numPr>
          <w:ilvl w:val="0"/>
          <w:numId w:val="16"/>
        </w:numPr>
        <w:rPr>
          <w:rFonts w:ascii="Arial" w:hAnsi="Arial" w:cs="Arial"/>
        </w:rPr>
      </w:pPr>
      <w:r w:rsidRPr="00F237BB">
        <w:rPr>
          <w:rFonts w:ascii="Arial" w:hAnsi="Arial" w:cs="Arial"/>
        </w:rPr>
        <w:t xml:space="preserve">Articular las relaciones que desde el </w:t>
      </w:r>
      <w:proofErr w:type="spellStart"/>
      <w:r w:rsidRPr="00F237BB">
        <w:rPr>
          <w:rFonts w:ascii="Arial" w:hAnsi="Arial" w:cs="Arial"/>
        </w:rPr>
        <w:t>MHyFP</w:t>
      </w:r>
      <w:proofErr w:type="spellEnd"/>
      <w:r w:rsidRPr="00F237BB">
        <w:rPr>
          <w:rFonts w:ascii="Arial" w:hAnsi="Arial" w:cs="Arial"/>
        </w:rPr>
        <w:t xml:space="preserve"> se establezcan con otras jurisdicciones del Gobierno Nacional, para establecer la coherencia y fortalecimiento de los lineamientos estratégicos de la política económica</w:t>
      </w:r>
      <w:r w:rsidR="005E50C4" w:rsidRPr="00F237BB">
        <w:rPr>
          <w:rFonts w:ascii="Arial" w:hAnsi="Arial" w:cs="Arial"/>
        </w:rPr>
        <w:t xml:space="preserve"> (numeral </w:t>
      </w:r>
      <w:r w:rsidRPr="00F237BB">
        <w:rPr>
          <w:rFonts w:ascii="Arial" w:hAnsi="Arial" w:cs="Arial"/>
        </w:rPr>
        <w:t>4</w:t>
      </w:r>
      <w:r w:rsidR="005E50C4" w:rsidRPr="00F237BB">
        <w:rPr>
          <w:rFonts w:ascii="Arial" w:hAnsi="Arial" w:cs="Arial"/>
        </w:rPr>
        <w:t>).</w:t>
      </w:r>
    </w:p>
    <w:p w:rsidR="00FC1DF3" w:rsidRPr="00F237BB" w:rsidRDefault="00FC1DF3" w:rsidP="00FC1DF3">
      <w:pPr>
        <w:pStyle w:val="ListParagraph"/>
        <w:numPr>
          <w:ilvl w:val="0"/>
          <w:numId w:val="16"/>
        </w:numPr>
        <w:rPr>
          <w:rFonts w:ascii="Arial" w:hAnsi="Arial" w:cs="Arial"/>
        </w:rPr>
      </w:pPr>
      <w:r w:rsidRPr="00F237BB">
        <w:rPr>
          <w:rFonts w:ascii="Arial" w:hAnsi="Arial" w:cs="Arial"/>
        </w:rPr>
        <w:t>Entender en la determinación de los objetivos de política económica y elaborar las pautas que orienten al esquema de reestructuración y negociación de los contratos suscritos por el Sector Público Nacional en el ámbito de su competencia (numeral 5).</w:t>
      </w:r>
    </w:p>
    <w:p w:rsidR="005E50C4" w:rsidRPr="00F237BB" w:rsidRDefault="00FC1DF3" w:rsidP="00FC1DF3">
      <w:pPr>
        <w:pStyle w:val="ListParagraph"/>
        <w:numPr>
          <w:ilvl w:val="0"/>
          <w:numId w:val="16"/>
        </w:numPr>
        <w:rPr>
          <w:rFonts w:ascii="Arial" w:hAnsi="Arial" w:cs="Arial"/>
        </w:rPr>
      </w:pPr>
      <w:r w:rsidRPr="00F237BB">
        <w:rPr>
          <w:rFonts w:ascii="Arial" w:hAnsi="Arial" w:cs="Arial"/>
        </w:rPr>
        <w:t>Entender en la elaboración de pautas macroeconómicas que sirvan de base para la programación fiscal en el marco de la política económica vigente</w:t>
      </w:r>
      <w:r w:rsidRPr="00F237BB" w:rsidDel="00FC1DF3">
        <w:rPr>
          <w:rFonts w:ascii="Arial" w:hAnsi="Arial" w:cs="Arial"/>
        </w:rPr>
        <w:t xml:space="preserve"> </w:t>
      </w:r>
      <w:r w:rsidR="005E50C4" w:rsidRPr="00F237BB">
        <w:rPr>
          <w:rFonts w:ascii="Arial" w:hAnsi="Arial" w:cs="Arial"/>
        </w:rPr>
        <w:t xml:space="preserve">(numeral </w:t>
      </w:r>
      <w:r w:rsidRPr="00F237BB">
        <w:rPr>
          <w:rFonts w:ascii="Arial" w:hAnsi="Arial" w:cs="Arial"/>
        </w:rPr>
        <w:t>11</w:t>
      </w:r>
      <w:r w:rsidR="005E50C4" w:rsidRPr="00F237BB">
        <w:rPr>
          <w:rFonts w:ascii="Arial" w:hAnsi="Arial" w:cs="Arial"/>
        </w:rPr>
        <w:t>).</w:t>
      </w:r>
    </w:p>
    <w:p w:rsidR="005E50C4" w:rsidRPr="00F237BB" w:rsidRDefault="00FC1DF3" w:rsidP="00FC1DF3">
      <w:pPr>
        <w:pStyle w:val="ListParagraph"/>
        <w:numPr>
          <w:ilvl w:val="0"/>
          <w:numId w:val="16"/>
        </w:numPr>
        <w:rPr>
          <w:rFonts w:ascii="Arial" w:hAnsi="Arial" w:cs="Arial"/>
        </w:rPr>
      </w:pPr>
      <w:r w:rsidRPr="00F237BB">
        <w:rPr>
          <w:rFonts w:ascii="Arial" w:hAnsi="Arial" w:cs="Arial"/>
        </w:rPr>
        <w:t xml:space="preserve">Entender en la elaboración y propuesta de criterios para la fijación de prioridades en materia de recursos y erogaciones fiscales, todo ello, desde el punto de vista de la finalidad e impacto económico de los mismos </w:t>
      </w:r>
      <w:r w:rsidR="005E50C4" w:rsidRPr="00F237BB">
        <w:rPr>
          <w:rFonts w:ascii="Arial" w:hAnsi="Arial" w:cs="Arial"/>
        </w:rPr>
        <w:t xml:space="preserve">(numeral </w:t>
      </w:r>
      <w:r w:rsidRPr="00F237BB">
        <w:rPr>
          <w:rFonts w:ascii="Arial" w:hAnsi="Arial" w:cs="Arial"/>
        </w:rPr>
        <w:t>12</w:t>
      </w:r>
      <w:r w:rsidR="005E50C4" w:rsidRPr="00F237BB">
        <w:rPr>
          <w:rFonts w:ascii="Arial" w:hAnsi="Arial" w:cs="Arial"/>
        </w:rPr>
        <w:t>).</w:t>
      </w:r>
    </w:p>
    <w:p w:rsidR="005E50C4" w:rsidRPr="00F237BB" w:rsidRDefault="005E50C4" w:rsidP="00236E66">
      <w:pPr>
        <w:pStyle w:val="ListParagraph"/>
        <w:numPr>
          <w:ilvl w:val="0"/>
          <w:numId w:val="16"/>
        </w:numPr>
        <w:rPr>
          <w:rFonts w:ascii="Arial" w:hAnsi="Arial" w:cs="Arial"/>
        </w:rPr>
      </w:pPr>
      <w:r w:rsidRPr="00F237BB">
        <w:rPr>
          <w:rFonts w:ascii="Arial" w:hAnsi="Arial" w:cs="Arial"/>
        </w:rPr>
        <w:t xml:space="preserve">Entender en la programación regional y sectorial de la política económica nacional, coordinando su accionar con las jurisdicciones involucradas (numeral </w:t>
      </w:r>
      <w:r w:rsidR="00B8310B" w:rsidRPr="00F237BB">
        <w:rPr>
          <w:rFonts w:ascii="Arial" w:hAnsi="Arial" w:cs="Arial"/>
        </w:rPr>
        <w:t>13</w:t>
      </w:r>
      <w:r w:rsidRPr="00F237BB">
        <w:rPr>
          <w:rFonts w:ascii="Arial" w:hAnsi="Arial" w:cs="Arial"/>
        </w:rPr>
        <w:t>).</w:t>
      </w:r>
    </w:p>
    <w:p w:rsidR="00B8310B" w:rsidRPr="00F237BB" w:rsidRDefault="00B8310B" w:rsidP="00B8310B">
      <w:pPr>
        <w:pStyle w:val="ListParagraph"/>
        <w:numPr>
          <w:ilvl w:val="0"/>
          <w:numId w:val="16"/>
        </w:numPr>
        <w:rPr>
          <w:rFonts w:ascii="Arial" w:hAnsi="Arial" w:cs="Arial"/>
        </w:rPr>
      </w:pPr>
      <w:r w:rsidRPr="00F237BB">
        <w:rPr>
          <w:rFonts w:ascii="Arial" w:hAnsi="Arial" w:cs="Arial"/>
        </w:rPr>
        <w:t>Coordinar con las jurisdicciones del ESTADO NACIONAL con competencia en la materia las acciones a fin de establecer los lineamientos para el desarrollo de largo plazo (numeral 15).</w:t>
      </w:r>
    </w:p>
    <w:p w:rsidR="005E50C4" w:rsidRPr="00F237BB" w:rsidRDefault="00B8310B" w:rsidP="00B8310B">
      <w:pPr>
        <w:pStyle w:val="ListParagraph"/>
        <w:numPr>
          <w:ilvl w:val="0"/>
          <w:numId w:val="16"/>
        </w:numPr>
        <w:rPr>
          <w:rFonts w:ascii="Arial" w:hAnsi="Arial" w:cs="Arial"/>
        </w:rPr>
      </w:pPr>
      <w:r w:rsidRPr="00F237BB">
        <w:rPr>
          <w:rFonts w:ascii="Arial" w:hAnsi="Arial" w:cs="Arial"/>
        </w:rPr>
        <w:t>Coordinar la elaboración, propuesta y seguimiento de estrategias y políticas tendientes a promover el crecimiento económico con inclusión social</w:t>
      </w:r>
      <w:r w:rsidRPr="00F237BB" w:rsidDel="00B8310B">
        <w:rPr>
          <w:rFonts w:ascii="Arial" w:hAnsi="Arial" w:cs="Arial"/>
        </w:rPr>
        <w:t xml:space="preserve"> </w:t>
      </w:r>
      <w:r w:rsidR="005506E4" w:rsidRPr="00F237BB">
        <w:rPr>
          <w:rFonts w:ascii="Arial" w:hAnsi="Arial" w:cs="Arial"/>
        </w:rPr>
        <w:t xml:space="preserve">(numeral </w:t>
      </w:r>
      <w:r w:rsidRPr="00F237BB">
        <w:rPr>
          <w:rFonts w:ascii="Arial" w:hAnsi="Arial" w:cs="Arial"/>
        </w:rPr>
        <w:t>17</w:t>
      </w:r>
      <w:r w:rsidR="005506E4" w:rsidRPr="00F237BB">
        <w:rPr>
          <w:rFonts w:ascii="Arial" w:hAnsi="Arial" w:cs="Arial"/>
        </w:rPr>
        <w:t>).</w:t>
      </w:r>
    </w:p>
    <w:p w:rsidR="005E50C4" w:rsidRPr="00F237BB" w:rsidRDefault="005E50C4" w:rsidP="005E50C4">
      <w:pPr>
        <w:rPr>
          <w:rFonts w:ascii="Arial" w:hAnsi="Arial" w:cs="Arial"/>
        </w:rPr>
      </w:pPr>
    </w:p>
    <w:p w:rsidR="00DD0A45" w:rsidRPr="00F237BB" w:rsidRDefault="005506E4" w:rsidP="005506E4">
      <w:pPr>
        <w:pStyle w:val="ListParagraph"/>
        <w:numPr>
          <w:ilvl w:val="0"/>
          <w:numId w:val="14"/>
        </w:numPr>
        <w:ind w:left="567" w:hanging="567"/>
        <w:rPr>
          <w:rFonts w:ascii="Arial" w:hAnsi="Arial" w:cs="Arial"/>
        </w:rPr>
      </w:pPr>
      <w:r w:rsidRPr="00F237BB">
        <w:rPr>
          <w:rFonts w:ascii="Arial" w:hAnsi="Arial" w:cs="Arial"/>
        </w:rPr>
        <w:t xml:space="preserve">Puede observarse el rol relevante que ejerce la </w:t>
      </w:r>
      <w:proofErr w:type="spellStart"/>
      <w:r w:rsidRPr="00F237BB">
        <w:rPr>
          <w:rFonts w:ascii="Arial" w:hAnsi="Arial" w:cs="Arial"/>
        </w:rPr>
        <w:t>SPE</w:t>
      </w:r>
      <w:r w:rsidR="00FC1DF3" w:rsidRPr="00F237BB">
        <w:rPr>
          <w:rFonts w:ascii="Arial" w:hAnsi="Arial" w:cs="Arial"/>
        </w:rPr>
        <w:t>yPD</w:t>
      </w:r>
      <w:proofErr w:type="spellEnd"/>
      <w:r w:rsidRPr="00F237BB">
        <w:rPr>
          <w:rFonts w:ascii="Arial" w:hAnsi="Arial" w:cs="Arial"/>
        </w:rPr>
        <w:t xml:space="preserve"> en todo el ciclo de gestión de políticas económicas (formulación, seguimiento y evaluación), siendo especialmente destacable la función de coordinación de las iniciativas tanto internas a la propia </w:t>
      </w:r>
      <w:proofErr w:type="spellStart"/>
      <w:r w:rsidRPr="00F237BB">
        <w:rPr>
          <w:rFonts w:ascii="Arial" w:hAnsi="Arial" w:cs="Arial"/>
        </w:rPr>
        <w:t>SPE</w:t>
      </w:r>
      <w:r w:rsidR="00FC1DF3" w:rsidRPr="00F237BB">
        <w:rPr>
          <w:rFonts w:ascii="Arial" w:hAnsi="Arial" w:cs="Arial"/>
        </w:rPr>
        <w:t>yPD</w:t>
      </w:r>
      <w:proofErr w:type="spellEnd"/>
      <w:r w:rsidRPr="00F237BB">
        <w:rPr>
          <w:rFonts w:ascii="Arial" w:hAnsi="Arial" w:cs="Arial"/>
        </w:rPr>
        <w:t xml:space="preserve"> como hacia otras instituciones de la jurisdicción nacional.</w:t>
      </w:r>
    </w:p>
    <w:p w:rsidR="005506E4" w:rsidRPr="00F237BB" w:rsidRDefault="005506E4" w:rsidP="00775402">
      <w:pPr>
        <w:rPr>
          <w:rFonts w:ascii="Arial" w:hAnsi="Arial" w:cs="Arial"/>
        </w:rPr>
      </w:pPr>
    </w:p>
    <w:p w:rsidR="005506E4" w:rsidRPr="00F237BB" w:rsidRDefault="005506E4" w:rsidP="005506E4">
      <w:pPr>
        <w:pStyle w:val="ListParagraph"/>
        <w:numPr>
          <w:ilvl w:val="0"/>
          <w:numId w:val="14"/>
        </w:numPr>
        <w:ind w:left="567" w:hanging="567"/>
        <w:rPr>
          <w:rFonts w:ascii="Arial" w:hAnsi="Arial" w:cs="Arial"/>
        </w:rPr>
      </w:pPr>
      <w:r w:rsidRPr="00F237BB">
        <w:rPr>
          <w:rFonts w:ascii="Arial" w:hAnsi="Arial" w:cs="Arial"/>
        </w:rPr>
        <w:t xml:space="preserve">Dentro de la </w:t>
      </w:r>
      <w:proofErr w:type="spellStart"/>
      <w:r w:rsidRPr="00F237BB">
        <w:rPr>
          <w:rFonts w:ascii="Arial" w:hAnsi="Arial" w:cs="Arial"/>
        </w:rPr>
        <w:t>SPE</w:t>
      </w:r>
      <w:r w:rsidR="00C114C1" w:rsidRPr="00F237BB">
        <w:rPr>
          <w:rFonts w:ascii="Arial" w:hAnsi="Arial" w:cs="Arial"/>
        </w:rPr>
        <w:t>yPD</w:t>
      </w:r>
      <w:proofErr w:type="spellEnd"/>
      <w:r w:rsidRPr="00F237BB">
        <w:rPr>
          <w:rFonts w:ascii="Arial" w:hAnsi="Arial" w:cs="Arial"/>
        </w:rPr>
        <w:t xml:space="preserve"> existe otro </w:t>
      </w:r>
      <w:proofErr w:type="spellStart"/>
      <w:r w:rsidRPr="00F237BB">
        <w:rPr>
          <w:rFonts w:ascii="Arial" w:hAnsi="Arial" w:cs="Arial"/>
        </w:rPr>
        <w:t>macroproceso</w:t>
      </w:r>
      <w:proofErr w:type="spellEnd"/>
      <w:r w:rsidRPr="00F237BB">
        <w:rPr>
          <w:rFonts w:ascii="Arial" w:hAnsi="Arial" w:cs="Arial"/>
        </w:rPr>
        <w:t xml:space="preserve"> que tiene un rol importante</w:t>
      </w:r>
      <w:r w:rsidR="009817C3" w:rsidRPr="00F237BB">
        <w:rPr>
          <w:rFonts w:ascii="Arial" w:hAnsi="Arial" w:cs="Arial"/>
        </w:rPr>
        <w:t>, aunque está en cierto modo estrechamente ligado al de formulación de políticas</w:t>
      </w:r>
      <w:r w:rsidRPr="00F237BB">
        <w:rPr>
          <w:rFonts w:ascii="Arial" w:hAnsi="Arial" w:cs="Arial"/>
        </w:rPr>
        <w:t>. Se trata de la gestión del conocimiento en materia económica. Las competencias principales al respecto son las siguientes:</w:t>
      </w:r>
    </w:p>
    <w:p w:rsidR="005506E4" w:rsidRPr="00F237BB" w:rsidRDefault="005506E4" w:rsidP="005506E4">
      <w:pPr>
        <w:pStyle w:val="ListParagraph"/>
        <w:rPr>
          <w:rFonts w:ascii="Arial" w:hAnsi="Arial" w:cs="Arial"/>
        </w:rPr>
      </w:pPr>
    </w:p>
    <w:p w:rsidR="005506E4" w:rsidRPr="00F237BB" w:rsidRDefault="00C114C1" w:rsidP="00236E66">
      <w:pPr>
        <w:pStyle w:val="ListParagraph"/>
        <w:numPr>
          <w:ilvl w:val="0"/>
          <w:numId w:val="17"/>
        </w:numPr>
        <w:rPr>
          <w:rFonts w:ascii="Arial" w:hAnsi="Arial" w:cs="Arial"/>
        </w:rPr>
      </w:pPr>
      <w:r w:rsidRPr="00F237BB">
        <w:rPr>
          <w:rFonts w:ascii="Arial" w:hAnsi="Arial" w:cs="Arial"/>
        </w:rPr>
        <w:t>Coordinar el seguimiento sistemático de la coyuntura local y mundial y publicar indicadores e informes periódicos que permitan evaluar el desempeño de la economía</w:t>
      </w:r>
      <w:r w:rsidRPr="00F237BB" w:rsidDel="00C114C1">
        <w:rPr>
          <w:rFonts w:ascii="Arial" w:hAnsi="Arial" w:cs="Arial"/>
        </w:rPr>
        <w:t xml:space="preserve"> </w:t>
      </w:r>
      <w:r w:rsidR="005506E4" w:rsidRPr="00F237BB">
        <w:rPr>
          <w:rFonts w:ascii="Arial" w:hAnsi="Arial" w:cs="Arial"/>
        </w:rPr>
        <w:t xml:space="preserve">(numeral </w:t>
      </w:r>
      <w:r w:rsidRPr="00F237BB">
        <w:rPr>
          <w:rFonts w:ascii="Arial" w:hAnsi="Arial" w:cs="Arial"/>
        </w:rPr>
        <w:t>7</w:t>
      </w:r>
      <w:r w:rsidR="005506E4" w:rsidRPr="00F237BB">
        <w:rPr>
          <w:rFonts w:ascii="Arial" w:hAnsi="Arial" w:cs="Arial"/>
        </w:rPr>
        <w:t>).</w:t>
      </w:r>
    </w:p>
    <w:p w:rsidR="00C114C1" w:rsidRPr="00F237BB" w:rsidRDefault="00C114C1" w:rsidP="00C114C1">
      <w:pPr>
        <w:pStyle w:val="ListParagraph"/>
        <w:numPr>
          <w:ilvl w:val="0"/>
          <w:numId w:val="17"/>
        </w:numPr>
        <w:rPr>
          <w:rFonts w:ascii="Arial" w:hAnsi="Arial" w:cs="Arial"/>
        </w:rPr>
      </w:pPr>
      <w:r w:rsidRPr="00F237BB">
        <w:rPr>
          <w:rFonts w:ascii="Arial" w:hAnsi="Arial" w:cs="Arial"/>
        </w:rPr>
        <w:t>Programar y coordinar la realización de diagnósticos y seguimiento de los niveles de vida y de pobreza de la población (numeral 8).</w:t>
      </w:r>
    </w:p>
    <w:p w:rsidR="00C114C1" w:rsidRPr="00F237BB" w:rsidRDefault="00C114C1">
      <w:pPr>
        <w:pStyle w:val="ListParagraph"/>
        <w:numPr>
          <w:ilvl w:val="0"/>
          <w:numId w:val="17"/>
        </w:numPr>
        <w:rPr>
          <w:rFonts w:ascii="Arial" w:hAnsi="Arial" w:cs="Arial"/>
        </w:rPr>
      </w:pPr>
      <w:r w:rsidRPr="00F237BB">
        <w:rPr>
          <w:rFonts w:ascii="Arial" w:hAnsi="Arial" w:cs="Arial"/>
        </w:rPr>
        <w:t>Realizar diagnósticos sobre el empleo y la distribución del ingreso</w:t>
      </w:r>
      <w:r w:rsidR="00D232F4" w:rsidRPr="00F237BB">
        <w:rPr>
          <w:rFonts w:ascii="Arial" w:hAnsi="Arial" w:cs="Arial"/>
        </w:rPr>
        <w:t xml:space="preserve"> (numeral 9)</w:t>
      </w:r>
      <w:r w:rsidRPr="00F237BB">
        <w:rPr>
          <w:rFonts w:ascii="Arial" w:hAnsi="Arial" w:cs="Arial"/>
        </w:rPr>
        <w:t>.</w:t>
      </w:r>
    </w:p>
    <w:p w:rsidR="005506E4" w:rsidRPr="00F237BB" w:rsidRDefault="005506E4" w:rsidP="00236E66">
      <w:pPr>
        <w:pStyle w:val="ListParagraph"/>
        <w:numPr>
          <w:ilvl w:val="0"/>
          <w:numId w:val="17"/>
        </w:numPr>
        <w:rPr>
          <w:rFonts w:ascii="Arial" w:hAnsi="Arial" w:cs="Arial"/>
        </w:rPr>
      </w:pPr>
      <w:r w:rsidRPr="00F237BB">
        <w:rPr>
          <w:rFonts w:ascii="Arial" w:hAnsi="Arial" w:cs="Arial"/>
        </w:rPr>
        <w:t xml:space="preserve">Evaluar el impacto sobre la economía local de los cambios en el contexto internacional (numeral </w:t>
      </w:r>
      <w:r w:rsidR="00D232F4" w:rsidRPr="00F237BB">
        <w:rPr>
          <w:rFonts w:ascii="Arial" w:hAnsi="Arial" w:cs="Arial"/>
        </w:rPr>
        <w:t>10</w:t>
      </w:r>
      <w:r w:rsidRPr="00F237BB">
        <w:rPr>
          <w:rFonts w:ascii="Arial" w:hAnsi="Arial" w:cs="Arial"/>
        </w:rPr>
        <w:t>).</w:t>
      </w:r>
    </w:p>
    <w:p w:rsidR="005506E4" w:rsidRPr="00F237BB" w:rsidRDefault="005506E4" w:rsidP="005506E4">
      <w:pPr>
        <w:rPr>
          <w:rFonts w:ascii="Arial" w:hAnsi="Arial" w:cs="Arial"/>
        </w:rPr>
      </w:pPr>
    </w:p>
    <w:p w:rsidR="00C61010" w:rsidRPr="00F237BB" w:rsidRDefault="000371C3" w:rsidP="00C60E00">
      <w:pPr>
        <w:pStyle w:val="ListParagraph"/>
        <w:numPr>
          <w:ilvl w:val="0"/>
          <w:numId w:val="14"/>
        </w:numPr>
        <w:ind w:left="567" w:hanging="567"/>
        <w:rPr>
          <w:rFonts w:ascii="Arial" w:hAnsi="Arial" w:cs="Arial"/>
        </w:rPr>
      </w:pPr>
      <w:r w:rsidRPr="00F237BB">
        <w:rPr>
          <w:rFonts w:ascii="Arial" w:hAnsi="Arial" w:cs="Arial"/>
        </w:rPr>
        <w:t>Vale destacar que</w:t>
      </w:r>
      <w:r w:rsidR="00D85945" w:rsidRPr="00F237BB">
        <w:rPr>
          <w:rFonts w:ascii="Arial" w:hAnsi="Arial" w:cs="Arial"/>
        </w:rPr>
        <w:t xml:space="preserve"> el Decreto 1/2016 establece la transferencia de </w:t>
      </w:r>
      <w:r w:rsidR="00C61010" w:rsidRPr="00F237BB">
        <w:rPr>
          <w:rFonts w:ascii="Arial" w:hAnsi="Arial" w:cs="Arial"/>
        </w:rPr>
        <w:t xml:space="preserve">la Secretaría de Coordinación Económica y Mejora de la Competitividad y de la Secretaría de Comercio, </w:t>
      </w:r>
      <w:r w:rsidR="00C61010" w:rsidRPr="00F237BB">
        <w:rPr>
          <w:rFonts w:ascii="Arial" w:hAnsi="Arial" w:cs="Arial"/>
        </w:rPr>
        <w:lastRenderedPageBreak/>
        <w:t xml:space="preserve">anteriormente bajo la órbita del Ministerio de Economía y Finanzas Públicas, a la órbita del Ministerio de la Producción (MPROD). En la misma norma se establece al MPROD como nueva </w:t>
      </w:r>
      <w:r w:rsidR="00D85945" w:rsidRPr="00F237BB">
        <w:rPr>
          <w:rFonts w:ascii="Arial" w:hAnsi="Arial" w:cs="Arial"/>
        </w:rPr>
        <w:t>autoridad de aplicación del Sistema Nacional de Inversiones Públicas,</w:t>
      </w:r>
      <w:r w:rsidRPr="00F237BB">
        <w:rPr>
          <w:rFonts w:ascii="Arial" w:hAnsi="Arial" w:cs="Arial"/>
        </w:rPr>
        <w:t xml:space="preserve"> </w:t>
      </w:r>
      <w:r w:rsidR="00C61010" w:rsidRPr="00F237BB">
        <w:rPr>
          <w:rFonts w:ascii="Arial" w:hAnsi="Arial" w:cs="Arial"/>
        </w:rPr>
        <w:t>y la actualización del Banco de Proyectos de Inversión Pública, ambos pertenecientes a la Subsecretaría de Políticas de Desarrollo Productivo, dependiente de la Secretaría de la Transformación Productiva.</w:t>
      </w:r>
    </w:p>
    <w:p w:rsidR="000664C5" w:rsidRPr="00F237BB" w:rsidRDefault="000664C5" w:rsidP="00D04EC0">
      <w:pPr>
        <w:rPr>
          <w:rFonts w:ascii="Arial" w:hAnsi="Arial" w:cs="Arial"/>
        </w:rPr>
      </w:pPr>
    </w:p>
    <w:p w:rsidR="005506E4" w:rsidRPr="00F237BB" w:rsidRDefault="00AD4910" w:rsidP="009817C3">
      <w:pPr>
        <w:pStyle w:val="ListParagraph"/>
        <w:numPr>
          <w:ilvl w:val="0"/>
          <w:numId w:val="14"/>
        </w:numPr>
        <w:ind w:left="567" w:hanging="567"/>
        <w:rPr>
          <w:rFonts w:ascii="Arial" w:hAnsi="Arial" w:cs="Arial"/>
        </w:rPr>
      </w:pPr>
      <w:r w:rsidRPr="00F237BB">
        <w:rPr>
          <w:rFonts w:ascii="Arial" w:hAnsi="Arial" w:cs="Arial"/>
        </w:rPr>
        <w:t xml:space="preserve">Lo que es importante resaltar es que el rol de la </w:t>
      </w:r>
      <w:proofErr w:type="spellStart"/>
      <w:r w:rsidR="000F577D" w:rsidRPr="00F237BB">
        <w:rPr>
          <w:rFonts w:ascii="Arial" w:hAnsi="Arial" w:cs="Arial"/>
        </w:rPr>
        <w:t>SPEyPD</w:t>
      </w:r>
      <w:proofErr w:type="spellEnd"/>
      <w:r w:rsidRPr="00F237BB">
        <w:rPr>
          <w:rFonts w:ascii="Arial" w:hAnsi="Arial" w:cs="Arial"/>
        </w:rPr>
        <w:t xml:space="preserve"> es determinante para la fijación de las estrategias económicas de mediano y largo plazo, y su coordinación tanto a nivel </w:t>
      </w:r>
      <w:r w:rsidR="009C0AC3" w:rsidRPr="00F237BB">
        <w:rPr>
          <w:rFonts w:ascii="Arial" w:hAnsi="Arial" w:cs="Arial"/>
        </w:rPr>
        <w:t xml:space="preserve">al interior del </w:t>
      </w:r>
      <w:proofErr w:type="spellStart"/>
      <w:r w:rsidR="00B8310B" w:rsidRPr="00F237BB">
        <w:rPr>
          <w:rFonts w:ascii="Arial" w:hAnsi="Arial" w:cs="Arial"/>
        </w:rPr>
        <w:t>MHyFP</w:t>
      </w:r>
      <w:proofErr w:type="spellEnd"/>
      <w:r w:rsidR="00B8310B" w:rsidRPr="00F237BB">
        <w:rPr>
          <w:rFonts w:ascii="Arial" w:hAnsi="Arial" w:cs="Arial"/>
        </w:rPr>
        <w:t xml:space="preserve"> </w:t>
      </w:r>
      <w:r w:rsidRPr="00F237BB">
        <w:rPr>
          <w:rFonts w:ascii="Arial" w:hAnsi="Arial" w:cs="Arial"/>
        </w:rPr>
        <w:t xml:space="preserve">como </w:t>
      </w:r>
      <w:r w:rsidR="009C0AC3" w:rsidRPr="00F237BB">
        <w:rPr>
          <w:rFonts w:ascii="Arial" w:hAnsi="Arial" w:cs="Arial"/>
        </w:rPr>
        <w:t xml:space="preserve">con otros sectores y actores institucionales externos. Para el logro de este desempeño, </w:t>
      </w:r>
      <w:r w:rsidRPr="00F237BB">
        <w:rPr>
          <w:rFonts w:ascii="Arial" w:hAnsi="Arial" w:cs="Arial"/>
        </w:rPr>
        <w:t>es crítica la capacidad instalada por formular, monitorear, coordinar y evaluar las políticas</w:t>
      </w:r>
      <w:r w:rsidR="009C0AC3" w:rsidRPr="00F237BB">
        <w:rPr>
          <w:rFonts w:ascii="Arial" w:hAnsi="Arial" w:cs="Arial"/>
        </w:rPr>
        <w:t xml:space="preserve"> económicas</w:t>
      </w:r>
      <w:r w:rsidRPr="00F237BB">
        <w:rPr>
          <w:rFonts w:ascii="Arial" w:hAnsi="Arial" w:cs="Arial"/>
        </w:rPr>
        <w:t xml:space="preserve">. Este es el foco principal de atención </w:t>
      </w:r>
      <w:r w:rsidR="009C0AC3" w:rsidRPr="00F237BB">
        <w:rPr>
          <w:rFonts w:ascii="Arial" w:hAnsi="Arial" w:cs="Arial"/>
        </w:rPr>
        <w:t xml:space="preserve">del </w:t>
      </w:r>
      <w:r w:rsidRPr="00F237BB">
        <w:rPr>
          <w:rFonts w:ascii="Arial" w:hAnsi="Arial" w:cs="Arial"/>
        </w:rPr>
        <w:t xml:space="preserve">informe de diagnóstico. </w:t>
      </w:r>
    </w:p>
    <w:p w:rsidR="00273FCB" w:rsidRPr="00F237BB" w:rsidRDefault="00273FCB" w:rsidP="00D04EC0">
      <w:pPr>
        <w:rPr>
          <w:rFonts w:ascii="Arial" w:hAnsi="Arial" w:cs="Arial"/>
        </w:rPr>
      </w:pPr>
    </w:p>
    <w:p w:rsidR="009817C3" w:rsidRPr="00F237BB" w:rsidRDefault="009817C3" w:rsidP="00D04EC0">
      <w:pPr>
        <w:rPr>
          <w:rFonts w:ascii="Arial" w:hAnsi="Arial" w:cs="Arial"/>
        </w:rPr>
      </w:pPr>
    </w:p>
    <w:p w:rsidR="007A0262" w:rsidRPr="00F237BB" w:rsidRDefault="007A0262" w:rsidP="00406ECB">
      <w:pPr>
        <w:pStyle w:val="Heading2"/>
        <w:rPr>
          <w:rFonts w:ascii="Arial" w:hAnsi="Arial" w:cs="Arial"/>
          <w:sz w:val="22"/>
          <w:szCs w:val="22"/>
        </w:rPr>
      </w:pPr>
      <w:bookmarkStart w:id="2" w:name="_Toc458521460"/>
      <w:r w:rsidRPr="00F237BB">
        <w:rPr>
          <w:rFonts w:ascii="Arial" w:hAnsi="Arial" w:cs="Arial"/>
          <w:sz w:val="22"/>
          <w:szCs w:val="22"/>
        </w:rPr>
        <w:t xml:space="preserve">Organización </w:t>
      </w:r>
      <w:r w:rsidR="00733C24" w:rsidRPr="00F237BB">
        <w:rPr>
          <w:rFonts w:ascii="Arial" w:hAnsi="Arial" w:cs="Arial"/>
          <w:sz w:val="22"/>
          <w:szCs w:val="22"/>
        </w:rPr>
        <w:t xml:space="preserve">de la </w:t>
      </w:r>
      <w:proofErr w:type="spellStart"/>
      <w:r w:rsidR="00733C24" w:rsidRPr="00F237BB">
        <w:rPr>
          <w:rFonts w:ascii="Arial" w:hAnsi="Arial" w:cs="Arial"/>
          <w:sz w:val="22"/>
          <w:szCs w:val="22"/>
        </w:rPr>
        <w:t>SPE</w:t>
      </w:r>
      <w:r w:rsidR="000F577D" w:rsidRPr="00F237BB">
        <w:rPr>
          <w:rFonts w:ascii="Arial" w:hAnsi="Arial" w:cs="Arial"/>
          <w:sz w:val="22"/>
          <w:szCs w:val="22"/>
        </w:rPr>
        <w:t>yPD</w:t>
      </w:r>
      <w:bookmarkEnd w:id="2"/>
      <w:proofErr w:type="spellEnd"/>
    </w:p>
    <w:p w:rsidR="004612E4" w:rsidRPr="00F237BB" w:rsidRDefault="005C63C3" w:rsidP="00C60E00">
      <w:pPr>
        <w:pStyle w:val="ListParagraph"/>
        <w:numPr>
          <w:ilvl w:val="0"/>
          <w:numId w:val="14"/>
        </w:numPr>
        <w:ind w:left="567" w:hanging="567"/>
        <w:rPr>
          <w:rFonts w:ascii="Arial" w:hAnsi="Arial" w:cs="Arial"/>
        </w:rPr>
      </w:pPr>
      <w:r w:rsidRPr="00F237BB">
        <w:rPr>
          <w:rFonts w:ascii="Arial" w:hAnsi="Arial" w:cs="Arial"/>
        </w:rPr>
        <w:t xml:space="preserve">De acuerdo a los objetivos planteados para </w:t>
      </w:r>
      <w:r w:rsidR="009817C3" w:rsidRPr="00F237BB">
        <w:rPr>
          <w:rFonts w:ascii="Arial" w:hAnsi="Arial" w:cs="Arial"/>
        </w:rPr>
        <w:t xml:space="preserve">la </w:t>
      </w:r>
      <w:proofErr w:type="spellStart"/>
      <w:r w:rsidR="009817C3" w:rsidRPr="00F237BB">
        <w:rPr>
          <w:rFonts w:ascii="Arial" w:hAnsi="Arial" w:cs="Arial"/>
        </w:rPr>
        <w:t>SPE</w:t>
      </w:r>
      <w:r w:rsidR="007F0994" w:rsidRPr="00F237BB">
        <w:rPr>
          <w:rFonts w:ascii="Arial" w:hAnsi="Arial" w:cs="Arial"/>
        </w:rPr>
        <w:t>yPD</w:t>
      </w:r>
      <w:proofErr w:type="spellEnd"/>
      <w:r w:rsidRPr="00F237BB">
        <w:rPr>
          <w:rFonts w:ascii="Arial" w:hAnsi="Arial" w:cs="Arial"/>
        </w:rPr>
        <w:t>, la misma se organiza en cuatro Subsecretarías</w:t>
      </w:r>
      <w:r w:rsidR="006024F5" w:rsidRPr="00F237BB">
        <w:rPr>
          <w:rFonts w:ascii="Arial" w:hAnsi="Arial" w:cs="Arial"/>
        </w:rPr>
        <w:t xml:space="preserve">, </w:t>
      </w:r>
      <w:r w:rsidR="004612E4" w:rsidRPr="00F237BB">
        <w:rPr>
          <w:rFonts w:ascii="Arial" w:hAnsi="Arial" w:cs="Arial"/>
        </w:rPr>
        <w:t xml:space="preserve">a saber: Subsecretaría de Programación Macroeconómica, Subsecretaría de Planificación Económica, Subsecretaría de Desarrollo y Subsecretaría de Relaciones Financieras Internacionales. Además, la </w:t>
      </w:r>
      <w:proofErr w:type="spellStart"/>
      <w:r w:rsidR="004612E4" w:rsidRPr="00F237BB">
        <w:rPr>
          <w:rFonts w:ascii="Arial" w:hAnsi="Arial" w:cs="Arial"/>
        </w:rPr>
        <w:t>SPEyPD</w:t>
      </w:r>
      <w:proofErr w:type="spellEnd"/>
      <w:r w:rsidR="004612E4" w:rsidRPr="00F237BB">
        <w:rPr>
          <w:rFonts w:ascii="Arial" w:hAnsi="Arial" w:cs="Arial"/>
        </w:rPr>
        <w:t xml:space="preserve"> incluye a la Dirección Nacional de Empresas con Participación del Estado, dependiente directamente del Secretario.</w:t>
      </w:r>
    </w:p>
    <w:p w:rsidR="00847E40" w:rsidRPr="00F237BB" w:rsidRDefault="00847E40" w:rsidP="00C60E00">
      <w:pPr>
        <w:rPr>
          <w:rFonts w:ascii="Arial" w:hAnsi="Arial" w:cs="Arial"/>
        </w:rPr>
      </w:pPr>
    </w:p>
    <w:p w:rsidR="00087F2B" w:rsidRPr="00F237BB" w:rsidRDefault="00847E40" w:rsidP="00A20332">
      <w:pPr>
        <w:pStyle w:val="ListParagraph"/>
        <w:numPr>
          <w:ilvl w:val="0"/>
          <w:numId w:val="14"/>
        </w:numPr>
        <w:ind w:left="567" w:hanging="567"/>
        <w:rPr>
          <w:rFonts w:ascii="Arial" w:hAnsi="Arial" w:cs="Arial"/>
        </w:rPr>
      </w:pPr>
      <w:r w:rsidRPr="00F237BB">
        <w:rPr>
          <w:rFonts w:ascii="Arial" w:hAnsi="Arial" w:cs="Arial"/>
        </w:rPr>
        <w:t xml:space="preserve">De las mencionadas, </w:t>
      </w:r>
      <w:r w:rsidR="006024F5" w:rsidRPr="00F237BB">
        <w:rPr>
          <w:rFonts w:ascii="Arial" w:hAnsi="Arial" w:cs="Arial"/>
        </w:rPr>
        <w:t>dos</w:t>
      </w:r>
      <w:r w:rsidRPr="00F237BB">
        <w:rPr>
          <w:rFonts w:ascii="Arial" w:hAnsi="Arial" w:cs="Arial"/>
        </w:rPr>
        <w:t xml:space="preserve"> Subsecretarías son de especial interés a este análisis, pues</w:t>
      </w:r>
      <w:r w:rsidR="005C63C3" w:rsidRPr="00F237BB">
        <w:rPr>
          <w:rFonts w:ascii="Arial" w:hAnsi="Arial" w:cs="Arial"/>
        </w:rPr>
        <w:t xml:space="preserve"> desarrollan</w:t>
      </w:r>
      <w:r w:rsidR="00A20332" w:rsidRPr="00F237BB">
        <w:rPr>
          <w:rFonts w:ascii="Arial" w:hAnsi="Arial" w:cs="Arial"/>
        </w:rPr>
        <w:t xml:space="preserve"> </w:t>
      </w:r>
      <w:r w:rsidRPr="00F237BB">
        <w:rPr>
          <w:rFonts w:ascii="Arial" w:hAnsi="Arial" w:cs="Arial"/>
        </w:rPr>
        <w:t xml:space="preserve">gran parte de las </w:t>
      </w:r>
      <w:r w:rsidR="0072681D" w:rsidRPr="00F237BB">
        <w:rPr>
          <w:rFonts w:ascii="Arial" w:hAnsi="Arial" w:cs="Arial"/>
        </w:rPr>
        <w:t xml:space="preserve">actividades </w:t>
      </w:r>
      <w:r w:rsidR="00A20332" w:rsidRPr="00F237BB">
        <w:rPr>
          <w:rFonts w:ascii="Arial" w:hAnsi="Arial" w:cs="Arial"/>
        </w:rPr>
        <w:t xml:space="preserve">en torno a </w:t>
      </w:r>
      <w:r w:rsidR="009817C3" w:rsidRPr="00F237BB">
        <w:rPr>
          <w:rFonts w:ascii="Arial" w:hAnsi="Arial" w:cs="Arial"/>
        </w:rPr>
        <w:t>dos</w:t>
      </w:r>
      <w:r w:rsidR="00A20332" w:rsidRPr="00F237BB">
        <w:rPr>
          <w:rFonts w:ascii="Arial" w:hAnsi="Arial" w:cs="Arial"/>
        </w:rPr>
        <w:t xml:space="preserve"> ejes </w:t>
      </w:r>
      <w:r w:rsidR="0072681D" w:rsidRPr="00F237BB">
        <w:rPr>
          <w:rFonts w:ascii="Arial" w:hAnsi="Arial" w:cs="Arial"/>
        </w:rPr>
        <w:t>centrales de la gestión del ciclo de políticas económicas</w:t>
      </w:r>
      <w:r w:rsidR="00623DCD" w:rsidRPr="00F237BB">
        <w:rPr>
          <w:rFonts w:ascii="Arial" w:hAnsi="Arial" w:cs="Arial"/>
        </w:rPr>
        <w:t xml:space="preserve">: la </w:t>
      </w:r>
      <w:r w:rsidR="0072681D" w:rsidRPr="00F237BB">
        <w:rPr>
          <w:rFonts w:ascii="Arial" w:hAnsi="Arial" w:cs="Arial"/>
        </w:rPr>
        <w:t>planificación</w:t>
      </w:r>
      <w:r w:rsidR="009817C3" w:rsidRPr="00F237BB">
        <w:rPr>
          <w:rFonts w:ascii="Arial" w:hAnsi="Arial" w:cs="Arial"/>
        </w:rPr>
        <w:t xml:space="preserve"> económica</w:t>
      </w:r>
      <w:r w:rsidR="00623DCD" w:rsidRPr="00F237BB">
        <w:rPr>
          <w:rFonts w:ascii="Arial" w:hAnsi="Arial" w:cs="Arial"/>
        </w:rPr>
        <w:t xml:space="preserve">, </w:t>
      </w:r>
      <w:r w:rsidR="009817C3" w:rsidRPr="00F237BB">
        <w:rPr>
          <w:rFonts w:ascii="Arial" w:hAnsi="Arial" w:cs="Arial"/>
        </w:rPr>
        <w:t xml:space="preserve">a través de la Subsecretaría de </w:t>
      </w:r>
      <w:r w:rsidR="0072681D" w:rsidRPr="00F237BB">
        <w:rPr>
          <w:rFonts w:ascii="Arial" w:hAnsi="Arial" w:cs="Arial"/>
        </w:rPr>
        <w:t xml:space="preserve">Planificación </w:t>
      </w:r>
      <w:r w:rsidR="009817C3" w:rsidRPr="00F237BB">
        <w:rPr>
          <w:rFonts w:ascii="Arial" w:hAnsi="Arial" w:cs="Arial"/>
        </w:rPr>
        <w:t xml:space="preserve">Económica, y la programación económica, a través de la Subsecretaría de Programación </w:t>
      </w:r>
      <w:r w:rsidR="0072681D" w:rsidRPr="00F237BB">
        <w:rPr>
          <w:rFonts w:ascii="Arial" w:hAnsi="Arial" w:cs="Arial"/>
        </w:rPr>
        <w:t>Macroeconómica</w:t>
      </w:r>
      <w:r w:rsidR="00623DCD" w:rsidRPr="00F237BB">
        <w:rPr>
          <w:rFonts w:ascii="Arial" w:hAnsi="Arial" w:cs="Arial"/>
        </w:rPr>
        <w:t>.</w:t>
      </w:r>
      <w:r w:rsidR="00AD4910" w:rsidRPr="00F237BB">
        <w:rPr>
          <w:rFonts w:ascii="Arial" w:hAnsi="Arial" w:cs="Arial"/>
        </w:rPr>
        <w:t xml:space="preserve"> </w:t>
      </w:r>
    </w:p>
    <w:p w:rsidR="00087F2B" w:rsidRPr="00F237BB" w:rsidRDefault="00087F2B" w:rsidP="00C60E00">
      <w:pPr>
        <w:pStyle w:val="ListParagraph"/>
        <w:rPr>
          <w:rFonts w:ascii="Arial" w:hAnsi="Arial" w:cs="Arial"/>
        </w:rPr>
      </w:pPr>
    </w:p>
    <w:p w:rsidR="00623DCD" w:rsidRPr="00F237BB" w:rsidRDefault="00087F2B" w:rsidP="00C60E00">
      <w:pPr>
        <w:pStyle w:val="ListParagraph"/>
        <w:ind w:left="567"/>
        <w:rPr>
          <w:rFonts w:ascii="Arial" w:hAnsi="Arial" w:cs="Arial"/>
        </w:rPr>
      </w:pPr>
      <w:r w:rsidRPr="00F237BB">
        <w:rPr>
          <w:rFonts w:ascii="Arial" w:hAnsi="Arial" w:cs="Arial"/>
          <w:noProof/>
          <w:lang w:val="en-US" w:eastAsia="en-US"/>
        </w:rPr>
        <w:drawing>
          <wp:inline distT="0" distB="0" distL="0" distR="0" wp14:anchorId="56714413" wp14:editId="524D5FFF">
            <wp:extent cx="5762625" cy="22479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12118" b="6174"/>
                    <a:stretch/>
                  </pic:blipFill>
                  <pic:spPr bwMode="auto">
                    <a:xfrm>
                      <a:off x="0" y="0"/>
                      <a:ext cx="5768158" cy="2250058"/>
                    </a:xfrm>
                    <a:prstGeom prst="rect">
                      <a:avLst/>
                    </a:prstGeom>
                    <a:noFill/>
                    <a:ln>
                      <a:noFill/>
                    </a:ln>
                    <a:extLst>
                      <a:ext uri="{53640926-AAD7-44D8-BBD7-CCE9431645EC}">
                        <a14:shadowObscured xmlns:a14="http://schemas.microsoft.com/office/drawing/2010/main"/>
                      </a:ext>
                    </a:extLst>
                  </pic:spPr>
                </pic:pic>
              </a:graphicData>
            </a:graphic>
          </wp:inline>
        </w:drawing>
      </w:r>
    </w:p>
    <w:p w:rsidR="00E53131" w:rsidRPr="00F237BB" w:rsidRDefault="00E53131" w:rsidP="00E53131">
      <w:pPr>
        <w:rPr>
          <w:rFonts w:ascii="Arial" w:hAnsi="Arial" w:cs="Arial"/>
        </w:rPr>
      </w:pPr>
    </w:p>
    <w:p w:rsidR="009C753D" w:rsidRPr="00F237BB" w:rsidRDefault="006F34B0" w:rsidP="00C60E00">
      <w:pPr>
        <w:pStyle w:val="ListParagraph"/>
        <w:numPr>
          <w:ilvl w:val="0"/>
          <w:numId w:val="14"/>
        </w:numPr>
        <w:ind w:left="567" w:hanging="567"/>
        <w:rPr>
          <w:rFonts w:ascii="Arial" w:hAnsi="Arial" w:cs="Arial"/>
        </w:rPr>
      </w:pPr>
      <w:r w:rsidRPr="00F237BB">
        <w:rPr>
          <w:rFonts w:ascii="Arial" w:hAnsi="Arial" w:cs="Arial"/>
        </w:rPr>
        <w:t xml:space="preserve">La Subsecretaría de </w:t>
      </w:r>
      <w:r w:rsidR="0072681D" w:rsidRPr="00F237BB">
        <w:rPr>
          <w:rFonts w:ascii="Arial" w:hAnsi="Arial" w:cs="Arial"/>
        </w:rPr>
        <w:t xml:space="preserve">Planificación </w:t>
      </w:r>
      <w:r w:rsidRPr="00F237BB">
        <w:rPr>
          <w:rFonts w:ascii="Arial" w:hAnsi="Arial" w:cs="Arial"/>
        </w:rPr>
        <w:t xml:space="preserve">Económica </w:t>
      </w:r>
      <w:r w:rsidR="0072681D" w:rsidRPr="00F237BB">
        <w:rPr>
          <w:rFonts w:ascii="Arial" w:hAnsi="Arial" w:cs="Arial"/>
        </w:rPr>
        <w:t>se encuentra abocada al diseño del plan económico</w:t>
      </w:r>
      <w:r w:rsidR="009C753D" w:rsidRPr="00F237BB">
        <w:rPr>
          <w:rFonts w:ascii="Arial" w:hAnsi="Arial" w:cs="Arial"/>
        </w:rPr>
        <w:t xml:space="preserve"> y la propuesta de los lineamientos estratégicos de mediano y largo plazo en materia de economía</w:t>
      </w:r>
      <w:r w:rsidR="0072681D" w:rsidRPr="00F237BB">
        <w:rPr>
          <w:rFonts w:ascii="Arial" w:hAnsi="Arial" w:cs="Arial"/>
        </w:rPr>
        <w:t xml:space="preserve">, en coordinación con </w:t>
      </w:r>
      <w:r w:rsidR="009C753D" w:rsidRPr="00F237BB">
        <w:rPr>
          <w:rFonts w:ascii="Arial" w:hAnsi="Arial" w:cs="Arial"/>
        </w:rPr>
        <w:t>otras</w:t>
      </w:r>
      <w:r w:rsidR="0072681D" w:rsidRPr="00F237BB">
        <w:rPr>
          <w:rFonts w:ascii="Arial" w:hAnsi="Arial" w:cs="Arial"/>
        </w:rPr>
        <w:t xml:space="preserve"> áreas de gobierno relevantes, así como </w:t>
      </w:r>
      <w:r w:rsidR="009C753D" w:rsidRPr="00F237BB">
        <w:rPr>
          <w:rFonts w:ascii="Arial" w:hAnsi="Arial" w:cs="Arial"/>
        </w:rPr>
        <w:t>el análisis de</w:t>
      </w:r>
      <w:r w:rsidR="00847E40" w:rsidRPr="00F237BB">
        <w:rPr>
          <w:rFonts w:ascii="Arial" w:hAnsi="Arial" w:cs="Arial"/>
        </w:rPr>
        <w:t xml:space="preserve"> la</w:t>
      </w:r>
      <w:r w:rsidR="009C753D" w:rsidRPr="00F237BB">
        <w:rPr>
          <w:rFonts w:ascii="Arial" w:hAnsi="Arial" w:cs="Arial"/>
        </w:rPr>
        <w:t xml:space="preserve"> información estadística relevante para la ejecución de dichos planes. Está integrada por dos direcciones nacionales: (i) la Dirección Nacional de </w:t>
      </w:r>
      <w:r w:rsidR="00847E40" w:rsidRPr="00F237BB">
        <w:rPr>
          <w:rFonts w:ascii="Arial" w:hAnsi="Arial" w:cs="Arial"/>
        </w:rPr>
        <w:t>Planificación</w:t>
      </w:r>
      <w:r w:rsidR="009C753D" w:rsidRPr="00F237BB">
        <w:rPr>
          <w:rFonts w:ascii="Arial" w:hAnsi="Arial" w:cs="Arial"/>
        </w:rPr>
        <w:t xml:space="preserve"> Regional, que a su vez posee la Dirección de Información y Análisis</w:t>
      </w:r>
      <w:r w:rsidR="00847E40" w:rsidRPr="00F237BB">
        <w:rPr>
          <w:rFonts w:ascii="Arial" w:hAnsi="Arial" w:cs="Arial"/>
        </w:rPr>
        <w:t xml:space="preserve"> Regional</w:t>
      </w:r>
      <w:r w:rsidR="009C753D" w:rsidRPr="00F237BB">
        <w:rPr>
          <w:rFonts w:ascii="Arial" w:hAnsi="Arial" w:cs="Arial"/>
        </w:rPr>
        <w:t xml:space="preserve">; y (ii) la </w:t>
      </w:r>
      <w:r w:rsidR="009C753D" w:rsidRPr="00F237BB">
        <w:rPr>
          <w:rFonts w:ascii="Arial" w:hAnsi="Arial" w:cs="Arial"/>
        </w:rPr>
        <w:lastRenderedPageBreak/>
        <w:t xml:space="preserve">Dirección Nacional de Planificación </w:t>
      </w:r>
      <w:r w:rsidR="00263EE5" w:rsidRPr="00F237BB">
        <w:rPr>
          <w:rFonts w:ascii="Arial" w:hAnsi="Arial" w:cs="Arial"/>
        </w:rPr>
        <w:t>Sectorial</w:t>
      </w:r>
      <w:r w:rsidR="009C753D" w:rsidRPr="00F237BB">
        <w:rPr>
          <w:rFonts w:ascii="Arial" w:hAnsi="Arial" w:cs="Arial"/>
        </w:rPr>
        <w:t xml:space="preserve">, que </w:t>
      </w:r>
      <w:r w:rsidR="00263EE5" w:rsidRPr="00F237BB">
        <w:rPr>
          <w:rFonts w:ascii="Arial" w:hAnsi="Arial" w:cs="Arial"/>
        </w:rPr>
        <w:t>incluye</w:t>
      </w:r>
      <w:r w:rsidR="009C753D" w:rsidRPr="00F237BB">
        <w:rPr>
          <w:rFonts w:ascii="Arial" w:hAnsi="Arial" w:cs="Arial"/>
        </w:rPr>
        <w:t xml:space="preserve"> la Dirección de Información y Análisis Sectorial.</w:t>
      </w:r>
    </w:p>
    <w:p w:rsidR="009C753D" w:rsidRPr="00F237BB" w:rsidRDefault="009C753D" w:rsidP="00C60E00">
      <w:pPr>
        <w:pStyle w:val="ListParagraph"/>
        <w:rPr>
          <w:rFonts w:ascii="Arial" w:hAnsi="Arial" w:cs="Arial"/>
        </w:rPr>
      </w:pPr>
    </w:p>
    <w:p w:rsidR="00CA5B7C" w:rsidRPr="00F237BB" w:rsidRDefault="00CA5B7C" w:rsidP="00C60E00">
      <w:pPr>
        <w:pStyle w:val="ListParagraph"/>
        <w:numPr>
          <w:ilvl w:val="0"/>
          <w:numId w:val="14"/>
        </w:numPr>
        <w:ind w:left="567" w:hanging="567"/>
        <w:rPr>
          <w:rFonts w:ascii="Arial" w:hAnsi="Arial" w:cs="Arial"/>
        </w:rPr>
      </w:pPr>
      <w:r w:rsidRPr="00F237BB">
        <w:rPr>
          <w:rFonts w:ascii="Arial" w:hAnsi="Arial" w:cs="Arial"/>
        </w:rPr>
        <w:t xml:space="preserve">Por su parte, la Subsecretaría de Programación Macroeconómica </w:t>
      </w:r>
      <w:r w:rsidR="008D477F" w:rsidRPr="00F237BB">
        <w:rPr>
          <w:rFonts w:ascii="Arial" w:hAnsi="Arial" w:cs="Arial"/>
        </w:rPr>
        <w:t>tiene a su cargo todo lo referido a la programación, coordinación y dirección del seguimiento de la economía nacional e internacional, así como la coordinación de la elaboración e implementación de los modelos macroeconómicos y la programación fiscal. E</w:t>
      </w:r>
      <w:r w:rsidRPr="00F237BB">
        <w:rPr>
          <w:rFonts w:ascii="Arial" w:hAnsi="Arial" w:cs="Arial"/>
        </w:rPr>
        <w:t xml:space="preserve">stá </w:t>
      </w:r>
      <w:r w:rsidR="006F34B0" w:rsidRPr="00F237BB">
        <w:rPr>
          <w:rFonts w:ascii="Arial" w:hAnsi="Arial" w:cs="Arial"/>
        </w:rPr>
        <w:t xml:space="preserve">constituida por </w:t>
      </w:r>
      <w:r w:rsidRPr="00F237BB">
        <w:rPr>
          <w:rFonts w:ascii="Arial" w:hAnsi="Arial" w:cs="Arial"/>
        </w:rPr>
        <w:t xml:space="preserve">dos direcciones nacionales. La Dirección Nacional de Política Macroeconómica, que incluye la Dirección de Información y Coyuntura; la Dirección de Modelos y Proyecciones; y la Dirección de Análisis del Sector Externo. Y la Dirección Nacional de Política Fiscal y de Ingresos, que incluye a la Dirección de Análisis de Política Fiscal y de Ingresos; y la Dirección de Gestión de Políticas de Ingreso. </w:t>
      </w:r>
    </w:p>
    <w:p w:rsidR="00CA5B7C" w:rsidRPr="00F237BB" w:rsidRDefault="00CA5B7C" w:rsidP="00C60E00">
      <w:pPr>
        <w:rPr>
          <w:rFonts w:ascii="Arial" w:hAnsi="Arial" w:cs="Arial"/>
        </w:rPr>
      </w:pPr>
    </w:p>
    <w:p w:rsidR="006F34B0" w:rsidRPr="00F237BB" w:rsidRDefault="006F34B0" w:rsidP="006F34B0">
      <w:pPr>
        <w:pStyle w:val="ListParagraph"/>
        <w:numPr>
          <w:ilvl w:val="0"/>
          <w:numId w:val="14"/>
        </w:numPr>
        <w:ind w:left="567" w:hanging="567"/>
        <w:rPr>
          <w:rFonts w:ascii="Arial" w:hAnsi="Arial" w:cs="Arial"/>
        </w:rPr>
      </w:pPr>
      <w:bookmarkStart w:id="3" w:name="_Ref289360369"/>
      <w:r w:rsidRPr="00F237BB">
        <w:rPr>
          <w:rFonts w:ascii="Arial" w:hAnsi="Arial" w:cs="Arial"/>
        </w:rPr>
        <w:t xml:space="preserve">Por mandato legal, la </w:t>
      </w:r>
      <w:proofErr w:type="spellStart"/>
      <w:r w:rsidRPr="00F237BB">
        <w:rPr>
          <w:rFonts w:ascii="Arial" w:hAnsi="Arial" w:cs="Arial"/>
        </w:rPr>
        <w:t>SPE</w:t>
      </w:r>
      <w:r w:rsidR="00087F2B" w:rsidRPr="00F237BB">
        <w:rPr>
          <w:rFonts w:ascii="Arial" w:hAnsi="Arial" w:cs="Arial"/>
        </w:rPr>
        <w:t>yPD</w:t>
      </w:r>
      <w:proofErr w:type="spellEnd"/>
      <w:r w:rsidRPr="00F237BB">
        <w:rPr>
          <w:rFonts w:ascii="Arial" w:hAnsi="Arial" w:cs="Arial"/>
        </w:rPr>
        <w:t xml:space="preserve"> en su conjunto, y a través de sus subsecretarías y direcciones nacionales, debe desempeñar un rol central en todo lo referido a la gestión del ciclo de políticas económicas, incluyendo como tal la función de coordinación con otras secretarías de Estado del </w:t>
      </w:r>
      <w:proofErr w:type="spellStart"/>
      <w:r w:rsidR="00F86B3F" w:rsidRPr="00F237BB">
        <w:rPr>
          <w:rFonts w:ascii="Arial" w:hAnsi="Arial" w:cs="Arial"/>
        </w:rPr>
        <w:t>MHyFP</w:t>
      </w:r>
      <w:proofErr w:type="spellEnd"/>
      <w:r w:rsidRPr="00F237BB">
        <w:rPr>
          <w:rFonts w:ascii="Arial" w:hAnsi="Arial" w:cs="Arial"/>
        </w:rPr>
        <w:t xml:space="preserve"> y con demás instancias sectoriales externas al </w:t>
      </w:r>
      <w:proofErr w:type="spellStart"/>
      <w:r w:rsidR="00F86B3F" w:rsidRPr="00F237BB">
        <w:rPr>
          <w:rFonts w:ascii="Arial" w:hAnsi="Arial" w:cs="Arial"/>
        </w:rPr>
        <w:t>MHyFP</w:t>
      </w:r>
      <w:proofErr w:type="spellEnd"/>
      <w:r w:rsidRPr="00F237BB">
        <w:rPr>
          <w:rFonts w:ascii="Arial" w:hAnsi="Arial" w:cs="Arial"/>
        </w:rPr>
        <w:t xml:space="preserve">, tanto del propio Ejecutivo como con otras jurisdicciones externas al Ejecutivo nacional (provincias, por ejemplo). La cuestión que se plantea es si las actuales capacidades de la </w:t>
      </w:r>
      <w:proofErr w:type="spellStart"/>
      <w:r w:rsidRPr="00F237BB">
        <w:rPr>
          <w:rFonts w:ascii="Arial" w:hAnsi="Arial" w:cs="Arial"/>
        </w:rPr>
        <w:t>SPE</w:t>
      </w:r>
      <w:r w:rsidR="00087F2B" w:rsidRPr="00F237BB">
        <w:rPr>
          <w:rFonts w:ascii="Arial" w:hAnsi="Arial" w:cs="Arial"/>
        </w:rPr>
        <w:t>yPD</w:t>
      </w:r>
      <w:proofErr w:type="spellEnd"/>
      <w:r w:rsidRPr="00F237BB">
        <w:rPr>
          <w:rFonts w:ascii="Arial" w:hAnsi="Arial" w:cs="Arial"/>
        </w:rPr>
        <w:t xml:space="preserve"> son suficientes para desempeñar este rol determinante en el diseño, coordinación, seguimiento y evaluación de las políticas económicas.</w:t>
      </w:r>
      <w:bookmarkEnd w:id="3"/>
    </w:p>
    <w:p w:rsidR="00733C24" w:rsidRPr="00F237BB" w:rsidRDefault="00733C24" w:rsidP="00F5490E">
      <w:pPr>
        <w:rPr>
          <w:rFonts w:ascii="Arial" w:hAnsi="Arial" w:cs="Arial"/>
        </w:rPr>
      </w:pPr>
    </w:p>
    <w:p w:rsidR="00F5490E" w:rsidRPr="00F237BB" w:rsidRDefault="00F5490E" w:rsidP="00F5490E">
      <w:pPr>
        <w:rPr>
          <w:rFonts w:ascii="Arial" w:hAnsi="Arial" w:cs="Arial"/>
        </w:rPr>
      </w:pPr>
    </w:p>
    <w:p w:rsidR="00733C24" w:rsidRPr="00F237BB" w:rsidRDefault="00B45ADC" w:rsidP="00733C24">
      <w:pPr>
        <w:pStyle w:val="Heading1"/>
        <w:rPr>
          <w:rFonts w:ascii="Arial" w:hAnsi="Arial" w:cs="Arial"/>
          <w:sz w:val="22"/>
          <w:szCs w:val="22"/>
        </w:rPr>
      </w:pPr>
      <w:bookmarkStart w:id="4" w:name="_Toc458521461"/>
      <w:r w:rsidRPr="00F237BB">
        <w:rPr>
          <w:rFonts w:ascii="Arial" w:hAnsi="Arial" w:cs="Arial"/>
          <w:sz w:val="22"/>
          <w:szCs w:val="22"/>
        </w:rPr>
        <w:t>Retos y desafíos</w:t>
      </w:r>
      <w:bookmarkEnd w:id="4"/>
    </w:p>
    <w:p w:rsidR="00733C24" w:rsidRPr="00F237BB" w:rsidRDefault="00733C24" w:rsidP="00406ECB">
      <w:pPr>
        <w:pStyle w:val="Heading2"/>
        <w:rPr>
          <w:rFonts w:ascii="Arial" w:hAnsi="Arial" w:cs="Arial"/>
          <w:sz w:val="22"/>
          <w:szCs w:val="22"/>
        </w:rPr>
      </w:pPr>
      <w:bookmarkStart w:id="5" w:name="_Ref290227029"/>
      <w:bookmarkStart w:id="6" w:name="_Toc458521462"/>
      <w:r w:rsidRPr="00F237BB">
        <w:rPr>
          <w:rFonts w:ascii="Arial" w:hAnsi="Arial" w:cs="Arial"/>
          <w:sz w:val="22"/>
          <w:szCs w:val="22"/>
        </w:rPr>
        <w:t>Nuevo contexto de políticas y desafíos</w:t>
      </w:r>
      <w:bookmarkEnd w:id="5"/>
      <w:bookmarkEnd w:id="6"/>
    </w:p>
    <w:p w:rsidR="006C0E9E" w:rsidRPr="00F237BB" w:rsidRDefault="00733C24" w:rsidP="00733C24">
      <w:pPr>
        <w:pStyle w:val="ListParagraph"/>
        <w:numPr>
          <w:ilvl w:val="0"/>
          <w:numId w:val="14"/>
        </w:numPr>
        <w:ind w:left="567" w:hanging="567"/>
        <w:rPr>
          <w:rFonts w:ascii="Arial" w:hAnsi="Arial" w:cs="Arial"/>
        </w:rPr>
      </w:pPr>
      <w:r w:rsidRPr="00F237BB">
        <w:rPr>
          <w:rFonts w:ascii="Arial" w:hAnsi="Arial" w:cs="Arial"/>
        </w:rPr>
        <w:t xml:space="preserve">Antes de responder a la cuestión planteada en el párrafo </w:t>
      </w:r>
      <w:r w:rsidR="008F5B03" w:rsidRPr="00F237BB">
        <w:rPr>
          <w:rFonts w:ascii="Arial" w:hAnsi="Arial" w:cs="Arial"/>
        </w:rPr>
        <w:fldChar w:fldCharType="begin"/>
      </w:r>
      <w:r w:rsidRPr="00F237BB">
        <w:rPr>
          <w:rFonts w:ascii="Arial" w:hAnsi="Arial" w:cs="Arial"/>
        </w:rPr>
        <w:instrText xml:space="preserve"> REF _Ref289360369 \r \h </w:instrText>
      </w:r>
      <w:r w:rsidR="00F237BB" w:rsidRPr="00F237BB">
        <w:rPr>
          <w:rFonts w:ascii="Arial" w:hAnsi="Arial" w:cs="Arial"/>
        </w:rPr>
        <w:instrText xml:space="preserve"> \* MERGEFORMAT </w:instrText>
      </w:r>
      <w:r w:rsidR="008F5B03" w:rsidRPr="00F237BB">
        <w:rPr>
          <w:rFonts w:ascii="Arial" w:hAnsi="Arial" w:cs="Arial"/>
        </w:rPr>
      </w:r>
      <w:r w:rsidR="008F5B03" w:rsidRPr="00F237BB">
        <w:rPr>
          <w:rFonts w:ascii="Arial" w:hAnsi="Arial" w:cs="Arial"/>
        </w:rPr>
        <w:fldChar w:fldCharType="separate"/>
      </w:r>
      <w:r w:rsidR="006143B7" w:rsidRPr="00F237BB">
        <w:rPr>
          <w:rFonts w:ascii="Arial" w:hAnsi="Arial" w:cs="Arial"/>
        </w:rPr>
        <w:t>13</w:t>
      </w:r>
      <w:r w:rsidR="008F5B03" w:rsidRPr="00F237BB">
        <w:rPr>
          <w:rFonts w:ascii="Arial" w:hAnsi="Arial" w:cs="Arial"/>
        </w:rPr>
        <w:fldChar w:fldCharType="end"/>
      </w:r>
      <w:r w:rsidR="00E06D5D" w:rsidRPr="00F237BB">
        <w:rPr>
          <w:rFonts w:ascii="Arial" w:hAnsi="Arial" w:cs="Arial"/>
        </w:rPr>
        <w:t xml:space="preserve"> y de entrar de lleno en el diagnóstico</w:t>
      </w:r>
      <w:r w:rsidR="00006784" w:rsidRPr="00F237BB">
        <w:rPr>
          <w:rFonts w:ascii="Arial" w:hAnsi="Arial" w:cs="Arial"/>
        </w:rPr>
        <w:t xml:space="preserve"> institucional</w:t>
      </w:r>
      <w:r w:rsidR="00E06D5D" w:rsidRPr="00F237BB">
        <w:rPr>
          <w:rFonts w:ascii="Arial" w:hAnsi="Arial" w:cs="Arial"/>
        </w:rPr>
        <w:t xml:space="preserve">, conviene hacer una breve reflexión sobre el contexto externo actual por el que está atravesando </w:t>
      </w:r>
      <w:r w:rsidR="00A001EF" w:rsidRPr="00F237BB">
        <w:rPr>
          <w:rFonts w:ascii="Arial" w:hAnsi="Arial" w:cs="Arial"/>
        </w:rPr>
        <w:t xml:space="preserve">la política económica argentina, las prioridades </w:t>
      </w:r>
      <w:r w:rsidR="00087F2B" w:rsidRPr="00F237BB">
        <w:rPr>
          <w:rFonts w:ascii="Arial" w:hAnsi="Arial" w:cs="Arial"/>
        </w:rPr>
        <w:t>de la nueva gestión de gobierno</w:t>
      </w:r>
      <w:r w:rsidR="00A001EF" w:rsidRPr="00F237BB">
        <w:rPr>
          <w:rFonts w:ascii="Arial" w:hAnsi="Arial" w:cs="Arial"/>
        </w:rPr>
        <w:t xml:space="preserve"> y los retos que todo ello puede suponer en la capacidad de respuesta de </w:t>
      </w:r>
      <w:r w:rsidR="00E06D5D" w:rsidRPr="00F237BB">
        <w:rPr>
          <w:rFonts w:ascii="Arial" w:hAnsi="Arial" w:cs="Arial"/>
        </w:rPr>
        <w:t xml:space="preserve">la </w:t>
      </w:r>
      <w:r w:rsidR="00217341" w:rsidRPr="00F237BB">
        <w:rPr>
          <w:rFonts w:ascii="Arial" w:hAnsi="Arial" w:cs="Arial"/>
        </w:rPr>
        <w:t>Secretaría de Política Económica y Planificación del Desarrollo</w:t>
      </w:r>
      <w:r w:rsidR="00006784" w:rsidRPr="00F237BB">
        <w:rPr>
          <w:rFonts w:ascii="Arial" w:hAnsi="Arial" w:cs="Arial"/>
        </w:rPr>
        <w:t>.</w:t>
      </w:r>
    </w:p>
    <w:p w:rsidR="00006784" w:rsidRPr="00F237BB" w:rsidRDefault="00006784" w:rsidP="00006784">
      <w:pPr>
        <w:rPr>
          <w:rFonts w:ascii="Arial" w:hAnsi="Arial" w:cs="Arial"/>
        </w:rPr>
      </w:pPr>
    </w:p>
    <w:p w:rsidR="00AF46E4" w:rsidRPr="00F237BB" w:rsidRDefault="00AF46E4" w:rsidP="00AF46E4">
      <w:pPr>
        <w:pStyle w:val="ListParagraph"/>
        <w:numPr>
          <w:ilvl w:val="0"/>
          <w:numId w:val="14"/>
        </w:numPr>
        <w:ind w:left="567" w:hanging="567"/>
        <w:rPr>
          <w:rFonts w:ascii="Arial" w:hAnsi="Arial" w:cs="Arial"/>
        </w:rPr>
      </w:pPr>
      <w:r w:rsidRPr="00F237BB">
        <w:rPr>
          <w:rFonts w:ascii="Arial" w:hAnsi="Arial" w:cs="Arial"/>
        </w:rPr>
        <w:t xml:space="preserve">Como es sabido, en el periodo 1998-2002 la economía argentina sufrió una fortísima crisis económica y social, que cuestionó todo el modelo de desarrollo que se había implementado hasta entonces. Durante los años subsiguientes, una parte muy importante de los esfuerzos de las autoridades argentinas fueron dedicados a tratar de recomponer los fundamentos económicos del país y mitigar los efectos sociales provocados por la larguísima crisis. </w:t>
      </w:r>
    </w:p>
    <w:p w:rsidR="00AF46E4" w:rsidRPr="00F237BB" w:rsidRDefault="00AF46E4" w:rsidP="00AF46E4">
      <w:pPr>
        <w:pStyle w:val="ListParagraph"/>
        <w:rPr>
          <w:rFonts w:ascii="Arial" w:hAnsi="Arial" w:cs="Arial"/>
        </w:rPr>
      </w:pPr>
    </w:p>
    <w:p w:rsidR="00AF46E4" w:rsidRPr="00F237BB" w:rsidRDefault="00AF46E4" w:rsidP="00AF46E4">
      <w:pPr>
        <w:pStyle w:val="ListParagraph"/>
        <w:numPr>
          <w:ilvl w:val="0"/>
          <w:numId w:val="14"/>
        </w:numPr>
        <w:ind w:left="567" w:hanging="567"/>
        <w:rPr>
          <w:rFonts w:ascii="Arial" w:hAnsi="Arial" w:cs="Arial"/>
        </w:rPr>
      </w:pPr>
      <w:r w:rsidRPr="00F237BB">
        <w:rPr>
          <w:rFonts w:ascii="Arial" w:hAnsi="Arial" w:cs="Arial"/>
        </w:rPr>
        <w:t>Para ello se pusieron en marcha un amplio conjunto de políticas económicas con el fin de revertir la situación, tanto para mejorar la cobertura efectiva de los sistemas de protección social como para asegurar condiciones macroeconómicas que posibilitaran la competitividad de la economía argentina en los mercados externos y al mismo tiempo impulsar la demanda interna. El PIB tuvo un crecimiento promedio del orden del 8% (2003-2008), aumento la inversión, cayó el desempleo y mejoraron las cuentas externas. Ello otorgó a la economía una mayor solidez para enfrentar la desaceleración económica fruto de la crisis mundial de los años 2007-2008, y retomar luego la senda de crecimiento.</w:t>
      </w:r>
    </w:p>
    <w:p w:rsidR="00087F2B" w:rsidRPr="00F237BB" w:rsidRDefault="00087F2B" w:rsidP="00C60E00">
      <w:pPr>
        <w:pStyle w:val="ListParagraph"/>
        <w:rPr>
          <w:rFonts w:ascii="Arial" w:hAnsi="Arial" w:cs="Arial"/>
        </w:rPr>
      </w:pPr>
    </w:p>
    <w:p w:rsidR="00087F2B" w:rsidRPr="00F237BB" w:rsidRDefault="00087F2B" w:rsidP="0011138B">
      <w:pPr>
        <w:pStyle w:val="ListParagraph"/>
        <w:numPr>
          <w:ilvl w:val="0"/>
          <w:numId w:val="14"/>
        </w:numPr>
        <w:ind w:left="567" w:hanging="567"/>
        <w:rPr>
          <w:rFonts w:ascii="Arial" w:hAnsi="Arial" w:cs="Arial"/>
        </w:rPr>
      </w:pPr>
      <w:r w:rsidRPr="00F237BB">
        <w:rPr>
          <w:rFonts w:ascii="Arial" w:hAnsi="Arial" w:cs="Arial"/>
        </w:rPr>
        <w:t>A partir del año 2009 se observó una desaceleración de la actividad económica</w:t>
      </w:r>
      <w:r w:rsidR="00CF3F94" w:rsidRPr="00F237BB">
        <w:rPr>
          <w:rFonts w:ascii="Arial" w:hAnsi="Arial" w:cs="Arial"/>
        </w:rPr>
        <w:t xml:space="preserve">, con el PIB creciendo apenas un 0.5%, y se empezó a evidenciar un </w:t>
      </w:r>
      <w:r w:rsidRPr="00F237BB">
        <w:rPr>
          <w:rFonts w:ascii="Arial" w:hAnsi="Arial" w:cs="Arial"/>
        </w:rPr>
        <w:t xml:space="preserve">deterioro </w:t>
      </w:r>
      <w:r w:rsidR="00CF3F94" w:rsidRPr="00F237BB">
        <w:rPr>
          <w:rFonts w:ascii="Arial" w:hAnsi="Arial" w:cs="Arial"/>
        </w:rPr>
        <w:t xml:space="preserve">paulatino </w:t>
      </w:r>
      <w:r w:rsidRPr="00F237BB">
        <w:rPr>
          <w:rFonts w:ascii="Arial" w:hAnsi="Arial" w:cs="Arial"/>
        </w:rPr>
        <w:t xml:space="preserve">de las cuentas </w:t>
      </w:r>
      <w:r w:rsidRPr="00F237BB">
        <w:rPr>
          <w:rFonts w:ascii="Arial" w:hAnsi="Arial" w:cs="Arial"/>
        </w:rPr>
        <w:lastRenderedPageBreak/>
        <w:t>públicas y el balance de cuentas externas</w:t>
      </w:r>
      <w:r w:rsidR="00CF3F94" w:rsidRPr="00F237BB">
        <w:rPr>
          <w:rFonts w:ascii="Arial" w:hAnsi="Arial" w:cs="Arial"/>
        </w:rPr>
        <w:t xml:space="preserve">, en el marco de la crisis financiera internacional. Durante los años 2010 y 2011, la economía argentina retomó su senda de crecimiento con tasas interanuales de crecimiento del PIB cercanas al 9%. Sin embargo, numerosas distorsiones en materia de política cambiaria y monetaria implicaron </w:t>
      </w:r>
      <w:r w:rsidR="002D721E" w:rsidRPr="00F237BB">
        <w:rPr>
          <w:rFonts w:ascii="Arial" w:hAnsi="Arial" w:cs="Arial"/>
        </w:rPr>
        <w:t xml:space="preserve">acentuar desbalances y cuellos de botella para la inversión y generación de empleo. Al mismo tiempo, se instauró un estricto régimen de control de cambios, que desdobló de manera ficticia el mercado de divisas, derivando en un tipo de cambio oficial y un tipo de cambio paralelo no legal. </w:t>
      </w:r>
      <w:r w:rsidR="00C756BD" w:rsidRPr="00F237BB">
        <w:rPr>
          <w:rFonts w:ascii="Arial" w:hAnsi="Arial" w:cs="Arial"/>
        </w:rPr>
        <w:t>La brecha entre ambos tipos de cambio alcanzó un 70%.</w:t>
      </w:r>
      <w:r w:rsidR="0011138B" w:rsidRPr="00F237BB">
        <w:rPr>
          <w:rFonts w:ascii="Arial" w:hAnsi="Arial" w:cs="Arial"/>
        </w:rPr>
        <w:t xml:space="preserve"> </w:t>
      </w:r>
      <w:r w:rsidR="00C756BD" w:rsidRPr="00F237BB">
        <w:rPr>
          <w:rFonts w:ascii="Arial" w:hAnsi="Arial" w:cs="Arial"/>
        </w:rPr>
        <w:t>Como consecuencia, en el período 2012-2015 el PIB creció apenas el 1.3% promedio interanual</w:t>
      </w:r>
      <w:r w:rsidR="004E403B" w:rsidRPr="00F237BB">
        <w:rPr>
          <w:rFonts w:ascii="Arial" w:hAnsi="Arial" w:cs="Arial"/>
        </w:rPr>
        <w:t xml:space="preserve"> y el resto de las variables macroeconómicas </w:t>
      </w:r>
      <w:r w:rsidR="00094B98" w:rsidRPr="00F237BB">
        <w:rPr>
          <w:rFonts w:ascii="Arial" w:hAnsi="Arial" w:cs="Arial"/>
        </w:rPr>
        <w:t>se deterioraron considerablemente.</w:t>
      </w:r>
    </w:p>
    <w:p w:rsidR="00AF46E4" w:rsidRPr="00F237BB" w:rsidRDefault="00AF46E4" w:rsidP="00AF46E4">
      <w:pPr>
        <w:pStyle w:val="ListParagraph"/>
        <w:rPr>
          <w:rFonts w:ascii="Arial" w:hAnsi="Arial" w:cs="Arial"/>
        </w:rPr>
      </w:pPr>
    </w:p>
    <w:p w:rsidR="00AF46E4" w:rsidRPr="00F237BB" w:rsidRDefault="00FE2AFE" w:rsidP="00C60E00">
      <w:pPr>
        <w:pStyle w:val="ListParagraph"/>
        <w:numPr>
          <w:ilvl w:val="0"/>
          <w:numId w:val="14"/>
        </w:numPr>
        <w:ind w:left="567" w:hanging="567"/>
        <w:rPr>
          <w:rFonts w:ascii="Arial" w:hAnsi="Arial" w:cs="Arial"/>
        </w:rPr>
      </w:pPr>
      <w:r w:rsidRPr="00F237BB">
        <w:rPr>
          <w:rFonts w:ascii="Arial" w:hAnsi="Arial" w:cs="Arial"/>
        </w:rPr>
        <w:t xml:space="preserve">El nuevo mandato Presidencial iniciado en diciembre de 2015 marcó el inicio de una serie cambios a nivel del ordenamiento de diversas áreas de gobierno pertenecientes al Poder Ejecutivo Nacional para impulsar </w:t>
      </w:r>
      <w:r w:rsidR="00837DF5" w:rsidRPr="00F237BB">
        <w:rPr>
          <w:rFonts w:ascii="Arial" w:hAnsi="Arial" w:cs="Arial"/>
        </w:rPr>
        <w:t>dimensiones</w:t>
      </w:r>
      <w:r w:rsidRPr="00F237BB">
        <w:rPr>
          <w:rFonts w:ascii="Arial" w:hAnsi="Arial" w:cs="Arial"/>
        </w:rPr>
        <w:t xml:space="preserve"> de política priorizadas por la nueva gestión. En consecuencia, se modificó la Ley de Ministerios</w:t>
      </w:r>
      <w:r w:rsidR="00A5065E" w:rsidRPr="00F237BB">
        <w:rPr>
          <w:rFonts w:ascii="Arial" w:hAnsi="Arial" w:cs="Arial"/>
          <w:vertAlign w:val="superscript"/>
        </w:rPr>
        <w:footnoteReference w:id="3"/>
      </w:r>
      <w:r w:rsidRPr="00F237BB">
        <w:rPr>
          <w:rFonts w:ascii="Arial" w:hAnsi="Arial" w:cs="Arial"/>
        </w:rPr>
        <w:t xml:space="preserve">, creando nuevos ministerios </w:t>
      </w:r>
      <w:r w:rsidR="00837DF5" w:rsidRPr="00F237BB">
        <w:rPr>
          <w:rFonts w:ascii="Arial" w:hAnsi="Arial" w:cs="Arial"/>
        </w:rPr>
        <w:t xml:space="preserve">(aumentó el número total a veinte) </w:t>
      </w:r>
      <w:r w:rsidRPr="00F237BB">
        <w:rPr>
          <w:rFonts w:ascii="Arial" w:hAnsi="Arial" w:cs="Arial"/>
        </w:rPr>
        <w:t xml:space="preserve">y reasignando competencias entre las unidades. </w:t>
      </w:r>
      <w:r w:rsidR="00A5065E" w:rsidRPr="00F237BB">
        <w:rPr>
          <w:rFonts w:ascii="Arial" w:hAnsi="Arial" w:cs="Arial"/>
        </w:rPr>
        <w:t xml:space="preserve">En lo referente al </w:t>
      </w:r>
      <w:r w:rsidR="00837DF5" w:rsidRPr="00F237BB">
        <w:rPr>
          <w:rFonts w:ascii="Arial" w:hAnsi="Arial" w:cs="Arial"/>
        </w:rPr>
        <w:t xml:space="preserve">actual </w:t>
      </w:r>
      <w:r w:rsidR="00217341" w:rsidRPr="00F237BB">
        <w:rPr>
          <w:rFonts w:ascii="Arial" w:hAnsi="Arial" w:cs="Arial"/>
        </w:rPr>
        <w:t>Ministerio de Hacienda</w:t>
      </w:r>
      <w:r w:rsidR="00AF46E4" w:rsidRPr="00F237BB">
        <w:rPr>
          <w:rFonts w:ascii="Arial" w:hAnsi="Arial" w:cs="Arial"/>
        </w:rPr>
        <w:t xml:space="preserve"> y Finanzas Públicas (</w:t>
      </w:r>
      <w:proofErr w:type="spellStart"/>
      <w:r w:rsidR="00F86B3F" w:rsidRPr="00F237BB">
        <w:rPr>
          <w:rFonts w:ascii="Arial" w:hAnsi="Arial" w:cs="Arial"/>
        </w:rPr>
        <w:t>MHyFP</w:t>
      </w:r>
      <w:proofErr w:type="spellEnd"/>
      <w:r w:rsidR="00AF46E4" w:rsidRPr="00F237BB">
        <w:rPr>
          <w:rFonts w:ascii="Arial" w:hAnsi="Arial" w:cs="Arial"/>
        </w:rPr>
        <w:t>)</w:t>
      </w:r>
      <w:r w:rsidR="00A5065E" w:rsidRPr="00F237BB">
        <w:rPr>
          <w:rFonts w:ascii="Arial" w:hAnsi="Arial" w:cs="Arial"/>
        </w:rPr>
        <w:t xml:space="preserve">, se cambió </w:t>
      </w:r>
      <w:r w:rsidR="00837DF5" w:rsidRPr="00F237BB">
        <w:rPr>
          <w:rFonts w:ascii="Arial" w:hAnsi="Arial" w:cs="Arial"/>
        </w:rPr>
        <w:t xml:space="preserve">su denominación (antes Ministerio de Economía y Finanzas Públicas – MECON), se modificaron las Secretarias y se realizó el traspaso de algunas competencias a la órbita del Ministerio de Producción (MPROD). Estas </w:t>
      </w:r>
      <w:r w:rsidR="00AF46E4" w:rsidRPr="00F237BB">
        <w:rPr>
          <w:rFonts w:ascii="Arial" w:hAnsi="Arial" w:cs="Arial"/>
        </w:rPr>
        <w:t>modificaciones si bien ofrecen mayor especialización sectorial, plantean desafíos importantes a los esfuerzos de coordinación intersectorial.</w:t>
      </w:r>
    </w:p>
    <w:p w:rsidR="00AF46E4" w:rsidRPr="00F237BB" w:rsidRDefault="00AF46E4" w:rsidP="00AF46E4">
      <w:pPr>
        <w:pStyle w:val="ListParagraph"/>
        <w:rPr>
          <w:rFonts w:ascii="Arial" w:hAnsi="Arial" w:cs="Arial"/>
        </w:rPr>
      </w:pPr>
    </w:p>
    <w:p w:rsidR="00F42B0E" w:rsidRPr="00F237BB" w:rsidRDefault="00CF3F94" w:rsidP="00631711">
      <w:pPr>
        <w:pStyle w:val="ListParagraph"/>
        <w:numPr>
          <w:ilvl w:val="0"/>
          <w:numId w:val="14"/>
        </w:numPr>
        <w:ind w:left="567" w:hanging="567"/>
        <w:rPr>
          <w:rFonts w:ascii="Arial" w:hAnsi="Arial" w:cs="Arial"/>
        </w:rPr>
      </w:pPr>
      <w:r w:rsidRPr="00F237BB">
        <w:rPr>
          <w:rFonts w:ascii="Arial" w:hAnsi="Arial" w:cs="Arial"/>
        </w:rPr>
        <w:t>Con el inicio de la nueva gestión</w:t>
      </w:r>
      <w:r w:rsidR="00F42B0E" w:rsidRPr="00F237BB">
        <w:rPr>
          <w:rFonts w:ascii="Arial" w:hAnsi="Arial" w:cs="Arial"/>
        </w:rPr>
        <w:t xml:space="preserve">, las distintas instituciones del </w:t>
      </w:r>
      <w:r w:rsidRPr="00F237BB">
        <w:rPr>
          <w:rFonts w:ascii="Arial" w:hAnsi="Arial" w:cs="Arial"/>
        </w:rPr>
        <w:t xml:space="preserve">Poder </w:t>
      </w:r>
      <w:r w:rsidR="00F42B0E" w:rsidRPr="00F237BB">
        <w:rPr>
          <w:rFonts w:ascii="Arial" w:hAnsi="Arial" w:cs="Arial"/>
        </w:rPr>
        <w:t>Ejecutivo</w:t>
      </w:r>
      <w:r w:rsidRPr="00F237BB">
        <w:rPr>
          <w:rFonts w:ascii="Arial" w:hAnsi="Arial" w:cs="Arial"/>
        </w:rPr>
        <w:t xml:space="preserve"> Nacional</w:t>
      </w:r>
      <w:r w:rsidR="00F42B0E" w:rsidRPr="00F237BB">
        <w:rPr>
          <w:rFonts w:ascii="Arial" w:hAnsi="Arial" w:cs="Arial"/>
        </w:rPr>
        <w:t xml:space="preserve"> responsables de definición y ejecución de las políticas sectoriales, han comenzado a elaborar diferentes planes de desarrollo de mediano y largo plazo. </w:t>
      </w:r>
      <w:r w:rsidRPr="00F237BB">
        <w:rPr>
          <w:rFonts w:ascii="Arial" w:hAnsi="Arial" w:cs="Arial"/>
        </w:rPr>
        <w:t xml:space="preserve">Al mismo tiempo aún se encuentran vigentes </w:t>
      </w:r>
      <w:r w:rsidR="00F42B0E" w:rsidRPr="00F237BB">
        <w:rPr>
          <w:rFonts w:ascii="Arial" w:hAnsi="Arial" w:cs="Arial"/>
        </w:rPr>
        <w:t xml:space="preserve">estrategias </w:t>
      </w:r>
      <w:r w:rsidRPr="00F237BB">
        <w:rPr>
          <w:rFonts w:ascii="Arial" w:hAnsi="Arial" w:cs="Arial"/>
        </w:rPr>
        <w:t>desarrolladas en años anteriores vinculadas a</w:t>
      </w:r>
      <w:r w:rsidR="000E1099" w:rsidRPr="00F237BB">
        <w:rPr>
          <w:rFonts w:ascii="Arial" w:hAnsi="Arial" w:cs="Arial"/>
        </w:rPr>
        <w:t xml:space="preserve"> </w:t>
      </w:r>
      <w:r w:rsidR="00F42B0E" w:rsidRPr="00F237BB">
        <w:rPr>
          <w:rFonts w:ascii="Arial" w:hAnsi="Arial" w:cs="Arial"/>
        </w:rPr>
        <w:t xml:space="preserve">los sectores de </w:t>
      </w:r>
      <w:r w:rsidR="00CB00B0" w:rsidRPr="00F237BB">
        <w:rPr>
          <w:rFonts w:ascii="Arial" w:hAnsi="Arial" w:cs="Arial"/>
        </w:rPr>
        <w:t>industria, turismo, desarrollo territorial, ciencia y tecnología, energía, agroalimentación y medio ambiente.</w:t>
      </w:r>
      <w:r w:rsidR="00133D9F" w:rsidRPr="00F237BB">
        <w:rPr>
          <w:rStyle w:val="FootnoteReference"/>
          <w:rFonts w:ascii="Arial" w:hAnsi="Arial" w:cs="Arial"/>
          <w:sz w:val="22"/>
        </w:rPr>
        <w:footnoteReference w:id="4"/>
      </w:r>
      <w:r w:rsidR="00CB00B0" w:rsidRPr="00F237BB">
        <w:rPr>
          <w:rFonts w:ascii="Arial" w:hAnsi="Arial" w:cs="Arial"/>
        </w:rPr>
        <w:t xml:space="preserve"> </w:t>
      </w:r>
    </w:p>
    <w:p w:rsidR="00F42B0E" w:rsidRPr="00F237BB" w:rsidRDefault="00F42B0E" w:rsidP="00F42B0E">
      <w:pPr>
        <w:pStyle w:val="ListParagraph"/>
        <w:rPr>
          <w:rFonts w:ascii="Arial" w:hAnsi="Arial" w:cs="Arial"/>
        </w:rPr>
      </w:pPr>
    </w:p>
    <w:p w:rsidR="00DF5993" w:rsidRPr="00F237BB" w:rsidRDefault="00CB00B0" w:rsidP="00631711">
      <w:pPr>
        <w:pStyle w:val="ListParagraph"/>
        <w:numPr>
          <w:ilvl w:val="0"/>
          <w:numId w:val="14"/>
        </w:numPr>
        <w:ind w:left="567" w:hanging="567"/>
        <w:rPr>
          <w:rFonts w:ascii="Arial" w:hAnsi="Arial" w:cs="Arial"/>
        </w:rPr>
      </w:pPr>
      <w:r w:rsidRPr="00F237BB">
        <w:rPr>
          <w:rFonts w:ascii="Arial" w:hAnsi="Arial" w:cs="Arial"/>
        </w:rPr>
        <w:t>E</w:t>
      </w:r>
      <w:r w:rsidR="0011138B" w:rsidRPr="00F237BB">
        <w:rPr>
          <w:rFonts w:ascii="Arial" w:hAnsi="Arial" w:cs="Arial"/>
        </w:rPr>
        <w:t xml:space="preserve">l nuevo ordenamiento de áreas de gobierno así como la definición de los planes estratégicos en diversas áreas, </w:t>
      </w:r>
      <w:r w:rsidRPr="00F237BB">
        <w:rPr>
          <w:rFonts w:ascii="Arial" w:hAnsi="Arial" w:cs="Arial"/>
        </w:rPr>
        <w:t xml:space="preserve">precisará reorientar una gran parte de las capacidades instaladas en la </w:t>
      </w:r>
      <w:proofErr w:type="spellStart"/>
      <w:r w:rsidRPr="00F237BB">
        <w:rPr>
          <w:rFonts w:ascii="Arial" w:hAnsi="Arial" w:cs="Arial"/>
        </w:rPr>
        <w:t>SPE</w:t>
      </w:r>
      <w:r w:rsidR="0011138B" w:rsidRPr="00F237BB">
        <w:rPr>
          <w:rFonts w:ascii="Arial" w:hAnsi="Arial" w:cs="Arial"/>
        </w:rPr>
        <w:t>yPD</w:t>
      </w:r>
      <w:proofErr w:type="spellEnd"/>
      <w:r w:rsidRPr="00F237BB">
        <w:rPr>
          <w:rFonts w:ascii="Arial" w:hAnsi="Arial" w:cs="Arial"/>
        </w:rPr>
        <w:t xml:space="preserve"> </w:t>
      </w:r>
      <w:r w:rsidR="00ED4409" w:rsidRPr="00F237BB">
        <w:rPr>
          <w:rFonts w:ascii="Arial" w:hAnsi="Arial" w:cs="Arial"/>
        </w:rPr>
        <w:t xml:space="preserve">y el </w:t>
      </w:r>
      <w:proofErr w:type="spellStart"/>
      <w:r w:rsidR="00F86B3F" w:rsidRPr="00F237BB">
        <w:rPr>
          <w:rFonts w:ascii="Arial" w:hAnsi="Arial" w:cs="Arial"/>
        </w:rPr>
        <w:t>MHyFP</w:t>
      </w:r>
      <w:proofErr w:type="spellEnd"/>
      <w:r w:rsidR="00ED4409" w:rsidRPr="00F237BB">
        <w:rPr>
          <w:rFonts w:ascii="Arial" w:hAnsi="Arial" w:cs="Arial"/>
        </w:rPr>
        <w:t xml:space="preserve"> </w:t>
      </w:r>
      <w:r w:rsidRPr="00F237BB">
        <w:rPr>
          <w:rFonts w:ascii="Arial" w:hAnsi="Arial" w:cs="Arial"/>
        </w:rPr>
        <w:t xml:space="preserve">a los nuevos desafíos, con el fin de fortalecer la función de la </w:t>
      </w:r>
      <w:proofErr w:type="spellStart"/>
      <w:r w:rsidRPr="00F237BB">
        <w:rPr>
          <w:rFonts w:ascii="Arial" w:hAnsi="Arial" w:cs="Arial"/>
        </w:rPr>
        <w:t>SPE</w:t>
      </w:r>
      <w:r w:rsidR="0011138B" w:rsidRPr="00F237BB">
        <w:rPr>
          <w:rFonts w:ascii="Arial" w:hAnsi="Arial" w:cs="Arial"/>
        </w:rPr>
        <w:t>yPD</w:t>
      </w:r>
      <w:proofErr w:type="spellEnd"/>
      <w:r w:rsidRPr="00F237BB">
        <w:rPr>
          <w:rFonts w:ascii="Arial" w:hAnsi="Arial" w:cs="Arial"/>
        </w:rPr>
        <w:t xml:space="preserve"> en la gestión del ciclo de políticas de mediano y largo plazo. </w:t>
      </w:r>
      <w:r w:rsidR="00EA1C78" w:rsidRPr="00F237BB">
        <w:rPr>
          <w:rFonts w:ascii="Arial" w:hAnsi="Arial" w:cs="Arial"/>
        </w:rPr>
        <w:t xml:space="preserve">Al mismo tiempo, y como consecuencia de los cambios habidos en el diseño institucional del </w:t>
      </w:r>
      <w:proofErr w:type="spellStart"/>
      <w:r w:rsidR="00F86B3F" w:rsidRPr="00F237BB">
        <w:rPr>
          <w:rFonts w:ascii="Arial" w:hAnsi="Arial" w:cs="Arial"/>
        </w:rPr>
        <w:t>MHyFP</w:t>
      </w:r>
      <w:proofErr w:type="spellEnd"/>
      <w:r w:rsidR="00EA1C78" w:rsidRPr="00F237BB">
        <w:rPr>
          <w:rFonts w:ascii="Arial" w:hAnsi="Arial" w:cs="Arial"/>
        </w:rPr>
        <w:t xml:space="preserve"> tras la creación de nuevos ministerios, se precisará de una mayor capacidad de coordinación intersectorial</w:t>
      </w:r>
      <w:r w:rsidR="004766AE" w:rsidRPr="00F237BB">
        <w:rPr>
          <w:rFonts w:ascii="Arial" w:hAnsi="Arial" w:cs="Arial"/>
        </w:rPr>
        <w:t xml:space="preserve"> con el fin de articular adecuadamente las políticas y estrategias sectoriales con el escenario macroeconómico de largo plazo.</w:t>
      </w:r>
    </w:p>
    <w:p w:rsidR="00DF5993" w:rsidRPr="00F237BB" w:rsidRDefault="00DF5993" w:rsidP="00DF5993">
      <w:pPr>
        <w:pStyle w:val="ListParagraph"/>
        <w:rPr>
          <w:rFonts w:ascii="Arial" w:hAnsi="Arial" w:cs="Arial"/>
        </w:rPr>
      </w:pPr>
    </w:p>
    <w:p w:rsidR="00631711" w:rsidRPr="00F237BB" w:rsidRDefault="00E30869" w:rsidP="00631711">
      <w:pPr>
        <w:pStyle w:val="ListParagraph"/>
        <w:numPr>
          <w:ilvl w:val="0"/>
          <w:numId w:val="14"/>
        </w:numPr>
        <w:ind w:left="567" w:hanging="567"/>
        <w:rPr>
          <w:rFonts w:ascii="Arial" w:hAnsi="Arial" w:cs="Arial"/>
        </w:rPr>
      </w:pPr>
      <w:r w:rsidRPr="00F237BB">
        <w:rPr>
          <w:rFonts w:ascii="Arial" w:hAnsi="Arial" w:cs="Arial"/>
        </w:rPr>
        <w:t xml:space="preserve">Esto significará muy probablemente modificar aspectos </w:t>
      </w:r>
      <w:r w:rsidR="00713613" w:rsidRPr="00F237BB">
        <w:rPr>
          <w:rFonts w:ascii="Arial" w:hAnsi="Arial" w:cs="Arial"/>
        </w:rPr>
        <w:t xml:space="preserve">internos </w:t>
      </w:r>
      <w:r w:rsidRPr="00F237BB">
        <w:rPr>
          <w:rFonts w:ascii="Arial" w:hAnsi="Arial" w:cs="Arial"/>
        </w:rPr>
        <w:t xml:space="preserve">relacionados con la gestión del conocimiento, de la información y de la capacidad de coordinación de políticas, tanto al interior como al exterior del </w:t>
      </w:r>
      <w:proofErr w:type="spellStart"/>
      <w:r w:rsidR="00F86B3F" w:rsidRPr="00F237BB">
        <w:rPr>
          <w:rFonts w:ascii="Arial" w:hAnsi="Arial" w:cs="Arial"/>
        </w:rPr>
        <w:t>MHyFP</w:t>
      </w:r>
      <w:proofErr w:type="spellEnd"/>
      <w:r w:rsidRPr="00F237BB">
        <w:rPr>
          <w:rFonts w:ascii="Arial" w:hAnsi="Arial" w:cs="Arial"/>
        </w:rPr>
        <w:t>. Por lo tanto, en el diagnóstico será necesario vi</w:t>
      </w:r>
      <w:r w:rsidR="00ED4409" w:rsidRPr="00F237BB">
        <w:rPr>
          <w:rFonts w:ascii="Arial" w:hAnsi="Arial" w:cs="Arial"/>
        </w:rPr>
        <w:t xml:space="preserve">sualizar la situación actual del Ministerio, con especial atención a </w:t>
      </w:r>
      <w:r w:rsidRPr="00F237BB">
        <w:rPr>
          <w:rFonts w:ascii="Arial" w:hAnsi="Arial" w:cs="Arial"/>
        </w:rPr>
        <w:t xml:space="preserve">la </w:t>
      </w:r>
      <w:r w:rsidR="00217341" w:rsidRPr="00F237BB">
        <w:rPr>
          <w:rFonts w:ascii="Arial" w:hAnsi="Arial" w:cs="Arial"/>
        </w:rPr>
        <w:t xml:space="preserve">Secretaría de Política </w:t>
      </w:r>
      <w:r w:rsidR="00217341" w:rsidRPr="00F237BB">
        <w:rPr>
          <w:rFonts w:ascii="Arial" w:hAnsi="Arial" w:cs="Arial"/>
        </w:rPr>
        <w:lastRenderedPageBreak/>
        <w:t>Económica y Planificación del Desarrollo</w:t>
      </w:r>
      <w:r w:rsidRPr="00F237BB">
        <w:rPr>
          <w:rFonts w:ascii="Arial" w:hAnsi="Arial" w:cs="Arial"/>
        </w:rPr>
        <w:t>, y sus necesidades futuras en el mencionado escenario.</w:t>
      </w:r>
    </w:p>
    <w:p w:rsidR="00006784" w:rsidRPr="00F237BB" w:rsidRDefault="00006784" w:rsidP="00006784">
      <w:pPr>
        <w:rPr>
          <w:rFonts w:ascii="Arial" w:hAnsi="Arial" w:cs="Arial"/>
        </w:rPr>
      </w:pPr>
    </w:p>
    <w:p w:rsidR="00E70D05" w:rsidRPr="00F237BB" w:rsidRDefault="00E70D05" w:rsidP="00006784">
      <w:pPr>
        <w:rPr>
          <w:rFonts w:ascii="Arial" w:hAnsi="Arial" w:cs="Arial"/>
        </w:rPr>
      </w:pPr>
    </w:p>
    <w:p w:rsidR="00E53131" w:rsidRPr="00F237BB" w:rsidRDefault="004A595A" w:rsidP="00406ECB">
      <w:pPr>
        <w:pStyle w:val="Heading2"/>
        <w:rPr>
          <w:rFonts w:ascii="Arial" w:hAnsi="Arial" w:cs="Arial"/>
          <w:sz w:val="22"/>
          <w:szCs w:val="22"/>
        </w:rPr>
      </w:pPr>
      <w:bookmarkStart w:id="7" w:name="_Ref290220270"/>
      <w:bookmarkStart w:id="8" w:name="_Ref290222218"/>
      <w:bookmarkStart w:id="9" w:name="_Toc458521463"/>
      <w:r w:rsidRPr="00F237BB">
        <w:rPr>
          <w:rFonts w:ascii="Arial" w:hAnsi="Arial" w:cs="Arial"/>
          <w:sz w:val="22"/>
          <w:szCs w:val="22"/>
        </w:rPr>
        <w:t xml:space="preserve">La gestión jurídica de las causas contra el </w:t>
      </w:r>
      <w:bookmarkEnd w:id="7"/>
      <w:bookmarkEnd w:id="8"/>
      <w:proofErr w:type="spellStart"/>
      <w:r w:rsidR="00F86B3F" w:rsidRPr="00F237BB">
        <w:rPr>
          <w:rFonts w:ascii="Arial" w:hAnsi="Arial" w:cs="Arial"/>
          <w:sz w:val="22"/>
          <w:szCs w:val="22"/>
        </w:rPr>
        <w:t>MHyFP</w:t>
      </w:r>
      <w:bookmarkEnd w:id="9"/>
      <w:proofErr w:type="spellEnd"/>
    </w:p>
    <w:p w:rsidR="00E53131" w:rsidRPr="00F237BB" w:rsidRDefault="00E70D05" w:rsidP="00E70D05">
      <w:pPr>
        <w:pStyle w:val="ListParagraph"/>
        <w:numPr>
          <w:ilvl w:val="0"/>
          <w:numId w:val="14"/>
        </w:numPr>
        <w:ind w:left="567" w:hanging="567"/>
        <w:rPr>
          <w:rFonts w:ascii="Arial" w:hAnsi="Arial" w:cs="Arial"/>
        </w:rPr>
      </w:pPr>
      <w:r w:rsidRPr="00F237BB">
        <w:rPr>
          <w:rFonts w:ascii="Arial" w:hAnsi="Arial" w:cs="Arial"/>
        </w:rPr>
        <w:t xml:space="preserve">Uno de los aspectos insuficientemente valorados, pero sin duda de gran importancia </w:t>
      </w:r>
      <w:r w:rsidR="00FB14C6" w:rsidRPr="00F237BB">
        <w:rPr>
          <w:rFonts w:ascii="Arial" w:hAnsi="Arial" w:cs="Arial"/>
        </w:rPr>
        <w:t>por</w:t>
      </w:r>
      <w:r w:rsidRPr="00F237BB">
        <w:rPr>
          <w:rFonts w:ascii="Arial" w:hAnsi="Arial" w:cs="Arial"/>
        </w:rPr>
        <w:t xml:space="preserve"> su eventual impacto fiscal</w:t>
      </w:r>
      <w:r w:rsidR="009E35B0" w:rsidRPr="00F237BB">
        <w:rPr>
          <w:rFonts w:ascii="Arial" w:hAnsi="Arial" w:cs="Arial"/>
        </w:rPr>
        <w:t xml:space="preserve"> en el mediano plazo</w:t>
      </w:r>
      <w:r w:rsidRPr="00F237BB">
        <w:rPr>
          <w:rFonts w:ascii="Arial" w:hAnsi="Arial" w:cs="Arial"/>
        </w:rPr>
        <w:t>, son los juicios contra el Estado que están siendo asumidos por la Dirección General de Asuntos Jurídicos.</w:t>
      </w:r>
      <w:r w:rsidR="00221588" w:rsidRPr="00F237BB">
        <w:rPr>
          <w:rStyle w:val="FootnoteReference"/>
          <w:rFonts w:ascii="Arial" w:hAnsi="Arial" w:cs="Arial"/>
          <w:sz w:val="22"/>
        </w:rPr>
        <w:footnoteReference w:id="5"/>
      </w:r>
      <w:r w:rsidRPr="00F237BB">
        <w:rPr>
          <w:rFonts w:ascii="Arial" w:hAnsi="Arial" w:cs="Arial"/>
        </w:rPr>
        <w:t xml:space="preserve"> Esta unidad administrativa, </w:t>
      </w:r>
      <w:r w:rsidR="00221588" w:rsidRPr="00F237BB">
        <w:rPr>
          <w:rFonts w:ascii="Arial" w:hAnsi="Arial" w:cs="Arial"/>
        </w:rPr>
        <w:t>integrada en</w:t>
      </w:r>
      <w:r w:rsidR="006752B3" w:rsidRPr="00F237BB">
        <w:rPr>
          <w:rFonts w:ascii="Arial" w:hAnsi="Arial" w:cs="Arial"/>
        </w:rPr>
        <w:t xml:space="preserve"> la Subsecretaría Legal, </w:t>
      </w:r>
      <w:r w:rsidRPr="00F237BB">
        <w:rPr>
          <w:rFonts w:ascii="Arial" w:hAnsi="Arial" w:cs="Arial"/>
        </w:rPr>
        <w:t xml:space="preserve">dependiente de la Secretaría Legal y Administrativa del </w:t>
      </w:r>
      <w:r w:rsidR="00CF3F94" w:rsidRPr="00F237BB">
        <w:rPr>
          <w:rFonts w:ascii="Arial" w:hAnsi="Arial" w:cs="Arial"/>
        </w:rPr>
        <w:t>M</w:t>
      </w:r>
      <w:r w:rsidRPr="00F237BB">
        <w:rPr>
          <w:rFonts w:ascii="Arial" w:hAnsi="Arial" w:cs="Arial"/>
        </w:rPr>
        <w:t>inisterio, ejerce tres funciones principales:</w:t>
      </w:r>
    </w:p>
    <w:p w:rsidR="00E70D05" w:rsidRPr="00F237BB" w:rsidRDefault="00E70D05" w:rsidP="00E70D05">
      <w:pPr>
        <w:rPr>
          <w:rFonts w:ascii="Arial" w:hAnsi="Arial" w:cs="Arial"/>
        </w:rPr>
      </w:pPr>
    </w:p>
    <w:p w:rsidR="00E70D05" w:rsidRPr="00F237BB" w:rsidRDefault="00FB14C6" w:rsidP="00236E66">
      <w:pPr>
        <w:pStyle w:val="ListParagraph"/>
        <w:numPr>
          <w:ilvl w:val="0"/>
          <w:numId w:val="19"/>
        </w:numPr>
        <w:rPr>
          <w:rFonts w:ascii="Arial" w:hAnsi="Arial" w:cs="Arial"/>
        </w:rPr>
      </w:pPr>
      <w:r w:rsidRPr="00F237BB">
        <w:rPr>
          <w:rFonts w:ascii="Arial" w:hAnsi="Arial" w:cs="Arial"/>
        </w:rPr>
        <w:t>En primer lugar, ejerce</w:t>
      </w:r>
      <w:r w:rsidR="00E70D05" w:rsidRPr="00F237BB">
        <w:rPr>
          <w:rFonts w:ascii="Arial" w:hAnsi="Arial" w:cs="Arial"/>
        </w:rPr>
        <w:t xml:space="preserve"> el </w:t>
      </w:r>
      <w:r w:rsidR="00E70D05" w:rsidRPr="00F237BB">
        <w:rPr>
          <w:rFonts w:ascii="Arial" w:hAnsi="Arial" w:cs="Arial"/>
          <w:i/>
        </w:rPr>
        <w:t>control previo de legalidad</w:t>
      </w:r>
      <w:r w:rsidR="00E70D05" w:rsidRPr="00F237BB">
        <w:rPr>
          <w:rFonts w:ascii="Arial" w:hAnsi="Arial" w:cs="Arial"/>
        </w:rPr>
        <w:t xml:space="preserve"> en aquellos actos o decisiones de carácter administrativo que requieran de forma imperativa, de acuerdo con el procedimiento administrativo establecido en la normativa vigente, el visto bueno de un departamento legal, en este caso la DGAJ. Este tipo de actividad está vinculado frecuentemente a la revisión de la legalidad de contratos o convenios. </w:t>
      </w:r>
      <w:r w:rsidR="00F40079" w:rsidRPr="00F237BB">
        <w:rPr>
          <w:rFonts w:ascii="Arial" w:hAnsi="Arial" w:cs="Arial"/>
        </w:rPr>
        <w:t>Esta función es esencial en la prevención de potenciales litigios contra el Estado.</w:t>
      </w:r>
    </w:p>
    <w:p w:rsidR="00E70D05" w:rsidRPr="00F237BB" w:rsidRDefault="00F40079" w:rsidP="00236E66">
      <w:pPr>
        <w:pStyle w:val="ListParagraph"/>
        <w:numPr>
          <w:ilvl w:val="0"/>
          <w:numId w:val="19"/>
        </w:numPr>
        <w:rPr>
          <w:rFonts w:ascii="Arial" w:hAnsi="Arial" w:cs="Arial"/>
        </w:rPr>
      </w:pPr>
      <w:r w:rsidRPr="00F237BB">
        <w:rPr>
          <w:rFonts w:ascii="Arial" w:hAnsi="Arial" w:cs="Arial"/>
        </w:rPr>
        <w:t xml:space="preserve">En segundo lugar, </w:t>
      </w:r>
      <w:r w:rsidRPr="00F237BB">
        <w:rPr>
          <w:rFonts w:ascii="Arial" w:hAnsi="Arial" w:cs="Arial"/>
          <w:i/>
        </w:rPr>
        <w:t>asesora a las autoridades</w:t>
      </w:r>
      <w:r w:rsidRPr="00F237BB">
        <w:rPr>
          <w:rFonts w:ascii="Arial" w:hAnsi="Arial" w:cs="Arial"/>
        </w:rPr>
        <w:t xml:space="preserve"> del </w:t>
      </w:r>
      <w:proofErr w:type="spellStart"/>
      <w:r w:rsidR="00F86B3F" w:rsidRPr="00F237BB">
        <w:rPr>
          <w:rFonts w:ascii="Arial" w:hAnsi="Arial" w:cs="Arial"/>
        </w:rPr>
        <w:t>MHyFP</w:t>
      </w:r>
      <w:proofErr w:type="spellEnd"/>
      <w:r w:rsidRPr="00F237BB">
        <w:rPr>
          <w:rFonts w:ascii="Arial" w:hAnsi="Arial" w:cs="Arial"/>
        </w:rPr>
        <w:t xml:space="preserve"> en las consultas legales que puedan solicitarse en el proceso de toma de decisiones. Normalmente este tipo de actividad de asesoramiento surge de forma no programada y sin contenido preestablecido, y debe proveer a las autoridades respuestas sólidas y oportunas. Tiene un fuerte componente de prevención del daño antijurídico.</w:t>
      </w:r>
    </w:p>
    <w:p w:rsidR="00F40079" w:rsidRPr="00F237BB" w:rsidRDefault="00F40079" w:rsidP="00236E66">
      <w:pPr>
        <w:pStyle w:val="ListParagraph"/>
        <w:numPr>
          <w:ilvl w:val="0"/>
          <w:numId w:val="19"/>
        </w:numPr>
        <w:rPr>
          <w:rFonts w:ascii="Arial" w:hAnsi="Arial" w:cs="Arial"/>
        </w:rPr>
      </w:pPr>
      <w:r w:rsidRPr="00F237BB">
        <w:rPr>
          <w:rFonts w:ascii="Arial" w:hAnsi="Arial" w:cs="Arial"/>
        </w:rPr>
        <w:t xml:space="preserve">Y por último, en tercer lugar, </w:t>
      </w:r>
      <w:r w:rsidRPr="00F237BB">
        <w:rPr>
          <w:rFonts w:ascii="Arial" w:hAnsi="Arial" w:cs="Arial"/>
          <w:i/>
        </w:rPr>
        <w:t>ejerce</w:t>
      </w:r>
      <w:r w:rsidRPr="00F237BB">
        <w:rPr>
          <w:rFonts w:ascii="Arial" w:hAnsi="Arial" w:cs="Arial"/>
        </w:rPr>
        <w:t xml:space="preserve"> por medio de los abogados del Estado </w:t>
      </w:r>
      <w:r w:rsidRPr="00F237BB">
        <w:rPr>
          <w:rFonts w:ascii="Arial" w:hAnsi="Arial" w:cs="Arial"/>
          <w:i/>
        </w:rPr>
        <w:t>la representación y defensa de los intereses del Estado</w:t>
      </w:r>
      <w:r w:rsidRPr="00F237BB">
        <w:rPr>
          <w:rFonts w:ascii="Arial" w:hAnsi="Arial" w:cs="Arial"/>
        </w:rPr>
        <w:t xml:space="preserve"> en aquellas causas en las que la DGAJ tiene asignada dicha responsabilidad.</w:t>
      </w:r>
      <w:r w:rsidR="00AF5FC3" w:rsidRPr="00F237BB">
        <w:rPr>
          <w:rStyle w:val="FootnoteReference"/>
          <w:rFonts w:ascii="Arial" w:hAnsi="Arial" w:cs="Arial"/>
          <w:sz w:val="22"/>
        </w:rPr>
        <w:footnoteReference w:id="6"/>
      </w:r>
      <w:r w:rsidRPr="00F237BB">
        <w:rPr>
          <w:rFonts w:ascii="Arial" w:hAnsi="Arial" w:cs="Arial"/>
        </w:rPr>
        <w:t xml:space="preserve"> Esta función es crucial por sus implicaciones en términos de costos fiscales para el Estado y su conversión en eventuales pasivos contingentes. </w:t>
      </w:r>
      <w:r w:rsidR="006752B3" w:rsidRPr="00F237BB">
        <w:rPr>
          <w:rFonts w:ascii="Arial" w:hAnsi="Arial" w:cs="Arial"/>
        </w:rPr>
        <w:t xml:space="preserve">Esta función recae básicamente sobre la </w:t>
      </w:r>
      <w:r w:rsidR="00D4409F" w:rsidRPr="00F237BB">
        <w:rPr>
          <w:rFonts w:ascii="Arial" w:hAnsi="Arial" w:cs="Arial"/>
        </w:rPr>
        <w:t xml:space="preserve">Dirección de Asuntos Judiciales de los Entes Liquidados y </w:t>
      </w:r>
      <w:r w:rsidR="006752B3" w:rsidRPr="00F237BB">
        <w:rPr>
          <w:rFonts w:ascii="Arial" w:hAnsi="Arial" w:cs="Arial"/>
        </w:rPr>
        <w:t>Direcció</w:t>
      </w:r>
      <w:r w:rsidR="00D4409F" w:rsidRPr="00F237BB">
        <w:rPr>
          <w:rFonts w:ascii="Arial" w:hAnsi="Arial" w:cs="Arial"/>
        </w:rPr>
        <w:t>n de Gestión y Control Judicial y absorbe gran parte de los recursos profesionales de la DGAJ.</w:t>
      </w:r>
    </w:p>
    <w:p w:rsidR="00E53131" w:rsidRPr="00F237BB" w:rsidRDefault="00E53131" w:rsidP="0043662C">
      <w:pPr>
        <w:pStyle w:val="ListParagraph"/>
        <w:ind w:left="567"/>
        <w:rPr>
          <w:rFonts w:ascii="Arial" w:hAnsi="Arial" w:cs="Arial"/>
        </w:rPr>
      </w:pPr>
    </w:p>
    <w:p w:rsidR="00DA0BA3" w:rsidRPr="00F237BB" w:rsidRDefault="00DA0BA3" w:rsidP="00DA0BA3">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6143B7" w:rsidRPr="00F237BB">
        <w:rPr>
          <w:rFonts w:ascii="Arial" w:hAnsi="Arial" w:cs="Arial"/>
          <w:noProof/>
          <w:sz w:val="22"/>
          <w:szCs w:val="22"/>
        </w:rPr>
        <w:t>1</w:t>
      </w:r>
      <w:r w:rsidR="00F237BB" w:rsidRPr="00F237BB">
        <w:rPr>
          <w:rFonts w:ascii="Arial" w:hAnsi="Arial" w:cs="Arial"/>
          <w:noProof/>
          <w:sz w:val="22"/>
          <w:szCs w:val="22"/>
        </w:rPr>
        <w:fldChar w:fldCharType="end"/>
      </w:r>
      <w:r w:rsidRPr="00F237BB">
        <w:rPr>
          <w:rFonts w:ascii="Arial" w:hAnsi="Arial" w:cs="Arial"/>
          <w:sz w:val="22"/>
          <w:szCs w:val="22"/>
        </w:rPr>
        <w:t xml:space="preserve"> – Distribución del personal de la DGAJ por categorías profesionales</w:t>
      </w:r>
    </w:p>
    <w:tbl>
      <w:tblPr>
        <w:tblW w:w="8789" w:type="dxa"/>
        <w:tblInd w:w="637" w:type="dxa"/>
        <w:tblLayout w:type="fixed"/>
        <w:tblCellMar>
          <w:left w:w="70" w:type="dxa"/>
          <w:right w:w="70" w:type="dxa"/>
        </w:tblCellMar>
        <w:tblLook w:val="04A0" w:firstRow="1" w:lastRow="0" w:firstColumn="1" w:lastColumn="0" w:noHBand="0" w:noVBand="1"/>
      </w:tblPr>
      <w:tblGrid>
        <w:gridCol w:w="2694"/>
        <w:gridCol w:w="706"/>
        <w:gridCol w:w="853"/>
        <w:gridCol w:w="709"/>
        <w:gridCol w:w="850"/>
        <w:gridCol w:w="851"/>
        <w:gridCol w:w="708"/>
        <w:gridCol w:w="709"/>
        <w:gridCol w:w="709"/>
      </w:tblGrid>
      <w:tr w:rsidR="00B21B65" w:rsidRPr="00F237BB" w:rsidTr="00B21B65">
        <w:trPr>
          <w:trHeight w:val="420"/>
        </w:trPr>
        <w:tc>
          <w:tcPr>
            <w:tcW w:w="2694" w:type="dxa"/>
            <w:tcBorders>
              <w:top w:val="single" w:sz="4" w:space="0" w:color="auto"/>
              <w:left w:val="nil"/>
              <w:bottom w:val="nil"/>
              <w:right w:val="nil"/>
            </w:tcBorders>
            <w:shd w:val="clear" w:color="auto" w:fill="auto"/>
            <w:noWrap/>
            <w:vAlign w:val="bottom"/>
            <w:hideMark/>
          </w:tcPr>
          <w:p w:rsidR="00B21B65" w:rsidRPr="00F237BB" w:rsidRDefault="00B21B65" w:rsidP="006A21DA">
            <w:pPr>
              <w:jc w:val="left"/>
              <w:rPr>
                <w:rFonts w:ascii="Arial" w:hAnsi="Arial" w:cs="Arial"/>
                <w:lang w:val="es-ES_tradnl" w:eastAsia="es-ES_tradnl"/>
              </w:rPr>
            </w:pPr>
          </w:p>
        </w:tc>
        <w:tc>
          <w:tcPr>
            <w:tcW w:w="1559" w:type="dxa"/>
            <w:gridSpan w:val="2"/>
            <w:tcBorders>
              <w:top w:val="single" w:sz="4" w:space="0" w:color="auto"/>
              <w:left w:val="nil"/>
              <w:bottom w:val="single" w:sz="4" w:space="0" w:color="auto"/>
              <w:right w:val="nil"/>
            </w:tcBorders>
            <w:shd w:val="clear" w:color="auto" w:fill="auto"/>
            <w:noWrap/>
            <w:vAlign w:val="bottom"/>
            <w:hideMark/>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Abogados</w:t>
            </w:r>
          </w:p>
        </w:tc>
        <w:tc>
          <w:tcPr>
            <w:tcW w:w="1559" w:type="dxa"/>
            <w:gridSpan w:val="2"/>
            <w:tcBorders>
              <w:top w:val="single" w:sz="4" w:space="0" w:color="auto"/>
              <w:left w:val="nil"/>
              <w:bottom w:val="single" w:sz="4" w:space="0" w:color="auto"/>
              <w:right w:val="nil"/>
            </w:tcBorders>
            <w:shd w:val="clear" w:color="auto" w:fill="auto"/>
            <w:vAlign w:val="bottom"/>
            <w:hideMark/>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Otros profesionales</w:t>
            </w:r>
          </w:p>
        </w:tc>
        <w:tc>
          <w:tcPr>
            <w:tcW w:w="1559" w:type="dxa"/>
            <w:gridSpan w:val="2"/>
            <w:tcBorders>
              <w:top w:val="single" w:sz="4" w:space="0" w:color="auto"/>
              <w:left w:val="nil"/>
              <w:bottom w:val="single" w:sz="4" w:space="0" w:color="auto"/>
              <w:right w:val="nil"/>
            </w:tcBorders>
            <w:shd w:val="clear" w:color="auto" w:fill="auto"/>
            <w:noWrap/>
            <w:vAlign w:val="bottom"/>
            <w:hideMark/>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Administrativos</w:t>
            </w:r>
          </w:p>
        </w:tc>
        <w:tc>
          <w:tcPr>
            <w:tcW w:w="1418" w:type="dxa"/>
            <w:gridSpan w:val="2"/>
            <w:tcBorders>
              <w:top w:val="single" w:sz="4" w:space="0" w:color="auto"/>
              <w:left w:val="nil"/>
              <w:bottom w:val="single" w:sz="4" w:space="0" w:color="auto"/>
              <w:right w:val="nil"/>
            </w:tcBorders>
            <w:shd w:val="clear" w:color="auto" w:fill="auto"/>
            <w:noWrap/>
            <w:vAlign w:val="bottom"/>
            <w:hideMark/>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Total</w:t>
            </w:r>
          </w:p>
        </w:tc>
      </w:tr>
      <w:tr w:rsidR="00B21B65" w:rsidRPr="00F237BB" w:rsidTr="006A21DA">
        <w:tblPrEx>
          <w:tblLook w:val="00A0" w:firstRow="1" w:lastRow="0" w:firstColumn="1" w:lastColumn="0" w:noHBand="0" w:noVBand="0"/>
        </w:tblPrEx>
        <w:trPr>
          <w:trHeight w:val="210"/>
        </w:trPr>
        <w:tc>
          <w:tcPr>
            <w:tcW w:w="2694" w:type="dxa"/>
            <w:tcBorders>
              <w:top w:val="nil"/>
              <w:left w:val="nil"/>
              <w:bottom w:val="single" w:sz="4" w:space="0" w:color="auto"/>
              <w:right w:val="nil"/>
            </w:tcBorders>
            <w:noWrap/>
            <w:vAlign w:val="bottom"/>
          </w:tcPr>
          <w:p w:rsidR="00B21B65" w:rsidRPr="00F237BB" w:rsidRDefault="00B21B65" w:rsidP="006A21DA">
            <w:pPr>
              <w:jc w:val="left"/>
              <w:rPr>
                <w:rFonts w:ascii="Arial" w:hAnsi="Arial" w:cs="Arial"/>
                <w:lang w:val="es-ES_tradnl" w:eastAsia="es-ES_tradnl"/>
              </w:rPr>
            </w:pPr>
          </w:p>
        </w:tc>
        <w:tc>
          <w:tcPr>
            <w:tcW w:w="706"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Nº</w:t>
            </w:r>
          </w:p>
        </w:tc>
        <w:tc>
          <w:tcPr>
            <w:tcW w:w="853"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w:t>
            </w:r>
          </w:p>
        </w:tc>
        <w:tc>
          <w:tcPr>
            <w:tcW w:w="709"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Nº</w:t>
            </w:r>
          </w:p>
        </w:tc>
        <w:tc>
          <w:tcPr>
            <w:tcW w:w="850"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w:t>
            </w:r>
          </w:p>
        </w:tc>
        <w:tc>
          <w:tcPr>
            <w:tcW w:w="851"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Nº</w:t>
            </w:r>
          </w:p>
        </w:tc>
        <w:tc>
          <w:tcPr>
            <w:tcW w:w="708"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w:t>
            </w:r>
          </w:p>
        </w:tc>
        <w:tc>
          <w:tcPr>
            <w:tcW w:w="709"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Nº</w:t>
            </w:r>
          </w:p>
        </w:tc>
        <w:tc>
          <w:tcPr>
            <w:tcW w:w="709" w:type="dxa"/>
            <w:tcBorders>
              <w:top w:val="single" w:sz="4" w:space="0" w:color="auto"/>
              <w:left w:val="nil"/>
              <w:bottom w:val="single" w:sz="4" w:space="0" w:color="auto"/>
              <w:right w:val="nil"/>
            </w:tcBorders>
            <w:noWrap/>
            <w:vAlign w:val="bottom"/>
          </w:tcPr>
          <w:p w:rsidR="00B21B65" w:rsidRPr="00F237BB" w:rsidRDefault="00B21B65" w:rsidP="006A21DA">
            <w:pPr>
              <w:jc w:val="center"/>
              <w:rPr>
                <w:rFonts w:ascii="Arial" w:hAnsi="Arial" w:cs="Arial"/>
                <w:b/>
                <w:bCs/>
                <w:lang w:val="es-ES_tradnl" w:eastAsia="es-ES_tradnl"/>
              </w:rPr>
            </w:pPr>
            <w:r w:rsidRPr="00F237BB">
              <w:rPr>
                <w:rFonts w:ascii="Arial" w:hAnsi="Arial" w:cs="Arial"/>
                <w:b/>
                <w:bCs/>
                <w:lang w:val="es-ES_tradnl" w:eastAsia="es-ES_tradnl"/>
              </w:rPr>
              <w:t>%</w:t>
            </w:r>
          </w:p>
        </w:tc>
      </w:tr>
      <w:tr w:rsidR="00B21B65" w:rsidRPr="00F237BB" w:rsidTr="006A21DA">
        <w:tblPrEx>
          <w:tblLook w:val="00A0" w:firstRow="1" w:lastRow="0" w:firstColumn="1" w:lastColumn="0" w:noHBand="0" w:noVBand="0"/>
        </w:tblPrEx>
        <w:trPr>
          <w:trHeight w:val="210"/>
        </w:trPr>
        <w:tc>
          <w:tcPr>
            <w:tcW w:w="2694" w:type="dxa"/>
            <w:tcBorders>
              <w:top w:val="single" w:sz="4" w:space="0" w:color="auto"/>
              <w:left w:val="nil"/>
              <w:bottom w:val="nil"/>
              <w:right w:val="nil"/>
            </w:tcBorders>
            <w:noWrap/>
            <w:vAlign w:val="bottom"/>
          </w:tcPr>
          <w:p w:rsidR="00B21B65" w:rsidRPr="00F237BB" w:rsidRDefault="00B21B65" w:rsidP="006A21DA">
            <w:pPr>
              <w:jc w:val="left"/>
              <w:rPr>
                <w:rFonts w:ascii="Arial" w:hAnsi="Arial" w:cs="Arial"/>
                <w:lang w:val="es-ES_tradnl" w:eastAsia="es-ES_tradnl"/>
              </w:rPr>
            </w:pPr>
            <w:r w:rsidRPr="00F237BB">
              <w:rPr>
                <w:rFonts w:ascii="Arial" w:hAnsi="Arial" w:cs="Arial"/>
                <w:lang w:val="es-ES_tradnl" w:eastAsia="es-ES_tradnl"/>
              </w:rPr>
              <w:t>Dirección Entes en Liquidación</w:t>
            </w:r>
          </w:p>
        </w:tc>
        <w:tc>
          <w:tcPr>
            <w:tcW w:w="706"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144</w:t>
            </w:r>
          </w:p>
        </w:tc>
        <w:tc>
          <w:tcPr>
            <w:tcW w:w="853" w:type="dxa"/>
            <w:tcBorders>
              <w:top w:val="single" w:sz="4" w:space="0" w:color="auto"/>
              <w:left w:val="nil"/>
              <w:bottom w:val="nil"/>
              <w:right w:val="nil"/>
            </w:tcBorders>
            <w:noWrap/>
            <w:vAlign w:val="bottom"/>
          </w:tcPr>
          <w:p w:rsidR="00B21B65" w:rsidRPr="00F237BB" w:rsidRDefault="00B21B65" w:rsidP="00245A3E">
            <w:pPr>
              <w:jc w:val="right"/>
              <w:rPr>
                <w:rFonts w:ascii="Arial" w:hAnsi="Arial" w:cs="Arial"/>
                <w:lang w:val="es-ES_tradnl" w:eastAsia="es-ES_tradnl"/>
              </w:rPr>
            </w:pPr>
            <w:r w:rsidRPr="00F237BB">
              <w:rPr>
                <w:rFonts w:ascii="Arial" w:hAnsi="Arial" w:cs="Arial"/>
                <w:lang w:val="es-ES_tradnl" w:eastAsia="es-ES_tradnl"/>
              </w:rPr>
              <w:t>57,</w:t>
            </w:r>
            <w:r w:rsidR="00AF0AA7" w:rsidRPr="00F237BB">
              <w:rPr>
                <w:rFonts w:ascii="Arial" w:hAnsi="Arial" w:cs="Arial"/>
                <w:lang w:val="es-ES_tradnl" w:eastAsia="es-ES_tradnl"/>
              </w:rPr>
              <w:t>4</w:t>
            </w:r>
          </w:p>
        </w:tc>
        <w:tc>
          <w:tcPr>
            <w:tcW w:w="709"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3</w:t>
            </w:r>
          </w:p>
        </w:tc>
        <w:tc>
          <w:tcPr>
            <w:tcW w:w="850"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50,0</w:t>
            </w:r>
          </w:p>
        </w:tc>
        <w:tc>
          <w:tcPr>
            <w:tcW w:w="851"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78</w:t>
            </w:r>
          </w:p>
        </w:tc>
        <w:tc>
          <w:tcPr>
            <w:tcW w:w="708"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55,7</w:t>
            </w:r>
          </w:p>
        </w:tc>
        <w:tc>
          <w:tcPr>
            <w:tcW w:w="709"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225</w:t>
            </w:r>
          </w:p>
        </w:tc>
        <w:tc>
          <w:tcPr>
            <w:tcW w:w="709" w:type="dxa"/>
            <w:tcBorders>
              <w:top w:val="single" w:sz="4" w:space="0" w:color="auto"/>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56,7</w:t>
            </w:r>
          </w:p>
        </w:tc>
      </w:tr>
      <w:tr w:rsidR="00B21B65" w:rsidRPr="00F237BB" w:rsidTr="006A21DA">
        <w:tblPrEx>
          <w:tblLook w:val="00A0" w:firstRow="1" w:lastRow="0" w:firstColumn="1" w:lastColumn="0" w:noHBand="0" w:noVBand="0"/>
        </w:tblPrEx>
        <w:trPr>
          <w:trHeight w:val="210"/>
        </w:trPr>
        <w:tc>
          <w:tcPr>
            <w:tcW w:w="2694" w:type="dxa"/>
            <w:tcBorders>
              <w:top w:val="nil"/>
              <w:left w:val="nil"/>
              <w:bottom w:val="nil"/>
              <w:right w:val="nil"/>
            </w:tcBorders>
            <w:noWrap/>
            <w:vAlign w:val="bottom"/>
          </w:tcPr>
          <w:p w:rsidR="00B21B65" w:rsidRPr="00F237BB" w:rsidRDefault="00B21B65" w:rsidP="006A21DA">
            <w:pPr>
              <w:jc w:val="left"/>
              <w:rPr>
                <w:rFonts w:ascii="Arial" w:hAnsi="Arial" w:cs="Arial"/>
                <w:lang w:val="es-ES_tradnl" w:eastAsia="es-ES_tradnl"/>
              </w:rPr>
            </w:pPr>
            <w:r w:rsidRPr="00F237BB">
              <w:rPr>
                <w:rFonts w:ascii="Arial" w:hAnsi="Arial" w:cs="Arial"/>
                <w:lang w:val="es-ES_tradnl" w:eastAsia="es-ES_tradnl"/>
              </w:rPr>
              <w:t>Dirección Gestión Judicial</w:t>
            </w:r>
          </w:p>
        </w:tc>
        <w:tc>
          <w:tcPr>
            <w:tcW w:w="706"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63</w:t>
            </w:r>
          </w:p>
        </w:tc>
        <w:tc>
          <w:tcPr>
            <w:tcW w:w="853"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25,1</w:t>
            </w:r>
          </w:p>
        </w:tc>
        <w:tc>
          <w:tcPr>
            <w:tcW w:w="709"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3</w:t>
            </w:r>
          </w:p>
        </w:tc>
        <w:tc>
          <w:tcPr>
            <w:tcW w:w="850"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50.0</w:t>
            </w:r>
          </w:p>
        </w:tc>
        <w:tc>
          <w:tcPr>
            <w:tcW w:w="851"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45</w:t>
            </w:r>
          </w:p>
        </w:tc>
        <w:tc>
          <w:tcPr>
            <w:tcW w:w="708"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32,1</w:t>
            </w:r>
          </w:p>
        </w:tc>
        <w:tc>
          <w:tcPr>
            <w:tcW w:w="709" w:type="dxa"/>
            <w:tcBorders>
              <w:top w:val="nil"/>
              <w:left w:val="nil"/>
              <w:bottom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111</w:t>
            </w:r>
          </w:p>
        </w:tc>
        <w:tc>
          <w:tcPr>
            <w:tcW w:w="709" w:type="dxa"/>
            <w:tcBorders>
              <w:top w:val="nil"/>
              <w:left w:val="nil"/>
              <w:bottom w:val="nil"/>
              <w:right w:val="nil"/>
            </w:tcBorders>
            <w:noWrap/>
            <w:vAlign w:val="bottom"/>
          </w:tcPr>
          <w:p w:rsidR="00B21B65" w:rsidRPr="00F237BB" w:rsidRDefault="00B21B65" w:rsidP="00245A3E">
            <w:pPr>
              <w:jc w:val="right"/>
              <w:rPr>
                <w:rFonts w:ascii="Arial" w:hAnsi="Arial" w:cs="Arial"/>
                <w:lang w:val="es-ES_tradnl" w:eastAsia="es-ES_tradnl"/>
              </w:rPr>
            </w:pPr>
            <w:r w:rsidRPr="00F237BB">
              <w:rPr>
                <w:rFonts w:ascii="Arial" w:hAnsi="Arial" w:cs="Arial"/>
                <w:lang w:val="es-ES_tradnl" w:eastAsia="es-ES_tradnl"/>
              </w:rPr>
              <w:t>2</w:t>
            </w:r>
            <w:r w:rsidR="00AF0AA7" w:rsidRPr="00F237BB">
              <w:rPr>
                <w:rFonts w:ascii="Arial" w:hAnsi="Arial" w:cs="Arial"/>
                <w:lang w:val="es-ES_tradnl" w:eastAsia="es-ES_tradnl"/>
              </w:rPr>
              <w:t>8</w:t>
            </w:r>
            <w:r w:rsidRPr="00F237BB">
              <w:rPr>
                <w:rFonts w:ascii="Arial" w:hAnsi="Arial" w:cs="Arial"/>
                <w:lang w:val="es-ES_tradnl" w:eastAsia="es-ES_tradnl"/>
              </w:rPr>
              <w:t>,</w:t>
            </w:r>
            <w:r w:rsidR="00AF0AA7" w:rsidRPr="00F237BB">
              <w:rPr>
                <w:rFonts w:ascii="Arial" w:hAnsi="Arial" w:cs="Arial"/>
                <w:lang w:val="es-ES_tradnl" w:eastAsia="es-ES_tradnl"/>
              </w:rPr>
              <w:t>0</w:t>
            </w:r>
          </w:p>
        </w:tc>
      </w:tr>
      <w:tr w:rsidR="00B21B65" w:rsidRPr="00F237BB" w:rsidTr="006A21DA">
        <w:tblPrEx>
          <w:tblLook w:val="00A0" w:firstRow="1" w:lastRow="0" w:firstColumn="1" w:lastColumn="0" w:noHBand="0" w:noVBand="0"/>
        </w:tblPrEx>
        <w:trPr>
          <w:trHeight w:val="210"/>
        </w:trPr>
        <w:tc>
          <w:tcPr>
            <w:tcW w:w="2694" w:type="dxa"/>
            <w:tcBorders>
              <w:top w:val="nil"/>
              <w:left w:val="nil"/>
              <w:right w:val="nil"/>
            </w:tcBorders>
            <w:noWrap/>
            <w:vAlign w:val="bottom"/>
          </w:tcPr>
          <w:p w:rsidR="00B21B65" w:rsidRPr="00F237BB" w:rsidRDefault="00B21B65" w:rsidP="006A21DA">
            <w:pPr>
              <w:jc w:val="left"/>
              <w:rPr>
                <w:rFonts w:ascii="Arial" w:hAnsi="Arial" w:cs="Arial"/>
                <w:lang w:val="es-ES_tradnl" w:eastAsia="es-ES_tradnl"/>
              </w:rPr>
            </w:pPr>
            <w:r w:rsidRPr="00F237BB">
              <w:rPr>
                <w:rFonts w:ascii="Arial" w:hAnsi="Arial" w:cs="Arial"/>
                <w:lang w:val="es-ES_tradnl" w:eastAsia="es-ES_tradnl"/>
              </w:rPr>
              <w:t>Otras direcciones y unidades</w:t>
            </w:r>
          </w:p>
        </w:tc>
        <w:tc>
          <w:tcPr>
            <w:tcW w:w="706"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44</w:t>
            </w:r>
          </w:p>
        </w:tc>
        <w:tc>
          <w:tcPr>
            <w:tcW w:w="853" w:type="dxa"/>
            <w:tcBorders>
              <w:top w:val="nil"/>
              <w:left w:val="nil"/>
              <w:right w:val="nil"/>
            </w:tcBorders>
            <w:noWrap/>
            <w:vAlign w:val="bottom"/>
          </w:tcPr>
          <w:p w:rsidR="00B21B65" w:rsidRPr="00F237BB" w:rsidRDefault="00B21B65" w:rsidP="00245A3E">
            <w:pPr>
              <w:jc w:val="right"/>
              <w:rPr>
                <w:rFonts w:ascii="Arial" w:hAnsi="Arial" w:cs="Arial"/>
                <w:lang w:val="es-ES_tradnl" w:eastAsia="es-ES_tradnl"/>
              </w:rPr>
            </w:pPr>
            <w:r w:rsidRPr="00F237BB">
              <w:rPr>
                <w:rFonts w:ascii="Arial" w:hAnsi="Arial" w:cs="Arial"/>
                <w:lang w:val="es-ES_tradnl" w:eastAsia="es-ES_tradnl"/>
              </w:rPr>
              <w:t>17,</w:t>
            </w:r>
            <w:r w:rsidR="00AF0AA7" w:rsidRPr="00F237BB">
              <w:rPr>
                <w:rFonts w:ascii="Arial" w:hAnsi="Arial" w:cs="Arial"/>
                <w:lang w:val="es-ES_tradnl" w:eastAsia="es-ES_tradnl"/>
              </w:rPr>
              <w:t>5</w:t>
            </w:r>
          </w:p>
        </w:tc>
        <w:tc>
          <w:tcPr>
            <w:tcW w:w="709"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0</w:t>
            </w:r>
          </w:p>
        </w:tc>
        <w:tc>
          <w:tcPr>
            <w:tcW w:w="850"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0.0</w:t>
            </w:r>
          </w:p>
        </w:tc>
        <w:tc>
          <w:tcPr>
            <w:tcW w:w="851"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17</w:t>
            </w:r>
          </w:p>
        </w:tc>
        <w:tc>
          <w:tcPr>
            <w:tcW w:w="708"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12,2</w:t>
            </w:r>
          </w:p>
        </w:tc>
        <w:tc>
          <w:tcPr>
            <w:tcW w:w="709" w:type="dxa"/>
            <w:tcBorders>
              <w:top w:val="nil"/>
              <w:left w:val="nil"/>
              <w:right w:val="nil"/>
            </w:tcBorders>
            <w:noWrap/>
            <w:vAlign w:val="bottom"/>
          </w:tcPr>
          <w:p w:rsidR="00B21B65" w:rsidRPr="00F237BB" w:rsidRDefault="00B21B65" w:rsidP="006A21DA">
            <w:pPr>
              <w:jc w:val="right"/>
              <w:rPr>
                <w:rFonts w:ascii="Arial" w:hAnsi="Arial" w:cs="Arial"/>
                <w:lang w:val="es-ES_tradnl" w:eastAsia="es-ES_tradnl"/>
              </w:rPr>
            </w:pPr>
            <w:r w:rsidRPr="00F237BB">
              <w:rPr>
                <w:rFonts w:ascii="Arial" w:hAnsi="Arial" w:cs="Arial"/>
                <w:lang w:val="es-ES_tradnl" w:eastAsia="es-ES_tradnl"/>
              </w:rPr>
              <w:t>61</w:t>
            </w:r>
          </w:p>
        </w:tc>
        <w:tc>
          <w:tcPr>
            <w:tcW w:w="709" w:type="dxa"/>
            <w:tcBorders>
              <w:top w:val="nil"/>
              <w:left w:val="nil"/>
              <w:right w:val="nil"/>
            </w:tcBorders>
            <w:noWrap/>
            <w:vAlign w:val="bottom"/>
          </w:tcPr>
          <w:p w:rsidR="00B21B65" w:rsidRPr="00F237BB" w:rsidRDefault="00B21B65" w:rsidP="00245A3E">
            <w:pPr>
              <w:jc w:val="right"/>
              <w:rPr>
                <w:rFonts w:ascii="Arial" w:hAnsi="Arial" w:cs="Arial"/>
                <w:lang w:val="es-ES_tradnl" w:eastAsia="es-ES_tradnl"/>
              </w:rPr>
            </w:pPr>
            <w:r w:rsidRPr="00F237BB">
              <w:rPr>
                <w:rFonts w:ascii="Arial" w:hAnsi="Arial" w:cs="Arial"/>
                <w:lang w:val="es-ES_tradnl" w:eastAsia="es-ES_tradnl"/>
              </w:rPr>
              <w:t>15,</w:t>
            </w:r>
            <w:r w:rsidR="00AF0AA7" w:rsidRPr="00F237BB">
              <w:rPr>
                <w:rFonts w:ascii="Arial" w:hAnsi="Arial" w:cs="Arial"/>
                <w:lang w:val="es-ES_tradnl" w:eastAsia="es-ES_tradnl"/>
              </w:rPr>
              <w:t>3</w:t>
            </w:r>
          </w:p>
        </w:tc>
      </w:tr>
      <w:tr w:rsidR="00B21B65" w:rsidRPr="00F237BB" w:rsidTr="006A21DA">
        <w:tblPrEx>
          <w:tblLook w:val="00A0" w:firstRow="1" w:lastRow="0" w:firstColumn="1" w:lastColumn="0" w:noHBand="0" w:noVBand="0"/>
        </w:tblPrEx>
        <w:trPr>
          <w:trHeight w:val="210"/>
        </w:trPr>
        <w:tc>
          <w:tcPr>
            <w:tcW w:w="2694" w:type="dxa"/>
            <w:tcBorders>
              <w:top w:val="nil"/>
              <w:left w:val="nil"/>
              <w:bottom w:val="single" w:sz="4" w:space="0" w:color="auto"/>
              <w:right w:val="nil"/>
            </w:tcBorders>
            <w:noWrap/>
            <w:vAlign w:val="bottom"/>
          </w:tcPr>
          <w:p w:rsidR="00B21B65" w:rsidRPr="00F237BB" w:rsidRDefault="00B21B65" w:rsidP="006A21DA">
            <w:pPr>
              <w:jc w:val="left"/>
              <w:rPr>
                <w:rFonts w:ascii="Arial" w:hAnsi="Arial" w:cs="Arial"/>
                <w:b/>
                <w:bCs/>
                <w:lang w:val="es-ES_tradnl" w:eastAsia="es-ES_tradnl"/>
              </w:rPr>
            </w:pPr>
            <w:r w:rsidRPr="00F237BB">
              <w:rPr>
                <w:rFonts w:ascii="Arial" w:hAnsi="Arial" w:cs="Arial"/>
                <w:b/>
                <w:bCs/>
                <w:lang w:val="es-ES_tradnl" w:eastAsia="es-ES_tradnl"/>
              </w:rPr>
              <w:t>Total DGAJ</w:t>
            </w:r>
          </w:p>
        </w:tc>
        <w:tc>
          <w:tcPr>
            <w:tcW w:w="706"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251</w:t>
            </w:r>
          </w:p>
        </w:tc>
        <w:tc>
          <w:tcPr>
            <w:tcW w:w="853"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100,0</w:t>
            </w:r>
          </w:p>
        </w:tc>
        <w:tc>
          <w:tcPr>
            <w:tcW w:w="709"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6</w:t>
            </w:r>
          </w:p>
        </w:tc>
        <w:tc>
          <w:tcPr>
            <w:tcW w:w="850"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100,0</w:t>
            </w:r>
          </w:p>
        </w:tc>
        <w:tc>
          <w:tcPr>
            <w:tcW w:w="851"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140</w:t>
            </w:r>
          </w:p>
        </w:tc>
        <w:tc>
          <w:tcPr>
            <w:tcW w:w="708"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100,0</w:t>
            </w:r>
          </w:p>
        </w:tc>
        <w:tc>
          <w:tcPr>
            <w:tcW w:w="709"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397</w:t>
            </w:r>
          </w:p>
        </w:tc>
        <w:tc>
          <w:tcPr>
            <w:tcW w:w="709" w:type="dxa"/>
            <w:tcBorders>
              <w:top w:val="nil"/>
              <w:left w:val="nil"/>
              <w:bottom w:val="single" w:sz="4" w:space="0" w:color="auto"/>
              <w:right w:val="nil"/>
            </w:tcBorders>
            <w:noWrap/>
            <w:vAlign w:val="bottom"/>
          </w:tcPr>
          <w:p w:rsidR="00B21B65" w:rsidRPr="00F237BB" w:rsidRDefault="00B21B65" w:rsidP="006A21DA">
            <w:pPr>
              <w:jc w:val="right"/>
              <w:rPr>
                <w:rFonts w:ascii="Arial" w:hAnsi="Arial" w:cs="Arial"/>
                <w:b/>
                <w:bCs/>
                <w:lang w:val="es-ES_tradnl" w:eastAsia="es-ES_tradnl"/>
              </w:rPr>
            </w:pPr>
            <w:r w:rsidRPr="00F237BB">
              <w:rPr>
                <w:rFonts w:ascii="Arial" w:hAnsi="Arial" w:cs="Arial"/>
                <w:b/>
                <w:bCs/>
                <w:lang w:val="es-ES_tradnl" w:eastAsia="es-ES_tradnl"/>
              </w:rPr>
              <w:t>100,0</w:t>
            </w:r>
          </w:p>
        </w:tc>
      </w:tr>
    </w:tbl>
    <w:p w:rsidR="00DA0BA3" w:rsidRPr="00F237BB" w:rsidRDefault="00DA0BA3" w:rsidP="00DA0BA3">
      <w:pPr>
        <w:pStyle w:val="ListParagraph"/>
        <w:ind w:left="567"/>
        <w:rPr>
          <w:rFonts w:ascii="Arial" w:hAnsi="Arial" w:cs="Arial"/>
        </w:rPr>
      </w:pPr>
      <w:r w:rsidRPr="00F237BB">
        <w:rPr>
          <w:rFonts w:ascii="Arial" w:hAnsi="Arial" w:cs="Arial"/>
        </w:rPr>
        <w:t>Fuente: Dirección General de Asuntos Jurídicos</w:t>
      </w:r>
      <w:r w:rsidR="0098688A" w:rsidRPr="00F237BB">
        <w:rPr>
          <w:rFonts w:ascii="Arial" w:hAnsi="Arial" w:cs="Arial"/>
        </w:rPr>
        <w:t>.</w:t>
      </w:r>
    </w:p>
    <w:p w:rsidR="00406ECB" w:rsidRPr="00F237BB" w:rsidRDefault="00406ECB" w:rsidP="00406ECB">
      <w:pPr>
        <w:pStyle w:val="ListParagraph"/>
        <w:ind w:left="567"/>
        <w:rPr>
          <w:rFonts w:ascii="Arial" w:hAnsi="Arial" w:cs="Arial"/>
        </w:rPr>
      </w:pPr>
    </w:p>
    <w:p w:rsidR="00406ECB" w:rsidRPr="00F237BB" w:rsidRDefault="00406ECB" w:rsidP="00406ECB">
      <w:pPr>
        <w:pStyle w:val="ListParagraph"/>
        <w:numPr>
          <w:ilvl w:val="0"/>
          <w:numId w:val="14"/>
        </w:numPr>
        <w:ind w:left="567" w:hanging="567"/>
        <w:rPr>
          <w:rFonts w:ascii="Arial" w:hAnsi="Arial" w:cs="Arial"/>
        </w:rPr>
      </w:pPr>
      <w:r w:rsidRPr="00F237BB">
        <w:rPr>
          <w:rFonts w:ascii="Arial" w:hAnsi="Arial" w:cs="Arial"/>
        </w:rPr>
        <w:t xml:space="preserve">De acuerdo con los datos disponibles, a </w:t>
      </w:r>
      <w:r w:rsidR="00AF75B9" w:rsidRPr="00F237BB">
        <w:rPr>
          <w:rFonts w:ascii="Arial" w:hAnsi="Arial" w:cs="Arial"/>
        </w:rPr>
        <w:t xml:space="preserve">junio </w:t>
      </w:r>
      <w:r w:rsidRPr="00F237BB">
        <w:rPr>
          <w:rFonts w:ascii="Arial" w:hAnsi="Arial" w:cs="Arial"/>
        </w:rPr>
        <w:t xml:space="preserve">de </w:t>
      </w:r>
      <w:r w:rsidR="00AF75B9" w:rsidRPr="00F237BB">
        <w:rPr>
          <w:rFonts w:ascii="Arial" w:hAnsi="Arial" w:cs="Arial"/>
        </w:rPr>
        <w:t xml:space="preserve">2016 </w:t>
      </w:r>
      <w:r w:rsidRPr="00F237BB">
        <w:rPr>
          <w:rFonts w:ascii="Arial" w:hAnsi="Arial" w:cs="Arial"/>
        </w:rPr>
        <w:t xml:space="preserve">la DGAJ tiene </w:t>
      </w:r>
      <w:r w:rsidR="00AF75B9" w:rsidRPr="00F237BB">
        <w:rPr>
          <w:rFonts w:ascii="Arial" w:hAnsi="Arial" w:cs="Arial"/>
        </w:rPr>
        <w:t xml:space="preserve">397 </w:t>
      </w:r>
      <w:r w:rsidRPr="00F237BB">
        <w:rPr>
          <w:rFonts w:ascii="Arial" w:hAnsi="Arial" w:cs="Arial"/>
        </w:rPr>
        <w:t xml:space="preserve">funcionarios, de los cuales </w:t>
      </w:r>
      <w:r w:rsidR="006146DF" w:rsidRPr="00F237BB">
        <w:rPr>
          <w:rFonts w:ascii="Arial" w:hAnsi="Arial" w:cs="Arial"/>
        </w:rPr>
        <w:t>251</w:t>
      </w:r>
      <w:r w:rsidRPr="00F237BB">
        <w:rPr>
          <w:rFonts w:ascii="Arial" w:hAnsi="Arial" w:cs="Arial"/>
        </w:rPr>
        <w:t xml:space="preserve"> (</w:t>
      </w:r>
      <w:r w:rsidR="006146DF" w:rsidRPr="00F237BB">
        <w:rPr>
          <w:rFonts w:ascii="Arial" w:hAnsi="Arial" w:cs="Arial"/>
        </w:rPr>
        <w:t>63</w:t>
      </w:r>
      <w:r w:rsidRPr="00F237BB">
        <w:rPr>
          <w:rFonts w:ascii="Arial" w:hAnsi="Arial" w:cs="Arial"/>
        </w:rPr>
        <w:t xml:space="preserve">,2%) son abogados, concentrados básicamente en la Dirección de </w:t>
      </w:r>
      <w:r w:rsidRPr="00F237BB">
        <w:rPr>
          <w:rFonts w:ascii="Arial" w:hAnsi="Arial" w:cs="Arial"/>
        </w:rPr>
        <w:lastRenderedPageBreak/>
        <w:t>Asuntos Judiciales de los Entes Liquidados (</w:t>
      </w:r>
      <w:r w:rsidR="00AF0AA7" w:rsidRPr="00F237BB">
        <w:rPr>
          <w:rFonts w:ascii="Arial" w:hAnsi="Arial" w:cs="Arial"/>
        </w:rPr>
        <w:t>56</w:t>
      </w:r>
      <w:r w:rsidRPr="00F237BB">
        <w:rPr>
          <w:rFonts w:ascii="Arial" w:hAnsi="Arial" w:cs="Arial"/>
        </w:rPr>
        <w:t>,</w:t>
      </w:r>
      <w:r w:rsidR="00AF0AA7" w:rsidRPr="00F237BB">
        <w:rPr>
          <w:rFonts w:ascii="Arial" w:hAnsi="Arial" w:cs="Arial"/>
        </w:rPr>
        <w:t>7</w:t>
      </w:r>
      <w:r w:rsidRPr="00F237BB">
        <w:rPr>
          <w:rFonts w:ascii="Arial" w:hAnsi="Arial" w:cs="Arial"/>
        </w:rPr>
        <w:t>% del total de funcionarios de la DGAJ, 57,</w:t>
      </w:r>
      <w:r w:rsidR="00AF0AA7" w:rsidRPr="00F237BB">
        <w:rPr>
          <w:rFonts w:ascii="Arial" w:hAnsi="Arial" w:cs="Arial"/>
        </w:rPr>
        <w:t>4</w:t>
      </w:r>
      <w:r w:rsidRPr="00F237BB">
        <w:rPr>
          <w:rFonts w:ascii="Arial" w:hAnsi="Arial" w:cs="Arial"/>
        </w:rPr>
        <w:t>% de los abogados) y en la Dirección de Gestión y Control Judicial (</w:t>
      </w:r>
      <w:r w:rsidR="00AF0AA7" w:rsidRPr="00F237BB">
        <w:rPr>
          <w:rFonts w:ascii="Arial" w:hAnsi="Arial" w:cs="Arial"/>
        </w:rPr>
        <w:t>28</w:t>
      </w:r>
      <w:r w:rsidRPr="00F237BB">
        <w:rPr>
          <w:rFonts w:ascii="Arial" w:hAnsi="Arial" w:cs="Arial"/>
        </w:rPr>
        <w:t>,</w:t>
      </w:r>
      <w:r w:rsidR="00AF0AA7" w:rsidRPr="00F237BB">
        <w:rPr>
          <w:rFonts w:ascii="Arial" w:hAnsi="Arial" w:cs="Arial"/>
        </w:rPr>
        <w:t>0</w:t>
      </w:r>
      <w:r w:rsidRPr="00F237BB">
        <w:rPr>
          <w:rFonts w:ascii="Arial" w:hAnsi="Arial" w:cs="Arial"/>
        </w:rPr>
        <w:t xml:space="preserve">% del total de funcionarios, </w:t>
      </w:r>
      <w:r w:rsidR="00AF0AA7" w:rsidRPr="00F237BB">
        <w:rPr>
          <w:rFonts w:ascii="Arial" w:hAnsi="Arial" w:cs="Arial"/>
        </w:rPr>
        <w:t>25</w:t>
      </w:r>
      <w:r w:rsidRPr="00F237BB">
        <w:rPr>
          <w:rFonts w:ascii="Arial" w:hAnsi="Arial" w:cs="Arial"/>
        </w:rPr>
        <w:t>,</w:t>
      </w:r>
      <w:r w:rsidR="00AF0AA7" w:rsidRPr="00F237BB">
        <w:rPr>
          <w:rFonts w:ascii="Arial" w:hAnsi="Arial" w:cs="Arial"/>
        </w:rPr>
        <w:t>1</w:t>
      </w:r>
      <w:r w:rsidRPr="00F237BB">
        <w:rPr>
          <w:rFonts w:ascii="Arial" w:hAnsi="Arial" w:cs="Arial"/>
        </w:rPr>
        <w:t xml:space="preserve">% de los abogados). </w:t>
      </w:r>
    </w:p>
    <w:p w:rsidR="00406ECB" w:rsidRPr="00F237BB" w:rsidRDefault="00406ECB" w:rsidP="00406ECB">
      <w:pPr>
        <w:pStyle w:val="ListParagraph"/>
        <w:ind w:left="567"/>
        <w:rPr>
          <w:rFonts w:ascii="Arial" w:hAnsi="Arial" w:cs="Arial"/>
        </w:rPr>
      </w:pPr>
    </w:p>
    <w:p w:rsidR="009765E7" w:rsidRPr="00F237BB" w:rsidRDefault="009765E7" w:rsidP="0043662C">
      <w:pPr>
        <w:pStyle w:val="ListParagraph"/>
        <w:ind w:left="567"/>
        <w:rPr>
          <w:rFonts w:ascii="Arial" w:hAnsi="Arial" w:cs="Arial"/>
        </w:rPr>
      </w:pPr>
    </w:p>
    <w:p w:rsidR="00616A66" w:rsidRPr="00F237BB" w:rsidRDefault="00616A66" w:rsidP="00EA29A1">
      <w:pPr>
        <w:pStyle w:val="Heading1"/>
        <w:rPr>
          <w:rFonts w:ascii="Arial" w:hAnsi="Arial" w:cs="Arial"/>
          <w:sz w:val="22"/>
          <w:szCs w:val="22"/>
        </w:rPr>
      </w:pPr>
      <w:bookmarkStart w:id="10" w:name="_Toc458521464"/>
      <w:r w:rsidRPr="00F237BB">
        <w:rPr>
          <w:rFonts w:ascii="Arial" w:hAnsi="Arial" w:cs="Arial"/>
          <w:sz w:val="22"/>
          <w:szCs w:val="22"/>
        </w:rPr>
        <w:t>Consideraciones metodológicas</w:t>
      </w:r>
      <w:bookmarkEnd w:id="10"/>
    </w:p>
    <w:p w:rsidR="00EA29A1" w:rsidRPr="00F237BB" w:rsidRDefault="00EA29A1" w:rsidP="00EA29A1">
      <w:pPr>
        <w:pStyle w:val="Heading2"/>
        <w:rPr>
          <w:rFonts w:ascii="Arial" w:hAnsi="Arial" w:cs="Arial"/>
          <w:sz w:val="22"/>
          <w:szCs w:val="22"/>
        </w:rPr>
      </w:pPr>
      <w:bookmarkStart w:id="11" w:name="_Toc458521465"/>
      <w:r w:rsidRPr="00F237BB">
        <w:rPr>
          <w:rFonts w:ascii="Arial" w:hAnsi="Arial" w:cs="Arial"/>
          <w:sz w:val="22"/>
          <w:szCs w:val="22"/>
        </w:rPr>
        <w:t>Identificación de los productos relevantes</w:t>
      </w:r>
      <w:bookmarkEnd w:id="11"/>
    </w:p>
    <w:p w:rsidR="008B518C" w:rsidRPr="00F237BB" w:rsidRDefault="008B518C" w:rsidP="000B00EF">
      <w:pPr>
        <w:pStyle w:val="ListParagraph"/>
        <w:numPr>
          <w:ilvl w:val="0"/>
          <w:numId w:val="14"/>
        </w:numPr>
        <w:ind w:left="567" w:hanging="567"/>
        <w:rPr>
          <w:rFonts w:ascii="Arial" w:hAnsi="Arial" w:cs="Arial"/>
        </w:rPr>
      </w:pPr>
      <w:r w:rsidRPr="00F237BB">
        <w:rPr>
          <w:rFonts w:ascii="Arial" w:hAnsi="Arial" w:cs="Arial"/>
        </w:rPr>
        <w:t xml:space="preserve">Antes de entrar en el análisis de los problemas que afectan a la gestión del ciclo de las políticas públicas, conviene indicar las características de </w:t>
      </w:r>
      <w:r w:rsidR="00991A43" w:rsidRPr="00F237BB">
        <w:rPr>
          <w:rFonts w:ascii="Arial" w:hAnsi="Arial" w:cs="Arial"/>
        </w:rPr>
        <w:t xml:space="preserve">los </w:t>
      </w:r>
      <w:r w:rsidRPr="00F237BB">
        <w:rPr>
          <w:rFonts w:ascii="Arial" w:hAnsi="Arial" w:cs="Arial"/>
        </w:rPr>
        <w:t xml:space="preserve">productos estratégicos que forman parte de las actividades de la </w:t>
      </w:r>
      <w:proofErr w:type="spellStart"/>
      <w:r w:rsidRPr="00F237BB">
        <w:rPr>
          <w:rFonts w:ascii="Arial" w:hAnsi="Arial" w:cs="Arial"/>
        </w:rPr>
        <w:t>SPE</w:t>
      </w:r>
      <w:r w:rsidR="007F0994" w:rsidRPr="00F237BB">
        <w:rPr>
          <w:rFonts w:ascii="Arial" w:hAnsi="Arial" w:cs="Arial"/>
        </w:rPr>
        <w:t>yPD</w:t>
      </w:r>
      <w:proofErr w:type="spellEnd"/>
      <w:r w:rsidRPr="00F237BB">
        <w:rPr>
          <w:rFonts w:ascii="Arial" w:hAnsi="Arial" w:cs="Arial"/>
        </w:rPr>
        <w:t xml:space="preserve"> y cómo </w:t>
      </w:r>
      <w:r w:rsidR="00616A66" w:rsidRPr="00F237BB">
        <w:rPr>
          <w:rFonts w:ascii="Arial" w:hAnsi="Arial" w:cs="Arial"/>
        </w:rPr>
        <w:t>estas características condicionan la elección de los indicadores para el análisis.</w:t>
      </w:r>
    </w:p>
    <w:p w:rsidR="008B518C" w:rsidRPr="00F237BB" w:rsidRDefault="008B518C" w:rsidP="008B518C">
      <w:pPr>
        <w:pStyle w:val="ListParagraph"/>
        <w:ind w:left="567"/>
        <w:rPr>
          <w:rFonts w:ascii="Arial" w:hAnsi="Arial" w:cs="Arial"/>
        </w:rPr>
      </w:pPr>
    </w:p>
    <w:p w:rsidR="00991A43" w:rsidRPr="00F237BB" w:rsidRDefault="00991A43" w:rsidP="00991A43">
      <w:pPr>
        <w:pStyle w:val="ListParagraph"/>
        <w:numPr>
          <w:ilvl w:val="0"/>
          <w:numId w:val="14"/>
        </w:numPr>
        <w:ind w:left="567" w:hanging="567"/>
        <w:rPr>
          <w:rFonts w:ascii="Arial" w:hAnsi="Arial" w:cs="Arial"/>
        </w:rPr>
      </w:pPr>
      <w:r w:rsidRPr="00F237BB">
        <w:rPr>
          <w:rFonts w:ascii="Arial" w:hAnsi="Arial" w:cs="Arial"/>
        </w:rPr>
        <w:t xml:space="preserve">El mandato legal otorga a la </w:t>
      </w:r>
      <w:r w:rsidR="00217341" w:rsidRPr="00F237BB">
        <w:rPr>
          <w:rFonts w:ascii="Arial" w:hAnsi="Arial" w:cs="Arial"/>
        </w:rPr>
        <w:t>Secretaría de Política Económica y Planificación del Desarrollo</w:t>
      </w:r>
      <w:r w:rsidRPr="00F237BB">
        <w:rPr>
          <w:rFonts w:ascii="Arial" w:hAnsi="Arial" w:cs="Arial"/>
        </w:rPr>
        <w:t xml:space="preserve"> la gestión integral de lo que podría denominarse el ciclo de política económica. Se entiende por gestión del ciclo de política todo el conjunto de actividades y tareas que permiten generar políticas y estrategias de mediano y largo, es decir, la formulación, implementación, monitoreo y evaluación. Este ciclo puede generar diferentes tipos de productos estratégicos</w:t>
      </w:r>
      <w:r w:rsidR="000C3B36" w:rsidRPr="00F237BB">
        <w:rPr>
          <w:rFonts w:ascii="Arial" w:hAnsi="Arial" w:cs="Arial"/>
        </w:rPr>
        <w:t>, clasificados de acuerdo con el rango temporal que abarcan</w:t>
      </w:r>
      <w:r w:rsidRPr="00F237BB">
        <w:rPr>
          <w:rFonts w:ascii="Arial" w:hAnsi="Arial" w:cs="Arial"/>
        </w:rPr>
        <w:t>:</w:t>
      </w:r>
    </w:p>
    <w:p w:rsidR="00991A43" w:rsidRPr="00F237BB" w:rsidRDefault="00991A43" w:rsidP="00991A43">
      <w:pPr>
        <w:pStyle w:val="ListParagraph"/>
        <w:rPr>
          <w:rFonts w:ascii="Arial" w:hAnsi="Arial" w:cs="Arial"/>
        </w:rPr>
      </w:pPr>
    </w:p>
    <w:p w:rsidR="00991A43" w:rsidRPr="00F237BB" w:rsidRDefault="00991A43" w:rsidP="00382FA6">
      <w:pPr>
        <w:pStyle w:val="ListParagraph"/>
        <w:numPr>
          <w:ilvl w:val="0"/>
          <w:numId w:val="28"/>
        </w:numPr>
        <w:rPr>
          <w:rFonts w:ascii="Arial" w:hAnsi="Arial" w:cs="Arial"/>
        </w:rPr>
      </w:pPr>
      <w:r w:rsidRPr="00F237BB">
        <w:rPr>
          <w:rFonts w:ascii="Arial" w:hAnsi="Arial" w:cs="Arial"/>
        </w:rPr>
        <w:t xml:space="preserve">En primer lugar, los que se podrían denominar </w:t>
      </w:r>
      <w:r w:rsidRPr="00F237BB">
        <w:rPr>
          <w:rFonts w:ascii="Arial" w:hAnsi="Arial" w:cs="Arial"/>
          <w:i/>
        </w:rPr>
        <w:t>productos de corto plazo</w:t>
      </w:r>
      <w:r w:rsidRPr="00F237BB">
        <w:rPr>
          <w:rFonts w:ascii="Arial" w:hAnsi="Arial" w:cs="Arial"/>
        </w:rPr>
        <w:t xml:space="preserve">, típicamente análisis de </w:t>
      </w:r>
      <w:r w:rsidR="00081C1B" w:rsidRPr="00F237BB">
        <w:rPr>
          <w:rFonts w:ascii="Arial" w:hAnsi="Arial" w:cs="Arial"/>
        </w:rPr>
        <w:t xml:space="preserve">seguimiento de </w:t>
      </w:r>
      <w:r w:rsidRPr="00F237BB">
        <w:rPr>
          <w:rFonts w:ascii="Arial" w:hAnsi="Arial" w:cs="Arial"/>
        </w:rPr>
        <w:t>coyuntura, donde se analizan los indicadores económicos clave que afectan a la coyuntura económica</w:t>
      </w:r>
      <w:r w:rsidR="00081C1B" w:rsidRPr="00F237BB">
        <w:rPr>
          <w:rFonts w:ascii="Arial" w:hAnsi="Arial" w:cs="Arial"/>
        </w:rPr>
        <w:t xml:space="preserve"> (</w:t>
      </w:r>
      <w:r w:rsidR="003D64C4" w:rsidRPr="00F237BB">
        <w:rPr>
          <w:rFonts w:ascii="Arial" w:hAnsi="Arial" w:cs="Arial"/>
        </w:rPr>
        <w:t xml:space="preserve">actividad productiva, </w:t>
      </w:r>
      <w:r w:rsidR="00081C1B" w:rsidRPr="00F237BB">
        <w:rPr>
          <w:rFonts w:ascii="Arial" w:hAnsi="Arial" w:cs="Arial"/>
        </w:rPr>
        <w:t>comercio exterior, mercado de trabajo, precios, etc.)</w:t>
      </w:r>
      <w:r w:rsidRPr="00F237BB">
        <w:rPr>
          <w:rFonts w:ascii="Arial" w:hAnsi="Arial" w:cs="Arial"/>
        </w:rPr>
        <w:t xml:space="preserve">. </w:t>
      </w:r>
      <w:r w:rsidR="000C3B36" w:rsidRPr="00F237BB">
        <w:rPr>
          <w:rFonts w:ascii="Arial" w:hAnsi="Arial" w:cs="Arial"/>
        </w:rPr>
        <w:t xml:space="preserve">Normalmente estos análisis se plasman en documentos o informes de coyuntura, que en la mayoría de los casos se presentan de forma regular. Su proyección puede ser pública o restringida al uso de los tomadores de decisiones en el interior del </w:t>
      </w:r>
      <w:proofErr w:type="spellStart"/>
      <w:r w:rsidR="007F0994" w:rsidRPr="00F237BB">
        <w:rPr>
          <w:rFonts w:ascii="Arial" w:hAnsi="Arial" w:cs="Arial"/>
        </w:rPr>
        <w:t>MHyFP</w:t>
      </w:r>
      <w:proofErr w:type="spellEnd"/>
      <w:r w:rsidR="000C3B36" w:rsidRPr="00F237BB">
        <w:rPr>
          <w:rFonts w:ascii="Arial" w:hAnsi="Arial" w:cs="Arial"/>
        </w:rPr>
        <w:t>.</w:t>
      </w:r>
      <w:r w:rsidR="006B37A2" w:rsidRPr="00F237BB">
        <w:rPr>
          <w:rFonts w:ascii="Arial" w:hAnsi="Arial" w:cs="Arial"/>
        </w:rPr>
        <w:t xml:space="preserve"> Las herramientas más frecuentemente utilizadas</w:t>
      </w:r>
      <w:r w:rsidR="002D6ED6" w:rsidRPr="00F237BB">
        <w:rPr>
          <w:rFonts w:ascii="Arial" w:hAnsi="Arial" w:cs="Arial"/>
        </w:rPr>
        <w:t>, pero no las únicas,</w:t>
      </w:r>
      <w:r w:rsidR="006B37A2" w:rsidRPr="00F237BB">
        <w:rPr>
          <w:rFonts w:ascii="Arial" w:hAnsi="Arial" w:cs="Arial"/>
        </w:rPr>
        <w:t xml:space="preserve"> son las vinculadas con la previsión de corto plazo</w:t>
      </w:r>
      <w:r w:rsidR="00756205" w:rsidRPr="00F237BB">
        <w:rPr>
          <w:rFonts w:ascii="Arial" w:hAnsi="Arial" w:cs="Arial"/>
        </w:rPr>
        <w:t xml:space="preserve"> son modelos econométricos (</w:t>
      </w:r>
      <w:r w:rsidR="006B37A2" w:rsidRPr="00F237BB">
        <w:rPr>
          <w:rFonts w:ascii="Arial" w:hAnsi="Arial" w:cs="Arial"/>
        </w:rPr>
        <w:t xml:space="preserve">modelos de series temporales </w:t>
      </w:r>
      <w:proofErr w:type="spellStart"/>
      <w:r w:rsidR="006B37A2" w:rsidRPr="00F237BB">
        <w:rPr>
          <w:rFonts w:ascii="Arial" w:hAnsi="Arial" w:cs="Arial"/>
        </w:rPr>
        <w:t>autorregresivos</w:t>
      </w:r>
      <w:proofErr w:type="spellEnd"/>
      <w:r w:rsidR="006B37A2" w:rsidRPr="00F237BB">
        <w:rPr>
          <w:rFonts w:ascii="Arial" w:hAnsi="Arial" w:cs="Arial"/>
        </w:rPr>
        <w:t xml:space="preserve">, </w:t>
      </w:r>
      <w:r w:rsidR="00756205" w:rsidRPr="00F237BB">
        <w:rPr>
          <w:rFonts w:ascii="Arial" w:hAnsi="Arial" w:cs="Arial"/>
        </w:rPr>
        <w:t xml:space="preserve">modelos </w:t>
      </w:r>
      <w:proofErr w:type="spellStart"/>
      <w:r w:rsidR="00756205" w:rsidRPr="00F237BB">
        <w:rPr>
          <w:rFonts w:ascii="Arial" w:hAnsi="Arial" w:cs="Arial"/>
        </w:rPr>
        <w:t>multivariantes</w:t>
      </w:r>
      <w:proofErr w:type="spellEnd"/>
      <w:r w:rsidR="006B37A2" w:rsidRPr="00F237BB">
        <w:rPr>
          <w:rFonts w:ascii="Arial" w:hAnsi="Arial" w:cs="Arial"/>
        </w:rPr>
        <w:t>, etc.</w:t>
      </w:r>
      <w:r w:rsidR="00756205" w:rsidRPr="00F237BB">
        <w:rPr>
          <w:rFonts w:ascii="Arial" w:hAnsi="Arial" w:cs="Arial"/>
        </w:rPr>
        <w:t>).</w:t>
      </w:r>
    </w:p>
    <w:p w:rsidR="00382FA6" w:rsidRPr="00F237BB" w:rsidRDefault="000C3B36" w:rsidP="00382FA6">
      <w:pPr>
        <w:pStyle w:val="ListParagraph"/>
        <w:numPr>
          <w:ilvl w:val="0"/>
          <w:numId w:val="28"/>
        </w:numPr>
        <w:rPr>
          <w:rFonts w:ascii="Arial" w:hAnsi="Arial" w:cs="Arial"/>
        </w:rPr>
      </w:pPr>
      <w:r w:rsidRPr="00F237BB">
        <w:rPr>
          <w:rFonts w:ascii="Arial" w:hAnsi="Arial" w:cs="Arial"/>
        </w:rPr>
        <w:t xml:space="preserve">En segundo lugar estarían los </w:t>
      </w:r>
      <w:r w:rsidRPr="00F237BB">
        <w:rPr>
          <w:rFonts w:ascii="Arial" w:hAnsi="Arial" w:cs="Arial"/>
          <w:i/>
        </w:rPr>
        <w:t xml:space="preserve">productos de </w:t>
      </w:r>
      <w:r w:rsidR="00991A43" w:rsidRPr="00F237BB">
        <w:rPr>
          <w:rFonts w:ascii="Arial" w:hAnsi="Arial" w:cs="Arial"/>
          <w:i/>
        </w:rPr>
        <w:t>mediano y largo plazo</w:t>
      </w:r>
      <w:r w:rsidR="00CA498B" w:rsidRPr="00F237BB">
        <w:rPr>
          <w:rFonts w:ascii="Arial" w:hAnsi="Arial" w:cs="Arial"/>
        </w:rPr>
        <w:t xml:space="preserve">, entre los que cabe destacar los </w:t>
      </w:r>
      <w:r w:rsidR="00991A43" w:rsidRPr="00F237BB">
        <w:rPr>
          <w:rFonts w:ascii="Arial" w:hAnsi="Arial" w:cs="Arial"/>
        </w:rPr>
        <w:t>habitualmente denominados como marcos de programación macroeconómi</w:t>
      </w:r>
      <w:r w:rsidR="00CA498B" w:rsidRPr="00F237BB">
        <w:rPr>
          <w:rFonts w:ascii="Arial" w:hAnsi="Arial" w:cs="Arial"/>
        </w:rPr>
        <w:t>ca o escenarios macroeconómicos. Estos instrumentos de referencia económica son de gran utilidad</w:t>
      </w:r>
      <w:r w:rsidR="00B37531" w:rsidRPr="00F237BB">
        <w:rPr>
          <w:rFonts w:ascii="Arial" w:hAnsi="Arial" w:cs="Arial"/>
        </w:rPr>
        <w:t>, entre otras,</w:t>
      </w:r>
      <w:r w:rsidR="00CA498B" w:rsidRPr="00F237BB">
        <w:rPr>
          <w:rFonts w:ascii="Arial" w:hAnsi="Arial" w:cs="Arial"/>
        </w:rPr>
        <w:t xml:space="preserve"> para establecer el espacio fiscal en la elaboración de los presupuestos públicos y deberían ser utilizados como insumos básicos en los planes estratégicos de todo el sector público. Su no utilización puede suponer una pérdida significativa de consistencia de dichos planes. </w:t>
      </w:r>
      <w:r w:rsidR="002D6ED6" w:rsidRPr="00F237BB">
        <w:rPr>
          <w:rFonts w:ascii="Arial" w:hAnsi="Arial" w:cs="Arial"/>
        </w:rPr>
        <w:t xml:space="preserve">Las herramientas más comúnmente utilizadas </w:t>
      </w:r>
      <w:r w:rsidR="00696DF1" w:rsidRPr="00F237BB">
        <w:rPr>
          <w:rFonts w:ascii="Arial" w:hAnsi="Arial" w:cs="Arial"/>
        </w:rPr>
        <w:t xml:space="preserve">en la elaboración de estos productos </w:t>
      </w:r>
      <w:r w:rsidR="002D6ED6" w:rsidRPr="00F237BB">
        <w:rPr>
          <w:rFonts w:ascii="Arial" w:hAnsi="Arial" w:cs="Arial"/>
        </w:rPr>
        <w:t>son modelos econométricos (modelos de equilibrio general y parcial, modelos de series temporales, etc.).</w:t>
      </w:r>
    </w:p>
    <w:p w:rsidR="00CA498B" w:rsidRPr="00F237BB" w:rsidRDefault="00382FA6" w:rsidP="00382FA6">
      <w:pPr>
        <w:pStyle w:val="ListParagraph"/>
        <w:numPr>
          <w:ilvl w:val="0"/>
          <w:numId w:val="28"/>
        </w:numPr>
        <w:rPr>
          <w:rFonts w:ascii="Arial" w:hAnsi="Arial" w:cs="Arial"/>
        </w:rPr>
      </w:pPr>
      <w:r w:rsidRPr="00F237BB">
        <w:rPr>
          <w:rFonts w:ascii="Arial" w:hAnsi="Arial" w:cs="Arial"/>
        </w:rPr>
        <w:t xml:space="preserve">Y en tercer lugar, estarían los </w:t>
      </w:r>
      <w:r w:rsidRPr="00F237BB">
        <w:rPr>
          <w:rFonts w:ascii="Arial" w:hAnsi="Arial" w:cs="Arial"/>
          <w:i/>
        </w:rPr>
        <w:t>productos de muy largo</w:t>
      </w:r>
      <w:r w:rsidR="00991A43" w:rsidRPr="00F237BB">
        <w:rPr>
          <w:rFonts w:ascii="Arial" w:hAnsi="Arial" w:cs="Arial"/>
        </w:rPr>
        <w:t xml:space="preserve"> (escenarios prospectivos). </w:t>
      </w:r>
      <w:r w:rsidR="00F87F77" w:rsidRPr="00F237BB">
        <w:rPr>
          <w:rFonts w:ascii="Arial" w:hAnsi="Arial" w:cs="Arial"/>
        </w:rPr>
        <w:t xml:space="preserve">Este tipo de productos están pensados para proyectar en el muy largo plazo (8-10 años) la evolución plausible de la economía, con las dificultades metodológicas inherentes, y su utilidad radica en que debería servir de insumos para los planes sectoriales que requieren muy largos tiempos de maduración. Los </w:t>
      </w:r>
      <w:r w:rsidR="009E35B0" w:rsidRPr="00F237BB">
        <w:rPr>
          <w:rFonts w:ascii="Arial" w:hAnsi="Arial" w:cs="Arial"/>
        </w:rPr>
        <w:t xml:space="preserve">sectores </w:t>
      </w:r>
      <w:r w:rsidR="00F87F77" w:rsidRPr="00F237BB">
        <w:rPr>
          <w:rFonts w:ascii="Arial" w:hAnsi="Arial" w:cs="Arial"/>
        </w:rPr>
        <w:t xml:space="preserve">energéticos e infraestructurales suelen ser los usuarios preferentes de este tipo de productos. Las metodologías utilizadas son específicas para </w:t>
      </w:r>
      <w:r w:rsidR="009A453D" w:rsidRPr="00F237BB">
        <w:rPr>
          <w:rFonts w:ascii="Arial" w:hAnsi="Arial" w:cs="Arial"/>
        </w:rPr>
        <w:t>generar</w:t>
      </w:r>
      <w:r w:rsidR="00F87F77" w:rsidRPr="00F237BB">
        <w:rPr>
          <w:rFonts w:ascii="Arial" w:hAnsi="Arial" w:cs="Arial"/>
        </w:rPr>
        <w:t xml:space="preserve"> escenarios, como pueden la modelación con dinámica de sistemas (</w:t>
      </w:r>
      <w:proofErr w:type="spellStart"/>
      <w:r w:rsidR="00F87F77" w:rsidRPr="00F237BB">
        <w:rPr>
          <w:rFonts w:ascii="Arial" w:hAnsi="Arial" w:cs="Arial"/>
          <w:i/>
        </w:rPr>
        <w:t>system</w:t>
      </w:r>
      <w:proofErr w:type="spellEnd"/>
      <w:r w:rsidR="00F87F77" w:rsidRPr="00F237BB">
        <w:rPr>
          <w:rFonts w:ascii="Arial" w:hAnsi="Arial" w:cs="Arial"/>
          <w:i/>
        </w:rPr>
        <w:t xml:space="preserve"> </w:t>
      </w:r>
      <w:proofErr w:type="spellStart"/>
      <w:r w:rsidR="00F87F77" w:rsidRPr="00F237BB">
        <w:rPr>
          <w:rFonts w:ascii="Arial" w:hAnsi="Arial" w:cs="Arial"/>
          <w:i/>
        </w:rPr>
        <w:t>dynamics</w:t>
      </w:r>
      <w:proofErr w:type="spellEnd"/>
      <w:r w:rsidR="00F87F77" w:rsidRPr="00F237BB">
        <w:rPr>
          <w:rFonts w:ascii="Arial" w:hAnsi="Arial" w:cs="Arial"/>
        </w:rPr>
        <w:t xml:space="preserve">) y técnicas de prospección cualitativa </w:t>
      </w:r>
      <w:r w:rsidR="009A453D" w:rsidRPr="00F237BB">
        <w:rPr>
          <w:rFonts w:ascii="Arial" w:hAnsi="Arial" w:cs="Arial"/>
        </w:rPr>
        <w:t xml:space="preserve">para la generación de consensos </w:t>
      </w:r>
      <w:r w:rsidR="00F87F77" w:rsidRPr="00F237BB">
        <w:rPr>
          <w:rFonts w:ascii="Arial" w:hAnsi="Arial" w:cs="Arial"/>
        </w:rPr>
        <w:t>(métodos Delphi, fundamentalmente</w:t>
      </w:r>
      <w:r w:rsidR="009A453D" w:rsidRPr="00F237BB">
        <w:rPr>
          <w:rFonts w:ascii="Arial" w:hAnsi="Arial" w:cs="Arial"/>
        </w:rPr>
        <w:t>)</w:t>
      </w:r>
      <w:r w:rsidR="00F87F77" w:rsidRPr="00F237BB">
        <w:rPr>
          <w:rFonts w:ascii="Arial" w:hAnsi="Arial" w:cs="Arial"/>
        </w:rPr>
        <w:t xml:space="preserve">. </w:t>
      </w:r>
    </w:p>
    <w:p w:rsidR="00CA498B" w:rsidRPr="00F237BB" w:rsidRDefault="00CA498B" w:rsidP="00CA498B">
      <w:pPr>
        <w:pStyle w:val="ListParagraph"/>
        <w:rPr>
          <w:rFonts w:ascii="Arial" w:hAnsi="Arial" w:cs="Arial"/>
          <w:highlight w:val="yellow"/>
        </w:rPr>
      </w:pPr>
    </w:p>
    <w:p w:rsidR="008D3CEB" w:rsidRPr="00F237BB" w:rsidRDefault="00382FA6" w:rsidP="00382FA6">
      <w:pPr>
        <w:pStyle w:val="ListParagraph"/>
        <w:numPr>
          <w:ilvl w:val="0"/>
          <w:numId w:val="14"/>
        </w:numPr>
        <w:ind w:left="567" w:hanging="567"/>
        <w:rPr>
          <w:rFonts w:ascii="Arial" w:hAnsi="Arial" w:cs="Arial"/>
        </w:rPr>
      </w:pPr>
      <w:r w:rsidRPr="00F237BB">
        <w:rPr>
          <w:rFonts w:ascii="Arial" w:hAnsi="Arial" w:cs="Arial"/>
        </w:rPr>
        <w:lastRenderedPageBreak/>
        <w:t xml:space="preserve">Todas estas fases y tipos de productos requieren conocimientos específicos, herramientas de análisis muy concretas y metodologías </w:t>
      </w:r>
      <w:r w:rsidRPr="00F237BB">
        <w:rPr>
          <w:rFonts w:ascii="Arial" w:hAnsi="Arial" w:cs="Arial"/>
          <w:i/>
        </w:rPr>
        <w:t>ad hoc</w:t>
      </w:r>
      <w:r w:rsidRPr="00F237BB">
        <w:rPr>
          <w:rFonts w:ascii="Arial" w:hAnsi="Arial" w:cs="Arial"/>
        </w:rPr>
        <w:t xml:space="preserve"> para su formulación y evaluación. Lo que es importante es que </w:t>
      </w:r>
      <w:r w:rsidR="009E35B0" w:rsidRPr="00F237BB">
        <w:rPr>
          <w:rFonts w:ascii="Arial" w:hAnsi="Arial" w:cs="Arial"/>
        </w:rPr>
        <w:t>resulta sumamente difícil medir o valorar la calidad de este tipo de productos, su oportunidad dentro del proceso de tomas de decisiones gubernamentales y su impacto efectivo sobre dichas decisiones. Ésta es una situación claramente distinta a la de otras entidades públicas</w:t>
      </w:r>
      <w:r w:rsidR="009E35B0" w:rsidRPr="00F237BB">
        <w:rPr>
          <w:rFonts w:ascii="Arial" w:hAnsi="Arial" w:cs="Arial"/>
          <w:lang w:val="es-ES_tradnl"/>
        </w:rPr>
        <w:t xml:space="preserve"> </w:t>
      </w:r>
      <w:r w:rsidR="008D3CEB" w:rsidRPr="00F237BB">
        <w:rPr>
          <w:rFonts w:ascii="Arial" w:hAnsi="Arial" w:cs="Arial"/>
        </w:rPr>
        <w:t xml:space="preserve">que </w:t>
      </w:r>
      <w:r w:rsidR="009E35B0" w:rsidRPr="00F237BB">
        <w:rPr>
          <w:rFonts w:ascii="Arial" w:hAnsi="Arial" w:cs="Arial"/>
        </w:rPr>
        <w:t xml:space="preserve">proveen </w:t>
      </w:r>
      <w:r w:rsidR="008D3CEB" w:rsidRPr="00F237BB">
        <w:rPr>
          <w:rFonts w:ascii="Arial" w:hAnsi="Arial" w:cs="Arial"/>
        </w:rPr>
        <w:t xml:space="preserve">servicios tangibles a la ciudadanía. Indicadores del tipo número de expedientes, tiempos de espera, causas resueltas, </w:t>
      </w:r>
      <w:r w:rsidR="00F87F77" w:rsidRPr="00F237BB">
        <w:rPr>
          <w:rFonts w:ascii="Arial" w:hAnsi="Arial" w:cs="Arial"/>
        </w:rPr>
        <w:t xml:space="preserve">costos reducidos, etc., tan frecuentes en proyectos relacionados con la mejora de la provisión de bienes y servicios, </w:t>
      </w:r>
      <w:r w:rsidR="008D3CEB" w:rsidRPr="00F237BB">
        <w:rPr>
          <w:rFonts w:ascii="Arial" w:hAnsi="Arial" w:cs="Arial"/>
        </w:rPr>
        <w:t xml:space="preserve">no son aplicables a la realidad de </w:t>
      </w:r>
      <w:r w:rsidR="00F87F77" w:rsidRPr="00F237BB">
        <w:rPr>
          <w:rFonts w:ascii="Arial" w:hAnsi="Arial" w:cs="Arial"/>
        </w:rPr>
        <w:t>los productos que genera la</w:t>
      </w:r>
      <w:r w:rsidR="008D3CEB" w:rsidRPr="00F237BB">
        <w:rPr>
          <w:rFonts w:ascii="Arial" w:hAnsi="Arial" w:cs="Arial"/>
        </w:rPr>
        <w:t xml:space="preserve"> </w:t>
      </w:r>
      <w:proofErr w:type="spellStart"/>
      <w:r w:rsidR="008D3CEB" w:rsidRPr="00F237BB">
        <w:rPr>
          <w:rFonts w:ascii="Arial" w:hAnsi="Arial" w:cs="Arial"/>
        </w:rPr>
        <w:t>SPE</w:t>
      </w:r>
      <w:r w:rsidR="00FB1FF7" w:rsidRPr="00F237BB">
        <w:rPr>
          <w:rFonts w:ascii="Arial" w:hAnsi="Arial" w:cs="Arial"/>
        </w:rPr>
        <w:t>yPD</w:t>
      </w:r>
      <w:proofErr w:type="spellEnd"/>
      <w:r w:rsidR="008D3CEB" w:rsidRPr="00F237BB">
        <w:rPr>
          <w:rFonts w:ascii="Arial" w:hAnsi="Arial" w:cs="Arial"/>
        </w:rPr>
        <w:t xml:space="preserve">, dado que el </w:t>
      </w:r>
      <w:r w:rsidRPr="00F237BB">
        <w:rPr>
          <w:rFonts w:ascii="Arial" w:hAnsi="Arial" w:cs="Arial"/>
        </w:rPr>
        <w:t xml:space="preserve">contenido y los insumos que se utilizan para </w:t>
      </w:r>
      <w:r w:rsidR="008D3CEB" w:rsidRPr="00F237BB">
        <w:rPr>
          <w:rFonts w:ascii="Arial" w:hAnsi="Arial" w:cs="Arial"/>
        </w:rPr>
        <w:t>la producción de informes y documentos</w:t>
      </w:r>
      <w:r w:rsidRPr="00F237BB">
        <w:rPr>
          <w:rFonts w:ascii="Arial" w:hAnsi="Arial" w:cs="Arial"/>
        </w:rPr>
        <w:t xml:space="preserve"> son básicamente datos, información y conocimiento</w:t>
      </w:r>
      <w:r w:rsidR="008D3CEB" w:rsidRPr="00F237BB">
        <w:rPr>
          <w:rFonts w:ascii="Arial" w:hAnsi="Arial" w:cs="Arial"/>
        </w:rPr>
        <w:t>.</w:t>
      </w:r>
      <w:r w:rsidR="008D3CEB" w:rsidRPr="00F237BB">
        <w:rPr>
          <w:rStyle w:val="FootnoteReference"/>
          <w:rFonts w:ascii="Arial" w:hAnsi="Arial" w:cs="Arial"/>
          <w:sz w:val="22"/>
        </w:rPr>
        <w:footnoteReference w:id="7"/>
      </w:r>
      <w:r w:rsidR="008D3CEB" w:rsidRPr="00F237BB">
        <w:rPr>
          <w:rFonts w:ascii="Arial" w:hAnsi="Arial" w:cs="Arial"/>
        </w:rPr>
        <w:t xml:space="preserve"> </w:t>
      </w:r>
    </w:p>
    <w:p w:rsidR="008D3CEB" w:rsidRPr="00F237BB" w:rsidRDefault="008D3CEB" w:rsidP="008D3CEB">
      <w:pPr>
        <w:pStyle w:val="ListParagraph"/>
        <w:ind w:left="567"/>
        <w:rPr>
          <w:rFonts w:ascii="Arial" w:hAnsi="Arial" w:cs="Arial"/>
        </w:rPr>
      </w:pPr>
    </w:p>
    <w:p w:rsidR="00EA29A1" w:rsidRPr="00F237BB" w:rsidRDefault="00EA29A1" w:rsidP="008D3CEB">
      <w:pPr>
        <w:pStyle w:val="ListParagraph"/>
        <w:ind w:left="567"/>
        <w:rPr>
          <w:rFonts w:ascii="Arial" w:hAnsi="Arial" w:cs="Arial"/>
        </w:rPr>
      </w:pPr>
    </w:p>
    <w:p w:rsidR="00EA29A1" w:rsidRPr="00F237BB" w:rsidRDefault="00EA29A1" w:rsidP="00EA29A1">
      <w:pPr>
        <w:pStyle w:val="Heading2"/>
        <w:rPr>
          <w:rFonts w:ascii="Arial" w:hAnsi="Arial" w:cs="Arial"/>
          <w:sz w:val="22"/>
          <w:szCs w:val="22"/>
        </w:rPr>
      </w:pPr>
      <w:bookmarkStart w:id="12" w:name="_Toc458521466"/>
      <w:r w:rsidRPr="00F237BB">
        <w:rPr>
          <w:rFonts w:ascii="Arial" w:hAnsi="Arial" w:cs="Arial"/>
          <w:sz w:val="22"/>
          <w:szCs w:val="22"/>
        </w:rPr>
        <w:t>Instrumentos de medición utilizados</w:t>
      </w:r>
      <w:bookmarkEnd w:id="12"/>
    </w:p>
    <w:p w:rsidR="00EA29A1" w:rsidRPr="00F237BB" w:rsidRDefault="00EA29A1" w:rsidP="00382FA6">
      <w:pPr>
        <w:pStyle w:val="ListParagraph"/>
        <w:numPr>
          <w:ilvl w:val="0"/>
          <w:numId w:val="14"/>
        </w:numPr>
        <w:ind w:left="567" w:hanging="567"/>
        <w:rPr>
          <w:rFonts w:ascii="Arial" w:hAnsi="Arial" w:cs="Arial"/>
        </w:rPr>
      </w:pPr>
      <w:r w:rsidRPr="00F237BB">
        <w:rPr>
          <w:rFonts w:ascii="Arial" w:hAnsi="Arial" w:cs="Arial"/>
        </w:rPr>
        <w:t>P</w:t>
      </w:r>
      <w:r w:rsidR="00382FA6" w:rsidRPr="00F237BB">
        <w:rPr>
          <w:rFonts w:ascii="Arial" w:hAnsi="Arial" w:cs="Arial"/>
        </w:rPr>
        <w:t xml:space="preserve">ara </w:t>
      </w:r>
      <w:r w:rsidR="008D3CEB" w:rsidRPr="00F237BB">
        <w:rPr>
          <w:rFonts w:ascii="Arial" w:hAnsi="Arial" w:cs="Arial"/>
        </w:rPr>
        <w:t xml:space="preserve">tratar de </w:t>
      </w:r>
      <w:r w:rsidR="009E35B0" w:rsidRPr="00F237BB">
        <w:rPr>
          <w:rFonts w:ascii="Arial" w:hAnsi="Arial" w:cs="Arial"/>
        </w:rPr>
        <w:t>superar estas limitaciones</w:t>
      </w:r>
      <w:r w:rsidR="008D3CEB" w:rsidRPr="00F237BB">
        <w:rPr>
          <w:rFonts w:ascii="Arial" w:hAnsi="Arial" w:cs="Arial"/>
        </w:rPr>
        <w:t xml:space="preserve">, </w:t>
      </w:r>
      <w:r w:rsidR="009E35B0" w:rsidRPr="00F237BB">
        <w:rPr>
          <w:rFonts w:ascii="Arial" w:hAnsi="Arial" w:cs="Arial"/>
        </w:rPr>
        <w:t xml:space="preserve">en </w:t>
      </w:r>
      <w:r w:rsidR="008D3CEB" w:rsidRPr="00F237BB">
        <w:rPr>
          <w:rFonts w:ascii="Arial" w:hAnsi="Arial" w:cs="Arial"/>
        </w:rPr>
        <w:t xml:space="preserve">este </w:t>
      </w:r>
      <w:r w:rsidR="00382FA6" w:rsidRPr="00F237BB">
        <w:rPr>
          <w:rFonts w:ascii="Arial" w:hAnsi="Arial" w:cs="Arial"/>
        </w:rPr>
        <w:t>diagnós</w:t>
      </w:r>
      <w:r w:rsidR="008D3CEB" w:rsidRPr="00F237BB">
        <w:rPr>
          <w:rFonts w:ascii="Arial" w:hAnsi="Arial" w:cs="Arial"/>
        </w:rPr>
        <w:t xml:space="preserve">tico se han construido específicamente </w:t>
      </w:r>
      <w:r w:rsidRPr="00F237BB">
        <w:rPr>
          <w:rFonts w:ascii="Arial" w:hAnsi="Arial" w:cs="Arial"/>
        </w:rPr>
        <w:t>tres</w:t>
      </w:r>
      <w:r w:rsidR="008D3CEB" w:rsidRPr="00F237BB">
        <w:rPr>
          <w:rFonts w:ascii="Arial" w:hAnsi="Arial" w:cs="Arial"/>
        </w:rPr>
        <w:t xml:space="preserve"> instrumentos de medición que pretenden generar indicadores relevantes al caso de análisis. El primer instrumento es una </w:t>
      </w:r>
      <w:r w:rsidR="008D3CEB" w:rsidRPr="00F237BB">
        <w:rPr>
          <w:rFonts w:ascii="Arial" w:hAnsi="Arial" w:cs="Arial"/>
          <w:i/>
        </w:rPr>
        <w:t>ficha a los directo</w:t>
      </w:r>
      <w:r w:rsidR="00FB1FF7" w:rsidRPr="00F237BB">
        <w:rPr>
          <w:rFonts w:ascii="Arial" w:hAnsi="Arial" w:cs="Arial"/>
          <w:i/>
        </w:rPr>
        <w:t>re</w:t>
      </w:r>
      <w:r w:rsidR="008D3CEB" w:rsidRPr="00F237BB">
        <w:rPr>
          <w:rFonts w:ascii="Arial" w:hAnsi="Arial" w:cs="Arial"/>
          <w:i/>
        </w:rPr>
        <w:t>s</w:t>
      </w:r>
      <w:r w:rsidR="008D3CEB" w:rsidRPr="00F237BB">
        <w:rPr>
          <w:rFonts w:ascii="Arial" w:hAnsi="Arial" w:cs="Arial"/>
        </w:rPr>
        <w:t xml:space="preserve"> de las unidades principales de la </w:t>
      </w:r>
      <w:proofErr w:type="spellStart"/>
      <w:r w:rsidR="008D3CEB" w:rsidRPr="00F237BB">
        <w:rPr>
          <w:rFonts w:ascii="Arial" w:hAnsi="Arial" w:cs="Arial"/>
        </w:rPr>
        <w:t>SPE</w:t>
      </w:r>
      <w:r w:rsidR="00FB1FF7" w:rsidRPr="00F237BB">
        <w:rPr>
          <w:rFonts w:ascii="Arial" w:hAnsi="Arial" w:cs="Arial"/>
        </w:rPr>
        <w:t>yPD</w:t>
      </w:r>
      <w:proofErr w:type="spellEnd"/>
      <w:r w:rsidR="008D3CEB" w:rsidRPr="00F237BB">
        <w:rPr>
          <w:rFonts w:ascii="Arial" w:hAnsi="Arial" w:cs="Arial"/>
        </w:rPr>
        <w:t xml:space="preserve"> y de la DGAJ. Esta ficha pretende levantar información acerca del uso por parte de las distintas direcciones operativas de la </w:t>
      </w:r>
      <w:proofErr w:type="spellStart"/>
      <w:r w:rsidR="008D3CEB" w:rsidRPr="00F237BB">
        <w:rPr>
          <w:rFonts w:ascii="Arial" w:hAnsi="Arial" w:cs="Arial"/>
        </w:rPr>
        <w:t>SPE</w:t>
      </w:r>
      <w:r w:rsidR="00FB1FF7" w:rsidRPr="00F237BB">
        <w:rPr>
          <w:rFonts w:ascii="Arial" w:hAnsi="Arial" w:cs="Arial"/>
        </w:rPr>
        <w:t>yPD</w:t>
      </w:r>
      <w:proofErr w:type="spellEnd"/>
      <w:r w:rsidR="008D3CEB" w:rsidRPr="00F237BB">
        <w:rPr>
          <w:rFonts w:ascii="Arial" w:hAnsi="Arial" w:cs="Arial"/>
        </w:rPr>
        <w:t xml:space="preserve"> de determinadas herramientas para el análisis de la información y el acceso a fuentes de conocimiento económico de alto valor agregado. </w:t>
      </w:r>
    </w:p>
    <w:p w:rsidR="00EA29A1" w:rsidRPr="00F237BB" w:rsidRDefault="00EA29A1" w:rsidP="00EA29A1">
      <w:pPr>
        <w:pStyle w:val="ListParagraph"/>
        <w:ind w:left="567"/>
        <w:rPr>
          <w:rFonts w:ascii="Arial" w:hAnsi="Arial" w:cs="Arial"/>
        </w:rPr>
      </w:pPr>
    </w:p>
    <w:p w:rsidR="00382FA6" w:rsidRPr="00F237BB" w:rsidRDefault="008D3CEB" w:rsidP="00382FA6">
      <w:pPr>
        <w:pStyle w:val="ListParagraph"/>
        <w:numPr>
          <w:ilvl w:val="0"/>
          <w:numId w:val="14"/>
        </w:numPr>
        <w:ind w:left="567" w:hanging="567"/>
        <w:rPr>
          <w:rFonts w:ascii="Arial" w:hAnsi="Arial" w:cs="Arial"/>
        </w:rPr>
      </w:pPr>
      <w:r w:rsidRPr="00F237BB">
        <w:rPr>
          <w:rFonts w:ascii="Arial" w:hAnsi="Arial" w:cs="Arial"/>
        </w:rPr>
        <w:t xml:space="preserve">El segundo instrumento es una </w:t>
      </w:r>
      <w:r w:rsidRPr="00F237BB">
        <w:rPr>
          <w:rFonts w:ascii="Arial" w:hAnsi="Arial" w:cs="Arial"/>
          <w:i/>
        </w:rPr>
        <w:t>encuesta</w:t>
      </w:r>
      <w:r w:rsidRPr="00F237BB">
        <w:rPr>
          <w:rFonts w:ascii="Arial" w:hAnsi="Arial" w:cs="Arial"/>
        </w:rPr>
        <w:t xml:space="preserve"> al personal de la </w:t>
      </w:r>
      <w:proofErr w:type="spellStart"/>
      <w:r w:rsidRPr="00F237BB">
        <w:rPr>
          <w:rFonts w:ascii="Arial" w:hAnsi="Arial" w:cs="Arial"/>
        </w:rPr>
        <w:t>SPE</w:t>
      </w:r>
      <w:r w:rsidR="00FB1FF7" w:rsidRPr="00F237BB">
        <w:rPr>
          <w:rFonts w:ascii="Arial" w:hAnsi="Arial" w:cs="Arial"/>
        </w:rPr>
        <w:t>yPD</w:t>
      </w:r>
      <w:proofErr w:type="spellEnd"/>
      <w:r w:rsidRPr="00F237BB">
        <w:rPr>
          <w:rFonts w:ascii="Arial" w:hAnsi="Arial" w:cs="Arial"/>
        </w:rPr>
        <w:t xml:space="preserve"> sobre su </w:t>
      </w:r>
      <w:r w:rsidRPr="00F237BB">
        <w:rPr>
          <w:rFonts w:ascii="Arial" w:hAnsi="Arial" w:cs="Arial"/>
          <w:i/>
        </w:rPr>
        <w:t>nivel de formación</w:t>
      </w:r>
      <w:r w:rsidRPr="00F237BB">
        <w:rPr>
          <w:rFonts w:ascii="Arial" w:hAnsi="Arial" w:cs="Arial"/>
        </w:rPr>
        <w:t xml:space="preserve">. </w:t>
      </w:r>
      <w:r w:rsidR="00406ECB" w:rsidRPr="00F237BB">
        <w:rPr>
          <w:rFonts w:ascii="Arial" w:hAnsi="Arial" w:cs="Arial"/>
        </w:rPr>
        <w:t>Con ella se pretende aproximar</w:t>
      </w:r>
      <w:r w:rsidRPr="00F237BB">
        <w:rPr>
          <w:rFonts w:ascii="Arial" w:hAnsi="Arial" w:cs="Arial"/>
        </w:rPr>
        <w:t xml:space="preserve"> </w:t>
      </w:r>
      <w:r w:rsidR="00081C1B" w:rsidRPr="00F237BB">
        <w:rPr>
          <w:rFonts w:ascii="Arial" w:hAnsi="Arial" w:cs="Arial"/>
        </w:rPr>
        <w:t>a la medición</w:t>
      </w:r>
      <w:r w:rsidRPr="00F237BB">
        <w:rPr>
          <w:rFonts w:ascii="Arial" w:hAnsi="Arial" w:cs="Arial"/>
        </w:rPr>
        <w:t xml:space="preserve"> del grado de formación alcanzado y su adecuación a una actividad que requiere de conocimiento</w:t>
      </w:r>
      <w:r w:rsidR="00081C1B" w:rsidRPr="00F237BB">
        <w:rPr>
          <w:rFonts w:ascii="Arial" w:hAnsi="Arial" w:cs="Arial"/>
        </w:rPr>
        <w:t>s</w:t>
      </w:r>
      <w:r w:rsidRPr="00F237BB">
        <w:rPr>
          <w:rFonts w:ascii="Arial" w:hAnsi="Arial" w:cs="Arial"/>
        </w:rPr>
        <w:t xml:space="preserve"> </w:t>
      </w:r>
      <w:r w:rsidR="00081C1B" w:rsidRPr="00F237BB">
        <w:rPr>
          <w:rFonts w:ascii="Arial" w:hAnsi="Arial" w:cs="Arial"/>
        </w:rPr>
        <w:t xml:space="preserve">especializados y de una excelente capacidad de análisis. </w:t>
      </w:r>
      <w:r w:rsidRPr="00F237BB">
        <w:rPr>
          <w:rFonts w:ascii="Arial" w:hAnsi="Arial" w:cs="Arial"/>
        </w:rPr>
        <w:t xml:space="preserve">En los anexos </w:t>
      </w:r>
      <w:r w:rsidR="00081C1B" w:rsidRPr="00F237BB">
        <w:rPr>
          <w:rFonts w:ascii="Arial" w:hAnsi="Arial" w:cs="Arial"/>
        </w:rPr>
        <w:t>2</w:t>
      </w:r>
      <w:r w:rsidRPr="00F237BB">
        <w:rPr>
          <w:rFonts w:ascii="Arial" w:hAnsi="Arial" w:cs="Arial"/>
        </w:rPr>
        <w:t xml:space="preserve"> y </w:t>
      </w:r>
      <w:r w:rsidR="00081C1B" w:rsidRPr="00F237BB">
        <w:rPr>
          <w:rFonts w:ascii="Arial" w:hAnsi="Arial" w:cs="Arial"/>
        </w:rPr>
        <w:t>3</w:t>
      </w:r>
      <w:r w:rsidRPr="00F237BB">
        <w:rPr>
          <w:rFonts w:ascii="Arial" w:hAnsi="Arial" w:cs="Arial"/>
        </w:rPr>
        <w:t xml:space="preserve"> pueden consultarse tanto la ficha </w:t>
      </w:r>
      <w:r w:rsidR="00081C1B" w:rsidRPr="00F237BB">
        <w:rPr>
          <w:rFonts w:ascii="Arial" w:hAnsi="Arial" w:cs="Arial"/>
        </w:rPr>
        <w:t xml:space="preserve">a directores </w:t>
      </w:r>
      <w:r w:rsidRPr="00F237BB">
        <w:rPr>
          <w:rFonts w:ascii="Arial" w:hAnsi="Arial" w:cs="Arial"/>
        </w:rPr>
        <w:t xml:space="preserve">como el cuestionario </w:t>
      </w:r>
      <w:r w:rsidR="00081C1B" w:rsidRPr="00F237BB">
        <w:rPr>
          <w:rFonts w:ascii="Arial" w:hAnsi="Arial" w:cs="Arial"/>
        </w:rPr>
        <w:t>utilizado en</w:t>
      </w:r>
      <w:r w:rsidRPr="00F237BB">
        <w:rPr>
          <w:rFonts w:ascii="Arial" w:hAnsi="Arial" w:cs="Arial"/>
        </w:rPr>
        <w:t xml:space="preserve"> la encuesta de formación.</w:t>
      </w:r>
    </w:p>
    <w:p w:rsidR="00616A66" w:rsidRPr="00F237BB" w:rsidRDefault="00616A66" w:rsidP="008B518C">
      <w:pPr>
        <w:pStyle w:val="ListParagraph"/>
        <w:ind w:left="567"/>
        <w:rPr>
          <w:rFonts w:ascii="Arial" w:hAnsi="Arial" w:cs="Arial"/>
        </w:rPr>
      </w:pPr>
    </w:p>
    <w:p w:rsidR="00EA29A1" w:rsidRPr="00F237BB" w:rsidRDefault="00EA29A1" w:rsidP="00EA29A1">
      <w:pPr>
        <w:pStyle w:val="ListParagraph"/>
        <w:numPr>
          <w:ilvl w:val="0"/>
          <w:numId w:val="14"/>
        </w:numPr>
        <w:ind w:left="567" w:hanging="567"/>
        <w:rPr>
          <w:rFonts w:ascii="Arial" w:hAnsi="Arial" w:cs="Arial"/>
          <w:color w:val="000000"/>
          <w:lang w:val="es-ES_tradnl"/>
        </w:rPr>
      </w:pPr>
      <w:r w:rsidRPr="00F237BB">
        <w:rPr>
          <w:rFonts w:ascii="Arial" w:hAnsi="Arial" w:cs="Arial"/>
        </w:rPr>
        <w:t>El tercer instrumento son los</w:t>
      </w:r>
      <w:r w:rsidR="00081C1B" w:rsidRPr="00F237BB">
        <w:rPr>
          <w:rFonts w:ascii="Arial" w:hAnsi="Arial" w:cs="Arial"/>
        </w:rPr>
        <w:t xml:space="preserve"> </w:t>
      </w:r>
      <w:r w:rsidRPr="00F237BB">
        <w:rPr>
          <w:rFonts w:ascii="Arial" w:hAnsi="Arial" w:cs="Arial"/>
        </w:rPr>
        <w:t xml:space="preserve">denominados </w:t>
      </w:r>
      <w:r w:rsidRPr="00F237BB">
        <w:rPr>
          <w:rFonts w:ascii="Arial" w:hAnsi="Arial" w:cs="Arial"/>
          <w:i/>
        </w:rPr>
        <w:t>índices de calidad de la elaboración de la política económica</w:t>
      </w:r>
      <w:r w:rsidRPr="00F237BB">
        <w:rPr>
          <w:rFonts w:ascii="Arial" w:hAnsi="Arial" w:cs="Arial"/>
        </w:rPr>
        <w:t xml:space="preserve"> (ICEPE). Estos</w:t>
      </w:r>
      <w:r w:rsidR="00081C1B" w:rsidRPr="00F237BB">
        <w:rPr>
          <w:rFonts w:ascii="Arial" w:hAnsi="Arial" w:cs="Arial"/>
        </w:rPr>
        <w:t xml:space="preserve"> índice</w:t>
      </w:r>
      <w:r w:rsidRPr="00F237BB">
        <w:rPr>
          <w:rFonts w:ascii="Arial" w:hAnsi="Arial" w:cs="Arial"/>
        </w:rPr>
        <w:t>s</w:t>
      </w:r>
      <w:r w:rsidR="00081C1B" w:rsidRPr="00F237BB">
        <w:rPr>
          <w:rFonts w:ascii="Arial" w:hAnsi="Arial" w:cs="Arial"/>
        </w:rPr>
        <w:t xml:space="preserve"> </w:t>
      </w:r>
      <w:r w:rsidR="0078276B" w:rsidRPr="00F237BB">
        <w:rPr>
          <w:rFonts w:ascii="Arial" w:hAnsi="Arial" w:cs="Arial"/>
        </w:rPr>
        <w:t>permite</w:t>
      </w:r>
      <w:r w:rsidRPr="00F237BB">
        <w:rPr>
          <w:rFonts w:ascii="Arial" w:hAnsi="Arial" w:cs="Arial"/>
        </w:rPr>
        <w:t>n</w:t>
      </w:r>
      <w:r w:rsidR="00081C1B" w:rsidRPr="00F237BB">
        <w:rPr>
          <w:rFonts w:ascii="Arial" w:hAnsi="Arial" w:cs="Arial"/>
        </w:rPr>
        <w:t xml:space="preserve"> medir de forma integrada los </w:t>
      </w:r>
      <w:r w:rsidR="001C2B77" w:rsidRPr="00F237BB">
        <w:rPr>
          <w:rFonts w:ascii="Arial" w:hAnsi="Arial" w:cs="Arial"/>
        </w:rPr>
        <w:t xml:space="preserve">distintos </w:t>
      </w:r>
      <w:r w:rsidR="00081C1B" w:rsidRPr="00F237BB">
        <w:rPr>
          <w:rFonts w:ascii="Arial" w:hAnsi="Arial" w:cs="Arial"/>
        </w:rPr>
        <w:t xml:space="preserve">aspectos cualitativos que inciden en </w:t>
      </w:r>
      <w:r w:rsidR="001C2B77" w:rsidRPr="00F237BB">
        <w:rPr>
          <w:rFonts w:ascii="Arial" w:hAnsi="Arial" w:cs="Arial"/>
        </w:rPr>
        <w:t>los procesos de</w:t>
      </w:r>
      <w:r w:rsidR="00081C1B" w:rsidRPr="00F237BB">
        <w:rPr>
          <w:rFonts w:ascii="Arial" w:hAnsi="Arial" w:cs="Arial"/>
        </w:rPr>
        <w:t xml:space="preserve"> generación de los productos estratégicos. </w:t>
      </w:r>
      <w:r w:rsidRPr="00F237BB">
        <w:rPr>
          <w:rFonts w:ascii="Arial" w:hAnsi="Arial" w:cs="Arial"/>
        </w:rPr>
        <w:t>Para ello, l</w:t>
      </w:r>
      <w:r w:rsidRPr="00F237BB">
        <w:rPr>
          <w:rFonts w:ascii="Arial" w:hAnsi="Arial" w:cs="Arial"/>
          <w:color w:val="000000"/>
          <w:lang w:val="es-ES_tradnl"/>
        </w:rPr>
        <w:t>a construcción conceptual de los ICEPE se realiza siguiendo la cadena de valor en la elaboración de las políticas económicas.</w:t>
      </w:r>
      <w:r w:rsidR="009C6359" w:rsidRPr="00F237BB">
        <w:rPr>
          <w:rStyle w:val="FootnoteReference"/>
          <w:rFonts w:ascii="Arial" w:hAnsi="Arial" w:cs="Arial"/>
          <w:color w:val="000000"/>
          <w:sz w:val="22"/>
          <w:lang w:val="es-ES_tradnl"/>
        </w:rPr>
        <w:footnoteReference w:id="8"/>
      </w:r>
      <w:r w:rsidRPr="00F237BB">
        <w:rPr>
          <w:rFonts w:ascii="Arial" w:hAnsi="Arial" w:cs="Arial"/>
          <w:color w:val="000000"/>
          <w:lang w:val="es-ES_tradnl"/>
        </w:rPr>
        <w:t xml:space="preserve"> Esto significa que se tienen en cuenta los siguientes elementos o descriptores del proceso que determinan la calidad de la política:</w:t>
      </w:r>
    </w:p>
    <w:p w:rsidR="00EA29A1" w:rsidRPr="00F237BB" w:rsidRDefault="00EA29A1" w:rsidP="00EA29A1">
      <w:pPr>
        <w:pStyle w:val="ListParagraph"/>
        <w:autoSpaceDE w:val="0"/>
        <w:autoSpaceDN w:val="0"/>
        <w:adjustRightInd w:val="0"/>
        <w:ind w:left="360"/>
        <w:rPr>
          <w:rFonts w:ascii="Arial" w:hAnsi="Arial" w:cs="Arial"/>
          <w:color w:val="000000"/>
          <w:lang w:val="es-ES_tradnl"/>
        </w:rPr>
      </w:pPr>
    </w:p>
    <w:p w:rsidR="00EA29A1" w:rsidRPr="00F237BB" w:rsidRDefault="00EA29A1" w:rsidP="00EA29A1">
      <w:pPr>
        <w:pStyle w:val="ListParagraph"/>
        <w:numPr>
          <w:ilvl w:val="0"/>
          <w:numId w:val="41"/>
        </w:numPr>
        <w:rPr>
          <w:rFonts w:ascii="Arial" w:hAnsi="Arial" w:cs="Arial"/>
        </w:rPr>
      </w:pPr>
      <w:r w:rsidRPr="00F237BB">
        <w:rPr>
          <w:rFonts w:ascii="Arial" w:hAnsi="Arial" w:cs="Arial"/>
        </w:rPr>
        <w:t xml:space="preserve">La calidad y oportunidad de la información primaria, que constituyen los insumos principales para las actividades de la </w:t>
      </w:r>
      <w:proofErr w:type="spellStart"/>
      <w:r w:rsidRPr="00F237BB">
        <w:rPr>
          <w:rFonts w:ascii="Arial" w:hAnsi="Arial" w:cs="Arial"/>
        </w:rPr>
        <w:t>SPE</w:t>
      </w:r>
      <w:r w:rsidR="00FB1FF7" w:rsidRPr="00F237BB">
        <w:rPr>
          <w:rFonts w:ascii="Arial" w:hAnsi="Arial" w:cs="Arial"/>
        </w:rPr>
        <w:t>yPD</w:t>
      </w:r>
      <w:proofErr w:type="spellEnd"/>
      <w:r w:rsidRPr="00F237BB">
        <w:rPr>
          <w:rFonts w:ascii="Arial" w:hAnsi="Arial" w:cs="Arial"/>
        </w:rPr>
        <w:t xml:space="preserve">. </w:t>
      </w:r>
    </w:p>
    <w:p w:rsidR="00EA29A1" w:rsidRPr="00F237BB" w:rsidRDefault="00EA29A1" w:rsidP="00EA29A1">
      <w:pPr>
        <w:pStyle w:val="ListParagraph"/>
        <w:numPr>
          <w:ilvl w:val="0"/>
          <w:numId w:val="41"/>
        </w:numPr>
        <w:rPr>
          <w:rFonts w:ascii="Arial" w:hAnsi="Arial" w:cs="Arial"/>
        </w:rPr>
      </w:pPr>
      <w:r w:rsidRPr="00F237BB">
        <w:rPr>
          <w:rFonts w:ascii="Arial" w:hAnsi="Arial" w:cs="Arial"/>
        </w:rPr>
        <w:t>La calidad del procesamiento de la información, es decir, en las herramientas y metodologías existentes para sistematizar y consolidar la información levantada.</w:t>
      </w:r>
    </w:p>
    <w:p w:rsidR="00EA29A1" w:rsidRPr="00F237BB" w:rsidRDefault="00EA29A1" w:rsidP="00EA29A1">
      <w:pPr>
        <w:pStyle w:val="ListParagraph"/>
        <w:numPr>
          <w:ilvl w:val="0"/>
          <w:numId w:val="41"/>
        </w:numPr>
        <w:rPr>
          <w:rFonts w:ascii="Arial" w:hAnsi="Arial" w:cs="Arial"/>
        </w:rPr>
      </w:pPr>
      <w:r w:rsidRPr="00F237BB">
        <w:rPr>
          <w:rFonts w:ascii="Arial" w:hAnsi="Arial" w:cs="Arial"/>
        </w:rPr>
        <w:t>La calidad de la coordinación con otras instituciones, como un aspecto relevante para determinar la fortaleza de la articulación de las directrices de política emanadas por la SPE con el conjunto de políticas sectoriales generadas por los distintos ministerios y organismos públicos.</w:t>
      </w:r>
    </w:p>
    <w:p w:rsidR="00EA29A1" w:rsidRPr="00F237BB" w:rsidRDefault="00EA29A1" w:rsidP="00EA29A1">
      <w:pPr>
        <w:pStyle w:val="ListParagraph"/>
        <w:numPr>
          <w:ilvl w:val="0"/>
          <w:numId w:val="41"/>
        </w:numPr>
        <w:rPr>
          <w:rFonts w:ascii="Arial" w:hAnsi="Arial" w:cs="Arial"/>
        </w:rPr>
      </w:pPr>
      <w:r w:rsidRPr="00F237BB">
        <w:rPr>
          <w:rFonts w:ascii="Arial" w:hAnsi="Arial" w:cs="Arial"/>
        </w:rPr>
        <w:lastRenderedPageBreak/>
        <w:t xml:space="preserve">Y finalmente, la calidad del análisis de la información, que resulta en su mayor parte en la elaboración misma de informes y demás documentos sustantivos, para lo cual se presta especial atención a las características de las metodologías usadas en el análisis y en los distintos instrumentos disponibles y utilizados. </w:t>
      </w:r>
    </w:p>
    <w:p w:rsidR="00EA29A1" w:rsidRPr="00F237BB" w:rsidRDefault="00EA29A1" w:rsidP="00EA29A1">
      <w:pPr>
        <w:pStyle w:val="ListParagraph"/>
        <w:ind w:left="927"/>
        <w:rPr>
          <w:rFonts w:ascii="Arial" w:hAnsi="Arial" w:cs="Arial"/>
        </w:rPr>
      </w:pPr>
    </w:p>
    <w:p w:rsidR="00EA29A1" w:rsidRPr="00F237BB" w:rsidRDefault="00EA29A1" w:rsidP="00EA29A1">
      <w:pPr>
        <w:pStyle w:val="ListParagraph"/>
        <w:numPr>
          <w:ilvl w:val="0"/>
          <w:numId w:val="14"/>
        </w:numPr>
        <w:ind w:left="567" w:hanging="567"/>
        <w:rPr>
          <w:rFonts w:ascii="Arial" w:hAnsi="Arial" w:cs="Arial"/>
          <w:color w:val="000000"/>
          <w:lang w:val="es-ES_tradnl"/>
        </w:rPr>
      </w:pPr>
      <w:r w:rsidRPr="00F237BB">
        <w:rPr>
          <w:rFonts w:ascii="Arial" w:hAnsi="Arial" w:cs="Arial"/>
          <w:color w:val="000000"/>
          <w:lang w:val="es-ES_tradnl"/>
        </w:rPr>
        <w:t xml:space="preserve">Es importante señalar que estos índices no están diseñados para medir la calidad de las políticas económicas, sino la calidad del </w:t>
      </w:r>
      <w:r w:rsidRPr="00F237BB">
        <w:rPr>
          <w:rFonts w:ascii="Arial" w:hAnsi="Arial" w:cs="Arial"/>
          <w:i/>
          <w:color w:val="000000"/>
          <w:lang w:val="es-ES_tradnl"/>
        </w:rPr>
        <w:t>proceso de elaboración</w:t>
      </w:r>
      <w:r w:rsidRPr="00F237BB">
        <w:rPr>
          <w:rFonts w:ascii="Arial" w:hAnsi="Arial" w:cs="Arial"/>
          <w:color w:val="000000"/>
          <w:lang w:val="es-ES_tradnl"/>
        </w:rPr>
        <w:t xml:space="preserve"> de las políticas económicas. De alguna forma, lo que se pretende es conocer cómo están funcionando los distintos insumos que forman parte de la cadena de valor en la producción de las políticas económicas.</w:t>
      </w:r>
    </w:p>
    <w:p w:rsidR="00EA29A1" w:rsidRPr="00F237BB" w:rsidRDefault="00EA29A1" w:rsidP="00EA29A1">
      <w:pPr>
        <w:pStyle w:val="ListParagraph"/>
        <w:ind w:left="927"/>
        <w:rPr>
          <w:rFonts w:ascii="Arial" w:hAnsi="Arial" w:cs="Arial"/>
          <w:lang w:val="es-ES_tradnl"/>
        </w:rPr>
      </w:pPr>
    </w:p>
    <w:p w:rsidR="00EA29A1" w:rsidRPr="00F237BB" w:rsidRDefault="00EA29A1" w:rsidP="00EA29A1">
      <w:pPr>
        <w:pStyle w:val="ListParagraph"/>
        <w:numPr>
          <w:ilvl w:val="0"/>
          <w:numId w:val="14"/>
        </w:numPr>
        <w:ind w:left="567" w:hanging="567"/>
        <w:rPr>
          <w:rFonts w:ascii="Arial" w:hAnsi="Arial" w:cs="Arial"/>
          <w:color w:val="000000"/>
          <w:lang w:val="es-ES_tradnl"/>
        </w:rPr>
      </w:pPr>
      <w:r w:rsidRPr="00F237BB">
        <w:rPr>
          <w:rFonts w:ascii="Arial" w:hAnsi="Arial" w:cs="Arial"/>
          <w:color w:val="000000"/>
          <w:lang w:val="es-ES_tradnl"/>
        </w:rPr>
        <w:t xml:space="preserve">Por tanto, los </w:t>
      </w:r>
      <w:r w:rsidRPr="00F237BB">
        <w:rPr>
          <w:rFonts w:ascii="Arial" w:hAnsi="Arial" w:cs="Arial"/>
        </w:rPr>
        <w:t>índices</w:t>
      </w:r>
      <w:r w:rsidRPr="00F237BB">
        <w:rPr>
          <w:rFonts w:ascii="Arial" w:hAnsi="Arial" w:cs="Arial"/>
          <w:color w:val="000000"/>
          <w:lang w:val="es-ES_tradnl"/>
        </w:rPr>
        <w:t xml:space="preserve"> finalmente seleccionados y los procesos a los que están directamente vinculados son los siguientes:</w:t>
      </w:r>
    </w:p>
    <w:p w:rsidR="00EA29A1" w:rsidRPr="00F237BB" w:rsidRDefault="00EA29A1" w:rsidP="00EA29A1">
      <w:pPr>
        <w:pStyle w:val="ListParagraph"/>
        <w:autoSpaceDE w:val="0"/>
        <w:autoSpaceDN w:val="0"/>
        <w:adjustRightInd w:val="0"/>
        <w:ind w:left="360"/>
        <w:rPr>
          <w:rFonts w:ascii="Arial" w:hAnsi="Arial" w:cs="Arial"/>
          <w:color w:val="000000"/>
          <w:lang w:val="es-ES_tradnl"/>
        </w:rPr>
      </w:pPr>
    </w:p>
    <w:tbl>
      <w:tblPr>
        <w:tblStyle w:val="TableGrid"/>
        <w:tblW w:w="0" w:type="auto"/>
        <w:tblInd w:w="675" w:type="dxa"/>
        <w:tblLook w:val="04A0" w:firstRow="1" w:lastRow="0" w:firstColumn="1" w:lastColumn="0" w:noHBand="0" w:noVBand="1"/>
      </w:tblPr>
      <w:tblGrid>
        <w:gridCol w:w="5670"/>
        <w:gridCol w:w="3261"/>
      </w:tblGrid>
      <w:tr w:rsidR="00EA29A1" w:rsidRPr="00F237BB" w:rsidTr="00EA29A1">
        <w:tc>
          <w:tcPr>
            <w:tcW w:w="5670" w:type="dxa"/>
          </w:tcPr>
          <w:p w:rsidR="00EA29A1" w:rsidRPr="00F237BB" w:rsidRDefault="00EA29A1" w:rsidP="000E1099">
            <w:pPr>
              <w:pStyle w:val="ListParagraph"/>
              <w:autoSpaceDE w:val="0"/>
              <w:autoSpaceDN w:val="0"/>
              <w:adjustRightInd w:val="0"/>
              <w:ind w:left="0"/>
              <w:rPr>
                <w:rFonts w:ascii="Arial" w:hAnsi="Arial" w:cs="Arial"/>
                <w:b/>
                <w:color w:val="000000"/>
                <w:lang w:val="es-ES_tradnl"/>
              </w:rPr>
            </w:pPr>
            <w:r w:rsidRPr="00F237BB">
              <w:rPr>
                <w:rFonts w:ascii="Arial" w:hAnsi="Arial" w:cs="Arial"/>
                <w:b/>
                <w:color w:val="000000"/>
                <w:lang w:val="es-ES_tradnl"/>
              </w:rPr>
              <w:t>Índice</w:t>
            </w:r>
          </w:p>
        </w:tc>
        <w:tc>
          <w:tcPr>
            <w:tcW w:w="3261" w:type="dxa"/>
          </w:tcPr>
          <w:p w:rsidR="00EA29A1" w:rsidRPr="00F237BB" w:rsidRDefault="00EA29A1" w:rsidP="000E1099">
            <w:pPr>
              <w:pStyle w:val="ListParagraph"/>
              <w:autoSpaceDE w:val="0"/>
              <w:autoSpaceDN w:val="0"/>
              <w:adjustRightInd w:val="0"/>
              <w:ind w:left="0"/>
              <w:rPr>
                <w:rFonts w:ascii="Arial" w:hAnsi="Arial" w:cs="Arial"/>
                <w:b/>
                <w:color w:val="000000"/>
                <w:lang w:val="es-ES_tradnl"/>
              </w:rPr>
            </w:pPr>
            <w:r w:rsidRPr="00F237BB">
              <w:rPr>
                <w:rFonts w:ascii="Arial" w:hAnsi="Arial" w:cs="Arial"/>
                <w:b/>
                <w:color w:val="000000"/>
                <w:lang w:val="es-ES_tradnl"/>
              </w:rPr>
              <w:t>Proceso</w:t>
            </w:r>
          </w:p>
        </w:tc>
      </w:tr>
      <w:tr w:rsidR="00EA29A1" w:rsidRPr="00F237BB" w:rsidTr="00EA29A1">
        <w:tc>
          <w:tcPr>
            <w:tcW w:w="5670"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calidad y oportunidad de la información primaria</w:t>
            </w:r>
          </w:p>
        </w:tc>
        <w:tc>
          <w:tcPr>
            <w:tcW w:w="3261"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Gestión de la información</w:t>
            </w:r>
          </w:p>
        </w:tc>
      </w:tr>
      <w:tr w:rsidR="00EA29A1" w:rsidRPr="00F237BB" w:rsidTr="00EA29A1">
        <w:tc>
          <w:tcPr>
            <w:tcW w:w="5670"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del procesamiento de la información económica</w:t>
            </w:r>
          </w:p>
        </w:tc>
        <w:tc>
          <w:tcPr>
            <w:tcW w:w="3261"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 xml:space="preserve">Elaboración de la información </w:t>
            </w:r>
          </w:p>
        </w:tc>
      </w:tr>
      <w:tr w:rsidR="00EA29A1" w:rsidRPr="00F237BB" w:rsidTr="00EA29A1">
        <w:tc>
          <w:tcPr>
            <w:tcW w:w="5670"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 coordinación externa</w:t>
            </w:r>
          </w:p>
        </w:tc>
        <w:tc>
          <w:tcPr>
            <w:tcW w:w="3261" w:type="dxa"/>
            <w:vAlign w:val="center"/>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Coordinación externa</w:t>
            </w:r>
          </w:p>
        </w:tc>
      </w:tr>
      <w:tr w:rsidR="00EA29A1" w:rsidRPr="00F237BB" w:rsidTr="00EA29A1">
        <w:tc>
          <w:tcPr>
            <w:tcW w:w="5670"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del análisis de la información</w:t>
            </w:r>
          </w:p>
        </w:tc>
        <w:tc>
          <w:tcPr>
            <w:tcW w:w="3261" w:type="dxa"/>
          </w:tcPr>
          <w:p w:rsidR="00EA29A1" w:rsidRPr="00F237BB" w:rsidRDefault="00EA29A1"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Análisis de la información</w:t>
            </w:r>
          </w:p>
        </w:tc>
      </w:tr>
    </w:tbl>
    <w:p w:rsidR="00EA29A1" w:rsidRPr="00F237BB" w:rsidRDefault="00EA29A1" w:rsidP="00EA29A1">
      <w:pPr>
        <w:pStyle w:val="ListParagraph"/>
        <w:autoSpaceDE w:val="0"/>
        <w:autoSpaceDN w:val="0"/>
        <w:adjustRightInd w:val="0"/>
        <w:ind w:left="360"/>
        <w:rPr>
          <w:rFonts w:ascii="Arial" w:hAnsi="Arial" w:cs="Arial"/>
          <w:color w:val="000000"/>
          <w:lang w:val="es-ES_tradnl"/>
        </w:rPr>
      </w:pPr>
    </w:p>
    <w:p w:rsidR="00EA29A1" w:rsidRPr="00F237BB" w:rsidRDefault="00EA29A1" w:rsidP="009C6359">
      <w:pPr>
        <w:pStyle w:val="ListParagraph"/>
        <w:numPr>
          <w:ilvl w:val="0"/>
          <w:numId w:val="14"/>
        </w:numPr>
        <w:ind w:left="567" w:hanging="567"/>
        <w:rPr>
          <w:rFonts w:ascii="Arial" w:hAnsi="Arial" w:cs="Arial"/>
          <w:color w:val="000000"/>
          <w:lang w:val="es-ES_tradnl"/>
        </w:rPr>
      </w:pPr>
      <w:r w:rsidRPr="00F237BB">
        <w:rPr>
          <w:rFonts w:ascii="Arial" w:hAnsi="Arial" w:cs="Arial"/>
          <w:color w:val="000000"/>
          <w:lang w:val="es-ES_tradnl"/>
        </w:rPr>
        <w:t xml:space="preserve">En el gráfico adjunto se puede observar la secuencia de la cadena de generación de valor agregado en el proceso de elaboración de políticas, así como los cuatro subprocesos que lo conforman: </w:t>
      </w:r>
    </w:p>
    <w:p w:rsidR="00EA29A1" w:rsidRPr="00F237BB" w:rsidRDefault="00EA29A1" w:rsidP="00EA29A1">
      <w:pPr>
        <w:autoSpaceDE w:val="0"/>
        <w:autoSpaceDN w:val="0"/>
        <w:adjustRightInd w:val="0"/>
        <w:rPr>
          <w:rFonts w:ascii="Arial" w:hAnsi="Arial" w:cs="Arial"/>
          <w:color w:val="000000"/>
          <w:lang w:val="es-ES_tradnl"/>
        </w:rPr>
      </w:pPr>
    </w:p>
    <w:p w:rsidR="00EA29A1" w:rsidRPr="00F237BB" w:rsidRDefault="00EA29A1" w:rsidP="00EA29A1">
      <w:pPr>
        <w:autoSpaceDE w:val="0"/>
        <w:autoSpaceDN w:val="0"/>
        <w:adjustRightInd w:val="0"/>
        <w:jc w:val="center"/>
        <w:rPr>
          <w:rFonts w:ascii="Arial" w:hAnsi="Arial" w:cs="Arial"/>
          <w:color w:val="000000"/>
          <w:lang w:val="es-ES_tradnl"/>
        </w:rPr>
      </w:pPr>
      <w:r w:rsidRPr="00F237BB">
        <w:rPr>
          <w:rFonts w:ascii="Arial" w:hAnsi="Arial" w:cs="Arial"/>
          <w:noProof/>
          <w:color w:val="000000"/>
          <w:lang w:val="en-US" w:eastAsia="en-US"/>
        </w:rPr>
        <w:drawing>
          <wp:inline distT="0" distB="0" distL="0" distR="0" wp14:anchorId="7D68A455" wp14:editId="327543E5">
            <wp:extent cx="4581525" cy="221658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81525" cy="2216585"/>
                    </a:xfrm>
                    <a:prstGeom prst="rect">
                      <a:avLst/>
                    </a:prstGeom>
                    <a:noFill/>
                  </pic:spPr>
                </pic:pic>
              </a:graphicData>
            </a:graphic>
          </wp:inline>
        </w:drawing>
      </w:r>
    </w:p>
    <w:p w:rsidR="00EA29A1" w:rsidRPr="00F237BB" w:rsidRDefault="00EA29A1" w:rsidP="00EA29A1">
      <w:pPr>
        <w:rPr>
          <w:rFonts w:ascii="Arial" w:hAnsi="Arial" w:cs="Arial"/>
        </w:rPr>
      </w:pPr>
    </w:p>
    <w:p w:rsidR="00EA29A1" w:rsidRPr="00F237BB" w:rsidRDefault="00EA29A1" w:rsidP="00EA29A1">
      <w:pPr>
        <w:rPr>
          <w:rFonts w:ascii="Arial" w:hAnsi="Arial" w:cs="Arial"/>
        </w:rPr>
      </w:pPr>
    </w:p>
    <w:p w:rsidR="009C6359" w:rsidRPr="00F237BB" w:rsidRDefault="009C6359" w:rsidP="009C6359">
      <w:pPr>
        <w:pStyle w:val="ListParagraph"/>
        <w:numPr>
          <w:ilvl w:val="0"/>
          <w:numId w:val="14"/>
        </w:numPr>
        <w:ind w:left="567" w:hanging="567"/>
        <w:rPr>
          <w:rFonts w:ascii="Arial" w:hAnsi="Arial" w:cs="Arial"/>
          <w:color w:val="000000"/>
          <w:lang w:val="es-ES_tradnl"/>
        </w:rPr>
      </w:pPr>
      <w:r w:rsidRPr="00F237BB">
        <w:rPr>
          <w:rFonts w:ascii="Arial" w:hAnsi="Arial" w:cs="Arial"/>
          <w:color w:val="000000"/>
          <w:lang w:val="es-ES_tradnl"/>
        </w:rPr>
        <w:t>A cada uno de los subprocesos identificados de la cadena de valor se le asigna un índice, que es medido mediante una serie de indicadores estrechamente relacionados con el proceso de elaboración de políticas y los subprocesos. En síntesis, el procedimiento de construcción de los índices es el siguiente:</w:t>
      </w:r>
    </w:p>
    <w:p w:rsidR="009C6359" w:rsidRPr="00F237BB" w:rsidRDefault="009C6359" w:rsidP="009C6359">
      <w:pPr>
        <w:pStyle w:val="ListParagraph"/>
        <w:autoSpaceDE w:val="0"/>
        <w:autoSpaceDN w:val="0"/>
        <w:adjustRightInd w:val="0"/>
        <w:ind w:left="360"/>
        <w:rPr>
          <w:rFonts w:ascii="Arial" w:hAnsi="Arial" w:cs="Arial"/>
          <w:color w:val="000000"/>
          <w:lang w:val="es-ES_tradnl"/>
        </w:rPr>
      </w:pPr>
    </w:p>
    <w:p w:rsidR="009C6359" w:rsidRPr="00F237BB" w:rsidRDefault="009C6359" w:rsidP="009C6359">
      <w:pPr>
        <w:pStyle w:val="ListParagraph"/>
        <w:numPr>
          <w:ilvl w:val="0"/>
          <w:numId w:val="43"/>
        </w:numPr>
        <w:rPr>
          <w:rFonts w:ascii="Arial" w:hAnsi="Arial" w:cs="Arial"/>
        </w:rPr>
      </w:pPr>
      <w:r w:rsidRPr="00F237BB">
        <w:rPr>
          <w:rFonts w:ascii="Arial" w:hAnsi="Arial" w:cs="Arial"/>
        </w:rPr>
        <w:t xml:space="preserve">En primer lugar, se establece una escala o gradiente para ubicar el nivel alcanzado por la institución en cada índice (subproceso). Por ejemplo, en materia de uso de herramientas de análisis avanzado, se establece una escala de mayor a menor grado de disponibilidad y utilización de estas herramientas en el proceso de análisis de la </w:t>
      </w:r>
      <w:r w:rsidRPr="00F237BB">
        <w:rPr>
          <w:rFonts w:ascii="Arial" w:hAnsi="Arial" w:cs="Arial"/>
        </w:rPr>
        <w:lastRenderedPageBreak/>
        <w:t>información. Siguiendo con otro ejemplo, a la disponibilidad y utilización de modelos contrastados del comportamiento de las principales variables le es asignada otra determinada escala o rango de valores posibles, en la que se tiene en cuenta tanto su utilización como la clase de técnicas de análisis que se adoptan.</w:t>
      </w:r>
    </w:p>
    <w:p w:rsidR="009C6359" w:rsidRPr="00F237BB" w:rsidRDefault="009C6359" w:rsidP="009C6359">
      <w:pPr>
        <w:pStyle w:val="ListParagraph"/>
        <w:numPr>
          <w:ilvl w:val="0"/>
          <w:numId w:val="43"/>
        </w:numPr>
        <w:rPr>
          <w:rFonts w:ascii="Arial" w:hAnsi="Arial" w:cs="Arial"/>
        </w:rPr>
      </w:pPr>
      <w:r w:rsidRPr="00F237BB">
        <w:rPr>
          <w:rFonts w:ascii="Arial" w:hAnsi="Arial" w:cs="Arial"/>
        </w:rPr>
        <w:t>En segundo lugar, una vez establecidas las escalas, con el apoyo de un cuestionario diseñado para este efecto se procede a la medición del grado de incidencia de los problemas o debilidades en la calidad del proceso de elaboración de políticas. Para ello se selecciona un panel de expertos que establece, en conversaciones técnicas con la contraparte, las calificaciones de cada descriptor de acuerdo con la escala establecida. Estas calificaciones permiten fijar la línea de base.</w:t>
      </w:r>
    </w:p>
    <w:p w:rsidR="00542EE2" w:rsidRPr="00F237BB" w:rsidRDefault="009C6359" w:rsidP="00917B00">
      <w:pPr>
        <w:pStyle w:val="ListParagraph"/>
        <w:numPr>
          <w:ilvl w:val="0"/>
          <w:numId w:val="43"/>
        </w:numPr>
        <w:rPr>
          <w:rFonts w:ascii="Arial" w:hAnsi="Arial" w:cs="Arial"/>
        </w:rPr>
      </w:pPr>
      <w:r w:rsidRPr="00F237BB">
        <w:rPr>
          <w:rFonts w:ascii="Arial" w:hAnsi="Arial" w:cs="Arial"/>
        </w:rPr>
        <w:t>Finalmente, una vez calificados los descriptores, se agregan los resultados en grupos de similitud temática (</w:t>
      </w:r>
      <w:r w:rsidR="00917B00" w:rsidRPr="00F237BB">
        <w:rPr>
          <w:rFonts w:ascii="Arial" w:hAnsi="Arial" w:cs="Arial"/>
        </w:rPr>
        <w:t xml:space="preserve">procesamiento de la información, </w:t>
      </w:r>
      <w:r w:rsidRPr="00F237BB">
        <w:rPr>
          <w:rFonts w:ascii="Arial" w:hAnsi="Arial" w:cs="Arial"/>
        </w:rPr>
        <w:t>análisis</w:t>
      </w:r>
      <w:r w:rsidR="00917B00" w:rsidRPr="00F237BB">
        <w:rPr>
          <w:rFonts w:ascii="Arial" w:hAnsi="Arial" w:cs="Arial"/>
        </w:rPr>
        <w:t xml:space="preserve"> de la información y generación de conocimiento, </w:t>
      </w:r>
      <w:r w:rsidRPr="00F237BB">
        <w:rPr>
          <w:rFonts w:ascii="Arial" w:hAnsi="Arial" w:cs="Arial"/>
        </w:rPr>
        <w:t>por ejemplo)</w:t>
      </w:r>
      <w:r w:rsidR="00917B00" w:rsidRPr="00F237BB">
        <w:rPr>
          <w:rFonts w:ascii="Arial" w:hAnsi="Arial" w:cs="Arial"/>
        </w:rPr>
        <w:t xml:space="preserve"> </w:t>
      </w:r>
      <w:r w:rsidR="00542EE2" w:rsidRPr="00F237BB">
        <w:rPr>
          <w:rFonts w:ascii="Arial" w:hAnsi="Arial" w:cs="Arial"/>
        </w:rPr>
        <w:t xml:space="preserve">En el </w:t>
      </w:r>
      <w:r w:rsidR="00542EE2" w:rsidRPr="00F237BB">
        <w:rPr>
          <w:rFonts w:ascii="Arial" w:hAnsi="Arial" w:cs="Arial"/>
          <w:color w:val="000000"/>
          <w:lang w:val="es-ES_tradnl"/>
        </w:rPr>
        <w:t>cuadro</w:t>
      </w:r>
      <w:r w:rsidR="00542EE2" w:rsidRPr="00F237BB">
        <w:rPr>
          <w:rFonts w:ascii="Arial" w:hAnsi="Arial" w:cs="Arial"/>
        </w:rPr>
        <w:t xml:space="preserve"> 2 puede consultarse la estructura de los índices y los ítems asociados.</w:t>
      </w:r>
    </w:p>
    <w:p w:rsidR="00EA29A1" w:rsidRPr="00F237BB" w:rsidRDefault="00EA29A1" w:rsidP="00EA29A1">
      <w:pPr>
        <w:rPr>
          <w:rFonts w:ascii="Arial" w:hAnsi="Arial" w:cs="Arial"/>
          <w:lang w:val="es-ES_tradnl"/>
        </w:rPr>
      </w:pPr>
    </w:p>
    <w:p w:rsidR="001C2B77" w:rsidRPr="00F237BB" w:rsidRDefault="001C2B77" w:rsidP="001C2B77">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6143B7" w:rsidRPr="00F237BB">
        <w:rPr>
          <w:rFonts w:ascii="Arial" w:hAnsi="Arial" w:cs="Arial"/>
          <w:noProof/>
          <w:sz w:val="22"/>
          <w:szCs w:val="22"/>
        </w:rPr>
        <w:t>2</w:t>
      </w:r>
      <w:r w:rsidR="00F237BB" w:rsidRPr="00F237BB">
        <w:rPr>
          <w:rFonts w:ascii="Arial" w:hAnsi="Arial" w:cs="Arial"/>
          <w:noProof/>
          <w:sz w:val="22"/>
          <w:szCs w:val="22"/>
        </w:rPr>
        <w:fldChar w:fldCharType="end"/>
      </w:r>
      <w:r w:rsidRPr="00F237BB">
        <w:rPr>
          <w:rFonts w:ascii="Arial" w:hAnsi="Arial" w:cs="Arial"/>
          <w:sz w:val="22"/>
          <w:szCs w:val="22"/>
        </w:rPr>
        <w:t xml:space="preserve"> – Procesos y descriptores del ICEPE</w:t>
      </w:r>
    </w:p>
    <w:tbl>
      <w:tblPr>
        <w:tblStyle w:val="TableGrid"/>
        <w:tblW w:w="0" w:type="auto"/>
        <w:tblInd w:w="675" w:type="dxa"/>
        <w:tblLook w:val="04A0" w:firstRow="1" w:lastRow="0" w:firstColumn="1" w:lastColumn="0" w:noHBand="0" w:noVBand="1"/>
      </w:tblPr>
      <w:tblGrid>
        <w:gridCol w:w="3119"/>
        <w:gridCol w:w="5812"/>
      </w:tblGrid>
      <w:tr w:rsidR="009C6359" w:rsidRPr="00F237BB" w:rsidTr="009C6359">
        <w:trPr>
          <w:cantSplit/>
          <w:tblHeader/>
        </w:trPr>
        <w:tc>
          <w:tcPr>
            <w:tcW w:w="3119" w:type="dxa"/>
          </w:tcPr>
          <w:p w:rsidR="009C6359" w:rsidRPr="00F237BB" w:rsidRDefault="009C6359" w:rsidP="000E1099">
            <w:pPr>
              <w:pStyle w:val="ListParagraph"/>
              <w:autoSpaceDE w:val="0"/>
              <w:autoSpaceDN w:val="0"/>
              <w:adjustRightInd w:val="0"/>
              <w:ind w:left="0"/>
              <w:rPr>
                <w:rFonts w:ascii="Arial" w:hAnsi="Arial" w:cs="Arial"/>
                <w:b/>
                <w:color w:val="000000"/>
                <w:lang w:val="es-ES_tradnl"/>
              </w:rPr>
            </w:pPr>
            <w:r w:rsidRPr="00F237BB">
              <w:rPr>
                <w:rFonts w:ascii="Arial" w:hAnsi="Arial" w:cs="Arial"/>
                <w:b/>
                <w:color w:val="000000"/>
                <w:lang w:val="es-ES_tradnl"/>
              </w:rPr>
              <w:t>Índice</w:t>
            </w:r>
          </w:p>
        </w:tc>
        <w:tc>
          <w:tcPr>
            <w:tcW w:w="5812" w:type="dxa"/>
          </w:tcPr>
          <w:p w:rsidR="009C6359" w:rsidRPr="00F237BB" w:rsidRDefault="009C6359" w:rsidP="000E1099">
            <w:pPr>
              <w:pStyle w:val="ListParagraph"/>
              <w:autoSpaceDE w:val="0"/>
              <w:autoSpaceDN w:val="0"/>
              <w:adjustRightInd w:val="0"/>
              <w:ind w:left="0"/>
              <w:rPr>
                <w:rFonts w:ascii="Arial" w:hAnsi="Arial" w:cs="Arial"/>
                <w:b/>
                <w:color w:val="000000"/>
                <w:lang w:val="es-ES_tradnl"/>
              </w:rPr>
            </w:pPr>
            <w:r w:rsidRPr="00F237BB">
              <w:rPr>
                <w:rFonts w:ascii="Arial" w:hAnsi="Arial" w:cs="Arial"/>
                <w:b/>
                <w:color w:val="000000"/>
                <w:lang w:val="es-ES_tradnl"/>
              </w:rPr>
              <w:t>Ítems</w:t>
            </w:r>
          </w:p>
        </w:tc>
      </w:tr>
      <w:tr w:rsidR="009C6359" w:rsidRPr="00F237BB" w:rsidTr="009C6359">
        <w:trPr>
          <w:cantSplit/>
        </w:trPr>
        <w:tc>
          <w:tcPr>
            <w:tcW w:w="3119" w:type="dxa"/>
            <w:vMerge w:val="restart"/>
            <w:vAlign w:val="center"/>
          </w:tcPr>
          <w:p w:rsidR="009C6359" w:rsidRPr="00F237BB" w:rsidRDefault="009C6359"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calidad y oportunidad de la información primaria</w:t>
            </w: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ES_tradnl"/>
              </w:rPr>
            </w:pPr>
            <w:r w:rsidRPr="00F237BB">
              <w:rPr>
                <w:rFonts w:ascii="Arial" w:hAnsi="Arial" w:cs="Arial"/>
                <w:color w:val="000000"/>
                <w:lang w:val="es-AR"/>
              </w:rPr>
              <w:t>La información de otras unidades o instituciones es recibida en forma oportuna para su utilización en el proceso de análisis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ES_tradnl"/>
              </w:rPr>
            </w:pPr>
            <w:r w:rsidRPr="00F237BB">
              <w:rPr>
                <w:rFonts w:ascii="Arial" w:hAnsi="Arial" w:cs="Arial"/>
                <w:color w:val="000000"/>
                <w:lang w:val="es-AR"/>
              </w:rPr>
              <w:t>La información recibida de otras unidades o instituciones está actualizada en función del periodo relevante para el análisis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ES_tradnl"/>
              </w:rPr>
            </w:pPr>
            <w:r w:rsidRPr="00F237BB">
              <w:rPr>
                <w:rFonts w:ascii="Arial" w:hAnsi="Arial" w:cs="Arial"/>
                <w:color w:val="000000"/>
                <w:lang w:val="es-AR"/>
              </w:rPr>
              <w:t>La información recibida es pertinente en función del tipo de análisis a realizar</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ES_tradnl"/>
              </w:rPr>
            </w:pPr>
            <w:r w:rsidRPr="00F237BB">
              <w:rPr>
                <w:rFonts w:ascii="Arial" w:hAnsi="Arial" w:cs="Arial"/>
                <w:color w:val="000000"/>
                <w:lang w:val="es-AR"/>
              </w:rPr>
              <w:t>La información recibida es completa en función del tipo de análisis a realizar</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ES_tradnl"/>
              </w:rPr>
            </w:pPr>
            <w:r w:rsidRPr="00F237BB">
              <w:rPr>
                <w:rFonts w:ascii="Arial" w:hAnsi="Arial" w:cs="Arial"/>
                <w:lang w:val="es-AR"/>
              </w:rPr>
              <w:t>La información es recibida a través de canales formales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La información es recibida de una fuente y metodología conocida que sustenta el análisis</w:t>
            </w:r>
          </w:p>
        </w:tc>
      </w:tr>
      <w:tr w:rsidR="009C6359" w:rsidRPr="00F237BB" w:rsidTr="009C6359">
        <w:trPr>
          <w:cantSplit/>
        </w:trPr>
        <w:tc>
          <w:tcPr>
            <w:tcW w:w="3119" w:type="dxa"/>
            <w:vMerge w:val="restart"/>
            <w:vAlign w:val="center"/>
          </w:tcPr>
          <w:p w:rsidR="009C6359" w:rsidRPr="00F237BB" w:rsidRDefault="009C6359"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del procesamiento de la información económica</w:t>
            </w:r>
          </w:p>
        </w:tc>
        <w:tc>
          <w:tcPr>
            <w:tcW w:w="5812" w:type="dxa"/>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Automatización de herramientas para la captura y organización de la información</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Se dispone y utilizan criterios formales y estandarizados para organizar la información</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La información de la Unidad se almacena en repositorios de datos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4"/>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Posibilidad de agregar o comparar la información recibida para utilizar en el análisis</w:t>
            </w:r>
          </w:p>
        </w:tc>
      </w:tr>
      <w:tr w:rsidR="009C6359" w:rsidRPr="00F237BB" w:rsidTr="009C6359">
        <w:trPr>
          <w:cantSplit/>
        </w:trPr>
        <w:tc>
          <w:tcPr>
            <w:tcW w:w="3119" w:type="dxa"/>
            <w:vMerge w:val="restart"/>
            <w:vAlign w:val="center"/>
          </w:tcPr>
          <w:p w:rsidR="009C6359" w:rsidRPr="00F237BB" w:rsidRDefault="009C6359"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 coordinación externa</w:t>
            </w:r>
          </w:p>
        </w:tc>
        <w:tc>
          <w:tcPr>
            <w:tcW w:w="5812" w:type="dxa"/>
            <w:vAlign w:val="center"/>
          </w:tcPr>
          <w:p w:rsidR="009C6359" w:rsidRPr="00F237BB" w:rsidRDefault="009C6359" w:rsidP="009C6359">
            <w:pPr>
              <w:pStyle w:val="ListParagraph"/>
              <w:numPr>
                <w:ilvl w:val="0"/>
                <w:numId w:val="47"/>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Grado de interacción con entidades y sectores con los que se debe coordinar</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7"/>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Conocimiento de las prioridades y objetivos de las entidades y sectores con los que se debe coordinar</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7"/>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Conocimientos de los plazos de las entidades y sectores con los que se debe coordinar</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vAlign w:val="center"/>
          </w:tcPr>
          <w:p w:rsidR="009C6359" w:rsidRPr="00F237BB" w:rsidRDefault="009C6359" w:rsidP="009C6359">
            <w:pPr>
              <w:pStyle w:val="ListParagraph"/>
              <w:numPr>
                <w:ilvl w:val="0"/>
                <w:numId w:val="47"/>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Relevancia del apoyo técnico a otras entidades y sectores</w:t>
            </w:r>
          </w:p>
        </w:tc>
      </w:tr>
      <w:tr w:rsidR="009C6359" w:rsidRPr="00F237BB" w:rsidTr="009C6359">
        <w:trPr>
          <w:cantSplit/>
        </w:trPr>
        <w:tc>
          <w:tcPr>
            <w:tcW w:w="3119" w:type="dxa"/>
            <w:vMerge w:val="restart"/>
            <w:vAlign w:val="center"/>
          </w:tcPr>
          <w:p w:rsidR="009C6359" w:rsidRPr="00F237BB" w:rsidRDefault="009C6359" w:rsidP="000E1099">
            <w:pPr>
              <w:pStyle w:val="ListParagraph"/>
              <w:autoSpaceDE w:val="0"/>
              <w:autoSpaceDN w:val="0"/>
              <w:adjustRightInd w:val="0"/>
              <w:ind w:left="0"/>
              <w:rPr>
                <w:rFonts w:ascii="Arial" w:hAnsi="Arial" w:cs="Arial"/>
                <w:color w:val="000000"/>
                <w:lang w:val="es-ES_tradnl"/>
              </w:rPr>
            </w:pPr>
            <w:r w:rsidRPr="00F237BB">
              <w:rPr>
                <w:rFonts w:ascii="Arial" w:hAnsi="Arial" w:cs="Arial"/>
                <w:color w:val="000000"/>
                <w:lang w:val="es-ES_tradnl"/>
              </w:rPr>
              <w:t>Índice de la calidad del análisis de la información</w:t>
            </w:r>
          </w:p>
        </w:tc>
        <w:tc>
          <w:tcPr>
            <w:tcW w:w="5812" w:type="dxa"/>
            <w:vAlign w:val="center"/>
          </w:tcPr>
          <w:p w:rsidR="009C6359" w:rsidRPr="00F237BB" w:rsidRDefault="009C6359" w:rsidP="009C6359">
            <w:pPr>
              <w:pStyle w:val="ListParagraph"/>
              <w:numPr>
                <w:ilvl w:val="0"/>
                <w:numId w:val="46"/>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Disponibilidad y uso de herramientas de análisis y explotación de datos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6"/>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Se disponen y utilizan metodologías de análisis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6"/>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Grado de modelización del comportamiento de las variables relevantes para la unidad</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6"/>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Grado de interacción con otras unidades de la SPE para el análisis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5"/>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 xml:space="preserve">Los informes y </w:t>
            </w:r>
            <w:proofErr w:type="spellStart"/>
            <w:r w:rsidRPr="00F237BB">
              <w:rPr>
                <w:rFonts w:ascii="Arial" w:hAnsi="Arial" w:cs="Arial"/>
                <w:i/>
                <w:color w:val="000000"/>
                <w:lang w:val="es-ES_tradnl"/>
              </w:rPr>
              <w:t>papers</w:t>
            </w:r>
            <w:proofErr w:type="spellEnd"/>
            <w:r w:rsidRPr="00F237BB">
              <w:rPr>
                <w:rFonts w:ascii="Arial" w:hAnsi="Arial" w:cs="Arial"/>
                <w:color w:val="000000"/>
                <w:lang w:val="es-AR"/>
              </w:rPr>
              <w:t xml:space="preserve"> cumplen con los siguientes atributos: 1. Objetivos claros, 2. Supuestos explícitos, 3. Descripción metodológica, 4. Referencias a fuentes utilizadas, 5. Enunciación clara de conclusiones o recomendaciones</w:t>
            </w:r>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5"/>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 xml:space="preserve">Mecanismos de control de calidad internos a la unidad de los informes y </w:t>
            </w:r>
            <w:proofErr w:type="spellStart"/>
            <w:r w:rsidRPr="00F237BB">
              <w:rPr>
                <w:rFonts w:ascii="Arial" w:hAnsi="Arial" w:cs="Arial"/>
                <w:i/>
                <w:color w:val="000000"/>
                <w:lang w:val="es-AR"/>
              </w:rPr>
              <w:t>papers</w:t>
            </w:r>
            <w:proofErr w:type="spellEnd"/>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5"/>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 xml:space="preserve">Mecanismos de control de calidad externos a la unidad de los informes y </w:t>
            </w:r>
            <w:proofErr w:type="spellStart"/>
            <w:r w:rsidRPr="00F237BB">
              <w:rPr>
                <w:rFonts w:ascii="Arial" w:hAnsi="Arial" w:cs="Arial"/>
                <w:i/>
                <w:color w:val="000000"/>
                <w:lang w:val="es-AR"/>
              </w:rPr>
              <w:t>papers</w:t>
            </w:r>
            <w:proofErr w:type="spellEnd"/>
          </w:p>
        </w:tc>
      </w:tr>
      <w:tr w:rsidR="009C6359" w:rsidRPr="00F237BB" w:rsidTr="009C6359">
        <w:trPr>
          <w:cantSplit/>
        </w:trPr>
        <w:tc>
          <w:tcPr>
            <w:tcW w:w="3119" w:type="dxa"/>
            <w:vMerge/>
          </w:tcPr>
          <w:p w:rsidR="009C6359" w:rsidRPr="00F237BB" w:rsidRDefault="009C6359" w:rsidP="000E1099">
            <w:pPr>
              <w:pStyle w:val="ListParagraph"/>
              <w:autoSpaceDE w:val="0"/>
              <w:autoSpaceDN w:val="0"/>
              <w:adjustRightInd w:val="0"/>
              <w:ind w:left="0"/>
              <w:rPr>
                <w:rFonts w:ascii="Arial" w:hAnsi="Arial" w:cs="Arial"/>
                <w:color w:val="000000"/>
                <w:lang w:val="es-ES_tradnl"/>
              </w:rPr>
            </w:pPr>
          </w:p>
        </w:tc>
        <w:tc>
          <w:tcPr>
            <w:tcW w:w="5812" w:type="dxa"/>
          </w:tcPr>
          <w:p w:rsidR="009C6359" w:rsidRPr="00F237BB" w:rsidRDefault="009C6359" w:rsidP="009C6359">
            <w:pPr>
              <w:pStyle w:val="ListParagraph"/>
              <w:numPr>
                <w:ilvl w:val="0"/>
                <w:numId w:val="45"/>
              </w:numPr>
              <w:autoSpaceDE w:val="0"/>
              <w:autoSpaceDN w:val="0"/>
              <w:adjustRightInd w:val="0"/>
              <w:ind w:left="459" w:hanging="425"/>
              <w:contextualSpacing/>
              <w:rPr>
                <w:rFonts w:ascii="Arial" w:hAnsi="Arial" w:cs="Arial"/>
                <w:color w:val="000000"/>
                <w:lang w:val="es-AR"/>
              </w:rPr>
            </w:pPr>
            <w:r w:rsidRPr="00F237BB">
              <w:rPr>
                <w:rFonts w:ascii="Arial" w:hAnsi="Arial" w:cs="Arial"/>
                <w:color w:val="000000"/>
                <w:lang w:val="es-AR"/>
              </w:rPr>
              <w:t>Grado de automaticidad con la que SIMPE se alimenta de las bases de datos</w:t>
            </w:r>
          </w:p>
        </w:tc>
      </w:tr>
    </w:tbl>
    <w:p w:rsidR="00EA29A1" w:rsidRPr="00F237BB" w:rsidRDefault="00EA29A1" w:rsidP="008B518C">
      <w:pPr>
        <w:pStyle w:val="ListParagraph"/>
        <w:ind w:left="567"/>
        <w:rPr>
          <w:rFonts w:ascii="Arial" w:hAnsi="Arial" w:cs="Arial"/>
          <w:lang w:val="es-ES_tradnl"/>
        </w:rPr>
      </w:pPr>
    </w:p>
    <w:p w:rsidR="009C6359" w:rsidRPr="00F237BB" w:rsidRDefault="009C6359" w:rsidP="008B518C">
      <w:pPr>
        <w:pStyle w:val="ListParagraph"/>
        <w:ind w:left="567"/>
        <w:rPr>
          <w:rFonts w:ascii="Arial" w:hAnsi="Arial" w:cs="Arial"/>
          <w:lang w:val="es-ES_tradnl"/>
        </w:rPr>
      </w:pPr>
    </w:p>
    <w:p w:rsidR="00EA29A1" w:rsidRPr="00F237BB" w:rsidRDefault="00EA29A1" w:rsidP="00EA29A1">
      <w:pPr>
        <w:pStyle w:val="Heading1"/>
        <w:rPr>
          <w:rFonts w:ascii="Arial" w:hAnsi="Arial" w:cs="Arial"/>
          <w:sz w:val="22"/>
          <w:szCs w:val="22"/>
        </w:rPr>
      </w:pPr>
      <w:bookmarkStart w:id="13" w:name="_Ref290241692"/>
      <w:bookmarkStart w:id="14" w:name="_Toc458521467"/>
      <w:r w:rsidRPr="00F237BB">
        <w:rPr>
          <w:rFonts w:ascii="Arial" w:hAnsi="Arial" w:cs="Arial"/>
          <w:sz w:val="22"/>
          <w:szCs w:val="22"/>
        </w:rPr>
        <w:t>El problema principal a enfrentar</w:t>
      </w:r>
      <w:bookmarkEnd w:id="13"/>
      <w:bookmarkEnd w:id="14"/>
    </w:p>
    <w:p w:rsidR="00EA29A1" w:rsidRPr="00F237BB" w:rsidRDefault="00EA29A1" w:rsidP="00EA29A1">
      <w:pPr>
        <w:pStyle w:val="Heading2"/>
        <w:rPr>
          <w:rFonts w:ascii="Arial" w:hAnsi="Arial" w:cs="Arial"/>
          <w:sz w:val="22"/>
          <w:szCs w:val="22"/>
        </w:rPr>
      </w:pPr>
      <w:bookmarkStart w:id="15" w:name="_Toc458521468"/>
      <w:r w:rsidRPr="00F237BB">
        <w:rPr>
          <w:rFonts w:ascii="Arial" w:hAnsi="Arial" w:cs="Arial"/>
          <w:sz w:val="22"/>
          <w:szCs w:val="22"/>
        </w:rPr>
        <w:t>Descripción del problema principal</w:t>
      </w:r>
      <w:bookmarkEnd w:id="15"/>
    </w:p>
    <w:p w:rsidR="00F36D7A" w:rsidRPr="00F237BB" w:rsidRDefault="000B00EF" w:rsidP="00C60E00">
      <w:pPr>
        <w:pStyle w:val="ListParagraph"/>
        <w:numPr>
          <w:ilvl w:val="0"/>
          <w:numId w:val="14"/>
        </w:numPr>
        <w:ind w:left="567" w:hanging="567"/>
        <w:rPr>
          <w:rFonts w:ascii="Arial" w:hAnsi="Arial" w:cs="Arial"/>
        </w:rPr>
      </w:pPr>
      <w:r w:rsidRPr="00F237BB">
        <w:rPr>
          <w:rFonts w:ascii="Arial" w:hAnsi="Arial" w:cs="Arial"/>
        </w:rPr>
        <w:t>En</w:t>
      </w:r>
      <w:r w:rsidR="00A420CA" w:rsidRPr="00F237BB">
        <w:rPr>
          <w:rFonts w:ascii="Arial" w:hAnsi="Arial" w:cs="Arial"/>
        </w:rPr>
        <w:t xml:space="preserve"> inicio de una nueva gestión de gobierno en el marco del actual </w:t>
      </w:r>
      <w:r w:rsidRPr="00F237BB">
        <w:rPr>
          <w:rFonts w:ascii="Arial" w:hAnsi="Arial" w:cs="Arial"/>
        </w:rPr>
        <w:t>contexto económico,</w:t>
      </w:r>
      <w:r w:rsidR="00A420CA" w:rsidRPr="00F237BB">
        <w:rPr>
          <w:rFonts w:ascii="Arial" w:hAnsi="Arial" w:cs="Arial"/>
        </w:rPr>
        <w:t xml:space="preserve"> plantea la necesidad de mejorar substancialmente las capacidades institucionales para la elaboración de la planificación y programación macroeconómica de mediano y largo plazo</w:t>
      </w:r>
      <w:r w:rsidR="001F1EC2" w:rsidRPr="00F237BB">
        <w:rPr>
          <w:rFonts w:ascii="Arial" w:hAnsi="Arial" w:cs="Arial"/>
        </w:rPr>
        <w:t xml:space="preserve">, así como la coordinación y articulación de estrategias entre el </w:t>
      </w:r>
      <w:proofErr w:type="spellStart"/>
      <w:r w:rsidR="001F1EC2" w:rsidRPr="00F237BB">
        <w:rPr>
          <w:rFonts w:ascii="Arial" w:hAnsi="Arial" w:cs="Arial"/>
        </w:rPr>
        <w:t>MHyFP</w:t>
      </w:r>
      <w:proofErr w:type="spellEnd"/>
      <w:r w:rsidR="001F1EC2" w:rsidRPr="00F237BB">
        <w:rPr>
          <w:rFonts w:ascii="Arial" w:hAnsi="Arial" w:cs="Arial"/>
        </w:rPr>
        <w:t xml:space="preserve"> y otras dependencias</w:t>
      </w:r>
      <w:r w:rsidR="00A420CA" w:rsidRPr="00F237BB">
        <w:rPr>
          <w:rFonts w:ascii="Arial" w:hAnsi="Arial" w:cs="Arial"/>
        </w:rPr>
        <w:t xml:space="preserve">. </w:t>
      </w:r>
      <w:r w:rsidR="001F1EC2" w:rsidRPr="00F237BB">
        <w:rPr>
          <w:rFonts w:ascii="Arial" w:hAnsi="Arial" w:cs="Arial"/>
        </w:rPr>
        <w:t>En los últimos años, se acentuó la</w:t>
      </w:r>
      <w:r w:rsidR="00A420CA" w:rsidRPr="00F237BB">
        <w:rPr>
          <w:rFonts w:ascii="Arial" w:hAnsi="Arial" w:cs="Arial"/>
        </w:rPr>
        <w:t xml:space="preserve"> situación de </w:t>
      </w:r>
      <w:r w:rsidR="000B71EA" w:rsidRPr="00F237BB">
        <w:rPr>
          <w:rFonts w:ascii="Arial" w:hAnsi="Arial" w:cs="Arial"/>
        </w:rPr>
        <w:t>insuficiencia en</w:t>
      </w:r>
      <w:r w:rsidRPr="00F237BB">
        <w:rPr>
          <w:rFonts w:ascii="Arial" w:hAnsi="Arial" w:cs="Arial"/>
        </w:rPr>
        <w:t xml:space="preserve"> las capacidades existentes en el </w:t>
      </w:r>
      <w:proofErr w:type="spellStart"/>
      <w:r w:rsidR="00F86B3F" w:rsidRPr="00F237BB">
        <w:rPr>
          <w:rFonts w:ascii="Arial" w:hAnsi="Arial" w:cs="Arial"/>
        </w:rPr>
        <w:t>MH</w:t>
      </w:r>
      <w:r w:rsidR="006445ED" w:rsidRPr="00F237BB">
        <w:rPr>
          <w:rFonts w:ascii="Arial" w:hAnsi="Arial" w:cs="Arial"/>
        </w:rPr>
        <w:t>y</w:t>
      </w:r>
      <w:r w:rsidR="00F86B3F" w:rsidRPr="00F237BB">
        <w:rPr>
          <w:rFonts w:ascii="Arial" w:hAnsi="Arial" w:cs="Arial"/>
        </w:rPr>
        <w:t>FP</w:t>
      </w:r>
      <w:proofErr w:type="spellEnd"/>
      <w:r w:rsidR="00A00A0C" w:rsidRPr="00F237BB">
        <w:rPr>
          <w:rFonts w:ascii="Arial" w:hAnsi="Arial" w:cs="Arial"/>
        </w:rPr>
        <w:t xml:space="preserve"> para el análisis</w:t>
      </w:r>
      <w:r w:rsidR="00A420CA" w:rsidRPr="00F237BB">
        <w:rPr>
          <w:rFonts w:ascii="Arial" w:hAnsi="Arial" w:cs="Arial"/>
        </w:rPr>
        <w:t xml:space="preserve">, que </w:t>
      </w:r>
      <w:r w:rsidR="00F36D7A" w:rsidRPr="00F237BB">
        <w:rPr>
          <w:rFonts w:ascii="Arial" w:hAnsi="Arial" w:cs="Arial"/>
        </w:rPr>
        <w:t xml:space="preserve">inciden particularmente, pero no únicamente, en la </w:t>
      </w:r>
      <w:r w:rsidR="00EE2C1F" w:rsidRPr="00F237BB">
        <w:rPr>
          <w:rFonts w:ascii="Arial" w:hAnsi="Arial" w:cs="Arial"/>
        </w:rPr>
        <w:t xml:space="preserve">actual </w:t>
      </w:r>
      <w:r w:rsidR="00217341" w:rsidRPr="00F237BB">
        <w:rPr>
          <w:rFonts w:ascii="Arial" w:hAnsi="Arial" w:cs="Arial"/>
        </w:rPr>
        <w:t>Secretaría de Política Económica y Planificación del Desarrollo</w:t>
      </w:r>
      <w:r w:rsidR="00F36D7A" w:rsidRPr="00F237BB">
        <w:rPr>
          <w:rFonts w:ascii="Arial" w:hAnsi="Arial" w:cs="Arial"/>
        </w:rPr>
        <w:t xml:space="preserve"> por su rol crucial en la </w:t>
      </w:r>
      <w:r w:rsidR="00EE2C1F" w:rsidRPr="00F237BB">
        <w:rPr>
          <w:rFonts w:ascii="Arial" w:hAnsi="Arial" w:cs="Arial"/>
        </w:rPr>
        <w:t xml:space="preserve">elaboración de la </w:t>
      </w:r>
      <w:r w:rsidR="00F36D7A" w:rsidRPr="00F237BB">
        <w:rPr>
          <w:rFonts w:ascii="Arial" w:hAnsi="Arial" w:cs="Arial"/>
        </w:rPr>
        <w:t>política económica.</w:t>
      </w:r>
      <w:r w:rsidR="00F36D7A" w:rsidRPr="00F237BB">
        <w:rPr>
          <w:rFonts w:ascii="Arial" w:hAnsi="Arial" w:cs="Arial"/>
          <w:lang w:val="es-CL"/>
        </w:rPr>
        <w:t xml:space="preserve"> </w:t>
      </w:r>
      <w:r w:rsidR="00017393" w:rsidRPr="00F237BB">
        <w:rPr>
          <w:rFonts w:ascii="Arial" w:hAnsi="Arial" w:cs="Arial"/>
          <w:lang w:val="es-CL"/>
        </w:rPr>
        <w:t xml:space="preserve">De esta manera, el principal problema </w:t>
      </w:r>
      <w:r w:rsidR="00560F28" w:rsidRPr="00F237BB">
        <w:rPr>
          <w:rFonts w:ascii="Arial" w:hAnsi="Arial" w:cs="Arial"/>
          <w:lang w:val="es-CL"/>
        </w:rPr>
        <w:t xml:space="preserve">identificado es el bajo grado de calidad </w:t>
      </w:r>
      <w:r w:rsidR="00EE2C1F" w:rsidRPr="00F237BB">
        <w:rPr>
          <w:rFonts w:ascii="Arial" w:hAnsi="Arial" w:cs="Arial"/>
          <w:lang w:val="es-CL"/>
        </w:rPr>
        <w:t xml:space="preserve">del análisis </w:t>
      </w:r>
      <w:r w:rsidR="00EB5AA3" w:rsidRPr="00F237BB">
        <w:rPr>
          <w:rFonts w:ascii="Arial" w:hAnsi="Arial" w:cs="Arial"/>
          <w:lang w:val="es-CL"/>
        </w:rPr>
        <w:t>de la información</w:t>
      </w:r>
      <w:r w:rsidR="00A00A0C" w:rsidRPr="00F237BB">
        <w:rPr>
          <w:rFonts w:ascii="Arial" w:hAnsi="Arial" w:cs="Arial"/>
          <w:lang w:val="es-CL"/>
        </w:rPr>
        <w:t xml:space="preserve"> </w:t>
      </w:r>
      <w:r w:rsidR="00EE2C1F" w:rsidRPr="00F237BB">
        <w:rPr>
          <w:rFonts w:ascii="Arial" w:hAnsi="Arial" w:cs="Arial"/>
          <w:lang w:val="es-CL"/>
        </w:rPr>
        <w:t>económica.</w:t>
      </w:r>
    </w:p>
    <w:p w:rsidR="001F1EC2" w:rsidRPr="00F237BB" w:rsidRDefault="001F1EC2">
      <w:pPr>
        <w:pStyle w:val="ListParagraph"/>
        <w:ind w:left="567"/>
        <w:rPr>
          <w:rFonts w:ascii="Arial" w:hAnsi="Arial" w:cs="Arial"/>
        </w:rPr>
      </w:pPr>
    </w:p>
    <w:p w:rsidR="000A6F31" w:rsidRPr="00F237BB" w:rsidRDefault="0078276B" w:rsidP="0078276B">
      <w:pPr>
        <w:pStyle w:val="ListParagraph"/>
        <w:numPr>
          <w:ilvl w:val="0"/>
          <w:numId w:val="14"/>
        </w:numPr>
        <w:ind w:left="567" w:hanging="567"/>
        <w:rPr>
          <w:rFonts w:ascii="Arial" w:hAnsi="Arial" w:cs="Arial"/>
        </w:rPr>
      </w:pPr>
      <w:r w:rsidRPr="00F237BB">
        <w:rPr>
          <w:rFonts w:ascii="Arial" w:hAnsi="Arial" w:cs="Arial"/>
        </w:rPr>
        <w:t xml:space="preserve">Con el fin de medir estas </w:t>
      </w:r>
      <w:r w:rsidRPr="00F237BB">
        <w:rPr>
          <w:rFonts w:ascii="Arial" w:hAnsi="Arial" w:cs="Arial"/>
          <w:lang w:val="es-CL"/>
        </w:rPr>
        <w:t>limitaciones</w:t>
      </w:r>
      <w:r w:rsidR="00A420CA" w:rsidRPr="00F237BB">
        <w:rPr>
          <w:rFonts w:ascii="Arial" w:hAnsi="Arial" w:cs="Arial"/>
          <w:lang w:val="es-CL"/>
        </w:rPr>
        <w:t xml:space="preserve"> actuales</w:t>
      </w:r>
      <w:r w:rsidRPr="00F237BB">
        <w:rPr>
          <w:rFonts w:ascii="Arial" w:hAnsi="Arial" w:cs="Arial"/>
        </w:rPr>
        <w:t xml:space="preserve">, se ha </w:t>
      </w:r>
      <w:r w:rsidR="00402DF3" w:rsidRPr="00F237BB">
        <w:rPr>
          <w:rFonts w:ascii="Arial" w:hAnsi="Arial" w:cs="Arial"/>
        </w:rPr>
        <w:t>utilizado</w:t>
      </w:r>
      <w:r w:rsidRPr="00F237BB">
        <w:rPr>
          <w:rFonts w:ascii="Arial" w:hAnsi="Arial" w:cs="Arial"/>
        </w:rPr>
        <w:t xml:space="preserve"> </w:t>
      </w:r>
      <w:r w:rsidR="00402DF3" w:rsidRPr="00F237BB">
        <w:rPr>
          <w:rFonts w:ascii="Arial" w:hAnsi="Arial" w:cs="Arial"/>
        </w:rPr>
        <w:t>el</w:t>
      </w:r>
      <w:r w:rsidRPr="00F237BB">
        <w:rPr>
          <w:rFonts w:ascii="Arial" w:hAnsi="Arial" w:cs="Arial"/>
        </w:rPr>
        <w:t xml:space="preserve"> indicador agregado de </w:t>
      </w:r>
      <w:r w:rsidRPr="00F237BB">
        <w:rPr>
          <w:rFonts w:ascii="Arial" w:hAnsi="Arial" w:cs="Arial"/>
          <w:i/>
          <w:lang w:val="es-AR"/>
        </w:rPr>
        <w:t xml:space="preserve">calidad del análisis </w:t>
      </w:r>
      <w:r w:rsidR="00402DF3" w:rsidRPr="00F237BB">
        <w:rPr>
          <w:rFonts w:ascii="Arial" w:hAnsi="Arial" w:cs="Arial"/>
          <w:i/>
          <w:lang w:val="es-AR"/>
        </w:rPr>
        <w:t xml:space="preserve">de la información </w:t>
      </w:r>
      <w:r w:rsidRPr="00F237BB">
        <w:rPr>
          <w:rFonts w:ascii="Arial" w:hAnsi="Arial" w:cs="Arial"/>
          <w:i/>
          <w:lang w:val="es-AR"/>
        </w:rPr>
        <w:t>para la política económica</w:t>
      </w:r>
      <w:r w:rsidR="00402DF3" w:rsidRPr="00F237BB">
        <w:rPr>
          <w:rFonts w:ascii="Arial" w:hAnsi="Arial" w:cs="Arial"/>
          <w:lang w:val="es-AR"/>
        </w:rPr>
        <w:t xml:space="preserve">, el cual valora </w:t>
      </w:r>
      <w:r w:rsidRPr="00F237BB">
        <w:rPr>
          <w:rFonts w:ascii="Arial" w:hAnsi="Arial" w:cs="Arial"/>
          <w:lang w:val="es-AR"/>
        </w:rPr>
        <w:t>la disponibilidad y empleo de herramientas y metodologías de análisis económico complejo, así como los atributos de calidad de los documentos e informa</w:t>
      </w:r>
      <w:r w:rsidR="00402DF3" w:rsidRPr="00F237BB">
        <w:rPr>
          <w:rFonts w:ascii="Arial" w:hAnsi="Arial" w:cs="Arial"/>
          <w:lang w:val="es-AR"/>
        </w:rPr>
        <w:t xml:space="preserve">ción que resultan del análisis. </w:t>
      </w:r>
    </w:p>
    <w:p w:rsidR="000A6F31" w:rsidRPr="00F237BB" w:rsidRDefault="000A6F31" w:rsidP="00F36D7A">
      <w:pPr>
        <w:pStyle w:val="ListParagraph"/>
        <w:ind w:left="567"/>
        <w:rPr>
          <w:rFonts w:ascii="Arial" w:hAnsi="Arial" w:cs="Arial"/>
        </w:rPr>
      </w:pPr>
    </w:p>
    <w:p w:rsidR="00402DF3" w:rsidRPr="00F237BB" w:rsidRDefault="00402DF3" w:rsidP="00402DF3">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Pr="00F237BB">
        <w:rPr>
          <w:rFonts w:ascii="Arial" w:hAnsi="Arial" w:cs="Arial"/>
          <w:noProof/>
          <w:sz w:val="22"/>
          <w:szCs w:val="22"/>
        </w:rPr>
        <w:t>3</w:t>
      </w:r>
      <w:r w:rsidR="00F237BB" w:rsidRPr="00F237BB">
        <w:rPr>
          <w:rFonts w:ascii="Arial" w:hAnsi="Arial" w:cs="Arial"/>
          <w:noProof/>
          <w:sz w:val="22"/>
          <w:szCs w:val="22"/>
        </w:rPr>
        <w:fldChar w:fldCharType="end"/>
      </w:r>
      <w:r w:rsidRPr="00F237BB">
        <w:rPr>
          <w:rFonts w:ascii="Arial" w:hAnsi="Arial" w:cs="Arial"/>
          <w:sz w:val="22"/>
          <w:szCs w:val="22"/>
        </w:rPr>
        <w:t xml:space="preserve"> – </w:t>
      </w:r>
      <w:r w:rsidR="00917B00" w:rsidRPr="00F237BB">
        <w:rPr>
          <w:rFonts w:ascii="Arial" w:hAnsi="Arial" w:cs="Arial"/>
          <w:sz w:val="22"/>
          <w:szCs w:val="22"/>
        </w:rPr>
        <w:t>Índice de calidad del análisis de la información</w:t>
      </w:r>
    </w:p>
    <w:tbl>
      <w:tblPr>
        <w:tblW w:w="8969" w:type="dxa"/>
        <w:tblInd w:w="637" w:type="dxa"/>
        <w:tblCellMar>
          <w:left w:w="70" w:type="dxa"/>
          <w:right w:w="70" w:type="dxa"/>
        </w:tblCellMar>
        <w:tblLook w:val="04A0" w:firstRow="1" w:lastRow="0" w:firstColumn="1" w:lastColumn="0" w:noHBand="0" w:noVBand="1"/>
      </w:tblPr>
      <w:tblGrid>
        <w:gridCol w:w="5245"/>
        <w:gridCol w:w="1155"/>
        <w:gridCol w:w="1418"/>
        <w:gridCol w:w="1172"/>
      </w:tblGrid>
      <w:tr w:rsidR="00402DF3" w:rsidRPr="00F237BB" w:rsidTr="009E7B4B">
        <w:trPr>
          <w:trHeight w:val="255"/>
        </w:trPr>
        <w:tc>
          <w:tcPr>
            <w:tcW w:w="5245" w:type="dxa"/>
            <w:tcBorders>
              <w:top w:val="single" w:sz="4" w:space="0" w:color="auto"/>
              <w:left w:val="nil"/>
              <w:bottom w:val="single" w:sz="4" w:space="0" w:color="auto"/>
              <w:right w:val="nil"/>
            </w:tcBorders>
            <w:shd w:val="clear" w:color="auto" w:fill="auto"/>
            <w:noWrap/>
            <w:vAlign w:val="bottom"/>
            <w:hideMark/>
          </w:tcPr>
          <w:p w:rsidR="00402DF3" w:rsidRPr="00F237BB" w:rsidRDefault="00402DF3" w:rsidP="000E1099">
            <w:pPr>
              <w:rPr>
                <w:rFonts w:ascii="Arial" w:hAnsi="Arial" w:cs="Arial"/>
                <w:b/>
                <w:lang w:val="es-ES_tradnl" w:eastAsia="es-ES_tradnl"/>
              </w:rPr>
            </w:pPr>
            <w:r w:rsidRPr="00F237BB">
              <w:rPr>
                <w:rFonts w:ascii="Arial" w:hAnsi="Arial" w:cs="Arial"/>
                <w:b/>
                <w:lang w:val="es-ES_tradnl" w:eastAsia="es-ES_tradnl"/>
              </w:rPr>
              <w:t>Índice</w:t>
            </w:r>
          </w:p>
        </w:tc>
        <w:tc>
          <w:tcPr>
            <w:tcW w:w="1134" w:type="dxa"/>
            <w:tcBorders>
              <w:top w:val="single" w:sz="4" w:space="0" w:color="auto"/>
              <w:left w:val="nil"/>
              <w:bottom w:val="single" w:sz="4" w:space="0" w:color="auto"/>
              <w:right w:val="nil"/>
            </w:tcBorders>
            <w:shd w:val="clear" w:color="auto" w:fill="auto"/>
            <w:noWrap/>
            <w:vAlign w:val="center"/>
            <w:hideMark/>
          </w:tcPr>
          <w:p w:rsidR="00402DF3" w:rsidRPr="00F237BB" w:rsidRDefault="00402DF3" w:rsidP="000E1099">
            <w:pPr>
              <w:jc w:val="center"/>
              <w:rPr>
                <w:rFonts w:ascii="Arial" w:hAnsi="Arial" w:cs="Arial"/>
                <w:b/>
                <w:bCs/>
                <w:lang w:val="es-ES_tradnl" w:eastAsia="es-ES_tradnl"/>
              </w:rPr>
            </w:pPr>
            <w:r w:rsidRPr="00F237BB">
              <w:rPr>
                <w:rFonts w:ascii="Arial" w:hAnsi="Arial" w:cs="Arial"/>
                <w:b/>
                <w:bCs/>
                <w:lang w:val="es-ES_tradnl" w:eastAsia="es-ES_tradnl"/>
              </w:rPr>
              <w:t>A. Promedio</w:t>
            </w:r>
          </w:p>
        </w:tc>
        <w:tc>
          <w:tcPr>
            <w:tcW w:w="1418" w:type="dxa"/>
            <w:tcBorders>
              <w:top w:val="single" w:sz="4" w:space="0" w:color="auto"/>
              <w:left w:val="nil"/>
              <w:bottom w:val="single" w:sz="4" w:space="0" w:color="auto"/>
              <w:right w:val="nil"/>
            </w:tcBorders>
            <w:shd w:val="clear" w:color="auto" w:fill="auto"/>
            <w:noWrap/>
            <w:vAlign w:val="center"/>
            <w:hideMark/>
          </w:tcPr>
          <w:p w:rsidR="00402DF3" w:rsidRPr="00F237BB" w:rsidRDefault="00402DF3" w:rsidP="000E1099">
            <w:pPr>
              <w:jc w:val="center"/>
              <w:rPr>
                <w:rFonts w:ascii="Arial" w:hAnsi="Arial" w:cs="Arial"/>
                <w:b/>
                <w:bCs/>
                <w:lang w:val="es-ES_tradnl" w:eastAsia="es-ES_tradnl"/>
              </w:rPr>
            </w:pPr>
            <w:r w:rsidRPr="00F237BB">
              <w:rPr>
                <w:rFonts w:ascii="Arial" w:hAnsi="Arial" w:cs="Arial"/>
                <w:b/>
                <w:bCs/>
                <w:lang w:val="es-ES_tradnl" w:eastAsia="es-ES_tradnl"/>
              </w:rPr>
              <w:t>B. Desviación estándar</w:t>
            </w:r>
          </w:p>
        </w:tc>
        <w:tc>
          <w:tcPr>
            <w:tcW w:w="1172" w:type="dxa"/>
            <w:tcBorders>
              <w:top w:val="single" w:sz="4" w:space="0" w:color="auto"/>
              <w:left w:val="nil"/>
              <w:bottom w:val="single" w:sz="4" w:space="0" w:color="auto"/>
              <w:right w:val="nil"/>
            </w:tcBorders>
            <w:shd w:val="clear" w:color="auto" w:fill="auto"/>
            <w:noWrap/>
            <w:vAlign w:val="center"/>
            <w:hideMark/>
          </w:tcPr>
          <w:p w:rsidR="00402DF3" w:rsidRPr="00F237BB" w:rsidRDefault="00402DF3" w:rsidP="000E1099">
            <w:pPr>
              <w:jc w:val="center"/>
              <w:rPr>
                <w:rFonts w:ascii="Arial" w:hAnsi="Arial" w:cs="Arial"/>
                <w:b/>
                <w:bCs/>
                <w:lang w:val="es-ES_tradnl" w:eastAsia="es-ES_tradnl"/>
              </w:rPr>
            </w:pPr>
            <w:r w:rsidRPr="00F237BB">
              <w:rPr>
                <w:rFonts w:ascii="Arial" w:hAnsi="Arial" w:cs="Arial"/>
                <w:b/>
                <w:bCs/>
                <w:lang w:val="es-ES_tradnl" w:eastAsia="es-ES_tradnl"/>
              </w:rPr>
              <w:t>B/A (%)</w:t>
            </w:r>
          </w:p>
        </w:tc>
      </w:tr>
      <w:tr w:rsidR="009E7B4B" w:rsidRPr="00F237BB" w:rsidTr="00C60E00">
        <w:trPr>
          <w:trHeight w:val="255"/>
        </w:trPr>
        <w:tc>
          <w:tcPr>
            <w:tcW w:w="5245" w:type="dxa"/>
            <w:tcBorders>
              <w:top w:val="nil"/>
              <w:left w:val="nil"/>
              <w:bottom w:val="single" w:sz="4" w:space="0" w:color="auto"/>
              <w:right w:val="nil"/>
            </w:tcBorders>
            <w:shd w:val="clear" w:color="auto" w:fill="auto"/>
            <w:noWrap/>
            <w:vAlign w:val="bottom"/>
            <w:hideMark/>
          </w:tcPr>
          <w:p w:rsidR="009E7B4B" w:rsidRPr="00F237BB" w:rsidRDefault="009E7B4B" w:rsidP="000E1099">
            <w:pPr>
              <w:rPr>
                <w:rFonts w:ascii="Arial" w:hAnsi="Arial" w:cs="Arial"/>
                <w:bCs/>
                <w:lang w:val="es-ES_tradnl" w:eastAsia="es-ES_tradnl"/>
              </w:rPr>
            </w:pPr>
            <w:r w:rsidRPr="00F237BB">
              <w:rPr>
                <w:rFonts w:ascii="Arial" w:hAnsi="Arial" w:cs="Arial"/>
                <w:bCs/>
                <w:lang w:val="es-ES_tradnl" w:eastAsia="es-ES_tradnl"/>
              </w:rPr>
              <w:t>Calidad del análisis de la información económica</w:t>
            </w:r>
          </w:p>
        </w:tc>
        <w:tc>
          <w:tcPr>
            <w:tcW w:w="1134" w:type="dxa"/>
            <w:tcBorders>
              <w:top w:val="nil"/>
              <w:left w:val="nil"/>
              <w:bottom w:val="single" w:sz="4" w:space="0" w:color="auto"/>
              <w:right w:val="nil"/>
            </w:tcBorders>
            <w:shd w:val="clear" w:color="auto" w:fill="auto"/>
            <w:noWrap/>
            <w:hideMark/>
          </w:tcPr>
          <w:p w:rsidR="009E7B4B" w:rsidRPr="00F237BB" w:rsidRDefault="009E7B4B" w:rsidP="00FB3976">
            <w:pPr>
              <w:ind w:right="113"/>
              <w:jc w:val="right"/>
              <w:rPr>
                <w:rFonts w:ascii="Arial" w:hAnsi="Arial" w:cs="Arial"/>
                <w:lang w:val="es-ES_tradnl" w:eastAsia="es-ES_tradnl"/>
              </w:rPr>
            </w:pPr>
            <w:r w:rsidRPr="00F237BB">
              <w:rPr>
                <w:rFonts w:ascii="Arial" w:hAnsi="Arial" w:cs="Arial"/>
              </w:rPr>
              <w:t>4,66</w:t>
            </w:r>
          </w:p>
        </w:tc>
        <w:tc>
          <w:tcPr>
            <w:tcW w:w="1418" w:type="dxa"/>
            <w:tcBorders>
              <w:top w:val="nil"/>
              <w:left w:val="nil"/>
              <w:bottom w:val="single" w:sz="4" w:space="0" w:color="auto"/>
              <w:right w:val="nil"/>
            </w:tcBorders>
            <w:shd w:val="clear" w:color="auto" w:fill="auto"/>
            <w:noWrap/>
            <w:hideMark/>
          </w:tcPr>
          <w:p w:rsidR="009E7B4B" w:rsidRPr="00F237BB" w:rsidRDefault="009E7B4B" w:rsidP="00FB3976">
            <w:pPr>
              <w:ind w:right="287"/>
              <w:jc w:val="right"/>
              <w:rPr>
                <w:rFonts w:ascii="Arial" w:hAnsi="Arial" w:cs="Arial"/>
                <w:lang w:val="es-ES_tradnl" w:eastAsia="es-ES_tradnl"/>
              </w:rPr>
            </w:pPr>
            <w:r w:rsidRPr="00F237BB">
              <w:rPr>
                <w:rFonts w:ascii="Arial" w:hAnsi="Arial" w:cs="Arial"/>
              </w:rPr>
              <w:t>1,05</w:t>
            </w:r>
          </w:p>
        </w:tc>
        <w:tc>
          <w:tcPr>
            <w:tcW w:w="1172" w:type="dxa"/>
            <w:tcBorders>
              <w:top w:val="nil"/>
              <w:left w:val="nil"/>
              <w:bottom w:val="single" w:sz="4" w:space="0" w:color="auto"/>
              <w:right w:val="nil"/>
            </w:tcBorders>
            <w:shd w:val="clear" w:color="auto" w:fill="auto"/>
            <w:noWrap/>
            <w:hideMark/>
          </w:tcPr>
          <w:p w:rsidR="009E7B4B" w:rsidRPr="00F237BB" w:rsidRDefault="009E7B4B" w:rsidP="00FB3976">
            <w:pPr>
              <w:ind w:right="113"/>
              <w:jc w:val="right"/>
              <w:rPr>
                <w:rFonts w:ascii="Arial" w:hAnsi="Arial" w:cs="Arial"/>
                <w:lang w:val="es-ES_tradnl" w:eastAsia="es-ES_tradnl"/>
              </w:rPr>
            </w:pPr>
            <w:r w:rsidRPr="00F237BB">
              <w:rPr>
                <w:rFonts w:ascii="Arial" w:hAnsi="Arial" w:cs="Arial"/>
              </w:rPr>
              <w:t>22,6%</w:t>
            </w:r>
          </w:p>
        </w:tc>
      </w:tr>
    </w:tbl>
    <w:p w:rsidR="00402DF3" w:rsidRPr="00F237BB" w:rsidRDefault="00402DF3" w:rsidP="00402DF3">
      <w:pPr>
        <w:ind w:left="737"/>
        <w:rPr>
          <w:rFonts w:ascii="Arial" w:hAnsi="Arial" w:cs="Arial"/>
        </w:rPr>
      </w:pPr>
      <w:r w:rsidRPr="00F237BB">
        <w:rPr>
          <w:rFonts w:ascii="Arial" w:hAnsi="Arial" w:cs="Arial"/>
        </w:rPr>
        <w:t>Fuente: Elaboración propia con datos de la aplicación de la metodología ICEPE.</w:t>
      </w:r>
    </w:p>
    <w:p w:rsidR="00402DF3" w:rsidRPr="00F237BB" w:rsidRDefault="00402DF3" w:rsidP="00F36D7A">
      <w:pPr>
        <w:pStyle w:val="ListParagraph"/>
        <w:ind w:left="567"/>
        <w:rPr>
          <w:rFonts w:ascii="Arial" w:hAnsi="Arial" w:cs="Arial"/>
        </w:rPr>
      </w:pPr>
    </w:p>
    <w:p w:rsidR="00402DF3" w:rsidRPr="00F237BB" w:rsidRDefault="00402DF3" w:rsidP="00917B00">
      <w:pPr>
        <w:pStyle w:val="ListParagraph"/>
        <w:numPr>
          <w:ilvl w:val="0"/>
          <w:numId w:val="14"/>
        </w:numPr>
        <w:ind w:left="567" w:hanging="567"/>
        <w:rPr>
          <w:rFonts w:ascii="Arial" w:hAnsi="Arial" w:cs="Arial"/>
        </w:rPr>
      </w:pPr>
      <w:r w:rsidRPr="00F237BB">
        <w:rPr>
          <w:rFonts w:ascii="Arial" w:hAnsi="Arial" w:cs="Arial"/>
        </w:rPr>
        <w:t>En el cuadro 3 puede observarse que en la escala de 0 a 10, el índice de calidad del análisis de la información para la política económica obtiene una puntuación de 4,</w:t>
      </w:r>
      <w:r w:rsidR="009E7B4B" w:rsidRPr="00F237BB">
        <w:rPr>
          <w:rFonts w:ascii="Arial" w:hAnsi="Arial" w:cs="Arial"/>
        </w:rPr>
        <w:t>66</w:t>
      </w:r>
      <w:r w:rsidRPr="00F237BB">
        <w:rPr>
          <w:rFonts w:ascii="Arial" w:hAnsi="Arial" w:cs="Arial"/>
        </w:rPr>
        <w:t xml:space="preserve">, con una desviación estándar de </w:t>
      </w:r>
      <w:r w:rsidR="00A00A0C" w:rsidRPr="00F237BB">
        <w:rPr>
          <w:rFonts w:ascii="Arial" w:hAnsi="Arial" w:cs="Arial"/>
        </w:rPr>
        <w:t>1</w:t>
      </w:r>
      <w:r w:rsidRPr="00F237BB">
        <w:rPr>
          <w:rFonts w:ascii="Arial" w:hAnsi="Arial" w:cs="Arial"/>
        </w:rPr>
        <w:t>,</w:t>
      </w:r>
      <w:r w:rsidR="009E7B4B" w:rsidRPr="00F237BB">
        <w:rPr>
          <w:rFonts w:ascii="Arial" w:hAnsi="Arial" w:cs="Arial"/>
        </w:rPr>
        <w:t>0</w:t>
      </w:r>
      <w:r w:rsidR="00A00A0C" w:rsidRPr="00F237BB">
        <w:rPr>
          <w:rFonts w:ascii="Arial" w:hAnsi="Arial" w:cs="Arial"/>
        </w:rPr>
        <w:t xml:space="preserve">5 </w:t>
      </w:r>
      <w:r w:rsidRPr="00F237BB">
        <w:rPr>
          <w:rFonts w:ascii="Arial" w:hAnsi="Arial" w:cs="Arial"/>
        </w:rPr>
        <w:t xml:space="preserve">(supone el </w:t>
      </w:r>
      <w:r w:rsidR="009E7B4B" w:rsidRPr="00F237BB">
        <w:rPr>
          <w:rFonts w:ascii="Arial" w:hAnsi="Arial" w:cs="Arial"/>
        </w:rPr>
        <w:t>2</w:t>
      </w:r>
      <w:r w:rsidR="00A00A0C" w:rsidRPr="00F237BB">
        <w:rPr>
          <w:rFonts w:ascii="Arial" w:hAnsi="Arial" w:cs="Arial"/>
        </w:rPr>
        <w:t>2</w:t>
      </w:r>
      <w:r w:rsidRPr="00F237BB">
        <w:rPr>
          <w:rFonts w:ascii="Arial" w:hAnsi="Arial" w:cs="Arial"/>
        </w:rPr>
        <w:t>,</w:t>
      </w:r>
      <w:r w:rsidR="009E7B4B" w:rsidRPr="00F237BB">
        <w:rPr>
          <w:rFonts w:ascii="Arial" w:hAnsi="Arial" w:cs="Arial"/>
        </w:rPr>
        <w:t>6</w:t>
      </w:r>
      <w:r w:rsidRPr="00F237BB">
        <w:rPr>
          <w:rFonts w:ascii="Arial" w:hAnsi="Arial" w:cs="Arial"/>
        </w:rPr>
        <w:t xml:space="preserve">% del valor promedio). Esto estaría denotando que existe </w:t>
      </w:r>
      <w:r w:rsidR="00E92C14" w:rsidRPr="00F237BB">
        <w:rPr>
          <w:rFonts w:ascii="Arial" w:hAnsi="Arial" w:cs="Arial"/>
        </w:rPr>
        <w:t>cierta</w:t>
      </w:r>
      <w:r w:rsidRPr="00F237BB">
        <w:rPr>
          <w:rFonts w:ascii="Arial" w:hAnsi="Arial" w:cs="Arial"/>
        </w:rPr>
        <w:t xml:space="preserve"> </w:t>
      </w:r>
      <w:r w:rsidR="009E7B4B" w:rsidRPr="00F237BB">
        <w:rPr>
          <w:rFonts w:ascii="Arial" w:hAnsi="Arial" w:cs="Arial"/>
        </w:rPr>
        <w:t>heterog</w:t>
      </w:r>
      <w:r w:rsidR="00E92C14" w:rsidRPr="00F237BB">
        <w:rPr>
          <w:rFonts w:ascii="Arial" w:hAnsi="Arial" w:cs="Arial"/>
        </w:rPr>
        <w:t>eneidad</w:t>
      </w:r>
      <w:r w:rsidR="009E7B4B" w:rsidRPr="00F237BB">
        <w:rPr>
          <w:rFonts w:ascii="Arial" w:hAnsi="Arial" w:cs="Arial"/>
        </w:rPr>
        <w:t xml:space="preserve"> </w:t>
      </w:r>
      <w:r w:rsidRPr="00F237BB">
        <w:rPr>
          <w:rFonts w:ascii="Arial" w:hAnsi="Arial" w:cs="Arial"/>
        </w:rPr>
        <w:t xml:space="preserve">en la </w:t>
      </w:r>
      <w:r w:rsidR="00E92C14" w:rsidRPr="00F237BB">
        <w:rPr>
          <w:rFonts w:ascii="Arial" w:hAnsi="Arial" w:cs="Arial"/>
        </w:rPr>
        <w:t>situación de</w:t>
      </w:r>
      <w:r w:rsidRPr="00F237BB">
        <w:rPr>
          <w:rFonts w:ascii="Arial" w:hAnsi="Arial" w:cs="Arial"/>
        </w:rPr>
        <w:t xml:space="preserve"> cada</w:t>
      </w:r>
      <w:r w:rsidR="00770BAF" w:rsidRPr="00F237BB">
        <w:rPr>
          <w:rFonts w:ascii="Arial" w:hAnsi="Arial" w:cs="Arial"/>
        </w:rPr>
        <w:t xml:space="preserve"> una</w:t>
      </w:r>
      <w:r w:rsidRPr="00F237BB">
        <w:rPr>
          <w:rFonts w:ascii="Arial" w:hAnsi="Arial" w:cs="Arial"/>
        </w:rPr>
        <w:t xml:space="preserve"> </w:t>
      </w:r>
      <w:r w:rsidR="00917B00" w:rsidRPr="00F237BB">
        <w:rPr>
          <w:rFonts w:ascii="Arial" w:hAnsi="Arial" w:cs="Arial"/>
        </w:rPr>
        <w:t xml:space="preserve">de las unidades integrantes de la </w:t>
      </w:r>
      <w:proofErr w:type="spellStart"/>
      <w:r w:rsidR="00917B00" w:rsidRPr="00F237BB">
        <w:rPr>
          <w:rFonts w:ascii="Arial" w:hAnsi="Arial" w:cs="Arial"/>
        </w:rPr>
        <w:t>SPE</w:t>
      </w:r>
      <w:r w:rsidR="00F23DDE" w:rsidRPr="00F237BB">
        <w:rPr>
          <w:rFonts w:ascii="Arial" w:hAnsi="Arial" w:cs="Arial"/>
        </w:rPr>
        <w:t>yPD</w:t>
      </w:r>
      <w:proofErr w:type="spellEnd"/>
      <w:r w:rsidR="00A00A0C" w:rsidRPr="00F237BB">
        <w:rPr>
          <w:rFonts w:ascii="Arial" w:hAnsi="Arial" w:cs="Arial"/>
        </w:rPr>
        <w:t xml:space="preserve"> relevadas para el índice</w:t>
      </w:r>
      <w:r w:rsidR="00917B00" w:rsidRPr="00F237BB">
        <w:rPr>
          <w:rFonts w:ascii="Arial" w:hAnsi="Arial" w:cs="Arial"/>
        </w:rPr>
        <w:t>.</w:t>
      </w:r>
      <w:r w:rsidR="00DA5F38" w:rsidRPr="00F237BB">
        <w:rPr>
          <w:rFonts w:ascii="Arial" w:hAnsi="Arial" w:cs="Arial"/>
        </w:rPr>
        <w:t xml:space="preserve"> A saber, se </w:t>
      </w:r>
      <w:r w:rsidR="009E7B4B" w:rsidRPr="00F237BB">
        <w:rPr>
          <w:rFonts w:ascii="Arial" w:hAnsi="Arial" w:cs="Arial"/>
        </w:rPr>
        <w:t xml:space="preserve">observa </w:t>
      </w:r>
      <w:r w:rsidR="00E73AC3" w:rsidRPr="00F237BB">
        <w:rPr>
          <w:rFonts w:ascii="Arial" w:hAnsi="Arial" w:cs="Arial"/>
        </w:rPr>
        <w:t xml:space="preserve">un menor valor del </w:t>
      </w:r>
      <w:r w:rsidR="00E73AC3" w:rsidRPr="00F237BB">
        <w:rPr>
          <w:rFonts w:ascii="Arial" w:hAnsi="Arial" w:cs="Arial"/>
        </w:rPr>
        <w:lastRenderedPageBreak/>
        <w:t>índice para las dos direcciones nacionales encargadas de la planificación regional y sectorial, mientras que el índice casi duplica su valor para el caso de la dirección de Modelos y Proyecciones, típicamente abocada al análisis de información económica.</w:t>
      </w:r>
    </w:p>
    <w:p w:rsidR="00402DF3" w:rsidRPr="00F237BB" w:rsidRDefault="00402DF3" w:rsidP="00F36D7A">
      <w:pPr>
        <w:pStyle w:val="ListParagraph"/>
        <w:ind w:left="567"/>
        <w:rPr>
          <w:rFonts w:ascii="Arial" w:hAnsi="Arial" w:cs="Arial"/>
        </w:rPr>
      </w:pPr>
    </w:p>
    <w:p w:rsidR="000F48E6" w:rsidRPr="00F237BB" w:rsidRDefault="00557956" w:rsidP="00406ECB">
      <w:pPr>
        <w:pStyle w:val="ListParagraph"/>
        <w:numPr>
          <w:ilvl w:val="0"/>
          <w:numId w:val="14"/>
        </w:numPr>
        <w:ind w:left="567" w:hanging="567"/>
        <w:rPr>
          <w:rFonts w:ascii="Arial" w:hAnsi="Arial" w:cs="Arial"/>
        </w:rPr>
      </w:pPr>
      <w:r w:rsidRPr="00F237BB">
        <w:rPr>
          <w:rFonts w:ascii="Arial" w:hAnsi="Arial" w:cs="Arial"/>
        </w:rPr>
        <w:t xml:space="preserve">Las limitaciones también se advierten tradicionalmente en </w:t>
      </w:r>
      <w:r w:rsidR="00ED4409" w:rsidRPr="00F237BB">
        <w:rPr>
          <w:rFonts w:ascii="Arial" w:hAnsi="Arial" w:cs="Arial"/>
        </w:rPr>
        <w:t xml:space="preserve">el </w:t>
      </w:r>
      <w:r w:rsidR="001F330A" w:rsidRPr="00F237BB">
        <w:rPr>
          <w:rFonts w:ascii="Arial" w:hAnsi="Arial" w:cs="Arial"/>
        </w:rPr>
        <w:t>grado de</w:t>
      </w:r>
      <w:r w:rsidR="00ED4409" w:rsidRPr="00F237BB">
        <w:rPr>
          <w:rFonts w:ascii="Arial" w:hAnsi="Arial" w:cs="Arial"/>
        </w:rPr>
        <w:t xml:space="preserve"> utilización</w:t>
      </w:r>
      <w:r w:rsidR="000F48E6" w:rsidRPr="00F237BB">
        <w:rPr>
          <w:rFonts w:ascii="Arial" w:hAnsi="Arial" w:cs="Arial"/>
        </w:rPr>
        <w:t xml:space="preserve"> o integración</w:t>
      </w:r>
      <w:r w:rsidR="00ED4409" w:rsidRPr="00F237BB">
        <w:rPr>
          <w:rFonts w:ascii="Arial" w:hAnsi="Arial" w:cs="Arial"/>
        </w:rPr>
        <w:t xml:space="preserve"> de insumos (informes, marco macroeconómico, escenarios, etc.) elaborados por la </w:t>
      </w:r>
      <w:proofErr w:type="spellStart"/>
      <w:r w:rsidR="00ED4409" w:rsidRPr="00F237BB">
        <w:rPr>
          <w:rFonts w:ascii="Arial" w:hAnsi="Arial" w:cs="Arial"/>
        </w:rPr>
        <w:t>SPE</w:t>
      </w:r>
      <w:r w:rsidR="00FB1FF7" w:rsidRPr="00F237BB">
        <w:rPr>
          <w:rFonts w:ascii="Arial" w:hAnsi="Arial" w:cs="Arial"/>
        </w:rPr>
        <w:t>yPD</w:t>
      </w:r>
      <w:proofErr w:type="spellEnd"/>
      <w:r w:rsidR="000F48E6" w:rsidRPr="00F237BB">
        <w:rPr>
          <w:rFonts w:ascii="Arial" w:hAnsi="Arial" w:cs="Arial"/>
        </w:rPr>
        <w:t xml:space="preserve"> en los planes sectoriales promovidos </w:t>
      </w:r>
      <w:r w:rsidR="001F330A" w:rsidRPr="00F237BB">
        <w:rPr>
          <w:rFonts w:ascii="Arial" w:hAnsi="Arial" w:cs="Arial"/>
        </w:rPr>
        <w:t>por otras instituciones responsables</w:t>
      </w:r>
      <w:r w:rsidR="000F48E6" w:rsidRPr="00F237BB">
        <w:rPr>
          <w:rFonts w:ascii="Arial" w:hAnsi="Arial" w:cs="Arial"/>
        </w:rPr>
        <w:t xml:space="preserve"> (ministerios, agencias del Gobierno, etc.)</w:t>
      </w:r>
      <w:r w:rsidR="00ED4409" w:rsidRPr="00F237BB">
        <w:rPr>
          <w:rFonts w:ascii="Arial" w:hAnsi="Arial" w:cs="Arial"/>
        </w:rPr>
        <w:t xml:space="preserve">. </w:t>
      </w:r>
      <w:r w:rsidR="00C122A0" w:rsidRPr="00F237BB">
        <w:rPr>
          <w:rFonts w:ascii="Arial" w:hAnsi="Arial" w:cs="Arial"/>
        </w:rPr>
        <w:t xml:space="preserve">En condiciones normales, cabría esperar que el </w:t>
      </w:r>
      <w:r w:rsidR="001F330A" w:rsidRPr="00F237BB">
        <w:rPr>
          <w:rFonts w:ascii="Arial" w:hAnsi="Arial" w:cs="Arial"/>
        </w:rPr>
        <w:t>conjunto</w:t>
      </w:r>
      <w:r w:rsidR="00C122A0" w:rsidRPr="00F237BB">
        <w:rPr>
          <w:rFonts w:ascii="Arial" w:hAnsi="Arial" w:cs="Arial"/>
        </w:rPr>
        <w:t xml:space="preserve"> de la Administración Pública </w:t>
      </w:r>
      <w:r w:rsidR="001F330A" w:rsidRPr="00F237BB">
        <w:rPr>
          <w:rFonts w:ascii="Arial" w:hAnsi="Arial" w:cs="Arial"/>
        </w:rPr>
        <w:t xml:space="preserve">use </w:t>
      </w:r>
      <w:r w:rsidR="000F48E6" w:rsidRPr="00F237BB">
        <w:rPr>
          <w:rFonts w:ascii="Arial" w:hAnsi="Arial" w:cs="Arial"/>
        </w:rPr>
        <w:t xml:space="preserve">o integre </w:t>
      </w:r>
      <w:r w:rsidR="001F330A" w:rsidRPr="00F237BB">
        <w:rPr>
          <w:rFonts w:ascii="Arial" w:hAnsi="Arial" w:cs="Arial"/>
        </w:rPr>
        <w:t>los instrumentos de política económica de mediano y la</w:t>
      </w:r>
      <w:r w:rsidR="000F48E6" w:rsidRPr="00F237BB">
        <w:rPr>
          <w:rFonts w:ascii="Arial" w:hAnsi="Arial" w:cs="Arial"/>
        </w:rPr>
        <w:t xml:space="preserve">rgo plazo formulados por la </w:t>
      </w:r>
      <w:proofErr w:type="spellStart"/>
      <w:r w:rsidR="000F48E6" w:rsidRPr="00F237BB">
        <w:rPr>
          <w:rFonts w:ascii="Arial" w:hAnsi="Arial" w:cs="Arial"/>
        </w:rPr>
        <w:t>SPE</w:t>
      </w:r>
      <w:r w:rsidR="00FB1FF7" w:rsidRPr="00F237BB">
        <w:rPr>
          <w:rFonts w:ascii="Arial" w:hAnsi="Arial" w:cs="Arial"/>
        </w:rPr>
        <w:t>yPD</w:t>
      </w:r>
      <w:proofErr w:type="spellEnd"/>
      <w:r w:rsidR="000F48E6" w:rsidRPr="00F237BB">
        <w:rPr>
          <w:rFonts w:ascii="Arial" w:hAnsi="Arial" w:cs="Arial"/>
        </w:rPr>
        <w:t xml:space="preserve"> en el conjunto de informes y planes que elaboren.</w:t>
      </w:r>
      <w:r w:rsidR="001F330A" w:rsidRPr="00F237BB">
        <w:rPr>
          <w:rFonts w:ascii="Arial" w:hAnsi="Arial" w:cs="Arial"/>
        </w:rPr>
        <w:t xml:space="preserve"> </w:t>
      </w:r>
      <w:r w:rsidRPr="00F237BB">
        <w:rPr>
          <w:rFonts w:ascii="Arial" w:hAnsi="Arial" w:cs="Arial"/>
        </w:rPr>
        <w:t xml:space="preserve">Para mediar la integración, se calcular un </w:t>
      </w:r>
      <w:r w:rsidR="009E35B0" w:rsidRPr="00F237BB">
        <w:rPr>
          <w:rFonts w:ascii="Arial" w:hAnsi="Arial" w:cs="Arial"/>
        </w:rPr>
        <w:t xml:space="preserve">indicador </w:t>
      </w:r>
      <w:r w:rsidRPr="00F237BB">
        <w:rPr>
          <w:rFonts w:ascii="Arial" w:hAnsi="Arial" w:cs="Arial"/>
        </w:rPr>
        <w:t xml:space="preserve">que muestra </w:t>
      </w:r>
      <w:r w:rsidR="009E35B0" w:rsidRPr="00F237BB">
        <w:rPr>
          <w:rFonts w:ascii="Arial" w:hAnsi="Arial" w:cs="Arial"/>
        </w:rPr>
        <w:t xml:space="preserve">dos </w:t>
      </w:r>
      <w:r w:rsidRPr="00F237BB">
        <w:rPr>
          <w:rFonts w:ascii="Arial" w:hAnsi="Arial" w:cs="Arial"/>
        </w:rPr>
        <w:t xml:space="preserve">dimensiones </w:t>
      </w:r>
      <w:r w:rsidR="009E35B0" w:rsidRPr="00F237BB">
        <w:rPr>
          <w:rFonts w:ascii="Arial" w:hAnsi="Arial" w:cs="Arial"/>
        </w:rPr>
        <w:t xml:space="preserve">simultáneamente: (i) la adecuación técnica de los instrumentos puestos a disposición de los formuladores de las políticas sectoriales, que de una alguna manera se reflejaría en que los marcos de programación económica y los informes de coyuntura elaborados por la </w:t>
      </w:r>
      <w:proofErr w:type="spellStart"/>
      <w:r w:rsidR="009E35B0" w:rsidRPr="00F237BB">
        <w:rPr>
          <w:rFonts w:ascii="Arial" w:hAnsi="Arial" w:cs="Arial"/>
        </w:rPr>
        <w:t>SPE</w:t>
      </w:r>
      <w:r w:rsidR="00FB1FF7" w:rsidRPr="00F237BB">
        <w:rPr>
          <w:rFonts w:ascii="Arial" w:hAnsi="Arial" w:cs="Arial"/>
        </w:rPr>
        <w:t>yPD</w:t>
      </w:r>
      <w:proofErr w:type="spellEnd"/>
      <w:r w:rsidR="009E35B0" w:rsidRPr="00F237BB">
        <w:rPr>
          <w:rFonts w:ascii="Arial" w:hAnsi="Arial" w:cs="Arial"/>
        </w:rPr>
        <w:t xml:space="preserve"> son ajustados en tiempo y forma a las necesidades de los sectores; y (ii) la capacidad de la </w:t>
      </w:r>
      <w:proofErr w:type="spellStart"/>
      <w:r w:rsidR="009E35B0" w:rsidRPr="00F237BB">
        <w:rPr>
          <w:rFonts w:ascii="Arial" w:hAnsi="Arial" w:cs="Arial"/>
        </w:rPr>
        <w:t>SPE</w:t>
      </w:r>
      <w:r w:rsidR="00FB1FF7" w:rsidRPr="00F237BB">
        <w:rPr>
          <w:rFonts w:ascii="Arial" w:hAnsi="Arial" w:cs="Arial"/>
        </w:rPr>
        <w:t>yPD</w:t>
      </w:r>
      <w:proofErr w:type="spellEnd"/>
      <w:r w:rsidR="009E35B0" w:rsidRPr="00F237BB">
        <w:rPr>
          <w:rFonts w:ascii="Arial" w:hAnsi="Arial" w:cs="Arial"/>
        </w:rPr>
        <w:t xml:space="preserve"> para articular instancias de intercambio de conocimientos e información de alto valor agregado en el proceso de elaboración de las políticas sectoriales. </w:t>
      </w:r>
    </w:p>
    <w:p w:rsidR="000F48E6" w:rsidRPr="00F237BB" w:rsidRDefault="000F48E6" w:rsidP="000F48E6">
      <w:pPr>
        <w:pStyle w:val="ListParagraph"/>
        <w:rPr>
          <w:rFonts w:ascii="Arial" w:hAnsi="Arial" w:cs="Arial"/>
        </w:rPr>
      </w:pPr>
    </w:p>
    <w:p w:rsidR="00593927" w:rsidRPr="00F237BB" w:rsidRDefault="00593927" w:rsidP="00593927">
      <w:pPr>
        <w:pStyle w:val="Caption"/>
        <w:spacing w:line="360" w:lineRule="auto"/>
        <w:jc w:val="center"/>
        <w:rPr>
          <w:rFonts w:ascii="Arial" w:hAnsi="Arial" w:cs="Arial"/>
          <w:sz w:val="22"/>
          <w:szCs w:val="22"/>
        </w:rPr>
      </w:pPr>
      <w:bookmarkStart w:id="16" w:name="_Ref290893228"/>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402DF3" w:rsidRPr="00F237BB">
        <w:rPr>
          <w:rFonts w:ascii="Arial" w:hAnsi="Arial" w:cs="Arial"/>
          <w:noProof/>
          <w:sz w:val="22"/>
          <w:szCs w:val="22"/>
        </w:rPr>
        <w:t>4</w:t>
      </w:r>
      <w:r w:rsidR="00F237BB" w:rsidRPr="00F237BB">
        <w:rPr>
          <w:rFonts w:ascii="Arial" w:hAnsi="Arial" w:cs="Arial"/>
          <w:noProof/>
          <w:sz w:val="22"/>
          <w:szCs w:val="22"/>
        </w:rPr>
        <w:fldChar w:fldCharType="end"/>
      </w:r>
      <w:bookmarkEnd w:id="16"/>
      <w:r w:rsidRPr="00F237BB">
        <w:rPr>
          <w:rFonts w:ascii="Arial" w:hAnsi="Arial" w:cs="Arial"/>
          <w:sz w:val="22"/>
          <w:szCs w:val="22"/>
        </w:rPr>
        <w:t xml:space="preserve"> – Utilización de marcos o escenarios macroeconómicos</w:t>
      </w:r>
    </w:p>
    <w:tbl>
      <w:tblPr>
        <w:tblW w:w="8945" w:type="dxa"/>
        <w:jc w:val="righ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850"/>
        <w:gridCol w:w="1496"/>
        <w:gridCol w:w="1626"/>
        <w:gridCol w:w="2014"/>
      </w:tblGrid>
      <w:tr w:rsidR="00186601" w:rsidRPr="00F237BB" w:rsidTr="00221588">
        <w:trPr>
          <w:jc w:val="right"/>
        </w:trPr>
        <w:tc>
          <w:tcPr>
            <w:tcW w:w="2090" w:type="dxa"/>
            <w:vMerge w:val="restart"/>
            <w:vAlign w:val="center"/>
          </w:tcPr>
          <w:p w:rsidR="00186601" w:rsidRPr="00F237BB" w:rsidRDefault="00186601" w:rsidP="006724E7">
            <w:pPr>
              <w:rPr>
                <w:rFonts w:ascii="Arial" w:hAnsi="Arial" w:cs="Arial"/>
                <w:b/>
              </w:rPr>
            </w:pPr>
            <w:r w:rsidRPr="00F237BB">
              <w:rPr>
                <w:rFonts w:ascii="Arial" w:hAnsi="Arial" w:cs="Arial"/>
                <w:b/>
              </w:rPr>
              <w:t>Plan sectorial</w:t>
            </w:r>
          </w:p>
        </w:tc>
        <w:tc>
          <w:tcPr>
            <w:tcW w:w="6855" w:type="dxa"/>
            <w:gridSpan w:val="4"/>
          </w:tcPr>
          <w:p w:rsidR="00186601" w:rsidRPr="00F237BB" w:rsidRDefault="00186601" w:rsidP="006724E7">
            <w:pPr>
              <w:jc w:val="center"/>
              <w:rPr>
                <w:rFonts w:ascii="Arial" w:hAnsi="Arial" w:cs="Arial"/>
                <w:b/>
              </w:rPr>
            </w:pPr>
            <w:r w:rsidRPr="00F237BB">
              <w:rPr>
                <w:rFonts w:ascii="Arial" w:hAnsi="Arial" w:cs="Arial"/>
                <w:b/>
              </w:rPr>
              <w:t>Utilización de marcos macroeconómicos o escenarios de política económica</w:t>
            </w:r>
          </w:p>
        </w:tc>
      </w:tr>
      <w:tr w:rsidR="00186601" w:rsidRPr="00F237BB" w:rsidTr="00C60E00">
        <w:trPr>
          <w:jc w:val="right"/>
        </w:trPr>
        <w:tc>
          <w:tcPr>
            <w:tcW w:w="2090" w:type="dxa"/>
            <w:vMerge/>
          </w:tcPr>
          <w:p w:rsidR="00186601" w:rsidRPr="00F237BB" w:rsidRDefault="00186601" w:rsidP="006724E7">
            <w:pPr>
              <w:rPr>
                <w:rFonts w:ascii="Arial" w:hAnsi="Arial" w:cs="Arial"/>
                <w:b/>
              </w:rPr>
            </w:pPr>
          </w:p>
        </w:tc>
        <w:tc>
          <w:tcPr>
            <w:tcW w:w="1928" w:type="dxa"/>
          </w:tcPr>
          <w:p w:rsidR="00186601" w:rsidRPr="00F237BB" w:rsidRDefault="00186601" w:rsidP="006724E7">
            <w:pPr>
              <w:rPr>
                <w:rFonts w:ascii="Arial" w:hAnsi="Arial" w:cs="Arial"/>
                <w:b/>
              </w:rPr>
            </w:pPr>
            <w:r w:rsidRPr="00F237BB">
              <w:rPr>
                <w:rFonts w:ascii="Arial" w:hAnsi="Arial" w:cs="Arial"/>
                <w:b/>
              </w:rPr>
              <w:t xml:space="preserve">Elaborados </w:t>
            </w:r>
            <w:proofErr w:type="spellStart"/>
            <w:r w:rsidRPr="00F237BB">
              <w:rPr>
                <w:rFonts w:ascii="Arial" w:hAnsi="Arial" w:cs="Arial"/>
                <w:b/>
              </w:rPr>
              <w:t>SPE</w:t>
            </w:r>
            <w:r w:rsidR="007F581D" w:rsidRPr="00F237BB">
              <w:rPr>
                <w:rFonts w:ascii="Arial" w:hAnsi="Arial" w:cs="Arial"/>
                <w:b/>
              </w:rPr>
              <w:t>yPD</w:t>
            </w:r>
            <w:proofErr w:type="spellEnd"/>
            <w:r w:rsidRPr="00F237BB">
              <w:rPr>
                <w:rFonts w:ascii="Arial" w:hAnsi="Arial" w:cs="Arial"/>
                <w:b/>
              </w:rPr>
              <w:t xml:space="preserve"> </w:t>
            </w:r>
          </w:p>
        </w:tc>
        <w:tc>
          <w:tcPr>
            <w:tcW w:w="1511" w:type="dxa"/>
          </w:tcPr>
          <w:p w:rsidR="00186601" w:rsidRPr="00F237BB" w:rsidRDefault="00186601" w:rsidP="006724E7">
            <w:pPr>
              <w:jc w:val="center"/>
              <w:rPr>
                <w:rFonts w:ascii="Arial" w:hAnsi="Arial" w:cs="Arial"/>
                <w:b/>
              </w:rPr>
            </w:pPr>
            <w:r w:rsidRPr="00F237BB">
              <w:rPr>
                <w:rFonts w:ascii="Arial" w:hAnsi="Arial" w:cs="Arial"/>
                <w:b/>
              </w:rPr>
              <w:t>Elaborados propio sector</w:t>
            </w:r>
          </w:p>
        </w:tc>
        <w:tc>
          <w:tcPr>
            <w:tcW w:w="1733" w:type="dxa"/>
          </w:tcPr>
          <w:p w:rsidR="00186601" w:rsidRPr="00F237BB" w:rsidRDefault="00186601" w:rsidP="006724E7">
            <w:pPr>
              <w:jc w:val="center"/>
              <w:rPr>
                <w:rFonts w:ascii="Arial" w:hAnsi="Arial" w:cs="Arial"/>
                <w:b/>
              </w:rPr>
            </w:pPr>
            <w:r w:rsidRPr="00F237BB">
              <w:rPr>
                <w:rFonts w:ascii="Arial" w:hAnsi="Arial" w:cs="Arial"/>
                <w:b/>
              </w:rPr>
              <w:t>Otras fuentes (Banco Central, CEPAL, etc.)</w:t>
            </w:r>
          </w:p>
        </w:tc>
        <w:tc>
          <w:tcPr>
            <w:tcW w:w="1683" w:type="dxa"/>
          </w:tcPr>
          <w:p w:rsidR="00186601" w:rsidRPr="00F237BB" w:rsidRDefault="00186601" w:rsidP="006724E7">
            <w:pPr>
              <w:jc w:val="center"/>
              <w:rPr>
                <w:rFonts w:ascii="Arial" w:hAnsi="Arial" w:cs="Arial"/>
                <w:b/>
              </w:rPr>
            </w:pPr>
            <w:r w:rsidRPr="00F237BB">
              <w:rPr>
                <w:rFonts w:ascii="Arial" w:hAnsi="Arial" w:cs="Arial"/>
                <w:b/>
              </w:rPr>
              <w:t>Referencia Macroeconómica</w:t>
            </w:r>
          </w:p>
        </w:tc>
      </w:tr>
      <w:tr w:rsidR="00922C0D" w:rsidRPr="00F237BB" w:rsidTr="00C60E00">
        <w:trPr>
          <w:jc w:val="right"/>
        </w:trPr>
        <w:tc>
          <w:tcPr>
            <w:tcW w:w="2090" w:type="dxa"/>
          </w:tcPr>
          <w:p w:rsidR="00922C0D" w:rsidRPr="00F237BB" w:rsidRDefault="00922C0D" w:rsidP="006724E7">
            <w:pPr>
              <w:rPr>
                <w:rFonts w:ascii="Arial" w:hAnsi="Arial" w:cs="Arial"/>
              </w:rPr>
            </w:pPr>
            <w:r w:rsidRPr="00F237BB">
              <w:rPr>
                <w:rFonts w:ascii="Arial" w:hAnsi="Arial" w:cs="Arial"/>
              </w:rPr>
              <w:t>Industria</w:t>
            </w:r>
          </w:p>
        </w:tc>
        <w:tc>
          <w:tcPr>
            <w:tcW w:w="1928" w:type="dxa"/>
          </w:tcPr>
          <w:p w:rsidR="00922C0D" w:rsidRPr="00F237BB" w:rsidRDefault="00922C0D" w:rsidP="006724E7">
            <w:pPr>
              <w:jc w:val="center"/>
              <w:rPr>
                <w:rFonts w:ascii="Arial" w:hAnsi="Arial" w:cs="Arial"/>
              </w:rPr>
            </w:pPr>
            <w:r w:rsidRPr="00F237BB">
              <w:rPr>
                <w:rFonts w:ascii="Arial" w:hAnsi="Arial" w:cs="Arial"/>
              </w:rPr>
              <w:t>NO</w:t>
            </w:r>
          </w:p>
        </w:tc>
        <w:tc>
          <w:tcPr>
            <w:tcW w:w="1511"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c>
          <w:tcPr>
            <w:tcW w:w="173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c>
          <w:tcPr>
            <w:tcW w:w="168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r>
      <w:tr w:rsidR="00922C0D" w:rsidRPr="00F237BB" w:rsidTr="00C60E00">
        <w:trPr>
          <w:jc w:val="right"/>
        </w:trPr>
        <w:tc>
          <w:tcPr>
            <w:tcW w:w="2090" w:type="dxa"/>
          </w:tcPr>
          <w:p w:rsidR="00922C0D" w:rsidRPr="00F237BB" w:rsidRDefault="00922C0D" w:rsidP="006724E7">
            <w:pPr>
              <w:rPr>
                <w:rFonts w:ascii="Arial" w:hAnsi="Arial" w:cs="Arial"/>
              </w:rPr>
            </w:pPr>
            <w:r w:rsidRPr="00F237BB">
              <w:rPr>
                <w:rFonts w:ascii="Arial" w:hAnsi="Arial" w:cs="Arial"/>
              </w:rPr>
              <w:t>Turismo</w:t>
            </w:r>
          </w:p>
        </w:tc>
        <w:tc>
          <w:tcPr>
            <w:tcW w:w="1928" w:type="dxa"/>
          </w:tcPr>
          <w:p w:rsidR="00922C0D" w:rsidRPr="00F237BB" w:rsidRDefault="00922C0D" w:rsidP="00922C0D">
            <w:pPr>
              <w:jc w:val="center"/>
              <w:rPr>
                <w:rFonts w:ascii="Arial" w:hAnsi="Arial" w:cs="Arial"/>
              </w:rPr>
            </w:pPr>
            <w:r w:rsidRPr="00F237BB">
              <w:rPr>
                <w:rFonts w:ascii="Arial" w:hAnsi="Arial" w:cs="Arial"/>
              </w:rPr>
              <w:t>NO</w:t>
            </w:r>
          </w:p>
        </w:tc>
        <w:tc>
          <w:tcPr>
            <w:tcW w:w="1511"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c>
          <w:tcPr>
            <w:tcW w:w="173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c>
          <w:tcPr>
            <w:tcW w:w="1683"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r>
      <w:tr w:rsidR="00922C0D" w:rsidRPr="00F237BB" w:rsidTr="00C60E00">
        <w:trPr>
          <w:jc w:val="right"/>
        </w:trPr>
        <w:tc>
          <w:tcPr>
            <w:tcW w:w="2090" w:type="dxa"/>
          </w:tcPr>
          <w:p w:rsidR="00922C0D" w:rsidRPr="00F237BB" w:rsidRDefault="00922C0D" w:rsidP="006724E7">
            <w:pPr>
              <w:rPr>
                <w:rFonts w:ascii="Arial" w:hAnsi="Arial" w:cs="Arial"/>
              </w:rPr>
            </w:pPr>
            <w:r w:rsidRPr="00F237BB">
              <w:rPr>
                <w:rFonts w:ascii="Arial" w:hAnsi="Arial" w:cs="Arial"/>
              </w:rPr>
              <w:t>Desarrollo territorial</w:t>
            </w:r>
          </w:p>
        </w:tc>
        <w:tc>
          <w:tcPr>
            <w:tcW w:w="1928" w:type="dxa"/>
          </w:tcPr>
          <w:p w:rsidR="00922C0D" w:rsidRPr="00F237BB" w:rsidRDefault="00922C0D" w:rsidP="00922C0D">
            <w:pPr>
              <w:jc w:val="center"/>
              <w:rPr>
                <w:rFonts w:ascii="Arial" w:hAnsi="Arial" w:cs="Arial"/>
              </w:rPr>
            </w:pPr>
            <w:r w:rsidRPr="00F237BB">
              <w:rPr>
                <w:rFonts w:ascii="Arial" w:hAnsi="Arial" w:cs="Arial"/>
              </w:rPr>
              <w:t>NO</w:t>
            </w:r>
          </w:p>
        </w:tc>
        <w:tc>
          <w:tcPr>
            <w:tcW w:w="1511"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c>
          <w:tcPr>
            <w:tcW w:w="173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c>
          <w:tcPr>
            <w:tcW w:w="168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r>
      <w:tr w:rsidR="00922C0D" w:rsidRPr="00F237BB" w:rsidTr="00C60E00">
        <w:trPr>
          <w:jc w:val="right"/>
        </w:trPr>
        <w:tc>
          <w:tcPr>
            <w:tcW w:w="2090" w:type="dxa"/>
          </w:tcPr>
          <w:p w:rsidR="00922C0D" w:rsidRPr="00F237BB" w:rsidRDefault="00922C0D" w:rsidP="006724E7">
            <w:pPr>
              <w:rPr>
                <w:rFonts w:ascii="Arial" w:hAnsi="Arial" w:cs="Arial"/>
              </w:rPr>
            </w:pPr>
            <w:r w:rsidRPr="00F237BB">
              <w:rPr>
                <w:rFonts w:ascii="Arial" w:hAnsi="Arial" w:cs="Arial"/>
              </w:rPr>
              <w:t>Ciencia y tecnología</w:t>
            </w:r>
          </w:p>
        </w:tc>
        <w:tc>
          <w:tcPr>
            <w:tcW w:w="1928" w:type="dxa"/>
          </w:tcPr>
          <w:p w:rsidR="00922C0D" w:rsidRPr="00F237BB" w:rsidRDefault="00922C0D" w:rsidP="00922C0D">
            <w:pPr>
              <w:jc w:val="center"/>
              <w:rPr>
                <w:rFonts w:ascii="Arial" w:hAnsi="Arial" w:cs="Arial"/>
              </w:rPr>
            </w:pPr>
            <w:r w:rsidRPr="00F237BB">
              <w:rPr>
                <w:rFonts w:ascii="Arial" w:hAnsi="Arial" w:cs="Arial"/>
              </w:rPr>
              <w:t>NO</w:t>
            </w:r>
          </w:p>
        </w:tc>
        <w:tc>
          <w:tcPr>
            <w:tcW w:w="1511"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c>
          <w:tcPr>
            <w:tcW w:w="173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c>
          <w:tcPr>
            <w:tcW w:w="1683"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r>
      <w:tr w:rsidR="00922C0D" w:rsidRPr="00F237BB" w:rsidTr="00C60E00">
        <w:trPr>
          <w:jc w:val="right"/>
        </w:trPr>
        <w:tc>
          <w:tcPr>
            <w:tcW w:w="2090" w:type="dxa"/>
          </w:tcPr>
          <w:p w:rsidR="00922C0D" w:rsidRPr="00F237BB" w:rsidRDefault="00922C0D" w:rsidP="006724E7">
            <w:pPr>
              <w:rPr>
                <w:rFonts w:ascii="Arial" w:hAnsi="Arial" w:cs="Arial"/>
              </w:rPr>
            </w:pPr>
            <w:r w:rsidRPr="00F237BB">
              <w:rPr>
                <w:rFonts w:ascii="Arial" w:hAnsi="Arial" w:cs="Arial"/>
              </w:rPr>
              <w:t>Energía</w:t>
            </w:r>
          </w:p>
        </w:tc>
        <w:tc>
          <w:tcPr>
            <w:tcW w:w="1928" w:type="dxa"/>
          </w:tcPr>
          <w:p w:rsidR="00922C0D" w:rsidRPr="00F237BB" w:rsidRDefault="00922C0D" w:rsidP="00922C0D">
            <w:pPr>
              <w:jc w:val="center"/>
              <w:rPr>
                <w:rFonts w:ascii="Arial" w:hAnsi="Arial" w:cs="Arial"/>
              </w:rPr>
            </w:pPr>
            <w:r w:rsidRPr="00F237BB">
              <w:rPr>
                <w:rFonts w:ascii="Arial" w:hAnsi="Arial" w:cs="Arial"/>
              </w:rPr>
              <w:t>NO</w:t>
            </w:r>
          </w:p>
        </w:tc>
        <w:tc>
          <w:tcPr>
            <w:tcW w:w="1511" w:type="dxa"/>
            <w:shd w:val="clear" w:color="auto" w:fill="auto"/>
          </w:tcPr>
          <w:p w:rsidR="00922C0D" w:rsidRPr="00F237BB" w:rsidRDefault="00922C0D" w:rsidP="00922C0D">
            <w:pPr>
              <w:jc w:val="center"/>
              <w:rPr>
                <w:rFonts w:ascii="Arial" w:hAnsi="Arial" w:cs="Arial"/>
              </w:rPr>
            </w:pPr>
            <w:r w:rsidRPr="00F237BB">
              <w:rPr>
                <w:rFonts w:ascii="Arial" w:hAnsi="Arial" w:cs="Arial"/>
              </w:rPr>
              <w:t>SI</w:t>
            </w:r>
          </w:p>
        </w:tc>
        <w:tc>
          <w:tcPr>
            <w:tcW w:w="173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c>
          <w:tcPr>
            <w:tcW w:w="1683" w:type="dxa"/>
            <w:shd w:val="clear" w:color="auto" w:fill="auto"/>
          </w:tcPr>
          <w:p w:rsidR="00922C0D" w:rsidRPr="00F237BB" w:rsidRDefault="00922C0D" w:rsidP="00922C0D">
            <w:pPr>
              <w:jc w:val="center"/>
              <w:rPr>
                <w:rFonts w:ascii="Arial" w:hAnsi="Arial" w:cs="Arial"/>
              </w:rPr>
            </w:pPr>
            <w:r w:rsidRPr="00F237BB">
              <w:rPr>
                <w:rFonts w:ascii="Arial" w:hAnsi="Arial" w:cs="Arial"/>
              </w:rPr>
              <w:t>NO</w:t>
            </w:r>
          </w:p>
        </w:tc>
      </w:tr>
    </w:tbl>
    <w:p w:rsidR="000F48E6" w:rsidRPr="00F237BB" w:rsidRDefault="00186601" w:rsidP="000F48E6">
      <w:pPr>
        <w:ind w:left="737"/>
        <w:rPr>
          <w:rFonts w:ascii="Arial" w:hAnsi="Arial" w:cs="Arial"/>
        </w:rPr>
      </w:pPr>
      <w:r w:rsidRPr="00F237BB">
        <w:rPr>
          <w:rFonts w:ascii="Arial" w:hAnsi="Arial" w:cs="Arial"/>
        </w:rPr>
        <w:t>Fuente: Elaboración propia con datos de los planes sectoriales</w:t>
      </w:r>
      <w:r w:rsidR="00A420CA" w:rsidRPr="00F237BB">
        <w:rPr>
          <w:rFonts w:ascii="Arial" w:hAnsi="Arial" w:cs="Arial"/>
        </w:rPr>
        <w:t xml:space="preserve"> vigentes</w:t>
      </w:r>
      <w:r w:rsidR="00017393" w:rsidRPr="00F237BB">
        <w:rPr>
          <w:rStyle w:val="FootnoteReference"/>
          <w:rFonts w:ascii="Arial" w:hAnsi="Arial" w:cs="Arial"/>
          <w:sz w:val="22"/>
        </w:rPr>
        <w:footnoteReference w:id="9"/>
      </w:r>
      <w:r w:rsidRPr="00F237BB">
        <w:rPr>
          <w:rFonts w:ascii="Arial" w:hAnsi="Arial" w:cs="Arial"/>
        </w:rPr>
        <w:t>.</w:t>
      </w:r>
    </w:p>
    <w:p w:rsidR="00E71E72" w:rsidRPr="00F237BB" w:rsidRDefault="00E71E72" w:rsidP="00E71E72">
      <w:pPr>
        <w:pStyle w:val="ListParagraph"/>
        <w:ind w:left="567"/>
        <w:rPr>
          <w:rFonts w:ascii="Arial" w:hAnsi="Arial" w:cs="Arial"/>
        </w:rPr>
      </w:pPr>
    </w:p>
    <w:p w:rsidR="007B7ED9" w:rsidRPr="00F237BB" w:rsidRDefault="006800F9" w:rsidP="000F48E6">
      <w:pPr>
        <w:pStyle w:val="ListParagraph"/>
        <w:numPr>
          <w:ilvl w:val="0"/>
          <w:numId w:val="14"/>
        </w:numPr>
        <w:ind w:left="567" w:hanging="567"/>
        <w:rPr>
          <w:rFonts w:ascii="Arial" w:hAnsi="Arial" w:cs="Arial"/>
        </w:rPr>
      </w:pPr>
      <w:r w:rsidRPr="00F237BB">
        <w:rPr>
          <w:rFonts w:ascii="Arial" w:hAnsi="Arial" w:cs="Arial"/>
        </w:rPr>
        <w:t xml:space="preserve">En el cuadro </w:t>
      </w:r>
      <w:r w:rsidR="00402DF3" w:rsidRPr="00F237BB">
        <w:rPr>
          <w:rFonts w:ascii="Arial" w:hAnsi="Arial" w:cs="Arial"/>
        </w:rPr>
        <w:t>4</w:t>
      </w:r>
      <w:r w:rsidRPr="00F237BB">
        <w:rPr>
          <w:rFonts w:ascii="Arial" w:hAnsi="Arial" w:cs="Arial"/>
        </w:rPr>
        <w:t xml:space="preserve"> puede observarse </w:t>
      </w:r>
      <w:r w:rsidR="007D6335" w:rsidRPr="00F237BB">
        <w:rPr>
          <w:rFonts w:ascii="Arial" w:hAnsi="Arial" w:cs="Arial"/>
        </w:rPr>
        <w:t xml:space="preserve">el grado de utilización de insumos provenientes de los servicios técnicos de la </w:t>
      </w:r>
      <w:proofErr w:type="spellStart"/>
      <w:r w:rsidR="007D6335" w:rsidRPr="00F237BB">
        <w:rPr>
          <w:rFonts w:ascii="Arial" w:hAnsi="Arial" w:cs="Arial"/>
        </w:rPr>
        <w:t>SPE</w:t>
      </w:r>
      <w:r w:rsidR="00557956" w:rsidRPr="00F237BB">
        <w:rPr>
          <w:rFonts w:ascii="Arial" w:hAnsi="Arial" w:cs="Arial"/>
        </w:rPr>
        <w:t>yPD</w:t>
      </w:r>
      <w:proofErr w:type="spellEnd"/>
      <w:r w:rsidR="007D6335" w:rsidRPr="00F237BB">
        <w:rPr>
          <w:rFonts w:ascii="Arial" w:hAnsi="Arial" w:cs="Arial"/>
        </w:rPr>
        <w:t xml:space="preserve"> en la elaboración de los planes estratégicos sectoriales</w:t>
      </w:r>
      <w:r w:rsidR="00557956" w:rsidRPr="00F237BB">
        <w:rPr>
          <w:rFonts w:ascii="Arial" w:hAnsi="Arial" w:cs="Arial"/>
        </w:rPr>
        <w:t xml:space="preserve"> vigentes en la actualidad</w:t>
      </w:r>
      <w:r w:rsidR="007D6335" w:rsidRPr="00F237BB">
        <w:rPr>
          <w:rFonts w:ascii="Arial" w:hAnsi="Arial" w:cs="Arial"/>
        </w:rPr>
        <w:t xml:space="preserve">. </w:t>
      </w:r>
      <w:r w:rsidR="00557956" w:rsidRPr="00F237BB">
        <w:rPr>
          <w:rFonts w:ascii="Arial" w:hAnsi="Arial" w:cs="Arial"/>
        </w:rPr>
        <w:t xml:space="preserve">La información muestra que el bajo nivel de integración que tenía anteriormente la </w:t>
      </w:r>
      <w:proofErr w:type="spellStart"/>
      <w:r w:rsidR="00557956" w:rsidRPr="00F237BB">
        <w:rPr>
          <w:rFonts w:ascii="Arial" w:hAnsi="Arial" w:cs="Arial"/>
        </w:rPr>
        <w:t>SPEyPD</w:t>
      </w:r>
      <w:proofErr w:type="spellEnd"/>
      <w:r w:rsidR="00557956" w:rsidRPr="00F237BB">
        <w:rPr>
          <w:rFonts w:ascii="Arial" w:hAnsi="Arial" w:cs="Arial"/>
        </w:rPr>
        <w:t>, dado que de</w:t>
      </w:r>
      <w:r w:rsidR="007B7ED9" w:rsidRPr="00F237BB">
        <w:rPr>
          <w:rFonts w:ascii="Arial" w:hAnsi="Arial" w:cs="Arial"/>
        </w:rPr>
        <w:t xml:space="preserve"> </w:t>
      </w:r>
      <w:r w:rsidR="009E35B0" w:rsidRPr="00F237BB">
        <w:rPr>
          <w:rFonts w:ascii="Arial" w:hAnsi="Arial" w:cs="Arial"/>
        </w:rPr>
        <w:t xml:space="preserve">cinco </w:t>
      </w:r>
      <w:r w:rsidR="007B7ED9" w:rsidRPr="00F237BB">
        <w:rPr>
          <w:rFonts w:ascii="Arial" w:hAnsi="Arial" w:cs="Arial"/>
        </w:rPr>
        <w:t xml:space="preserve">planes estratégicos sectoriales </w:t>
      </w:r>
      <w:r w:rsidR="00557956" w:rsidRPr="00F237BB">
        <w:rPr>
          <w:rFonts w:ascii="Arial" w:hAnsi="Arial" w:cs="Arial"/>
        </w:rPr>
        <w:t>vigentes</w:t>
      </w:r>
      <w:r w:rsidR="007B7ED9" w:rsidRPr="00F237BB">
        <w:rPr>
          <w:rFonts w:ascii="Arial" w:hAnsi="Arial" w:cs="Arial"/>
        </w:rPr>
        <w:t>, en ninguno de ellos exist</w:t>
      </w:r>
      <w:r w:rsidR="00557956" w:rsidRPr="00F237BB">
        <w:rPr>
          <w:rFonts w:ascii="Arial" w:hAnsi="Arial" w:cs="Arial"/>
        </w:rPr>
        <w:t>e</w:t>
      </w:r>
      <w:r w:rsidR="007B7ED9" w:rsidRPr="00F237BB">
        <w:rPr>
          <w:rFonts w:ascii="Arial" w:hAnsi="Arial" w:cs="Arial"/>
        </w:rPr>
        <w:t xml:space="preserve">n insumos explícitamente señalados como provenientes de la </w:t>
      </w:r>
      <w:proofErr w:type="spellStart"/>
      <w:r w:rsidR="007B7ED9" w:rsidRPr="00F237BB">
        <w:rPr>
          <w:rFonts w:ascii="Arial" w:hAnsi="Arial" w:cs="Arial"/>
        </w:rPr>
        <w:t>SPE</w:t>
      </w:r>
      <w:r w:rsidR="00557956" w:rsidRPr="00F237BB">
        <w:rPr>
          <w:rFonts w:ascii="Arial" w:hAnsi="Arial" w:cs="Arial"/>
        </w:rPr>
        <w:t>yPD</w:t>
      </w:r>
      <w:proofErr w:type="spellEnd"/>
      <w:r w:rsidR="007B7ED9" w:rsidRPr="00F237BB">
        <w:rPr>
          <w:rFonts w:ascii="Arial" w:hAnsi="Arial" w:cs="Arial"/>
        </w:rPr>
        <w:t xml:space="preserve">. </w:t>
      </w:r>
    </w:p>
    <w:p w:rsidR="000B00EF" w:rsidRPr="00F237BB" w:rsidRDefault="000B00EF" w:rsidP="00D04EC0">
      <w:pPr>
        <w:rPr>
          <w:rFonts w:ascii="Arial" w:hAnsi="Arial" w:cs="Arial"/>
        </w:rPr>
      </w:pPr>
    </w:p>
    <w:p w:rsidR="00186601" w:rsidRPr="00F237BB" w:rsidRDefault="009E35B0" w:rsidP="000B0807">
      <w:pPr>
        <w:pStyle w:val="ListParagraph"/>
        <w:numPr>
          <w:ilvl w:val="0"/>
          <w:numId w:val="14"/>
        </w:numPr>
        <w:ind w:left="567" w:hanging="567"/>
        <w:rPr>
          <w:rFonts w:ascii="Arial" w:hAnsi="Arial" w:cs="Arial"/>
        </w:rPr>
      </w:pPr>
      <w:r w:rsidRPr="00F237BB">
        <w:rPr>
          <w:rFonts w:ascii="Arial" w:hAnsi="Arial" w:cs="Arial"/>
        </w:rPr>
        <w:t xml:space="preserve">El </w:t>
      </w:r>
      <w:r w:rsidR="000B0807" w:rsidRPr="00F237BB">
        <w:rPr>
          <w:rFonts w:ascii="Arial" w:hAnsi="Arial" w:cs="Arial"/>
        </w:rPr>
        <w:t>problema central se deriva a su vez de tres problemas que de manera específica afectan a la gesti</w:t>
      </w:r>
      <w:r w:rsidR="00612F61" w:rsidRPr="00F237BB">
        <w:rPr>
          <w:rFonts w:ascii="Arial" w:hAnsi="Arial" w:cs="Arial"/>
        </w:rPr>
        <w:t xml:space="preserve">ón de la </w:t>
      </w:r>
      <w:proofErr w:type="spellStart"/>
      <w:r w:rsidR="00612F61" w:rsidRPr="00F237BB">
        <w:rPr>
          <w:rFonts w:ascii="Arial" w:hAnsi="Arial" w:cs="Arial"/>
        </w:rPr>
        <w:t>SPE</w:t>
      </w:r>
      <w:r w:rsidR="00017393" w:rsidRPr="00F237BB">
        <w:rPr>
          <w:rFonts w:ascii="Arial" w:hAnsi="Arial" w:cs="Arial"/>
        </w:rPr>
        <w:t>yPD</w:t>
      </w:r>
      <w:proofErr w:type="spellEnd"/>
      <w:r w:rsidR="00612F61" w:rsidRPr="00F237BB">
        <w:rPr>
          <w:rFonts w:ascii="Arial" w:hAnsi="Arial" w:cs="Arial"/>
        </w:rPr>
        <w:t>:</w:t>
      </w:r>
      <w:r w:rsidR="00BF159B" w:rsidRPr="00F237BB">
        <w:rPr>
          <w:rFonts w:ascii="Arial" w:hAnsi="Arial" w:cs="Arial"/>
        </w:rPr>
        <w:t xml:space="preserve"> (i) </w:t>
      </w:r>
      <w:r w:rsidR="00BF159B" w:rsidRPr="00F237BB">
        <w:rPr>
          <w:rFonts w:ascii="Arial" w:hAnsi="Arial" w:cs="Arial"/>
          <w:lang w:val="es-ES_tradnl"/>
        </w:rPr>
        <w:t xml:space="preserve">deficiencias relativas al uso de herramientas y metodologías para la planificación y programación; (ii) </w:t>
      </w:r>
      <w:r w:rsidR="00BF159B" w:rsidRPr="00F237BB">
        <w:rPr>
          <w:rFonts w:ascii="Arial" w:hAnsi="Arial" w:cs="Arial"/>
        </w:rPr>
        <w:t xml:space="preserve">deficiencias en cuanto a la calidad y oportunidad de la información disponible; y (iii) </w:t>
      </w:r>
      <w:r w:rsidR="00BF159B" w:rsidRPr="00F237BB">
        <w:rPr>
          <w:rFonts w:ascii="Arial" w:hAnsi="Arial" w:cs="Arial"/>
          <w:lang w:val="es-ES_tradnl"/>
        </w:rPr>
        <w:t xml:space="preserve">debilidades relacionadas con los mecanismos </w:t>
      </w:r>
      <w:r w:rsidR="00BF159B" w:rsidRPr="00F237BB">
        <w:rPr>
          <w:rFonts w:ascii="Arial" w:hAnsi="Arial" w:cs="Arial"/>
          <w:lang w:val="es-ES_tradnl"/>
        </w:rPr>
        <w:lastRenderedPageBreak/>
        <w:t xml:space="preserve">institucionales para interactuar con otros actores internos y externos al </w:t>
      </w:r>
      <w:proofErr w:type="spellStart"/>
      <w:r w:rsidR="00F86B3F" w:rsidRPr="00F237BB">
        <w:rPr>
          <w:rFonts w:ascii="Arial" w:hAnsi="Arial" w:cs="Arial"/>
          <w:lang w:val="es-ES_tradnl"/>
        </w:rPr>
        <w:t>MH</w:t>
      </w:r>
      <w:r w:rsidR="00F23DDE" w:rsidRPr="00F237BB">
        <w:rPr>
          <w:rFonts w:ascii="Arial" w:hAnsi="Arial" w:cs="Arial"/>
          <w:lang w:val="es-ES_tradnl"/>
        </w:rPr>
        <w:t>y</w:t>
      </w:r>
      <w:r w:rsidR="00F86B3F" w:rsidRPr="00F237BB">
        <w:rPr>
          <w:rFonts w:ascii="Arial" w:hAnsi="Arial" w:cs="Arial"/>
          <w:lang w:val="es-ES_tradnl"/>
        </w:rPr>
        <w:t>FP</w:t>
      </w:r>
      <w:proofErr w:type="spellEnd"/>
      <w:r w:rsidR="00BF159B" w:rsidRPr="00F237BB">
        <w:rPr>
          <w:rFonts w:ascii="Arial" w:hAnsi="Arial" w:cs="Arial"/>
          <w:lang w:val="es-ES_tradnl"/>
        </w:rPr>
        <w:t>.</w:t>
      </w:r>
      <w:r w:rsidR="009D728C" w:rsidRPr="00F237BB">
        <w:rPr>
          <w:rFonts w:ascii="Arial" w:hAnsi="Arial" w:cs="Arial"/>
          <w:lang w:val="es-ES_tradnl"/>
        </w:rPr>
        <w:t xml:space="preserve"> A continuación </w:t>
      </w:r>
      <w:r w:rsidR="00155D2C" w:rsidRPr="00F237BB">
        <w:rPr>
          <w:rFonts w:ascii="Arial" w:hAnsi="Arial" w:cs="Arial"/>
          <w:lang w:val="es-ES_tradnl"/>
        </w:rPr>
        <w:t>se analizan en detalle cada uno de estos problemas, así como los factores causales explicativos de los mismos.</w:t>
      </w:r>
    </w:p>
    <w:p w:rsidR="00186601" w:rsidRPr="00F237BB" w:rsidRDefault="00186601" w:rsidP="00BF159B">
      <w:pPr>
        <w:rPr>
          <w:rFonts w:ascii="Arial" w:hAnsi="Arial" w:cs="Arial"/>
          <w:highlight w:val="yellow"/>
        </w:rPr>
      </w:pPr>
    </w:p>
    <w:p w:rsidR="00406ECB" w:rsidRPr="00F237BB" w:rsidRDefault="00406ECB" w:rsidP="00BF159B">
      <w:pPr>
        <w:rPr>
          <w:rFonts w:ascii="Arial" w:hAnsi="Arial" w:cs="Arial"/>
          <w:highlight w:val="yellow"/>
        </w:rPr>
      </w:pPr>
    </w:p>
    <w:p w:rsidR="00B45ADC" w:rsidRPr="00F237BB" w:rsidRDefault="00B45ADC" w:rsidP="00406ECB">
      <w:pPr>
        <w:pStyle w:val="Heading2"/>
        <w:rPr>
          <w:rFonts w:ascii="Arial" w:hAnsi="Arial" w:cs="Arial"/>
          <w:sz w:val="22"/>
          <w:szCs w:val="22"/>
        </w:rPr>
      </w:pPr>
      <w:bookmarkStart w:id="17" w:name="_Toc458521469"/>
      <w:r w:rsidRPr="00F237BB">
        <w:rPr>
          <w:rFonts w:ascii="Arial" w:hAnsi="Arial" w:cs="Arial"/>
          <w:sz w:val="22"/>
          <w:szCs w:val="22"/>
        </w:rPr>
        <w:t>Problemas vinculados al problema principal</w:t>
      </w:r>
      <w:bookmarkEnd w:id="17"/>
    </w:p>
    <w:p w:rsidR="00186601" w:rsidRPr="00F237BB" w:rsidRDefault="009D728C" w:rsidP="009D728C">
      <w:pPr>
        <w:pStyle w:val="Heading3"/>
        <w:rPr>
          <w:rFonts w:ascii="Arial" w:hAnsi="Arial"/>
          <w:szCs w:val="22"/>
        </w:rPr>
      </w:pPr>
      <w:r w:rsidRPr="00F237BB">
        <w:rPr>
          <w:rFonts w:ascii="Arial" w:hAnsi="Arial"/>
          <w:szCs w:val="22"/>
        </w:rPr>
        <w:t xml:space="preserve">Problema 1: </w:t>
      </w:r>
      <w:r w:rsidR="00D05288" w:rsidRPr="00F237BB">
        <w:rPr>
          <w:rFonts w:ascii="Arial" w:hAnsi="Arial"/>
          <w:szCs w:val="22"/>
        </w:rPr>
        <w:t xml:space="preserve">Limitaciones </w:t>
      </w:r>
      <w:r w:rsidR="00150C26" w:rsidRPr="00F237BB">
        <w:rPr>
          <w:rFonts w:ascii="Arial" w:hAnsi="Arial"/>
          <w:szCs w:val="22"/>
        </w:rPr>
        <w:t>para la incorporación efectiva de conocimiento y metodologías adecuadas para la elaboración de políticas de mediano y largo plazo</w:t>
      </w:r>
    </w:p>
    <w:p w:rsidR="009D728C" w:rsidRPr="00F237BB" w:rsidRDefault="009D728C" w:rsidP="00721F38">
      <w:pPr>
        <w:spacing w:after="240"/>
        <w:ind w:left="567"/>
        <w:rPr>
          <w:rFonts w:ascii="Arial" w:hAnsi="Arial" w:cs="Arial"/>
          <w:b/>
          <w:u w:val="single"/>
        </w:rPr>
      </w:pPr>
      <w:r w:rsidRPr="00F237BB">
        <w:rPr>
          <w:rFonts w:ascii="Arial" w:hAnsi="Arial" w:cs="Arial"/>
          <w:b/>
          <w:u w:val="single"/>
        </w:rPr>
        <w:t>Descripción del problema</w:t>
      </w:r>
    </w:p>
    <w:p w:rsidR="000A14BE" w:rsidRPr="00F237BB" w:rsidRDefault="00155D2C" w:rsidP="000A14BE">
      <w:pPr>
        <w:pStyle w:val="ListParagraph"/>
        <w:numPr>
          <w:ilvl w:val="0"/>
          <w:numId w:val="14"/>
        </w:numPr>
        <w:ind w:left="567" w:hanging="567"/>
        <w:rPr>
          <w:rFonts w:ascii="Arial" w:hAnsi="Arial" w:cs="Arial"/>
          <w:lang w:val="es-ES_tradnl"/>
        </w:rPr>
      </w:pPr>
      <w:r w:rsidRPr="00F237BB">
        <w:rPr>
          <w:rFonts w:ascii="Arial" w:hAnsi="Arial" w:cs="Arial"/>
        </w:rPr>
        <w:t>Analizando el modelo de funcionamiento de las direcciones vinculadas a la planificación y programación económicas, pueden observarse</w:t>
      </w:r>
      <w:r w:rsidR="00133D9F" w:rsidRPr="00F237BB">
        <w:rPr>
          <w:rFonts w:ascii="Arial" w:hAnsi="Arial" w:cs="Arial"/>
        </w:rPr>
        <w:t xml:space="preserve"> </w:t>
      </w:r>
      <w:r w:rsidR="001C62D9" w:rsidRPr="00F237BB">
        <w:rPr>
          <w:rFonts w:ascii="Arial" w:hAnsi="Arial" w:cs="Arial"/>
        </w:rPr>
        <w:t xml:space="preserve">algunas </w:t>
      </w:r>
      <w:r w:rsidR="00133D9F" w:rsidRPr="00F237BB">
        <w:rPr>
          <w:rFonts w:ascii="Arial" w:hAnsi="Arial" w:cs="Arial"/>
          <w:i/>
          <w:lang w:val="es-ES_tradnl"/>
        </w:rPr>
        <w:t>deficiencias relativas al uso de herramientas y metodologías</w:t>
      </w:r>
      <w:r w:rsidR="00563EDB" w:rsidRPr="00F237BB">
        <w:rPr>
          <w:rFonts w:ascii="Arial" w:hAnsi="Arial" w:cs="Arial"/>
          <w:i/>
          <w:lang w:val="es-ES_tradnl"/>
        </w:rPr>
        <w:t xml:space="preserve"> </w:t>
      </w:r>
      <w:r w:rsidR="006317D4" w:rsidRPr="00F237BB">
        <w:rPr>
          <w:rFonts w:ascii="Arial" w:hAnsi="Arial" w:cs="Arial"/>
          <w:i/>
          <w:lang w:val="es-ES_tradnl"/>
        </w:rPr>
        <w:t xml:space="preserve">avanzadas </w:t>
      </w:r>
      <w:r w:rsidR="00563EDB" w:rsidRPr="00F237BB">
        <w:rPr>
          <w:rFonts w:ascii="Arial" w:hAnsi="Arial" w:cs="Arial"/>
          <w:i/>
          <w:lang w:val="es-ES_tradnl"/>
        </w:rPr>
        <w:t xml:space="preserve">para la planificación y </w:t>
      </w:r>
      <w:r w:rsidR="00406ECB" w:rsidRPr="00F237BB">
        <w:rPr>
          <w:rFonts w:ascii="Arial" w:hAnsi="Arial" w:cs="Arial"/>
          <w:i/>
          <w:lang w:val="es-ES_tradnl"/>
        </w:rPr>
        <w:t>programación</w:t>
      </w:r>
      <w:r w:rsidR="00406ECB" w:rsidRPr="00F237BB">
        <w:rPr>
          <w:rFonts w:ascii="Arial" w:hAnsi="Arial" w:cs="Arial"/>
          <w:lang w:val="es-ES_tradnl"/>
        </w:rPr>
        <w:t>. Al</w:t>
      </w:r>
      <w:r w:rsidR="000A14BE" w:rsidRPr="00F237BB">
        <w:rPr>
          <w:rFonts w:ascii="Arial" w:hAnsi="Arial" w:cs="Arial"/>
          <w:lang w:val="es-ES_tradnl"/>
        </w:rPr>
        <w:t xml:space="preserve"> respecto, se entiende que la utilización de herramientas avanzadas de análisis económico debe permitir elaborar diagnósticos y análisis más profundos desde un punto de vista técnico. </w:t>
      </w:r>
    </w:p>
    <w:p w:rsidR="00C04157" w:rsidRPr="00F237BB" w:rsidRDefault="00C04157" w:rsidP="000A14BE">
      <w:pPr>
        <w:pStyle w:val="ListParagraph"/>
        <w:ind w:left="567"/>
        <w:rPr>
          <w:rFonts w:ascii="Arial" w:hAnsi="Arial" w:cs="Arial"/>
          <w:lang w:val="es-ES_tradnl"/>
        </w:rPr>
      </w:pPr>
    </w:p>
    <w:p w:rsidR="00C04157" w:rsidRPr="00F237BB" w:rsidRDefault="00C04157" w:rsidP="00C04157">
      <w:pPr>
        <w:spacing w:after="120"/>
        <w:jc w:val="center"/>
        <w:rPr>
          <w:rFonts w:ascii="Arial" w:hAnsi="Arial" w:cs="Arial"/>
          <w:b/>
        </w:rPr>
      </w:pPr>
      <w:r w:rsidRPr="00F237BB">
        <w:rPr>
          <w:rFonts w:ascii="Arial" w:hAnsi="Arial" w:cs="Arial"/>
          <w:b/>
        </w:rPr>
        <w:t xml:space="preserve">Cuadro </w:t>
      </w:r>
      <w:r w:rsidR="008F5B03" w:rsidRPr="00F237BB">
        <w:rPr>
          <w:rFonts w:ascii="Arial" w:hAnsi="Arial" w:cs="Arial"/>
          <w:b/>
        </w:rPr>
        <w:fldChar w:fldCharType="begin"/>
      </w:r>
      <w:r w:rsidRPr="00F237BB">
        <w:rPr>
          <w:rFonts w:ascii="Arial" w:hAnsi="Arial" w:cs="Arial"/>
          <w:b/>
        </w:rPr>
        <w:instrText xml:space="preserve"> SEQ Cuadro \* ARABIC </w:instrText>
      </w:r>
      <w:r w:rsidR="008F5B03" w:rsidRPr="00F237BB">
        <w:rPr>
          <w:rFonts w:ascii="Arial" w:hAnsi="Arial" w:cs="Arial"/>
          <w:b/>
        </w:rPr>
        <w:fldChar w:fldCharType="separate"/>
      </w:r>
      <w:r w:rsidR="00402DF3" w:rsidRPr="00F237BB">
        <w:rPr>
          <w:rFonts w:ascii="Arial" w:hAnsi="Arial" w:cs="Arial"/>
          <w:b/>
          <w:noProof/>
        </w:rPr>
        <w:t>5</w:t>
      </w:r>
      <w:r w:rsidR="008F5B03" w:rsidRPr="00F237BB">
        <w:rPr>
          <w:rFonts w:ascii="Arial" w:hAnsi="Arial" w:cs="Arial"/>
          <w:b/>
        </w:rPr>
        <w:fldChar w:fldCharType="end"/>
      </w:r>
      <w:r w:rsidRPr="00F237BB">
        <w:rPr>
          <w:rFonts w:ascii="Arial" w:hAnsi="Arial" w:cs="Arial"/>
          <w:b/>
        </w:rPr>
        <w:t xml:space="preserve"> – Disponibilidad de herramientas avanzadas de análisis</w:t>
      </w:r>
    </w:p>
    <w:tbl>
      <w:tblPr>
        <w:tblW w:w="3971" w:type="pct"/>
        <w:tblInd w:w="921" w:type="dxa"/>
        <w:tblCellMar>
          <w:left w:w="70" w:type="dxa"/>
          <w:right w:w="70" w:type="dxa"/>
        </w:tblCellMar>
        <w:tblLook w:val="04A0" w:firstRow="1" w:lastRow="0" w:firstColumn="1" w:lastColumn="0" w:noHBand="0" w:noVBand="1"/>
      </w:tblPr>
      <w:tblGrid>
        <w:gridCol w:w="2930"/>
        <w:gridCol w:w="2005"/>
        <w:gridCol w:w="1444"/>
        <w:gridCol w:w="1275"/>
      </w:tblGrid>
      <w:tr w:rsidR="003B239B" w:rsidRPr="00F237BB" w:rsidTr="00C60E00">
        <w:trPr>
          <w:trHeight w:val="255"/>
        </w:trPr>
        <w:tc>
          <w:tcPr>
            <w:tcW w:w="1914" w:type="pct"/>
            <w:tcBorders>
              <w:top w:val="single" w:sz="4" w:space="0" w:color="auto"/>
              <w:left w:val="nil"/>
              <w:bottom w:val="single" w:sz="4" w:space="0" w:color="auto"/>
              <w:right w:val="nil"/>
            </w:tcBorders>
            <w:shd w:val="clear" w:color="auto" w:fill="auto"/>
            <w:noWrap/>
            <w:vAlign w:val="bottom"/>
          </w:tcPr>
          <w:p w:rsidR="003B239B" w:rsidRPr="00F237BB" w:rsidRDefault="003B239B" w:rsidP="00C04157">
            <w:pPr>
              <w:jc w:val="center"/>
              <w:rPr>
                <w:rFonts w:ascii="Arial" w:hAnsi="Arial" w:cs="Arial"/>
                <w:b/>
                <w:lang w:val="es-ES_tradnl" w:eastAsia="es-ES_tradnl"/>
              </w:rPr>
            </w:pPr>
          </w:p>
        </w:tc>
        <w:tc>
          <w:tcPr>
            <w:tcW w:w="1310" w:type="pct"/>
            <w:tcBorders>
              <w:top w:val="single" w:sz="4" w:space="0" w:color="auto"/>
              <w:left w:val="nil"/>
              <w:bottom w:val="single" w:sz="4" w:space="0" w:color="auto"/>
              <w:right w:val="single" w:sz="8" w:space="0" w:color="auto"/>
            </w:tcBorders>
            <w:shd w:val="clear" w:color="auto" w:fill="auto"/>
            <w:noWrap/>
            <w:vAlign w:val="bottom"/>
          </w:tcPr>
          <w:p w:rsidR="003B239B" w:rsidRPr="00F237BB" w:rsidRDefault="003B239B" w:rsidP="00FB3976">
            <w:pPr>
              <w:jc w:val="center"/>
              <w:rPr>
                <w:rFonts w:ascii="Arial" w:hAnsi="Arial" w:cs="Arial"/>
                <w:b/>
                <w:bCs/>
                <w:lang w:val="es-ES_tradnl" w:eastAsia="es-ES_tradnl"/>
              </w:rPr>
            </w:pPr>
            <w:r w:rsidRPr="00F237BB">
              <w:rPr>
                <w:rFonts w:ascii="Arial" w:hAnsi="Arial" w:cs="Arial"/>
                <w:b/>
                <w:bCs/>
                <w:lang w:val="es-ES_tradnl" w:eastAsia="es-ES_tradnl"/>
              </w:rPr>
              <w:t>DNPM</w:t>
            </w:r>
          </w:p>
        </w:tc>
        <w:tc>
          <w:tcPr>
            <w:tcW w:w="943" w:type="pct"/>
            <w:tcBorders>
              <w:top w:val="single" w:sz="4" w:space="0" w:color="auto"/>
              <w:left w:val="nil"/>
              <w:bottom w:val="single" w:sz="4" w:space="0" w:color="auto"/>
              <w:right w:val="single" w:sz="8" w:space="0" w:color="auto"/>
            </w:tcBorders>
            <w:shd w:val="clear" w:color="auto" w:fill="auto"/>
            <w:noWrap/>
            <w:vAlign w:val="bottom"/>
          </w:tcPr>
          <w:p w:rsidR="003B239B" w:rsidRPr="00F237BB" w:rsidRDefault="003B239B" w:rsidP="00FB3976">
            <w:pPr>
              <w:jc w:val="center"/>
              <w:rPr>
                <w:rFonts w:ascii="Arial" w:hAnsi="Arial" w:cs="Arial"/>
                <w:b/>
                <w:bCs/>
                <w:lang w:val="es-ES_tradnl" w:eastAsia="es-ES_tradnl"/>
              </w:rPr>
            </w:pPr>
            <w:r w:rsidRPr="00F237BB">
              <w:rPr>
                <w:rFonts w:ascii="Arial" w:hAnsi="Arial" w:cs="Arial"/>
                <w:b/>
                <w:bCs/>
                <w:lang w:val="es-ES_tradnl" w:eastAsia="es-ES_tradnl"/>
              </w:rPr>
              <w:t>DNPR</w:t>
            </w:r>
          </w:p>
        </w:tc>
        <w:tc>
          <w:tcPr>
            <w:tcW w:w="833" w:type="pct"/>
            <w:tcBorders>
              <w:top w:val="single" w:sz="4" w:space="0" w:color="auto"/>
              <w:left w:val="nil"/>
              <w:bottom w:val="single" w:sz="4" w:space="0" w:color="auto"/>
              <w:right w:val="nil"/>
            </w:tcBorders>
            <w:shd w:val="clear" w:color="auto" w:fill="auto"/>
            <w:noWrap/>
            <w:vAlign w:val="bottom"/>
          </w:tcPr>
          <w:p w:rsidR="003B239B" w:rsidRPr="00F237BB" w:rsidRDefault="003B239B" w:rsidP="00FB3976">
            <w:pPr>
              <w:jc w:val="center"/>
              <w:rPr>
                <w:rFonts w:ascii="Arial" w:hAnsi="Arial" w:cs="Arial"/>
                <w:b/>
                <w:lang w:val="es-ES_tradnl" w:eastAsia="es-ES_tradnl"/>
              </w:rPr>
            </w:pPr>
            <w:r w:rsidRPr="00F237BB">
              <w:rPr>
                <w:rFonts w:ascii="Arial" w:hAnsi="Arial" w:cs="Arial"/>
                <w:b/>
                <w:lang w:val="es-ES_tradnl" w:eastAsia="es-ES_tradnl"/>
              </w:rPr>
              <w:t>TOTAL</w:t>
            </w:r>
          </w:p>
        </w:tc>
      </w:tr>
      <w:tr w:rsidR="003B239B" w:rsidRPr="00F237BB" w:rsidTr="00C60E00">
        <w:trPr>
          <w:trHeight w:val="255"/>
        </w:trPr>
        <w:tc>
          <w:tcPr>
            <w:tcW w:w="1914" w:type="pct"/>
            <w:tcBorders>
              <w:top w:val="nil"/>
              <w:left w:val="nil"/>
              <w:bottom w:val="nil"/>
              <w:right w:val="nil"/>
            </w:tcBorders>
            <w:shd w:val="clear" w:color="auto" w:fill="auto"/>
            <w:noWrap/>
            <w:vAlign w:val="bottom"/>
            <w:hideMark/>
          </w:tcPr>
          <w:p w:rsidR="003B239B" w:rsidRPr="00F237BB" w:rsidRDefault="003B239B" w:rsidP="001A2C02">
            <w:pPr>
              <w:jc w:val="left"/>
              <w:rPr>
                <w:rFonts w:ascii="Arial" w:hAnsi="Arial" w:cs="Arial"/>
                <w:lang w:val="es-ES_tradnl" w:eastAsia="es-ES_tradnl"/>
              </w:rPr>
            </w:pPr>
            <w:r w:rsidRPr="00F237BB">
              <w:rPr>
                <w:rFonts w:ascii="Arial" w:hAnsi="Arial" w:cs="Arial"/>
                <w:lang w:val="es-ES_tradnl" w:eastAsia="es-ES_tradnl"/>
              </w:rPr>
              <w:t>E-</w:t>
            </w:r>
            <w:proofErr w:type="spellStart"/>
            <w:r w:rsidRPr="00F237BB">
              <w:rPr>
                <w:rFonts w:ascii="Arial" w:hAnsi="Arial" w:cs="Arial"/>
                <w:lang w:val="es-ES_tradnl" w:eastAsia="es-ES_tradnl"/>
              </w:rPr>
              <w:t>Views</w:t>
            </w:r>
            <w:proofErr w:type="spellEnd"/>
          </w:p>
        </w:tc>
        <w:tc>
          <w:tcPr>
            <w:tcW w:w="1310"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943"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833" w:type="pct"/>
            <w:tcBorders>
              <w:top w:val="nil"/>
              <w:left w:val="nil"/>
              <w:bottom w:val="nil"/>
              <w:right w:val="nil"/>
            </w:tcBorders>
            <w:shd w:val="clear" w:color="auto" w:fill="auto"/>
            <w:noWrap/>
            <w:vAlign w:val="bottom"/>
            <w:hideMark/>
          </w:tcPr>
          <w:p w:rsidR="003B239B" w:rsidRPr="00F237BB" w:rsidRDefault="00A56209" w:rsidP="00C60E00">
            <w:pPr>
              <w:jc w:val="center"/>
              <w:rPr>
                <w:rFonts w:ascii="Arial" w:hAnsi="Arial" w:cs="Arial"/>
                <w:lang w:val="es-ES_tradnl" w:eastAsia="es-ES_tradnl"/>
              </w:rPr>
            </w:pPr>
            <w:r w:rsidRPr="00F237BB">
              <w:rPr>
                <w:rFonts w:ascii="Arial" w:hAnsi="Arial" w:cs="Arial"/>
                <w:lang w:val="es-ES_tradnl" w:eastAsia="es-ES_tradnl"/>
              </w:rPr>
              <w:t>2</w:t>
            </w:r>
          </w:p>
        </w:tc>
      </w:tr>
      <w:tr w:rsidR="003B239B" w:rsidRPr="00F237BB" w:rsidTr="00C60E00">
        <w:trPr>
          <w:trHeight w:val="255"/>
        </w:trPr>
        <w:tc>
          <w:tcPr>
            <w:tcW w:w="1914" w:type="pct"/>
            <w:tcBorders>
              <w:top w:val="nil"/>
              <w:left w:val="nil"/>
              <w:bottom w:val="nil"/>
              <w:right w:val="nil"/>
            </w:tcBorders>
            <w:shd w:val="clear" w:color="auto" w:fill="auto"/>
            <w:noWrap/>
            <w:vAlign w:val="bottom"/>
            <w:hideMark/>
          </w:tcPr>
          <w:p w:rsidR="003B239B" w:rsidRPr="00F237BB" w:rsidRDefault="003B239B" w:rsidP="001A2C02">
            <w:pPr>
              <w:jc w:val="left"/>
              <w:rPr>
                <w:rFonts w:ascii="Arial" w:hAnsi="Arial" w:cs="Arial"/>
                <w:lang w:val="es-ES_tradnl" w:eastAsia="es-ES_tradnl"/>
              </w:rPr>
            </w:pPr>
            <w:proofErr w:type="spellStart"/>
            <w:r w:rsidRPr="00F237BB">
              <w:rPr>
                <w:rFonts w:ascii="Arial" w:hAnsi="Arial" w:cs="Arial"/>
                <w:lang w:val="es-ES_tradnl" w:eastAsia="es-ES_tradnl"/>
              </w:rPr>
              <w:t>Stata</w:t>
            </w:r>
            <w:proofErr w:type="spellEnd"/>
          </w:p>
        </w:tc>
        <w:tc>
          <w:tcPr>
            <w:tcW w:w="1310"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943"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833" w:type="pct"/>
            <w:tcBorders>
              <w:top w:val="nil"/>
              <w:left w:val="nil"/>
              <w:bottom w:val="nil"/>
              <w:right w:val="nil"/>
            </w:tcBorders>
            <w:shd w:val="clear" w:color="auto" w:fill="auto"/>
            <w:noWrap/>
            <w:vAlign w:val="bottom"/>
            <w:hideMark/>
          </w:tcPr>
          <w:p w:rsidR="003B239B" w:rsidRPr="00F237BB" w:rsidRDefault="00A56209" w:rsidP="00C60E00">
            <w:pPr>
              <w:jc w:val="center"/>
              <w:rPr>
                <w:rFonts w:ascii="Arial" w:hAnsi="Arial" w:cs="Arial"/>
                <w:lang w:val="es-ES_tradnl" w:eastAsia="es-ES_tradnl"/>
              </w:rPr>
            </w:pPr>
            <w:r w:rsidRPr="00F237BB">
              <w:rPr>
                <w:rFonts w:ascii="Arial" w:hAnsi="Arial" w:cs="Arial"/>
                <w:lang w:val="es-ES_tradnl" w:eastAsia="es-ES_tradnl"/>
              </w:rPr>
              <w:t>2</w:t>
            </w:r>
          </w:p>
        </w:tc>
      </w:tr>
      <w:tr w:rsidR="003B239B" w:rsidRPr="00F237BB" w:rsidTr="00C60E00">
        <w:trPr>
          <w:trHeight w:val="255"/>
        </w:trPr>
        <w:tc>
          <w:tcPr>
            <w:tcW w:w="1914" w:type="pct"/>
            <w:tcBorders>
              <w:top w:val="nil"/>
              <w:left w:val="nil"/>
              <w:bottom w:val="nil"/>
              <w:right w:val="nil"/>
            </w:tcBorders>
            <w:shd w:val="clear" w:color="auto" w:fill="auto"/>
            <w:noWrap/>
            <w:vAlign w:val="bottom"/>
            <w:hideMark/>
          </w:tcPr>
          <w:p w:rsidR="003B239B" w:rsidRPr="00F237BB" w:rsidRDefault="003B239B" w:rsidP="001A2C02">
            <w:pPr>
              <w:jc w:val="left"/>
              <w:rPr>
                <w:rFonts w:ascii="Arial" w:hAnsi="Arial" w:cs="Arial"/>
                <w:lang w:val="es-ES_tradnl" w:eastAsia="es-ES_tradnl"/>
              </w:rPr>
            </w:pPr>
            <w:r w:rsidRPr="00F237BB">
              <w:rPr>
                <w:rFonts w:ascii="Arial" w:hAnsi="Arial" w:cs="Arial"/>
                <w:lang w:val="es-ES_tradnl" w:eastAsia="es-ES_tradnl"/>
              </w:rPr>
              <w:t>SPSS</w:t>
            </w:r>
          </w:p>
        </w:tc>
        <w:tc>
          <w:tcPr>
            <w:tcW w:w="1310"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943"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833" w:type="pct"/>
            <w:tcBorders>
              <w:top w:val="nil"/>
              <w:left w:val="nil"/>
              <w:bottom w:val="nil"/>
              <w:right w:val="nil"/>
            </w:tcBorders>
            <w:shd w:val="clear" w:color="auto" w:fill="auto"/>
            <w:noWrap/>
            <w:vAlign w:val="bottom"/>
            <w:hideMark/>
          </w:tcPr>
          <w:p w:rsidR="003B239B" w:rsidRPr="00F237BB" w:rsidRDefault="00A56209" w:rsidP="00C60E00">
            <w:pPr>
              <w:jc w:val="center"/>
              <w:rPr>
                <w:rFonts w:ascii="Arial" w:hAnsi="Arial" w:cs="Arial"/>
                <w:lang w:val="es-ES_tradnl" w:eastAsia="es-ES_tradnl"/>
              </w:rPr>
            </w:pPr>
            <w:r w:rsidRPr="00F237BB">
              <w:rPr>
                <w:rFonts w:ascii="Arial" w:hAnsi="Arial" w:cs="Arial"/>
                <w:lang w:val="es-ES_tradnl" w:eastAsia="es-ES_tradnl"/>
              </w:rPr>
              <w:t>2</w:t>
            </w:r>
          </w:p>
        </w:tc>
      </w:tr>
      <w:tr w:rsidR="003B239B" w:rsidRPr="00F237BB" w:rsidTr="00C60E00">
        <w:trPr>
          <w:trHeight w:val="255"/>
        </w:trPr>
        <w:tc>
          <w:tcPr>
            <w:tcW w:w="1914" w:type="pct"/>
            <w:tcBorders>
              <w:top w:val="nil"/>
              <w:left w:val="nil"/>
              <w:bottom w:val="nil"/>
              <w:right w:val="nil"/>
            </w:tcBorders>
            <w:shd w:val="clear" w:color="auto" w:fill="auto"/>
            <w:noWrap/>
            <w:vAlign w:val="bottom"/>
            <w:hideMark/>
          </w:tcPr>
          <w:p w:rsidR="003B239B" w:rsidRPr="00F237BB" w:rsidRDefault="003B239B" w:rsidP="001A2C02">
            <w:pPr>
              <w:jc w:val="left"/>
              <w:rPr>
                <w:rFonts w:ascii="Arial" w:hAnsi="Arial" w:cs="Arial"/>
                <w:lang w:val="es-ES_tradnl" w:eastAsia="es-ES_tradnl"/>
              </w:rPr>
            </w:pPr>
            <w:r w:rsidRPr="00F237BB">
              <w:rPr>
                <w:rFonts w:ascii="Arial" w:hAnsi="Arial" w:cs="Arial"/>
                <w:lang w:val="es-ES_tradnl" w:eastAsia="es-ES_tradnl"/>
              </w:rPr>
              <w:t>Matlab</w:t>
            </w:r>
          </w:p>
        </w:tc>
        <w:tc>
          <w:tcPr>
            <w:tcW w:w="1310"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SI</w:t>
            </w:r>
          </w:p>
        </w:tc>
        <w:tc>
          <w:tcPr>
            <w:tcW w:w="943"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NO</w:t>
            </w:r>
          </w:p>
        </w:tc>
        <w:tc>
          <w:tcPr>
            <w:tcW w:w="833" w:type="pct"/>
            <w:tcBorders>
              <w:top w:val="nil"/>
              <w:left w:val="nil"/>
              <w:bottom w:val="nil"/>
              <w:right w:val="nil"/>
            </w:tcBorders>
            <w:shd w:val="clear" w:color="auto" w:fill="auto"/>
            <w:noWrap/>
            <w:vAlign w:val="bottom"/>
            <w:hideMark/>
          </w:tcPr>
          <w:p w:rsidR="003B239B" w:rsidRPr="00F237BB" w:rsidRDefault="003B239B" w:rsidP="00C60E00">
            <w:pPr>
              <w:jc w:val="center"/>
              <w:rPr>
                <w:rFonts w:ascii="Arial" w:hAnsi="Arial" w:cs="Arial"/>
                <w:lang w:val="es-ES_tradnl" w:eastAsia="es-ES_tradnl"/>
              </w:rPr>
            </w:pPr>
            <w:r w:rsidRPr="00F237BB">
              <w:rPr>
                <w:rFonts w:ascii="Arial" w:hAnsi="Arial" w:cs="Arial"/>
                <w:lang w:val="es-ES_tradnl" w:eastAsia="es-ES_tradnl"/>
              </w:rPr>
              <w:t>1</w:t>
            </w:r>
          </w:p>
        </w:tc>
      </w:tr>
      <w:tr w:rsidR="003B239B" w:rsidRPr="00F237BB" w:rsidTr="00C60E00">
        <w:trPr>
          <w:trHeight w:val="255"/>
        </w:trPr>
        <w:tc>
          <w:tcPr>
            <w:tcW w:w="1914" w:type="pct"/>
            <w:tcBorders>
              <w:top w:val="nil"/>
              <w:left w:val="nil"/>
              <w:bottom w:val="nil"/>
              <w:right w:val="nil"/>
            </w:tcBorders>
            <w:shd w:val="clear" w:color="auto" w:fill="auto"/>
            <w:noWrap/>
            <w:vAlign w:val="bottom"/>
            <w:hideMark/>
          </w:tcPr>
          <w:p w:rsidR="003B239B" w:rsidRPr="00F237BB" w:rsidRDefault="003B239B" w:rsidP="001A2C02">
            <w:pPr>
              <w:jc w:val="left"/>
              <w:rPr>
                <w:rFonts w:ascii="Arial" w:hAnsi="Arial" w:cs="Arial"/>
                <w:lang w:val="es-ES_tradnl" w:eastAsia="es-ES_tradnl"/>
              </w:rPr>
            </w:pPr>
            <w:r w:rsidRPr="00F237BB">
              <w:rPr>
                <w:rFonts w:ascii="Arial" w:hAnsi="Arial" w:cs="Arial"/>
                <w:lang w:val="es-ES_tradnl" w:eastAsia="es-ES_tradnl"/>
              </w:rPr>
              <w:t>GAMS</w:t>
            </w:r>
          </w:p>
        </w:tc>
        <w:tc>
          <w:tcPr>
            <w:tcW w:w="1310"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NO</w:t>
            </w:r>
          </w:p>
        </w:tc>
        <w:tc>
          <w:tcPr>
            <w:tcW w:w="943" w:type="pct"/>
            <w:tcBorders>
              <w:top w:val="nil"/>
              <w:left w:val="nil"/>
              <w:bottom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NO</w:t>
            </w:r>
          </w:p>
        </w:tc>
        <w:tc>
          <w:tcPr>
            <w:tcW w:w="833" w:type="pct"/>
            <w:tcBorders>
              <w:top w:val="nil"/>
              <w:left w:val="nil"/>
              <w:bottom w:val="nil"/>
              <w:right w:val="nil"/>
            </w:tcBorders>
            <w:shd w:val="clear" w:color="auto" w:fill="auto"/>
            <w:noWrap/>
            <w:vAlign w:val="bottom"/>
            <w:hideMark/>
          </w:tcPr>
          <w:p w:rsidR="003B239B" w:rsidRPr="00F237BB" w:rsidRDefault="003B239B" w:rsidP="00C60E00">
            <w:pPr>
              <w:jc w:val="center"/>
              <w:rPr>
                <w:rFonts w:ascii="Arial" w:hAnsi="Arial" w:cs="Arial"/>
                <w:lang w:val="es-ES_tradnl" w:eastAsia="es-ES_tradnl"/>
              </w:rPr>
            </w:pPr>
            <w:r w:rsidRPr="00F237BB">
              <w:rPr>
                <w:rFonts w:ascii="Arial" w:hAnsi="Arial" w:cs="Arial"/>
                <w:lang w:val="es-ES_tradnl" w:eastAsia="es-ES_tradnl"/>
              </w:rPr>
              <w:t>0</w:t>
            </w:r>
          </w:p>
        </w:tc>
      </w:tr>
      <w:tr w:rsidR="003B239B" w:rsidRPr="00F237BB" w:rsidTr="00C60E00">
        <w:trPr>
          <w:trHeight w:val="255"/>
        </w:trPr>
        <w:tc>
          <w:tcPr>
            <w:tcW w:w="1914" w:type="pct"/>
            <w:tcBorders>
              <w:top w:val="nil"/>
              <w:left w:val="nil"/>
              <w:right w:val="nil"/>
            </w:tcBorders>
            <w:shd w:val="clear" w:color="auto" w:fill="auto"/>
            <w:noWrap/>
            <w:vAlign w:val="bottom"/>
            <w:hideMark/>
          </w:tcPr>
          <w:p w:rsidR="003B239B" w:rsidRPr="00F237BB" w:rsidRDefault="003B239B" w:rsidP="00107CE3">
            <w:pPr>
              <w:jc w:val="left"/>
              <w:rPr>
                <w:rFonts w:ascii="Arial" w:hAnsi="Arial" w:cs="Arial"/>
                <w:lang w:val="es-ES_tradnl" w:eastAsia="es-ES_tradnl"/>
              </w:rPr>
            </w:pPr>
            <w:r w:rsidRPr="00F237BB">
              <w:rPr>
                <w:rFonts w:ascii="Arial" w:hAnsi="Arial" w:cs="Arial"/>
                <w:lang w:val="es-ES_tradnl" w:eastAsia="es-ES_tradnl"/>
              </w:rPr>
              <w:t>Financieras (ACB y ACE)</w:t>
            </w:r>
          </w:p>
        </w:tc>
        <w:tc>
          <w:tcPr>
            <w:tcW w:w="1310" w:type="pct"/>
            <w:tcBorders>
              <w:top w:val="nil"/>
              <w:left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NO</w:t>
            </w:r>
          </w:p>
        </w:tc>
        <w:tc>
          <w:tcPr>
            <w:tcW w:w="943" w:type="pct"/>
            <w:tcBorders>
              <w:top w:val="nil"/>
              <w:left w:val="nil"/>
              <w:right w:val="single" w:sz="8" w:space="0" w:color="auto"/>
            </w:tcBorders>
            <w:shd w:val="clear" w:color="auto" w:fill="auto"/>
            <w:noWrap/>
            <w:vAlign w:val="bottom"/>
            <w:hideMark/>
          </w:tcPr>
          <w:p w:rsidR="003B239B" w:rsidRPr="00F237BB" w:rsidRDefault="003B239B" w:rsidP="00FB3976">
            <w:pPr>
              <w:jc w:val="center"/>
              <w:rPr>
                <w:rFonts w:ascii="Arial" w:hAnsi="Arial" w:cs="Arial"/>
                <w:bCs/>
                <w:lang w:val="es-ES_tradnl" w:eastAsia="es-ES_tradnl"/>
              </w:rPr>
            </w:pPr>
            <w:r w:rsidRPr="00F237BB">
              <w:rPr>
                <w:rFonts w:ascii="Arial" w:hAnsi="Arial" w:cs="Arial"/>
                <w:bCs/>
                <w:lang w:val="es-ES_tradnl" w:eastAsia="es-ES_tradnl"/>
              </w:rPr>
              <w:t>NO</w:t>
            </w:r>
          </w:p>
        </w:tc>
        <w:tc>
          <w:tcPr>
            <w:tcW w:w="833" w:type="pct"/>
            <w:tcBorders>
              <w:top w:val="nil"/>
              <w:left w:val="nil"/>
              <w:right w:val="nil"/>
            </w:tcBorders>
            <w:shd w:val="clear" w:color="auto" w:fill="auto"/>
            <w:noWrap/>
            <w:vAlign w:val="bottom"/>
            <w:hideMark/>
          </w:tcPr>
          <w:p w:rsidR="003B239B" w:rsidRPr="00F237BB" w:rsidRDefault="00A56209" w:rsidP="00C60E00">
            <w:pPr>
              <w:jc w:val="center"/>
              <w:rPr>
                <w:rFonts w:ascii="Arial" w:hAnsi="Arial" w:cs="Arial"/>
                <w:lang w:val="es-ES_tradnl" w:eastAsia="es-ES_tradnl"/>
              </w:rPr>
            </w:pPr>
            <w:r w:rsidRPr="00F237BB">
              <w:rPr>
                <w:rFonts w:ascii="Arial" w:hAnsi="Arial" w:cs="Arial"/>
                <w:lang w:val="es-ES_tradnl" w:eastAsia="es-ES_tradnl"/>
              </w:rPr>
              <w:t>0</w:t>
            </w:r>
          </w:p>
        </w:tc>
      </w:tr>
      <w:tr w:rsidR="003B239B" w:rsidRPr="00F237BB" w:rsidTr="00C60E00">
        <w:trPr>
          <w:trHeight w:val="255"/>
        </w:trPr>
        <w:tc>
          <w:tcPr>
            <w:tcW w:w="1914" w:type="pct"/>
            <w:tcBorders>
              <w:top w:val="single" w:sz="4" w:space="0" w:color="auto"/>
              <w:left w:val="nil"/>
              <w:bottom w:val="single" w:sz="4" w:space="0" w:color="auto"/>
              <w:right w:val="nil"/>
            </w:tcBorders>
            <w:shd w:val="clear" w:color="auto" w:fill="auto"/>
            <w:noWrap/>
            <w:vAlign w:val="bottom"/>
            <w:hideMark/>
          </w:tcPr>
          <w:p w:rsidR="003B239B" w:rsidRPr="00F237BB" w:rsidRDefault="003B239B" w:rsidP="00497E74">
            <w:pPr>
              <w:jc w:val="left"/>
              <w:rPr>
                <w:rFonts w:ascii="Arial" w:hAnsi="Arial" w:cs="Arial"/>
                <w:b/>
                <w:bCs/>
                <w:lang w:val="es-ES_tradnl" w:eastAsia="es-ES_tradnl"/>
              </w:rPr>
            </w:pPr>
            <w:r w:rsidRPr="00F237BB">
              <w:rPr>
                <w:rFonts w:ascii="Arial" w:hAnsi="Arial" w:cs="Arial"/>
                <w:b/>
                <w:bCs/>
                <w:lang w:val="es-ES_tradnl" w:eastAsia="es-ES_tradnl"/>
              </w:rPr>
              <w:t>Nº de herramientas</w:t>
            </w:r>
          </w:p>
        </w:tc>
        <w:tc>
          <w:tcPr>
            <w:tcW w:w="1310" w:type="pct"/>
            <w:tcBorders>
              <w:top w:val="single" w:sz="4" w:space="0" w:color="auto"/>
              <w:left w:val="nil"/>
              <w:bottom w:val="single" w:sz="4" w:space="0" w:color="auto"/>
              <w:right w:val="single" w:sz="8" w:space="0" w:color="auto"/>
            </w:tcBorders>
            <w:shd w:val="clear" w:color="auto" w:fill="auto"/>
            <w:noWrap/>
            <w:vAlign w:val="bottom"/>
            <w:hideMark/>
          </w:tcPr>
          <w:p w:rsidR="003B239B" w:rsidRPr="00F237BB" w:rsidRDefault="00A56209" w:rsidP="00C60E00">
            <w:pPr>
              <w:jc w:val="center"/>
              <w:rPr>
                <w:rFonts w:ascii="Arial" w:hAnsi="Arial" w:cs="Arial"/>
                <w:bCs/>
                <w:lang w:val="es-ES_tradnl" w:eastAsia="es-ES_tradnl"/>
              </w:rPr>
            </w:pPr>
            <w:r w:rsidRPr="00F237BB">
              <w:rPr>
                <w:rFonts w:ascii="Arial" w:hAnsi="Arial" w:cs="Arial"/>
                <w:bCs/>
                <w:lang w:val="es-ES_tradnl" w:eastAsia="es-ES_tradnl"/>
              </w:rPr>
              <w:t>4</w:t>
            </w:r>
          </w:p>
        </w:tc>
        <w:tc>
          <w:tcPr>
            <w:tcW w:w="943" w:type="pct"/>
            <w:tcBorders>
              <w:top w:val="single" w:sz="4" w:space="0" w:color="auto"/>
              <w:left w:val="nil"/>
              <w:bottom w:val="single" w:sz="4" w:space="0" w:color="auto"/>
              <w:right w:val="single" w:sz="8" w:space="0" w:color="auto"/>
            </w:tcBorders>
            <w:shd w:val="clear" w:color="auto" w:fill="auto"/>
            <w:noWrap/>
            <w:vAlign w:val="bottom"/>
            <w:hideMark/>
          </w:tcPr>
          <w:p w:rsidR="003B239B" w:rsidRPr="00F237BB" w:rsidRDefault="003B239B" w:rsidP="00C60E00">
            <w:pPr>
              <w:jc w:val="center"/>
              <w:rPr>
                <w:rFonts w:ascii="Arial" w:hAnsi="Arial" w:cs="Arial"/>
                <w:bCs/>
                <w:lang w:val="es-ES_tradnl" w:eastAsia="es-ES_tradnl"/>
              </w:rPr>
            </w:pPr>
            <w:r w:rsidRPr="00F237BB">
              <w:rPr>
                <w:rFonts w:ascii="Arial" w:hAnsi="Arial" w:cs="Arial"/>
                <w:bCs/>
                <w:lang w:val="es-ES_tradnl" w:eastAsia="es-ES_tradnl"/>
              </w:rPr>
              <w:t>3</w:t>
            </w:r>
          </w:p>
        </w:tc>
        <w:tc>
          <w:tcPr>
            <w:tcW w:w="833" w:type="pct"/>
            <w:tcBorders>
              <w:top w:val="single" w:sz="4" w:space="0" w:color="auto"/>
              <w:left w:val="nil"/>
              <w:bottom w:val="single" w:sz="4" w:space="0" w:color="auto"/>
              <w:right w:val="nil"/>
            </w:tcBorders>
            <w:shd w:val="clear" w:color="auto" w:fill="auto"/>
            <w:noWrap/>
            <w:vAlign w:val="bottom"/>
            <w:hideMark/>
          </w:tcPr>
          <w:p w:rsidR="003B239B" w:rsidRPr="00F237BB" w:rsidRDefault="003B239B" w:rsidP="00C60E00">
            <w:pPr>
              <w:jc w:val="center"/>
              <w:rPr>
                <w:rFonts w:ascii="Arial" w:hAnsi="Arial" w:cs="Arial"/>
                <w:lang w:val="es-ES_tradnl" w:eastAsia="es-ES_tradnl"/>
              </w:rPr>
            </w:pPr>
          </w:p>
        </w:tc>
      </w:tr>
    </w:tbl>
    <w:p w:rsidR="00C04157" w:rsidRPr="00F237BB" w:rsidRDefault="00C04157" w:rsidP="00C04157">
      <w:pPr>
        <w:pStyle w:val="ListParagraph"/>
        <w:ind w:left="709"/>
        <w:rPr>
          <w:rFonts w:ascii="Arial" w:hAnsi="Arial" w:cs="Arial"/>
          <w:lang w:val="es-ES_tradnl"/>
        </w:rPr>
      </w:pPr>
      <w:r w:rsidRPr="00F237BB">
        <w:rPr>
          <w:rFonts w:ascii="Arial" w:hAnsi="Arial" w:cs="Arial"/>
          <w:lang w:val="es-ES_tradnl"/>
        </w:rPr>
        <w:t>Fuente: Encuesta de Formación</w:t>
      </w:r>
      <w:r w:rsidR="0057153F" w:rsidRPr="00F237BB">
        <w:rPr>
          <w:rStyle w:val="FootnoteReference"/>
          <w:rFonts w:ascii="Arial" w:hAnsi="Arial" w:cs="Arial"/>
          <w:sz w:val="22"/>
          <w:lang w:val="es-ES_tradnl"/>
        </w:rPr>
        <w:footnoteReference w:id="10"/>
      </w:r>
      <w:r w:rsidRPr="00F237BB">
        <w:rPr>
          <w:rFonts w:ascii="Arial" w:hAnsi="Arial" w:cs="Arial"/>
          <w:lang w:val="es-ES_tradnl"/>
        </w:rPr>
        <w:t xml:space="preserve">. </w:t>
      </w:r>
    </w:p>
    <w:p w:rsidR="001A2C02" w:rsidRPr="00F237BB" w:rsidRDefault="001A2C02" w:rsidP="000A14BE">
      <w:pPr>
        <w:pStyle w:val="ListParagraph"/>
        <w:ind w:left="567"/>
        <w:rPr>
          <w:rFonts w:ascii="Arial" w:hAnsi="Arial" w:cs="Arial"/>
          <w:lang w:val="es-ES_tradnl"/>
        </w:rPr>
      </w:pPr>
    </w:p>
    <w:p w:rsidR="001A2C02" w:rsidRPr="00F237BB" w:rsidRDefault="00CA2C95" w:rsidP="00CA2C95">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En el cuadro </w:t>
      </w:r>
      <w:r w:rsidR="00402DF3" w:rsidRPr="00F237BB">
        <w:rPr>
          <w:rFonts w:ascii="Arial" w:hAnsi="Arial" w:cs="Arial"/>
          <w:lang w:val="es-ES_tradnl"/>
        </w:rPr>
        <w:t>5</w:t>
      </w:r>
      <w:r w:rsidRPr="00F237BB">
        <w:rPr>
          <w:rFonts w:ascii="Arial" w:hAnsi="Arial" w:cs="Arial"/>
          <w:lang w:val="es-ES_tradnl"/>
        </w:rPr>
        <w:t xml:space="preserve"> </w:t>
      </w:r>
      <w:r w:rsidR="0057153F" w:rsidRPr="00F237BB">
        <w:rPr>
          <w:rFonts w:ascii="Arial" w:hAnsi="Arial" w:cs="Arial"/>
          <w:lang w:val="es-ES_tradnl"/>
        </w:rPr>
        <w:t xml:space="preserve">se expone la información disponible para </w:t>
      </w:r>
      <w:r w:rsidR="003B239B" w:rsidRPr="00F237BB">
        <w:rPr>
          <w:rFonts w:ascii="Arial" w:hAnsi="Arial" w:cs="Arial"/>
          <w:lang w:val="es-ES_tradnl"/>
        </w:rPr>
        <w:t>dos de las</w:t>
      </w:r>
      <w:r w:rsidR="0057153F" w:rsidRPr="00F237BB">
        <w:rPr>
          <w:rFonts w:ascii="Arial" w:hAnsi="Arial" w:cs="Arial"/>
          <w:lang w:val="es-ES_tradnl"/>
        </w:rPr>
        <w:t xml:space="preserve"> direcciones</w:t>
      </w:r>
      <w:r w:rsidR="003B239B" w:rsidRPr="00F237BB">
        <w:rPr>
          <w:rFonts w:ascii="Arial" w:hAnsi="Arial" w:cs="Arial"/>
          <w:lang w:val="es-ES_tradnl"/>
        </w:rPr>
        <w:t xml:space="preserve"> nacionales</w:t>
      </w:r>
      <w:r w:rsidR="0057153F" w:rsidRPr="00F237BB">
        <w:rPr>
          <w:rFonts w:ascii="Arial" w:hAnsi="Arial" w:cs="Arial"/>
          <w:lang w:val="es-ES_tradnl"/>
        </w:rPr>
        <w:t xml:space="preserve"> </w:t>
      </w:r>
      <w:r w:rsidR="00685C4E" w:rsidRPr="00F237BB">
        <w:rPr>
          <w:rFonts w:ascii="Arial" w:hAnsi="Arial" w:cs="Arial"/>
          <w:lang w:val="es-ES_tradnl"/>
        </w:rPr>
        <w:t xml:space="preserve">(Dirección Nacional de Política Macroeconómica – DNPM, y Dirección Nacional de Planificación Regional –DNPR) </w:t>
      </w:r>
      <w:r w:rsidR="0057153F" w:rsidRPr="00F237BB">
        <w:rPr>
          <w:rFonts w:ascii="Arial" w:hAnsi="Arial" w:cs="Arial"/>
          <w:lang w:val="es-ES_tradnl"/>
        </w:rPr>
        <w:t xml:space="preserve">respecto </w:t>
      </w:r>
      <w:r w:rsidR="00753C03" w:rsidRPr="00F237BB">
        <w:rPr>
          <w:rFonts w:ascii="Arial" w:hAnsi="Arial" w:cs="Arial"/>
          <w:lang w:val="es-ES_tradnl"/>
        </w:rPr>
        <w:t>de la disponibilidad</w:t>
      </w:r>
      <w:r w:rsidR="0057153F" w:rsidRPr="00F237BB">
        <w:rPr>
          <w:rFonts w:ascii="Arial" w:hAnsi="Arial" w:cs="Arial"/>
          <w:lang w:val="es-ES_tradnl"/>
        </w:rPr>
        <w:t xml:space="preserve"> de herramientas específicas de análisis de la información, principalmente referidas a software de análisis estadístico y de procesamiento de bases de datos. Puede </w:t>
      </w:r>
      <w:r w:rsidRPr="00F237BB">
        <w:rPr>
          <w:rFonts w:ascii="Arial" w:hAnsi="Arial" w:cs="Arial"/>
        </w:rPr>
        <w:t>observarse</w:t>
      </w:r>
      <w:r w:rsidRPr="00F237BB">
        <w:rPr>
          <w:rFonts w:ascii="Arial" w:hAnsi="Arial" w:cs="Arial"/>
          <w:lang w:val="es-ES_tradnl"/>
        </w:rPr>
        <w:t xml:space="preserve"> como </w:t>
      </w:r>
      <w:r w:rsidR="00685C4E" w:rsidRPr="00F237BB">
        <w:rPr>
          <w:rFonts w:ascii="Arial" w:hAnsi="Arial" w:cs="Arial"/>
          <w:lang w:val="es-ES_tradnl"/>
        </w:rPr>
        <w:t>ambas</w:t>
      </w:r>
      <w:r w:rsidRPr="00F237BB">
        <w:rPr>
          <w:rFonts w:ascii="Arial" w:hAnsi="Arial" w:cs="Arial"/>
          <w:lang w:val="es-ES_tradnl"/>
        </w:rPr>
        <w:t xml:space="preserve"> direcciones tienen </w:t>
      </w:r>
      <w:r w:rsidRPr="00F237BB">
        <w:rPr>
          <w:rFonts w:ascii="Arial" w:hAnsi="Arial" w:cs="Arial"/>
          <w:i/>
          <w:lang w:val="es-ES_tradnl"/>
        </w:rPr>
        <w:t>disponibles</w:t>
      </w:r>
      <w:r w:rsidRPr="00F237BB">
        <w:rPr>
          <w:rFonts w:ascii="Arial" w:hAnsi="Arial" w:cs="Arial"/>
          <w:lang w:val="es-ES_tradnl"/>
        </w:rPr>
        <w:t xml:space="preserve"> herramientas </w:t>
      </w:r>
      <w:r w:rsidR="00A97AF0" w:rsidRPr="00F237BB">
        <w:rPr>
          <w:rFonts w:ascii="Arial" w:hAnsi="Arial" w:cs="Arial"/>
          <w:lang w:val="es-ES_tradnl"/>
        </w:rPr>
        <w:t xml:space="preserve">de análisis de datos económicos avanzadas, es decir herramientas que permiten </w:t>
      </w:r>
      <w:r w:rsidR="00A97AF0" w:rsidRPr="00F237BB">
        <w:rPr>
          <w:rFonts w:ascii="Arial" w:hAnsi="Arial" w:cs="Arial"/>
        </w:rPr>
        <w:t xml:space="preserve">realizar análisis cuantitativo, </w:t>
      </w:r>
      <w:proofErr w:type="spellStart"/>
      <w:r w:rsidR="00A97AF0" w:rsidRPr="00F237BB">
        <w:rPr>
          <w:rFonts w:ascii="Arial" w:hAnsi="Arial" w:cs="Arial"/>
        </w:rPr>
        <w:t>multivariante</w:t>
      </w:r>
      <w:proofErr w:type="spellEnd"/>
      <w:r w:rsidR="00A97AF0" w:rsidRPr="00F237BB">
        <w:rPr>
          <w:rFonts w:ascii="Arial" w:hAnsi="Arial" w:cs="Arial"/>
        </w:rPr>
        <w:t xml:space="preserve"> y cualitativo paramétrico, así como análisis financiero (análisis costo-beneficio, análisis actuariales, etc.), entre otras posibilidades. </w:t>
      </w:r>
    </w:p>
    <w:p w:rsidR="006317D4" w:rsidRPr="00F237BB" w:rsidRDefault="006317D4" w:rsidP="006317D4">
      <w:pPr>
        <w:rPr>
          <w:rFonts w:ascii="Arial" w:hAnsi="Arial" w:cs="Arial"/>
          <w:lang w:val="es-ES_tradnl"/>
        </w:rPr>
      </w:pPr>
    </w:p>
    <w:p w:rsidR="006317D4" w:rsidRPr="00F237BB" w:rsidRDefault="006317D4" w:rsidP="006317D4">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En el cuadro 6 se muestra la </w:t>
      </w:r>
      <w:r w:rsidRPr="00F237BB">
        <w:rPr>
          <w:rFonts w:ascii="Arial" w:hAnsi="Arial" w:cs="Arial"/>
          <w:i/>
          <w:lang w:val="es-ES_tradnl"/>
        </w:rPr>
        <w:t>utilización</w:t>
      </w:r>
      <w:r w:rsidRPr="00F237BB">
        <w:rPr>
          <w:rFonts w:ascii="Arial" w:hAnsi="Arial" w:cs="Arial"/>
          <w:lang w:val="es-ES_tradnl"/>
        </w:rPr>
        <w:t xml:space="preserve"> por parte de las </w:t>
      </w:r>
      <w:r w:rsidR="007D6AF2" w:rsidRPr="00F237BB">
        <w:rPr>
          <w:rFonts w:ascii="Arial" w:hAnsi="Arial" w:cs="Arial"/>
          <w:lang w:val="es-ES_tradnl"/>
        </w:rPr>
        <w:t xml:space="preserve">dos </w:t>
      </w:r>
      <w:r w:rsidRPr="00F237BB">
        <w:rPr>
          <w:rFonts w:ascii="Arial" w:hAnsi="Arial" w:cs="Arial"/>
          <w:lang w:val="es-ES_tradnl"/>
        </w:rPr>
        <w:t xml:space="preserve">direcciones </w:t>
      </w:r>
      <w:r w:rsidR="007D6AF2" w:rsidRPr="00F237BB">
        <w:rPr>
          <w:rFonts w:ascii="Arial" w:hAnsi="Arial" w:cs="Arial"/>
          <w:lang w:val="es-ES_tradnl"/>
        </w:rPr>
        <w:t xml:space="preserve">nacionales </w:t>
      </w:r>
      <w:r w:rsidRPr="00F237BB">
        <w:rPr>
          <w:rFonts w:ascii="Arial" w:hAnsi="Arial" w:cs="Arial"/>
          <w:lang w:val="es-ES_tradnl"/>
        </w:rPr>
        <w:t>de herramientas avanzadas de análisis, independientemente de su disponibilidad.</w:t>
      </w:r>
      <w:r w:rsidRPr="00F237BB">
        <w:rPr>
          <w:rStyle w:val="FootnoteReference"/>
          <w:rFonts w:ascii="Arial" w:hAnsi="Arial" w:cs="Arial"/>
          <w:sz w:val="22"/>
          <w:lang w:val="es-ES_tradnl"/>
        </w:rPr>
        <w:footnoteReference w:id="11"/>
      </w:r>
      <w:r w:rsidRPr="00F237BB">
        <w:rPr>
          <w:rFonts w:ascii="Arial" w:hAnsi="Arial" w:cs="Arial"/>
          <w:lang w:val="es-ES_tradnl"/>
        </w:rPr>
        <w:t xml:space="preserve"> </w:t>
      </w:r>
      <w:r w:rsidR="00753C03" w:rsidRPr="00F237BB">
        <w:rPr>
          <w:rFonts w:ascii="Arial" w:hAnsi="Arial" w:cs="Arial"/>
          <w:lang w:val="es-ES_tradnl"/>
        </w:rPr>
        <w:t xml:space="preserve">Las dos </w:t>
      </w:r>
      <w:r w:rsidRPr="00F237BB">
        <w:rPr>
          <w:rFonts w:ascii="Arial" w:hAnsi="Arial" w:cs="Arial"/>
          <w:lang w:val="es-ES_tradnl"/>
        </w:rPr>
        <w:t>direcciones analizadas utilizan</w:t>
      </w:r>
      <w:r w:rsidR="00753C03" w:rsidRPr="00F237BB">
        <w:rPr>
          <w:rFonts w:ascii="Arial" w:hAnsi="Arial" w:cs="Arial"/>
          <w:lang w:val="es-ES_tradnl"/>
        </w:rPr>
        <w:t xml:space="preserve"> varias</w:t>
      </w:r>
      <w:r w:rsidRPr="00F237BB">
        <w:rPr>
          <w:rFonts w:ascii="Arial" w:hAnsi="Arial" w:cs="Arial"/>
          <w:lang w:val="es-ES_tradnl"/>
        </w:rPr>
        <w:t xml:space="preserve"> herramienta</w:t>
      </w:r>
      <w:r w:rsidR="00753C03" w:rsidRPr="00F237BB">
        <w:rPr>
          <w:rFonts w:ascii="Arial" w:hAnsi="Arial" w:cs="Arial"/>
          <w:lang w:val="es-ES_tradnl"/>
        </w:rPr>
        <w:t>s</w:t>
      </w:r>
      <w:r w:rsidRPr="00F237BB">
        <w:rPr>
          <w:rFonts w:ascii="Arial" w:hAnsi="Arial" w:cs="Arial"/>
          <w:lang w:val="es-ES_tradnl"/>
        </w:rPr>
        <w:t xml:space="preserve"> </w:t>
      </w:r>
      <w:r w:rsidR="00753C03" w:rsidRPr="00F237BB">
        <w:rPr>
          <w:rFonts w:ascii="Arial" w:hAnsi="Arial" w:cs="Arial"/>
          <w:lang w:val="es-ES_tradnl"/>
        </w:rPr>
        <w:t>en sus tareas de análisis</w:t>
      </w:r>
      <w:r w:rsidRPr="00F237BB">
        <w:rPr>
          <w:rFonts w:ascii="Arial" w:hAnsi="Arial" w:cs="Arial"/>
          <w:lang w:val="es-ES_tradnl"/>
        </w:rPr>
        <w:t xml:space="preserve">. </w:t>
      </w:r>
      <w:r w:rsidR="00753C03" w:rsidRPr="00F237BB">
        <w:rPr>
          <w:rFonts w:ascii="Arial" w:hAnsi="Arial" w:cs="Arial"/>
          <w:lang w:val="es-ES_tradnl"/>
        </w:rPr>
        <w:t xml:space="preserve">Específicamente, la DNPM utiliza 5 de 5 herramientas y la </w:t>
      </w:r>
      <w:r w:rsidRPr="00F237BB">
        <w:rPr>
          <w:rFonts w:ascii="Arial" w:hAnsi="Arial" w:cs="Arial"/>
          <w:lang w:val="es-ES_tradnl"/>
        </w:rPr>
        <w:t xml:space="preserve">DNPR </w:t>
      </w:r>
      <w:r w:rsidR="00753C03" w:rsidRPr="00F237BB">
        <w:rPr>
          <w:rFonts w:ascii="Arial" w:hAnsi="Arial" w:cs="Arial"/>
          <w:lang w:val="es-ES_tradnl"/>
        </w:rPr>
        <w:t>usa 4 de las 5</w:t>
      </w:r>
      <w:r w:rsidRPr="00F237BB">
        <w:rPr>
          <w:rFonts w:ascii="Arial" w:hAnsi="Arial" w:cs="Arial"/>
          <w:lang w:val="es-ES_tradnl"/>
        </w:rPr>
        <w:t xml:space="preserve"> herramientas </w:t>
      </w:r>
      <w:r w:rsidR="00753C03" w:rsidRPr="00F237BB">
        <w:rPr>
          <w:rFonts w:ascii="Arial" w:hAnsi="Arial" w:cs="Arial"/>
          <w:lang w:val="es-ES_tradnl"/>
        </w:rPr>
        <w:t>listadas</w:t>
      </w:r>
      <w:r w:rsidRPr="00F237BB">
        <w:rPr>
          <w:rFonts w:ascii="Arial" w:hAnsi="Arial" w:cs="Arial"/>
          <w:lang w:val="es-ES_tradnl"/>
        </w:rPr>
        <w:t>.</w:t>
      </w:r>
    </w:p>
    <w:p w:rsidR="00753C03" w:rsidRPr="00F237BB" w:rsidRDefault="00753C03" w:rsidP="00C60E00">
      <w:pPr>
        <w:pStyle w:val="ListParagraph"/>
        <w:rPr>
          <w:rFonts w:ascii="Arial" w:hAnsi="Arial" w:cs="Arial"/>
          <w:lang w:val="es-ES_tradnl"/>
        </w:rPr>
      </w:pPr>
    </w:p>
    <w:p w:rsidR="00753C03" w:rsidRPr="00F237BB" w:rsidRDefault="00753C03" w:rsidP="00C60E00">
      <w:pPr>
        <w:pStyle w:val="ListParagraph"/>
        <w:ind w:left="567"/>
        <w:rPr>
          <w:rFonts w:ascii="Arial" w:hAnsi="Arial" w:cs="Arial"/>
          <w:lang w:val="es-ES_tradnl"/>
        </w:rPr>
      </w:pPr>
    </w:p>
    <w:p w:rsidR="006317D4" w:rsidRPr="00F237BB" w:rsidRDefault="006317D4" w:rsidP="006317D4">
      <w:pPr>
        <w:pStyle w:val="ListParagraph"/>
        <w:ind w:left="567"/>
        <w:rPr>
          <w:rFonts w:ascii="Arial" w:hAnsi="Arial" w:cs="Arial"/>
          <w:lang w:val="es-ES_tradnl"/>
        </w:rPr>
      </w:pPr>
    </w:p>
    <w:p w:rsidR="00E414CE" w:rsidRPr="00F237BB" w:rsidRDefault="00E414CE" w:rsidP="00E414CE">
      <w:pPr>
        <w:spacing w:after="120"/>
        <w:jc w:val="center"/>
        <w:rPr>
          <w:rFonts w:ascii="Arial" w:hAnsi="Arial" w:cs="Arial"/>
          <w:b/>
        </w:rPr>
      </w:pPr>
      <w:r w:rsidRPr="00F237BB">
        <w:rPr>
          <w:rFonts w:ascii="Arial" w:hAnsi="Arial" w:cs="Arial"/>
          <w:b/>
        </w:rPr>
        <w:t xml:space="preserve">Cuadro </w:t>
      </w:r>
      <w:r w:rsidR="008F5B03" w:rsidRPr="00F237BB">
        <w:rPr>
          <w:rFonts w:ascii="Arial" w:hAnsi="Arial" w:cs="Arial"/>
          <w:b/>
        </w:rPr>
        <w:fldChar w:fldCharType="begin"/>
      </w:r>
      <w:r w:rsidRPr="00F237BB">
        <w:rPr>
          <w:rFonts w:ascii="Arial" w:hAnsi="Arial" w:cs="Arial"/>
          <w:b/>
        </w:rPr>
        <w:instrText xml:space="preserve"> SEQ Cuadro \* ARABIC </w:instrText>
      </w:r>
      <w:r w:rsidR="008F5B03" w:rsidRPr="00F237BB">
        <w:rPr>
          <w:rFonts w:ascii="Arial" w:hAnsi="Arial" w:cs="Arial"/>
          <w:b/>
        </w:rPr>
        <w:fldChar w:fldCharType="separate"/>
      </w:r>
      <w:r w:rsidR="00402DF3" w:rsidRPr="00F237BB">
        <w:rPr>
          <w:rFonts w:ascii="Arial" w:hAnsi="Arial" w:cs="Arial"/>
          <w:b/>
          <w:noProof/>
        </w:rPr>
        <w:t>6</w:t>
      </w:r>
      <w:r w:rsidR="008F5B03" w:rsidRPr="00F237BB">
        <w:rPr>
          <w:rFonts w:ascii="Arial" w:hAnsi="Arial" w:cs="Arial"/>
          <w:b/>
        </w:rPr>
        <w:fldChar w:fldCharType="end"/>
      </w:r>
      <w:r w:rsidRPr="00F237BB">
        <w:rPr>
          <w:rFonts w:ascii="Arial" w:hAnsi="Arial" w:cs="Arial"/>
          <w:b/>
        </w:rPr>
        <w:t xml:space="preserve"> – Utilización de herramientas avanzadas de análisis</w:t>
      </w:r>
    </w:p>
    <w:tbl>
      <w:tblPr>
        <w:tblW w:w="4045" w:type="pct"/>
        <w:tblInd w:w="637" w:type="dxa"/>
        <w:tblCellMar>
          <w:left w:w="70" w:type="dxa"/>
          <w:right w:w="70" w:type="dxa"/>
        </w:tblCellMar>
        <w:tblLook w:val="04A0" w:firstRow="1" w:lastRow="0" w:firstColumn="1" w:lastColumn="0" w:noHBand="0" w:noVBand="1"/>
      </w:tblPr>
      <w:tblGrid>
        <w:gridCol w:w="3352"/>
        <w:gridCol w:w="1042"/>
        <w:gridCol w:w="1983"/>
        <w:gridCol w:w="1419"/>
      </w:tblGrid>
      <w:tr w:rsidR="00096CA8" w:rsidRPr="00F237BB" w:rsidTr="00C60E00">
        <w:trPr>
          <w:trHeight w:val="255"/>
        </w:trPr>
        <w:tc>
          <w:tcPr>
            <w:tcW w:w="2150" w:type="pct"/>
            <w:tcBorders>
              <w:top w:val="single" w:sz="4" w:space="0" w:color="auto"/>
              <w:left w:val="nil"/>
              <w:bottom w:val="single" w:sz="4" w:space="0" w:color="auto"/>
              <w:right w:val="nil"/>
            </w:tcBorders>
            <w:shd w:val="clear" w:color="auto" w:fill="auto"/>
            <w:noWrap/>
            <w:vAlign w:val="bottom"/>
          </w:tcPr>
          <w:p w:rsidR="003B239B" w:rsidRPr="00F237BB" w:rsidRDefault="003B239B" w:rsidP="00E414CE">
            <w:pPr>
              <w:jc w:val="center"/>
              <w:rPr>
                <w:rFonts w:ascii="Arial" w:hAnsi="Arial" w:cs="Arial"/>
                <w:b/>
                <w:lang w:val="es-ES_tradnl" w:eastAsia="es-ES_tradnl"/>
              </w:rPr>
            </w:pPr>
          </w:p>
        </w:tc>
        <w:tc>
          <w:tcPr>
            <w:tcW w:w="668" w:type="pct"/>
            <w:tcBorders>
              <w:top w:val="single" w:sz="4" w:space="0" w:color="auto"/>
              <w:left w:val="nil"/>
              <w:bottom w:val="single" w:sz="4" w:space="0" w:color="auto"/>
              <w:right w:val="single" w:sz="8" w:space="0" w:color="auto"/>
            </w:tcBorders>
            <w:shd w:val="clear" w:color="auto" w:fill="auto"/>
            <w:noWrap/>
            <w:vAlign w:val="bottom"/>
          </w:tcPr>
          <w:p w:rsidR="003B239B" w:rsidRPr="00F237BB" w:rsidRDefault="003B239B" w:rsidP="00E414CE">
            <w:pPr>
              <w:jc w:val="center"/>
              <w:rPr>
                <w:rFonts w:ascii="Arial" w:hAnsi="Arial" w:cs="Arial"/>
                <w:b/>
                <w:bCs/>
                <w:lang w:val="es-ES_tradnl" w:eastAsia="es-ES_tradnl"/>
              </w:rPr>
            </w:pPr>
            <w:r w:rsidRPr="00F237BB">
              <w:rPr>
                <w:rFonts w:ascii="Arial" w:hAnsi="Arial" w:cs="Arial"/>
                <w:b/>
                <w:bCs/>
                <w:lang w:val="es-ES_tradnl" w:eastAsia="es-ES_tradnl"/>
              </w:rPr>
              <w:t>DNPM</w:t>
            </w:r>
          </w:p>
        </w:tc>
        <w:tc>
          <w:tcPr>
            <w:tcW w:w="1272" w:type="pct"/>
            <w:tcBorders>
              <w:top w:val="single" w:sz="4" w:space="0" w:color="auto"/>
              <w:left w:val="nil"/>
              <w:bottom w:val="single" w:sz="4" w:space="0" w:color="auto"/>
              <w:right w:val="single" w:sz="8" w:space="0" w:color="auto"/>
            </w:tcBorders>
            <w:shd w:val="clear" w:color="auto" w:fill="auto"/>
            <w:noWrap/>
            <w:vAlign w:val="bottom"/>
          </w:tcPr>
          <w:p w:rsidR="003B239B" w:rsidRPr="00F237BB" w:rsidRDefault="003B239B" w:rsidP="00E414CE">
            <w:pPr>
              <w:jc w:val="center"/>
              <w:rPr>
                <w:rFonts w:ascii="Arial" w:hAnsi="Arial" w:cs="Arial"/>
                <w:b/>
                <w:bCs/>
                <w:lang w:val="es-ES_tradnl" w:eastAsia="es-ES_tradnl"/>
              </w:rPr>
            </w:pPr>
            <w:r w:rsidRPr="00F237BB">
              <w:rPr>
                <w:rFonts w:ascii="Arial" w:hAnsi="Arial" w:cs="Arial"/>
                <w:b/>
                <w:bCs/>
                <w:lang w:val="es-ES_tradnl" w:eastAsia="es-ES_tradnl"/>
              </w:rPr>
              <w:t>DNPR</w:t>
            </w:r>
          </w:p>
        </w:tc>
        <w:tc>
          <w:tcPr>
            <w:tcW w:w="910" w:type="pct"/>
            <w:tcBorders>
              <w:top w:val="single" w:sz="4" w:space="0" w:color="auto"/>
              <w:left w:val="nil"/>
              <w:bottom w:val="single" w:sz="4" w:space="0" w:color="auto"/>
              <w:right w:val="nil"/>
            </w:tcBorders>
            <w:shd w:val="clear" w:color="auto" w:fill="auto"/>
            <w:noWrap/>
            <w:vAlign w:val="bottom"/>
          </w:tcPr>
          <w:p w:rsidR="003B239B" w:rsidRPr="00F237BB" w:rsidRDefault="003B239B" w:rsidP="00E414CE">
            <w:pPr>
              <w:jc w:val="center"/>
              <w:rPr>
                <w:rFonts w:ascii="Arial" w:hAnsi="Arial" w:cs="Arial"/>
                <w:b/>
                <w:lang w:val="es-ES_tradnl" w:eastAsia="es-ES_tradnl"/>
              </w:rPr>
            </w:pPr>
            <w:r w:rsidRPr="00F237BB">
              <w:rPr>
                <w:rFonts w:ascii="Arial" w:hAnsi="Arial" w:cs="Arial"/>
                <w:b/>
                <w:lang w:val="es-ES_tradnl" w:eastAsia="es-ES_tradnl"/>
              </w:rPr>
              <w:t>TOTAL</w:t>
            </w:r>
          </w:p>
        </w:tc>
      </w:tr>
      <w:tr w:rsidR="00096CA8" w:rsidRPr="00F237BB" w:rsidTr="00C60E00">
        <w:trPr>
          <w:trHeight w:val="255"/>
        </w:trPr>
        <w:tc>
          <w:tcPr>
            <w:tcW w:w="2150" w:type="pct"/>
            <w:tcBorders>
              <w:top w:val="nil"/>
              <w:left w:val="nil"/>
              <w:bottom w:val="nil"/>
              <w:right w:val="nil"/>
            </w:tcBorders>
            <w:shd w:val="clear" w:color="auto" w:fill="auto"/>
            <w:noWrap/>
            <w:vAlign w:val="bottom"/>
          </w:tcPr>
          <w:p w:rsidR="003B239B" w:rsidRPr="00F237BB" w:rsidRDefault="003B239B" w:rsidP="00556D6C">
            <w:pPr>
              <w:jc w:val="left"/>
              <w:rPr>
                <w:rFonts w:ascii="Arial" w:hAnsi="Arial" w:cs="Arial"/>
              </w:rPr>
            </w:pPr>
            <w:r w:rsidRPr="00F237BB">
              <w:rPr>
                <w:rFonts w:ascii="Arial" w:hAnsi="Arial" w:cs="Arial"/>
              </w:rPr>
              <w:t>E-</w:t>
            </w:r>
            <w:proofErr w:type="spellStart"/>
            <w:r w:rsidRPr="00F237BB">
              <w:rPr>
                <w:rFonts w:ascii="Arial" w:hAnsi="Arial" w:cs="Arial"/>
              </w:rPr>
              <w:t>Views</w:t>
            </w:r>
            <w:proofErr w:type="spellEnd"/>
          </w:p>
        </w:tc>
        <w:tc>
          <w:tcPr>
            <w:tcW w:w="668" w:type="pct"/>
            <w:tcBorders>
              <w:top w:val="nil"/>
              <w:left w:val="nil"/>
              <w:bottom w:val="nil"/>
              <w:right w:val="single" w:sz="8" w:space="0" w:color="auto"/>
            </w:tcBorders>
            <w:shd w:val="clear" w:color="auto" w:fill="auto"/>
            <w:noWrap/>
            <w:vAlign w:val="bottom"/>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1272" w:type="pct"/>
            <w:tcBorders>
              <w:top w:val="nil"/>
              <w:left w:val="nil"/>
              <w:bottom w:val="nil"/>
              <w:right w:val="single" w:sz="8" w:space="0" w:color="auto"/>
            </w:tcBorders>
            <w:shd w:val="clear" w:color="auto" w:fill="auto"/>
            <w:noWrap/>
            <w:vAlign w:val="bottom"/>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910" w:type="pct"/>
            <w:tcBorders>
              <w:top w:val="nil"/>
              <w:left w:val="nil"/>
              <w:bottom w:val="nil"/>
              <w:right w:val="nil"/>
            </w:tcBorders>
            <w:shd w:val="clear" w:color="auto" w:fill="auto"/>
            <w:noWrap/>
            <w:vAlign w:val="bottom"/>
          </w:tcPr>
          <w:p w:rsidR="003B239B" w:rsidRPr="00F237BB" w:rsidRDefault="00753C03" w:rsidP="00556D6C">
            <w:pPr>
              <w:jc w:val="center"/>
              <w:rPr>
                <w:rFonts w:ascii="Arial" w:hAnsi="Arial" w:cs="Arial"/>
                <w:bCs/>
                <w:lang w:val="es-ES_tradnl" w:eastAsia="es-ES_tradnl"/>
              </w:rPr>
            </w:pPr>
            <w:r w:rsidRPr="00F237BB">
              <w:rPr>
                <w:rFonts w:ascii="Arial" w:hAnsi="Arial" w:cs="Arial"/>
                <w:bCs/>
                <w:lang w:val="es-ES_tradnl" w:eastAsia="es-ES_tradnl"/>
              </w:rPr>
              <w:t>2</w:t>
            </w:r>
          </w:p>
        </w:tc>
      </w:tr>
      <w:tr w:rsidR="00096CA8" w:rsidRPr="00F237BB" w:rsidTr="00C60E00">
        <w:trPr>
          <w:trHeight w:val="255"/>
        </w:trPr>
        <w:tc>
          <w:tcPr>
            <w:tcW w:w="2150" w:type="pct"/>
            <w:tcBorders>
              <w:top w:val="nil"/>
              <w:left w:val="nil"/>
              <w:bottom w:val="nil"/>
              <w:right w:val="nil"/>
            </w:tcBorders>
            <w:shd w:val="clear" w:color="auto" w:fill="auto"/>
            <w:noWrap/>
            <w:vAlign w:val="bottom"/>
            <w:hideMark/>
          </w:tcPr>
          <w:p w:rsidR="003B239B" w:rsidRPr="00F237BB" w:rsidRDefault="003B239B" w:rsidP="00556D6C">
            <w:pPr>
              <w:jc w:val="left"/>
              <w:rPr>
                <w:rFonts w:ascii="Arial" w:hAnsi="Arial" w:cs="Arial"/>
              </w:rPr>
            </w:pPr>
            <w:proofErr w:type="spellStart"/>
            <w:r w:rsidRPr="00F237BB">
              <w:rPr>
                <w:rFonts w:ascii="Arial" w:hAnsi="Arial" w:cs="Arial"/>
              </w:rPr>
              <w:t>Stata</w:t>
            </w:r>
            <w:proofErr w:type="spellEnd"/>
          </w:p>
        </w:tc>
        <w:tc>
          <w:tcPr>
            <w:tcW w:w="668"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1272"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910" w:type="pct"/>
            <w:tcBorders>
              <w:top w:val="nil"/>
              <w:left w:val="nil"/>
              <w:bottom w:val="nil"/>
              <w:right w:val="nil"/>
            </w:tcBorders>
            <w:shd w:val="clear" w:color="auto" w:fill="auto"/>
            <w:noWrap/>
            <w:vAlign w:val="bottom"/>
            <w:hideMark/>
          </w:tcPr>
          <w:p w:rsidR="003B239B" w:rsidRPr="00F237BB" w:rsidRDefault="00753C03" w:rsidP="00556D6C">
            <w:pPr>
              <w:jc w:val="center"/>
              <w:rPr>
                <w:rFonts w:ascii="Arial" w:hAnsi="Arial" w:cs="Arial"/>
                <w:bCs/>
                <w:lang w:val="es-ES_tradnl" w:eastAsia="es-ES_tradnl"/>
              </w:rPr>
            </w:pPr>
            <w:r w:rsidRPr="00F237BB">
              <w:rPr>
                <w:rFonts w:ascii="Arial" w:hAnsi="Arial" w:cs="Arial"/>
                <w:bCs/>
                <w:lang w:val="es-ES_tradnl" w:eastAsia="es-ES_tradnl"/>
              </w:rPr>
              <w:t>2</w:t>
            </w:r>
          </w:p>
        </w:tc>
      </w:tr>
      <w:tr w:rsidR="00096CA8" w:rsidRPr="00F237BB" w:rsidTr="00C60E00">
        <w:trPr>
          <w:trHeight w:val="255"/>
        </w:trPr>
        <w:tc>
          <w:tcPr>
            <w:tcW w:w="2150" w:type="pct"/>
            <w:tcBorders>
              <w:top w:val="nil"/>
              <w:left w:val="nil"/>
              <w:bottom w:val="nil"/>
              <w:right w:val="nil"/>
            </w:tcBorders>
            <w:shd w:val="clear" w:color="auto" w:fill="auto"/>
            <w:noWrap/>
            <w:vAlign w:val="bottom"/>
            <w:hideMark/>
          </w:tcPr>
          <w:p w:rsidR="003B239B" w:rsidRPr="00F237BB" w:rsidRDefault="003B239B" w:rsidP="00556D6C">
            <w:pPr>
              <w:jc w:val="left"/>
              <w:rPr>
                <w:rFonts w:ascii="Arial" w:hAnsi="Arial" w:cs="Arial"/>
              </w:rPr>
            </w:pPr>
            <w:r w:rsidRPr="00F237BB">
              <w:rPr>
                <w:rFonts w:ascii="Arial" w:hAnsi="Arial" w:cs="Arial"/>
              </w:rPr>
              <w:t>SPSS</w:t>
            </w:r>
          </w:p>
        </w:tc>
        <w:tc>
          <w:tcPr>
            <w:tcW w:w="668"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1272"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910" w:type="pct"/>
            <w:tcBorders>
              <w:top w:val="nil"/>
              <w:left w:val="nil"/>
              <w:bottom w:val="nil"/>
              <w:right w:val="nil"/>
            </w:tcBorders>
            <w:shd w:val="clear" w:color="auto" w:fill="auto"/>
            <w:noWrap/>
            <w:vAlign w:val="bottom"/>
            <w:hideMark/>
          </w:tcPr>
          <w:p w:rsidR="003B239B" w:rsidRPr="00F237BB" w:rsidRDefault="00753C03" w:rsidP="00556D6C">
            <w:pPr>
              <w:jc w:val="center"/>
              <w:rPr>
                <w:rFonts w:ascii="Arial" w:hAnsi="Arial" w:cs="Arial"/>
                <w:bCs/>
                <w:lang w:val="es-ES_tradnl" w:eastAsia="es-ES_tradnl"/>
              </w:rPr>
            </w:pPr>
            <w:r w:rsidRPr="00F237BB">
              <w:rPr>
                <w:rFonts w:ascii="Arial" w:hAnsi="Arial" w:cs="Arial"/>
                <w:bCs/>
                <w:lang w:val="es-ES_tradnl" w:eastAsia="es-ES_tradnl"/>
              </w:rPr>
              <w:t>2</w:t>
            </w:r>
          </w:p>
        </w:tc>
      </w:tr>
      <w:tr w:rsidR="00096CA8" w:rsidRPr="00F237BB" w:rsidTr="00C60E00">
        <w:trPr>
          <w:trHeight w:val="255"/>
        </w:trPr>
        <w:tc>
          <w:tcPr>
            <w:tcW w:w="2150" w:type="pct"/>
            <w:tcBorders>
              <w:top w:val="nil"/>
              <w:left w:val="nil"/>
              <w:bottom w:val="nil"/>
              <w:right w:val="nil"/>
            </w:tcBorders>
            <w:shd w:val="clear" w:color="auto" w:fill="auto"/>
            <w:noWrap/>
            <w:vAlign w:val="bottom"/>
            <w:hideMark/>
          </w:tcPr>
          <w:p w:rsidR="003B239B" w:rsidRPr="00F237BB" w:rsidRDefault="003B239B" w:rsidP="00556D6C">
            <w:pPr>
              <w:jc w:val="left"/>
              <w:rPr>
                <w:rFonts w:ascii="Arial" w:hAnsi="Arial" w:cs="Arial"/>
              </w:rPr>
            </w:pPr>
            <w:r w:rsidRPr="00F237BB">
              <w:rPr>
                <w:rFonts w:ascii="Arial" w:hAnsi="Arial" w:cs="Arial"/>
              </w:rPr>
              <w:t>Matlab</w:t>
            </w:r>
          </w:p>
        </w:tc>
        <w:tc>
          <w:tcPr>
            <w:tcW w:w="668"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1272"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910" w:type="pct"/>
            <w:tcBorders>
              <w:top w:val="nil"/>
              <w:left w:val="nil"/>
              <w:bottom w:val="nil"/>
              <w:right w:val="nil"/>
            </w:tcBorders>
            <w:shd w:val="clear" w:color="auto" w:fill="auto"/>
            <w:noWrap/>
            <w:vAlign w:val="bottom"/>
            <w:hideMark/>
          </w:tcPr>
          <w:p w:rsidR="003B239B" w:rsidRPr="00F237BB" w:rsidRDefault="00753C03" w:rsidP="00556D6C">
            <w:pPr>
              <w:jc w:val="center"/>
              <w:rPr>
                <w:rFonts w:ascii="Arial" w:hAnsi="Arial" w:cs="Arial"/>
                <w:bCs/>
                <w:lang w:val="es-ES_tradnl" w:eastAsia="es-ES_tradnl"/>
              </w:rPr>
            </w:pPr>
            <w:r w:rsidRPr="00F237BB">
              <w:rPr>
                <w:rFonts w:ascii="Arial" w:hAnsi="Arial" w:cs="Arial"/>
                <w:bCs/>
                <w:lang w:val="es-ES_tradnl" w:eastAsia="es-ES_tradnl"/>
              </w:rPr>
              <w:t>2</w:t>
            </w:r>
          </w:p>
        </w:tc>
      </w:tr>
      <w:tr w:rsidR="00096CA8" w:rsidRPr="00F237BB" w:rsidTr="00C60E00">
        <w:trPr>
          <w:trHeight w:val="255"/>
        </w:trPr>
        <w:tc>
          <w:tcPr>
            <w:tcW w:w="2150" w:type="pct"/>
            <w:tcBorders>
              <w:top w:val="nil"/>
              <w:left w:val="nil"/>
              <w:bottom w:val="nil"/>
              <w:right w:val="nil"/>
            </w:tcBorders>
            <w:shd w:val="clear" w:color="auto" w:fill="auto"/>
            <w:noWrap/>
            <w:vAlign w:val="bottom"/>
            <w:hideMark/>
          </w:tcPr>
          <w:p w:rsidR="003B239B" w:rsidRPr="00F237BB" w:rsidRDefault="003B239B" w:rsidP="00556D6C">
            <w:pPr>
              <w:jc w:val="left"/>
              <w:rPr>
                <w:rFonts w:ascii="Arial" w:hAnsi="Arial" w:cs="Arial"/>
              </w:rPr>
            </w:pPr>
            <w:r w:rsidRPr="00F237BB">
              <w:rPr>
                <w:rFonts w:ascii="Arial" w:hAnsi="Arial" w:cs="Arial"/>
              </w:rPr>
              <w:t>GAMS</w:t>
            </w:r>
          </w:p>
        </w:tc>
        <w:tc>
          <w:tcPr>
            <w:tcW w:w="668"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SI</w:t>
            </w:r>
          </w:p>
        </w:tc>
        <w:tc>
          <w:tcPr>
            <w:tcW w:w="1272" w:type="pct"/>
            <w:tcBorders>
              <w:top w:val="nil"/>
              <w:left w:val="nil"/>
              <w:bottom w:val="nil"/>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NO</w:t>
            </w:r>
          </w:p>
        </w:tc>
        <w:tc>
          <w:tcPr>
            <w:tcW w:w="910" w:type="pct"/>
            <w:tcBorders>
              <w:top w:val="nil"/>
              <w:left w:val="nil"/>
              <w:bottom w:val="nil"/>
              <w:right w:val="nil"/>
            </w:tcBorders>
            <w:shd w:val="clear" w:color="auto" w:fill="auto"/>
            <w:noWrap/>
            <w:vAlign w:val="bottom"/>
            <w:hideMark/>
          </w:tcPr>
          <w:p w:rsidR="003B239B" w:rsidRPr="00F237BB" w:rsidRDefault="00753C03" w:rsidP="00556D6C">
            <w:pPr>
              <w:jc w:val="center"/>
              <w:rPr>
                <w:rFonts w:ascii="Arial" w:hAnsi="Arial" w:cs="Arial"/>
                <w:bCs/>
                <w:lang w:val="es-ES_tradnl" w:eastAsia="es-ES_tradnl"/>
              </w:rPr>
            </w:pPr>
            <w:r w:rsidRPr="00F237BB">
              <w:rPr>
                <w:rFonts w:ascii="Arial" w:hAnsi="Arial" w:cs="Arial"/>
                <w:bCs/>
                <w:lang w:val="es-ES_tradnl" w:eastAsia="es-ES_tradnl"/>
              </w:rPr>
              <w:t>1</w:t>
            </w:r>
          </w:p>
        </w:tc>
      </w:tr>
      <w:tr w:rsidR="00096CA8" w:rsidRPr="00F237BB" w:rsidTr="00C60E00">
        <w:trPr>
          <w:trHeight w:val="255"/>
        </w:trPr>
        <w:tc>
          <w:tcPr>
            <w:tcW w:w="2150" w:type="pct"/>
            <w:tcBorders>
              <w:top w:val="single" w:sz="4" w:space="0" w:color="auto"/>
              <w:left w:val="nil"/>
              <w:bottom w:val="single" w:sz="4" w:space="0" w:color="auto"/>
              <w:right w:val="nil"/>
            </w:tcBorders>
            <w:shd w:val="clear" w:color="auto" w:fill="auto"/>
            <w:noWrap/>
            <w:vAlign w:val="bottom"/>
            <w:hideMark/>
          </w:tcPr>
          <w:p w:rsidR="003B239B" w:rsidRPr="00F237BB" w:rsidRDefault="003B239B" w:rsidP="006317D4">
            <w:pPr>
              <w:jc w:val="left"/>
              <w:rPr>
                <w:rFonts w:ascii="Arial" w:hAnsi="Arial" w:cs="Arial"/>
                <w:b/>
                <w:bCs/>
                <w:lang w:val="es-ES_tradnl" w:eastAsia="es-ES_tradnl"/>
              </w:rPr>
            </w:pPr>
            <w:r w:rsidRPr="00F237BB">
              <w:rPr>
                <w:rFonts w:ascii="Arial" w:hAnsi="Arial" w:cs="Arial"/>
                <w:b/>
                <w:bCs/>
                <w:lang w:val="es-ES_tradnl" w:eastAsia="es-ES_tradnl"/>
              </w:rPr>
              <w:t>Nº herramientas</w:t>
            </w:r>
          </w:p>
        </w:tc>
        <w:tc>
          <w:tcPr>
            <w:tcW w:w="668" w:type="pct"/>
            <w:tcBorders>
              <w:top w:val="single" w:sz="4" w:space="0" w:color="auto"/>
              <w:left w:val="nil"/>
              <w:bottom w:val="single" w:sz="4" w:space="0" w:color="auto"/>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5</w:t>
            </w:r>
          </w:p>
        </w:tc>
        <w:tc>
          <w:tcPr>
            <w:tcW w:w="1272" w:type="pct"/>
            <w:tcBorders>
              <w:top w:val="single" w:sz="4" w:space="0" w:color="auto"/>
              <w:left w:val="nil"/>
              <w:bottom w:val="single" w:sz="4" w:space="0" w:color="auto"/>
              <w:right w:val="single" w:sz="8" w:space="0" w:color="auto"/>
            </w:tcBorders>
            <w:shd w:val="clear" w:color="auto" w:fill="auto"/>
            <w:noWrap/>
            <w:vAlign w:val="bottom"/>
            <w:hideMark/>
          </w:tcPr>
          <w:p w:rsidR="003B239B" w:rsidRPr="00F237BB" w:rsidRDefault="003B239B" w:rsidP="00556D6C">
            <w:pPr>
              <w:jc w:val="center"/>
              <w:rPr>
                <w:rFonts w:ascii="Arial" w:hAnsi="Arial" w:cs="Arial"/>
                <w:bCs/>
                <w:lang w:val="es-ES_tradnl" w:eastAsia="es-ES_tradnl"/>
              </w:rPr>
            </w:pPr>
            <w:r w:rsidRPr="00F237BB">
              <w:rPr>
                <w:rFonts w:ascii="Arial" w:hAnsi="Arial" w:cs="Arial"/>
                <w:bCs/>
                <w:lang w:val="es-ES_tradnl" w:eastAsia="es-ES_tradnl"/>
              </w:rPr>
              <w:t>4</w:t>
            </w:r>
          </w:p>
        </w:tc>
        <w:tc>
          <w:tcPr>
            <w:tcW w:w="910" w:type="pct"/>
            <w:tcBorders>
              <w:top w:val="single" w:sz="4" w:space="0" w:color="auto"/>
              <w:left w:val="nil"/>
              <w:bottom w:val="single" w:sz="4" w:space="0" w:color="auto"/>
              <w:right w:val="nil"/>
            </w:tcBorders>
            <w:shd w:val="clear" w:color="auto" w:fill="auto"/>
            <w:noWrap/>
            <w:vAlign w:val="bottom"/>
            <w:hideMark/>
          </w:tcPr>
          <w:p w:rsidR="003B239B" w:rsidRPr="00F237BB" w:rsidRDefault="003B239B" w:rsidP="00556D6C">
            <w:pPr>
              <w:jc w:val="center"/>
              <w:rPr>
                <w:rFonts w:ascii="Arial" w:hAnsi="Arial" w:cs="Arial"/>
                <w:lang w:val="es-ES_tradnl" w:eastAsia="es-ES_tradnl"/>
              </w:rPr>
            </w:pPr>
          </w:p>
        </w:tc>
      </w:tr>
    </w:tbl>
    <w:p w:rsidR="00E414CE" w:rsidRPr="00F237BB" w:rsidRDefault="00E414CE" w:rsidP="00E414CE">
      <w:pPr>
        <w:pStyle w:val="ListParagraph"/>
        <w:ind w:left="709"/>
        <w:rPr>
          <w:rFonts w:ascii="Arial" w:hAnsi="Arial" w:cs="Arial"/>
          <w:lang w:val="es-ES_tradnl"/>
        </w:rPr>
      </w:pPr>
      <w:r w:rsidRPr="00F237BB">
        <w:rPr>
          <w:rFonts w:ascii="Arial" w:hAnsi="Arial" w:cs="Arial"/>
          <w:lang w:val="es-ES_tradnl"/>
        </w:rPr>
        <w:t>Fuente: Encuesta de Formación</w:t>
      </w:r>
      <w:r w:rsidR="00573F3A" w:rsidRPr="00F237BB">
        <w:rPr>
          <w:rStyle w:val="FootnoteReference"/>
          <w:rFonts w:ascii="Arial" w:hAnsi="Arial" w:cs="Arial"/>
          <w:sz w:val="22"/>
          <w:lang w:val="es-ES_tradnl"/>
        </w:rPr>
        <w:footnoteReference w:id="12"/>
      </w:r>
      <w:r w:rsidRPr="00F237BB">
        <w:rPr>
          <w:rFonts w:ascii="Arial" w:hAnsi="Arial" w:cs="Arial"/>
          <w:lang w:val="es-ES_tradnl"/>
        </w:rPr>
        <w:t xml:space="preserve">. </w:t>
      </w:r>
    </w:p>
    <w:p w:rsidR="00E414CE" w:rsidRPr="00F237BB" w:rsidRDefault="00E414CE" w:rsidP="000A14BE">
      <w:pPr>
        <w:pStyle w:val="ListParagraph"/>
        <w:ind w:left="567"/>
        <w:rPr>
          <w:rFonts w:ascii="Arial" w:hAnsi="Arial" w:cs="Arial"/>
          <w:lang w:val="es-ES_tradnl"/>
        </w:rPr>
      </w:pPr>
    </w:p>
    <w:p w:rsidR="006317D4" w:rsidRPr="00F237BB" w:rsidRDefault="006317D4" w:rsidP="006317D4">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En el cuadro 7 se muestra la </w:t>
      </w:r>
      <w:r w:rsidRPr="00F237BB">
        <w:rPr>
          <w:rFonts w:ascii="Arial" w:hAnsi="Arial" w:cs="Arial"/>
          <w:i/>
          <w:lang w:val="es-ES_tradnl"/>
        </w:rPr>
        <w:t>frecuencia</w:t>
      </w:r>
      <w:r w:rsidRPr="00F237BB">
        <w:rPr>
          <w:rFonts w:ascii="Arial" w:hAnsi="Arial" w:cs="Arial"/>
          <w:lang w:val="es-ES_tradnl"/>
        </w:rPr>
        <w:t xml:space="preserve"> en el uso de las herramientas más habitualmente utilizadas en el análisis cuantitativo entre personal técnico de las </w:t>
      </w:r>
      <w:r w:rsidR="00573F3A" w:rsidRPr="00F237BB">
        <w:rPr>
          <w:rFonts w:ascii="Arial" w:hAnsi="Arial" w:cs="Arial"/>
          <w:lang w:val="es-ES_tradnl"/>
        </w:rPr>
        <w:t xml:space="preserve">dos </w:t>
      </w:r>
      <w:r w:rsidRPr="00F237BB">
        <w:rPr>
          <w:rFonts w:ascii="Arial" w:hAnsi="Arial" w:cs="Arial"/>
          <w:lang w:val="es-ES_tradnl"/>
        </w:rPr>
        <w:t>direcciones</w:t>
      </w:r>
      <w:r w:rsidR="00573F3A" w:rsidRPr="00F237BB">
        <w:rPr>
          <w:rFonts w:ascii="Arial" w:hAnsi="Arial" w:cs="Arial"/>
          <w:lang w:val="es-ES_tradnl"/>
        </w:rPr>
        <w:t xml:space="preserve"> nacionales mencionadas</w:t>
      </w:r>
      <w:r w:rsidRPr="00F237BB">
        <w:rPr>
          <w:rFonts w:ascii="Arial" w:hAnsi="Arial" w:cs="Arial"/>
          <w:lang w:val="es-ES_tradnl"/>
        </w:rPr>
        <w:t xml:space="preserve">. </w:t>
      </w:r>
      <w:r w:rsidR="00573F3A" w:rsidRPr="00F237BB">
        <w:rPr>
          <w:rFonts w:ascii="Arial" w:hAnsi="Arial" w:cs="Arial"/>
          <w:lang w:val="es-ES_tradnl"/>
        </w:rPr>
        <w:t xml:space="preserve">Se observa un elevado grado de utilización </w:t>
      </w:r>
      <w:r w:rsidRPr="00F237BB">
        <w:rPr>
          <w:rFonts w:ascii="Arial" w:hAnsi="Arial" w:cs="Arial"/>
          <w:lang w:val="es-ES_tradnl"/>
        </w:rPr>
        <w:t>de este tipo de herramientas</w:t>
      </w:r>
      <w:r w:rsidR="001C62D9" w:rsidRPr="00F237BB">
        <w:rPr>
          <w:rFonts w:ascii="Arial" w:hAnsi="Arial" w:cs="Arial"/>
          <w:lang w:val="es-ES_tradnl"/>
        </w:rPr>
        <w:t>, con valores superiores al 80% de su personal técnico siendo usuario de las mismas. Además, siendo habitual en estas direcciones que un mismo funcionario pública utilice más de una herramienta durante su trabajo.</w:t>
      </w:r>
    </w:p>
    <w:p w:rsidR="006317D4" w:rsidRPr="00F237BB" w:rsidRDefault="006317D4" w:rsidP="006317D4">
      <w:pPr>
        <w:pStyle w:val="ListParagraph"/>
        <w:ind w:left="927"/>
        <w:rPr>
          <w:rFonts w:ascii="Arial" w:hAnsi="Arial" w:cs="Arial"/>
          <w:lang w:val="es-ES_tradnl"/>
        </w:rPr>
      </w:pPr>
    </w:p>
    <w:p w:rsidR="000A14BE" w:rsidRPr="00F237BB" w:rsidRDefault="008040C0" w:rsidP="007A08FE">
      <w:pPr>
        <w:spacing w:after="120"/>
        <w:jc w:val="center"/>
        <w:rPr>
          <w:rFonts w:ascii="Arial" w:hAnsi="Arial" w:cs="Arial"/>
          <w:b/>
        </w:rPr>
      </w:pPr>
      <w:r w:rsidRPr="00F237BB">
        <w:rPr>
          <w:rFonts w:ascii="Arial" w:hAnsi="Arial" w:cs="Arial"/>
          <w:b/>
        </w:rPr>
        <w:t>C</w:t>
      </w:r>
      <w:r w:rsidR="00845F7E" w:rsidRPr="00F237BB">
        <w:rPr>
          <w:rFonts w:ascii="Arial" w:hAnsi="Arial" w:cs="Arial"/>
          <w:b/>
        </w:rPr>
        <w:t xml:space="preserve">uadro </w:t>
      </w:r>
      <w:r w:rsidR="008F5B03" w:rsidRPr="00F237BB">
        <w:rPr>
          <w:rFonts w:ascii="Arial" w:hAnsi="Arial" w:cs="Arial"/>
          <w:b/>
        </w:rPr>
        <w:fldChar w:fldCharType="begin"/>
      </w:r>
      <w:r w:rsidR="00845F7E" w:rsidRPr="00F237BB">
        <w:rPr>
          <w:rFonts w:ascii="Arial" w:hAnsi="Arial" w:cs="Arial"/>
          <w:b/>
        </w:rPr>
        <w:instrText xml:space="preserve"> SEQ Cuadro \* ARABIC </w:instrText>
      </w:r>
      <w:r w:rsidR="008F5B03" w:rsidRPr="00F237BB">
        <w:rPr>
          <w:rFonts w:ascii="Arial" w:hAnsi="Arial" w:cs="Arial"/>
          <w:b/>
        </w:rPr>
        <w:fldChar w:fldCharType="separate"/>
      </w:r>
      <w:r w:rsidR="00402DF3" w:rsidRPr="00F237BB">
        <w:rPr>
          <w:rFonts w:ascii="Arial" w:hAnsi="Arial" w:cs="Arial"/>
          <w:b/>
          <w:noProof/>
        </w:rPr>
        <w:t>7</w:t>
      </w:r>
      <w:r w:rsidR="008F5B03" w:rsidRPr="00F237BB">
        <w:rPr>
          <w:rFonts w:ascii="Arial" w:hAnsi="Arial" w:cs="Arial"/>
          <w:b/>
        </w:rPr>
        <w:fldChar w:fldCharType="end"/>
      </w:r>
      <w:r w:rsidR="007A08FE" w:rsidRPr="00F237BB">
        <w:rPr>
          <w:rFonts w:ascii="Arial" w:hAnsi="Arial" w:cs="Arial"/>
          <w:b/>
        </w:rPr>
        <w:t xml:space="preserve"> </w:t>
      </w:r>
      <w:r w:rsidR="000A14BE" w:rsidRPr="00F237BB">
        <w:rPr>
          <w:rFonts w:ascii="Arial" w:hAnsi="Arial" w:cs="Arial"/>
          <w:b/>
        </w:rPr>
        <w:t>–</w:t>
      </w:r>
      <w:r w:rsidR="00845F7E" w:rsidRPr="00F237BB">
        <w:rPr>
          <w:rFonts w:ascii="Arial" w:hAnsi="Arial" w:cs="Arial"/>
          <w:b/>
        </w:rPr>
        <w:t xml:space="preserve"> Frecuencia de</w:t>
      </w:r>
      <w:r w:rsidR="000A14BE" w:rsidRPr="00F237BB">
        <w:rPr>
          <w:rFonts w:ascii="Arial" w:hAnsi="Arial" w:cs="Arial"/>
          <w:b/>
        </w:rPr>
        <w:t xml:space="preserve"> uso de herramientas avanzadas de análisis</w:t>
      </w:r>
    </w:p>
    <w:tbl>
      <w:tblPr>
        <w:tblW w:w="8835" w:type="dxa"/>
        <w:tblInd w:w="637" w:type="dxa"/>
        <w:tblCellMar>
          <w:left w:w="70" w:type="dxa"/>
          <w:right w:w="70" w:type="dxa"/>
        </w:tblCellMar>
        <w:tblLook w:val="04A0" w:firstRow="1" w:lastRow="0" w:firstColumn="1" w:lastColumn="0" w:noHBand="0" w:noVBand="1"/>
      </w:tblPr>
      <w:tblGrid>
        <w:gridCol w:w="4678"/>
        <w:gridCol w:w="2173"/>
        <w:gridCol w:w="1984"/>
      </w:tblGrid>
      <w:tr w:rsidR="00845F7E" w:rsidRPr="00F237BB" w:rsidTr="001A2C02">
        <w:trPr>
          <w:trHeight w:val="255"/>
        </w:trPr>
        <w:tc>
          <w:tcPr>
            <w:tcW w:w="4678" w:type="dxa"/>
            <w:tcBorders>
              <w:top w:val="single" w:sz="4" w:space="0" w:color="auto"/>
              <w:left w:val="nil"/>
              <w:bottom w:val="single" w:sz="4" w:space="0" w:color="auto"/>
              <w:right w:val="nil"/>
            </w:tcBorders>
            <w:shd w:val="clear" w:color="auto" w:fill="auto"/>
            <w:noWrap/>
            <w:vAlign w:val="bottom"/>
          </w:tcPr>
          <w:p w:rsidR="00845F7E" w:rsidRPr="00F237BB" w:rsidRDefault="00845F7E" w:rsidP="00862844">
            <w:pPr>
              <w:jc w:val="left"/>
              <w:rPr>
                <w:rFonts w:ascii="Arial" w:hAnsi="Arial" w:cs="Arial"/>
                <w:b/>
                <w:bCs/>
                <w:lang w:val="es-ES_tradnl" w:eastAsia="es-ES_tradnl"/>
              </w:rPr>
            </w:pPr>
          </w:p>
        </w:tc>
        <w:tc>
          <w:tcPr>
            <w:tcW w:w="2173" w:type="dxa"/>
            <w:tcBorders>
              <w:top w:val="single" w:sz="4" w:space="0" w:color="auto"/>
              <w:left w:val="nil"/>
              <w:bottom w:val="single" w:sz="4" w:space="0" w:color="auto"/>
              <w:right w:val="nil"/>
            </w:tcBorders>
            <w:shd w:val="clear" w:color="auto" w:fill="auto"/>
            <w:noWrap/>
            <w:vAlign w:val="bottom"/>
          </w:tcPr>
          <w:p w:rsidR="00845F7E" w:rsidRPr="00F237BB" w:rsidRDefault="007A08FE" w:rsidP="007A08FE">
            <w:pPr>
              <w:jc w:val="center"/>
              <w:rPr>
                <w:rFonts w:ascii="Arial" w:hAnsi="Arial" w:cs="Arial"/>
                <w:b/>
                <w:lang w:val="es-ES_tradnl" w:eastAsia="es-ES_tradnl"/>
              </w:rPr>
            </w:pPr>
            <w:r w:rsidRPr="00F237BB">
              <w:rPr>
                <w:rFonts w:ascii="Arial" w:hAnsi="Arial" w:cs="Arial"/>
                <w:b/>
                <w:lang w:val="es-ES_tradnl" w:eastAsia="es-ES_tradnl"/>
              </w:rPr>
              <w:t>Permanente o f</w:t>
            </w:r>
            <w:r w:rsidR="00845F7E" w:rsidRPr="00F237BB">
              <w:rPr>
                <w:rFonts w:ascii="Arial" w:hAnsi="Arial" w:cs="Arial"/>
                <w:b/>
                <w:lang w:val="es-ES_tradnl" w:eastAsia="es-ES_tradnl"/>
              </w:rPr>
              <w:t>recuente</w:t>
            </w:r>
          </w:p>
        </w:tc>
        <w:tc>
          <w:tcPr>
            <w:tcW w:w="1984" w:type="dxa"/>
            <w:tcBorders>
              <w:top w:val="single" w:sz="4" w:space="0" w:color="auto"/>
              <w:left w:val="nil"/>
              <w:bottom w:val="single" w:sz="4" w:space="0" w:color="auto"/>
              <w:right w:val="nil"/>
            </w:tcBorders>
            <w:vAlign w:val="bottom"/>
          </w:tcPr>
          <w:p w:rsidR="00845F7E" w:rsidRPr="00F237BB" w:rsidRDefault="00845F7E" w:rsidP="00E414CE">
            <w:pPr>
              <w:jc w:val="center"/>
              <w:rPr>
                <w:rFonts w:ascii="Arial" w:hAnsi="Arial" w:cs="Arial"/>
                <w:b/>
                <w:lang w:val="es-ES_tradnl" w:eastAsia="es-ES_tradnl"/>
              </w:rPr>
            </w:pPr>
            <w:r w:rsidRPr="00F237BB">
              <w:rPr>
                <w:rFonts w:ascii="Arial" w:hAnsi="Arial" w:cs="Arial"/>
                <w:b/>
                <w:lang w:val="es-ES_tradnl" w:eastAsia="es-ES_tradnl"/>
              </w:rPr>
              <w:t>Ocasional o nunca</w:t>
            </w:r>
          </w:p>
        </w:tc>
      </w:tr>
      <w:tr w:rsidR="00845F7E" w:rsidRPr="00F237BB" w:rsidTr="00C04157">
        <w:trPr>
          <w:trHeight w:val="255"/>
        </w:trPr>
        <w:tc>
          <w:tcPr>
            <w:tcW w:w="4678" w:type="dxa"/>
            <w:tcBorders>
              <w:top w:val="nil"/>
              <w:left w:val="nil"/>
              <w:right w:val="nil"/>
            </w:tcBorders>
            <w:shd w:val="clear" w:color="auto" w:fill="auto"/>
            <w:noWrap/>
            <w:vAlign w:val="bottom"/>
            <w:hideMark/>
          </w:tcPr>
          <w:p w:rsidR="00845F7E" w:rsidRPr="00F237BB" w:rsidRDefault="00845F7E"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6E7480" w:rsidRPr="00F237BB">
              <w:rPr>
                <w:rFonts w:ascii="Arial" w:hAnsi="Arial" w:cs="Arial"/>
                <w:lang w:val="es-ES_tradnl" w:eastAsia="es-ES_tradnl"/>
              </w:rPr>
              <w:t xml:space="preserve">Política </w:t>
            </w:r>
            <w:r w:rsidRPr="00F237BB">
              <w:rPr>
                <w:rFonts w:ascii="Arial" w:hAnsi="Arial" w:cs="Arial"/>
                <w:lang w:val="es-ES_tradnl" w:eastAsia="es-ES_tradnl"/>
              </w:rPr>
              <w:t>Macroeconómica</w:t>
            </w:r>
          </w:p>
        </w:tc>
        <w:tc>
          <w:tcPr>
            <w:tcW w:w="2173" w:type="dxa"/>
            <w:tcBorders>
              <w:top w:val="nil"/>
              <w:left w:val="nil"/>
              <w:right w:val="nil"/>
            </w:tcBorders>
            <w:shd w:val="clear" w:color="auto" w:fill="auto"/>
            <w:noWrap/>
            <w:vAlign w:val="bottom"/>
          </w:tcPr>
          <w:p w:rsidR="00845F7E" w:rsidRPr="00F237BB" w:rsidRDefault="00845F7E" w:rsidP="001A2C02">
            <w:pPr>
              <w:ind w:right="685"/>
              <w:jc w:val="right"/>
              <w:rPr>
                <w:rFonts w:ascii="Arial" w:hAnsi="Arial" w:cs="Arial"/>
              </w:rPr>
            </w:pPr>
            <w:r w:rsidRPr="00F237BB">
              <w:rPr>
                <w:rFonts w:ascii="Arial" w:hAnsi="Arial" w:cs="Arial"/>
              </w:rPr>
              <w:t>87,0</w:t>
            </w:r>
          </w:p>
        </w:tc>
        <w:tc>
          <w:tcPr>
            <w:tcW w:w="1984" w:type="dxa"/>
            <w:tcBorders>
              <w:top w:val="nil"/>
              <w:left w:val="nil"/>
              <w:right w:val="nil"/>
            </w:tcBorders>
            <w:vAlign w:val="bottom"/>
          </w:tcPr>
          <w:p w:rsidR="00845F7E" w:rsidRPr="00F237BB" w:rsidRDefault="00845F7E" w:rsidP="001A2C02">
            <w:pPr>
              <w:ind w:right="685"/>
              <w:jc w:val="right"/>
              <w:rPr>
                <w:rFonts w:ascii="Arial" w:hAnsi="Arial" w:cs="Arial"/>
              </w:rPr>
            </w:pPr>
            <w:r w:rsidRPr="00F237BB">
              <w:rPr>
                <w:rFonts w:ascii="Arial" w:hAnsi="Arial" w:cs="Arial"/>
              </w:rPr>
              <w:t>13,0</w:t>
            </w:r>
          </w:p>
        </w:tc>
      </w:tr>
      <w:tr w:rsidR="00845F7E" w:rsidRPr="00F237BB" w:rsidTr="00C04157">
        <w:trPr>
          <w:trHeight w:val="255"/>
        </w:trPr>
        <w:tc>
          <w:tcPr>
            <w:tcW w:w="4678" w:type="dxa"/>
            <w:tcBorders>
              <w:top w:val="nil"/>
              <w:left w:val="nil"/>
              <w:bottom w:val="single" w:sz="4" w:space="0" w:color="auto"/>
              <w:right w:val="nil"/>
            </w:tcBorders>
            <w:shd w:val="clear" w:color="auto" w:fill="auto"/>
            <w:noWrap/>
            <w:hideMark/>
          </w:tcPr>
          <w:p w:rsidR="00845F7E" w:rsidRPr="00F237BB" w:rsidRDefault="00845F7E"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950849" w:rsidRPr="00F237BB">
              <w:rPr>
                <w:rFonts w:ascii="Arial" w:hAnsi="Arial" w:cs="Arial"/>
                <w:lang w:val="es-ES_tradnl" w:eastAsia="es-ES_tradnl"/>
              </w:rPr>
              <w:t>Planificación</w:t>
            </w:r>
            <w:r w:rsidRPr="00F237BB">
              <w:rPr>
                <w:rFonts w:ascii="Arial" w:hAnsi="Arial" w:cs="Arial"/>
                <w:lang w:val="es-ES_tradnl" w:eastAsia="es-ES_tradnl"/>
              </w:rPr>
              <w:t xml:space="preserve"> Regional</w:t>
            </w:r>
          </w:p>
        </w:tc>
        <w:tc>
          <w:tcPr>
            <w:tcW w:w="2173" w:type="dxa"/>
            <w:tcBorders>
              <w:top w:val="nil"/>
              <w:left w:val="nil"/>
              <w:bottom w:val="single" w:sz="4" w:space="0" w:color="auto"/>
              <w:right w:val="nil"/>
            </w:tcBorders>
            <w:shd w:val="clear" w:color="auto" w:fill="auto"/>
            <w:noWrap/>
            <w:vAlign w:val="bottom"/>
          </w:tcPr>
          <w:p w:rsidR="00845F7E" w:rsidRPr="00F237BB" w:rsidRDefault="003D111C" w:rsidP="001A2C02">
            <w:pPr>
              <w:ind w:right="685"/>
              <w:jc w:val="right"/>
              <w:rPr>
                <w:rFonts w:ascii="Arial" w:hAnsi="Arial" w:cs="Arial"/>
              </w:rPr>
            </w:pPr>
            <w:r w:rsidRPr="00F237BB">
              <w:rPr>
                <w:rFonts w:ascii="Arial" w:hAnsi="Arial" w:cs="Arial"/>
              </w:rPr>
              <w:t>87</w:t>
            </w:r>
            <w:r w:rsidR="00845F7E" w:rsidRPr="00F237BB">
              <w:rPr>
                <w:rFonts w:ascii="Arial" w:hAnsi="Arial" w:cs="Arial"/>
              </w:rPr>
              <w:t>,</w:t>
            </w:r>
            <w:r w:rsidRPr="00F237BB">
              <w:rPr>
                <w:rFonts w:ascii="Arial" w:hAnsi="Arial" w:cs="Arial"/>
              </w:rPr>
              <w:t>0</w:t>
            </w:r>
          </w:p>
        </w:tc>
        <w:tc>
          <w:tcPr>
            <w:tcW w:w="1984" w:type="dxa"/>
            <w:tcBorders>
              <w:top w:val="nil"/>
              <w:left w:val="nil"/>
              <w:bottom w:val="single" w:sz="4" w:space="0" w:color="auto"/>
              <w:right w:val="nil"/>
            </w:tcBorders>
            <w:vAlign w:val="bottom"/>
          </w:tcPr>
          <w:p w:rsidR="00845F7E" w:rsidRPr="00F237BB" w:rsidRDefault="003D111C" w:rsidP="001A2C02">
            <w:pPr>
              <w:ind w:right="685"/>
              <w:jc w:val="right"/>
              <w:rPr>
                <w:rFonts w:ascii="Arial" w:hAnsi="Arial" w:cs="Arial"/>
              </w:rPr>
            </w:pPr>
            <w:r w:rsidRPr="00F237BB">
              <w:rPr>
                <w:rFonts w:ascii="Arial" w:hAnsi="Arial" w:cs="Arial"/>
              </w:rPr>
              <w:t>13</w:t>
            </w:r>
            <w:r w:rsidR="00845F7E" w:rsidRPr="00F237BB">
              <w:rPr>
                <w:rFonts w:ascii="Arial" w:hAnsi="Arial" w:cs="Arial"/>
              </w:rPr>
              <w:t>,</w:t>
            </w:r>
            <w:r w:rsidRPr="00F237BB">
              <w:rPr>
                <w:rFonts w:ascii="Arial" w:hAnsi="Arial" w:cs="Arial"/>
              </w:rPr>
              <w:t>0</w:t>
            </w:r>
          </w:p>
        </w:tc>
      </w:tr>
    </w:tbl>
    <w:p w:rsidR="000A14BE" w:rsidRPr="00F237BB" w:rsidRDefault="007A08FE" w:rsidP="00CA2C95">
      <w:pPr>
        <w:pStyle w:val="ListParagraph"/>
        <w:ind w:left="709"/>
        <w:rPr>
          <w:rFonts w:ascii="Arial" w:hAnsi="Arial" w:cs="Arial"/>
          <w:lang w:val="es-ES_tradnl"/>
        </w:rPr>
      </w:pPr>
      <w:r w:rsidRPr="00F237BB">
        <w:rPr>
          <w:rFonts w:ascii="Arial" w:hAnsi="Arial" w:cs="Arial"/>
          <w:lang w:val="es-ES_tradnl"/>
        </w:rPr>
        <w:t>Fuente: Encuesta de Formación</w:t>
      </w:r>
      <w:r w:rsidR="00CA2C95" w:rsidRPr="00F237BB">
        <w:rPr>
          <w:rFonts w:ascii="Arial" w:hAnsi="Arial" w:cs="Arial"/>
          <w:lang w:val="es-ES_tradnl"/>
        </w:rPr>
        <w:t xml:space="preserve">. Se excluye el uso de Excel o Access. </w:t>
      </w:r>
    </w:p>
    <w:p w:rsidR="007A08FE" w:rsidRPr="00F237BB" w:rsidRDefault="007A08FE" w:rsidP="000A14BE">
      <w:pPr>
        <w:pStyle w:val="ListParagraph"/>
        <w:ind w:left="927"/>
        <w:rPr>
          <w:rFonts w:ascii="Arial" w:hAnsi="Arial" w:cs="Arial"/>
          <w:lang w:val="es-ES_tradnl"/>
        </w:rPr>
      </w:pPr>
    </w:p>
    <w:p w:rsidR="00C550A6" w:rsidRPr="00F237BB" w:rsidRDefault="001C62D9" w:rsidP="00C550A6">
      <w:pPr>
        <w:pStyle w:val="ListParagraph"/>
        <w:numPr>
          <w:ilvl w:val="0"/>
          <w:numId w:val="14"/>
        </w:numPr>
        <w:ind w:left="567" w:hanging="567"/>
        <w:rPr>
          <w:rFonts w:ascii="Arial" w:hAnsi="Arial" w:cs="Arial"/>
        </w:rPr>
      </w:pPr>
      <w:r w:rsidRPr="00F237BB">
        <w:rPr>
          <w:rFonts w:ascii="Arial" w:hAnsi="Arial" w:cs="Arial"/>
        </w:rPr>
        <w:t xml:space="preserve">En resumen, </w:t>
      </w:r>
      <w:r w:rsidR="00960E82" w:rsidRPr="00F237BB">
        <w:rPr>
          <w:rFonts w:ascii="Arial" w:hAnsi="Arial" w:cs="Arial"/>
        </w:rPr>
        <w:t>de acuerdo a la informaci</w:t>
      </w:r>
      <w:r w:rsidR="0048149A" w:rsidRPr="00F237BB">
        <w:rPr>
          <w:rFonts w:ascii="Arial" w:hAnsi="Arial" w:cs="Arial"/>
        </w:rPr>
        <w:t xml:space="preserve">ón disponible, </w:t>
      </w:r>
      <w:r w:rsidR="00F000A0" w:rsidRPr="00F237BB">
        <w:rPr>
          <w:rFonts w:ascii="Arial" w:hAnsi="Arial" w:cs="Arial"/>
        </w:rPr>
        <w:t xml:space="preserve">si bien </w:t>
      </w:r>
      <w:r w:rsidR="00CA7FDD" w:rsidRPr="00F237BB">
        <w:rPr>
          <w:rFonts w:ascii="Arial" w:hAnsi="Arial" w:cs="Arial"/>
        </w:rPr>
        <w:t xml:space="preserve">se observa una </w:t>
      </w:r>
      <w:r w:rsidR="00F000A0" w:rsidRPr="00F237BB">
        <w:rPr>
          <w:rFonts w:ascii="Arial" w:hAnsi="Arial" w:cs="Arial"/>
        </w:rPr>
        <w:t>situación</w:t>
      </w:r>
      <w:r w:rsidR="00CA7FDD" w:rsidRPr="00F237BB">
        <w:rPr>
          <w:rFonts w:ascii="Arial" w:hAnsi="Arial" w:cs="Arial"/>
        </w:rPr>
        <w:t xml:space="preserve"> relativamente aceptable</w:t>
      </w:r>
      <w:r w:rsidR="00F000A0" w:rsidRPr="00F237BB">
        <w:rPr>
          <w:rFonts w:ascii="Arial" w:hAnsi="Arial" w:cs="Arial"/>
        </w:rPr>
        <w:t xml:space="preserve"> en términos de disponibilidad, utilización y frecuencia de uso de herramientas avanzadas de análisis de la información económica, aún </w:t>
      </w:r>
      <w:r w:rsidR="0048149A" w:rsidRPr="00F237BB">
        <w:rPr>
          <w:rFonts w:ascii="Arial" w:hAnsi="Arial" w:cs="Arial"/>
        </w:rPr>
        <w:t>quedan espacios de mejora</w:t>
      </w:r>
      <w:r w:rsidR="00916D58" w:rsidRPr="00F237BB">
        <w:rPr>
          <w:rFonts w:ascii="Arial" w:hAnsi="Arial" w:cs="Arial"/>
        </w:rPr>
        <w:t>, de forma tal de aprovechar todo el potencial analítico que pueden proporcionar estas herramientas, tanto en términos de uso de metodologías más elaboradas para la formulación y contraste de hipótesis de trabajo, como en términos de una mayor capacidad de análisis de datos a partir de las fuentes estadísticas disponibles</w:t>
      </w:r>
      <w:r w:rsidR="0048149A" w:rsidRPr="00F237BB">
        <w:rPr>
          <w:rFonts w:ascii="Arial" w:hAnsi="Arial" w:cs="Arial"/>
        </w:rPr>
        <w:t xml:space="preserve">. </w:t>
      </w:r>
    </w:p>
    <w:p w:rsidR="00C550A6" w:rsidRPr="00F237BB" w:rsidRDefault="00C550A6" w:rsidP="002D2C0C">
      <w:pPr>
        <w:pStyle w:val="ListParagraph"/>
        <w:ind w:left="567"/>
        <w:rPr>
          <w:rFonts w:ascii="Arial" w:hAnsi="Arial" w:cs="Arial"/>
        </w:rPr>
      </w:pPr>
    </w:p>
    <w:p w:rsidR="009D728C" w:rsidRPr="00F237BB" w:rsidRDefault="009D728C" w:rsidP="00721F38">
      <w:pPr>
        <w:spacing w:after="240"/>
        <w:ind w:left="567"/>
        <w:rPr>
          <w:rFonts w:ascii="Arial" w:hAnsi="Arial" w:cs="Arial"/>
          <w:b/>
          <w:u w:val="single"/>
        </w:rPr>
      </w:pPr>
      <w:r w:rsidRPr="00F237BB">
        <w:rPr>
          <w:rFonts w:ascii="Arial" w:hAnsi="Arial" w:cs="Arial"/>
          <w:b/>
          <w:u w:val="single"/>
        </w:rPr>
        <w:t>Factores causales</w:t>
      </w:r>
    </w:p>
    <w:p w:rsidR="00155D2C" w:rsidRPr="00F237BB" w:rsidRDefault="00155D2C" w:rsidP="00721F38">
      <w:pPr>
        <w:pStyle w:val="ListParagraph"/>
        <w:numPr>
          <w:ilvl w:val="0"/>
          <w:numId w:val="21"/>
        </w:numPr>
        <w:spacing w:after="240"/>
        <w:rPr>
          <w:rFonts w:ascii="Arial" w:hAnsi="Arial" w:cs="Arial"/>
          <w:b/>
        </w:rPr>
      </w:pPr>
      <w:r w:rsidRPr="00F237BB">
        <w:rPr>
          <w:rFonts w:ascii="Arial" w:hAnsi="Arial" w:cs="Arial"/>
          <w:b/>
        </w:rPr>
        <w:t>Limitada especialización y actualización técnica</w:t>
      </w:r>
      <w:r w:rsidR="006317D4" w:rsidRPr="00F237BB">
        <w:rPr>
          <w:rFonts w:ascii="Arial" w:hAnsi="Arial" w:cs="Arial"/>
          <w:b/>
        </w:rPr>
        <w:t>s</w:t>
      </w:r>
    </w:p>
    <w:p w:rsidR="00155D2C" w:rsidRPr="00F237BB" w:rsidRDefault="00155D2C" w:rsidP="00155D2C">
      <w:pPr>
        <w:pStyle w:val="ListParagraph"/>
        <w:numPr>
          <w:ilvl w:val="0"/>
          <w:numId w:val="14"/>
        </w:numPr>
        <w:ind w:left="567" w:hanging="567"/>
        <w:rPr>
          <w:rFonts w:ascii="Arial" w:hAnsi="Arial" w:cs="Arial"/>
          <w:lang w:val="es-ES_tradnl"/>
        </w:rPr>
      </w:pPr>
      <w:r w:rsidRPr="00F237BB">
        <w:rPr>
          <w:rFonts w:ascii="Arial" w:hAnsi="Arial" w:cs="Arial"/>
          <w:lang w:val="es-ES_tradnl"/>
        </w:rPr>
        <w:t>Uno de los factores explicativos de</w:t>
      </w:r>
      <w:r w:rsidR="00B07D63" w:rsidRPr="00F237BB">
        <w:rPr>
          <w:rFonts w:ascii="Arial" w:hAnsi="Arial" w:cs="Arial"/>
          <w:lang w:val="es-ES_tradnl"/>
        </w:rPr>
        <w:t xml:space="preserve">l nivel de </w:t>
      </w:r>
      <w:r w:rsidRPr="00F237BB">
        <w:rPr>
          <w:rFonts w:ascii="Arial" w:hAnsi="Arial" w:cs="Arial"/>
          <w:lang w:val="es-ES_tradnl"/>
        </w:rPr>
        <w:t xml:space="preserve">uso de herramientas y metodologías de análisis reside en </w:t>
      </w:r>
      <w:r w:rsidR="00B07D63" w:rsidRPr="00F237BB">
        <w:rPr>
          <w:rFonts w:ascii="Arial" w:hAnsi="Arial" w:cs="Arial"/>
          <w:lang w:val="es-ES_tradnl"/>
        </w:rPr>
        <w:t>el grado de</w:t>
      </w:r>
      <w:r w:rsidRPr="00F237BB">
        <w:rPr>
          <w:rFonts w:ascii="Arial" w:hAnsi="Arial" w:cs="Arial"/>
          <w:lang w:val="es-ES_tradnl"/>
        </w:rPr>
        <w:t xml:space="preserve"> especialización y actualización en temas y áreas de conocimiento</w:t>
      </w:r>
      <w:r w:rsidR="00504B3D" w:rsidRPr="00F237BB">
        <w:rPr>
          <w:rFonts w:ascii="Arial" w:hAnsi="Arial" w:cs="Arial"/>
          <w:lang w:val="es-ES_tradnl"/>
        </w:rPr>
        <w:t xml:space="preserve"> técnico</w:t>
      </w:r>
      <w:r w:rsidRPr="00F237BB">
        <w:rPr>
          <w:rFonts w:ascii="Arial" w:hAnsi="Arial" w:cs="Arial"/>
          <w:lang w:val="es-ES_tradnl"/>
        </w:rPr>
        <w:t xml:space="preserve"> relativas a la política económica</w:t>
      </w:r>
      <w:r w:rsidR="00504B3D" w:rsidRPr="00F237BB">
        <w:rPr>
          <w:rFonts w:ascii="Arial" w:hAnsi="Arial" w:cs="Arial"/>
          <w:lang w:val="es-ES_tradnl"/>
        </w:rPr>
        <w:t xml:space="preserve"> y al instrumental (herramientas) adecuado para su modelamiento y diseño</w:t>
      </w:r>
      <w:r w:rsidRPr="00F237BB">
        <w:rPr>
          <w:rFonts w:ascii="Arial" w:hAnsi="Arial" w:cs="Arial"/>
          <w:lang w:val="es-ES_tradnl"/>
        </w:rPr>
        <w:t xml:space="preserve">. </w:t>
      </w:r>
    </w:p>
    <w:p w:rsidR="00155D2C" w:rsidRPr="00F237BB" w:rsidRDefault="00155D2C" w:rsidP="00155D2C">
      <w:pPr>
        <w:pStyle w:val="ListParagraph"/>
        <w:ind w:left="567"/>
        <w:rPr>
          <w:rFonts w:ascii="Arial" w:hAnsi="Arial" w:cs="Arial"/>
          <w:lang w:val="es-ES_tradnl"/>
        </w:rPr>
      </w:pPr>
    </w:p>
    <w:p w:rsidR="00155D2C" w:rsidRPr="00F237BB" w:rsidRDefault="00155D2C" w:rsidP="00155D2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Uno de los productos claves de la </w:t>
      </w:r>
      <w:proofErr w:type="spellStart"/>
      <w:r w:rsidRPr="00F237BB">
        <w:rPr>
          <w:rFonts w:ascii="Arial" w:hAnsi="Arial" w:cs="Arial"/>
          <w:lang w:val="es-ES_tradnl"/>
        </w:rPr>
        <w:t>SPE</w:t>
      </w:r>
      <w:r w:rsidR="00FB1FF7" w:rsidRPr="00F237BB">
        <w:rPr>
          <w:rFonts w:ascii="Arial" w:hAnsi="Arial" w:cs="Arial"/>
          <w:lang w:val="es-ES_tradnl"/>
        </w:rPr>
        <w:t>yPD</w:t>
      </w:r>
      <w:proofErr w:type="spellEnd"/>
      <w:r w:rsidRPr="00F237BB">
        <w:rPr>
          <w:rFonts w:ascii="Arial" w:hAnsi="Arial" w:cs="Arial"/>
          <w:lang w:val="es-ES_tradnl"/>
        </w:rPr>
        <w:t xml:space="preserve"> es la generación de conocimiento en materia de política económica. Existen evidencias de que la capacidad de producir conocimiento </w:t>
      </w:r>
      <w:r w:rsidRPr="00F237BB">
        <w:rPr>
          <w:rFonts w:ascii="Arial" w:hAnsi="Arial" w:cs="Arial"/>
          <w:lang w:val="es-ES_tradnl"/>
        </w:rPr>
        <w:lastRenderedPageBreak/>
        <w:t xml:space="preserve">tiene una relación directa con el capital formativo acumulado. En este sentido, un indicador aproximado de la calidad de los conocimientos técnicos sería el nivel de estudios y de especialización en la materia. Este planteamiento sería consistente con el tipo de productos estratégicos que elabora la </w:t>
      </w:r>
      <w:proofErr w:type="spellStart"/>
      <w:r w:rsidRPr="00F237BB">
        <w:rPr>
          <w:rFonts w:ascii="Arial" w:hAnsi="Arial" w:cs="Arial"/>
          <w:lang w:val="es-ES_tradnl"/>
        </w:rPr>
        <w:t>SPE</w:t>
      </w:r>
      <w:r w:rsidR="00FB1FF7" w:rsidRPr="00F237BB">
        <w:rPr>
          <w:rFonts w:ascii="Arial" w:hAnsi="Arial" w:cs="Arial"/>
          <w:lang w:val="es-ES_tradnl"/>
        </w:rPr>
        <w:t>yPD</w:t>
      </w:r>
      <w:proofErr w:type="spellEnd"/>
      <w:r w:rsidRPr="00F237BB">
        <w:rPr>
          <w:rFonts w:ascii="Arial" w:hAnsi="Arial" w:cs="Arial"/>
          <w:lang w:val="es-ES_tradnl"/>
        </w:rPr>
        <w:t xml:space="preserve">: informes, documentos técnicos, estudios, dictámenes, planes y programas, que requieren todos ellos para su elaboración conocimientos técnicos sobre cada tema y capacidad de análisis. </w:t>
      </w:r>
    </w:p>
    <w:p w:rsidR="00B07D63" w:rsidRPr="00F237BB" w:rsidRDefault="00B07D63" w:rsidP="00C60E00">
      <w:pPr>
        <w:pStyle w:val="ListParagraph"/>
        <w:rPr>
          <w:rFonts w:ascii="Arial" w:hAnsi="Arial" w:cs="Arial"/>
          <w:lang w:val="es-ES_tradnl"/>
        </w:rPr>
      </w:pPr>
    </w:p>
    <w:p w:rsidR="00B07D63" w:rsidRPr="00F237BB" w:rsidRDefault="00B07D63" w:rsidP="00155D2C">
      <w:pPr>
        <w:pStyle w:val="Caption"/>
        <w:spacing w:line="360" w:lineRule="auto"/>
        <w:jc w:val="center"/>
        <w:rPr>
          <w:rFonts w:ascii="Arial" w:hAnsi="Arial" w:cs="Arial"/>
          <w:sz w:val="22"/>
          <w:szCs w:val="22"/>
        </w:rPr>
      </w:pPr>
    </w:p>
    <w:p w:rsidR="00155D2C" w:rsidRPr="00F237BB" w:rsidRDefault="00BC790F" w:rsidP="00155D2C">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402DF3" w:rsidRPr="00F237BB">
        <w:rPr>
          <w:rFonts w:ascii="Arial" w:hAnsi="Arial" w:cs="Arial"/>
          <w:noProof/>
          <w:sz w:val="22"/>
          <w:szCs w:val="22"/>
        </w:rPr>
        <w:t>8</w:t>
      </w:r>
      <w:r w:rsidR="00F237BB" w:rsidRPr="00F237BB">
        <w:rPr>
          <w:rFonts w:ascii="Arial" w:hAnsi="Arial" w:cs="Arial"/>
          <w:noProof/>
          <w:sz w:val="22"/>
          <w:szCs w:val="22"/>
        </w:rPr>
        <w:fldChar w:fldCharType="end"/>
      </w:r>
      <w:r w:rsidRPr="00F237BB">
        <w:rPr>
          <w:rFonts w:ascii="Arial" w:hAnsi="Arial" w:cs="Arial"/>
          <w:sz w:val="22"/>
          <w:szCs w:val="22"/>
        </w:rPr>
        <w:t xml:space="preserve"> </w:t>
      </w:r>
      <w:r w:rsidR="00155D2C" w:rsidRPr="00F237BB">
        <w:rPr>
          <w:rFonts w:ascii="Arial" w:hAnsi="Arial" w:cs="Arial"/>
          <w:sz w:val="22"/>
          <w:szCs w:val="22"/>
        </w:rPr>
        <w:t xml:space="preserve">– </w:t>
      </w:r>
      <w:r w:rsidR="00982092" w:rsidRPr="00F237BB">
        <w:rPr>
          <w:rFonts w:ascii="Arial" w:hAnsi="Arial" w:cs="Arial"/>
          <w:sz w:val="22"/>
          <w:szCs w:val="22"/>
        </w:rPr>
        <w:t xml:space="preserve">Estudios </w:t>
      </w:r>
      <w:r w:rsidR="00EB6848" w:rsidRPr="00F237BB">
        <w:rPr>
          <w:rFonts w:ascii="Arial" w:hAnsi="Arial" w:cs="Arial"/>
          <w:sz w:val="22"/>
          <w:szCs w:val="22"/>
        </w:rPr>
        <w:t>de posgrado</w:t>
      </w:r>
    </w:p>
    <w:tbl>
      <w:tblPr>
        <w:tblW w:w="7892" w:type="dxa"/>
        <w:jc w:val="center"/>
        <w:tblInd w:w="55" w:type="dxa"/>
        <w:tblCellMar>
          <w:left w:w="70" w:type="dxa"/>
          <w:right w:w="70" w:type="dxa"/>
        </w:tblCellMar>
        <w:tblLook w:val="04A0" w:firstRow="1" w:lastRow="0" w:firstColumn="1" w:lastColumn="0" w:noHBand="0" w:noVBand="1"/>
      </w:tblPr>
      <w:tblGrid>
        <w:gridCol w:w="4126"/>
        <w:gridCol w:w="1686"/>
        <w:gridCol w:w="2080"/>
      </w:tblGrid>
      <w:tr w:rsidR="00155D2C" w:rsidRPr="00F237BB" w:rsidTr="00C60E00">
        <w:trPr>
          <w:trHeight w:val="255"/>
          <w:jc w:val="center"/>
        </w:trPr>
        <w:tc>
          <w:tcPr>
            <w:tcW w:w="4126" w:type="dxa"/>
            <w:tcBorders>
              <w:top w:val="single" w:sz="4" w:space="0" w:color="auto"/>
              <w:left w:val="nil"/>
              <w:bottom w:val="single" w:sz="4" w:space="0" w:color="auto"/>
              <w:right w:val="nil"/>
            </w:tcBorders>
            <w:shd w:val="clear" w:color="auto" w:fill="auto"/>
            <w:vAlign w:val="center"/>
            <w:hideMark/>
          </w:tcPr>
          <w:p w:rsidR="00155D2C" w:rsidRPr="00F237BB" w:rsidRDefault="00155D2C" w:rsidP="006724E7">
            <w:pPr>
              <w:jc w:val="center"/>
              <w:rPr>
                <w:rFonts w:ascii="Arial" w:hAnsi="Arial" w:cs="Arial"/>
                <w:lang w:val="es-ES_tradnl" w:eastAsia="es-ES_tradnl"/>
              </w:rPr>
            </w:pPr>
          </w:p>
        </w:tc>
        <w:tc>
          <w:tcPr>
            <w:tcW w:w="3766" w:type="dxa"/>
            <w:gridSpan w:val="2"/>
            <w:tcBorders>
              <w:top w:val="single" w:sz="4" w:space="0" w:color="auto"/>
              <w:left w:val="nil"/>
              <w:bottom w:val="single" w:sz="4" w:space="0" w:color="auto"/>
              <w:right w:val="nil"/>
            </w:tcBorders>
            <w:shd w:val="clear" w:color="auto" w:fill="auto"/>
            <w:vAlign w:val="center"/>
            <w:hideMark/>
          </w:tcPr>
          <w:p w:rsidR="00155D2C" w:rsidRPr="00F237BB" w:rsidRDefault="00155D2C" w:rsidP="006724E7">
            <w:pPr>
              <w:jc w:val="center"/>
              <w:rPr>
                <w:rFonts w:ascii="Arial" w:hAnsi="Arial" w:cs="Arial"/>
                <w:b/>
                <w:bCs/>
                <w:lang w:val="es-ES_tradnl" w:eastAsia="es-ES_tradnl"/>
              </w:rPr>
            </w:pPr>
            <w:r w:rsidRPr="00F237BB">
              <w:rPr>
                <w:rFonts w:ascii="Arial" w:hAnsi="Arial" w:cs="Arial"/>
                <w:b/>
                <w:bCs/>
                <w:lang w:val="es-ES_tradnl" w:eastAsia="es-ES_tradnl"/>
              </w:rPr>
              <w:t>Estudios terminados</w:t>
            </w:r>
          </w:p>
        </w:tc>
      </w:tr>
      <w:tr w:rsidR="00155D2C" w:rsidRPr="00F237BB" w:rsidTr="00C60E00">
        <w:trPr>
          <w:trHeight w:val="199"/>
          <w:jc w:val="center"/>
        </w:trPr>
        <w:tc>
          <w:tcPr>
            <w:tcW w:w="4126" w:type="dxa"/>
            <w:tcBorders>
              <w:top w:val="single" w:sz="4" w:space="0" w:color="auto"/>
              <w:left w:val="nil"/>
              <w:bottom w:val="single" w:sz="4" w:space="0" w:color="auto"/>
              <w:right w:val="nil"/>
            </w:tcBorders>
            <w:shd w:val="clear" w:color="auto" w:fill="auto"/>
            <w:vAlign w:val="center"/>
            <w:hideMark/>
          </w:tcPr>
          <w:p w:rsidR="00155D2C" w:rsidRPr="00F237BB" w:rsidRDefault="00155D2C" w:rsidP="006724E7">
            <w:pPr>
              <w:jc w:val="left"/>
              <w:rPr>
                <w:rFonts w:ascii="Arial" w:hAnsi="Arial" w:cs="Arial"/>
                <w:lang w:val="es-ES_tradnl" w:eastAsia="es-ES_tradnl"/>
              </w:rPr>
            </w:pPr>
            <w:r w:rsidRPr="00F237BB">
              <w:rPr>
                <w:rFonts w:ascii="Arial" w:hAnsi="Arial" w:cs="Arial"/>
                <w:lang w:val="es-ES_tradnl" w:eastAsia="es-ES_tradnl"/>
              </w:rPr>
              <w:t>(% sobre el total)</w:t>
            </w:r>
          </w:p>
        </w:tc>
        <w:tc>
          <w:tcPr>
            <w:tcW w:w="1686" w:type="dxa"/>
            <w:tcBorders>
              <w:top w:val="single" w:sz="4" w:space="0" w:color="auto"/>
              <w:left w:val="nil"/>
              <w:bottom w:val="single" w:sz="4" w:space="0" w:color="auto"/>
              <w:right w:val="nil"/>
            </w:tcBorders>
            <w:shd w:val="clear" w:color="auto" w:fill="auto"/>
            <w:vAlign w:val="center"/>
            <w:hideMark/>
          </w:tcPr>
          <w:p w:rsidR="00155D2C" w:rsidRPr="00F237BB" w:rsidRDefault="00155D2C" w:rsidP="006724E7">
            <w:pPr>
              <w:jc w:val="center"/>
              <w:rPr>
                <w:rFonts w:ascii="Arial" w:hAnsi="Arial" w:cs="Arial"/>
                <w:b/>
                <w:bCs/>
                <w:lang w:val="es-ES_tradnl" w:eastAsia="es-ES_tradnl"/>
              </w:rPr>
            </w:pPr>
            <w:r w:rsidRPr="00F237BB">
              <w:rPr>
                <w:rFonts w:ascii="Arial" w:hAnsi="Arial" w:cs="Arial"/>
                <w:b/>
                <w:bCs/>
                <w:lang w:val="es-ES_tradnl" w:eastAsia="es-ES_tradnl"/>
              </w:rPr>
              <w:t>Universitarios</w:t>
            </w:r>
          </w:p>
        </w:tc>
        <w:tc>
          <w:tcPr>
            <w:tcW w:w="2080" w:type="dxa"/>
            <w:tcBorders>
              <w:top w:val="single" w:sz="4" w:space="0" w:color="auto"/>
              <w:left w:val="nil"/>
              <w:bottom w:val="single" w:sz="4" w:space="0" w:color="auto"/>
              <w:right w:val="nil"/>
            </w:tcBorders>
            <w:shd w:val="clear" w:color="auto" w:fill="auto"/>
            <w:vAlign w:val="center"/>
            <w:hideMark/>
          </w:tcPr>
          <w:p w:rsidR="00155D2C" w:rsidRPr="00F237BB" w:rsidRDefault="00155D2C" w:rsidP="006724E7">
            <w:pPr>
              <w:jc w:val="center"/>
              <w:rPr>
                <w:rFonts w:ascii="Arial" w:hAnsi="Arial" w:cs="Arial"/>
                <w:b/>
                <w:bCs/>
                <w:lang w:val="es-ES_tradnl" w:eastAsia="es-ES_tradnl"/>
              </w:rPr>
            </w:pPr>
            <w:r w:rsidRPr="00F237BB">
              <w:rPr>
                <w:rFonts w:ascii="Arial" w:hAnsi="Arial" w:cs="Arial"/>
                <w:b/>
                <w:bCs/>
                <w:lang w:val="es-ES_tradnl" w:eastAsia="es-ES_tradnl"/>
              </w:rPr>
              <w:t>Maestría / Pos</w:t>
            </w:r>
            <w:r w:rsidR="00580BC6" w:rsidRPr="00F237BB">
              <w:rPr>
                <w:rFonts w:ascii="Arial" w:hAnsi="Arial" w:cs="Arial"/>
                <w:b/>
                <w:bCs/>
                <w:lang w:val="es-ES_tradnl" w:eastAsia="es-ES_tradnl"/>
              </w:rPr>
              <w:t>t</w:t>
            </w:r>
            <w:r w:rsidRPr="00F237BB">
              <w:rPr>
                <w:rFonts w:ascii="Arial" w:hAnsi="Arial" w:cs="Arial"/>
                <w:b/>
                <w:bCs/>
                <w:lang w:val="es-ES_tradnl" w:eastAsia="es-ES_tradnl"/>
              </w:rPr>
              <w:t>grado</w:t>
            </w:r>
          </w:p>
        </w:tc>
      </w:tr>
      <w:tr w:rsidR="00155D2C" w:rsidRPr="00F237BB" w:rsidTr="00C60E00">
        <w:trPr>
          <w:trHeight w:val="255"/>
          <w:jc w:val="center"/>
        </w:trPr>
        <w:tc>
          <w:tcPr>
            <w:tcW w:w="4126" w:type="dxa"/>
            <w:tcBorders>
              <w:top w:val="nil"/>
              <w:left w:val="nil"/>
              <w:right w:val="nil"/>
            </w:tcBorders>
            <w:shd w:val="clear" w:color="auto" w:fill="auto"/>
            <w:noWrap/>
            <w:vAlign w:val="bottom"/>
            <w:hideMark/>
          </w:tcPr>
          <w:p w:rsidR="00155D2C" w:rsidRPr="00F237BB" w:rsidRDefault="00155D2C"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6E7480" w:rsidRPr="00F237BB">
              <w:rPr>
                <w:rFonts w:ascii="Arial" w:hAnsi="Arial" w:cs="Arial"/>
                <w:lang w:val="es-ES_tradnl" w:eastAsia="es-ES_tradnl"/>
              </w:rPr>
              <w:t xml:space="preserve">Política </w:t>
            </w:r>
            <w:r w:rsidRPr="00F237BB">
              <w:rPr>
                <w:rFonts w:ascii="Arial" w:hAnsi="Arial" w:cs="Arial"/>
                <w:lang w:val="es-ES_tradnl" w:eastAsia="es-ES_tradnl"/>
              </w:rPr>
              <w:t>Macroeconómica</w:t>
            </w:r>
          </w:p>
        </w:tc>
        <w:tc>
          <w:tcPr>
            <w:tcW w:w="1686" w:type="dxa"/>
            <w:tcBorders>
              <w:top w:val="nil"/>
              <w:left w:val="nil"/>
              <w:right w:val="nil"/>
            </w:tcBorders>
            <w:shd w:val="clear" w:color="auto" w:fill="auto"/>
            <w:noWrap/>
            <w:vAlign w:val="bottom"/>
            <w:hideMark/>
          </w:tcPr>
          <w:p w:rsidR="00155D2C" w:rsidRPr="00F237BB" w:rsidRDefault="00155D2C" w:rsidP="006724E7">
            <w:pPr>
              <w:ind w:right="385"/>
              <w:jc w:val="right"/>
              <w:rPr>
                <w:rFonts w:ascii="Arial" w:hAnsi="Arial" w:cs="Arial"/>
                <w:lang w:val="es-ES_tradnl" w:eastAsia="es-ES_tradnl"/>
              </w:rPr>
            </w:pPr>
            <w:r w:rsidRPr="00F237BB">
              <w:rPr>
                <w:rFonts w:ascii="Arial" w:hAnsi="Arial" w:cs="Arial"/>
                <w:lang w:val="es-ES_tradnl" w:eastAsia="es-ES_tradnl"/>
              </w:rPr>
              <w:t>87,5</w:t>
            </w:r>
          </w:p>
        </w:tc>
        <w:tc>
          <w:tcPr>
            <w:tcW w:w="2080" w:type="dxa"/>
            <w:tcBorders>
              <w:top w:val="nil"/>
              <w:left w:val="nil"/>
              <w:right w:val="nil"/>
            </w:tcBorders>
            <w:shd w:val="clear" w:color="auto" w:fill="auto"/>
            <w:noWrap/>
            <w:vAlign w:val="bottom"/>
            <w:hideMark/>
          </w:tcPr>
          <w:p w:rsidR="00155D2C" w:rsidRPr="00F237BB" w:rsidRDefault="00155D2C" w:rsidP="006724E7">
            <w:pPr>
              <w:ind w:right="385"/>
              <w:jc w:val="right"/>
              <w:rPr>
                <w:rFonts w:ascii="Arial" w:hAnsi="Arial" w:cs="Arial"/>
                <w:lang w:val="es-ES_tradnl" w:eastAsia="es-ES_tradnl"/>
              </w:rPr>
            </w:pPr>
            <w:r w:rsidRPr="00F237BB">
              <w:rPr>
                <w:rFonts w:ascii="Arial" w:hAnsi="Arial" w:cs="Arial"/>
                <w:lang w:val="es-ES_tradnl" w:eastAsia="es-ES_tradnl"/>
              </w:rPr>
              <w:t>100,0</w:t>
            </w:r>
          </w:p>
        </w:tc>
      </w:tr>
      <w:tr w:rsidR="00155D2C" w:rsidRPr="00F237BB" w:rsidTr="00C60E00">
        <w:trPr>
          <w:trHeight w:val="311"/>
          <w:jc w:val="center"/>
        </w:trPr>
        <w:tc>
          <w:tcPr>
            <w:tcW w:w="4126" w:type="dxa"/>
            <w:tcBorders>
              <w:top w:val="nil"/>
              <w:left w:val="nil"/>
              <w:bottom w:val="single" w:sz="4" w:space="0" w:color="auto"/>
              <w:right w:val="nil"/>
            </w:tcBorders>
            <w:shd w:val="clear" w:color="auto" w:fill="auto"/>
            <w:noWrap/>
            <w:vAlign w:val="bottom"/>
            <w:hideMark/>
          </w:tcPr>
          <w:p w:rsidR="00155D2C" w:rsidRPr="00F237BB" w:rsidRDefault="00155D2C"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6E7480" w:rsidRPr="00F237BB">
              <w:rPr>
                <w:rFonts w:ascii="Arial" w:hAnsi="Arial" w:cs="Arial"/>
                <w:lang w:val="es-ES_tradnl" w:eastAsia="es-ES_tradnl"/>
              </w:rPr>
              <w:t>Planificación</w:t>
            </w:r>
            <w:r w:rsidRPr="00F237BB">
              <w:rPr>
                <w:rFonts w:ascii="Arial" w:hAnsi="Arial" w:cs="Arial"/>
                <w:lang w:val="es-ES_tradnl" w:eastAsia="es-ES_tradnl"/>
              </w:rPr>
              <w:t xml:space="preserve"> Regional</w:t>
            </w:r>
          </w:p>
        </w:tc>
        <w:tc>
          <w:tcPr>
            <w:tcW w:w="1686" w:type="dxa"/>
            <w:tcBorders>
              <w:top w:val="nil"/>
              <w:left w:val="nil"/>
              <w:bottom w:val="single" w:sz="4" w:space="0" w:color="auto"/>
              <w:right w:val="nil"/>
            </w:tcBorders>
            <w:shd w:val="clear" w:color="auto" w:fill="auto"/>
            <w:noWrap/>
            <w:vAlign w:val="bottom"/>
            <w:hideMark/>
          </w:tcPr>
          <w:p w:rsidR="00155D2C" w:rsidRPr="00F237BB" w:rsidRDefault="00155D2C" w:rsidP="006724E7">
            <w:pPr>
              <w:ind w:right="385"/>
              <w:jc w:val="right"/>
              <w:rPr>
                <w:rFonts w:ascii="Arial" w:hAnsi="Arial" w:cs="Arial"/>
                <w:lang w:val="es-ES_tradnl" w:eastAsia="es-ES_tradnl"/>
              </w:rPr>
            </w:pPr>
            <w:r w:rsidRPr="00F237BB">
              <w:rPr>
                <w:rFonts w:ascii="Arial" w:hAnsi="Arial" w:cs="Arial"/>
                <w:lang w:val="es-ES_tradnl" w:eastAsia="es-ES_tradnl"/>
              </w:rPr>
              <w:t>92,6</w:t>
            </w:r>
          </w:p>
        </w:tc>
        <w:tc>
          <w:tcPr>
            <w:tcW w:w="2080" w:type="dxa"/>
            <w:tcBorders>
              <w:top w:val="nil"/>
              <w:left w:val="nil"/>
              <w:bottom w:val="single" w:sz="4" w:space="0" w:color="auto"/>
              <w:right w:val="nil"/>
            </w:tcBorders>
            <w:shd w:val="clear" w:color="auto" w:fill="auto"/>
            <w:noWrap/>
            <w:vAlign w:val="bottom"/>
            <w:hideMark/>
          </w:tcPr>
          <w:p w:rsidR="00155D2C" w:rsidRPr="00F237BB" w:rsidRDefault="00155D2C" w:rsidP="006724E7">
            <w:pPr>
              <w:ind w:right="385"/>
              <w:jc w:val="right"/>
              <w:rPr>
                <w:rFonts w:ascii="Arial" w:hAnsi="Arial" w:cs="Arial"/>
                <w:lang w:val="es-ES_tradnl" w:eastAsia="es-ES_tradnl"/>
              </w:rPr>
            </w:pPr>
            <w:r w:rsidRPr="00F237BB">
              <w:rPr>
                <w:rFonts w:ascii="Arial" w:hAnsi="Arial" w:cs="Arial"/>
                <w:lang w:val="es-ES_tradnl" w:eastAsia="es-ES_tradnl"/>
              </w:rPr>
              <w:t>68,0</w:t>
            </w:r>
          </w:p>
        </w:tc>
      </w:tr>
      <w:tr w:rsidR="00155D2C" w:rsidRPr="00F237BB" w:rsidTr="00C60E00">
        <w:trPr>
          <w:trHeight w:val="255"/>
          <w:jc w:val="center"/>
        </w:trPr>
        <w:tc>
          <w:tcPr>
            <w:tcW w:w="4126" w:type="dxa"/>
            <w:tcBorders>
              <w:top w:val="single" w:sz="4" w:space="0" w:color="auto"/>
              <w:left w:val="nil"/>
              <w:bottom w:val="single" w:sz="4" w:space="0" w:color="auto"/>
              <w:right w:val="nil"/>
            </w:tcBorders>
            <w:shd w:val="clear" w:color="auto" w:fill="auto"/>
            <w:noWrap/>
            <w:vAlign w:val="bottom"/>
            <w:hideMark/>
          </w:tcPr>
          <w:p w:rsidR="00155D2C" w:rsidRPr="00F237BB" w:rsidRDefault="006E7480" w:rsidP="006724E7">
            <w:pPr>
              <w:jc w:val="left"/>
              <w:rPr>
                <w:rFonts w:ascii="Arial" w:hAnsi="Arial" w:cs="Arial"/>
                <w:b/>
                <w:bCs/>
                <w:lang w:val="es-ES_tradnl" w:eastAsia="es-ES_tradnl"/>
              </w:rPr>
            </w:pPr>
            <w:r w:rsidRPr="00F237BB">
              <w:rPr>
                <w:rFonts w:ascii="Arial" w:hAnsi="Arial" w:cs="Arial"/>
                <w:b/>
                <w:bCs/>
                <w:lang w:val="es-ES_tradnl" w:eastAsia="es-ES_tradnl"/>
              </w:rPr>
              <w:t>PROMEDIO</w:t>
            </w:r>
          </w:p>
        </w:tc>
        <w:tc>
          <w:tcPr>
            <w:tcW w:w="1686" w:type="dxa"/>
            <w:tcBorders>
              <w:top w:val="single" w:sz="4" w:space="0" w:color="auto"/>
              <w:left w:val="nil"/>
              <w:bottom w:val="single" w:sz="4" w:space="0" w:color="auto"/>
              <w:right w:val="nil"/>
            </w:tcBorders>
            <w:shd w:val="clear" w:color="auto" w:fill="auto"/>
            <w:noWrap/>
            <w:vAlign w:val="bottom"/>
            <w:hideMark/>
          </w:tcPr>
          <w:p w:rsidR="00155D2C" w:rsidRPr="00F237BB" w:rsidRDefault="006E7480" w:rsidP="00FB3976">
            <w:pPr>
              <w:ind w:right="385"/>
              <w:jc w:val="right"/>
              <w:rPr>
                <w:rFonts w:ascii="Arial" w:hAnsi="Arial" w:cs="Arial"/>
                <w:b/>
                <w:bCs/>
                <w:lang w:val="es-ES_tradnl" w:eastAsia="es-ES_tradnl"/>
              </w:rPr>
            </w:pPr>
            <w:r w:rsidRPr="00F237BB">
              <w:rPr>
                <w:rFonts w:ascii="Arial" w:hAnsi="Arial" w:cs="Arial"/>
                <w:b/>
                <w:bCs/>
                <w:lang w:val="es-ES_tradnl" w:eastAsia="es-ES_tradnl"/>
              </w:rPr>
              <w:t>90</w:t>
            </w:r>
            <w:r w:rsidR="00155D2C" w:rsidRPr="00F237BB">
              <w:rPr>
                <w:rFonts w:ascii="Arial" w:hAnsi="Arial" w:cs="Arial"/>
                <w:b/>
                <w:bCs/>
                <w:lang w:val="es-ES_tradnl" w:eastAsia="es-ES_tradnl"/>
              </w:rPr>
              <w:t>,</w:t>
            </w:r>
            <w:r w:rsidRPr="00F237BB">
              <w:rPr>
                <w:rFonts w:ascii="Arial" w:hAnsi="Arial" w:cs="Arial"/>
                <w:b/>
                <w:bCs/>
                <w:lang w:val="es-ES_tradnl" w:eastAsia="es-ES_tradnl"/>
              </w:rPr>
              <w:t>1</w:t>
            </w:r>
          </w:p>
        </w:tc>
        <w:tc>
          <w:tcPr>
            <w:tcW w:w="2080" w:type="dxa"/>
            <w:tcBorders>
              <w:top w:val="single" w:sz="4" w:space="0" w:color="auto"/>
              <w:left w:val="nil"/>
              <w:bottom w:val="single" w:sz="4" w:space="0" w:color="auto"/>
              <w:right w:val="nil"/>
            </w:tcBorders>
            <w:shd w:val="clear" w:color="auto" w:fill="auto"/>
            <w:noWrap/>
            <w:vAlign w:val="bottom"/>
            <w:hideMark/>
          </w:tcPr>
          <w:p w:rsidR="00155D2C" w:rsidRPr="00F237BB" w:rsidRDefault="006E7480" w:rsidP="00FB3976">
            <w:pPr>
              <w:ind w:right="385"/>
              <w:jc w:val="right"/>
              <w:rPr>
                <w:rFonts w:ascii="Arial" w:hAnsi="Arial" w:cs="Arial"/>
                <w:b/>
                <w:bCs/>
                <w:lang w:val="es-ES_tradnl" w:eastAsia="es-ES_tradnl"/>
              </w:rPr>
            </w:pPr>
            <w:r w:rsidRPr="00F237BB">
              <w:rPr>
                <w:rFonts w:ascii="Arial" w:hAnsi="Arial" w:cs="Arial"/>
                <w:b/>
                <w:bCs/>
                <w:lang w:val="es-ES_tradnl" w:eastAsia="es-ES_tradnl"/>
              </w:rPr>
              <w:t>84</w:t>
            </w:r>
            <w:r w:rsidR="00155D2C" w:rsidRPr="00F237BB">
              <w:rPr>
                <w:rFonts w:ascii="Arial" w:hAnsi="Arial" w:cs="Arial"/>
                <w:b/>
                <w:bCs/>
                <w:lang w:val="es-ES_tradnl" w:eastAsia="es-ES_tradnl"/>
              </w:rPr>
              <w:t>,</w:t>
            </w:r>
            <w:r w:rsidRPr="00F237BB">
              <w:rPr>
                <w:rFonts w:ascii="Arial" w:hAnsi="Arial" w:cs="Arial"/>
                <w:b/>
                <w:bCs/>
                <w:lang w:val="es-ES_tradnl" w:eastAsia="es-ES_tradnl"/>
              </w:rPr>
              <w:t>0</w:t>
            </w:r>
          </w:p>
        </w:tc>
      </w:tr>
    </w:tbl>
    <w:p w:rsidR="00155D2C" w:rsidRPr="00F237BB" w:rsidRDefault="00155D2C" w:rsidP="00155D2C">
      <w:pPr>
        <w:ind w:left="993"/>
        <w:rPr>
          <w:rFonts w:ascii="Arial" w:hAnsi="Arial" w:cs="Arial"/>
          <w:lang w:val="es-ES_tradnl"/>
        </w:rPr>
      </w:pPr>
      <w:r w:rsidRPr="00F237BB">
        <w:rPr>
          <w:rFonts w:ascii="Arial" w:hAnsi="Arial" w:cs="Arial"/>
          <w:lang w:val="es-ES_tradnl"/>
        </w:rPr>
        <w:t>Fuente: Encuesta de Formación</w:t>
      </w:r>
      <w:r w:rsidR="002D2F6C" w:rsidRPr="00F237BB">
        <w:rPr>
          <w:rStyle w:val="FootnoteReference"/>
          <w:rFonts w:ascii="Arial" w:hAnsi="Arial" w:cs="Arial"/>
          <w:sz w:val="22"/>
          <w:lang w:val="es-ES_tradnl"/>
        </w:rPr>
        <w:footnoteReference w:id="13"/>
      </w:r>
    </w:p>
    <w:p w:rsidR="00155D2C" w:rsidRPr="00F237BB" w:rsidRDefault="00155D2C" w:rsidP="00155D2C">
      <w:pPr>
        <w:pStyle w:val="ListParagraph"/>
        <w:ind w:left="567"/>
        <w:rPr>
          <w:rFonts w:ascii="Arial" w:hAnsi="Arial" w:cs="Arial"/>
          <w:lang w:val="es-ES_tradnl"/>
        </w:rPr>
      </w:pPr>
    </w:p>
    <w:p w:rsidR="00580BC6" w:rsidRPr="00F237BB" w:rsidRDefault="006317D4" w:rsidP="00C60E00">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En el cuadro 8 puede observarse que </w:t>
      </w:r>
      <w:r w:rsidR="002D2F6C" w:rsidRPr="00F237BB">
        <w:rPr>
          <w:rFonts w:ascii="Arial" w:hAnsi="Arial" w:cs="Arial"/>
          <w:lang w:val="es-ES_tradnl"/>
        </w:rPr>
        <w:t xml:space="preserve">en promedio un </w:t>
      </w:r>
      <w:r w:rsidR="00580BC6" w:rsidRPr="00F237BB">
        <w:rPr>
          <w:rFonts w:ascii="Arial" w:hAnsi="Arial" w:cs="Arial"/>
          <w:lang w:val="es-ES_tradnl"/>
        </w:rPr>
        <w:t>90</w:t>
      </w:r>
      <w:r w:rsidRPr="00F237BB">
        <w:rPr>
          <w:rFonts w:ascii="Arial" w:hAnsi="Arial" w:cs="Arial"/>
          <w:lang w:val="es-ES_tradnl"/>
        </w:rPr>
        <w:t>,</w:t>
      </w:r>
      <w:r w:rsidR="00580BC6" w:rsidRPr="00F237BB">
        <w:rPr>
          <w:rFonts w:ascii="Arial" w:hAnsi="Arial" w:cs="Arial"/>
          <w:lang w:val="es-ES_tradnl"/>
        </w:rPr>
        <w:t>1</w:t>
      </w:r>
      <w:r w:rsidRPr="00F237BB">
        <w:rPr>
          <w:rFonts w:ascii="Arial" w:hAnsi="Arial" w:cs="Arial"/>
          <w:lang w:val="es-ES_tradnl"/>
        </w:rPr>
        <w:t xml:space="preserve">% del personal </w:t>
      </w:r>
      <w:r w:rsidR="00580BC6" w:rsidRPr="00F237BB">
        <w:rPr>
          <w:rFonts w:ascii="Arial" w:hAnsi="Arial" w:cs="Arial"/>
          <w:lang w:val="es-ES_tradnl"/>
        </w:rPr>
        <w:t>en la DNPM y DNPR</w:t>
      </w:r>
      <w:r w:rsidRPr="00F237BB">
        <w:rPr>
          <w:rFonts w:ascii="Arial" w:hAnsi="Arial" w:cs="Arial"/>
          <w:lang w:val="es-ES_tradnl"/>
        </w:rPr>
        <w:t xml:space="preserve"> tiene estudios universitarios terminados</w:t>
      </w:r>
      <w:r w:rsidR="00580BC6" w:rsidRPr="00F237BB">
        <w:rPr>
          <w:rFonts w:ascii="Arial" w:hAnsi="Arial" w:cs="Arial"/>
          <w:lang w:val="es-ES_tradnl"/>
        </w:rPr>
        <w:t xml:space="preserve"> y un 84% tiene estudios finalizados de nivel postgrado o maestría.</w:t>
      </w:r>
      <w:r w:rsidR="009D5D28" w:rsidRPr="00F237BB">
        <w:rPr>
          <w:rFonts w:ascii="Arial" w:hAnsi="Arial" w:cs="Arial"/>
          <w:lang w:val="es-ES_tradnl"/>
        </w:rPr>
        <w:t xml:space="preserve"> Vale aclarar que, la DNPM tiene un mayor porcentaje de personal con estudios de postgrado.</w:t>
      </w:r>
    </w:p>
    <w:p w:rsidR="00155D2C" w:rsidRPr="00F237BB" w:rsidRDefault="00580BC6" w:rsidP="00C60E00">
      <w:pPr>
        <w:pStyle w:val="ListParagraph"/>
        <w:ind w:left="567"/>
        <w:rPr>
          <w:rFonts w:ascii="Arial" w:hAnsi="Arial" w:cs="Arial"/>
          <w:lang w:val="es-ES_tradnl"/>
        </w:rPr>
      </w:pPr>
      <w:r w:rsidRPr="00F237BB">
        <w:rPr>
          <w:rFonts w:ascii="Arial" w:hAnsi="Arial" w:cs="Arial"/>
          <w:lang w:val="es-ES_tradnl"/>
        </w:rPr>
        <w:t xml:space="preserve"> </w:t>
      </w:r>
      <w:r w:rsidR="006317D4" w:rsidRPr="00F237BB">
        <w:rPr>
          <w:rFonts w:ascii="Arial" w:hAnsi="Arial" w:cs="Arial"/>
          <w:lang w:val="es-ES_tradnl"/>
        </w:rPr>
        <w:t xml:space="preserve"> </w:t>
      </w:r>
    </w:p>
    <w:p w:rsidR="00EB6848" w:rsidRPr="00F237BB" w:rsidRDefault="00EB6848" w:rsidP="00C0141A">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Además de los estudios de posgrado, </w:t>
      </w:r>
      <w:r w:rsidR="00C0141A" w:rsidRPr="00F237BB">
        <w:rPr>
          <w:rFonts w:ascii="Arial" w:hAnsi="Arial" w:cs="Arial"/>
          <w:lang w:val="es-ES_tradnl"/>
        </w:rPr>
        <w:t xml:space="preserve">otro indicador de interés para aproximarse a la calidad de los conocimientos instalados en los equipos técnicos de la </w:t>
      </w:r>
      <w:proofErr w:type="spellStart"/>
      <w:r w:rsidR="00C0141A" w:rsidRPr="00F237BB">
        <w:rPr>
          <w:rFonts w:ascii="Arial" w:hAnsi="Arial" w:cs="Arial"/>
          <w:lang w:val="es-ES_tradnl"/>
        </w:rPr>
        <w:t>SPE</w:t>
      </w:r>
      <w:r w:rsidR="009D5D28" w:rsidRPr="00F237BB">
        <w:rPr>
          <w:rFonts w:ascii="Arial" w:hAnsi="Arial" w:cs="Arial"/>
          <w:lang w:val="es-ES_tradnl"/>
        </w:rPr>
        <w:t>yPD</w:t>
      </w:r>
      <w:proofErr w:type="spellEnd"/>
      <w:r w:rsidR="00C0141A" w:rsidRPr="00F237BB">
        <w:rPr>
          <w:rFonts w:ascii="Arial" w:hAnsi="Arial" w:cs="Arial"/>
          <w:lang w:val="es-ES_tradnl"/>
        </w:rPr>
        <w:t xml:space="preserve"> es el que trata de medir</w:t>
      </w:r>
      <w:r w:rsidRPr="00F237BB">
        <w:rPr>
          <w:rFonts w:ascii="Arial" w:hAnsi="Arial" w:cs="Arial"/>
          <w:lang w:val="es-ES_tradnl"/>
        </w:rPr>
        <w:t xml:space="preserve"> la presenc</w:t>
      </w:r>
      <w:r w:rsidR="00C0141A" w:rsidRPr="00F237BB">
        <w:rPr>
          <w:rFonts w:ascii="Arial" w:hAnsi="Arial" w:cs="Arial"/>
          <w:lang w:val="es-ES_tradnl"/>
        </w:rPr>
        <w:t xml:space="preserve">ia de estudios especializados en </w:t>
      </w:r>
      <w:r w:rsidR="00406ECB" w:rsidRPr="00F237BB">
        <w:rPr>
          <w:rFonts w:ascii="Arial" w:hAnsi="Arial" w:cs="Arial"/>
          <w:lang w:val="es-ES_tradnl"/>
        </w:rPr>
        <w:t>economía y conocimientos afines</w:t>
      </w:r>
      <w:r w:rsidR="00C0141A" w:rsidRPr="00F237BB">
        <w:rPr>
          <w:rFonts w:ascii="Arial" w:hAnsi="Arial" w:cs="Arial"/>
          <w:lang w:val="es-ES_tradnl"/>
        </w:rPr>
        <w:t xml:space="preserve">, más allá </w:t>
      </w:r>
      <w:r w:rsidR="003344AC" w:rsidRPr="00F237BB">
        <w:rPr>
          <w:rFonts w:ascii="Arial" w:hAnsi="Arial" w:cs="Arial"/>
          <w:lang w:val="es-ES_tradnl"/>
        </w:rPr>
        <w:t>de los conocimientos generales y específicos</w:t>
      </w:r>
      <w:r w:rsidR="00C0141A" w:rsidRPr="00F237BB">
        <w:rPr>
          <w:rFonts w:ascii="Arial" w:hAnsi="Arial" w:cs="Arial"/>
          <w:lang w:val="es-ES_tradnl"/>
        </w:rPr>
        <w:t xml:space="preserve"> adquiridos en los estudios universitarios de grado y posgrado</w:t>
      </w:r>
      <w:r w:rsidR="00406ECB" w:rsidRPr="00F237BB">
        <w:rPr>
          <w:rFonts w:ascii="Arial" w:hAnsi="Arial" w:cs="Arial"/>
          <w:lang w:val="es-ES_tradnl"/>
        </w:rPr>
        <w:t xml:space="preserve"> (ver cuadro </w:t>
      </w:r>
      <w:r w:rsidR="00402DF3" w:rsidRPr="00F237BB">
        <w:rPr>
          <w:rFonts w:ascii="Arial" w:hAnsi="Arial" w:cs="Arial"/>
          <w:lang w:val="es-ES_tradnl"/>
        </w:rPr>
        <w:t>9</w:t>
      </w:r>
      <w:r w:rsidR="00406ECB" w:rsidRPr="00F237BB">
        <w:rPr>
          <w:rFonts w:ascii="Arial" w:hAnsi="Arial" w:cs="Arial"/>
          <w:lang w:val="es-ES_tradnl"/>
        </w:rPr>
        <w:t>)</w:t>
      </w:r>
      <w:r w:rsidR="003E2B85" w:rsidRPr="00F237BB">
        <w:rPr>
          <w:rFonts w:ascii="Arial" w:hAnsi="Arial" w:cs="Arial"/>
          <w:lang w:val="es-ES_tradnl"/>
        </w:rPr>
        <w:t>.</w:t>
      </w:r>
    </w:p>
    <w:p w:rsidR="000555D8" w:rsidRPr="00F237BB" w:rsidRDefault="000555D8" w:rsidP="00C60E00">
      <w:pPr>
        <w:pStyle w:val="ListParagraph"/>
        <w:ind w:left="567"/>
        <w:rPr>
          <w:rFonts w:ascii="Arial" w:hAnsi="Arial" w:cs="Arial"/>
          <w:lang w:val="es-ES_tradnl"/>
        </w:rPr>
      </w:pPr>
    </w:p>
    <w:p w:rsidR="00BC38C7" w:rsidRPr="00F237BB" w:rsidRDefault="00B97FDE" w:rsidP="00C60E00">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Se observa que </w:t>
      </w:r>
      <w:r w:rsidR="00BC38C7" w:rsidRPr="00F237BB">
        <w:rPr>
          <w:rFonts w:ascii="Arial" w:hAnsi="Arial" w:cs="Arial"/>
          <w:lang w:val="es-ES_tradnl"/>
        </w:rPr>
        <w:t>la Dirección Nacional de Planificación</w:t>
      </w:r>
      <w:r w:rsidRPr="00F237BB">
        <w:rPr>
          <w:rFonts w:ascii="Arial" w:hAnsi="Arial" w:cs="Arial"/>
          <w:lang w:val="es-ES_tradnl"/>
        </w:rPr>
        <w:t xml:space="preserve"> Macroeconómica </w:t>
      </w:r>
      <w:r w:rsidR="00BC38C7" w:rsidRPr="00F237BB">
        <w:rPr>
          <w:rFonts w:ascii="Arial" w:hAnsi="Arial" w:cs="Arial"/>
          <w:lang w:val="es-ES_tradnl"/>
        </w:rPr>
        <w:t>concentra gran parte de la experticia (30 empleados), incluso se da el caso de que algunos técnicos tienen más de un estudio especializado (136,4%), lo que estaría denotando una buena capacidad técnica del recurso humano. Este dato contrasta con la menor experticia en la Dirección Nacional de Planificación Regional, donde sólo</w:t>
      </w:r>
      <w:r w:rsidR="0023176D" w:rsidRPr="00F237BB">
        <w:rPr>
          <w:rFonts w:ascii="Arial" w:hAnsi="Arial" w:cs="Arial"/>
          <w:lang w:val="es-ES_tradnl"/>
        </w:rPr>
        <w:t xml:space="preserve"> el 22,6% tiene especialización en economía y afines</w:t>
      </w:r>
      <w:r w:rsidR="00BC38C7" w:rsidRPr="00F237BB">
        <w:rPr>
          <w:rFonts w:ascii="Arial" w:hAnsi="Arial" w:cs="Arial"/>
          <w:lang w:val="es-ES_tradnl"/>
        </w:rPr>
        <w:t xml:space="preserve">. </w:t>
      </w:r>
    </w:p>
    <w:p w:rsidR="00982092" w:rsidRPr="00F237BB" w:rsidRDefault="00982092" w:rsidP="00155D2C">
      <w:pPr>
        <w:rPr>
          <w:rFonts w:ascii="Arial" w:hAnsi="Arial" w:cs="Arial"/>
          <w:lang w:val="es-ES_tradnl"/>
        </w:rPr>
      </w:pPr>
    </w:p>
    <w:p w:rsidR="00CE51E9" w:rsidRPr="00F237BB" w:rsidRDefault="00BC790F" w:rsidP="00E66C1F">
      <w:pPr>
        <w:pStyle w:val="Caption"/>
        <w:spacing w:after="120"/>
        <w:ind w:left="1418" w:right="1466"/>
        <w:jc w:val="center"/>
        <w:rPr>
          <w:rFonts w:ascii="Arial" w:hAnsi="Arial" w:cs="Arial"/>
          <w:sz w:val="22"/>
          <w:szCs w:val="22"/>
        </w:rPr>
      </w:pPr>
      <w:r w:rsidRPr="00F237BB">
        <w:rPr>
          <w:rFonts w:ascii="Arial" w:hAnsi="Arial" w:cs="Arial"/>
          <w:sz w:val="22"/>
          <w:szCs w:val="22"/>
        </w:rPr>
        <w:t xml:space="preserve">Cuadro </w:t>
      </w:r>
      <w:r w:rsidR="000555D8" w:rsidRPr="00F237BB">
        <w:rPr>
          <w:rFonts w:ascii="Arial" w:hAnsi="Arial" w:cs="Arial"/>
          <w:sz w:val="22"/>
          <w:szCs w:val="22"/>
        </w:rPr>
        <w:t xml:space="preserve">9 </w:t>
      </w:r>
      <w:r w:rsidR="00CE51E9" w:rsidRPr="00F237BB">
        <w:rPr>
          <w:rFonts w:ascii="Arial" w:hAnsi="Arial" w:cs="Arial"/>
          <w:sz w:val="22"/>
          <w:szCs w:val="22"/>
        </w:rPr>
        <w:t>– Estudios especializados en economía y afines</w:t>
      </w:r>
      <w:r w:rsidR="00FA6008" w:rsidRPr="00F237BB">
        <w:rPr>
          <w:rFonts w:ascii="Arial" w:hAnsi="Arial" w:cs="Arial"/>
          <w:sz w:val="22"/>
          <w:szCs w:val="22"/>
        </w:rPr>
        <w:t xml:space="preserve"> por direcciones</w:t>
      </w:r>
    </w:p>
    <w:tbl>
      <w:tblPr>
        <w:tblW w:w="6806" w:type="dxa"/>
        <w:jc w:val="center"/>
        <w:tblCellMar>
          <w:left w:w="70" w:type="dxa"/>
          <w:right w:w="70" w:type="dxa"/>
        </w:tblCellMar>
        <w:tblLook w:val="04A0" w:firstRow="1" w:lastRow="0" w:firstColumn="1" w:lastColumn="0" w:noHBand="0" w:noVBand="1"/>
      </w:tblPr>
      <w:tblGrid>
        <w:gridCol w:w="4126"/>
        <w:gridCol w:w="1521"/>
        <w:gridCol w:w="1159"/>
      </w:tblGrid>
      <w:tr w:rsidR="00FA6008" w:rsidRPr="00F237BB" w:rsidTr="00BC790F">
        <w:trPr>
          <w:cantSplit/>
          <w:trHeight w:val="225"/>
          <w:tblHeader/>
          <w:jc w:val="center"/>
        </w:trPr>
        <w:tc>
          <w:tcPr>
            <w:tcW w:w="4126" w:type="dxa"/>
            <w:tcBorders>
              <w:top w:val="single" w:sz="4" w:space="0" w:color="auto"/>
              <w:left w:val="nil"/>
              <w:bottom w:val="single" w:sz="4" w:space="0" w:color="auto"/>
              <w:right w:val="nil"/>
            </w:tcBorders>
            <w:shd w:val="clear" w:color="auto" w:fill="auto"/>
            <w:noWrap/>
            <w:vAlign w:val="bottom"/>
          </w:tcPr>
          <w:p w:rsidR="00FA6008" w:rsidRPr="00F237BB" w:rsidRDefault="00FA6008" w:rsidP="003344AC">
            <w:pPr>
              <w:jc w:val="left"/>
              <w:rPr>
                <w:rFonts w:ascii="Arial" w:hAnsi="Arial" w:cs="Arial"/>
                <w:bCs/>
                <w:lang w:val="es-ES_tradnl" w:eastAsia="es-ES_tradnl"/>
              </w:rPr>
            </w:pPr>
          </w:p>
        </w:tc>
        <w:tc>
          <w:tcPr>
            <w:tcW w:w="1521" w:type="dxa"/>
            <w:tcBorders>
              <w:top w:val="single" w:sz="4" w:space="0" w:color="auto"/>
              <w:left w:val="nil"/>
              <w:bottom w:val="single" w:sz="4" w:space="0" w:color="auto"/>
              <w:right w:val="nil"/>
            </w:tcBorders>
            <w:shd w:val="clear" w:color="auto" w:fill="auto"/>
            <w:noWrap/>
            <w:vAlign w:val="bottom"/>
          </w:tcPr>
          <w:p w:rsidR="00FA6008" w:rsidRPr="00F237BB" w:rsidRDefault="00FA6008" w:rsidP="002D662A">
            <w:pPr>
              <w:jc w:val="center"/>
              <w:rPr>
                <w:rFonts w:ascii="Arial" w:hAnsi="Arial" w:cs="Arial"/>
                <w:b/>
                <w:lang w:val="es-ES_tradnl" w:eastAsia="es-ES_tradnl"/>
              </w:rPr>
            </w:pPr>
            <w:r w:rsidRPr="00F237BB">
              <w:rPr>
                <w:rFonts w:ascii="Arial" w:hAnsi="Arial" w:cs="Arial"/>
                <w:b/>
                <w:lang w:val="es-ES_tradnl" w:eastAsia="es-ES_tradnl"/>
              </w:rPr>
              <w:t>Nº</w:t>
            </w:r>
          </w:p>
        </w:tc>
        <w:tc>
          <w:tcPr>
            <w:tcW w:w="1159" w:type="dxa"/>
            <w:tcBorders>
              <w:top w:val="single" w:sz="4" w:space="0" w:color="auto"/>
              <w:left w:val="nil"/>
              <w:bottom w:val="single" w:sz="4" w:space="0" w:color="auto"/>
              <w:right w:val="nil"/>
            </w:tcBorders>
            <w:shd w:val="clear" w:color="auto" w:fill="auto"/>
            <w:noWrap/>
            <w:vAlign w:val="bottom"/>
          </w:tcPr>
          <w:p w:rsidR="00FA6008" w:rsidRPr="00F237BB" w:rsidRDefault="00FA6008" w:rsidP="00FA6008">
            <w:pPr>
              <w:jc w:val="center"/>
              <w:rPr>
                <w:rFonts w:ascii="Arial" w:hAnsi="Arial" w:cs="Arial"/>
                <w:b/>
                <w:lang w:val="es-ES_tradnl" w:eastAsia="es-ES_tradnl"/>
              </w:rPr>
            </w:pPr>
            <w:r w:rsidRPr="00F237BB">
              <w:rPr>
                <w:rFonts w:ascii="Arial" w:hAnsi="Arial" w:cs="Arial"/>
                <w:b/>
                <w:lang w:val="es-ES_tradnl" w:eastAsia="es-ES_tradnl"/>
              </w:rPr>
              <w:t>%</w:t>
            </w:r>
            <w:r w:rsidR="00262478" w:rsidRPr="00F237BB">
              <w:rPr>
                <w:rFonts w:ascii="Arial" w:hAnsi="Arial" w:cs="Arial"/>
                <w:b/>
                <w:lang w:val="es-ES_tradnl" w:eastAsia="es-ES_tradnl"/>
              </w:rPr>
              <w:t xml:space="preserve"> </w:t>
            </w:r>
            <w:r w:rsidR="00262478" w:rsidRPr="00F237BB">
              <w:rPr>
                <w:rFonts w:ascii="Arial" w:hAnsi="Arial" w:cs="Arial"/>
                <w:b/>
                <w:vertAlign w:val="superscript"/>
                <w:lang w:val="es-ES_tradnl" w:eastAsia="es-ES_tradnl"/>
              </w:rPr>
              <w:t>(</w:t>
            </w:r>
            <w:r w:rsidR="00262478" w:rsidRPr="00F237BB">
              <w:rPr>
                <w:rFonts w:ascii="Arial" w:hAnsi="Arial" w:cs="Arial"/>
                <w:b/>
                <w:lang w:val="es-ES_tradnl" w:eastAsia="es-ES_tradnl"/>
              </w:rPr>
              <w:t>*</w:t>
            </w:r>
            <w:r w:rsidR="00262478" w:rsidRPr="00F237BB">
              <w:rPr>
                <w:rFonts w:ascii="Arial" w:hAnsi="Arial" w:cs="Arial"/>
                <w:b/>
                <w:vertAlign w:val="superscript"/>
                <w:lang w:val="es-ES_tradnl" w:eastAsia="es-ES_tradnl"/>
              </w:rPr>
              <w:t>)</w:t>
            </w:r>
          </w:p>
        </w:tc>
      </w:tr>
      <w:tr w:rsidR="003344AC" w:rsidRPr="00F237BB" w:rsidTr="00C60E00">
        <w:trPr>
          <w:trHeight w:val="225"/>
          <w:jc w:val="center"/>
        </w:trPr>
        <w:tc>
          <w:tcPr>
            <w:tcW w:w="4126" w:type="dxa"/>
            <w:tcBorders>
              <w:top w:val="nil"/>
              <w:left w:val="nil"/>
              <w:right w:val="nil"/>
            </w:tcBorders>
            <w:shd w:val="clear" w:color="auto" w:fill="auto"/>
            <w:noWrap/>
            <w:vAlign w:val="bottom"/>
            <w:hideMark/>
          </w:tcPr>
          <w:p w:rsidR="003344AC" w:rsidRPr="00F237BB" w:rsidRDefault="003344AC"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9D5D28" w:rsidRPr="00F237BB">
              <w:rPr>
                <w:rFonts w:ascii="Arial" w:hAnsi="Arial" w:cs="Arial"/>
                <w:lang w:val="es-ES_tradnl" w:eastAsia="es-ES_tradnl"/>
              </w:rPr>
              <w:t xml:space="preserve">Política </w:t>
            </w:r>
            <w:r w:rsidRPr="00F237BB">
              <w:rPr>
                <w:rFonts w:ascii="Arial" w:hAnsi="Arial" w:cs="Arial"/>
                <w:lang w:val="es-ES_tradnl" w:eastAsia="es-ES_tradnl"/>
              </w:rPr>
              <w:t>Macroeconómica</w:t>
            </w:r>
          </w:p>
        </w:tc>
        <w:tc>
          <w:tcPr>
            <w:tcW w:w="1521" w:type="dxa"/>
            <w:tcBorders>
              <w:top w:val="nil"/>
              <w:left w:val="nil"/>
              <w:right w:val="nil"/>
            </w:tcBorders>
            <w:shd w:val="clear" w:color="auto" w:fill="auto"/>
            <w:noWrap/>
            <w:vAlign w:val="bottom"/>
            <w:hideMark/>
          </w:tcPr>
          <w:p w:rsidR="003344AC" w:rsidRPr="00F237BB" w:rsidRDefault="003344AC" w:rsidP="00FA6008">
            <w:pPr>
              <w:ind w:right="380"/>
              <w:jc w:val="right"/>
              <w:rPr>
                <w:rFonts w:ascii="Arial" w:hAnsi="Arial" w:cs="Arial"/>
                <w:lang w:val="es-ES_tradnl" w:eastAsia="es-ES_tradnl"/>
              </w:rPr>
            </w:pPr>
            <w:r w:rsidRPr="00F237BB">
              <w:rPr>
                <w:rFonts w:ascii="Arial" w:hAnsi="Arial" w:cs="Arial"/>
                <w:lang w:val="es-ES_tradnl" w:eastAsia="es-ES_tradnl"/>
              </w:rPr>
              <w:t>30</w:t>
            </w:r>
          </w:p>
        </w:tc>
        <w:tc>
          <w:tcPr>
            <w:tcW w:w="1159" w:type="dxa"/>
            <w:tcBorders>
              <w:top w:val="nil"/>
              <w:left w:val="nil"/>
              <w:right w:val="nil"/>
            </w:tcBorders>
            <w:shd w:val="clear" w:color="auto" w:fill="auto"/>
            <w:noWrap/>
            <w:vAlign w:val="bottom"/>
            <w:hideMark/>
          </w:tcPr>
          <w:p w:rsidR="003344AC" w:rsidRPr="00F237BB" w:rsidRDefault="003344AC" w:rsidP="00FA6008">
            <w:pPr>
              <w:ind w:right="380"/>
              <w:jc w:val="right"/>
              <w:rPr>
                <w:rFonts w:ascii="Arial" w:hAnsi="Arial" w:cs="Arial"/>
                <w:lang w:val="es-ES_tradnl" w:eastAsia="es-ES_tradnl"/>
              </w:rPr>
            </w:pPr>
            <w:r w:rsidRPr="00F237BB">
              <w:rPr>
                <w:rFonts w:ascii="Arial" w:hAnsi="Arial" w:cs="Arial"/>
                <w:lang w:val="es-ES_tradnl" w:eastAsia="es-ES_tradnl"/>
              </w:rPr>
              <w:t>136,4</w:t>
            </w:r>
          </w:p>
        </w:tc>
      </w:tr>
      <w:tr w:rsidR="003344AC" w:rsidRPr="00F237BB" w:rsidTr="00C60E00">
        <w:trPr>
          <w:trHeight w:val="225"/>
          <w:jc w:val="center"/>
        </w:trPr>
        <w:tc>
          <w:tcPr>
            <w:tcW w:w="4126" w:type="dxa"/>
            <w:tcBorders>
              <w:top w:val="nil"/>
              <w:left w:val="nil"/>
              <w:bottom w:val="single" w:sz="4" w:space="0" w:color="auto"/>
              <w:right w:val="nil"/>
            </w:tcBorders>
            <w:shd w:val="clear" w:color="auto" w:fill="auto"/>
            <w:noWrap/>
            <w:vAlign w:val="bottom"/>
            <w:hideMark/>
          </w:tcPr>
          <w:p w:rsidR="003344AC" w:rsidRPr="00F237BB" w:rsidRDefault="003344AC" w:rsidP="00FB3976">
            <w:pPr>
              <w:jc w:val="left"/>
              <w:rPr>
                <w:rFonts w:ascii="Arial" w:hAnsi="Arial" w:cs="Arial"/>
                <w:lang w:val="es-ES_tradnl" w:eastAsia="es-ES_tradnl"/>
              </w:rPr>
            </w:pPr>
            <w:r w:rsidRPr="00F237BB">
              <w:rPr>
                <w:rFonts w:ascii="Arial" w:hAnsi="Arial" w:cs="Arial"/>
                <w:lang w:val="es-ES_tradnl" w:eastAsia="es-ES_tradnl"/>
              </w:rPr>
              <w:t xml:space="preserve">DN. de </w:t>
            </w:r>
            <w:r w:rsidR="009D5D28" w:rsidRPr="00F237BB">
              <w:rPr>
                <w:rFonts w:ascii="Arial" w:hAnsi="Arial" w:cs="Arial"/>
                <w:lang w:val="es-ES_tradnl" w:eastAsia="es-ES_tradnl"/>
              </w:rPr>
              <w:t xml:space="preserve">Planificación </w:t>
            </w:r>
            <w:r w:rsidRPr="00F237BB">
              <w:rPr>
                <w:rFonts w:ascii="Arial" w:hAnsi="Arial" w:cs="Arial"/>
                <w:lang w:val="es-ES_tradnl" w:eastAsia="es-ES_tradnl"/>
              </w:rPr>
              <w:t xml:space="preserve"> Regional</w:t>
            </w:r>
          </w:p>
        </w:tc>
        <w:tc>
          <w:tcPr>
            <w:tcW w:w="1521" w:type="dxa"/>
            <w:tcBorders>
              <w:top w:val="nil"/>
              <w:left w:val="nil"/>
              <w:bottom w:val="single" w:sz="4" w:space="0" w:color="auto"/>
              <w:right w:val="nil"/>
            </w:tcBorders>
            <w:shd w:val="clear" w:color="auto" w:fill="auto"/>
            <w:noWrap/>
            <w:vAlign w:val="bottom"/>
            <w:hideMark/>
          </w:tcPr>
          <w:p w:rsidR="003344AC" w:rsidRPr="00F237BB" w:rsidRDefault="003344AC" w:rsidP="00FA6008">
            <w:pPr>
              <w:ind w:right="380"/>
              <w:jc w:val="right"/>
              <w:rPr>
                <w:rFonts w:ascii="Arial" w:hAnsi="Arial" w:cs="Arial"/>
                <w:lang w:val="es-ES_tradnl" w:eastAsia="es-ES_tradnl"/>
              </w:rPr>
            </w:pPr>
            <w:r w:rsidRPr="00F237BB">
              <w:rPr>
                <w:rFonts w:ascii="Arial" w:hAnsi="Arial" w:cs="Arial"/>
                <w:lang w:val="es-ES_tradnl" w:eastAsia="es-ES_tradnl"/>
              </w:rPr>
              <w:t>7</w:t>
            </w:r>
          </w:p>
        </w:tc>
        <w:tc>
          <w:tcPr>
            <w:tcW w:w="1159" w:type="dxa"/>
            <w:tcBorders>
              <w:top w:val="nil"/>
              <w:left w:val="nil"/>
              <w:bottom w:val="single" w:sz="4" w:space="0" w:color="auto"/>
              <w:right w:val="nil"/>
            </w:tcBorders>
            <w:shd w:val="clear" w:color="auto" w:fill="auto"/>
            <w:noWrap/>
            <w:vAlign w:val="bottom"/>
            <w:hideMark/>
          </w:tcPr>
          <w:p w:rsidR="003344AC" w:rsidRPr="00F237BB" w:rsidRDefault="003344AC" w:rsidP="00FA6008">
            <w:pPr>
              <w:ind w:right="380"/>
              <w:jc w:val="right"/>
              <w:rPr>
                <w:rFonts w:ascii="Arial" w:hAnsi="Arial" w:cs="Arial"/>
                <w:lang w:val="es-ES_tradnl" w:eastAsia="es-ES_tradnl"/>
              </w:rPr>
            </w:pPr>
            <w:r w:rsidRPr="00F237BB">
              <w:rPr>
                <w:rFonts w:ascii="Arial" w:hAnsi="Arial" w:cs="Arial"/>
                <w:lang w:val="es-ES_tradnl" w:eastAsia="es-ES_tradnl"/>
              </w:rPr>
              <w:t>22,6</w:t>
            </w:r>
          </w:p>
        </w:tc>
      </w:tr>
    </w:tbl>
    <w:p w:rsidR="00262478" w:rsidRPr="00F237BB" w:rsidRDefault="00262478" w:rsidP="00262478">
      <w:pPr>
        <w:ind w:left="1418"/>
        <w:rPr>
          <w:rFonts w:ascii="Arial" w:hAnsi="Arial" w:cs="Arial"/>
          <w:lang w:val="es-ES_tradnl"/>
        </w:rPr>
      </w:pPr>
      <w:r w:rsidRPr="00F237BB">
        <w:rPr>
          <w:rFonts w:ascii="Arial" w:hAnsi="Arial" w:cs="Arial"/>
          <w:b/>
          <w:vertAlign w:val="superscript"/>
          <w:lang w:val="es-ES_tradnl" w:eastAsia="es-ES_tradnl"/>
        </w:rPr>
        <w:t>(</w:t>
      </w:r>
      <w:r w:rsidRPr="00F237BB">
        <w:rPr>
          <w:rFonts w:ascii="Arial" w:hAnsi="Arial" w:cs="Arial"/>
          <w:b/>
          <w:lang w:val="es-ES_tradnl" w:eastAsia="es-ES_tradnl"/>
        </w:rPr>
        <w:t>*</w:t>
      </w:r>
      <w:r w:rsidRPr="00F237BB">
        <w:rPr>
          <w:rFonts w:ascii="Arial" w:hAnsi="Arial" w:cs="Arial"/>
          <w:b/>
          <w:vertAlign w:val="superscript"/>
          <w:lang w:val="es-ES_tradnl" w:eastAsia="es-ES_tradnl"/>
        </w:rPr>
        <w:t>)</w:t>
      </w:r>
      <w:r w:rsidRPr="00F237BB">
        <w:rPr>
          <w:rFonts w:ascii="Arial" w:hAnsi="Arial" w:cs="Arial"/>
          <w:lang w:val="es-ES_tradnl"/>
        </w:rPr>
        <w:t xml:space="preserve"> % sobre total de estudios terminados.</w:t>
      </w:r>
    </w:p>
    <w:p w:rsidR="00CE51E9" w:rsidRPr="00F237BB" w:rsidRDefault="00CE51E9" w:rsidP="00CE51E9">
      <w:pPr>
        <w:ind w:left="1418"/>
        <w:rPr>
          <w:rFonts w:ascii="Arial" w:hAnsi="Arial" w:cs="Arial"/>
          <w:lang w:val="es-ES_tradnl"/>
        </w:rPr>
      </w:pPr>
      <w:r w:rsidRPr="00F237BB">
        <w:rPr>
          <w:rFonts w:ascii="Arial" w:hAnsi="Arial" w:cs="Arial"/>
          <w:lang w:val="es-ES_tradnl"/>
        </w:rPr>
        <w:t>Fuente: Encuesta de Formación</w:t>
      </w:r>
    </w:p>
    <w:p w:rsidR="00982092" w:rsidRPr="00F237BB" w:rsidRDefault="00982092" w:rsidP="00155D2C">
      <w:pPr>
        <w:rPr>
          <w:rFonts w:ascii="Arial" w:hAnsi="Arial" w:cs="Arial"/>
          <w:lang w:val="es-ES_tradnl"/>
        </w:rPr>
      </w:pPr>
    </w:p>
    <w:p w:rsidR="002D662A" w:rsidRPr="00F237BB" w:rsidRDefault="00620D2B" w:rsidP="002D662A">
      <w:pPr>
        <w:pStyle w:val="ListParagraph"/>
        <w:numPr>
          <w:ilvl w:val="0"/>
          <w:numId w:val="14"/>
        </w:numPr>
        <w:ind w:left="567" w:hanging="567"/>
        <w:rPr>
          <w:rFonts w:ascii="Arial" w:hAnsi="Arial" w:cs="Arial"/>
          <w:lang w:val="es-ES_tradnl"/>
        </w:rPr>
      </w:pPr>
      <w:r w:rsidRPr="00F237BB">
        <w:rPr>
          <w:rFonts w:ascii="Arial" w:hAnsi="Arial" w:cs="Arial"/>
          <w:lang w:val="es-ES_tradnl"/>
        </w:rPr>
        <w:t>Tratando de concluir,</w:t>
      </w:r>
      <w:r w:rsidR="002D662A" w:rsidRPr="00F237BB">
        <w:rPr>
          <w:rFonts w:ascii="Arial" w:hAnsi="Arial" w:cs="Arial"/>
          <w:lang w:val="es-ES_tradnl"/>
        </w:rPr>
        <w:t xml:space="preserve"> </w:t>
      </w:r>
      <w:r w:rsidRPr="00F237BB">
        <w:rPr>
          <w:rFonts w:ascii="Arial" w:hAnsi="Arial" w:cs="Arial"/>
          <w:lang w:val="es-ES_tradnl"/>
        </w:rPr>
        <w:t>puede afirmarse que este conjunto de indicadores muestra</w:t>
      </w:r>
      <w:r w:rsidR="002D662A" w:rsidRPr="00F237BB">
        <w:rPr>
          <w:rFonts w:ascii="Arial" w:hAnsi="Arial" w:cs="Arial"/>
          <w:lang w:val="es-ES_tradnl"/>
        </w:rPr>
        <w:t xml:space="preserve"> una buena aproximación al grado de </w:t>
      </w:r>
      <w:r w:rsidR="00B97FDE" w:rsidRPr="00F237BB">
        <w:rPr>
          <w:rFonts w:ascii="Arial" w:hAnsi="Arial" w:cs="Arial"/>
          <w:lang w:val="es-ES_tradnl"/>
        </w:rPr>
        <w:t xml:space="preserve">formación </w:t>
      </w:r>
      <w:r w:rsidR="002D662A" w:rsidRPr="00F237BB">
        <w:rPr>
          <w:rFonts w:ascii="Arial" w:hAnsi="Arial" w:cs="Arial"/>
          <w:lang w:val="es-ES_tradnl"/>
        </w:rPr>
        <w:t xml:space="preserve">en estudios y capacidades técnicas </w:t>
      </w:r>
      <w:r w:rsidR="002D662A" w:rsidRPr="00F237BB">
        <w:rPr>
          <w:rFonts w:ascii="Arial" w:hAnsi="Arial" w:cs="Arial"/>
          <w:lang w:val="es-ES_tradnl"/>
        </w:rPr>
        <w:lastRenderedPageBreak/>
        <w:t xml:space="preserve">especializadas en economía y campos del conocimiento afines. </w:t>
      </w:r>
      <w:r w:rsidRPr="00F237BB">
        <w:rPr>
          <w:rFonts w:ascii="Arial" w:hAnsi="Arial" w:cs="Arial"/>
          <w:lang w:val="es-ES_tradnl"/>
        </w:rPr>
        <w:t xml:space="preserve">En el caso de las direcciones </w:t>
      </w:r>
      <w:r w:rsidR="00B97FDE" w:rsidRPr="00F237BB">
        <w:rPr>
          <w:rFonts w:ascii="Arial" w:hAnsi="Arial" w:cs="Arial"/>
          <w:lang w:val="es-ES_tradnl"/>
        </w:rPr>
        <w:t xml:space="preserve">analizadas </w:t>
      </w:r>
      <w:r w:rsidRPr="00F237BB">
        <w:rPr>
          <w:rFonts w:ascii="Arial" w:hAnsi="Arial" w:cs="Arial"/>
          <w:lang w:val="es-ES_tradnl"/>
        </w:rPr>
        <w:t xml:space="preserve">de la </w:t>
      </w:r>
      <w:proofErr w:type="spellStart"/>
      <w:r w:rsidRPr="00F237BB">
        <w:rPr>
          <w:rFonts w:ascii="Arial" w:hAnsi="Arial" w:cs="Arial"/>
          <w:lang w:val="es-ES_tradnl"/>
        </w:rPr>
        <w:t>SPE</w:t>
      </w:r>
      <w:r w:rsidR="00B97FDE" w:rsidRPr="00F237BB">
        <w:rPr>
          <w:rFonts w:ascii="Arial" w:hAnsi="Arial" w:cs="Arial"/>
          <w:lang w:val="es-ES_tradnl"/>
        </w:rPr>
        <w:t>yPD</w:t>
      </w:r>
      <w:proofErr w:type="spellEnd"/>
      <w:r w:rsidRPr="00F237BB">
        <w:rPr>
          <w:rFonts w:ascii="Arial" w:hAnsi="Arial" w:cs="Arial"/>
          <w:lang w:val="es-ES_tradnl"/>
        </w:rPr>
        <w:t xml:space="preserve">, los datos muestran la conveniencia de </w:t>
      </w:r>
      <w:r w:rsidR="00B97FDE" w:rsidRPr="00F237BB">
        <w:rPr>
          <w:rFonts w:ascii="Arial" w:hAnsi="Arial" w:cs="Arial"/>
          <w:lang w:val="es-ES_tradnl"/>
        </w:rPr>
        <w:t>mejorar la formación</w:t>
      </w:r>
      <w:r w:rsidRPr="00F237BB">
        <w:rPr>
          <w:rFonts w:ascii="Arial" w:hAnsi="Arial" w:cs="Arial"/>
          <w:lang w:val="es-ES_tradnl"/>
        </w:rPr>
        <w:t xml:space="preserve">, dado que </w:t>
      </w:r>
      <w:r w:rsidR="002D662A" w:rsidRPr="00F237BB">
        <w:rPr>
          <w:rFonts w:ascii="Arial" w:hAnsi="Arial" w:cs="Arial"/>
          <w:lang w:val="es-ES_tradnl"/>
        </w:rPr>
        <w:t xml:space="preserve">una mayor cualificación formativa y especialización temática deberían redundar en una mayor calidad en el trabajo. </w:t>
      </w:r>
    </w:p>
    <w:p w:rsidR="00155D2C" w:rsidRPr="00F237BB" w:rsidRDefault="00155D2C" w:rsidP="00155D2C">
      <w:pPr>
        <w:rPr>
          <w:rFonts w:ascii="Arial" w:hAnsi="Arial" w:cs="Arial"/>
          <w:lang w:val="es-ES_tradnl"/>
        </w:rPr>
      </w:pPr>
    </w:p>
    <w:p w:rsidR="002D662A" w:rsidRPr="00F237BB" w:rsidRDefault="00155D2C" w:rsidP="002D662A">
      <w:pPr>
        <w:pStyle w:val="ListParagraph"/>
        <w:numPr>
          <w:ilvl w:val="0"/>
          <w:numId w:val="21"/>
        </w:numPr>
        <w:spacing w:after="240"/>
        <w:rPr>
          <w:rFonts w:ascii="Arial" w:hAnsi="Arial" w:cs="Arial"/>
          <w:b/>
        </w:rPr>
      </w:pPr>
      <w:r w:rsidRPr="00F237BB">
        <w:rPr>
          <w:rFonts w:ascii="Arial" w:hAnsi="Arial" w:cs="Arial"/>
          <w:b/>
        </w:rPr>
        <w:t>Insuficiente</w:t>
      </w:r>
      <w:r w:rsidR="00F000A0" w:rsidRPr="00F237BB">
        <w:rPr>
          <w:rFonts w:ascii="Arial" w:hAnsi="Arial" w:cs="Arial"/>
          <w:b/>
        </w:rPr>
        <w:t xml:space="preserve"> </w:t>
      </w:r>
      <w:r w:rsidRPr="00F237BB">
        <w:rPr>
          <w:rFonts w:ascii="Arial" w:hAnsi="Arial" w:cs="Arial"/>
          <w:b/>
        </w:rPr>
        <w:t xml:space="preserve">circulación del conocimiento dentro de las unidades del </w:t>
      </w:r>
      <w:proofErr w:type="spellStart"/>
      <w:r w:rsidR="00F86B3F" w:rsidRPr="00F237BB">
        <w:rPr>
          <w:rFonts w:ascii="Arial" w:hAnsi="Arial" w:cs="Arial"/>
          <w:b/>
        </w:rPr>
        <w:t>MH</w:t>
      </w:r>
      <w:r w:rsidR="000555D8" w:rsidRPr="00F237BB">
        <w:rPr>
          <w:rFonts w:ascii="Arial" w:hAnsi="Arial" w:cs="Arial"/>
          <w:b/>
        </w:rPr>
        <w:t>y</w:t>
      </w:r>
      <w:r w:rsidR="00F86B3F" w:rsidRPr="00F237BB">
        <w:rPr>
          <w:rFonts w:ascii="Arial" w:hAnsi="Arial" w:cs="Arial"/>
          <w:b/>
        </w:rPr>
        <w:t>FP</w:t>
      </w:r>
      <w:proofErr w:type="spellEnd"/>
      <w:r w:rsidRPr="00F237BB">
        <w:rPr>
          <w:rFonts w:ascii="Arial" w:hAnsi="Arial" w:cs="Arial"/>
          <w:b/>
        </w:rPr>
        <w:t xml:space="preserve">, específicamente en la </w:t>
      </w:r>
      <w:proofErr w:type="spellStart"/>
      <w:r w:rsidRPr="00F237BB">
        <w:rPr>
          <w:rFonts w:ascii="Arial" w:hAnsi="Arial" w:cs="Arial"/>
          <w:b/>
        </w:rPr>
        <w:t>SPE</w:t>
      </w:r>
      <w:r w:rsidR="00ED3F6C" w:rsidRPr="00F237BB">
        <w:rPr>
          <w:rFonts w:ascii="Arial" w:hAnsi="Arial" w:cs="Arial"/>
          <w:b/>
        </w:rPr>
        <w:t>yPD</w:t>
      </w:r>
      <w:proofErr w:type="spellEnd"/>
    </w:p>
    <w:p w:rsidR="006439A9" w:rsidRPr="00F237BB" w:rsidRDefault="00155D2C" w:rsidP="006439A9">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Otro </w:t>
      </w:r>
      <w:r w:rsidR="00716A8D" w:rsidRPr="00F237BB">
        <w:rPr>
          <w:rFonts w:ascii="Arial" w:hAnsi="Arial" w:cs="Arial"/>
          <w:lang w:val="es-ES_tradnl"/>
        </w:rPr>
        <w:t xml:space="preserve">factor </w:t>
      </w:r>
      <w:r w:rsidRPr="00F237BB">
        <w:rPr>
          <w:rFonts w:ascii="Arial" w:hAnsi="Arial" w:cs="Arial"/>
          <w:lang w:val="es-ES_tradnl"/>
        </w:rPr>
        <w:t xml:space="preserve">importante que incide sobre la elaboración de políticas es la insuficiente circulación del conocimiento </w:t>
      </w:r>
      <w:r w:rsidR="00EB2587" w:rsidRPr="00F237BB">
        <w:rPr>
          <w:rFonts w:ascii="Arial" w:hAnsi="Arial" w:cs="Arial"/>
          <w:lang w:val="es-ES_tradnl"/>
        </w:rPr>
        <w:t xml:space="preserve">(especialmente externo) </w:t>
      </w:r>
      <w:r w:rsidRPr="00F237BB">
        <w:rPr>
          <w:rFonts w:ascii="Arial" w:hAnsi="Arial" w:cs="Arial"/>
          <w:lang w:val="es-ES_tradnl"/>
        </w:rPr>
        <w:t xml:space="preserve">dentro de las unidades. </w:t>
      </w:r>
      <w:r w:rsidRPr="00F237BB">
        <w:rPr>
          <w:rFonts w:ascii="Arial" w:hAnsi="Arial" w:cs="Arial"/>
        </w:rPr>
        <w:t xml:space="preserve">Todas las opiniones recogidas son coincidentes en que el modelo habitual de trabajo es obtener o generar conocimiento para las necesidades propias, pero sin depositarlo en eventuales sistemas institucionales que permitan su compartición con el resto de las unidades de la Secretaría. Estas opiniones están además respaldadas por la evidencia de que </w:t>
      </w:r>
      <w:r w:rsidRPr="00F237BB">
        <w:rPr>
          <w:rFonts w:ascii="Arial" w:hAnsi="Arial" w:cs="Arial"/>
          <w:i/>
        </w:rPr>
        <w:t>no existen procedimientos, rutinas, herramientas o sistemas instalados</w:t>
      </w:r>
      <w:r w:rsidRPr="00F237BB">
        <w:rPr>
          <w:rFonts w:ascii="Arial" w:hAnsi="Arial" w:cs="Arial"/>
        </w:rPr>
        <w:t xml:space="preserve"> de obtención, almacenamiento y generación de conocimiento, así como tampoco fuentes de consulta especializadas.</w:t>
      </w:r>
      <w:r w:rsidRPr="00F237BB">
        <w:rPr>
          <w:rFonts w:ascii="Arial" w:hAnsi="Arial" w:cs="Arial"/>
          <w:vertAlign w:val="superscript"/>
        </w:rPr>
        <w:footnoteReference w:id="14"/>
      </w:r>
      <w:r w:rsidRPr="00F237BB">
        <w:rPr>
          <w:rFonts w:ascii="Arial" w:hAnsi="Arial" w:cs="Arial"/>
        </w:rPr>
        <w:t xml:space="preserve"> </w:t>
      </w:r>
      <w:r w:rsidR="006439A9" w:rsidRPr="00F237BB">
        <w:rPr>
          <w:rFonts w:ascii="Arial" w:hAnsi="Arial" w:cs="Arial"/>
          <w:lang w:val="es-ES_tradnl"/>
        </w:rPr>
        <w:t xml:space="preserve">Con el fin de aproximarse a este problema, se han construido </w:t>
      </w:r>
      <w:r w:rsidR="004D6FB1" w:rsidRPr="00F237BB">
        <w:rPr>
          <w:rFonts w:ascii="Arial" w:hAnsi="Arial" w:cs="Arial"/>
          <w:lang w:val="es-ES_tradnl"/>
        </w:rPr>
        <w:t>cuatro</w:t>
      </w:r>
      <w:r w:rsidR="006439A9" w:rsidRPr="00F237BB">
        <w:rPr>
          <w:rFonts w:ascii="Arial" w:hAnsi="Arial" w:cs="Arial"/>
          <w:lang w:val="es-ES_tradnl"/>
        </w:rPr>
        <w:t xml:space="preserve"> indicadores que permiten visualizar determinados aspectos de la gestión del conocimiento en la SPE (ver cuadro </w:t>
      </w:r>
      <w:r w:rsidR="00B97FDE" w:rsidRPr="00F237BB">
        <w:rPr>
          <w:rFonts w:ascii="Arial" w:hAnsi="Arial" w:cs="Arial"/>
          <w:lang w:val="es-ES_tradnl"/>
        </w:rPr>
        <w:t>10</w:t>
      </w:r>
      <w:r w:rsidR="006439A9" w:rsidRPr="00F237BB">
        <w:rPr>
          <w:rFonts w:ascii="Arial" w:hAnsi="Arial" w:cs="Arial"/>
          <w:lang w:val="es-ES_tradnl"/>
        </w:rPr>
        <w:t>).</w:t>
      </w:r>
      <w:r w:rsidR="006439A9" w:rsidRPr="00F237BB">
        <w:rPr>
          <w:rStyle w:val="FootnoteReference"/>
          <w:rFonts w:ascii="Arial" w:hAnsi="Arial" w:cs="Arial"/>
          <w:sz w:val="22"/>
          <w:lang w:val="es-ES_tradnl"/>
        </w:rPr>
        <w:footnoteReference w:id="15"/>
      </w:r>
      <w:r w:rsidR="006439A9" w:rsidRPr="00F237BB">
        <w:rPr>
          <w:rFonts w:ascii="Arial" w:hAnsi="Arial" w:cs="Arial"/>
          <w:lang w:val="es-ES_tradnl"/>
        </w:rPr>
        <w:t xml:space="preserve"> </w:t>
      </w:r>
    </w:p>
    <w:p w:rsidR="006439A9" w:rsidRPr="00F237BB" w:rsidRDefault="006439A9" w:rsidP="006439A9">
      <w:pPr>
        <w:pStyle w:val="ListParagraph"/>
        <w:ind w:left="567"/>
        <w:rPr>
          <w:rFonts w:ascii="Arial" w:hAnsi="Arial" w:cs="Arial"/>
          <w:lang w:val="es-ES_tradnl"/>
        </w:rPr>
      </w:pPr>
    </w:p>
    <w:p w:rsidR="006439A9" w:rsidRPr="00F237BB" w:rsidRDefault="006439A9" w:rsidP="006439A9">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El </w:t>
      </w:r>
      <w:r w:rsidR="004D6FB1" w:rsidRPr="00F237BB">
        <w:rPr>
          <w:rFonts w:ascii="Arial" w:hAnsi="Arial" w:cs="Arial"/>
          <w:lang w:val="es-ES_tradnl"/>
        </w:rPr>
        <w:t>primer</w:t>
      </w:r>
      <w:r w:rsidRPr="00F237BB">
        <w:rPr>
          <w:rFonts w:ascii="Arial" w:hAnsi="Arial" w:cs="Arial"/>
          <w:lang w:val="es-ES_tradnl"/>
        </w:rPr>
        <w:t xml:space="preserve"> indicador se refiere a la “Existencia de procedimientos o reglas para manejo de conocimiento”. Los resultados </w:t>
      </w:r>
      <w:r w:rsidR="00B97FDE" w:rsidRPr="00F237BB">
        <w:rPr>
          <w:rFonts w:ascii="Arial" w:hAnsi="Arial" w:cs="Arial"/>
          <w:lang w:val="es-ES_tradnl"/>
        </w:rPr>
        <w:t xml:space="preserve">para las dos direcciones nacionales analizadas </w:t>
      </w:r>
      <w:r w:rsidRPr="00F237BB">
        <w:rPr>
          <w:rFonts w:ascii="Arial" w:hAnsi="Arial" w:cs="Arial"/>
          <w:lang w:val="es-ES_tradnl"/>
        </w:rPr>
        <w:t xml:space="preserve">muestran </w:t>
      </w:r>
      <w:r w:rsidR="00B97FDE" w:rsidRPr="00F237BB">
        <w:rPr>
          <w:rFonts w:ascii="Arial" w:hAnsi="Arial" w:cs="Arial"/>
          <w:lang w:val="es-ES_tradnl"/>
        </w:rPr>
        <w:t>que</w:t>
      </w:r>
      <w:r w:rsidRPr="00F237BB">
        <w:rPr>
          <w:rFonts w:ascii="Arial" w:hAnsi="Arial" w:cs="Arial"/>
          <w:lang w:val="es-ES_tradnl"/>
        </w:rPr>
        <w:t xml:space="preserve"> no se cuenta con procedimientos para gestionar el conocimiento acumulado</w:t>
      </w:r>
      <w:r w:rsidR="00B97FDE" w:rsidRPr="00F237BB">
        <w:rPr>
          <w:rFonts w:ascii="Arial" w:hAnsi="Arial" w:cs="Arial"/>
          <w:lang w:val="es-ES_tradnl"/>
        </w:rPr>
        <w:t xml:space="preserve">, dado que ambas refieren </w:t>
      </w:r>
      <w:r w:rsidRPr="00F237BB">
        <w:rPr>
          <w:rFonts w:ascii="Arial" w:hAnsi="Arial" w:cs="Arial"/>
          <w:lang w:val="es-ES_tradnl"/>
        </w:rPr>
        <w:t xml:space="preserve">no </w:t>
      </w:r>
      <w:r w:rsidR="00B97FDE" w:rsidRPr="00F237BB">
        <w:rPr>
          <w:rFonts w:ascii="Arial" w:hAnsi="Arial" w:cs="Arial"/>
          <w:lang w:val="es-ES_tradnl"/>
        </w:rPr>
        <w:t>disponer</w:t>
      </w:r>
      <w:r w:rsidR="00B97FDE" w:rsidRPr="00F237BB">
        <w:rPr>
          <w:rFonts w:ascii="Arial" w:hAnsi="Arial" w:cs="Arial"/>
        </w:rPr>
        <w:t xml:space="preserve"> </w:t>
      </w:r>
      <w:r w:rsidRPr="00F237BB">
        <w:rPr>
          <w:rFonts w:ascii="Arial" w:hAnsi="Arial" w:cs="Arial"/>
        </w:rPr>
        <w:t>de reglas al respecto</w:t>
      </w:r>
      <w:r w:rsidRPr="00F237BB">
        <w:rPr>
          <w:rFonts w:ascii="Arial" w:hAnsi="Arial" w:cs="Arial"/>
          <w:lang w:val="es-ES_tradnl"/>
        </w:rPr>
        <w:t>.</w:t>
      </w:r>
    </w:p>
    <w:p w:rsidR="006439A9" w:rsidRPr="00F237BB" w:rsidRDefault="006439A9" w:rsidP="002D2C0C">
      <w:pPr>
        <w:rPr>
          <w:rFonts w:ascii="Arial" w:hAnsi="Arial" w:cs="Arial"/>
          <w:lang w:val="es-ES_tradnl"/>
        </w:rPr>
      </w:pPr>
    </w:p>
    <w:p w:rsidR="00155D2C" w:rsidRPr="00F237BB" w:rsidRDefault="00BC790F" w:rsidP="00155D2C">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B97FDE" w:rsidRPr="00F237BB">
        <w:rPr>
          <w:rFonts w:ascii="Arial" w:hAnsi="Arial" w:cs="Arial"/>
          <w:noProof/>
          <w:sz w:val="22"/>
          <w:szCs w:val="22"/>
        </w:rPr>
        <w:t>10</w:t>
      </w:r>
      <w:r w:rsidR="00F237BB" w:rsidRPr="00F237BB">
        <w:rPr>
          <w:rFonts w:ascii="Arial" w:hAnsi="Arial" w:cs="Arial"/>
          <w:noProof/>
          <w:sz w:val="22"/>
          <w:szCs w:val="22"/>
        </w:rPr>
        <w:fldChar w:fldCharType="end"/>
      </w:r>
      <w:r w:rsidR="00B97FDE" w:rsidRPr="00F237BB">
        <w:rPr>
          <w:rFonts w:ascii="Arial" w:hAnsi="Arial" w:cs="Arial"/>
          <w:sz w:val="22"/>
          <w:szCs w:val="22"/>
        </w:rPr>
        <w:t xml:space="preserve"> </w:t>
      </w:r>
      <w:r w:rsidR="00155D2C" w:rsidRPr="00F237BB">
        <w:rPr>
          <w:rFonts w:ascii="Arial" w:hAnsi="Arial" w:cs="Arial"/>
          <w:sz w:val="22"/>
          <w:szCs w:val="22"/>
        </w:rPr>
        <w:t>–</w:t>
      </w:r>
      <w:r w:rsidR="00C329D6" w:rsidRPr="00F237BB">
        <w:rPr>
          <w:rFonts w:ascii="Arial" w:hAnsi="Arial" w:cs="Arial"/>
          <w:sz w:val="22"/>
          <w:szCs w:val="22"/>
        </w:rPr>
        <w:t>Gestión</w:t>
      </w:r>
      <w:r w:rsidR="00155D2C" w:rsidRPr="00F237BB">
        <w:rPr>
          <w:rFonts w:ascii="Arial" w:hAnsi="Arial" w:cs="Arial"/>
          <w:sz w:val="22"/>
          <w:szCs w:val="22"/>
        </w:rPr>
        <w:t xml:space="preserve"> de</w:t>
      </w:r>
      <w:r w:rsidR="00C329D6" w:rsidRPr="00F237BB">
        <w:rPr>
          <w:rFonts w:ascii="Arial" w:hAnsi="Arial" w:cs="Arial"/>
          <w:sz w:val="22"/>
          <w:szCs w:val="22"/>
        </w:rPr>
        <w:t>l</w:t>
      </w:r>
      <w:r w:rsidR="00155D2C" w:rsidRPr="00F237BB">
        <w:rPr>
          <w:rFonts w:ascii="Arial" w:hAnsi="Arial" w:cs="Arial"/>
          <w:sz w:val="22"/>
          <w:szCs w:val="22"/>
        </w:rPr>
        <w:t xml:space="preserve"> conocimiento</w:t>
      </w:r>
    </w:p>
    <w:tbl>
      <w:tblPr>
        <w:tblStyle w:val="TableGrid"/>
        <w:tblW w:w="8080"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1985"/>
        <w:gridCol w:w="1559"/>
      </w:tblGrid>
      <w:tr w:rsidR="00E86B94" w:rsidRPr="00F237BB" w:rsidTr="00C60E00">
        <w:trPr>
          <w:cantSplit/>
          <w:tblHeader/>
        </w:trPr>
        <w:tc>
          <w:tcPr>
            <w:tcW w:w="4536" w:type="dxa"/>
            <w:tcBorders>
              <w:top w:val="single" w:sz="4" w:space="0" w:color="auto"/>
              <w:bottom w:val="single" w:sz="4" w:space="0" w:color="auto"/>
            </w:tcBorders>
            <w:shd w:val="clear" w:color="auto" w:fill="D9D9D9" w:themeFill="background1" w:themeFillShade="D9"/>
          </w:tcPr>
          <w:p w:rsidR="00E86B94" w:rsidRPr="00F237BB" w:rsidRDefault="00E86B94" w:rsidP="006724E7">
            <w:pPr>
              <w:rPr>
                <w:rFonts w:ascii="Arial" w:hAnsi="Arial" w:cs="Arial"/>
                <w:b/>
              </w:rPr>
            </w:pPr>
          </w:p>
        </w:tc>
        <w:tc>
          <w:tcPr>
            <w:tcW w:w="1985" w:type="dxa"/>
            <w:tcBorders>
              <w:top w:val="single" w:sz="4" w:space="0" w:color="auto"/>
              <w:bottom w:val="single" w:sz="4" w:space="0" w:color="auto"/>
            </w:tcBorders>
            <w:shd w:val="clear" w:color="auto" w:fill="D9D9D9" w:themeFill="background1" w:themeFillShade="D9"/>
          </w:tcPr>
          <w:p w:rsidR="00E86B94" w:rsidRPr="00F237BB" w:rsidRDefault="00E86B94" w:rsidP="006724E7">
            <w:pPr>
              <w:jc w:val="center"/>
              <w:rPr>
                <w:rFonts w:ascii="Arial" w:hAnsi="Arial" w:cs="Arial"/>
                <w:b/>
              </w:rPr>
            </w:pPr>
            <w:r w:rsidRPr="00F237BB">
              <w:rPr>
                <w:rFonts w:ascii="Arial" w:hAnsi="Arial" w:cs="Arial"/>
                <w:b/>
              </w:rPr>
              <w:t>DNPM</w:t>
            </w:r>
          </w:p>
        </w:tc>
        <w:tc>
          <w:tcPr>
            <w:tcW w:w="1559" w:type="dxa"/>
            <w:tcBorders>
              <w:top w:val="single" w:sz="4" w:space="0" w:color="auto"/>
              <w:bottom w:val="single" w:sz="4" w:space="0" w:color="auto"/>
            </w:tcBorders>
            <w:shd w:val="clear" w:color="auto" w:fill="D9D9D9" w:themeFill="background1" w:themeFillShade="D9"/>
          </w:tcPr>
          <w:p w:rsidR="00E86B94" w:rsidRPr="00F237BB" w:rsidRDefault="00E86B94" w:rsidP="006724E7">
            <w:pPr>
              <w:jc w:val="center"/>
              <w:rPr>
                <w:rFonts w:ascii="Arial" w:hAnsi="Arial" w:cs="Arial"/>
                <w:b/>
              </w:rPr>
            </w:pPr>
            <w:r w:rsidRPr="00F237BB">
              <w:rPr>
                <w:rFonts w:ascii="Arial" w:hAnsi="Arial" w:cs="Arial"/>
                <w:b/>
              </w:rPr>
              <w:t>DNPR</w:t>
            </w:r>
          </w:p>
        </w:tc>
      </w:tr>
      <w:tr w:rsidR="00E86B94" w:rsidRPr="00F237BB" w:rsidTr="00C60E00">
        <w:trPr>
          <w:cantSplit/>
        </w:trPr>
        <w:tc>
          <w:tcPr>
            <w:tcW w:w="4536" w:type="dxa"/>
            <w:shd w:val="clear" w:color="auto" w:fill="auto"/>
          </w:tcPr>
          <w:p w:rsidR="00E86B94" w:rsidRPr="00F237BB" w:rsidRDefault="00E86B94" w:rsidP="002D2C0C">
            <w:pPr>
              <w:pStyle w:val="ListParagraph"/>
              <w:numPr>
                <w:ilvl w:val="0"/>
                <w:numId w:val="35"/>
              </w:numPr>
              <w:jc w:val="left"/>
              <w:rPr>
                <w:rFonts w:ascii="Arial" w:hAnsi="Arial" w:cs="Arial"/>
              </w:rPr>
            </w:pPr>
            <w:r w:rsidRPr="00F237BB">
              <w:rPr>
                <w:rFonts w:ascii="Arial" w:hAnsi="Arial" w:cs="Arial"/>
              </w:rPr>
              <w:t>Existencia de procedimientos o reglas para manejo de conocimiento</w:t>
            </w:r>
          </w:p>
        </w:tc>
        <w:tc>
          <w:tcPr>
            <w:tcW w:w="1985" w:type="dxa"/>
            <w:shd w:val="clear" w:color="auto" w:fill="auto"/>
          </w:tcPr>
          <w:p w:rsidR="00E86B94" w:rsidRPr="00F237BB" w:rsidRDefault="00E86B94" w:rsidP="00FB3976">
            <w:pPr>
              <w:jc w:val="center"/>
              <w:rPr>
                <w:rFonts w:ascii="Arial" w:hAnsi="Arial" w:cs="Arial"/>
              </w:rPr>
            </w:pPr>
            <w:r w:rsidRPr="00F237BB">
              <w:rPr>
                <w:rFonts w:ascii="Arial" w:hAnsi="Arial" w:cs="Arial"/>
              </w:rPr>
              <w:t>NO</w:t>
            </w:r>
          </w:p>
        </w:tc>
        <w:tc>
          <w:tcPr>
            <w:tcW w:w="1559" w:type="dxa"/>
            <w:shd w:val="clear" w:color="auto" w:fill="auto"/>
          </w:tcPr>
          <w:p w:rsidR="00E86B94" w:rsidRPr="00F237BB" w:rsidRDefault="00E86B94" w:rsidP="00FB3976">
            <w:pPr>
              <w:jc w:val="center"/>
              <w:rPr>
                <w:rFonts w:ascii="Arial" w:hAnsi="Arial" w:cs="Arial"/>
              </w:rPr>
            </w:pPr>
            <w:r w:rsidRPr="00F237BB">
              <w:rPr>
                <w:rFonts w:ascii="Arial" w:hAnsi="Arial" w:cs="Arial"/>
              </w:rPr>
              <w:t>NO</w:t>
            </w:r>
          </w:p>
        </w:tc>
      </w:tr>
      <w:tr w:rsidR="00E86B94" w:rsidRPr="00F237BB" w:rsidTr="00C60E00">
        <w:trPr>
          <w:cantSplit/>
        </w:trPr>
        <w:tc>
          <w:tcPr>
            <w:tcW w:w="4536" w:type="dxa"/>
            <w:shd w:val="clear" w:color="auto" w:fill="auto"/>
          </w:tcPr>
          <w:p w:rsidR="00E86B94" w:rsidRPr="00F237BB" w:rsidRDefault="00E86B94" w:rsidP="002D2C0C">
            <w:pPr>
              <w:pStyle w:val="ListParagraph"/>
              <w:numPr>
                <w:ilvl w:val="0"/>
                <w:numId w:val="35"/>
              </w:numPr>
              <w:jc w:val="left"/>
              <w:rPr>
                <w:rFonts w:ascii="Arial" w:hAnsi="Arial" w:cs="Arial"/>
              </w:rPr>
            </w:pPr>
            <w:r w:rsidRPr="00F237BB">
              <w:rPr>
                <w:rFonts w:ascii="Arial" w:hAnsi="Arial" w:cs="Arial"/>
              </w:rPr>
              <w:t xml:space="preserve">Acceso a </w:t>
            </w:r>
            <w:proofErr w:type="spellStart"/>
            <w:r w:rsidRPr="00F237BB">
              <w:rPr>
                <w:rFonts w:ascii="Arial" w:hAnsi="Arial" w:cs="Arial"/>
                <w:i/>
              </w:rPr>
              <w:t>journals</w:t>
            </w:r>
            <w:proofErr w:type="spellEnd"/>
            <w:r w:rsidRPr="00F237BB">
              <w:rPr>
                <w:rFonts w:ascii="Arial" w:hAnsi="Arial" w:cs="Arial"/>
              </w:rPr>
              <w:t>/revistas especializadas</w:t>
            </w:r>
          </w:p>
        </w:tc>
        <w:tc>
          <w:tcPr>
            <w:tcW w:w="1985" w:type="dxa"/>
            <w:shd w:val="clear" w:color="auto" w:fill="auto"/>
          </w:tcPr>
          <w:p w:rsidR="00E86B94" w:rsidRPr="00F237BB" w:rsidRDefault="00E86B94" w:rsidP="00FB3976">
            <w:pPr>
              <w:jc w:val="center"/>
              <w:rPr>
                <w:rFonts w:ascii="Arial" w:hAnsi="Arial" w:cs="Arial"/>
              </w:rPr>
            </w:pPr>
            <w:r w:rsidRPr="00F237BB">
              <w:rPr>
                <w:rFonts w:ascii="Arial" w:hAnsi="Arial" w:cs="Arial"/>
              </w:rPr>
              <w:t>0 de 6 deseables</w:t>
            </w:r>
          </w:p>
        </w:tc>
        <w:tc>
          <w:tcPr>
            <w:tcW w:w="1559" w:type="dxa"/>
            <w:shd w:val="clear" w:color="auto" w:fill="auto"/>
          </w:tcPr>
          <w:p w:rsidR="00E86B94" w:rsidRPr="00F237BB" w:rsidRDefault="00E86B94" w:rsidP="00FB3976">
            <w:pPr>
              <w:jc w:val="center"/>
              <w:rPr>
                <w:rFonts w:ascii="Arial" w:hAnsi="Arial" w:cs="Arial"/>
              </w:rPr>
            </w:pPr>
            <w:r w:rsidRPr="00F237BB">
              <w:rPr>
                <w:rFonts w:ascii="Arial" w:hAnsi="Arial" w:cs="Arial"/>
              </w:rPr>
              <w:t>NA</w:t>
            </w:r>
          </w:p>
        </w:tc>
      </w:tr>
      <w:tr w:rsidR="00E86B94" w:rsidRPr="00F237BB" w:rsidTr="00C60E00">
        <w:trPr>
          <w:cantSplit/>
          <w:trHeight w:val="472"/>
        </w:trPr>
        <w:tc>
          <w:tcPr>
            <w:tcW w:w="4536" w:type="dxa"/>
            <w:shd w:val="clear" w:color="auto" w:fill="auto"/>
          </w:tcPr>
          <w:p w:rsidR="00E86B94" w:rsidRPr="00F237BB" w:rsidRDefault="00E86B94" w:rsidP="00360FFE">
            <w:pPr>
              <w:pStyle w:val="ListParagraph"/>
              <w:numPr>
                <w:ilvl w:val="0"/>
                <w:numId w:val="35"/>
              </w:numPr>
              <w:jc w:val="left"/>
              <w:rPr>
                <w:rFonts w:ascii="Arial" w:hAnsi="Arial" w:cs="Arial"/>
              </w:rPr>
            </w:pPr>
            <w:r w:rsidRPr="00F237BB">
              <w:rPr>
                <w:rFonts w:ascii="Arial" w:hAnsi="Arial" w:cs="Arial"/>
              </w:rPr>
              <w:t>Número de estudios externos contratados*</w:t>
            </w:r>
          </w:p>
        </w:tc>
        <w:tc>
          <w:tcPr>
            <w:tcW w:w="1985" w:type="dxa"/>
            <w:shd w:val="clear" w:color="auto" w:fill="auto"/>
          </w:tcPr>
          <w:p w:rsidR="00E86B94" w:rsidRPr="00F237BB" w:rsidRDefault="00E86B94" w:rsidP="00FB3976">
            <w:pPr>
              <w:jc w:val="center"/>
              <w:rPr>
                <w:rFonts w:ascii="Arial" w:hAnsi="Arial" w:cs="Arial"/>
              </w:rPr>
            </w:pPr>
            <w:r w:rsidRPr="00F237BB">
              <w:rPr>
                <w:rFonts w:ascii="Arial" w:hAnsi="Arial" w:cs="Arial"/>
              </w:rPr>
              <w:t>5</w:t>
            </w:r>
          </w:p>
        </w:tc>
        <w:tc>
          <w:tcPr>
            <w:tcW w:w="1559" w:type="dxa"/>
            <w:shd w:val="clear" w:color="auto" w:fill="auto"/>
          </w:tcPr>
          <w:p w:rsidR="00E86B94" w:rsidRPr="00F237BB" w:rsidRDefault="00E86B94" w:rsidP="00FB3976">
            <w:pPr>
              <w:jc w:val="center"/>
              <w:rPr>
                <w:rFonts w:ascii="Arial" w:hAnsi="Arial" w:cs="Arial"/>
              </w:rPr>
            </w:pPr>
            <w:r w:rsidRPr="00F237BB">
              <w:rPr>
                <w:rFonts w:ascii="Arial" w:hAnsi="Arial" w:cs="Arial"/>
              </w:rPr>
              <w:t>10</w:t>
            </w:r>
          </w:p>
        </w:tc>
      </w:tr>
      <w:tr w:rsidR="00E86B94" w:rsidRPr="00F237BB" w:rsidTr="00C60E00">
        <w:trPr>
          <w:cantSplit/>
          <w:trHeight w:val="832"/>
        </w:trPr>
        <w:tc>
          <w:tcPr>
            <w:tcW w:w="4536" w:type="dxa"/>
            <w:tcBorders>
              <w:bottom w:val="single" w:sz="4" w:space="0" w:color="auto"/>
            </w:tcBorders>
            <w:shd w:val="clear" w:color="auto" w:fill="auto"/>
          </w:tcPr>
          <w:p w:rsidR="00E86B94" w:rsidRPr="00F237BB" w:rsidRDefault="00E86B94" w:rsidP="00360FFE">
            <w:pPr>
              <w:pStyle w:val="ListParagraph"/>
              <w:numPr>
                <w:ilvl w:val="0"/>
                <w:numId w:val="35"/>
              </w:numPr>
              <w:jc w:val="left"/>
              <w:rPr>
                <w:rFonts w:ascii="Arial" w:hAnsi="Arial" w:cs="Arial"/>
              </w:rPr>
            </w:pPr>
            <w:r w:rsidRPr="00F237BB">
              <w:rPr>
                <w:rFonts w:ascii="Arial" w:hAnsi="Arial" w:cs="Arial"/>
              </w:rPr>
              <w:t>Disponibilidad de los resultados de los estudios contratados para consulta por otras unidades</w:t>
            </w:r>
          </w:p>
        </w:tc>
        <w:tc>
          <w:tcPr>
            <w:tcW w:w="1985" w:type="dxa"/>
            <w:tcBorders>
              <w:bottom w:val="single" w:sz="4" w:space="0" w:color="auto"/>
            </w:tcBorders>
            <w:shd w:val="clear" w:color="auto" w:fill="auto"/>
          </w:tcPr>
          <w:p w:rsidR="00E86B94" w:rsidRPr="00F237BB" w:rsidRDefault="00E86B94" w:rsidP="00FB3976">
            <w:pPr>
              <w:jc w:val="center"/>
              <w:rPr>
                <w:rFonts w:ascii="Arial" w:hAnsi="Arial" w:cs="Arial"/>
              </w:rPr>
            </w:pPr>
            <w:r w:rsidRPr="00F237BB">
              <w:rPr>
                <w:rFonts w:ascii="Arial" w:hAnsi="Arial" w:cs="Arial"/>
              </w:rPr>
              <w:t>Internet</w:t>
            </w:r>
          </w:p>
        </w:tc>
        <w:tc>
          <w:tcPr>
            <w:tcW w:w="1559" w:type="dxa"/>
            <w:tcBorders>
              <w:bottom w:val="single" w:sz="4" w:space="0" w:color="auto"/>
            </w:tcBorders>
            <w:shd w:val="clear" w:color="auto" w:fill="auto"/>
          </w:tcPr>
          <w:p w:rsidR="00E86B94" w:rsidRPr="00F237BB" w:rsidRDefault="00E86B94" w:rsidP="00FB3976">
            <w:pPr>
              <w:jc w:val="center"/>
              <w:rPr>
                <w:rFonts w:ascii="Arial" w:hAnsi="Arial" w:cs="Arial"/>
              </w:rPr>
            </w:pPr>
            <w:r w:rsidRPr="00F237BB">
              <w:rPr>
                <w:rFonts w:ascii="Arial" w:hAnsi="Arial" w:cs="Arial"/>
              </w:rPr>
              <w:t>Internet</w:t>
            </w:r>
          </w:p>
        </w:tc>
      </w:tr>
    </w:tbl>
    <w:p w:rsidR="00A77367" w:rsidRPr="00F237BB" w:rsidRDefault="00155D2C" w:rsidP="00155D2C">
      <w:pPr>
        <w:ind w:left="737"/>
        <w:rPr>
          <w:rFonts w:ascii="Arial" w:hAnsi="Arial" w:cs="Arial"/>
          <w:lang w:val="es-ES_tradnl"/>
        </w:rPr>
      </w:pPr>
      <w:r w:rsidRPr="00F237BB">
        <w:rPr>
          <w:rFonts w:ascii="Arial" w:hAnsi="Arial" w:cs="Arial"/>
          <w:lang w:val="es-ES_tradnl"/>
        </w:rPr>
        <w:t>NA: No aplica. Fuente: Ficha a directores</w:t>
      </w:r>
      <w:r w:rsidR="00B97FDE" w:rsidRPr="00F237BB">
        <w:rPr>
          <w:rStyle w:val="FootnoteReference"/>
          <w:rFonts w:ascii="Arial" w:hAnsi="Arial" w:cs="Arial"/>
          <w:sz w:val="22"/>
          <w:lang w:val="es-ES_tradnl"/>
        </w:rPr>
        <w:footnoteReference w:id="16"/>
      </w:r>
      <w:r w:rsidR="00A77367" w:rsidRPr="00F237BB">
        <w:rPr>
          <w:rFonts w:ascii="Arial" w:hAnsi="Arial" w:cs="Arial"/>
          <w:lang w:val="es-ES_tradnl"/>
        </w:rPr>
        <w:t>; Archivo BID</w:t>
      </w:r>
    </w:p>
    <w:p w:rsidR="00155D2C" w:rsidRPr="00F237BB" w:rsidRDefault="00603099" w:rsidP="00155D2C">
      <w:pPr>
        <w:ind w:left="737"/>
        <w:rPr>
          <w:rFonts w:ascii="Arial" w:hAnsi="Arial" w:cs="Arial"/>
          <w:lang w:val="es-ES_tradnl"/>
        </w:rPr>
      </w:pPr>
      <w:r w:rsidRPr="00F237BB">
        <w:rPr>
          <w:rFonts w:ascii="Arial" w:hAnsi="Arial" w:cs="Arial"/>
          <w:lang w:val="es-ES_tradnl"/>
        </w:rPr>
        <w:t xml:space="preserve">* </w:t>
      </w:r>
      <w:r w:rsidR="00A77367" w:rsidRPr="00F237BB">
        <w:rPr>
          <w:rFonts w:ascii="Arial" w:hAnsi="Arial" w:cs="Arial"/>
          <w:lang w:val="es-ES_tradnl"/>
        </w:rPr>
        <w:t>Con recursos del aporte BID en el Programa AR-L1001</w:t>
      </w:r>
    </w:p>
    <w:p w:rsidR="003E41A2" w:rsidRPr="00F237BB" w:rsidRDefault="003E41A2" w:rsidP="003E41A2">
      <w:pPr>
        <w:pStyle w:val="ListParagraph"/>
        <w:ind w:left="567"/>
        <w:rPr>
          <w:rFonts w:ascii="Arial" w:hAnsi="Arial" w:cs="Arial"/>
          <w:lang w:val="es-ES_tradnl"/>
        </w:rPr>
      </w:pPr>
    </w:p>
    <w:p w:rsidR="00155D2C" w:rsidRPr="00F237BB" w:rsidRDefault="003D2D1B" w:rsidP="00155D2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El </w:t>
      </w:r>
      <w:r w:rsidR="004D6FB1" w:rsidRPr="00F237BB">
        <w:rPr>
          <w:rFonts w:ascii="Arial" w:hAnsi="Arial" w:cs="Arial"/>
          <w:lang w:val="es-ES_tradnl"/>
        </w:rPr>
        <w:t>segundo</w:t>
      </w:r>
      <w:r w:rsidR="00EB2587" w:rsidRPr="00F237BB">
        <w:rPr>
          <w:rFonts w:ascii="Arial" w:hAnsi="Arial" w:cs="Arial"/>
          <w:lang w:val="es-ES_tradnl"/>
        </w:rPr>
        <w:t xml:space="preserve"> </w:t>
      </w:r>
      <w:r w:rsidRPr="00F237BB">
        <w:rPr>
          <w:rFonts w:ascii="Arial" w:hAnsi="Arial" w:cs="Arial"/>
          <w:lang w:val="es-ES_tradnl"/>
        </w:rPr>
        <w:t xml:space="preserve">indicador utilizado pretende medir el grado de acceso al conocimiento especializado. En este caso, el indicador “Disponibilidad de </w:t>
      </w:r>
      <w:proofErr w:type="spellStart"/>
      <w:r w:rsidRPr="00F237BB">
        <w:rPr>
          <w:rFonts w:ascii="Arial" w:hAnsi="Arial" w:cs="Arial"/>
          <w:i/>
          <w:lang w:val="es-ES_tradnl"/>
        </w:rPr>
        <w:t>journals</w:t>
      </w:r>
      <w:proofErr w:type="spellEnd"/>
      <w:r w:rsidRPr="00F237BB">
        <w:rPr>
          <w:rFonts w:ascii="Arial" w:hAnsi="Arial" w:cs="Arial"/>
          <w:lang w:val="es-ES_tradnl"/>
        </w:rPr>
        <w:t xml:space="preserve">/revistas especializadas sobre el total de las deseables” muestra que en </w:t>
      </w:r>
      <w:r w:rsidR="00B97FDE" w:rsidRPr="00F237BB">
        <w:rPr>
          <w:rFonts w:ascii="Arial" w:hAnsi="Arial" w:cs="Arial"/>
          <w:lang w:val="es-ES_tradnl"/>
        </w:rPr>
        <w:t xml:space="preserve">la dirección </w:t>
      </w:r>
      <w:r w:rsidRPr="00F237BB">
        <w:rPr>
          <w:rFonts w:ascii="Arial" w:hAnsi="Arial" w:cs="Arial"/>
          <w:lang w:val="es-ES_tradnl"/>
        </w:rPr>
        <w:t>que aplica</w:t>
      </w:r>
      <w:r w:rsidR="00B97FDE" w:rsidRPr="00F237BB">
        <w:rPr>
          <w:rFonts w:ascii="Arial" w:hAnsi="Arial" w:cs="Arial"/>
          <w:lang w:val="es-ES_tradnl"/>
        </w:rPr>
        <w:t xml:space="preserve"> (Dirección Nacional de Política Macroeconómica)</w:t>
      </w:r>
      <w:r w:rsidRPr="00F237BB">
        <w:rPr>
          <w:rFonts w:ascii="Arial" w:hAnsi="Arial" w:cs="Arial"/>
          <w:lang w:val="es-ES_tradnl"/>
        </w:rPr>
        <w:t xml:space="preserve">, no se tienen ninguna revista </w:t>
      </w:r>
      <w:r w:rsidRPr="00F237BB">
        <w:rPr>
          <w:rFonts w:ascii="Arial" w:hAnsi="Arial" w:cs="Arial"/>
          <w:lang w:val="es-ES_tradnl"/>
        </w:rPr>
        <w:lastRenderedPageBreak/>
        <w:t>especializada del total de r</w:t>
      </w:r>
      <w:r w:rsidR="00155D2C" w:rsidRPr="00F237BB">
        <w:rPr>
          <w:rFonts w:ascii="Arial" w:hAnsi="Arial" w:cs="Arial"/>
          <w:lang w:val="es-ES_tradnl"/>
        </w:rPr>
        <w:t xml:space="preserve">evistas deseadas. Tampoco se tiene suscripciones para el acceso a fuentes técnicas por internet de contenido académico, como es el </w:t>
      </w:r>
      <w:proofErr w:type="spellStart"/>
      <w:r w:rsidR="00155D2C" w:rsidRPr="00F237BB">
        <w:rPr>
          <w:rFonts w:ascii="Arial" w:hAnsi="Arial" w:cs="Arial"/>
          <w:lang w:val="es-ES_tradnl"/>
        </w:rPr>
        <w:t>metabuscador</w:t>
      </w:r>
      <w:proofErr w:type="spellEnd"/>
      <w:r w:rsidR="00155D2C" w:rsidRPr="00F237BB">
        <w:rPr>
          <w:rFonts w:ascii="Arial" w:hAnsi="Arial" w:cs="Arial"/>
          <w:lang w:val="es-ES_tradnl"/>
        </w:rPr>
        <w:t xml:space="preserve"> </w:t>
      </w:r>
      <w:proofErr w:type="spellStart"/>
      <w:r w:rsidR="00155D2C" w:rsidRPr="00F237BB">
        <w:rPr>
          <w:rFonts w:ascii="Arial" w:hAnsi="Arial" w:cs="Arial"/>
          <w:i/>
          <w:lang w:val="es-ES_tradnl"/>
        </w:rPr>
        <w:t>jstor</w:t>
      </w:r>
      <w:proofErr w:type="spellEnd"/>
      <w:r w:rsidR="00155D2C" w:rsidRPr="00F237BB">
        <w:rPr>
          <w:rFonts w:ascii="Arial" w:hAnsi="Arial" w:cs="Arial"/>
          <w:lang w:val="es-ES_tradnl"/>
        </w:rPr>
        <w:t xml:space="preserve">. </w:t>
      </w:r>
    </w:p>
    <w:p w:rsidR="002D2C0C" w:rsidRPr="00F237BB" w:rsidRDefault="002D2C0C" w:rsidP="002D2C0C">
      <w:pPr>
        <w:pStyle w:val="ListParagraph"/>
        <w:rPr>
          <w:rFonts w:ascii="Arial" w:hAnsi="Arial" w:cs="Arial"/>
          <w:lang w:val="es-ES_tradnl"/>
        </w:rPr>
      </w:pPr>
    </w:p>
    <w:p w:rsidR="00A25E53" w:rsidRPr="00F237BB" w:rsidRDefault="00A25E53" w:rsidP="00155D2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Los </w:t>
      </w:r>
      <w:r w:rsidR="00360FFE" w:rsidRPr="00F237BB">
        <w:rPr>
          <w:rFonts w:ascii="Arial" w:hAnsi="Arial" w:cs="Arial"/>
          <w:lang w:val="es-ES_tradnl"/>
        </w:rPr>
        <w:t>dos</w:t>
      </w:r>
      <w:r w:rsidRPr="00F237BB">
        <w:rPr>
          <w:rFonts w:ascii="Arial" w:hAnsi="Arial" w:cs="Arial"/>
          <w:lang w:val="es-ES_tradnl"/>
        </w:rPr>
        <w:t xml:space="preserve"> indicadores restantes refieren a la posibilidad de acceder a conocimiento especializado externo al </w:t>
      </w:r>
      <w:proofErr w:type="spellStart"/>
      <w:r w:rsidR="00F86B3F" w:rsidRPr="00F237BB">
        <w:rPr>
          <w:rFonts w:ascii="Arial" w:hAnsi="Arial" w:cs="Arial"/>
          <w:lang w:val="es-ES_tradnl"/>
        </w:rPr>
        <w:t>MH</w:t>
      </w:r>
      <w:r w:rsidR="0060117A"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a través de estudios contratados </w:t>
      </w:r>
      <w:r w:rsidR="00360FFE" w:rsidRPr="00F237BB">
        <w:rPr>
          <w:rFonts w:ascii="Arial" w:hAnsi="Arial" w:cs="Arial"/>
          <w:lang w:val="es-ES_tradnl"/>
        </w:rPr>
        <w:t>externamente</w:t>
      </w:r>
      <w:r w:rsidRPr="00F237BB">
        <w:rPr>
          <w:rFonts w:ascii="Arial" w:hAnsi="Arial" w:cs="Arial"/>
          <w:lang w:val="es-ES_tradnl"/>
        </w:rPr>
        <w:t xml:space="preserve">. Se observa que la variabilidad del número de estudios contratados es notable entre las </w:t>
      </w:r>
      <w:r w:rsidR="00910469" w:rsidRPr="00F237BB">
        <w:rPr>
          <w:rFonts w:ascii="Arial" w:hAnsi="Arial" w:cs="Arial"/>
          <w:lang w:val="es-ES_tradnl"/>
        </w:rPr>
        <w:t>dos direcciones</w:t>
      </w:r>
      <w:r w:rsidRPr="00F237BB">
        <w:rPr>
          <w:rFonts w:ascii="Arial" w:hAnsi="Arial" w:cs="Arial"/>
          <w:lang w:val="es-ES_tradnl"/>
        </w:rPr>
        <w:t xml:space="preserve">, </w:t>
      </w:r>
      <w:r w:rsidR="00910469" w:rsidRPr="00F237BB">
        <w:rPr>
          <w:rFonts w:ascii="Arial" w:hAnsi="Arial" w:cs="Arial"/>
          <w:lang w:val="es-ES_tradnl"/>
        </w:rPr>
        <w:t>dónde se observa que la DNPM realizó 5 estudios contratados externamente y que la DNPR realizó 10 estudios contratados en forma externa. Por su parte, es positivo que en ambos casos, las direcciones</w:t>
      </w:r>
      <w:r w:rsidRPr="00F237BB">
        <w:rPr>
          <w:rFonts w:ascii="Arial" w:hAnsi="Arial" w:cs="Arial"/>
          <w:lang w:val="es-ES_tradnl"/>
        </w:rPr>
        <w:t xml:space="preserve"> hicieron los resultados disponibles para otras áreas, </w:t>
      </w:r>
      <w:r w:rsidR="00DC77C9" w:rsidRPr="00F237BB">
        <w:rPr>
          <w:rFonts w:ascii="Arial" w:hAnsi="Arial" w:cs="Arial"/>
          <w:lang w:val="es-ES_tradnl"/>
        </w:rPr>
        <w:t xml:space="preserve">sin embargo, </w:t>
      </w:r>
      <w:r w:rsidRPr="00F237BB">
        <w:rPr>
          <w:rFonts w:ascii="Arial" w:hAnsi="Arial" w:cs="Arial"/>
          <w:lang w:val="es-ES_tradnl"/>
        </w:rPr>
        <w:t xml:space="preserve">ello no ocurrió gracias a algún repositorio común de información o conocimiento, sino que se hizo a través del sitio </w:t>
      </w:r>
      <w:r w:rsidRPr="00F237BB">
        <w:rPr>
          <w:rFonts w:ascii="Arial" w:hAnsi="Arial" w:cs="Arial"/>
          <w:i/>
          <w:lang w:val="es-ES_tradnl"/>
        </w:rPr>
        <w:t>web</w:t>
      </w:r>
      <w:r w:rsidRPr="00F237BB">
        <w:rPr>
          <w:rFonts w:ascii="Arial" w:hAnsi="Arial" w:cs="Arial"/>
          <w:lang w:val="es-ES_tradnl"/>
        </w:rPr>
        <w:t xml:space="preserve"> que dichas unidades mantienen para difundir información en general dentro y fuera del </w:t>
      </w:r>
      <w:proofErr w:type="spellStart"/>
      <w:r w:rsidR="00F86B3F" w:rsidRPr="00F237BB">
        <w:rPr>
          <w:rFonts w:ascii="Arial" w:hAnsi="Arial" w:cs="Arial"/>
          <w:lang w:val="es-ES_tradnl"/>
        </w:rPr>
        <w:t>MH</w:t>
      </w:r>
      <w:r w:rsidR="0060117A"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w:t>
      </w:r>
    </w:p>
    <w:p w:rsidR="009D728C" w:rsidRPr="00F237BB" w:rsidRDefault="009D728C" w:rsidP="00D034C6">
      <w:pPr>
        <w:pStyle w:val="ListParagraph"/>
        <w:ind w:left="927"/>
        <w:rPr>
          <w:rFonts w:ascii="Arial" w:hAnsi="Arial" w:cs="Arial"/>
          <w:lang w:val="es-ES_tradnl"/>
        </w:rPr>
      </w:pPr>
    </w:p>
    <w:p w:rsidR="00FE6A5C" w:rsidRPr="00F237BB" w:rsidRDefault="00770B86" w:rsidP="00F7558B">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De análisis de los indicadores de aproximación al modelo de gestión del conocimiento por parte de la </w:t>
      </w:r>
      <w:proofErr w:type="spellStart"/>
      <w:r w:rsidRPr="00F237BB">
        <w:rPr>
          <w:rFonts w:ascii="Arial" w:hAnsi="Arial" w:cs="Arial"/>
          <w:lang w:val="es-ES_tradnl"/>
        </w:rPr>
        <w:t>SPE</w:t>
      </w:r>
      <w:r w:rsidR="00910469" w:rsidRPr="00F237BB">
        <w:rPr>
          <w:rFonts w:ascii="Arial" w:hAnsi="Arial" w:cs="Arial"/>
          <w:lang w:val="es-ES_tradnl"/>
        </w:rPr>
        <w:t>yPD</w:t>
      </w:r>
      <w:proofErr w:type="spellEnd"/>
      <w:r w:rsidRPr="00F237BB">
        <w:rPr>
          <w:rFonts w:ascii="Arial" w:hAnsi="Arial" w:cs="Arial"/>
          <w:lang w:val="es-ES_tradnl"/>
        </w:rPr>
        <w:t>, p</w:t>
      </w:r>
      <w:r w:rsidR="00FE6A5C" w:rsidRPr="00F237BB">
        <w:rPr>
          <w:rFonts w:ascii="Arial" w:hAnsi="Arial" w:cs="Arial"/>
          <w:lang w:val="es-ES_tradnl"/>
        </w:rPr>
        <w:t xml:space="preserve">uede concluirse que </w:t>
      </w:r>
      <w:r w:rsidRPr="00F237BB">
        <w:rPr>
          <w:rFonts w:ascii="Arial" w:hAnsi="Arial" w:cs="Arial"/>
          <w:lang w:val="es-ES_tradnl"/>
        </w:rPr>
        <w:t>existen</w:t>
      </w:r>
      <w:r w:rsidR="00F7558B" w:rsidRPr="00F237BB">
        <w:rPr>
          <w:rFonts w:ascii="Arial" w:hAnsi="Arial" w:cs="Arial"/>
          <w:lang w:val="es-ES_tradnl"/>
        </w:rPr>
        <w:t xml:space="preserve"> deficiencias en cuanto a los procedimientos y herramientas para acceder y permitir la circulación de conocimiento experto (incluido el externo). </w:t>
      </w:r>
      <w:r w:rsidRPr="00F237BB">
        <w:rPr>
          <w:rFonts w:ascii="Arial" w:hAnsi="Arial" w:cs="Arial"/>
          <w:lang w:val="es-ES_tradnl"/>
        </w:rPr>
        <w:t xml:space="preserve">En un contexto de creciente demanda de conocimiento más especializado y experto, </w:t>
      </w:r>
      <w:r w:rsidR="00F77EEA" w:rsidRPr="00F237BB">
        <w:rPr>
          <w:rFonts w:ascii="Arial" w:hAnsi="Arial" w:cs="Arial"/>
          <w:lang w:val="es-ES_tradnl"/>
        </w:rPr>
        <w:t xml:space="preserve">y de exigencia de una mayor participación de la planificación económica de mediano y largo plazo en los procesos de toma de decisiones sectoriales, </w:t>
      </w:r>
      <w:r w:rsidRPr="00F237BB">
        <w:rPr>
          <w:rFonts w:ascii="Arial" w:hAnsi="Arial" w:cs="Arial"/>
          <w:lang w:val="es-ES_tradnl"/>
        </w:rPr>
        <w:t xml:space="preserve">estas debilidades pueden </w:t>
      </w:r>
      <w:r w:rsidR="00F77EEA" w:rsidRPr="00F237BB">
        <w:rPr>
          <w:rFonts w:ascii="Arial" w:hAnsi="Arial" w:cs="Arial"/>
          <w:lang w:val="es-ES_tradnl"/>
        </w:rPr>
        <w:t>suponer restricciones que mermen</w:t>
      </w:r>
      <w:r w:rsidRPr="00F237BB">
        <w:rPr>
          <w:rFonts w:ascii="Arial" w:hAnsi="Arial" w:cs="Arial"/>
          <w:lang w:val="es-ES_tradnl"/>
        </w:rPr>
        <w:t xml:space="preserve"> la </w:t>
      </w:r>
      <w:r w:rsidR="00F77EEA" w:rsidRPr="00F237BB">
        <w:rPr>
          <w:rFonts w:ascii="Arial" w:hAnsi="Arial" w:cs="Arial"/>
          <w:lang w:val="es-ES_tradnl"/>
        </w:rPr>
        <w:t xml:space="preserve">calidad futura </w:t>
      </w:r>
      <w:r w:rsidR="00F7558B" w:rsidRPr="00F237BB">
        <w:rPr>
          <w:rFonts w:ascii="Arial" w:hAnsi="Arial" w:cs="Arial"/>
          <w:lang w:val="es-ES_tradnl"/>
        </w:rPr>
        <w:t xml:space="preserve">del aporte del </w:t>
      </w:r>
      <w:proofErr w:type="spellStart"/>
      <w:r w:rsidR="00F86B3F" w:rsidRPr="00F237BB">
        <w:rPr>
          <w:rFonts w:ascii="Arial" w:hAnsi="Arial" w:cs="Arial"/>
          <w:lang w:val="es-ES_tradnl"/>
        </w:rPr>
        <w:t>MH</w:t>
      </w:r>
      <w:r w:rsidR="0060117A" w:rsidRPr="00F237BB">
        <w:rPr>
          <w:rFonts w:ascii="Arial" w:hAnsi="Arial" w:cs="Arial"/>
          <w:lang w:val="es-ES_tradnl"/>
        </w:rPr>
        <w:t>y</w:t>
      </w:r>
      <w:r w:rsidR="00F86B3F" w:rsidRPr="00F237BB">
        <w:rPr>
          <w:rFonts w:ascii="Arial" w:hAnsi="Arial" w:cs="Arial"/>
          <w:lang w:val="es-ES_tradnl"/>
        </w:rPr>
        <w:t>FP</w:t>
      </w:r>
      <w:proofErr w:type="spellEnd"/>
      <w:r w:rsidR="00F7558B" w:rsidRPr="00F237BB">
        <w:rPr>
          <w:rFonts w:ascii="Arial" w:hAnsi="Arial" w:cs="Arial"/>
          <w:lang w:val="es-ES_tradnl"/>
        </w:rPr>
        <w:t xml:space="preserve"> en la elaboración de políticas económicas y sectoriales</w:t>
      </w:r>
      <w:r w:rsidR="00F77EEA" w:rsidRPr="00F237BB">
        <w:rPr>
          <w:rFonts w:ascii="Arial" w:hAnsi="Arial" w:cs="Arial"/>
          <w:lang w:val="es-ES_tradnl"/>
        </w:rPr>
        <w:t>.</w:t>
      </w:r>
    </w:p>
    <w:p w:rsidR="00063FB6" w:rsidRPr="00F237BB" w:rsidRDefault="00063FB6" w:rsidP="00D034C6">
      <w:pPr>
        <w:pStyle w:val="ListParagraph"/>
        <w:ind w:left="927"/>
        <w:rPr>
          <w:rFonts w:ascii="Arial" w:hAnsi="Arial" w:cs="Arial"/>
          <w:lang w:val="es-ES_tradnl"/>
        </w:rPr>
      </w:pPr>
    </w:p>
    <w:p w:rsidR="009D728C" w:rsidRPr="00F237BB" w:rsidRDefault="00262478" w:rsidP="009D728C">
      <w:pPr>
        <w:pStyle w:val="Heading3"/>
        <w:rPr>
          <w:rFonts w:ascii="Arial" w:hAnsi="Arial"/>
          <w:szCs w:val="22"/>
        </w:rPr>
      </w:pPr>
      <w:r w:rsidRPr="00F237BB">
        <w:rPr>
          <w:rFonts w:ascii="Arial" w:hAnsi="Arial"/>
          <w:szCs w:val="22"/>
        </w:rPr>
        <w:t xml:space="preserve">Problema 2: </w:t>
      </w:r>
      <w:r w:rsidR="009D728C" w:rsidRPr="00F237BB">
        <w:rPr>
          <w:rFonts w:ascii="Arial" w:hAnsi="Arial"/>
          <w:szCs w:val="22"/>
        </w:rPr>
        <w:t xml:space="preserve">Deficiencias en cuanto </w:t>
      </w:r>
      <w:r w:rsidR="008802AE" w:rsidRPr="00F237BB">
        <w:rPr>
          <w:rFonts w:ascii="Arial" w:hAnsi="Arial"/>
          <w:szCs w:val="22"/>
        </w:rPr>
        <w:t>al acceso</w:t>
      </w:r>
      <w:r w:rsidR="009D728C" w:rsidRPr="00F237BB">
        <w:rPr>
          <w:rFonts w:ascii="Arial" w:hAnsi="Arial"/>
          <w:szCs w:val="22"/>
        </w:rPr>
        <w:t xml:space="preserve"> y oportunidad de la información </w:t>
      </w:r>
      <w:r w:rsidR="00EE2D53" w:rsidRPr="00F237BB">
        <w:rPr>
          <w:rFonts w:ascii="Arial" w:hAnsi="Arial"/>
          <w:szCs w:val="22"/>
        </w:rPr>
        <w:t>para la toma de decisiones</w:t>
      </w:r>
    </w:p>
    <w:p w:rsidR="00262478" w:rsidRPr="00F237BB" w:rsidRDefault="00262478" w:rsidP="00262478">
      <w:pPr>
        <w:spacing w:after="240"/>
        <w:ind w:left="567"/>
        <w:rPr>
          <w:rFonts w:ascii="Arial" w:hAnsi="Arial" w:cs="Arial"/>
          <w:b/>
          <w:u w:val="single"/>
        </w:rPr>
      </w:pPr>
      <w:r w:rsidRPr="00F237BB">
        <w:rPr>
          <w:rFonts w:ascii="Arial" w:hAnsi="Arial" w:cs="Arial"/>
          <w:b/>
          <w:u w:val="single"/>
        </w:rPr>
        <w:t>Descripción del problema</w:t>
      </w:r>
    </w:p>
    <w:p w:rsidR="00293013" w:rsidRPr="00F237BB" w:rsidRDefault="00293013" w:rsidP="00262478">
      <w:pPr>
        <w:pStyle w:val="ListParagraph"/>
        <w:numPr>
          <w:ilvl w:val="0"/>
          <w:numId w:val="14"/>
        </w:numPr>
        <w:ind w:left="567" w:hanging="567"/>
        <w:rPr>
          <w:rFonts w:ascii="Arial" w:hAnsi="Arial" w:cs="Arial"/>
        </w:rPr>
      </w:pPr>
      <w:r w:rsidRPr="00F237BB">
        <w:rPr>
          <w:rFonts w:ascii="Arial" w:hAnsi="Arial" w:cs="Arial"/>
        </w:rPr>
        <w:t>Una segunda</w:t>
      </w:r>
      <w:r w:rsidR="00C61C3D" w:rsidRPr="00F237BB">
        <w:rPr>
          <w:rFonts w:ascii="Arial" w:hAnsi="Arial" w:cs="Arial"/>
        </w:rPr>
        <w:t xml:space="preserve"> </w:t>
      </w:r>
      <w:r w:rsidR="00262478" w:rsidRPr="00F237BB">
        <w:rPr>
          <w:rFonts w:ascii="Arial" w:hAnsi="Arial" w:cs="Arial"/>
        </w:rPr>
        <w:t>debilidad que contribuye</w:t>
      </w:r>
      <w:r w:rsidRPr="00F237BB">
        <w:rPr>
          <w:rFonts w:ascii="Arial" w:hAnsi="Arial" w:cs="Arial"/>
        </w:rPr>
        <w:t xml:space="preserve"> directamente</w:t>
      </w:r>
      <w:r w:rsidR="00262478" w:rsidRPr="00F237BB">
        <w:rPr>
          <w:rFonts w:ascii="Arial" w:hAnsi="Arial" w:cs="Arial"/>
        </w:rPr>
        <w:t xml:space="preserve"> al problema </w:t>
      </w:r>
      <w:r w:rsidRPr="00F237BB">
        <w:rPr>
          <w:rFonts w:ascii="Arial" w:hAnsi="Arial" w:cs="Arial"/>
        </w:rPr>
        <w:t xml:space="preserve">central </w:t>
      </w:r>
      <w:r w:rsidR="00262478" w:rsidRPr="00F237BB">
        <w:rPr>
          <w:rFonts w:ascii="Arial" w:hAnsi="Arial" w:cs="Arial"/>
        </w:rPr>
        <w:t>radica en las</w:t>
      </w:r>
      <w:r w:rsidR="00CE01C1" w:rsidRPr="00F237BB">
        <w:rPr>
          <w:rFonts w:ascii="Arial" w:hAnsi="Arial" w:cs="Arial"/>
        </w:rPr>
        <w:t xml:space="preserve"> </w:t>
      </w:r>
      <w:r w:rsidR="004B7859" w:rsidRPr="00F237BB">
        <w:rPr>
          <w:rFonts w:ascii="Arial" w:hAnsi="Arial" w:cs="Arial"/>
          <w:i/>
        </w:rPr>
        <w:t xml:space="preserve">deficiencias en cuanto </w:t>
      </w:r>
      <w:r w:rsidR="008802AE" w:rsidRPr="00F237BB">
        <w:rPr>
          <w:rFonts w:ascii="Arial" w:hAnsi="Arial" w:cs="Arial"/>
          <w:i/>
        </w:rPr>
        <w:t>al acceso</w:t>
      </w:r>
      <w:r w:rsidR="004B7859" w:rsidRPr="00F237BB">
        <w:rPr>
          <w:rFonts w:ascii="Arial" w:hAnsi="Arial" w:cs="Arial"/>
          <w:i/>
        </w:rPr>
        <w:t xml:space="preserve"> y oportunidad de la información </w:t>
      </w:r>
      <w:r w:rsidR="008802AE" w:rsidRPr="00F237BB">
        <w:rPr>
          <w:rFonts w:ascii="Arial" w:hAnsi="Arial" w:cs="Arial"/>
          <w:i/>
        </w:rPr>
        <w:t>necesaria</w:t>
      </w:r>
      <w:r w:rsidR="008802AE" w:rsidRPr="00F237BB">
        <w:rPr>
          <w:rFonts w:ascii="Arial" w:hAnsi="Arial" w:cs="Arial"/>
        </w:rPr>
        <w:t xml:space="preserve"> </w:t>
      </w:r>
      <w:r w:rsidR="002D2C0C" w:rsidRPr="00F237BB">
        <w:rPr>
          <w:rFonts w:ascii="Arial" w:hAnsi="Arial" w:cs="Arial"/>
          <w:i/>
        </w:rPr>
        <w:t>en los procesos de toma de decisión sobre las políticas económicas</w:t>
      </w:r>
      <w:r w:rsidR="004B7859" w:rsidRPr="00F237BB">
        <w:rPr>
          <w:rFonts w:ascii="Arial" w:hAnsi="Arial" w:cs="Arial"/>
        </w:rPr>
        <w:t xml:space="preserve">. </w:t>
      </w:r>
      <w:r w:rsidR="001A4FCF" w:rsidRPr="00F237BB">
        <w:rPr>
          <w:rFonts w:ascii="Arial" w:hAnsi="Arial" w:cs="Arial"/>
        </w:rPr>
        <w:t xml:space="preserve">Se asume que los distintos productos que elaboran las unidades de la </w:t>
      </w:r>
      <w:proofErr w:type="spellStart"/>
      <w:r w:rsidR="001A4FCF" w:rsidRPr="00F237BB">
        <w:rPr>
          <w:rFonts w:ascii="Arial" w:hAnsi="Arial" w:cs="Arial"/>
        </w:rPr>
        <w:t>SPE</w:t>
      </w:r>
      <w:r w:rsidR="000F24B7" w:rsidRPr="00F237BB">
        <w:rPr>
          <w:rFonts w:ascii="Arial" w:hAnsi="Arial" w:cs="Arial"/>
        </w:rPr>
        <w:t>yPD</w:t>
      </w:r>
      <w:proofErr w:type="spellEnd"/>
      <w:r w:rsidR="001A4FCF" w:rsidRPr="00F237BB">
        <w:rPr>
          <w:rFonts w:ascii="Arial" w:hAnsi="Arial" w:cs="Arial"/>
        </w:rPr>
        <w:t xml:space="preserve"> (análisis, informes, proyecciones, etc.) aportan a la toma de decisiones en materia de política económica, requiriendo a su vez información de calidad y oportunidad adecuada</w:t>
      </w:r>
      <w:r w:rsidR="00C329D6" w:rsidRPr="00F237BB">
        <w:rPr>
          <w:rFonts w:ascii="Arial" w:hAnsi="Arial" w:cs="Arial"/>
        </w:rPr>
        <w:t xml:space="preserve">, que puede provenir tanto de la propia unidad productora, de otra unidad de la </w:t>
      </w:r>
      <w:proofErr w:type="spellStart"/>
      <w:r w:rsidR="00C329D6" w:rsidRPr="00F237BB">
        <w:rPr>
          <w:rFonts w:ascii="Arial" w:hAnsi="Arial" w:cs="Arial"/>
        </w:rPr>
        <w:t>SPE</w:t>
      </w:r>
      <w:r w:rsidR="000F24B7" w:rsidRPr="00F237BB">
        <w:rPr>
          <w:rFonts w:ascii="Arial" w:hAnsi="Arial" w:cs="Arial"/>
        </w:rPr>
        <w:t>yPD</w:t>
      </w:r>
      <w:proofErr w:type="spellEnd"/>
      <w:r w:rsidR="00C329D6" w:rsidRPr="00F237BB">
        <w:rPr>
          <w:rFonts w:ascii="Arial" w:hAnsi="Arial" w:cs="Arial"/>
        </w:rPr>
        <w:t xml:space="preserve"> (o del </w:t>
      </w:r>
      <w:proofErr w:type="spellStart"/>
      <w:r w:rsidR="00F86B3F" w:rsidRPr="00F237BB">
        <w:rPr>
          <w:rFonts w:ascii="Arial" w:hAnsi="Arial" w:cs="Arial"/>
        </w:rPr>
        <w:t>MH</w:t>
      </w:r>
      <w:r w:rsidR="0060117A" w:rsidRPr="00F237BB">
        <w:rPr>
          <w:rFonts w:ascii="Arial" w:hAnsi="Arial" w:cs="Arial"/>
        </w:rPr>
        <w:t>y</w:t>
      </w:r>
      <w:r w:rsidR="00F86B3F" w:rsidRPr="00F237BB">
        <w:rPr>
          <w:rFonts w:ascii="Arial" w:hAnsi="Arial" w:cs="Arial"/>
        </w:rPr>
        <w:t>FP</w:t>
      </w:r>
      <w:proofErr w:type="spellEnd"/>
      <w:r w:rsidR="00C329D6" w:rsidRPr="00F237BB">
        <w:rPr>
          <w:rFonts w:ascii="Arial" w:hAnsi="Arial" w:cs="Arial"/>
        </w:rPr>
        <w:t xml:space="preserve">) y, en caso fuera necesario, de expertos externos al </w:t>
      </w:r>
      <w:proofErr w:type="spellStart"/>
      <w:r w:rsidR="00F86B3F" w:rsidRPr="00F237BB">
        <w:rPr>
          <w:rFonts w:ascii="Arial" w:hAnsi="Arial" w:cs="Arial"/>
        </w:rPr>
        <w:t>MH</w:t>
      </w:r>
      <w:r w:rsidR="0060117A" w:rsidRPr="00F237BB">
        <w:rPr>
          <w:rFonts w:ascii="Arial" w:hAnsi="Arial" w:cs="Arial"/>
        </w:rPr>
        <w:t>y</w:t>
      </w:r>
      <w:r w:rsidR="00F86B3F" w:rsidRPr="00F237BB">
        <w:rPr>
          <w:rFonts w:ascii="Arial" w:hAnsi="Arial" w:cs="Arial"/>
        </w:rPr>
        <w:t>FP</w:t>
      </w:r>
      <w:proofErr w:type="spellEnd"/>
      <w:r w:rsidR="00C329D6" w:rsidRPr="00F237BB">
        <w:rPr>
          <w:rFonts w:ascii="Arial" w:hAnsi="Arial" w:cs="Arial"/>
        </w:rPr>
        <w:t xml:space="preserve"> (usualmente contratados bajo la modalidad de consultorías de corto plazo para la realización de estudios). </w:t>
      </w:r>
      <w:r w:rsidR="0078533A" w:rsidRPr="00F237BB">
        <w:rPr>
          <w:rFonts w:ascii="Arial" w:hAnsi="Arial" w:cs="Arial"/>
        </w:rPr>
        <w:t>Se</w:t>
      </w:r>
      <w:r w:rsidR="00C329D6" w:rsidRPr="00F237BB">
        <w:rPr>
          <w:rFonts w:ascii="Arial" w:hAnsi="Arial" w:cs="Arial"/>
        </w:rPr>
        <w:t xml:space="preserve"> han construido </w:t>
      </w:r>
      <w:r w:rsidR="004D6FB1" w:rsidRPr="00F237BB">
        <w:rPr>
          <w:rFonts w:ascii="Arial" w:hAnsi="Arial" w:cs="Arial"/>
        </w:rPr>
        <w:t>siete</w:t>
      </w:r>
      <w:r w:rsidR="00C329D6" w:rsidRPr="00F237BB">
        <w:rPr>
          <w:rFonts w:ascii="Arial" w:hAnsi="Arial" w:cs="Arial"/>
        </w:rPr>
        <w:t xml:space="preserve"> indicadores que permiten una aproximación al </w:t>
      </w:r>
      <w:r w:rsidR="0078533A" w:rsidRPr="00F237BB">
        <w:rPr>
          <w:rFonts w:ascii="Arial" w:hAnsi="Arial" w:cs="Arial"/>
        </w:rPr>
        <w:t>problema</w:t>
      </w:r>
      <w:r w:rsidR="00607987" w:rsidRPr="00F237BB">
        <w:rPr>
          <w:rFonts w:ascii="Arial" w:hAnsi="Arial" w:cs="Arial"/>
        </w:rPr>
        <w:t xml:space="preserve"> (ver cuadro</w:t>
      </w:r>
      <w:r w:rsidR="00C17101" w:rsidRPr="00F237BB">
        <w:rPr>
          <w:rFonts w:ascii="Arial" w:hAnsi="Arial" w:cs="Arial"/>
        </w:rPr>
        <w:t>s</w:t>
      </w:r>
      <w:r w:rsidR="00607987" w:rsidRPr="00F237BB">
        <w:rPr>
          <w:rFonts w:ascii="Arial" w:hAnsi="Arial" w:cs="Arial"/>
        </w:rPr>
        <w:t xml:space="preserve"> </w:t>
      </w:r>
      <w:r w:rsidR="002A293A" w:rsidRPr="00F237BB">
        <w:rPr>
          <w:rFonts w:ascii="Arial" w:hAnsi="Arial" w:cs="Arial"/>
        </w:rPr>
        <w:t xml:space="preserve">11 </w:t>
      </w:r>
      <w:r w:rsidR="006439A9" w:rsidRPr="00F237BB">
        <w:rPr>
          <w:rFonts w:ascii="Arial" w:hAnsi="Arial" w:cs="Arial"/>
        </w:rPr>
        <w:t xml:space="preserve">y </w:t>
      </w:r>
      <w:r w:rsidR="002A293A" w:rsidRPr="00F237BB">
        <w:rPr>
          <w:rFonts w:ascii="Arial" w:hAnsi="Arial" w:cs="Arial"/>
        </w:rPr>
        <w:t>12</w:t>
      </w:r>
      <w:r w:rsidR="00607987" w:rsidRPr="00F237BB">
        <w:rPr>
          <w:rFonts w:ascii="Arial" w:hAnsi="Arial" w:cs="Arial"/>
        </w:rPr>
        <w:t>)</w:t>
      </w:r>
      <w:r w:rsidR="00C329D6" w:rsidRPr="00F237BB">
        <w:rPr>
          <w:rFonts w:ascii="Arial" w:hAnsi="Arial" w:cs="Arial"/>
        </w:rPr>
        <w:t xml:space="preserve">. </w:t>
      </w:r>
    </w:p>
    <w:p w:rsidR="00C61C3D" w:rsidRPr="00F237BB" w:rsidRDefault="00C61C3D" w:rsidP="00C61C3D">
      <w:pPr>
        <w:rPr>
          <w:rFonts w:ascii="Arial" w:hAnsi="Arial" w:cs="Arial"/>
        </w:rPr>
      </w:pPr>
    </w:p>
    <w:p w:rsidR="00C17101" w:rsidRPr="00F237BB" w:rsidRDefault="00C17101" w:rsidP="00C17101">
      <w:pPr>
        <w:pStyle w:val="ListParagraph"/>
        <w:numPr>
          <w:ilvl w:val="0"/>
          <w:numId w:val="14"/>
        </w:numPr>
        <w:ind w:left="567" w:hanging="567"/>
        <w:rPr>
          <w:rFonts w:ascii="Arial" w:hAnsi="Arial" w:cs="Arial"/>
        </w:rPr>
      </w:pPr>
      <w:r w:rsidRPr="00F237BB">
        <w:rPr>
          <w:rFonts w:ascii="Arial" w:hAnsi="Arial" w:cs="Arial"/>
        </w:rPr>
        <w:t>El primer indicador pertenece al grupo de los ICEP</w:t>
      </w:r>
      <w:r w:rsidR="006439A9" w:rsidRPr="00F237BB">
        <w:rPr>
          <w:rFonts w:ascii="Arial" w:hAnsi="Arial" w:cs="Arial"/>
        </w:rPr>
        <w:t>E</w:t>
      </w:r>
      <w:r w:rsidRPr="00F237BB">
        <w:rPr>
          <w:rFonts w:ascii="Arial" w:hAnsi="Arial" w:cs="Arial"/>
        </w:rPr>
        <w:t xml:space="preserve">. Es el </w:t>
      </w:r>
      <w:r w:rsidRPr="00F237BB">
        <w:rPr>
          <w:rFonts w:ascii="Arial" w:hAnsi="Arial" w:cs="Arial"/>
          <w:i/>
        </w:rPr>
        <w:t>índice de calidad y oportunidad de la información primaria</w:t>
      </w:r>
      <w:r w:rsidRPr="00F237BB">
        <w:rPr>
          <w:rFonts w:ascii="Arial" w:hAnsi="Arial" w:cs="Arial"/>
        </w:rPr>
        <w:t xml:space="preserve"> (que valora la oportunidad, actualización, pertinencia y solidez de dicha información), alcanza un valor promedio de </w:t>
      </w:r>
      <w:r w:rsidR="002A293A" w:rsidRPr="00F237BB">
        <w:rPr>
          <w:rFonts w:ascii="Arial" w:hAnsi="Arial" w:cs="Arial"/>
        </w:rPr>
        <w:t>6</w:t>
      </w:r>
      <w:r w:rsidR="006439A9" w:rsidRPr="00F237BB">
        <w:rPr>
          <w:rFonts w:ascii="Arial" w:hAnsi="Arial" w:cs="Arial"/>
        </w:rPr>
        <w:t>,</w:t>
      </w:r>
      <w:r w:rsidR="002A293A" w:rsidRPr="00F237BB">
        <w:rPr>
          <w:rFonts w:ascii="Arial" w:hAnsi="Arial" w:cs="Arial"/>
        </w:rPr>
        <w:t xml:space="preserve">92 </w:t>
      </w:r>
      <w:r w:rsidRPr="00F237BB">
        <w:rPr>
          <w:rFonts w:ascii="Arial" w:hAnsi="Arial" w:cs="Arial"/>
        </w:rPr>
        <w:t xml:space="preserve">en las áreas de la </w:t>
      </w:r>
      <w:proofErr w:type="spellStart"/>
      <w:r w:rsidRPr="00F237BB">
        <w:rPr>
          <w:rFonts w:ascii="Arial" w:hAnsi="Arial" w:cs="Arial"/>
        </w:rPr>
        <w:t>SPE</w:t>
      </w:r>
      <w:r w:rsidR="002A293A" w:rsidRPr="00F237BB">
        <w:rPr>
          <w:rFonts w:ascii="Arial" w:hAnsi="Arial" w:cs="Arial"/>
        </w:rPr>
        <w:t>yPD</w:t>
      </w:r>
      <w:proofErr w:type="spellEnd"/>
      <w:r w:rsidRPr="00F237BB">
        <w:rPr>
          <w:rFonts w:ascii="Arial" w:hAnsi="Arial" w:cs="Arial"/>
        </w:rPr>
        <w:t>, mostrando una calidad intermedia de la información primaria.</w:t>
      </w:r>
    </w:p>
    <w:p w:rsidR="006439A9" w:rsidRPr="00F237BB" w:rsidRDefault="006439A9" w:rsidP="006439A9">
      <w:pPr>
        <w:pStyle w:val="ListParagraph"/>
        <w:ind w:left="567"/>
        <w:rPr>
          <w:rFonts w:ascii="Arial" w:hAnsi="Arial" w:cs="Arial"/>
        </w:rPr>
      </w:pPr>
    </w:p>
    <w:p w:rsidR="006439A9" w:rsidRPr="00F237BB" w:rsidRDefault="006439A9" w:rsidP="006439A9">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0F24B7" w:rsidRPr="00F237BB">
        <w:rPr>
          <w:rFonts w:ascii="Arial" w:hAnsi="Arial" w:cs="Arial"/>
          <w:noProof/>
          <w:sz w:val="22"/>
          <w:szCs w:val="22"/>
        </w:rPr>
        <w:t>11</w:t>
      </w:r>
      <w:r w:rsidR="00F237BB" w:rsidRPr="00F237BB">
        <w:rPr>
          <w:rFonts w:ascii="Arial" w:hAnsi="Arial" w:cs="Arial"/>
          <w:noProof/>
          <w:sz w:val="22"/>
          <w:szCs w:val="22"/>
        </w:rPr>
        <w:fldChar w:fldCharType="end"/>
      </w:r>
      <w:r w:rsidR="000F24B7" w:rsidRPr="00F237BB">
        <w:rPr>
          <w:rFonts w:ascii="Arial" w:hAnsi="Arial" w:cs="Arial"/>
          <w:sz w:val="22"/>
          <w:szCs w:val="22"/>
        </w:rPr>
        <w:t xml:space="preserve"> </w:t>
      </w:r>
      <w:r w:rsidRPr="00F237BB">
        <w:rPr>
          <w:rFonts w:ascii="Arial" w:hAnsi="Arial" w:cs="Arial"/>
          <w:sz w:val="22"/>
          <w:szCs w:val="22"/>
        </w:rPr>
        <w:t xml:space="preserve">– Índice de calidad </w:t>
      </w:r>
      <w:r w:rsidRPr="00F237BB">
        <w:rPr>
          <w:rFonts w:ascii="Arial" w:hAnsi="Arial" w:cs="Arial"/>
          <w:bCs w:val="0"/>
          <w:sz w:val="22"/>
          <w:szCs w:val="22"/>
          <w:lang w:val="es-ES_tradnl" w:eastAsia="es-ES_tradnl"/>
        </w:rPr>
        <w:t>y oportunidad de la información primaria</w:t>
      </w:r>
    </w:p>
    <w:tbl>
      <w:tblPr>
        <w:tblW w:w="8931" w:type="dxa"/>
        <w:tblInd w:w="637" w:type="dxa"/>
        <w:tblCellMar>
          <w:left w:w="70" w:type="dxa"/>
          <w:right w:w="70" w:type="dxa"/>
        </w:tblCellMar>
        <w:tblLook w:val="04A0" w:firstRow="1" w:lastRow="0" w:firstColumn="1" w:lastColumn="0" w:noHBand="0" w:noVBand="1"/>
      </w:tblPr>
      <w:tblGrid>
        <w:gridCol w:w="5245"/>
        <w:gridCol w:w="1155"/>
        <w:gridCol w:w="1418"/>
        <w:gridCol w:w="1134"/>
      </w:tblGrid>
      <w:tr w:rsidR="006439A9" w:rsidRPr="00F237BB" w:rsidTr="000E1099">
        <w:trPr>
          <w:trHeight w:val="255"/>
        </w:trPr>
        <w:tc>
          <w:tcPr>
            <w:tcW w:w="5245" w:type="dxa"/>
            <w:tcBorders>
              <w:top w:val="single" w:sz="4" w:space="0" w:color="auto"/>
              <w:left w:val="nil"/>
              <w:bottom w:val="single" w:sz="4" w:space="0" w:color="auto"/>
              <w:right w:val="nil"/>
            </w:tcBorders>
            <w:shd w:val="clear" w:color="auto" w:fill="auto"/>
            <w:noWrap/>
            <w:vAlign w:val="bottom"/>
            <w:hideMark/>
          </w:tcPr>
          <w:p w:rsidR="006439A9" w:rsidRPr="00F237BB" w:rsidRDefault="006439A9" w:rsidP="000E1099">
            <w:pPr>
              <w:rPr>
                <w:rFonts w:ascii="Arial" w:hAnsi="Arial" w:cs="Arial"/>
                <w:b/>
                <w:lang w:val="es-ES_tradnl" w:eastAsia="es-ES_tradnl"/>
              </w:rPr>
            </w:pPr>
            <w:r w:rsidRPr="00F237BB">
              <w:rPr>
                <w:rFonts w:ascii="Arial" w:hAnsi="Arial" w:cs="Arial"/>
                <w:b/>
                <w:lang w:val="es-ES_tradnl" w:eastAsia="es-ES_tradnl"/>
              </w:rPr>
              <w:t>Índice</w:t>
            </w:r>
          </w:p>
        </w:tc>
        <w:tc>
          <w:tcPr>
            <w:tcW w:w="1134" w:type="dxa"/>
            <w:tcBorders>
              <w:top w:val="single" w:sz="4" w:space="0" w:color="auto"/>
              <w:left w:val="nil"/>
              <w:bottom w:val="single" w:sz="4" w:space="0" w:color="auto"/>
              <w:right w:val="nil"/>
            </w:tcBorders>
            <w:shd w:val="clear" w:color="auto" w:fill="auto"/>
            <w:noWrap/>
            <w:vAlign w:val="center"/>
            <w:hideMark/>
          </w:tcPr>
          <w:p w:rsidR="006439A9" w:rsidRPr="00F237BB" w:rsidRDefault="006439A9" w:rsidP="000E1099">
            <w:pPr>
              <w:jc w:val="center"/>
              <w:rPr>
                <w:rFonts w:ascii="Arial" w:hAnsi="Arial" w:cs="Arial"/>
                <w:b/>
                <w:bCs/>
                <w:lang w:val="es-ES_tradnl" w:eastAsia="es-ES_tradnl"/>
              </w:rPr>
            </w:pPr>
            <w:r w:rsidRPr="00F237BB">
              <w:rPr>
                <w:rFonts w:ascii="Arial" w:hAnsi="Arial" w:cs="Arial"/>
                <w:b/>
                <w:bCs/>
                <w:lang w:val="es-ES_tradnl" w:eastAsia="es-ES_tradnl"/>
              </w:rPr>
              <w:t>A. Promedio</w:t>
            </w:r>
          </w:p>
        </w:tc>
        <w:tc>
          <w:tcPr>
            <w:tcW w:w="1418" w:type="dxa"/>
            <w:tcBorders>
              <w:top w:val="single" w:sz="4" w:space="0" w:color="auto"/>
              <w:left w:val="nil"/>
              <w:bottom w:val="single" w:sz="4" w:space="0" w:color="auto"/>
              <w:right w:val="nil"/>
            </w:tcBorders>
            <w:shd w:val="clear" w:color="auto" w:fill="auto"/>
            <w:noWrap/>
            <w:vAlign w:val="center"/>
            <w:hideMark/>
          </w:tcPr>
          <w:p w:rsidR="006439A9" w:rsidRPr="00F237BB" w:rsidRDefault="006439A9" w:rsidP="000E1099">
            <w:pPr>
              <w:jc w:val="center"/>
              <w:rPr>
                <w:rFonts w:ascii="Arial" w:hAnsi="Arial" w:cs="Arial"/>
                <w:b/>
                <w:bCs/>
                <w:lang w:val="es-ES_tradnl" w:eastAsia="es-ES_tradnl"/>
              </w:rPr>
            </w:pPr>
            <w:r w:rsidRPr="00F237BB">
              <w:rPr>
                <w:rFonts w:ascii="Arial" w:hAnsi="Arial" w:cs="Arial"/>
                <w:b/>
                <w:bCs/>
                <w:lang w:val="es-ES_tradnl" w:eastAsia="es-ES_tradnl"/>
              </w:rPr>
              <w:t>B. Desviación estándar</w:t>
            </w:r>
          </w:p>
        </w:tc>
        <w:tc>
          <w:tcPr>
            <w:tcW w:w="1134" w:type="dxa"/>
            <w:tcBorders>
              <w:top w:val="single" w:sz="4" w:space="0" w:color="auto"/>
              <w:left w:val="nil"/>
              <w:bottom w:val="single" w:sz="4" w:space="0" w:color="auto"/>
              <w:right w:val="nil"/>
            </w:tcBorders>
            <w:shd w:val="clear" w:color="auto" w:fill="auto"/>
            <w:noWrap/>
            <w:vAlign w:val="center"/>
            <w:hideMark/>
          </w:tcPr>
          <w:p w:rsidR="006439A9" w:rsidRPr="00F237BB" w:rsidRDefault="006439A9" w:rsidP="000E1099">
            <w:pPr>
              <w:jc w:val="center"/>
              <w:rPr>
                <w:rFonts w:ascii="Arial" w:hAnsi="Arial" w:cs="Arial"/>
                <w:b/>
                <w:bCs/>
                <w:lang w:val="es-ES_tradnl" w:eastAsia="es-ES_tradnl"/>
              </w:rPr>
            </w:pPr>
            <w:r w:rsidRPr="00F237BB">
              <w:rPr>
                <w:rFonts w:ascii="Arial" w:hAnsi="Arial" w:cs="Arial"/>
                <w:b/>
                <w:bCs/>
                <w:lang w:val="es-ES_tradnl" w:eastAsia="es-ES_tradnl"/>
              </w:rPr>
              <w:t>B/A (%)</w:t>
            </w:r>
          </w:p>
        </w:tc>
      </w:tr>
      <w:tr w:rsidR="000F24B7" w:rsidRPr="00F237BB" w:rsidTr="00C60E00">
        <w:trPr>
          <w:trHeight w:val="255"/>
        </w:trPr>
        <w:tc>
          <w:tcPr>
            <w:tcW w:w="5245" w:type="dxa"/>
            <w:tcBorders>
              <w:top w:val="nil"/>
              <w:left w:val="nil"/>
              <w:bottom w:val="single" w:sz="4" w:space="0" w:color="auto"/>
              <w:right w:val="nil"/>
            </w:tcBorders>
            <w:shd w:val="clear" w:color="auto" w:fill="auto"/>
            <w:noWrap/>
            <w:vAlign w:val="bottom"/>
            <w:hideMark/>
          </w:tcPr>
          <w:p w:rsidR="000F24B7" w:rsidRPr="00F237BB" w:rsidRDefault="000F24B7" w:rsidP="000E1099">
            <w:pPr>
              <w:rPr>
                <w:rFonts w:ascii="Arial" w:hAnsi="Arial" w:cs="Arial"/>
                <w:bCs/>
                <w:lang w:val="es-ES_tradnl" w:eastAsia="es-ES_tradnl"/>
              </w:rPr>
            </w:pPr>
            <w:r w:rsidRPr="00F237BB">
              <w:rPr>
                <w:rFonts w:ascii="Arial" w:hAnsi="Arial" w:cs="Arial"/>
                <w:bCs/>
                <w:lang w:val="es-ES_tradnl" w:eastAsia="es-ES_tradnl"/>
              </w:rPr>
              <w:t>Calidad y oportunidad de la información primaria</w:t>
            </w:r>
          </w:p>
        </w:tc>
        <w:tc>
          <w:tcPr>
            <w:tcW w:w="1134" w:type="dxa"/>
            <w:tcBorders>
              <w:top w:val="nil"/>
              <w:left w:val="nil"/>
              <w:bottom w:val="single" w:sz="4" w:space="0" w:color="auto"/>
              <w:right w:val="nil"/>
            </w:tcBorders>
            <w:shd w:val="clear" w:color="auto" w:fill="auto"/>
            <w:noWrap/>
            <w:hideMark/>
          </w:tcPr>
          <w:p w:rsidR="000F24B7" w:rsidRPr="00F237BB" w:rsidRDefault="000F24B7" w:rsidP="00FB3976">
            <w:pPr>
              <w:ind w:right="113"/>
              <w:jc w:val="right"/>
              <w:rPr>
                <w:rFonts w:ascii="Arial" w:hAnsi="Arial" w:cs="Arial"/>
                <w:lang w:val="es-ES_tradnl" w:eastAsia="es-ES_tradnl"/>
              </w:rPr>
            </w:pPr>
            <w:r w:rsidRPr="00F237BB">
              <w:rPr>
                <w:rFonts w:ascii="Arial" w:hAnsi="Arial" w:cs="Arial"/>
              </w:rPr>
              <w:t>6</w:t>
            </w:r>
            <w:r w:rsidR="002A293A" w:rsidRPr="00F237BB">
              <w:rPr>
                <w:rFonts w:ascii="Arial" w:hAnsi="Arial" w:cs="Arial"/>
              </w:rPr>
              <w:t>,</w:t>
            </w:r>
            <w:r w:rsidRPr="00F237BB">
              <w:rPr>
                <w:rFonts w:ascii="Arial" w:hAnsi="Arial" w:cs="Arial"/>
              </w:rPr>
              <w:t>92</w:t>
            </w:r>
          </w:p>
        </w:tc>
        <w:tc>
          <w:tcPr>
            <w:tcW w:w="1418" w:type="dxa"/>
            <w:tcBorders>
              <w:top w:val="nil"/>
              <w:left w:val="nil"/>
              <w:bottom w:val="single" w:sz="4" w:space="0" w:color="auto"/>
              <w:right w:val="nil"/>
            </w:tcBorders>
            <w:shd w:val="clear" w:color="auto" w:fill="auto"/>
            <w:noWrap/>
            <w:hideMark/>
          </w:tcPr>
          <w:p w:rsidR="000F24B7" w:rsidRPr="00F237BB" w:rsidRDefault="000F24B7" w:rsidP="00FB3976">
            <w:pPr>
              <w:ind w:right="287"/>
              <w:jc w:val="right"/>
              <w:rPr>
                <w:rFonts w:ascii="Arial" w:hAnsi="Arial" w:cs="Arial"/>
                <w:lang w:val="es-ES_tradnl" w:eastAsia="es-ES_tradnl"/>
              </w:rPr>
            </w:pPr>
            <w:r w:rsidRPr="00F237BB">
              <w:rPr>
                <w:rFonts w:ascii="Arial" w:hAnsi="Arial" w:cs="Arial"/>
              </w:rPr>
              <w:t>1</w:t>
            </w:r>
            <w:r w:rsidR="002A293A" w:rsidRPr="00F237BB">
              <w:rPr>
                <w:rFonts w:ascii="Arial" w:hAnsi="Arial" w:cs="Arial"/>
              </w:rPr>
              <w:t>,</w:t>
            </w:r>
            <w:r w:rsidRPr="00F237BB">
              <w:rPr>
                <w:rFonts w:ascii="Arial" w:hAnsi="Arial" w:cs="Arial"/>
              </w:rPr>
              <w:t>98</w:t>
            </w:r>
          </w:p>
        </w:tc>
        <w:tc>
          <w:tcPr>
            <w:tcW w:w="1134" w:type="dxa"/>
            <w:tcBorders>
              <w:top w:val="nil"/>
              <w:left w:val="nil"/>
              <w:bottom w:val="single" w:sz="4" w:space="0" w:color="auto"/>
              <w:right w:val="nil"/>
            </w:tcBorders>
            <w:shd w:val="clear" w:color="auto" w:fill="auto"/>
            <w:noWrap/>
            <w:hideMark/>
          </w:tcPr>
          <w:p w:rsidR="000F24B7" w:rsidRPr="00F237BB" w:rsidRDefault="000F24B7" w:rsidP="00FB3976">
            <w:pPr>
              <w:ind w:right="113"/>
              <w:jc w:val="right"/>
              <w:rPr>
                <w:rFonts w:ascii="Arial" w:hAnsi="Arial" w:cs="Arial"/>
                <w:lang w:val="es-ES_tradnl" w:eastAsia="es-ES_tradnl"/>
              </w:rPr>
            </w:pPr>
            <w:r w:rsidRPr="00F237BB">
              <w:rPr>
                <w:rFonts w:ascii="Arial" w:hAnsi="Arial" w:cs="Arial"/>
              </w:rPr>
              <w:t>28</w:t>
            </w:r>
            <w:r w:rsidR="002A293A" w:rsidRPr="00F237BB">
              <w:rPr>
                <w:rFonts w:ascii="Arial" w:hAnsi="Arial" w:cs="Arial"/>
              </w:rPr>
              <w:t>,</w:t>
            </w:r>
            <w:r w:rsidRPr="00F237BB">
              <w:rPr>
                <w:rFonts w:ascii="Arial" w:hAnsi="Arial" w:cs="Arial"/>
              </w:rPr>
              <w:t>7%</w:t>
            </w:r>
          </w:p>
        </w:tc>
      </w:tr>
    </w:tbl>
    <w:p w:rsidR="006439A9" w:rsidRPr="00F237BB" w:rsidRDefault="006439A9" w:rsidP="006439A9">
      <w:pPr>
        <w:ind w:left="737"/>
        <w:rPr>
          <w:rFonts w:ascii="Arial" w:hAnsi="Arial" w:cs="Arial"/>
        </w:rPr>
      </w:pPr>
      <w:r w:rsidRPr="00F237BB">
        <w:rPr>
          <w:rFonts w:ascii="Arial" w:hAnsi="Arial" w:cs="Arial"/>
        </w:rPr>
        <w:t>Fuente: Elaboración propia con datos de la aplicación de la metodología ICEPE.</w:t>
      </w:r>
    </w:p>
    <w:p w:rsidR="00C17101" w:rsidRPr="00F237BB" w:rsidRDefault="00C17101" w:rsidP="00C61C3D">
      <w:pPr>
        <w:rPr>
          <w:rFonts w:ascii="Arial" w:hAnsi="Arial" w:cs="Arial"/>
        </w:rPr>
      </w:pPr>
    </w:p>
    <w:p w:rsidR="004D6FB1" w:rsidRPr="00F237BB" w:rsidRDefault="004D6FB1" w:rsidP="004D6FB1">
      <w:pPr>
        <w:pStyle w:val="ListParagraph"/>
        <w:numPr>
          <w:ilvl w:val="0"/>
          <w:numId w:val="14"/>
        </w:numPr>
        <w:ind w:left="567" w:hanging="567"/>
        <w:rPr>
          <w:rFonts w:ascii="Arial" w:hAnsi="Arial" w:cs="Arial"/>
          <w:lang w:val="es-ES_tradnl"/>
        </w:rPr>
      </w:pPr>
      <w:r w:rsidRPr="00F237BB">
        <w:rPr>
          <w:rFonts w:ascii="Arial" w:hAnsi="Arial" w:cs="Arial"/>
        </w:rPr>
        <w:t xml:space="preserve">El segundo indicador </w:t>
      </w:r>
      <w:r w:rsidR="002A293A" w:rsidRPr="00F237BB">
        <w:rPr>
          <w:rFonts w:ascii="Arial" w:hAnsi="Arial" w:cs="Arial"/>
        </w:rPr>
        <w:t xml:space="preserve">también </w:t>
      </w:r>
      <w:r w:rsidRPr="00F237BB">
        <w:rPr>
          <w:rFonts w:ascii="Arial" w:hAnsi="Arial" w:cs="Arial"/>
        </w:rPr>
        <w:t>pertenece a la familia de los ICEPE</w:t>
      </w:r>
      <w:r w:rsidR="002A293A" w:rsidRPr="00F237BB">
        <w:rPr>
          <w:rFonts w:ascii="Arial" w:hAnsi="Arial" w:cs="Arial"/>
        </w:rPr>
        <w:t>, y es el</w:t>
      </w:r>
      <w:r w:rsidRPr="00F237BB">
        <w:rPr>
          <w:rFonts w:ascii="Arial" w:hAnsi="Arial" w:cs="Arial"/>
        </w:rPr>
        <w:t xml:space="preserve"> </w:t>
      </w:r>
      <w:r w:rsidRPr="00F237BB">
        <w:rPr>
          <w:rFonts w:ascii="Arial" w:hAnsi="Arial" w:cs="Arial"/>
          <w:i/>
        </w:rPr>
        <w:t>índice de calidad del procesamiento de la información económica</w:t>
      </w:r>
      <w:r w:rsidRPr="00F237BB">
        <w:rPr>
          <w:rFonts w:ascii="Arial" w:hAnsi="Arial" w:cs="Arial"/>
        </w:rPr>
        <w:t>, que valora la captura, organización y almacenamiento de información de base. Alcanza un valor promedio de 4,</w:t>
      </w:r>
      <w:r w:rsidR="002A293A" w:rsidRPr="00F237BB">
        <w:rPr>
          <w:rFonts w:ascii="Arial" w:hAnsi="Arial" w:cs="Arial"/>
        </w:rPr>
        <w:t xml:space="preserve">88 </w:t>
      </w:r>
      <w:r w:rsidRPr="00F237BB">
        <w:rPr>
          <w:rFonts w:ascii="Arial" w:hAnsi="Arial" w:cs="Arial"/>
        </w:rPr>
        <w:t xml:space="preserve">en las áreas de la </w:t>
      </w:r>
      <w:proofErr w:type="spellStart"/>
      <w:r w:rsidRPr="00F237BB">
        <w:rPr>
          <w:rFonts w:ascii="Arial" w:hAnsi="Arial" w:cs="Arial"/>
        </w:rPr>
        <w:t>SPE</w:t>
      </w:r>
      <w:r w:rsidR="002A293A" w:rsidRPr="00F237BB">
        <w:rPr>
          <w:rFonts w:ascii="Arial" w:hAnsi="Arial" w:cs="Arial"/>
        </w:rPr>
        <w:t>yPD</w:t>
      </w:r>
      <w:proofErr w:type="spellEnd"/>
      <w:r w:rsidRPr="00F237BB">
        <w:rPr>
          <w:rFonts w:ascii="Arial" w:hAnsi="Arial" w:cs="Arial"/>
        </w:rPr>
        <w:t xml:space="preserve">, sobre un total de 10, mostrando una calidad intermedia de dicho procesamiento (ver cuadro </w:t>
      </w:r>
      <w:r w:rsidR="002A293A" w:rsidRPr="00F237BB">
        <w:rPr>
          <w:rFonts w:ascii="Arial" w:hAnsi="Arial" w:cs="Arial"/>
        </w:rPr>
        <w:t>12</w:t>
      </w:r>
      <w:r w:rsidRPr="00F237BB">
        <w:rPr>
          <w:rFonts w:ascii="Arial" w:hAnsi="Arial" w:cs="Arial"/>
        </w:rPr>
        <w:t xml:space="preserve">). La relación desviación estándar sobre el valor promedio es del </w:t>
      </w:r>
      <w:r w:rsidR="002A293A" w:rsidRPr="00F237BB">
        <w:rPr>
          <w:rFonts w:ascii="Arial" w:hAnsi="Arial" w:cs="Arial"/>
        </w:rPr>
        <w:t>32</w:t>
      </w:r>
      <w:r w:rsidRPr="00F237BB">
        <w:rPr>
          <w:rFonts w:ascii="Arial" w:hAnsi="Arial" w:cs="Arial"/>
        </w:rPr>
        <w:t>,</w:t>
      </w:r>
      <w:r w:rsidR="002A293A" w:rsidRPr="00F237BB">
        <w:rPr>
          <w:rFonts w:ascii="Arial" w:hAnsi="Arial" w:cs="Arial"/>
        </w:rPr>
        <w:t>3</w:t>
      </w:r>
      <w:r w:rsidRPr="00F237BB">
        <w:rPr>
          <w:rFonts w:ascii="Arial" w:hAnsi="Arial" w:cs="Arial"/>
        </w:rPr>
        <w:t>%.</w:t>
      </w:r>
    </w:p>
    <w:p w:rsidR="004D6FB1" w:rsidRPr="00F237BB" w:rsidRDefault="004D6FB1" w:rsidP="004D6FB1">
      <w:pPr>
        <w:pStyle w:val="ListParagraph"/>
        <w:ind w:left="567"/>
        <w:rPr>
          <w:rFonts w:ascii="Arial" w:hAnsi="Arial" w:cs="Arial"/>
          <w:lang w:val="es-ES_tradnl"/>
        </w:rPr>
      </w:pPr>
    </w:p>
    <w:p w:rsidR="004D6FB1" w:rsidRPr="00F237BB" w:rsidRDefault="004D6FB1" w:rsidP="004D6FB1">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8F5B03" w:rsidRPr="00F237BB">
        <w:rPr>
          <w:rFonts w:ascii="Arial" w:hAnsi="Arial" w:cs="Arial"/>
          <w:sz w:val="22"/>
          <w:szCs w:val="22"/>
        </w:rPr>
        <w:fldChar w:fldCharType="begin"/>
      </w:r>
      <w:r w:rsidRPr="00F237BB">
        <w:rPr>
          <w:rFonts w:ascii="Arial" w:hAnsi="Arial" w:cs="Arial"/>
          <w:sz w:val="22"/>
          <w:szCs w:val="22"/>
        </w:rPr>
        <w:instrText xml:space="preserve"> SEQ Cuadro \* ARABIC </w:instrText>
      </w:r>
      <w:r w:rsidR="008F5B03" w:rsidRPr="00F237BB">
        <w:rPr>
          <w:rFonts w:ascii="Arial" w:hAnsi="Arial" w:cs="Arial"/>
          <w:sz w:val="22"/>
          <w:szCs w:val="22"/>
        </w:rPr>
        <w:fldChar w:fldCharType="separate"/>
      </w:r>
      <w:r w:rsidRPr="00F237BB">
        <w:rPr>
          <w:rFonts w:ascii="Arial" w:hAnsi="Arial" w:cs="Arial"/>
          <w:noProof/>
          <w:sz w:val="22"/>
          <w:szCs w:val="22"/>
        </w:rPr>
        <w:t>1</w:t>
      </w:r>
      <w:r w:rsidR="000F24B7" w:rsidRPr="00F237BB">
        <w:rPr>
          <w:rFonts w:ascii="Arial" w:hAnsi="Arial" w:cs="Arial"/>
          <w:noProof/>
          <w:sz w:val="22"/>
          <w:szCs w:val="22"/>
        </w:rPr>
        <w:t>2</w:t>
      </w:r>
      <w:r w:rsidR="008F5B03" w:rsidRPr="00F237BB">
        <w:rPr>
          <w:rFonts w:ascii="Arial" w:hAnsi="Arial" w:cs="Arial"/>
          <w:noProof/>
          <w:sz w:val="22"/>
          <w:szCs w:val="22"/>
        </w:rPr>
        <w:fldChar w:fldCharType="end"/>
      </w:r>
      <w:r w:rsidRPr="00F237BB">
        <w:rPr>
          <w:rFonts w:ascii="Arial" w:hAnsi="Arial" w:cs="Arial"/>
          <w:sz w:val="22"/>
          <w:szCs w:val="22"/>
        </w:rPr>
        <w:t xml:space="preserve"> – Índice de calidad de procesamiento de la información</w:t>
      </w:r>
    </w:p>
    <w:tbl>
      <w:tblPr>
        <w:tblW w:w="8931" w:type="dxa"/>
        <w:tblInd w:w="637" w:type="dxa"/>
        <w:tblCellMar>
          <w:left w:w="70" w:type="dxa"/>
          <w:right w:w="70" w:type="dxa"/>
        </w:tblCellMar>
        <w:tblLook w:val="04A0" w:firstRow="1" w:lastRow="0" w:firstColumn="1" w:lastColumn="0" w:noHBand="0" w:noVBand="1"/>
      </w:tblPr>
      <w:tblGrid>
        <w:gridCol w:w="5245"/>
        <w:gridCol w:w="1155"/>
        <w:gridCol w:w="1418"/>
        <w:gridCol w:w="1134"/>
      </w:tblGrid>
      <w:tr w:rsidR="004D6FB1" w:rsidRPr="00F237BB" w:rsidTr="00483576">
        <w:trPr>
          <w:trHeight w:val="255"/>
        </w:trPr>
        <w:tc>
          <w:tcPr>
            <w:tcW w:w="5245" w:type="dxa"/>
            <w:tcBorders>
              <w:top w:val="single" w:sz="4" w:space="0" w:color="auto"/>
              <w:left w:val="nil"/>
              <w:bottom w:val="single" w:sz="4" w:space="0" w:color="auto"/>
              <w:right w:val="nil"/>
            </w:tcBorders>
            <w:shd w:val="clear" w:color="auto" w:fill="auto"/>
            <w:noWrap/>
            <w:vAlign w:val="bottom"/>
            <w:hideMark/>
          </w:tcPr>
          <w:p w:rsidR="004D6FB1" w:rsidRPr="00F237BB" w:rsidRDefault="004D6FB1" w:rsidP="00483576">
            <w:pPr>
              <w:rPr>
                <w:rFonts w:ascii="Arial" w:hAnsi="Arial" w:cs="Arial"/>
                <w:b/>
                <w:lang w:val="es-ES_tradnl" w:eastAsia="es-ES_tradnl"/>
              </w:rPr>
            </w:pPr>
            <w:r w:rsidRPr="00F237BB">
              <w:rPr>
                <w:rFonts w:ascii="Arial" w:hAnsi="Arial" w:cs="Arial"/>
                <w:b/>
                <w:lang w:val="es-ES_tradnl" w:eastAsia="es-ES_tradnl"/>
              </w:rPr>
              <w:t>Índice</w:t>
            </w:r>
          </w:p>
        </w:tc>
        <w:tc>
          <w:tcPr>
            <w:tcW w:w="1134" w:type="dxa"/>
            <w:tcBorders>
              <w:top w:val="single" w:sz="4" w:space="0" w:color="auto"/>
              <w:left w:val="nil"/>
              <w:bottom w:val="single" w:sz="4" w:space="0" w:color="auto"/>
              <w:right w:val="nil"/>
            </w:tcBorders>
            <w:shd w:val="clear" w:color="auto" w:fill="auto"/>
            <w:noWrap/>
            <w:vAlign w:val="center"/>
            <w:hideMark/>
          </w:tcPr>
          <w:p w:rsidR="004D6FB1" w:rsidRPr="00F237BB" w:rsidRDefault="004D6FB1" w:rsidP="00483576">
            <w:pPr>
              <w:jc w:val="center"/>
              <w:rPr>
                <w:rFonts w:ascii="Arial" w:hAnsi="Arial" w:cs="Arial"/>
                <w:b/>
                <w:bCs/>
                <w:lang w:val="es-ES_tradnl" w:eastAsia="es-ES_tradnl"/>
              </w:rPr>
            </w:pPr>
            <w:r w:rsidRPr="00F237BB">
              <w:rPr>
                <w:rFonts w:ascii="Arial" w:hAnsi="Arial" w:cs="Arial"/>
                <w:b/>
                <w:bCs/>
                <w:lang w:val="es-ES_tradnl" w:eastAsia="es-ES_tradnl"/>
              </w:rPr>
              <w:t>A. Promedio</w:t>
            </w:r>
          </w:p>
        </w:tc>
        <w:tc>
          <w:tcPr>
            <w:tcW w:w="1418" w:type="dxa"/>
            <w:tcBorders>
              <w:top w:val="single" w:sz="4" w:space="0" w:color="auto"/>
              <w:left w:val="nil"/>
              <w:bottom w:val="single" w:sz="4" w:space="0" w:color="auto"/>
              <w:right w:val="nil"/>
            </w:tcBorders>
            <w:shd w:val="clear" w:color="auto" w:fill="auto"/>
            <w:noWrap/>
            <w:vAlign w:val="center"/>
            <w:hideMark/>
          </w:tcPr>
          <w:p w:rsidR="004D6FB1" w:rsidRPr="00F237BB" w:rsidRDefault="004D6FB1" w:rsidP="00483576">
            <w:pPr>
              <w:jc w:val="center"/>
              <w:rPr>
                <w:rFonts w:ascii="Arial" w:hAnsi="Arial" w:cs="Arial"/>
                <w:b/>
                <w:bCs/>
                <w:lang w:val="es-ES_tradnl" w:eastAsia="es-ES_tradnl"/>
              </w:rPr>
            </w:pPr>
            <w:r w:rsidRPr="00F237BB">
              <w:rPr>
                <w:rFonts w:ascii="Arial" w:hAnsi="Arial" w:cs="Arial"/>
                <w:b/>
                <w:bCs/>
                <w:lang w:val="es-ES_tradnl" w:eastAsia="es-ES_tradnl"/>
              </w:rPr>
              <w:t>B. Desviación estándar</w:t>
            </w:r>
          </w:p>
        </w:tc>
        <w:tc>
          <w:tcPr>
            <w:tcW w:w="1134" w:type="dxa"/>
            <w:tcBorders>
              <w:top w:val="single" w:sz="4" w:space="0" w:color="auto"/>
              <w:left w:val="nil"/>
              <w:bottom w:val="single" w:sz="4" w:space="0" w:color="auto"/>
              <w:right w:val="nil"/>
            </w:tcBorders>
            <w:shd w:val="clear" w:color="auto" w:fill="auto"/>
            <w:noWrap/>
            <w:vAlign w:val="center"/>
            <w:hideMark/>
          </w:tcPr>
          <w:p w:rsidR="004D6FB1" w:rsidRPr="00F237BB" w:rsidRDefault="004D6FB1" w:rsidP="00483576">
            <w:pPr>
              <w:jc w:val="center"/>
              <w:rPr>
                <w:rFonts w:ascii="Arial" w:hAnsi="Arial" w:cs="Arial"/>
                <w:b/>
                <w:bCs/>
                <w:lang w:val="es-ES_tradnl" w:eastAsia="es-ES_tradnl"/>
              </w:rPr>
            </w:pPr>
            <w:r w:rsidRPr="00F237BB">
              <w:rPr>
                <w:rFonts w:ascii="Arial" w:hAnsi="Arial" w:cs="Arial"/>
                <w:b/>
                <w:bCs/>
                <w:lang w:val="es-ES_tradnl" w:eastAsia="es-ES_tradnl"/>
              </w:rPr>
              <w:t>B/A (%)</w:t>
            </w:r>
          </w:p>
        </w:tc>
      </w:tr>
      <w:tr w:rsidR="002A293A" w:rsidRPr="00F237BB" w:rsidTr="00C60E00">
        <w:trPr>
          <w:trHeight w:val="255"/>
        </w:trPr>
        <w:tc>
          <w:tcPr>
            <w:tcW w:w="5245" w:type="dxa"/>
            <w:tcBorders>
              <w:top w:val="nil"/>
              <w:left w:val="nil"/>
              <w:bottom w:val="single" w:sz="4" w:space="0" w:color="auto"/>
              <w:right w:val="nil"/>
            </w:tcBorders>
            <w:shd w:val="clear" w:color="auto" w:fill="auto"/>
            <w:noWrap/>
            <w:vAlign w:val="bottom"/>
            <w:hideMark/>
          </w:tcPr>
          <w:p w:rsidR="002A293A" w:rsidRPr="00F237BB" w:rsidRDefault="002A293A" w:rsidP="00483576">
            <w:pPr>
              <w:rPr>
                <w:rFonts w:ascii="Arial" w:hAnsi="Arial" w:cs="Arial"/>
                <w:bCs/>
                <w:lang w:val="es-ES_tradnl" w:eastAsia="es-ES_tradnl"/>
              </w:rPr>
            </w:pPr>
            <w:r w:rsidRPr="00F237BB">
              <w:rPr>
                <w:rFonts w:ascii="Arial" w:hAnsi="Arial" w:cs="Arial"/>
                <w:bCs/>
                <w:lang w:val="es-ES_tradnl" w:eastAsia="es-ES_tradnl"/>
              </w:rPr>
              <w:t>Calidad del procesamiento de la información económica</w:t>
            </w:r>
          </w:p>
        </w:tc>
        <w:tc>
          <w:tcPr>
            <w:tcW w:w="1134" w:type="dxa"/>
            <w:tcBorders>
              <w:top w:val="nil"/>
              <w:left w:val="nil"/>
              <w:bottom w:val="single" w:sz="4" w:space="0" w:color="auto"/>
              <w:right w:val="nil"/>
            </w:tcBorders>
            <w:shd w:val="clear" w:color="auto" w:fill="auto"/>
            <w:noWrap/>
            <w:hideMark/>
          </w:tcPr>
          <w:p w:rsidR="002A293A" w:rsidRPr="00F237BB" w:rsidRDefault="002A293A" w:rsidP="00FB3976">
            <w:pPr>
              <w:ind w:right="113"/>
              <w:jc w:val="right"/>
              <w:rPr>
                <w:rFonts w:ascii="Arial" w:hAnsi="Arial" w:cs="Arial"/>
                <w:lang w:val="es-ES_tradnl" w:eastAsia="es-ES_tradnl"/>
              </w:rPr>
            </w:pPr>
            <w:r w:rsidRPr="00F237BB">
              <w:rPr>
                <w:rFonts w:ascii="Arial" w:hAnsi="Arial" w:cs="Arial"/>
              </w:rPr>
              <w:t>4,88</w:t>
            </w:r>
          </w:p>
        </w:tc>
        <w:tc>
          <w:tcPr>
            <w:tcW w:w="1418" w:type="dxa"/>
            <w:tcBorders>
              <w:top w:val="nil"/>
              <w:left w:val="nil"/>
              <w:bottom w:val="single" w:sz="4" w:space="0" w:color="auto"/>
              <w:right w:val="nil"/>
            </w:tcBorders>
            <w:shd w:val="clear" w:color="auto" w:fill="auto"/>
            <w:noWrap/>
            <w:hideMark/>
          </w:tcPr>
          <w:p w:rsidR="002A293A" w:rsidRPr="00F237BB" w:rsidRDefault="002A293A" w:rsidP="00FB3976">
            <w:pPr>
              <w:ind w:right="287"/>
              <w:jc w:val="right"/>
              <w:rPr>
                <w:rFonts w:ascii="Arial" w:hAnsi="Arial" w:cs="Arial"/>
                <w:lang w:val="es-ES_tradnl" w:eastAsia="es-ES_tradnl"/>
              </w:rPr>
            </w:pPr>
            <w:r w:rsidRPr="00F237BB">
              <w:rPr>
                <w:rFonts w:ascii="Arial" w:hAnsi="Arial" w:cs="Arial"/>
              </w:rPr>
              <w:t>1,58</w:t>
            </w:r>
          </w:p>
        </w:tc>
        <w:tc>
          <w:tcPr>
            <w:tcW w:w="1134" w:type="dxa"/>
            <w:tcBorders>
              <w:top w:val="nil"/>
              <w:left w:val="nil"/>
              <w:bottom w:val="single" w:sz="4" w:space="0" w:color="auto"/>
              <w:right w:val="nil"/>
            </w:tcBorders>
            <w:shd w:val="clear" w:color="auto" w:fill="auto"/>
            <w:noWrap/>
            <w:hideMark/>
          </w:tcPr>
          <w:p w:rsidR="002A293A" w:rsidRPr="00F237BB" w:rsidRDefault="002A293A" w:rsidP="00FB3976">
            <w:pPr>
              <w:ind w:right="113"/>
              <w:jc w:val="right"/>
              <w:rPr>
                <w:rFonts w:ascii="Arial" w:hAnsi="Arial" w:cs="Arial"/>
                <w:lang w:val="es-ES_tradnl" w:eastAsia="es-ES_tradnl"/>
              </w:rPr>
            </w:pPr>
            <w:r w:rsidRPr="00F237BB">
              <w:rPr>
                <w:rFonts w:ascii="Arial" w:hAnsi="Arial" w:cs="Arial"/>
              </w:rPr>
              <w:t>32,3%</w:t>
            </w:r>
          </w:p>
        </w:tc>
      </w:tr>
    </w:tbl>
    <w:p w:rsidR="004D6FB1" w:rsidRPr="00F237BB" w:rsidRDefault="004D6FB1" w:rsidP="004D6FB1">
      <w:pPr>
        <w:ind w:left="737"/>
        <w:rPr>
          <w:rFonts w:ascii="Arial" w:hAnsi="Arial" w:cs="Arial"/>
        </w:rPr>
      </w:pPr>
      <w:r w:rsidRPr="00F237BB">
        <w:rPr>
          <w:rFonts w:ascii="Arial" w:hAnsi="Arial" w:cs="Arial"/>
        </w:rPr>
        <w:t>Fuente: Elaboración propia con datos de la aplicación de la metodología ICEPE.</w:t>
      </w:r>
    </w:p>
    <w:p w:rsidR="004D6FB1" w:rsidRPr="00F237BB" w:rsidRDefault="004D6FB1" w:rsidP="004D6FB1">
      <w:pPr>
        <w:rPr>
          <w:rFonts w:ascii="Arial" w:hAnsi="Arial" w:cs="Arial"/>
        </w:rPr>
      </w:pPr>
    </w:p>
    <w:p w:rsidR="00C61C3D" w:rsidRPr="00F237BB" w:rsidRDefault="006439A9" w:rsidP="00C61C3D">
      <w:pPr>
        <w:pStyle w:val="ListParagraph"/>
        <w:numPr>
          <w:ilvl w:val="0"/>
          <w:numId w:val="14"/>
        </w:numPr>
        <w:ind w:left="567" w:hanging="567"/>
        <w:rPr>
          <w:rFonts w:ascii="Arial" w:hAnsi="Arial" w:cs="Arial"/>
        </w:rPr>
      </w:pPr>
      <w:r w:rsidRPr="00F237BB">
        <w:rPr>
          <w:rFonts w:ascii="Arial" w:hAnsi="Arial" w:cs="Arial"/>
        </w:rPr>
        <w:t xml:space="preserve">El </w:t>
      </w:r>
      <w:r w:rsidR="004D6FB1" w:rsidRPr="00F237BB">
        <w:rPr>
          <w:rFonts w:ascii="Arial" w:hAnsi="Arial" w:cs="Arial"/>
        </w:rPr>
        <w:t>tercer</w:t>
      </w:r>
      <w:r w:rsidR="00C61C3D" w:rsidRPr="00F237BB">
        <w:rPr>
          <w:rFonts w:ascii="Arial" w:hAnsi="Arial" w:cs="Arial"/>
        </w:rPr>
        <w:t xml:space="preserve"> indicador consiste en la existencia de una herramienta, sistema o procedimiento que permita un seguimiento del flujo de productos generados por las unidades de la </w:t>
      </w:r>
      <w:proofErr w:type="spellStart"/>
      <w:r w:rsidR="00C61C3D" w:rsidRPr="00F237BB">
        <w:rPr>
          <w:rFonts w:ascii="Arial" w:hAnsi="Arial" w:cs="Arial"/>
        </w:rPr>
        <w:t>SPE</w:t>
      </w:r>
      <w:r w:rsidR="002A293A" w:rsidRPr="00F237BB">
        <w:rPr>
          <w:rFonts w:ascii="Arial" w:hAnsi="Arial" w:cs="Arial"/>
        </w:rPr>
        <w:t>yPD</w:t>
      </w:r>
      <w:proofErr w:type="spellEnd"/>
      <w:r w:rsidR="00C61C3D" w:rsidRPr="00F237BB">
        <w:rPr>
          <w:rFonts w:ascii="Arial" w:hAnsi="Arial" w:cs="Arial"/>
        </w:rPr>
        <w:t xml:space="preserve">, en cuanto que ello permitiría a los directivos del </w:t>
      </w:r>
      <w:proofErr w:type="spellStart"/>
      <w:r w:rsidR="00F86B3F" w:rsidRPr="00F237BB">
        <w:rPr>
          <w:rFonts w:ascii="Arial" w:hAnsi="Arial" w:cs="Arial"/>
        </w:rPr>
        <w:t>MH</w:t>
      </w:r>
      <w:r w:rsidR="0060117A" w:rsidRPr="00F237BB">
        <w:rPr>
          <w:rFonts w:ascii="Arial" w:hAnsi="Arial" w:cs="Arial"/>
        </w:rPr>
        <w:t>y</w:t>
      </w:r>
      <w:r w:rsidR="00F86B3F" w:rsidRPr="00F237BB">
        <w:rPr>
          <w:rFonts w:ascii="Arial" w:hAnsi="Arial" w:cs="Arial"/>
        </w:rPr>
        <w:t>FP</w:t>
      </w:r>
      <w:proofErr w:type="spellEnd"/>
      <w:r w:rsidR="00C61C3D" w:rsidRPr="00F237BB">
        <w:rPr>
          <w:rFonts w:ascii="Arial" w:hAnsi="Arial" w:cs="Arial"/>
        </w:rPr>
        <w:t xml:space="preserve"> controlar la oportunidad con que son elaborados y entregados los productos requeridos para la toma de decisiones. Al respecto, el cuadro </w:t>
      </w:r>
      <w:r w:rsidR="002A293A" w:rsidRPr="00F237BB">
        <w:rPr>
          <w:rFonts w:ascii="Arial" w:hAnsi="Arial" w:cs="Arial"/>
        </w:rPr>
        <w:t xml:space="preserve">13 </w:t>
      </w:r>
      <w:r w:rsidR="00C61C3D" w:rsidRPr="00F237BB">
        <w:rPr>
          <w:rFonts w:ascii="Arial" w:hAnsi="Arial" w:cs="Arial"/>
        </w:rPr>
        <w:t xml:space="preserve">muestra que de las </w:t>
      </w:r>
      <w:r w:rsidR="002A293A" w:rsidRPr="00F237BB">
        <w:rPr>
          <w:rFonts w:ascii="Arial" w:hAnsi="Arial" w:cs="Arial"/>
        </w:rPr>
        <w:t xml:space="preserve">dos </w:t>
      </w:r>
      <w:r w:rsidR="00C61C3D" w:rsidRPr="00F237BB">
        <w:rPr>
          <w:rFonts w:ascii="Arial" w:hAnsi="Arial" w:cs="Arial"/>
        </w:rPr>
        <w:t xml:space="preserve">unidades </w:t>
      </w:r>
      <w:r w:rsidR="002A293A" w:rsidRPr="00F237BB">
        <w:rPr>
          <w:rFonts w:ascii="Arial" w:hAnsi="Arial" w:cs="Arial"/>
        </w:rPr>
        <w:t xml:space="preserve">con las que se cuenta información, en ninguna de ellas </w:t>
      </w:r>
      <w:r w:rsidR="00C61C3D" w:rsidRPr="00F237BB">
        <w:rPr>
          <w:rFonts w:ascii="Arial" w:hAnsi="Arial" w:cs="Arial"/>
        </w:rPr>
        <w:t xml:space="preserve">existe una herramienta de seguimiento </w:t>
      </w:r>
      <w:r w:rsidR="002A293A" w:rsidRPr="00F237BB">
        <w:rPr>
          <w:rFonts w:ascii="Arial" w:hAnsi="Arial" w:cs="Arial"/>
        </w:rPr>
        <w:t>de los productos</w:t>
      </w:r>
      <w:r w:rsidR="00C61C3D" w:rsidRPr="00F237BB">
        <w:rPr>
          <w:rFonts w:ascii="Arial" w:hAnsi="Arial" w:cs="Arial"/>
        </w:rPr>
        <w:t xml:space="preserve">. </w:t>
      </w:r>
    </w:p>
    <w:p w:rsidR="005918B4" w:rsidRPr="00F237BB" w:rsidRDefault="005918B4" w:rsidP="00C60E00">
      <w:pPr>
        <w:rPr>
          <w:rFonts w:ascii="Arial" w:hAnsi="Arial" w:cs="Arial"/>
        </w:rPr>
      </w:pPr>
    </w:p>
    <w:p w:rsidR="005918B4" w:rsidRPr="00F237BB" w:rsidRDefault="005918B4" w:rsidP="00C60E00">
      <w:pPr>
        <w:rPr>
          <w:rFonts w:ascii="Arial" w:hAnsi="Arial" w:cs="Arial"/>
        </w:rPr>
      </w:pPr>
    </w:p>
    <w:p w:rsidR="002D2C0C" w:rsidRPr="00F237BB" w:rsidRDefault="002D2C0C" w:rsidP="002D2C0C">
      <w:pPr>
        <w:rPr>
          <w:rFonts w:ascii="Arial" w:hAnsi="Arial" w:cs="Arial"/>
        </w:rPr>
      </w:pPr>
    </w:p>
    <w:p w:rsidR="002D2C0C" w:rsidRPr="00F237BB" w:rsidRDefault="00BC790F" w:rsidP="002D2C0C">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0F24B7" w:rsidRPr="00F237BB">
        <w:rPr>
          <w:rFonts w:ascii="Arial" w:hAnsi="Arial" w:cs="Arial"/>
          <w:noProof/>
          <w:sz w:val="22"/>
          <w:szCs w:val="22"/>
        </w:rPr>
        <w:t>13</w:t>
      </w:r>
      <w:r w:rsidR="00F237BB" w:rsidRPr="00F237BB">
        <w:rPr>
          <w:rFonts w:ascii="Arial" w:hAnsi="Arial" w:cs="Arial"/>
          <w:noProof/>
          <w:sz w:val="22"/>
          <w:szCs w:val="22"/>
        </w:rPr>
        <w:fldChar w:fldCharType="end"/>
      </w:r>
      <w:r w:rsidR="000F24B7" w:rsidRPr="00F237BB">
        <w:rPr>
          <w:rFonts w:ascii="Arial" w:hAnsi="Arial" w:cs="Arial"/>
          <w:sz w:val="22"/>
          <w:szCs w:val="22"/>
        </w:rPr>
        <w:t xml:space="preserve"> </w:t>
      </w:r>
      <w:r w:rsidR="00C04D83" w:rsidRPr="00F237BB">
        <w:rPr>
          <w:rFonts w:ascii="Arial" w:hAnsi="Arial" w:cs="Arial"/>
          <w:sz w:val="22"/>
          <w:szCs w:val="22"/>
        </w:rPr>
        <w:t>–</w:t>
      </w:r>
      <w:r w:rsidR="00770F9B" w:rsidRPr="00F237BB">
        <w:rPr>
          <w:rFonts w:ascii="Arial" w:hAnsi="Arial" w:cs="Arial"/>
          <w:sz w:val="22"/>
          <w:szCs w:val="22"/>
        </w:rPr>
        <w:t>Incorporación de conocimiento en la toma de decisiones</w:t>
      </w:r>
    </w:p>
    <w:tbl>
      <w:tblPr>
        <w:tblStyle w:val="TableGrid"/>
        <w:tblW w:w="765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1417"/>
        <w:gridCol w:w="1276"/>
      </w:tblGrid>
      <w:tr w:rsidR="000F24B7" w:rsidRPr="00F237BB" w:rsidTr="00C60E00">
        <w:trPr>
          <w:cantSplit/>
          <w:tblHeader/>
        </w:trPr>
        <w:tc>
          <w:tcPr>
            <w:tcW w:w="4962" w:type="dxa"/>
            <w:tcBorders>
              <w:top w:val="single" w:sz="4" w:space="0" w:color="auto"/>
              <w:bottom w:val="single" w:sz="4" w:space="0" w:color="auto"/>
            </w:tcBorders>
            <w:shd w:val="clear" w:color="auto" w:fill="D9D9D9" w:themeFill="background1" w:themeFillShade="D9"/>
          </w:tcPr>
          <w:p w:rsidR="000F24B7" w:rsidRPr="00F237BB" w:rsidRDefault="000F24B7" w:rsidP="00A91FB3">
            <w:pPr>
              <w:rPr>
                <w:rFonts w:ascii="Arial" w:hAnsi="Arial" w:cs="Arial"/>
                <w:b/>
              </w:rPr>
            </w:pPr>
          </w:p>
        </w:tc>
        <w:tc>
          <w:tcPr>
            <w:tcW w:w="1417" w:type="dxa"/>
            <w:tcBorders>
              <w:top w:val="single" w:sz="4" w:space="0" w:color="auto"/>
              <w:bottom w:val="single" w:sz="4" w:space="0" w:color="auto"/>
            </w:tcBorders>
            <w:shd w:val="clear" w:color="auto" w:fill="D9D9D9" w:themeFill="background1" w:themeFillShade="D9"/>
          </w:tcPr>
          <w:p w:rsidR="000F24B7" w:rsidRPr="00F237BB" w:rsidRDefault="000F24B7" w:rsidP="00A91FB3">
            <w:pPr>
              <w:jc w:val="center"/>
              <w:rPr>
                <w:rFonts w:ascii="Arial" w:hAnsi="Arial" w:cs="Arial"/>
                <w:b/>
              </w:rPr>
            </w:pPr>
            <w:r w:rsidRPr="00F237BB">
              <w:rPr>
                <w:rFonts w:ascii="Arial" w:hAnsi="Arial" w:cs="Arial"/>
                <w:b/>
              </w:rPr>
              <w:t>DNPM</w:t>
            </w:r>
          </w:p>
        </w:tc>
        <w:tc>
          <w:tcPr>
            <w:tcW w:w="1276" w:type="dxa"/>
            <w:tcBorders>
              <w:top w:val="single" w:sz="4" w:space="0" w:color="auto"/>
              <w:bottom w:val="single" w:sz="4" w:space="0" w:color="auto"/>
            </w:tcBorders>
            <w:shd w:val="clear" w:color="auto" w:fill="D9D9D9" w:themeFill="background1" w:themeFillShade="D9"/>
          </w:tcPr>
          <w:p w:rsidR="000F24B7" w:rsidRPr="00F237BB" w:rsidRDefault="000F24B7" w:rsidP="00A91FB3">
            <w:pPr>
              <w:jc w:val="center"/>
              <w:rPr>
                <w:rFonts w:ascii="Arial" w:hAnsi="Arial" w:cs="Arial"/>
                <w:b/>
              </w:rPr>
            </w:pPr>
            <w:r w:rsidRPr="00F237BB">
              <w:rPr>
                <w:rFonts w:ascii="Arial" w:hAnsi="Arial" w:cs="Arial"/>
                <w:b/>
              </w:rPr>
              <w:t>DNPR</w:t>
            </w:r>
          </w:p>
        </w:tc>
      </w:tr>
      <w:tr w:rsidR="000F24B7" w:rsidRPr="00F237BB" w:rsidTr="00C60E00">
        <w:trPr>
          <w:cantSplit/>
        </w:trPr>
        <w:tc>
          <w:tcPr>
            <w:tcW w:w="4962" w:type="dxa"/>
            <w:tcBorders>
              <w:top w:val="single" w:sz="4" w:space="0" w:color="auto"/>
            </w:tcBorders>
            <w:shd w:val="clear" w:color="auto" w:fill="auto"/>
          </w:tcPr>
          <w:p w:rsidR="000F24B7" w:rsidRPr="00F237BB" w:rsidRDefault="000F24B7" w:rsidP="002D2C0C">
            <w:pPr>
              <w:pStyle w:val="ListParagraph"/>
              <w:numPr>
                <w:ilvl w:val="0"/>
                <w:numId w:val="35"/>
              </w:numPr>
              <w:jc w:val="left"/>
              <w:rPr>
                <w:rFonts w:ascii="Arial" w:hAnsi="Arial" w:cs="Arial"/>
              </w:rPr>
            </w:pPr>
            <w:r w:rsidRPr="00F237BB">
              <w:rPr>
                <w:rFonts w:ascii="Arial" w:hAnsi="Arial" w:cs="Arial"/>
              </w:rPr>
              <w:t>Existencia de herramienta/proceso de seguimiento de los productos generados</w:t>
            </w:r>
          </w:p>
        </w:tc>
        <w:tc>
          <w:tcPr>
            <w:tcW w:w="1417" w:type="dxa"/>
            <w:tcBorders>
              <w:top w:val="single" w:sz="4" w:space="0" w:color="auto"/>
            </w:tcBorders>
            <w:shd w:val="clear" w:color="auto" w:fill="auto"/>
          </w:tcPr>
          <w:p w:rsidR="000F24B7" w:rsidRPr="00F237BB" w:rsidRDefault="000F24B7" w:rsidP="00A91FB3">
            <w:pPr>
              <w:jc w:val="center"/>
              <w:rPr>
                <w:rFonts w:ascii="Arial" w:hAnsi="Arial" w:cs="Arial"/>
              </w:rPr>
            </w:pPr>
          </w:p>
          <w:p w:rsidR="000F24B7" w:rsidRPr="00F237BB" w:rsidRDefault="000F24B7" w:rsidP="00A91FB3">
            <w:pPr>
              <w:jc w:val="center"/>
              <w:rPr>
                <w:rFonts w:ascii="Arial" w:hAnsi="Arial" w:cs="Arial"/>
              </w:rPr>
            </w:pPr>
            <w:r w:rsidRPr="00F237BB">
              <w:rPr>
                <w:rFonts w:ascii="Arial" w:hAnsi="Arial" w:cs="Arial"/>
              </w:rPr>
              <w:t>No</w:t>
            </w:r>
          </w:p>
        </w:tc>
        <w:tc>
          <w:tcPr>
            <w:tcW w:w="1276" w:type="dxa"/>
            <w:tcBorders>
              <w:top w:val="single" w:sz="4" w:space="0" w:color="auto"/>
            </w:tcBorders>
            <w:shd w:val="clear" w:color="auto" w:fill="auto"/>
          </w:tcPr>
          <w:p w:rsidR="000F24B7" w:rsidRPr="00F237BB" w:rsidRDefault="000F24B7" w:rsidP="00A91FB3">
            <w:pPr>
              <w:jc w:val="center"/>
              <w:rPr>
                <w:rFonts w:ascii="Arial" w:hAnsi="Arial" w:cs="Arial"/>
              </w:rPr>
            </w:pPr>
          </w:p>
          <w:p w:rsidR="000F24B7" w:rsidRPr="00F237BB" w:rsidRDefault="000F24B7" w:rsidP="00A91FB3">
            <w:pPr>
              <w:jc w:val="center"/>
              <w:rPr>
                <w:rFonts w:ascii="Arial" w:hAnsi="Arial" w:cs="Arial"/>
              </w:rPr>
            </w:pPr>
            <w:r w:rsidRPr="00F237BB">
              <w:rPr>
                <w:rFonts w:ascii="Arial" w:hAnsi="Arial" w:cs="Arial"/>
              </w:rPr>
              <w:t>No</w:t>
            </w:r>
          </w:p>
        </w:tc>
      </w:tr>
      <w:tr w:rsidR="000F24B7" w:rsidRPr="00F237BB" w:rsidTr="00C60E00">
        <w:trPr>
          <w:cantSplit/>
        </w:trPr>
        <w:tc>
          <w:tcPr>
            <w:tcW w:w="4962" w:type="dxa"/>
            <w:shd w:val="clear" w:color="auto" w:fill="auto"/>
          </w:tcPr>
          <w:p w:rsidR="000F24B7" w:rsidRPr="00F237BB" w:rsidRDefault="000F24B7" w:rsidP="002301C8">
            <w:pPr>
              <w:pStyle w:val="ListParagraph"/>
              <w:numPr>
                <w:ilvl w:val="0"/>
                <w:numId w:val="35"/>
              </w:numPr>
              <w:jc w:val="left"/>
              <w:rPr>
                <w:rFonts w:ascii="Arial" w:hAnsi="Arial" w:cs="Arial"/>
              </w:rPr>
            </w:pPr>
            <w:r w:rsidRPr="00F237BB">
              <w:rPr>
                <w:rFonts w:ascii="Arial" w:hAnsi="Arial" w:cs="Arial"/>
              </w:rPr>
              <w:t xml:space="preserve">Existencia de procedimientos o reglas explícitas para la intervención de las unidades de la </w:t>
            </w:r>
            <w:proofErr w:type="spellStart"/>
            <w:r w:rsidRPr="00F237BB">
              <w:rPr>
                <w:rFonts w:ascii="Arial" w:hAnsi="Arial" w:cs="Arial"/>
              </w:rPr>
              <w:t>SPE</w:t>
            </w:r>
            <w:r w:rsidR="002A293A" w:rsidRPr="00F237BB">
              <w:rPr>
                <w:rFonts w:ascii="Arial" w:hAnsi="Arial" w:cs="Arial"/>
              </w:rPr>
              <w:t>yPD</w:t>
            </w:r>
            <w:proofErr w:type="spellEnd"/>
            <w:r w:rsidRPr="00F237BB">
              <w:rPr>
                <w:rFonts w:ascii="Arial" w:hAnsi="Arial" w:cs="Arial"/>
              </w:rPr>
              <w:t xml:space="preserve"> en la elaboración de productos</w:t>
            </w:r>
          </w:p>
        </w:tc>
        <w:tc>
          <w:tcPr>
            <w:tcW w:w="1417" w:type="dxa"/>
            <w:shd w:val="clear" w:color="auto" w:fill="auto"/>
          </w:tcPr>
          <w:p w:rsidR="000F24B7" w:rsidRPr="00F237BB" w:rsidRDefault="000F24B7" w:rsidP="00A91FB3">
            <w:pPr>
              <w:jc w:val="center"/>
              <w:rPr>
                <w:rFonts w:ascii="Arial" w:hAnsi="Arial" w:cs="Arial"/>
              </w:rPr>
            </w:pPr>
          </w:p>
          <w:p w:rsidR="000F24B7" w:rsidRPr="00F237BB" w:rsidRDefault="000F24B7" w:rsidP="00A91FB3">
            <w:pPr>
              <w:jc w:val="center"/>
              <w:rPr>
                <w:rFonts w:ascii="Arial" w:hAnsi="Arial" w:cs="Arial"/>
              </w:rPr>
            </w:pPr>
            <w:r w:rsidRPr="00F237BB">
              <w:rPr>
                <w:rFonts w:ascii="Arial" w:hAnsi="Arial" w:cs="Arial"/>
              </w:rPr>
              <w:t>No</w:t>
            </w:r>
          </w:p>
        </w:tc>
        <w:tc>
          <w:tcPr>
            <w:tcW w:w="1276" w:type="dxa"/>
            <w:shd w:val="clear" w:color="auto" w:fill="auto"/>
          </w:tcPr>
          <w:p w:rsidR="000F24B7" w:rsidRPr="00F237BB" w:rsidRDefault="000F24B7" w:rsidP="00A91FB3">
            <w:pPr>
              <w:jc w:val="center"/>
              <w:rPr>
                <w:rFonts w:ascii="Arial" w:hAnsi="Arial" w:cs="Arial"/>
              </w:rPr>
            </w:pPr>
          </w:p>
          <w:p w:rsidR="000F24B7" w:rsidRPr="00F237BB" w:rsidRDefault="000F24B7" w:rsidP="00A91FB3">
            <w:pPr>
              <w:jc w:val="center"/>
              <w:rPr>
                <w:rFonts w:ascii="Arial" w:hAnsi="Arial" w:cs="Arial"/>
              </w:rPr>
            </w:pPr>
            <w:r w:rsidRPr="00F237BB">
              <w:rPr>
                <w:rFonts w:ascii="Arial" w:hAnsi="Arial" w:cs="Arial"/>
              </w:rPr>
              <w:t>No</w:t>
            </w:r>
          </w:p>
        </w:tc>
      </w:tr>
      <w:tr w:rsidR="000F24B7" w:rsidRPr="00F237BB" w:rsidTr="00C60E00">
        <w:trPr>
          <w:cantSplit/>
        </w:trPr>
        <w:tc>
          <w:tcPr>
            <w:tcW w:w="4962" w:type="dxa"/>
            <w:shd w:val="clear" w:color="auto" w:fill="auto"/>
          </w:tcPr>
          <w:p w:rsidR="000F24B7" w:rsidRPr="00F237BB" w:rsidRDefault="000F24B7" w:rsidP="002D2C0C">
            <w:pPr>
              <w:pStyle w:val="ListParagraph"/>
              <w:numPr>
                <w:ilvl w:val="0"/>
                <w:numId w:val="35"/>
              </w:numPr>
              <w:jc w:val="left"/>
              <w:rPr>
                <w:rFonts w:ascii="Arial" w:hAnsi="Arial" w:cs="Arial"/>
              </w:rPr>
            </w:pPr>
            <w:r w:rsidRPr="00F237BB">
              <w:rPr>
                <w:rFonts w:ascii="Arial" w:hAnsi="Arial" w:cs="Arial"/>
              </w:rPr>
              <w:t>Número de consultores contratados para realizar estudios externos*</w:t>
            </w:r>
          </w:p>
        </w:tc>
        <w:tc>
          <w:tcPr>
            <w:tcW w:w="1417" w:type="dxa"/>
            <w:shd w:val="clear" w:color="auto" w:fill="auto"/>
          </w:tcPr>
          <w:p w:rsidR="000F24B7" w:rsidRPr="00F237BB" w:rsidRDefault="000F24B7" w:rsidP="00A91FB3">
            <w:pPr>
              <w:jc w:val="center"/>
              <w:rPr>
                <w:rFonts w:ascii="Arial" w:hAnsi="Arial" w:cs="Arial"/>
              </w:rPr>
            </w:pPr>
            <w:r w:rsidRPr="00F237BB">
              <w:rPr>
                <w:rFonts w:ascii="Arial" w:hAnsi="Arial" w:cs="Arial"/>
              </w:rPr>
              <w:t>16</w:t>
            </w:r>
          </w:p>
        </w:tc>
        <w:tc>
          <w:tcPr>
            <w:tcW w:w="1276" w:type="dxa"/>
            <w:shd w:val="clear" w:color="auto" w:fill="auto"/>
          </w:tcPr>
          <w:p w:rsidR="000F24B7" w:rsidRPr="00F237BB" w:rsidRDefault="000F24B7" w:rsidP="00A91FB3">
            <w:pPr>
              <w:jc w:val="center"/>
              <w:rPr>
                <w:rFonts w:ascii="Arial" w:hAnsi="Arial" w:cs="Arial"/>
              </w:rPr>
            </w:pPr>
            <w:r w:rsidRPr="00F237BB">
              <w:rPr>
                <w:rFonts w:ascii="Arial" w:hAnsi="Arial" w:cs="Arial"/>
              </w:rPr>
              <w:t>70</w:t>
            </w:r>
          </w:p>
        </w:tc>
      </w:tr>
      <w:tr w:rsidR="000F24B7" w:rsidRPr="00F237BB" w:rsidTr="00C60E00">
        <w:trPr>
          <w:cantSplit/>
        </w:trPr>
        <w:tc>
          <w:tcPr>
            <w:tcW w:w="4962" w:type="dxa"/>
            <w:shd w:val="clear" w:color="auto" w:fill="auto"/>
          </w:tcPr>
          <w:p w:rsidR="000F24B7" w:rsidRPr="00F237BB" w:rsidRDefault="000F24B7" w:rsidP="00A91FB3">
            <w:pPr>
              <w:pStyle w:val="ListParagraph"/>
              <w:numPr>
                <w:ilvl w:val="0"/>
                <w:numId w:val="35"/>
              </w:numPr>
              <w:jc w:val="left"/>
              <w:rPr>
                <w:rFonts w:ascii="Arial" w:hAnsi="Arial" w:cs="Arial"/>
              </w:rPr>
            </w:pPr>
            <w:r w:rsidRPr="00F237BB">
              <w:rPr>
                <w:rFonts w:ascii="Arial" w:hAnsi="Arial" w:cs="Arial"/>
              </w:rPr>
              <w:t>Número de días promedio para la aprobación de los TDR de los estudios**</w:t>
            </w:r>
          </w:p>
        </w:tc>
        <w:tc>
          <w:tcPr>
            <w:tcW w:w="1417" w:type="dxa"/>
            <w:shd w:val="clear" w:color="auto" w:fill="auto"/>
          </w:tcPr>
          <w:p w:rsidR="000F24B7" w:rsidRPr="00F237BB" w:rsidRDefault="000F24B7" w:rsidP="00A91FB3">
            <w:pPr>
              <w:jc w:val="center"/>
              <w:rPr>
                <w:rFonts w:ascii="Arial" w:hAnsi="Arial" w:cs="Arial"/>
              </w:rPr>
            </w:pPr>
            <w:r w:rsidRPr="00F237BB">
              <w:rPr>
                <w:rFonts w:ascii="Arial" w:hAnsi="Arial" w:cs="Arial"/>
              </w:rPr>
              <w:t>46</w:t>
            </w:r>
          </w:p>
        </w:tc>
        <w:tc>
          <w:tcPr>
            <w:tcW w:w="1276" w:type="dxa"/>
            <w:shd w:val="clear" w:color="auto" w:fill="auto"/>
          </w:tcPr>
          <w:p w:rsidR="000F24B7" w:rsidRPr="00F237BB" w:rsidRDefault="000F24B7" w:rsidP="00A91FB3">
            <w:pPr>
              <w:jc w:val="center"/>
              <w:rPr>
                <w:rFonts w:ascii="Arial" w:hAnsi="Arial" w:cs="Arial"/>
              </w:rPr>
            </w:pPr>
            <w:r w:rsidRPr="00F237BB">
              <w:rPr>
                <w:rFonts w:ascii="Arial" w:hAnsi="Arial" w:cs="Arial"/>
              </w:rPr>
              <w:t>37</w:t>
            </w:r>
          </w:p>
        </w:tc>
      </w:tr>
      <w:tr w:rsidR="000F24B7" w:rsidRPr="00F237BB" w:rsidTr="00C60E00">
        <w:trPr>
          <w:cantSplit/>
        </w:trPr>
        <w:tc>
          <w:tcPr>
            <w:tcW w:w="4962" w:type="dxa"/>
            <w:tcBorders>
              <w:bottom w:val="single" w:sz="4" w:space="0" w:color="auto"/>
            </w:tcBorders>
            <w:shd w:val="clear" w:color="auto" w:fill="auto"/>
          </w:tcPr>
          <w:p w:rsidR="000F24B7" w:rsidRPr="00F237BB" w:rsidRDefault="000F24B7" w:rsidP="00A91FB3">
            <w:pPr>
              <w:pStyle w:val="ListParagraph"/>
              <w:numPr>
                <w:ilvl w:val="0"/>
                <w:numId w:val="35"/>
              </w:numPr>
              <w:jc w:val="left"/>
              <w:rPr>
                <w:rFonts w:ascii="Arial" w:hAnsi="Arial" w:cs="Arial"/>
              </w:rPr>
            </w:pPr>
            <w:r w:rsidRPr="00F237BB">
              <w:rPr>
                <w:rFonts w:ascii="Arial" w:hAnsi="Arial" w:cs="Arial"/>
              </w:rPr>
              <w:t>% promedio de la duración total del estudio que representa el número de días tomados en la aprobación de los TDR</w:t>
            </w:r>
          </w:p>
        </w:tc>
        <w:tc>
          <w:tcPr>
            <w:tcW w:w="1417" w:type="dxa"/>
            <w:tcBorders>
              <w:bottom w:val="single" w:sz="4" w:space="0" w:color="auto"/>
            </w:tcBorders>
            <w:shd w:val="clear" w:color="auto" w:fill="auto"/>
          </w:tcPr>
          <w:p w:rsidR="000F24B7" w:rsidRPr="00F237BB" w:rsidRDefault="000F24B7" w:rsidP="00A91FB3">
            <w:pPr>
              <w:jc w:val="center"/>
              <w:rPr>
                <w:rFonts w:ascii="Arial" w:hAnsi="Arial" w:cs="Arial"/>
              </w:rPr>
            </w:pPr>
            <w:r w:rsidRPr="00F237BB">
              <w:rPr>
                <w:rFonts w:ascii="Arial" w:hAnsi="Arial" w:cs="Arial"/>
              </w:rPr>
              <w:t>19%</w:t>
            </w:r>
          </w:p>
        </w:tc>
        <w:tc>
          <w:tcPr>
            <w:tcW w:w="1276" w:type="dxa"/>
            <w:tcBorders>
              <w:bottom w:val="single" w:sz="4" w:space="0" w:color="auto"/>
            </w:tcBorders>
            <w:shd w:val="clear" w:color="auto" w:fill="auto"/>
          </w:tcPr>
          <w:p w:rsidR="000F24B7" w:rsidRPr="00F237BB" w:rsidRDefault="000F24B7" w:rsidP="00A91FB3">
            <w:pPr>
              <w:jc w:val="center"/>
              <w:rPr>
                <w:rFonts w:ascii="Arial" w:hAnsi="Arial" w:cs="Arial"/>
              </w:rPr>
            </w:pPr>
            <w:r w:rsidRPr="00F237BB">
              <w:rPr>
                <w:rFonts w:ascii="Arial" w:hAnsi="Arial" w:cs="Arial"/>
              </w:rPr>
              <w:t>18%</w:t>
            </w:r>
          </w:p>
        </w:tc>
      </w:tr>
    </w:tbl>
    <w:p w:rsidR="002D2C0C" w:rsidRPr="00F237BB" w:rsidRDefault="002D2C0C" w:rsidP="002D2C0C">
      <w:pPr>
        <w:ind w:left="567"/>
        <w:rPr>
          <w:rFonts w:ascii="Arial" w:hAnsi="Arial" w:cs="Arial"/>
          <w:lang w:val="es-ES_tradnl"/>
        </w:rPr>
      </w:pPr>
      <w:r w:rsidRPr="00F237BB">
        <w:rPr>
          <w:rFonts w:ascii="Arial" w:hAnsi="Arial" w:cs="Arial"/>
          <w:lang w:val="es-ES_tradnl"/>
        </w:rPr>
        <w:t xml:space="preserve">NA: No aplica. ND: No disponible. Fuente: Ficha a </w:t>
      </w:r>
      <w:r w:rsidR="00770F9B" w:rsidRPr="00F237BB">
        <w:rPr>
          <w:rFonts w:ascii="Arial" w:hAnsi="Arial" w:cs="Arial"/>
          <w:lang w:val="es-ES_tradnl"/>
        </w:rPr>
        <w:t>directores y datos de archivo BID</w:t>
      </w:r>
      <w:r w:rsidR="004E1F5D" w:rsidRPr="00F237BB">
        <w:rPr>
          <w:rStyle w:val="FootnoteReference"/>
          <w:rFonts w:ascii="Arial" w:hAnsi="Arial" w:cs="Arial"/>
          <w:sz w:val="22"/>
          <w:lang w:val="es-ES_tradnl"/>
        </w:rPr>
        <w:footnoteReference w:id="17"/>
      </w:r>
      <w:r w:rsidR="00770F9B" w:rsidRPr="00F237BB">
        <w:rPr>
          <w:rFonts w:ascii="Arial" w:hAnsi="Arial" w:cs="Arial"/>
          <w:lang w:val="es-ES_tradnl"/>
        </w:rPr>
        <w:t>.</w:t>
      </w:r>
    </w:p>
    <w:p w:rsidR="009721B1" w:rsidRPr="00F237BB" w:rsidRDefault="00C61C3D" w:rsidP="009721B1">
      <w:pPr>
        <w:ind w:left="737"/>
        <w:rPr>
          <w:rFonts w:ascii="Arial" w:hAnsi="Arial" w:cs="Arial"/>
          <w:lang w:val="es-ES_tradnl"/>
        </w:rPr>
      </w:pPr>
      <w:r w:rsidRPr="00F237BB">
        <w:rPr>
          <w:rFonts w:ascii="Arial" w:hAnsi="Arial" w:cs="Arial"/>
          <w:lang w:val="es-ES_tradnl"/>
        </w:rPr>
        <w:t xml:space="preserve">* </w:t>
      </w:r>
      <w:r w:rsidR="009721B1" w:rsidRPr="00F237BB">
        <w:rPr>
          <w:rFonts w:ascii="Arial" w:hAnsi="Arial" w:cs="Arial"/>
          <w:lang w:val="es-ES_tradnl"/>
        </w:rPr>
        <w:t>Con recursos del aporte BID en el Programa AR-L1001</w:t>
      </w:r>
    </w:p>
    <w:p w:rsidR="009721B1" w:rsidRPr="00F237BB" w:rsidRDefault="009721B1" w:rsidP="009721B1">
      <w:pPr>
        <w:ind w:left="737"/>
        <w:rPr>
          <w:rFonts w:ascii="Arial" w:hAnsi="Arial" w:cs="Arial"/>
          <w:lang w:val="es-ES_tradnl"/>
        </w:rPr>
      </w:pPr>
      <w:r w:rsidRPr="00F237BB">
        <w:rPr>
          <w:rFonts w:ascii="Arial" w:hAnsi="Arial" w:cs="Arial"/>
          <w:lang w:val="es-ES_tradnl"/>
        </w:rPr>
        <w:t>** Días entre la fecha estimada de elaboración de los TDR y la obtención de la no objeción del BID</w:t>
      </w:r>
    </w:p>
    <w:p w:rsidR="00262478" w:rsidRPr="00F237BB" w:rsidRDefault="00262478" w:rsidP="00262478">
      <w:pPr>
        <w:pStyle w:val="ListParagraph"/>
        <w:ind w:left="567"/>
        <w:rPr>
          <w:rFonts w:ascii="Arial" w:hAnsi="Arial" w:cs="Arial"/>
        </w:rPr>
      </w:pPr>
    </w:p>
    <w:p w:rsidR="004A69AB" w:rsidRPr="00F237BB" w:rsidRDefault="00770F9B" w:rsidP="00262478">
      <w:pPr>
        <w:pStyle w:val="ListParagraph"/>
        <w:numPr>
          <w:ilvl w:val="0"/>
          <w:numId w:val="14"/>
        </w:numPr>
        <w:ind w:left="567" w:hanging="567"/>
        <w:rPr>
          <w:rFonts w:ascii="Arial" w:hAnsi="Arial" w:cs="Arial"/>
        </w:rPr>
      </w:pPr>
      <w:r w:rsidRPr="00F237BB">
        <w:rPr>
          <w:rFonts w:ascii="Arial" w:hAnsi="Arial" w:cs="Arial"/>
        </w:rPr>
        <w:lastRenderedPageBreak/>
        <w:t xml:space="preserve">Un </w:t>
      </w:r>
      <w:r w:rsidR="004D6FB1" w:rsidRPr="00F237BB">
        <w:rPr>
          <w:rFonts w:ascii="Arial" w:hAnsi="Arial" w:cs="Arial"/>
        </w:rPr>
        <w:t>cuarto</w:t>
      </w:r>
      <w:r w:rsidRPr="00F237BB">
        <w:rPr>
          <w:rFonts w:ascii="Arial" w:hAnsi="Arial" w:cs="Arial"/>
        </w:rPr>
        <w:t xml:space="preserve"> indicador consiste en la existencia de procedimientos o reglas que indiquen en qué circunstancias y momentos deben intervenir las </w:t>
      </w:r>
      <w:r w:rsidR="004E1F5D" w:rsidRPr="00F237BB">
        <w:rPr>
          <w:rFonts w:ascii="Arial" w:hAnsi="Arial" w:cs="Arial"/>
        </w:rPr>
        <w:t>dos direcciones nacionales analizadas</w:t>
      </w:r>
      <w:r w:rsidRPr="00F237BB">
        <w:rPr>
          <w:rFonts w:ascii="Arial" w:hAnsi="Arial" w:cs="Arial"/>
        </w:rPr>
        <w:t xml:space="preserve"> ante las necesidades de información de los directivos y autoridades del </w:t>
      </w:r>
      <w:proofErr w:type="spellStart"/>
      <w:r w:rsidR="00F86B3F" w:rsidRPr="00F237BB">
        <w:rPr>
          <w:rFonts w:ascii="Arial" w:hAnsi="Arial" w:cs="Arial"/>
        </w:rPr>
        <w:t>MH</w:t>
      </w:r>
      <w:r w:rsidR="0060117A" w:rsidRPr="00F237BB">
        <w:rPr>
          <w:rFonts w:ascii="Arial" w:hAnsi="Arial" w:cs="Arial"/>
        </w:rPr>
        <w:t>y</w:t>
      </w:r>
      <w:r w:rsidR="00F86B3F" w:rsidRPr="00F237BB">
        <w:rPr>
          <w:rFonts w:ascii="Arial" w:hAnsi="Arial" w:cs="Arial"/>
        </w:rPr>
        <w:t>FP</w:t>
      </w:r>
      <w:proofErr w:type="spellEnd"/>
      <w:r w:rsidR="006439A9" w:rsidRPr="00F237BB">
        <w:rPr>
          <w:rFonts w:ascii="Arial" w:hAnsi="Arial" w:cs="Arial"/>
        </w:rPr>
        <w:t xml:space="preserve"> (ver cuadro </w:t>
      </w:r>
      <w:r w:rsidR="004E1F5D" w:rsidRPr="00F237BB">
        <w:rPr>
          <w:rFonts w:ascii="Arial" w:hAnsi="Arial" w:cs="Arial"/>
        </w:rPr>
        <w:t>13</w:t>
      </w:r>
      <w:r w:rsidR="006439A9" w:rsidRPr="00F237BB">
        <w:rPr>
          <w:rFonts w:ascii="Arial" w:hAnsi="Arial" w:cs="Arial"/>
        </w:rPr>
        <w:t>)</w:t>
      </w:r>
      <w:r w:rsidRPr="00F237BB">
        <w:rPr>
          <w:rFonts w:ascii="Arial" w:hAnsi="Arial" w:cs="Arial"/>
        </w:rPr>
        <w:t xml:space="preserve">. Al respecto, la información evidencia que en ninguna de las unidades consideradas existe un procedimiento al respecto. </w:t>
      </w:r>
    </w:p>
    <w:p w:rsidR="002D2C0C" w:rsidRPr="00F237BB" w:rsidRDefault="002D2C0C" w:rsidP="002D2C0C">
      <w:pPr>
        <w:pStyle w:val="ListParagraph"/>
        <w:rPr>
          <w:rFonts w:ascii="Arial" w:hAnsi="Arial" w:cs="Arial"/>
        </w:rPr>
      </w:pPr>
    </w:p>
    <w:p w:rsidR="00607987" w:rsidRPr="00F237BB" w:rsidRDefault="00863FE3" w:rsidP="00262478">
      <w:pPr>
        <w:pStyle w:val="ListParagraph"/>
        <w:numPr>
          <w:ilvl w:val="0"/>
          <w:numId w:val="14"/>
        </w:numPr>
        <w:ind w:left="567" w:hanging="567"/>
        <w:rPr>
          <w:rFonts w:ascii="Arial" w:hAnsi="Arial" w:cs="Arial"/>
        </w:rPr>
      </w:pPr>
      <w:r w:rsidRPr="00F237BB">
        <w:rPr>
          <w:rFonts w:ascii="Arial" w:hAnsi="Arial" w:cs="Arial"/>
        </w:rPr>
        <w:t xml:space="preserve">El </w:t>
      </w:r>
      <w:r w:rsidR="004D6FB1" w:rsidRPr="00F237BB">
        <w:rPr>
          <w:rFonts w:ascii="Arial" w:hAnsi="Arial" w:cs="Arial"/>
        </w:rPr>
        <w:t>quinto</w:t>
      </w:r>
      <w:r w:rsidRPr="00F237BB">
        <w:rPr>
          <w:rFonts w:ascii="Arial" w:hAnsi="Arial" w:cs="Arial"/>
        </w:rPr>
        <w:t xml:space="preserve"> indicador refiere</w:t>
      </w:r>
      <w:r w:rsidR="002D2C0C" w:rsidRPr="00F237BB">
        <w:rPr>
          <w:rFonts w:ascii="Arial" w:hAnsi="Arial" w:cs="Arial"/>
        </w:rPr>
        <w:t xml:space="preserve"> a la posibilidad de contar con el aporte de expertos técnicos externos al </w:t>
      </w:r>
      <w:proofErr w:type="spellStart"/>
      <w:r w:rsidR="00F86B3F" w:rsidRPr="00F237BB">
        <w:rPr>
          <w:rFonts w:ascii="Arial" w:hAnsi="Arial" w:cs="Arial"/>
        </w:rPr>
        <w:t>MH</w:t>
      </w:r>
      <w:r w:rsidR="0060117A" w:rsidRPr="00F237BB">
        <w:rPr>
          <w:rFonts w:ascii="Arial" w:hAnsi="Arial" w:cs="Arial"/>
        </w:rPr>
        <w:t>y</w:t>
      </w:r>
      <w:r w:rsidR="00F86B3F" w:rsidRPr="00F237BB">
        <w:rPr>
          <w:rFonts w:ascii="Arial" w:hAnsi="Arial" w:cs="Arial"/>
        </w:rPr>
        <w:t>FP</w:t>
      </w:r>
      <w:proofErr w:type="spellEnd"/>
      <w:r w:rsidR="002D2C0C" w:rsidRPr="00F237BB">
        <w:rPr>
          <w:rFonts w:ascii="Arial" w:hAnsi="Arial" w:cs="Arial"/>
        </w:rPr>
        <w:t xml:space="preserve"> a lo largo del proceso de generación de información y conocimiento aplicable a los prod</w:t>
      </w:r>
      <w:r w:rsidR="006439A9" w:rsidRPr="00F237BB">
        <w:rPr>
          <w:rFonts w:ascii="Arial" w:hAnsi="Arial" w:cs="Arial"/>
        </w:rPr>
        <w:t xml:space="preserve">uctos de las unidades de la </w:t>
      </w:r>
      <w:proofErr w:type="spellStart"/>
      <w:r w:rsidR="006439A9" w:rsidRPr="00F237BB">
        <w:rPr>
          <w:rFonts w:ascii="Arial" w:hAnsi="Arial" w:cs="Arial"/>
        </w:rPr>
        <w:t>SPE</w:t>
      </w:r>
      <w:r w:rsidR="004E1F5D" w:rsidRPr="00F237BB">
        <w:rPr>
          <w:rFonts w:ascii="Arial" w:hAnsi="Arial" w:cs="Arial"/>
        </w:rPr>
        <w:t>yPD</w:t>
      </w:r>
      <w:proofErr w:type="spellEnd"/>
      <w:r w:rsidR="006439A9" w:rsidRPr="00F237BB">
        <w:rPr>
          <w:rFonts w:ascii="Arial" w:hAnsi="Arial" w:cs="Arial"/>
        </w:rPr>
        <w:t xml:space="preserve"> (ver cuadro </w:t>
      </w:r>
      <w:r w:rsidR="004E1F5D" w:rsidRPr="00F237BB">
        <w:rPr>
          <w:rFonts w:ascii="Arial" w:hAnsi="Arial" w:cs="Arial"/>
        </w:rPr>
        <w:t>13</w:t>
      </w:r>
      <w:r w:rsidR="006439A9" w:rsidRPr="00F237BB">
        <w:rPr>
          <w:rFonts w:ascii="Arial" w:hAnsi="Arial" w:cs="Arial"/>
        </w:rPr>
        <w:t>).</w:t>
      </w:r>
      <w:r w:rsidR="002D2C0C" w:rsidRPr="00F237BB">
        <w:rPr>
          <w:rFonts w:ascii="Arial" w:hAnsi="Arial" w:cs="Arial"/>
        </w:rPr>
        <w:t xml:space="preserve"> Como se observa, el número de consultores es bastante variable en las unidades consideradas</w:t>
      </w:r>
      <w:r w:rsidR="004E1F5D" w:rsidRPr="00F237BB">
        <w:rPr>
          <w:rFonts w:ascii="Arial" w:hAnsi="Arial" w:cs="Arial"/>
        </w:rPr>
        <w:t xml:space="preserve"> (16 para el caso de la DNPM y 70 para la DNPR)</w:t>
      </w:r>
      <w:r w:rsidR="00607987" w:rsidRPr="00F237BB">
        <w:rPr>
          <w:rFonts w:ascii="Arial" w:hAnsi="Arial" w:cs="Arial"/>
        </w:rPr>
        <w:t xml:space="preserve">. </w:t>
      </w:r>
      <w:r w:rsidR="004E1F5D" w:rsidRPr="00F237BB">
        <w:rPr>
          <w:rFonts w:ascii="Arial" w:hAnsi="Arial" w:cs="Arial"/>
        </w:rPr>
        <w:t>En ese sentido</w:t>
      </w:r>
      <w:r w:rsidR="00607987" w:rsidRPr="00F237BB">
        <w:rPr>
          <w:rFonts w:ascii="Arial" w:hAnsi="Arial" w:cs="Arial"/>
        </w:rPr>
        <w:t xml:space="preserve">, la </w:t>
      </w:r>
      <w:r w:rsidR="007B5925" w:rsidRPr="00F237BB">
        <w:rPr>
          <w:rFonts w:ascii="Arial" w:hAnsi="Arial" w:cs="Arial"/>
        </w:rPr>
        <w:t>información muestra</w:t>
      </w:r>
      <w:r w:rsidR="00607987" w:rsidRPr="00F237BB">
        <w:rPr>
          <w:rFonts w:ascii="Arial" w:hAnsi="Arial" w:cs="Arial"/>
        </w:rPr>
        <w:t xml:space="preserve"> que no existe una política relativamente pareja o estable de acceso a apoyo técnico externo, lo que a su vez debe incidir en diferencias en cuanto a la posibilidad de aportar información con la calidad y oportunidad adecuada al proceso de toma de decisiones. </w:t>
      </w:r>
    </w:p>
    <w:p w:rsidR="002D2C0C" w:rsidRPr="00F237BB" w:rsidRDefault="002D2C0C" w:rsidP="002D2C0C">
      <w:pPr>
        <w:pStyle w:val="ListParagraph"/>
        <w:rPr>
          <w:rFonts w:ascii="Arial" w:hAnsi="Arial" w:cs="Arial"/>
          <w:highlight w:val="yellow"/>
        </w:rPr>
      </w:pPr>
    </w:p>
    <w:p w:rsidR="00E1211D" w:rsidRPr="00F237BB" w:rsidRDefault="002D2C0C" w:rsidP="00262478">
      <w:pPr>
        <w:pStyle w:val="ListParagraph"/>
        <w:numPr>
          <w:ilvl w:val="0"/>
          <w:numId w:val="14"/>
        </w:numPr>
        <w:ind w:left="567" w:hanging="567"/>
        <w:rPr>
          <w:rFonts w:ascii="Arial" w:hAnsi="Arial" w:cs="Arial"/>
        </w:rPr>
      </w:pPr>
      <w:r w:rsidRPr="00F237BB">
        <w:rPr>
          <w:rFonts w:ascii="Arial" w:hAnsi="Arial" w:cs="Arial"/>
        </w:rPr>
        <w:t>Finalmente, los dos últimos indicadores permiten una aproximación</w:t>
      </w:r>
      <w:r w:rsidR="00863FE3" w:rsidRPr="00F237BB">
        <w:rPr>
          <w:rFonts w:ascii="Arial" w:hAnsi="Arial" w:cs="Arial"/>
        </w:rPr>
        <w:t xml:space="preserve"> a la oportunidad </w:t>
      </w:r>
      <w:r w:rsidRPr="00F237BB">
        <w:rPr>
          <w:rFonts w:ascii="Arial" w:hAnsi="Arial" w:cs="Arial"/>
        </w:rPr>
        <w:t xml:space="preserve">con que las </w:t>
      </w:r>
      <w:r w:rsidR="004E1F5D" w:rsidRPr="00F237BB">
        <w:rPr>
          <w:rFonts w:ascii="Arial" w:hAnsi="Arial" w:cs="Arial"/>
        </w:rPr>
        <w:t>dos direcciones</w:t>
      </w:r>
      <w:r w:rsidRPr="00F237BB">
        <w:rPr>
          <w:rFonts w:ascii="Arial" w:hAnsi="Arial" w:cs="Arial"/>
        </w:rPr>
        <w:t xml:space="preserve"> </w:t>
      </w:r>
      <w:r w:rsidR="004E1F5D" w:rsidRPr="00F237BB">
        <w:rPr>
          <w:rFonts w:ascii="Arial" w:hAnsi="Arial" w:cs="Arial"/>
        </w:rPr>
        <w:t xml:space="preserve">nacionales consideradas </w:t>
      </w:r>
      <w:r w:rsidR="005918B4" w:rsidRPr="00F237BB">
        <w:rPr>
          <w:rFonts w:ascii="Arial" w:hAnsi="Arial" w:cs="Arial"/>
        </w:rPr>
        <w:t xml:space="preserve">para estos indicadores, </w:t>
      </w:r>
      <w:r w:rsidRPr="00F237BB">
        <w:rPr>
          <w:rFonts w:ascii="Arial" w:hAnsi="Arial" w:cs="Arial"/>
        </w:rPr>
        <w:t>logran incorporar apoyo externo para generar la información que requieren</w:t>
      </w:r>
      <w:r w:rsidR="00EC0DBF" w:rsidRPr="00F237BB">
        <w:rPr>
          <w:rFonts w:ascii="Arial" w:hAnsi="Arial" w:cs="Arial"/>
        </w:rPr>
        <w:t xml:space="preserve"> (ver cuadro </w:t>
      </w:r>
      <w:r w:rsidR="004E1F5D" w:rsidRPr="00F237BB">
        <w:rPr>
          <w:rFonts w:ascii="Arial" w:hAnsi="Arial" w:cs="Arial"/>
        </w:rPr>
        <w:t>13</w:t>
      </w:r>
      <w:r w:rsidR="00EC0DBF" w:rsidRPr="00F237BB">
        <w:rPr>
          <w:rFonts w:ascii="Arial" w:hAnsi="Arial" w:cs="Arial"/>
        </w:rPr>
        <w:t>)</w:t>
      </w:r>
      <w:r w:rsidRPr="00F237BB">
        <w:rPr>
          <w:rFonts w:ascii="Arial" w:hAnsi="Arial" w:cs="Arial"/>
        </w:rPr>
        <w:t xml:space="preserve">. Al respecto, se observa que en </w:t>
      </w:r>
      <w:r w:rsidR="004E1F5D" w:rsidRPr="00F237BB">
        <w:rPr>
          <w:rFonts w:ascii="Arial" w:hAnsi="Arial" w:cs="Arial"/>
        </w:rPr>
        <w:t>ambos</w:t>
      </w:r>
      <w:r w:rsidRPr="00F237BB">
        <w:rPr>
          <w:rFonts w:ascii="Arial" w:hAnsi="Arial" w:cs="Arial"/>
        </w:rPr>
        <w:t xml:space="preserve"> casos el tiempo que se estima ha tomado la aprobación de los términos de referencia (TDR) de los consultores excede (en algunos casos largamente) el mes calendario. Si a este dato se sumara</w:t>
      </w:r>
      <w:r w:rsidR="004E1F5D" w:rsidRPr="00F237BB">
        <w:rPr>
          <w:rFonts w:ascii="Arial" w:hAnsi="Arial" w:cs="Arial"/>
        </w:rPr>
        <w:t>n</w:t>
      </w:r>
      <w:r w:rsidRPr="00F237BB">
        <w:rPr>
          <w:rFonts w:ascii="Arial" w:hAnsi="Arial" w:cs="Arial"/>
        </w:rPr>
        <w:t xml:space="preserve"> los días que toma el proceso administrativo de contratación de los consultores (dato no disponible por ahora), se puede concluir que este lapso afecta negativamente la oportunidad con la que usualmente los directivos del </w:t>
      </w:r>
      <w:proofErr w:type="spellStart"/>
      <w:r w:rsidR="00F86B3F" w:rsidRPr="00F237BB">
        <w:rPr>
          <w:rFonts w:ascii="Arial" w:hAnsi="Arial" w:cs="Arial"/>
        </w:rPr>
        <w:t>MH</w:t>
      </w:r>
      <w:r w:rsidR="00A420CA" w:rsidRPr="00F237BB">
        <w:rPr>
          <w:rFonts w:ascii="Arial" w:hAnsi="Arial" w:cs="Arial"/>
        </w:rPr>
        <w:t>y</w:t>
      </w:r>
      <w:r w:rsidR="00F86B3F" w:rsidRPr="00F237BB">
        <w:rPr>
          <w:rFonts w:ascii="Arial" w:hAnsi="Arial" w:cs="Arial"/>
        </w:rPr>
        <w:t>FP</w:t>
      </w:r>
      <w:proofErr w:type="spellEnd"/>
      <w:r w:rsidRPr="00F237BB">
        <w:rPr>
          <w:rFonts w:ascii="Arial" w:hAnsi="Arial" w:cs="Arial"/>
        </w:rPr>
        <w:t xml:space="preserve"> requieren de la información para tomar decisiones oportunas. El último indicador muestra que, sólo considerando el tiempo para la aprobación de los TDR, éste representa aproximadamente el 20% del tiempo total de duración de la consultoría misma.  </w:t>
      </w:r>
    </w:p>
    <w:p w:rsidR="002D2C0C" w:rsidRPr="00F237BB" w:rsidRDefault="002D2C0C" w:rsidP="002D2C0C">
      <w:pPr>
        <w:pStyle w:val="ListParagraph"/>
        <w:rPr>
          <w:rFonts w:ascii="Arial" w:hAnsi="Arial" w:cs="Arial"/>
          <w:highlight w:val="yellow"/>
        </w:rPr>
      </w:pPr>
    </w:p>
    <w:p w:rsidR="00BC790F" w:rsidRPr="00F237BB" w:rsidRDefault="005C197C" w:rsidP="00225D8E">
      <w:pPr>
        <w:pStyle w:val="ListParagraph"/>
        <w:numPr>
          <w:ilvl w:val="0"/>
          <w:numId w:val="14"/>
        </w:numPr>
        <w:ind w:left="567" w:hanging="567"/>
        <w:rPr>
          <w:rFonts w:ascii="Arial" w:hAnsi="Arial" w:cs="Arial"/>
        </w:rPr>
      </w:pPr>
      <w:r w:rsidRPr="00F237BB">
        <w:rPr>
          <w:rFonts w:ascii="Arial" w:hAnsi="Arial" w:cs="Arial"/>
        </w:rPr>
        <w:t>En adición a lo señalado hasta ahora, u</w:t>
      </w:r>
      <w:r w:rsidR="005619D1" w:rsidRPr="00F237BB">
        <w:rPr>
          <w:rFonts w:ascii="Arial" w:hAnsi="Arial" w:cs="Arial"/>
        </w:rPr>
        <w:t>n aspecto diferente</w:t>
      </w:r>
      <w:r w:rsidR="00863FE3" w:rsidRPr="00F237BB">
        <w:rPr>
          <w:rFonts w:ascii="Arial" w:hAnsi="Arial" w:cs="Arial"/>
        </w:rPr>
        <w:t xml:space="preserve"> a considerar en cuanto a la calidad y oportunidad de la información en la toma de decisiones sobre política económica se refiere al procesamiento propiamente jurídico de dicha información (bajo la forma de los dictámenes que acompañan toda decisión en el sector público argentino) o a la consideración de información relativa a causas judiciales contra el Estado que pueden afectar de manera significativa al fisco y, por tanto, a la política económica. </w:t>
      </w:r>
      <w:r w:rsidR="00A91FB3" w:rsidRPr="00F237BB">
        <w:rPr>
          <w:rFonts w:ascii="Arial" w:hAnsi="Arial" w:cs="Arial"/>
        </w:rPr>
        <w:t>En ambos casos el control sobre dictámenes y causas judiciales es débil y los plazos de tramitación variables, lo que complica la toma eficiente de decisiones. Con relación a los dictámenes</w:t>
      </w:r>
      <w:r w:rsidR="000877FA" w:rsidRPr="00F237BB">
        <w:rPr>
          <w:rFonts w:ascii="Arial" w:hAnsi="Arial" w:cs="Arial"/>
        </w:rPr>
        <w:t>, se estima que se elaboran 100.</w:t>
      </w:r>
      <w:r w:rsidR="00A91FB3" w:rsidRPr="00F237BB">
        <w:rPr>
          <w:rFonts w:ascii="Arial" w:hAnsi="Arial" w:cs="Arial"/>
        </w:rPr>
        <w:t xml:space="preserve">000 nuevos al año. </w:t>
      </w:r>
    </w:p>
    <w:p w:rsidR="00BC790F" w:rsidRPr="00F237BB" w:rsidRDefault="00BC790F" w:rsidP="00BC790F">
      <w:pPr>
        <w:pStyle w:val="ListParagraph"/>
        <w:rPr>
          <w:rFonts w:ascii="Arial" w:hAnsi="Arial" w:cs="Arial"/>
        </w:rPr>
      </w:pPr>
    </w:p>
    <w:p w:rsidR="00F51C4D" w:rsidRPr="00F237BB" w:rsidRDefault="00A91FB3" w:rsidP="00225D8E">
      <w:pPr>
        <w:pStyle w:val="ListParagraph"/>
        <w:numPr>
          <w:ilvl w:val="0"/>
          <w:numId w:val="14"/>
        </w:numPr>
        <w:ind w:left="567" w:hanging="567"/>
        <w:rPr>
          <w:rFonts w:ascii="Arial" w:hAnsi="Arial" w:cs="Arial"/>
        </w:rPr>
      </w:pPr>
      <w:r w:rsidRPr="00F237BB">
        <w:rPr>
          <w:rFonts w:ascii="Arial" w:hAnsi="Arial" w:cs="Arial"/>
        </w:rPr>
        <w:t xml:space="preserve">En cuanto a las causas judiciales que son gestionadas por el </w:t>
      </w:r>
      <w:proofErr w:type="spellStart"/>
      <w:r w:rsidR="00F86B3F" w:rsidRPr="00F237BB">
        <w:rPr>
          <w:rFonts w:ascii="Arial" w:hAnsi="Arial" w:cs="Arial"/>
        </w:rPr>
        <w:t>MH</w:t>
      </w:r>
      <w:r w:rsidR="00A420CA" w:rsidRPr="00F237BB">
        <w:rPr>
          <w:rFonts w:ascii="Arial" w:hAnsi="Arial" w:cs="Arial"/>
        </w:rPr>
        <w:t>y</w:t>
      </w:r>
      <w:r w:rsidR="00F86B3F" w:rsidRPr="00F237BB">
        <w:rPr>
          <w:rFonts w:ascii="Arial" w:hAnsi="Arial" w:cs="Arial"/>
        </w:rPr>
        <w:t>FP</w:t>
      </w:r>
      <w:proofErr w:type="spellEnd"/>
      <w:r w:rsidR="00225D8E" w:rsidRPr="00F237BB">
        <w:rPr>
          <w:rFonts w:ascii="Arial" w:hAnsi="Arial" w:cs="Arial"/>
        </w:rPr>
        <w:t xml:space="preserve"> (a través de la DGAJ)</w:t>
      </w:r>
      <w:r w:rsidRPr="00F237BB">
        <w:rPr>
          <w:rFonts w:ascii="Arial" w:hAnsi="Arial" w:cs="Arial"/>
        </w:rPr>
        <w:t xml:space="preserve">, </w:t>
      </w:r>
      <w:r w:rsidR="005918B4" w:rsidRPr="00F237BB">
        <w:rPr>
          <w:rFonts w:ascii="Arial" w:hAnsi="Arial" w:cs="Arial"/>
        </w:rPr>
        <w:t>la última informa disponible</w:t>
      </w:r>
      <w:r w:rsidR="005918B4" w:rsidRPr="00F237BB">
        <w:rPr>
          <w:rStyle w:val="FootnoteReference"/>
          <w:rFonts w:ascii="Arial" w:hAnsi="Arial" w:cs="Arial"/>
          <w:sz w:val="22"/>
        </w:rPr>
        <w:footnoteReference w:id="18"/>
      </w:r>
      <w:r w:rsidR="005918B4" w:rsidRPr="00F237BB">
        <w:rPr>
          <w:rFonts w:ascii="Arial" w:hAnsi="Arial" w:cs="Arial"/>
        </w:rPr>
        <w:t xml:space="preserve"> arroja </w:t>
      </w:r>
      <w:r w:rsidR="000877FA" w:rsidRPr="00F237BB">
        <w:rPr>
          <w:rFonts w:ascii="Arial" w:hAnsi="Arial" w:cs="Arial"/>
        </w:rPr>
        <w:t>aproximadamente 60.</w:t>
      </w:r>
      <w:r w:rsidRPr="00F237BB">
        <w:rPr>
          <w:rFonts w:ascii="Arial" w:hAnsi="Arial" w:cs="Arial"/>
        </w:rPr>
        <w:t>000</w:t>
      </w:r>
      <w:r w:rsidR="005918B4" w:rsidRPr="00F237BB">
        <w:rPr>
          <w:rFonts w:ascii="Arial" w:hAnsi="Arial" w:cs="Arial"/>
        </w:rPr>
        <w:t xml:space="preserve"> causas en el sistema registral</w:t>
      </w:r>
      <w:r w:rsidRPr="00F237BB">
        <w:rPr>
          <w:rFonts w:ascii="Arial" w:hAnsi="Arial" w:cs="Arial"/>
        </w:rPr>
        <w:t xml:space="preserve">, pero – como se detallará luego – se tiene constancia de que los abogados no siempre cargan en la base de datos las causas nuevas. </w:t>
      </w:r>
      <w:r w:rsidR="00225D8E" w:rsidRPr="00F237BB">
        <w:rPr>
          <w:rFonts w:ascii="Arial" w:hAnsi="Arial" w:cs="Arial"/>
        </w:rPr>
        <w:t xml:space="preserve">Es importante tener en cuenta, con relación a las causas judiciales, que los problemas de gestión de las mismas </w:t>
      </w:r>
      <w:r w:rsidR="00F51C4D" w:rsidRPr="00F237BB">
        <w:rPr>
          <w:rFonts w:ascii="Arial" w:hAnsi="Arial" w:cs="Arial"/>
        </w:rPr>
        <w:t xml:space="preserve">afecta </w:t>
      </w:r>
      <w:r w:rsidR="00850D1B" w:rsidRPr="00F237BB">
        <w:rPr>
          <w:rFonts w:ascii="Arial" w:hAnsi="Arial" w:cs="Arial"/>
        </w:rPr>
        <w:t xml:space="preserve">de manera </w:t>
      </w:r>
      <w:r w:rsidR="00225D8E" w:rsidRPr="00F237BB">
        <w:rPr>
          <w:rFonts w:ascii="Arial" w:hAnsi="Arial" w:cs="Arial"/>
        </w:rPr>
        <w:t>directa</w:t>
      </w:r>
      <w:r w:rsidR="00850D1B" w:rsidRPr="00F237BB">
        <w:rPr>
          <w:rFonts w:ascii="Arial" w:hAnsi="Arial" w:cs="Arial"/>
        </w:rPr>
        <w:t xml:space="preserve"> </w:t>
      </w:r>
      <w:r w:rsidR="00F51C4D" w:rsidRPr="00F237BB">
        <w:rPr>
          <w:rFonts w:ascii="Arial" w:hAnsi="Arial" w:cs="Arial"/>
        </w:rPr>
        <w:t xml:space="preserve">a la información básica necesaria para determinar el espacio fiscal y los compromisos de pagos futuros del Tesoro es el referido a los pasivos contingentes. </w:t>
      </w:r>
      <w:r w:rsidR="00225D8E" w:rsidRPr="00F237BB">
        <w:rPr>
          <w:rFonts w:ascii="Arial" w:hAnsi="Arial" w:cs="Arial"/>
        </w:rPr>
        <w:t>La falta</w:t>
      </w:r>
      <w:r w:rsidR="00BC156D" w:rsidRPr="00F237BB">
        <w:rPr>
          <w:rFonts w:ascii="Arial" w:hAnsi="Arial" w:cs="Arial"/>
        </w:rPr>
        <w:t xml:space="preserve"> de información acerca de los riesgos fiscales asociados a estas causas ante los tribunales está afectando a la calidad y la oportunidad de la información disponible</w:t>
      </w:r>
      <w:r w:rsidR="00225D8E" w:rsidRPr="00F237BB">
        <w:rPr>
          <w:rFonts w:ascii="Arial" w:hAnsi="Arial" w:cs="Arial"/>
        </w:rPr>
        <w:t xml:space="preserve"> y de las decisiones de política económica de mediano y largo plazo</w:t>
      </w:r>
      <w:r w:rsidR="00BC156D" w:rsidRPr="00F237BB">
        <w:rPr>
          <w:rFonts w:ascii="Arial" w:hAnsi="Arial" w:cs="Arial"/>
        </w:rPr>
        <w:t>.</w:t>
      </w:r>
    </w:p>
    <w:p w:rsidR="009D728C" w:rsidRPr="00F237BB" w:rsidRDefault="009D728C" w:rsidP="009D728C">
      <w:pPr>
        <w:rPr>
          <w:rFonts w:ascii="Arial" w:hAnsi="Arial" w:cs="Arial"/>
        </w:rPr>
      </w:pPr>
    </w:p>
    <w:p w:rsidR="00262478" w:rsidRPr="00F237BB" w:rsidRDefault="00262478" w:rsidP="00262478">
      <w:pPr>
        <w:spacing w:after="240"/>
        <w:ind w:left="567"/>
        <w:rPr>
          <w:rFonts w:ascii="Arial" w:hAnsi="Arial" w:cs="Arial"/>
          <w:b/>
          <w:u w:val="single"/>
        </w:rPr>
      </w:pPr>
      <w:r w:rsidRPr="00F237BB">
        <w:rPr>
          <w:rFonts w:ascii="Arial" w:hAnsi="Arial" w:cs="Arial"/>
          <w:b/>
          <w:u w:val="single"/>
        </w:rPr>
        <w:t>Factores causales</w:t>
      </w:r>
    </w:p>
    <w:p w:rsidR="00A413FD" w:rsidRPr="00F237BB" w:rsidRDefault="00A413FD" w:rsidP="00A413FD">
      <w:pPr>
        <w:pStyle w:val="ListParagraph"/>
        <w:numPr>
          <w:ilvl w:val="0"/>
          <w:numId w:val="21"/>
        </w:numPr>
        <w:spacing w:after="240"/>
        <w:rPr>
          <w:rFonts w:ascii="Arial" w:hAnsi="Arial" w:cs="Arial"/>
          <w:b/>
        </w:rPr>
      </w:pPr>
      <w:r w:rsidRPr="00F237BB">
        <w:rPr>
          <w:rFonts w:ascii="Arial" w:hAnsi="Arial" w:cs="Arial"/>
          <w:b/>
        </w:rPr>
        <w:lastRenderedPageBreak/>
        <w:t xml:space="preserve">Fragmentación y dispersión </w:t>
      </w:r>
      <w:r w:rsidR="006209B9" w:rsidRPr="00F237BB">
        <w:rPr>
          <w:rFonts w:ascii="Arial" w:hAnsi="Arial" w:cs="Arial"/>
          <w:b/>
        </w:rPr>
        <w:t>del esfuerzo por recopilar</w:t>
      </w:r>
      <w:r w:rsidRPr="00F237BB">
        <w:rPr>
          <w:rFonts w:ascii="Arial" w:hAnsi="Arial" w:cs="Arial"/>
          <w:b/>
        </w:rPr>
        <w:t xml:space="preserve"> información necesaria para la toma de decisiones y la elaboración de políticas </w:t>
      </w:r>
    </w:p>
    <w:p w:rsidR="00A413FD" w:rsidRPr="00F237BB" w:rsidRDefault="00EE2D53" w:rsidP="00EE2D53">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Un factor que afecta la calidad y oportunidad de la información disponible en los procesos de toma de decisión, consiste en </w:t>
      </w:r>
      <w:r w:rsidR="00815543" w:rsidRPr="00F237BB">
        <w:rPr>
          <w:rFonts w:ascii="Arial" w:hAnsi="Arial" w:cs="Arial"/>
          <w:lang w:val="es-ES_tradnl"/>
        </w:rPr>
        <w:t>el limitado alcance, la</w:t>
      </w:r>
      <w:r w:rsidR="00A413FD" w:rsidRPr="00F237BB">
        <w:rPr>
          <w:rFonts w:ascii="Arial" w:hAnsi="Arial" w:cs="Arial"/>
          <w:lang w:val="es-ES_tradnl"/>
        </w:rPr>
        <w:t xml:space="preserve"> fragmentación y </w:t>
      </w:r>
      <w:r w:rsidR="00815543" w:rsidRPr="00F237BB">
        <w:rPr>
          <w:rFonts w:ascii="Arial" w:hAnsi="Arial" w:cs="Arial"/>
          <w:lang w:val="es-ES_tradnl"/>
        </w:rPr>
        <w:t xml:space="preserve">la </w:t>
      </w:r>
      <w:r w:rsidR="00A413FD" w:rsidRPr="00F237BB">
        <w:rPr>
          <w:rFonts w:ascii="Arial" w:hAnsi="Arial" w:cs="Arial"/>
          <w:lang w:val="es-ES_tradnl"/>
        </w:rPr>
        <w:t>dispersión de</w:t>
      </w:r>
      <w:r w:rsidR="007D4021" w:rsidRPr="00F237BB">
        <w:rPr>
          <w:rFonts w:ascii="Arial" w:hAnsi="Arial" w:cs="Arial"/>
          <w:lang w:val="es-ES_tradnl"/>
        </w:rPr>
        <w:t xml:space="preserve">l esfuerzo por </w:t>
      </w:r>
      <w:r w:rsidR="007B5925" w:rsidRPr="00F237BB">
        <w:rPr>
          <w:rFonts w:ascii="Arial" w:hAnsi="Arial" w:cs="Arial"/>
          <w:lang w:val="es-ES_tradnl"/>
        </w:rPr>
        <w:t>recopilar la</w:t>
      </w:r>
      <w:r w:rsidR="00A413FD" w:rsidRPr="00F237BB">
        <w:rPr>
          <w:rFonts w:ascii="Arial" w:hAnsi="Arial" w:cs="Arial"/>
          <w:lang w:val="es-ES_tradnl"/>
        </w:rPr>
        <w:t xml:space="preserve"> información</w:t>
      </w:r>
      <w:r w:rsidR="007D4021" w:rsidRPr="00F237BB">
        <w:rPr>
          <w:rFonts w:ascii="Arial" w:hAnsi="Arial" w:cs="Arial"/>
          <w:lang w:val="es-ES_tradnl"/>
        </w:rPr>
        <w:t xml:space="preserve"> necesaria para la toma de decisiones</w:t>
      </w:r>
      <w:r w:rsidR="00A413FD" w:rsidRPr="00F237BB">
        <w:rPr>
          <w:rFonts w:ascii="Arial" w:hAnsi="Arial" w:cs="Arial"/>
          <w:lang w:val="es-ES_tradnl"/>
        </w:rPr>
        <w:t xml:space="preserve">. </w:t>
      </w:r>
      <w:r w:rsidR="00E46A45" w:rsidRPr="00F237BB">
        <w:rPr>
          <w:rFonts w:ascii="Arial" w:hAnsi="Arial" w:cs="Arial"/>
          <w:lang w:val="es-ES_tradnl"/>
        </w:rPr>
        <w:t>Se</w:t>
      </w:r>
      <w:r w:rsidR="00A413FD" w:rsidRPr="00F237BB">
        <w:rPr>
          <w:rFonts w:ascii="Arial" w:hAnsi="Arial" w:cs="Arial"/>
          <w:lang w:val="es-ES_tradnl"/>
        </w:rPr>
        <w:t xml:space="preserve"> ha construido </w:t>
      </w:r>
      <w:r w:rsidR="007B5925" w:rsidRPr="00F237BB">
        <w:rPr>
          <w:rFonts w:ascii="Arial" w:hAnsi="Arial" w:cs="Arial"/>
          <w:lang w:val="es-ES_tradnl"/>
        </w:rPr>
        <w:t>tres indicadores</w:t>
      </w:r>
      <w:r w:rsidRPr="00F237BB">
        <w:rPr>
          <w:rFonts w:ascii="Arial" w:hAnsi="Arial" w:cs="Arial"/>
          <w:lang w:val="es-ES_tradnl"/>
        </w:rPr>
        <w:t xml:space="preserve"> </w:t>
      </w:r>
      <w:r w:rsidR="00E46A45" w:rsidRPr="00F237BB">
        <w:rPr>
          <w:rFonts w:ascii="Arial" w:hAnsi="Arial" w:cs="Arial"/>
          <w:lang w:val="es-ES_tradnl"/>
        </w:rPr>
        <w:t>para aproximarse a este problema</w:t>
      </w:r>
      <w:r w:rsidR="00680A24" w:rsidRPr="00F237BB">
        <w:rPr>
          <w:rFonts w:ascii="Arial" w:hAnsi="Arial" w:cs="Arial"/>
          <w:lang w:val="es-ES_tradnl"/>
        </w:rPr>
        <w:t xml:space="preserve"> </w:t>
      </w:r>
      <w:r w:rsidRPr="00F237BB">
        <w:rPr>
          <w:rFonts w:ascii="Arial" w:hAnsi="Arial" w:cs="Arial"/>
          <w:lang w:val="es-ES_tradnl"/>
        </w:rPr>
        <w:t xml:space="preserve">(ver cuadro </w:t>
      </w:r>
      <w:r w:rsidR="005918B4" w:rsidRPr="00F237BB">
        <w:rPr>
          <w:rFonts w:ascii="Arial" w:hAnsi="Arial" w:cs="Arial"/>
          <w:lang w:val="es-ES_tradnl"/>
        </w:rPr>
        <w:t>14</w:t>
      </w:r>
      <w:r w:rsidRPr="00F237BB">
        <w:rPr>
          <w:rFonts w:ascii="Arial" w:hAnsi="Arial" w:cs="Arial"/>
          <w:lang w:val="es-ES_tradnl"/>
        </w:rPr>
        <w:t>)</w:t>
      </w:r>
      <w:r w:rsidR="00A413FD" w:rsidRPr="00F237BB">
        <w:rPr>
          <w:rFonts w:ascii="Arial" w:hAnsi="Arial" w:cs="Arial"/>
          <w:lang w:val="es-ES_tradnl"/>
        </w:rPr>
        <w:t xml:space="preserve">. </w:t>
      </w:r>
    </w:p>
    <w:p w:rsidR="00146ACD" w:rsidRPr="00F237BB" w:rsidRDefault="00146ACD" w:rsidP="00146ACD">
      <w:pPr>
        <w:pStyle w:val="ListParagraph"/>
        <w:ind w:left="567"/>
        <w:rPr>
          <w:rFonts w:ascii="Arial" w:hAnsi="Arial" w:cs="Arial"/>
          <w:lang w:val="es-ES_tradnl"/>
        </w:rPr>
      </w:pPr>
    </w:p>
    <w:p w:rsidR="00A413FD" w:rsidRPr="00F237BB" w:rsidRDefault="00BC790F" w:rsidP="00730892">
      <w:pPr>
        <w:pStyle w:val="Caption"/>
        <w:spacing w:line="360" w:lineRule="auto"/>
        <w:ind w:left="567"/>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5918B4" w:rsidRPr="00F237BB">
        <w:rPr>
          <w:rFonts w:ascii="Arial" w:hAnsi="Arial" w:cs="Arial"/>
          <w:noProof/>
          <w:sz w:val="22"/>
          <w:szCs w:val="22"/>
        </w:rPr>
        <w:t>14</w:t>
      </w:r>
      <w:r w:rsidR="00F237BB" w:rsidRPr="00F237BB">
        <w:rPr>
          <w:rFonts w:ascii="Arial" w:hAnsi="Arial" w:cs="Arial"/>
          <w:noProof/>
          <w:sz w:val="22"/>
          <w:szCs w:val="22"/>
        </w:rPr>
        <w:fldChar w:fldCharType="end"/>
      </w:r>
      <w:r w:rsidR="005918B4" w:rsidRPr="00F237BB">
        <w:rPr>
          <w:rFonts w:ascii="Arial" w:hAnsi="Arial" w:cs="Arial"/>
          <w:sz w:val="22"/>
          <w:szCs w:val="22"/>
        </w:rPr>
        <w:t xml:space="preserve"> </w:t>
      </w:r>
      <w:r w:rsidR="00A413FD" w:rsidRPr="00F237BB">
        <w:rPr>
          <w:rFonts w:ascii="Arial" w:hAnsi="Arial" w:cs="Arial"/>
          <w:sz w:val="22"/>
          <w:szCs w:val="22"/>
        </w:rPr>
        <w:t xml:space="preserve">– Fuentes de información utilizadas por </w:t>
      </w:r>
      <w:r w:rsidR="00680A24" w:rsidRPr="00F237BB">
        <w:rPr>
          <w:rFonts w:ascii="Arial" w:hAnsi="Arial" w:cs="Arial"/>
          <w:sz w:val="22"/>
          <w:szCs w:val="22"/>
        </w:rPr>
        <w:t>dirección</w:t>
      </w:r>
    </w:p>
    <w:tbl>
      <w:tblPr>
        <w:tblStyle w:val="TableGrid"/>
        <w:tblW w:w="779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701"/>
        <w:gridCol w:w="2552"/>
      </w:tblGrid>
      <w:tr w:rsidR="005918B4" w:rsidRPr="00F237BB" w:rsidTr="00C60E00">
        <w:trPr>
          <w:cantSplit/>
          <w:tblHeader/>
        </w:trPr>
        <w:tc>
          <w:tcPr>
            <w:tcW w:w="3544" w:type="dxa"/>
            <w:tcBorders>
              <w:top w:val="single" w:sz="4" w:space="0" w:color="auto"/>
              <w:bottom w:val="single" w:sz="4" w:space="0" w:color="auto"/>
            </w:tcBorders>
            <w:shd w:val="clear" w:color="auto" w:fill="D9D9D9" w:themeFill="background1" w:themeFillShade="D9"/>
          </w:tcPr>
          <w:p w:rsidR="005918B4" w:rsidRPr="00F237BB" w:rsidRDefault="005918B4" w:rsidP="00770B86">
            <w:pPr>
              <w:rPr>
                <w:rFonts w:ascii="Arial" w:hAnsi="Arial" w:cs="Arial"/>
                <w:b/>
              </w:rPr>
            </w:pPr>
          </w:p>
        </w:tc>
        <w:tc>
          <w:tcPr>
            <w:tcW w:w="1701" w:type="dxa"/>
            <w:tcBorders>
              <w:top w:val="single" w:sz="4" w:space="0" w:color="auto"/>
              <w:bottom w:val="single" w:sz="4" w:space="0" w:color="auto"/>
            </w:tcBorders>
            <w:shd w:val="clear" w:color="auto" w:fill="D9D9D9" w:themeFill="background1" w:themeFillShade="D9"/>
          </w:tcPr>
          <w:p w:rsidR="005918B4" w:rsidRPr="00F237BB" w:rsidRDefault="005918B4" w:rsidP="00770B86">
            <w:pPr>
              <w:jc w:val="center"/>
              <w:rPr>
                <w:rFonts w:ascii="Arial" w:hAnsi="Arial" w:cs="Arial"/>
                <w:b/>
              </w:rPr>
            </w:pPr>
            <w:r w:rsidRPr="00F237BB">
              <w:rPr>
                <w:rFonts w:ascii="Arial" w:hAnsi="Arial" w:cs="Arial"/>
                <w:b/>
              </w:rPr>
              <w:t>DNPM</w:t>
            </w:r>
          </w:p>
        </w:tc>
        <w:tc>
          <w:tcPr>
            <w:tcW w:w="2552" w:type="dxa"/>
            <w:tcBorders>
              <w:top w:val="single" w:sz="4" w:space="0" w:color="auto"/>
              <w:bottom w:val="single" w:sz="4" w:space="0" w:color="auto"/>
            </w:tcBorders>
            <w:shd w:val="clear" w:color="auto" w:fill="D9D9D9" w:themeFill="background1" w:themeFillShade="D9"/>
          </w:tcPr>
          <w:p w:rsidR="005918B4" w:rsidRPr="00F237BB" w:rsidRDefault="005918B4" w:rsidP="00770B86">
            <w:pPr>
              <w:jc w:val="center"/>
              <w:rPr>
                <w:rFonts w:ascii="Arial" w:hAnsi="Arial" w:cs="Arial"/>
                <w:b/>
              </w:rPr>
            </w:pPr>
            <w:r w:rsidRPr="00F237BB">
              <w:rPr>
                <w:rFonts w:ascii="Arial" w:hAnsi="Arial" w:cs="Arial"/>
                <w:b/>
              </w:rPr>
              <w:t>DNPR</w:t>
            </w:r>
          </w:p>
        </w:tc>
      </w:tr>
      <w:tr w:rsidR="005918B4" w:rsidRPr="00F237BB" w:rsidTr="00C60E00">
        <w:trPr>
          <w:cantSplit/>
        </w:trPr>
        <w:tc>
          <w:tcPr>
            <w:tcW w:w="3544" w:type="dxa"/>
            <w:tcBorders>
              <w:top w:val="single" w:sz="4" w:space="0" w:color="auto"/>
            </w:tcBorders>
            <w:shd w:val="clear" w:color="auto" w:fill="auto"/>
          </w:tcPr>
          <w:p w:rsidR="005918B4" w:rsidRPr="00F237BB" w:rsidRDefault="005918B4" w:rsidP="002D2C0C">
            <w:pPr>
              <w:pStyle w:val="ListParagraph"/>
              <w:numPr>
                <w:ilvl w:val="0"/>
                <w:numId w:val="35"/>
              </w:numPr>
              <w:jc w:val="left"/>
              <w:rPr>
                <w:rFonts w:ascii="Arial" w:hAnsi="Arial" w:cs="Arial"/>
              </w:rPr>
            </w:pPr>
            <w:r w:rsidRPr="00F237BB">
              <w:rPr>
                <w:rFonts w:ascii="Arial" w:hAnsi="Arial" w:cs="Arial"/>
                <w:lang w:val="es-ES_tradnl"/>
              </w:rPr>
              <w:t>Generación o uso de bases de datos propias</w:t>
            </w:r>
          </w:p>
        </w:tc>
        <w:tc>
          <w:tcPr>
            <w:tcW w:w="1701" w:type="dxa"/>
            <w:tcBorders>
              <w:top w:val="single" w:sz="4" w:space="0" w:color="auto"/>
            </w:tcBorders>
            <w:shd w:val="clear" w:color="auto" w:fill="auto"/>
          </w:tcPr>
          <w:p w:rsidR="005918B4" w:rsidRPr="00F237BB" w:rsidRDefault="005918B4" w:rsidP="00770B86">
            <w:pPr>
              <w:jc w:val="center"/>
              <w:rPr>
                <w:rFonts w:ascii="Arial" w:hAnsi="Arial" w:cs="Arial"/>
              </w:rPr>
            </w:pPr>
            <w:r w:rsidRPr="00F237BB">
              <w:rPr>
                <w:rFonts w:ascii="Arial" w:hAnsi="Arial" w:cs="Arial"/>
              </w:rPr>
              <w:t>NA</w:t>
            </w:r>
          </w:p>
        </w:tc>
        <w:tc>
          <w:tcPr>
            <w:tcW w:w="2552" w:type="dxa"/>
            <w:tcBorders>
              <w:top w:val="single" w:sz="4" w:space="0" w:color="auto"/>
            </w:tcBorders>
            <w:shd w:val="clear" w:color="auto" w:fill="auto"/>
          </w:tcPr>
          <w:p w:rsidR="005918B4" w:rsidRPr="00F237BB" w:rsidRDefault="005918B4" w:rsidP="00770B86">
            <w:pPr>
              <w:contextualSpacing/>
              <w:jc w:val="left"/>
              <w:rPr>
                <w:rFonts w:ascii="Arial" w:hAnsi="Arial" w:cs="Arial"/>
              </w:rPr>
            </w:pPr>
            <w:proofErr w:type="spellStart"/>
            <w:r w:rsidRPr="00F237BB">
              <w:rPr>
                <w:rFonts w:ascii="Arial" w:hAnsi="Arial" w:cs="Arial"/>
                <w:i/>
              </w:rPr>
              <w:t>Indic</w:t>
            </w:r>
            <w:proofErr w:type="spellEnd"/>
            <w:r w:rsidRPr="00F237BB">
              <w:rPr>
                <w:rFonts w:ascii="Arial" w:hAnsi="Arial" w:cs="Arial"/>
              </w:rPr>
              <w:t>. Coyuntura actividad regional.</w:t>
            </w:r>
          </w:p>
          <w:p w:rsidR="005918B4" w:rsidRPr="00F237BB" w:rsidRDefault="005918B4" w:rsidP="00770B86">
            <w:pPr>
              <w:jc w:val="left"/>
              <w:rPr>
                <w:rFonts w:ascii="Arial" w:hAnsi="Arial" w:cs="Arial"/>
              </w:rPr>
            </w:pPr>
            <w:r w:rsidRPr="00F237BB">
              <w:rPr>
                <w:rFonts w:ascii="Arial" w:hAnsi="Arial" w:cs="Arial"/>
                <w:i/>
              </w:rPr>
              <w:t>Inventario</w:t>
            </w:r>
            <w:r w:rsidRPr="00F237BB">
              <w:rPr>
                <w:rFonts w:ascii="Arial" w:hAnsi="Arial" w:cs="Arial"/>
              </w:rPr>
              <w:t xml:space="preserve"> de productos de acuerdo a líneas</w:t>
            </w:r>
          </w:p>
        </w:tc>
      </w:tr>
      <w:tr w:rsidR="005918B4" w:rsidRPr="00F237BB" w:rsidTr="00C60E00">
        <w:trPr>
          <w:cantSplit/>
        </w:trPr>
        <w:tc>
          <w:tcPr>
            <w:tcW w:w="3544" w:type="dxa"/>
            <w:shd w:val="clear" w:color="auto" w:fill="auto"/>
          </w:tcPr>
          <w:p w:rsidR="005918B4" w:rsidRPr="00F237BB" w:rsidRDefault="005918B4" w:rsidP="002D2C0C">
            <w:pPr>
              <w:pStyle w:val="ListParagraph"/>
              <w:numPr>
                <w:ilvl w:val="0"/>
                <w:numId w:val="35"/>
              </w:numPr>
              <w:jc w:val="left"/>
              <w:rPr>
                <w:rFonts w:ascii="Arial" w:hAnsi="Arial" w:cs="Arial"/>
              </w:rPr>
            </w:pPr>
            <w:r w:rsidRPr="00F237BB">
              <w:rPr>
                <w:rFonts w:ascii="Arial" w:hAnsi="Arial" w:cs="Arial"/>
                <w:lang w:val="es-ES_tradnl"/>
              </w:rPr>
              <w:t>Recopilación de datos sectoriales</w:t>
            </w:r>
          </w:p>
        </w:tc>
        <w:tc>
          <w:tcPr>
            <w:tcW w:w="1701" w:type="dxa"/>
            <w:shd w:val="clear" w:color="auto" w:fill="auto"/>
          </w:tcPr>
          <w:p w:rsidR="005918B4" w:rsidRPr="00F237BB" w:rsidRDefault="005918B4" w:rsidP="00770B86">
            <w:pPr>
              <w:jc w:val="center"/>
              <w:rPr>
                <w:rFonts w:ascii="Arial" w:hAnsi="Arial" w:cs="Arial"/>
              </w:rPr>
            </w:pPr>
            <w:r w:rsidRPr="00F237BB">
              <w:rPr>
                <w:rFonts w:ascii="Arial" w:hAnsi="Arial" w:cs="Arial"/>
              </w:rPr>
              <w:t>NA</w:t>
            </w:r>
          </w:p>
        </w:tc>
        <w:tc>
          <w:tcPr>
            <w:tcW w:w="2552" w:type="dxa"/>
            <w:shd w:val="clear" w:color="auto" w:fill="auto"/>
          </w:tcPr>
          <w:p w:rsidR="005918B4" w:rsidRPr="00F237BB" w:rsidRDefault="005918B4" w:rsidP="00770B86">
            <w:pPr>
              <w:contextualSpacing/>
              <w:jc w:val="left"/>
              <w:rPr>
                <w:rFonts w:ascii="Arial" w:hAnsi="Arial" w:cs="Arial"/>
              </w:rPr>
            </w:pPr>
            <w:r w:rsidRPr="00F237BB">
              <w:rPr>
                <w:rFonts w:ascii="Arial" w:hAnsi="Arial" w:cs="Arial"/>
              </w:rPr>
              <w:t>1 solo convenio de información (cámara)</w:t>
            </w:r>
          </w:p>
          <w:p w:rsidR="005918B4" w:rsidRPr="00F237BB" w:rsidRDefault="005918B4" w:rsidP="00770B86">
            <w:pPr>
              <w:contextualSpacing/>
              <w:jc w:val="left"/>
              <w:rPr>
                <w:rFonts w:ascii="Arial" w:hAnsi="Arial" w:cs="Arial"/>
              </w:rPr>
            </w:pPr>
            <w:r w:rsidRPr="00F237BB">
              <w:rPr>
                <w:rFonts w:ascii="Arial" w:hAnsi="Arial" w:cs="Arial"/>
              </w:rPr>
              <w:t>30 vínculos informales para información- deseable 75</w:t>
            </w:r>
          </w:p>
        </w:tc>
      </w:tr>
      <w:tr w:rsidR="005918B4" w:rsidRPr="00F237BB" w:rsidTr="00C60E00">
        <w:trPr>
          <w:cantSplit/>
        </w:trPr>
        <w:tc>
          <w:tcPr>
            <w:tcW w:w="3544" w:type="dxa"/>
            <w:tcBorders>
              <w:bottom w:val="single" w:sz="4" w:space="0" w:color="auto"/>
            </w:tcBorders>
            <w:shd w:val="clear" w:color="auto" w:fill="auto"/>
          </w:tcPr>
          <w:p w:rsidR="005918B4" w:rsidRPr="00F237BB" w:rsidRDefault="005918B4" w:rsidP="002D2C0C">
            <w:pPr>
              <w:pStyle w:val="ListParagraph"/>
              <w:numPr>
                <w:ilvl w:val="0"/>
                <w:numId w:val="35"/>
              </w:numPr>
              <w:jc w:val="left"/>
              <w:rPr>
                <w:rFonts w:ascii="Arial" w:hAnsi="Arial" w:cs="Arial"/>
              </w:rPr>
            </w:pPr>
            <w:r w:rsidRPr="00F237BB">
              <w:rPr>
                <w:rFonts w:ascii="Arial" w:hAnsi="Arial" w:cs="Arial"/>
                <w:lang w:val="es-ES_tradnl"/>
              </w:rPr>
              <w:t>Bases de datos (externas a la unidad)</w:t>
            </w:r>
          </w:p>
        </w:tc>
        <w:tc>
          <w:tcPr>
            <w:tcW w:w="1701" w:type="dxa"/>
            <w:tcBorders>
              <w:bottom w:val="single" w:sz="4" w:space="0" w:color="auto"/>
            </w:tcBorders>
            <w:shd w:val="clear" w:color="auto" w:fill="auto"/>
          </w:tcPr>
          <w:p w:rsidR="005918B4" w:rsidRPr="00F237BB" w:rsidRDefault="005918B4" w:rsidP="00770B86">
            <w:pPr>
              <w:jc w:val="center"/>
              <w:rPr>
                <w:rFonts w:ascii="Arial" w:hAnsi="Arial" w:cs="Arial"/>
              </w:rPr>
            </w:pPr>
            <w:r w:rsidRPr="00F237BB">
              <w:rPr>
                <w:rFonts w:ascii="Arial" w:hAnsi="Arial" w:cs="Arial"/>
                <w:lang w:val="es-ES_tradnl"/>
              </w:rPr>
              <w:t>5 de 7 deseables</w:t>
            </w:r>
          </w:p>
        </w:tc>
        <w:tc>
          <w:tcPr>
            <w:tcW w:w="2552" w:type="dxa"/>
            <w:tcBorders>
              <w:bottom w:val="single" w:sz="4" w:space="0" w:color="auto"/>
            </w:tcBorders>
            <w:shd w:val="clear" w:color="auto" w:fill="auto"/>
          </w:tcPr>
          <w:p w:rsidR="005918B4" w:rsidRPr="00F237BB" w:rsidRDefault="005918B4" w:rsidP="00770B86">
            <w:pPr>
              <w:jc w:val="center"/>
              <w:rPr>
                <w:rFonts w:ascii="Arial" w:hAnsi="Arial" w:cs="Arial"/>
              </w:rPr>
            </w:pPr>
            <w:r w:rsidRPr="00F237BB">
              <w:rPr>
                <w:rFonts w:ascii="Arial" w:hAnsi="Arial" w:cs="Arial"/>
              </w:rPr>
              <w:t>NA</w:t>
            </w:r>
          </w:p>
        </w:tc>
      </w:tr>
    </w:tbl>
    <w:p w:rsidR="00A413FD" w:rsidRPr="00F237BB" w:rsidRDefault="00A413FD" w:rsidP="00A413FD">
      <w:pPr>
        <w:ind w:left="737"/>
        <w:rPr>
          <w:rFonts w:ascii="Arial" w:hAnsi="Arial" w:cs="Arial"/>
          <w:lang w:val="es-ES_tradnl"/>
        </w:rPr>
      </w:pPr>
      <w:r w:rsidRPr="00F237BB">
        <w:rPr>
          <w:rFonts w:ascii="Arial" w:hAnsi="Arial" w:cs="Arial"/>
          <w:lang w:val="es-ES_tradnl"/>
        </w:rPr>
        <w:t>NA: No aplica. Fuente: Ficha a directores</w:t>
      </w:r>
      <w:r w:rsidR="00680A24" w:rsidRPr="00F237BB">
        <w:rPr>
          <w:rStyle w:val="FootnoteReference"/>
          <w:rFonts w:ascii="Arial" w:hAnsi="Arial" w:cs="Arial"/>
          <w:sz w:val="22"/>
          <w:lang w:val="es-ES_tradnl"/>
        </w:rPr>
        <w:footnoteReference w:id="19"/>
      </w:r>
      <w:r w:rsidRPr="00F237BB">
        <w:rPr>
          <w:rFonts w:ascii="Arial" w:hAnsi="Arial" w:cs="Arial"/>
          <w:lang w:val="es-ES_tradnl"/>
        </w:rPr>
        <w:t>.</w:t>
      </w:r>
    </w:p>
    <w:p w:rsidR="00A413FD" w:rsidRPr="00F237BB" w:rsidRDefault="00A413FD" w:rsidP="00A413FD">
      <w:pPr>
        <w:rPr>
          <w:rFonts w:ascii="Arial" w:hAnsi="Arial" w:cs="Arial"/>
          <w:lang w:val="es-ES_tradnl"/>
        </w:rPr>
      </w:pPr>
    </w:p>
    <w:p w:rsidR="00EC0DBF" w:rsidRPr="00F237BB" w:rsidRDefault="00EC0DBF" w:rsidP="00EC0DBF">
      <w:pPr>
        <w:pStyle w:val="ListParagraph"/>
        <w:numPr>
          <w:ilvl w:val="0"/>
          <w:numId w:val="14"/>
        </w:numPr>
        <w:ind w:left="567" w:hanging="567"/>
        <w:rPr>
          <w:rFonts w:ascii="Arial" w:hAnsi="Arial" w:cs="Arial"/>
          <w:lang w:val="es-ES_tradnl"/>
        </w:rPr>
      </w:pPr>
      <w:r w:rsidRPr="00F237BB">
        <w:rPr>
          <w:rFonts w:ascii="Arial" w:hAnsi="Arial" w:cs="Arial"/>
          <w:lang w:val="es-ES_tradnl"/>
        </w:rPr>
        <w:t>El primer indicador se refiere a la “Generación o uso de bases de datos propios”</w:t>
      </w:r>
      <w:r w:rsidR="00680A24" w:rsidRPr="00F237BB">
        <w:rPr>
          <w:rFonts w:ascii="Arial" w:hAnsi="Arial" w:cs="Arial"/>
          <w:lang w:val="es-ES_tradnl"/>
        </w:rPr>
        <w:t xml:space="preserve"> y se tiene información para la DNPR</w:t>
      </w:r>
      <w:r w:rsidRPr="00F237BB">
        <w:rPr>
          <w:rFonts w:ascii="Arial" w:hAnsi="Arial" w:cs="Arial"/>
          <w:lang w:val="es-ES_tradnl"/>
        </w:rPr>
        <w:t xml:space="preserve">. Con él se quiere conocer si los datos y la información generados en las actividades de cada dirección están depositados en un repositorio común de información o se gestionan de forma aislada. Como puede observarse en el cuadro </w:t>
      </w:r>
      <w:r w:rsidR="00680A24" w:rsidRPr="00F237BB">
        <w:rPr>
          <w:rFonts w:ascii="Arial" w:hAnsi="Arial" w:cs="Arial"/>
          <w:lang w:val="es-ES_tradnl"/>
        </w:rPr>
        <w:t>14</w:t>
      </w:r>
      <w:r w:rsidRPr="00F237BB">
        <w:rPr>
          <w:rFonts w:ascii="Arial" w:hAnsi="Arial" w:cs="Arial"/>
          <w:lang w:val="es-ES_tradnl"/>
        </w:rPr>
        <w:t xml:space="preserve">, </w:t>
      </w:r>
      <w:r w:rsidR="00680A24" w:rsidRPr="00F237BB">
        <w:rPr>
          <w:rFonts w:ascii="Arial" w:hAnsi="Arial" w:cs="Arial"/>
          <w:lang w:val="es-ES_tradnl"/>
        </w:rPr>
        <w:t>l</w:t>
      </w:r>
      <w:r w:rsidRPr="00F237BB">
        <w:rPr>
          <w:rFonts w:ascii="Arial" w:hAnsi="Arial" w:cs="Arial"/>
          <w:lang w:val="es-ES_tradnl"/>
        </w:rPr>
        <w:t xml:space="preserve">a </w:t>
      </w:r>
      <w:r w:rsidR="00680A24" w:rsidRPr="00F237BB">
        <w:rPr>
          <w:rFonts w:ascii="Arial" w:hAnsi="Arial" w:cs="Arial"/>
          <w:lang w:val="es-ES_tradnl"/>
        </w:rPr>
        <w:t xml:space="preserve">mencionada </w:t>
      </w:r>
      <w:r w:rsidRPr="00F237BB">
        <w:rPr>
          <w:rFonts w:ascii="Arial" w:hAnsi="Arial" w:cs="Arial"/>
          <w:lang w:val="es-ES_tradnl"/>
        </w:rPr>
        <w:t xml:space="preserve">dirección genera sus bases de datos o información y no la comparte con el resto de la </w:t>
      </w:r>
      <w:proofErr w:type="spellStart"/>
      <w:r w:rsidRPr="00F237BB">
        <w:rPr>
          <w:rFonts w:ascii="Arial" w:hAnsi="Arial" w:cs="Arial"/>
          <w:lang w:val="es-ES_tradnl"/>
        </w:rPr>
        <w:t>SPE</w:t>
      </w:r>
      <w:r w:rsidR="00B01548" w:rsidRPr="00F237BB">
        <w:rPr>
          <w:rFonts w:ascii="Arial" w:hAnsi="Arial" w:cs="Arial"/>
          <w:lang w:val="es-ES_tradnl"/>
        </w:rPr>
        <w:t>yPD</w:t>
      </w:r>
      <w:proofErr w:type="spellEnd"/>
      <w:r w:rsidRPr="00F237BB">
        <w:rPr>
          <w:rFonts w:ascii="Arial" w:hAnsi="Arial" w:cs="Arial"/>
          <w:lang w:val="es-ES_tradnl"/>
        </w:rPr>
        <w:t xml:space="preserve">. Es decir, el resultado de este indicador estaría denotando que el manejo de la información es elevadamente fragmentado. </w:t>
      </w:r>
    </w:p>
    <w:p w:rsidR="00EC0DBF" w:rsidRPr="00F237BB" w:rsidRDefault="00EC0DBF" w:rsidP="00EC0DBF">
      <w:pPr>
        <w:pStyle w:val="ListParagraph"/>
        <w:ind w:left="567"/>
        <w:rPr>
          <w:rFonts w:ascii="Arial" w:hAnsi="Arial" w:cs="Arial"/>
          <w:lang w:val="es-ES_tradnl"/>
        </w:rPr>
      </w:pPr>
    </w:p>
    <w:p w:rsidR="00402DF3" w:rsidRPr="00F237BB" w:rsidRDefault="00402DF3" w:rsidP="00402DF3">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El segundo indicador pretende aproximarse a la dispersión del esfuerzo por recopilar datos e información externa, bien sea de otros sectores o de las provincias. El indicador utilizado se denomina “Recopilación de datos sectoriales”. Los resultados </w:t>
      </w:r>
      <w:r w:rsidR="0092141A" w:rsidRPr="00F237BB">
        <w:rPr>
          <w:rFonts w:ascii="Arial" w:hAnsi="Arial" w:cs="Arial"/>
          <w:lang w:val="es-ES_tradnl"/>
        </w:rPr>
        <w:t>para la DNPR</w:t>
      </w:r>
      <w:r w:rsidRPr="00F237BB">
        <w:rPr>
          <w:rFonts w:ascii="Arial" w:hAnsi="Arial" w:cs="Arial"/>
          <w:lang w:val="es-ES_tradnl"/>
        </w:rPr>
        <w:t xml:space="preserve"> muestran, en primer lugar, que es escasa la información externa recopilada y, en segundo lugar, que ello no se centraliza a través de mecanismos institucionalizados y menos aún compartidos entre las unidades de la </w:t>
      </w:r>
      <w:proofErr w:type="spellStart"/>
      <w:r w:rsidRPr="00F237BB">
        <w:rPr>
          <w:rFonts w:ascii="Arial" w:hAnsi="Arial" w:cs="Arial"/>
          <w:lang w:val="es-ES_tradnl"/>
        </w:rPr>
        <w:t>SPE</w:t>
      </w:r>
      <w:r w:rsidR="0092141A" w:rsidRPr="00F237BB">
        <w:rPr>
          <w:rFonts w:ascii="Arial" w:hAnsi="Arial" w:cs="Arial"/>
          <w:lang w:val="es-ES_tradnl"/>
        </w:rPr>
        <w:t>yPD</w:t>
      </w:r>
      <w:proofErr w:type="spellEnd"/>
      <w:r w:rsidRPr="00F237BB">
        <w:rPr>
          <w:rFonts w:ascii="Arial" w:hAnsi="Arial" w:cs="Arial"/>
          <w:lang w:val="es-ES_tradnl"/>
        </w:rPr>
        <w:t xml:space="preserve">: </w:t>
      </w:r>
      <w:r w:rsidR="0092141A" w:rsidRPr="00F237BB">
        <w:rPr>
          <w:rFonts w:ascii="Arial" w:hAnsi="Arial" w:cs="Arial"/>
          <w:lang w:val="es-ES_tradnl"/>
        </w:rPr>
        <w:t>la dirección</w:t>
      </w:r>
      <w:r w:rsidRPr="00F237BB">
        <w:rPr>
          <w:rFonts w:ascii="Arial" w:hAnsi="Arial" w:cs="Arial"/>
          <w:lang w:val="es-ES_tradnl"/>
        </w:rPr>
        <w:t xml:space="preserve"> tienen suscrito un solo convenio de información y existen 30 vínculos (medianamente formales) para lograr información, mientras lo deseable sería contar con 75. </w:t>
      </w:r>
    </w:p>
    <w:p w:rsidR="00402DF3" w:rsidRPr="00F237BB" w:rsidRDefault="00402DF3" w:rsidP="00402DF3">
      <w:pPr>
        <w:pStyle w:val="ListParagraph"/>
        <w:rPr>
          <w:rFonts w:ascii="Arial" w:hAnsi="Arial" w:cs="Arial"/>
          <w:lang w:val="es-ES_tradnl"/>
        </w:rPr>
      </w:pPr>
    </w:p>
    <w:p w:rsidR="00A413FD" w:rsidRPr="00F237BB" w:rsidRDefault="00A413FD" w:rsidP="00A413FD">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Un tercer indicador que permite aproximarse al </w:t>
      </w:r>
      <w:r w:rsidR="00505D14" w:rsidRPr="00F237BB">
        <w:rPr>
          <w:rFonts w:ascii="Arial" w:hAnsi="Arial" w:cs="Arial"/>
          <w:lang w:val="es-ES_tradnl"/>
        </w:rPr>
        <w:t xml:space="preserve">alcance del esfuerzo por recopilar </w:t>
      </w:r>
      <w:r w:rsidRPr="00F237BB">
        <w:rPr>
          <w:rFonts w:ascii="Arial" w:hAnsi="Arial" w:cs="Arial"/>
          <w:lang w:val="es-ES_tradnl"/>
        </w:rPr>
        <w:t>información</w:t>
      </w:r>
      <w:r w:rsidR="00505D14" w:rsidRPr="00F237BB">
        <w:rPr>
          <w:rFonts w:ascii="Arial" w:hAnsi="Arial" w:cs="Arial"/>
          <w:lang w:val="es-ES_tradnl"/>
        </w:rPr>
        <w:t xml:space="preserve"> externa</w:t>
      </w:r>
      <w:r w:rsidRPr="00F237BB">
        <w:rPr>
          <w:rFonts w:ascii="Arial" w:hAnsi="Arial" w:cs="Arial"/>
          <w:lang w:val="es-ES_tradnl"/>
        </w:rPr>
        <w:t xml:space="preserve"> es el siguiente: “Bases de datos (externas a la unidad) disponibles”. En este caso,</w:t>
      </w:r>
      <w:r w:rsidR="0092141A" w:rsidRPr="00F237BB">
        <w:rPr>
          <w:rFonts w:ascii="Arial" w:hAnsi="Arial" w:cs="Arial"/>
          <w:lang w:val="es-ES_tradnl"/>
        </w:rPr>
        <w:t xml:space="preserve"> la información está disponible para</w:t>
      </w:r>
      <w:r w:rsidRPr="00F237BB">
        <w:rPr>
          <w:rFonts w:ascii="Arial" w:hAnsi="Arial" w:cs="Arial"/>
          <w:lang w:val="es-ES_tradnl"/>
        </w:rPr>
        <w:t xml:space="preserve"> </w:t>
      </w:r>
      <w:r w:rsidR="0092141A" w:rsidRPr="00F237BB">
        <w:rPr>
          <w:rFonts w:ascii="Arial" w:hAnsi="Arial" w:cs="Arial"/>
          <w:lang w:val="es-ES_tradnl"/>
        </w:rPr>
        <w:t xml:space="preserve">la DNPM, en dónde se observa que </w:t>
      </w:r>
      <w:r w:rsidRPr="00F237BB">
        <w:rPr>
          <w:rFonts w:ascii="Arial" w:hAnsi="Arial" w:cs="Arial"/>
          <w:lang w:val="es-ES_tradnl"/>
        </w:rPr>
        <w:t>tiene acceso a 5 de las 7</w:t>
      </w:r>
      <w:r w:rsidR="006209B9" w:rsidRPr="00F237BB">
        <w:rPr>
          <w:rFonts w:ascii="Arial" w:hAnsi="Arial" w:cs="Arial"/>
          <w:lang w:val="es-ES_tradnl"/>
        </w:rPr>
        <w:t xml:space="preserve"> bases</w:t>
      </w:r>
      <w:r w:rsidRPr="00F237BB">
        <w:rPr>
          <w:rFonts w:ascii="Arial" w:hAnsi="Arial" w:cs="Arial"/>
          <w:lang w:val="es-ES_tradnl"/>
        </w:rPr>
        <w:t xml:space="preserve"> deseables.</w:t>
      </w:r>
    </w:p>
    <w:p w:rsidR="00A413FD" w:rsidRPr="00F237BB" w:rsidRDefault="00A413FD" w:rsidP="00A413FD">
      <w:pPr>
        <w:pStyle w:val="ListParagraph"/>
        <w:rPr>
          <w:rFonts w:ascii="Arial" w:hAnsi="Arial" w:cs="Arial"/>
          <w:lang w:val="es-ES_tradnl"/>
        </w:rPr>
      </w:pPr>
    </w:p>
    <w:p w:rsidR="00730892" w:rsidRPr="00F237BB" w:rsidRDefault="00B01548" w:rsidP="00C60E00">
      <w:pPr>
        <w:pStyle w:val="ListParagraph"/>
        <w:numPr>
          <w:ilvl w:val="0"/>
          <w:numId w:val="14"/>
        </w:numPr>
        <w:ind w:left="567" w:hanging="567"/>
        <w:rPr>
          <w:rFonts w:ascii="Arial" w:hAnsi="Arial" w:cs="Arial"/>
          <w:lang w:val="es-ES_tradnl"/>
        </w:rPr>
      </w:pPr>
      <w:r w:rsidRPr="00F237BB">
        <w:rPr>
          <w:rFonts w:ascii="Arial" w:hAnsi="Arial" w:cs="Arial"/>
          <w:lang w:val="es-ES_tradnl"/>
        </w:rPr>
        <w:t>Adicionalmente, existe el SIMPE, que en teoría debería ser una</w:t>
      </w:r>
      <w:r w:rsidR="00987CC7" w:rsidRPr="00F237BB">
        <w:rPr>
          <w:rFonts w:ascii="Arial" w:hAnsi="Arial" w:cs="Arial"/>
          <w:lang w:val="es-ES_tradnl"/>
        </w:rPr>
        <w:t xml:space="preserve"> herramienta de información accesible transversalmente en las unidades de la </w:t>
      </w:r>
      <w:proofErr w:type="spellStart"/>
      <w:r w:rsidR="00987CC7" w:rsidRPr="00F237BB">
        <w:rPr>
          <w:rFonts w:ascii="Arial" w:hAnsi="Arial" w:cs="Arial"/>
          <w:lang w:val="es-ES_tradnl"/>
        </w:rPr>
        <w:t>SPE</w:t>
      </w:r>
      <w:r w:rsidRPr="00F237BB">
        <w:rPr>
          <w:rFonts w:ascii="Arial" w:hAnsi="Arial" w:cs="Arial"/>
          <w:lang w:val="es-ES_tradnl"/>
        </w:rPr>
        <w:t>yPD</w:t>
      </w:r>
      <w:proofErr w:type="spellEnd"/>
      <w:r w:rsidR="00936029" w:rsidRPr="00F237BB">
        <w:rPr>
          <w:rFonts w:ascii="Arial" w:hAnsi="Arial" w:cs="Arial"/>
          <w:lang w:val="es-ES_tradnl"/>
        </w:rPr>
        <w:t xml:space="preserve">. </w:t>
      </w:r>
      <w:r w:rsidR="00987CC7" w:rsidRPr="00F237BB">
        <w:rPr>
          <w:rFonts w:ascii="Arial" w:hAnsi="Arial" w:cs="Arial"/>
          <w:lang w:val="es-ES_tradnl"/>
        </w:rPr>
        <w:t xml:space="preserve">Este sistema </w:t>
      </w:r>
      <w:r w:rsidR="00987CC7" w:rsidRPr="00F237BB">
        <w:rPr>
          <w:rFonts w:ascii="Arial" w:hAnsi="Arial" w:cs="Arial"/>
          <w:lang w:val="es-ES_tradnl"/>
        </w:rPr>
        <w:lastRenderedPageBreak/>
        <w:t>consiste en</w:t>
      </w:r>
      <w:r w:rsidR="00730892" w:rsidRPr="00F237BB">
        <w:rPr>
          <w:rFonts w:ascii="Arial" w:hAnsi="Arial" w:cs="Arial"/>
          <w:lang w:val="es-ES_tradnl"/>
        </w:rPr>
        <w:t xml:space="preserve"> una intranet de contenidos que habilita, mediante una </w:t>
      </w:r>
      <w:proofErr w:type="spellStart"/>
      <w:r w:rsidR="00730892" w:rsidRPr="00F237BB">
        <w:rPr>
          <w:rFonts w:ascii="Arial" w:hAnsi="Arial" w:cs="Arial"/>
          <w:lang w:val="es-ES_tradnl"/>
        </w:rPr>
        <w:t>interfase</w:t>
      </w:r>
      <w:proofErr w:type="spellEnd"/>
      <w:r w:rsidR="00730892" w:rsidRPr="00F237BB">
        <w:rPr>
          <w:rFonts w:ascii="Arial" w:hAnsi="Arial" w:cs="Arial"/>
          <w:lang w:val="es-ES_tradnl"/>
        </w:rPr>
        <w:t xml:space="preserve"> alfanumérica y gráfica, integrar la información residente en las distintas áreas de la </w:t>
      </w:r>
      <w:proofErr w:type="spellStart"/>
      <w:r w:rsidR="00730892" w:rsidRPr="00F237BB">
        <w:rPr>
          <w:rFonts w:ascii="Arial" w:hAnsi="Arial" w:cs="Arial"/>
          <w:lang w:val="es-ES_tradnl"/>
        </w:rPr>
        <w:t>SPE</w:t>
      </w:r>
      <w:r w:rsidRPr="00F237BB">
        <w:rPr>
          <w:rFonts w:ascii="Arial" w:hAnsi="Arial" w:cs="Arial"/>
          <w:lang w:val="es-ES_tradnl"/>
        </w:rPr>
        <w:t>yPD</w:t>
      </w:r>
      <w:proofErr w:type="spellEnd"/>
      <w:r w:rsidR="00730892" w:rsidRPr="00F237BB">
        <w:rPr>
          <w:rFonts w:ascii="Arial" w:hAnsi="Arial" w:cs="Arial"/>
          <w:lang w:val="es-ES_tradnl"/>
        </w:rPr>
        <w:t xml:space="preserve"> y visualizar en una pantalla síntesis, accesible desde </w:t>
      </w:r>
      <w:r w:rsidR="00936029" w:rsidRPr="00F237BB">
        <w:rPr>
          <w:rFonts w:ascii="Arial" w:hAnsi="Arial" w:cs="Arial"/>
          <w:lang w:val="es-ES_tradnl"/>
        </w:rPr>
        <w:t>internet</w:t>
      </w:r>
      <w:r w:rsidR="00730892" w:rsidRPr="00F237BB">
        <w:rPr>
          <w:rFonts w:ascii="Arial" w:hAnsi="Arial" w:cs="Arial"/>
          <w:lang w:val="es-ES_tradnl"/>
        </w:rPr>
        <w:t xml:space="preserve">, indicadores de la economía argentina que, definidos por los analistas, ilustren de manera inmediata la marcha de la misma en el marco de la economía mundial. A su vez, esta herramienta permite que todos los usuarios autorizados accedan, desde un perfil de consulta, a las series de datos e informes que se producen en las distintas áreas de la </w:t>
      </w:r>
      <w:proofErr w:type="spellStart"/>
      <w:r w:rsidR="00730892" w:rsidRPr="00F237BB">
        <w:rPr>
          <w:rFonts w:ascii="Arial" w:hAnsi="Arial" w:cs="Arial"/>
          <w:lang w:val="es-ES_tradnl"/>
        </w:rPr>
        <w:t>SPE</w:t>
      </w:r>
      <w:r w:rsidRPr="00F237BB">
        <w:rPr>
          <w:rFonts w:ascii="Arial" w:hAnsi="Arial" w:cs="Arial"/>
          <w:lang w:val="es-ES_tradnl"/>
        </w:rPr>
        <w:t>yPD</w:t>
      </w:r>
      <w:proofErr w:type="spellEnd"/>
      <w:r w:rsidR="00730892" w:rsidRPr="00F237BB">
        <w:rPr>
          <w:rFonts w:ascii="Arial" w:hAnsi="Arial" w:cs="Arial"/>
          <w:lang w:val="es-ES_tradnl"/>
        </w:rPr>
        <w:t xml:space="preserve">. De esta manera, no sólo se facilita el acceso a la información de una manera sintetizada y de visualización amigable, sino que </w:t>
      </w:r>
      <w:r w:rsidR="00936029" w:rsidRPr="00F237BB">
        <w:rPr>
          <w:rFonts w:ascii="Arial" w:hAnsi="Arial" w:cs="Arial"/>
          <w:lang w:val="es-ES_tradnl"/>
        </w:rPr>
        <w:t>socializa</w:t>
      </w:r>
      <w:r w:rsidR="00730892" w:rsidRPr="00F237BB">
        <w:rPr>
          <w:rFonts w:ascii="Arial" w:hAnsi="Arial" w:cs="Arial"/>
          <w:lang w:val="es-ES_tradnl"/>
        </w:rPr>
        <w:t xml:space="preserve"> la información al interior de la </w:t>
      </w:r>
      <w:proofErr w:type="spellStart"/>
      <w:r w:rsidR="00730892" w:rsidRPr="00F237BB">
        <w:rPr>
          <w:rFonts w:ascii="Arial" w:hAnsi="Arial" w:cs="Arial"/>
          <w:lang w:val="es-ES_tradnl"/>
        </w:rPr>
        <w:t>SPE</w:t>
      </w:r>
      <w:r w:rsidRPr="00F237BB">
        <w:rPr>
          <w:rFonts w:ascii="Arial" w:hAnsi="Arial" w:cs="Arial"/>
          <w:lang w:val="es-ES_tradnl"/>
        </w:rPr>
        <w:t>yPD</w:t>
      </w:r>
      <w:proofErr w:type="spellEnd"/>
      <w:r w:rsidR="00730892" w:rsidRPr="00F237BB">
        <w:rPr>
          <w:rFonts w:ascii="Arial" w:hAnsi="Arial" w:cs="Arial"/>
          <w:lang w:val="es-ES_tradnl"/>
        </w:rPr>
        <w:t>, conservando cada área la responsabilidad por la generación y el almacenamiento primario de la información.</w:t>
      </w:r>
      <w:r w:rsidR="00936029" w:rsidRPr="00F237BB">
        <w:rPr>
          <w:rFonts w:ascii="Arial" w:hAnsi="Arial" w:cs="Arial"/>
          <w:lang w:val="es-ES_tradnl"/>
        </w:rPr>
        <w:t xml:space="preserve"> Sin embargo, es una herramienta limitada en su alcance, puesto que ofrece más bien resultados y no tanto información primaria para la elaboración de políticas.</w:t>
      </w:r>
      <w:r w:rsidRPr="00F237BB">
        <w:rPr>
          <w:rFonts w:ascii="Arial" w:hAnsi="Arial" w:cs="Arial"/>
          <w:lang w:val="es-ES_tradnl"/>
        </w:rPr>
        <w:t xml:space="preserve"> Asimismo, esta herramienta no es aprovechada por los actuales directores de cada una de las unidades. Cuando se indagó sobre su utilización, 8 de 9 directores refirieron que “Los indicadores de la unidad  </w:t>
      </w:r>
      <w:r w:rsidR="007F581D" w:rsidRPr="00F237BB">
        <w:rPr>
          <w:rFonts w:ascii="Arial" w:hAnsi="Arial" w:cs="Arial"/>
          <w:lang w:val="es-ES_tradnl"/>
        </w:rPr>
        <w:t>no</w:t>
      </w:r>
      <w:r w:rsidRPr="00F237BB">
        <w:rPr>
          <w:rFonts w:ascii="Arial" w:hAnsi="Arial" w:cs="Arial"/>
          <w:lang w:val="es-ES_tradnl"/>
        </w:rPr>
        <w:t xml:space="preserve"> se cargan en el SIMPE”, siendo una sola dirección (Dirección de Modelos y Proyecciones) la que expresó utilizar la herramienta de manera periódica, aunque indicando que la carga de la información se hace de manera manual y no automática.</w:t>
      </w:r>
    </w:p>
    <w:p w:rsidR="00A413FD" w:rsidRPr="00F237BB" w:rsidRDefault="00A413FD" w:rsidP="00A413FD">
      <w:pPr>
        <w:pStyle w:val="ListParagraph"/>
        <w:rPr>
          <w:rFonts w:ascii="Arial" w:hAnsi="Arial" w:cs="Arial"/>
          <w:lang w:val="es-ES_tradnl"/>
        </w:rPr>
      </w:pPr>
    </w:p>
    <w:p w:rsidR="00A413FD" w:rsidRPr="00F237BB" w:rsidRDefault="00FA215F" w:rsidP="00A413FD">
      <w:pPr>
        <w:pStyle w:val="ListParagraph"/>
        <w:numPr>
          <w:ilvl w:val="0"/>
          <w:numId w:val="14"/>
        </w:numPr>
        <w:ind w:left="567" w:hanging="567"/>
        <w:rPr>
          <w:rFonts w:ascii="Arial" w:hAnsi="Arial" w:cs="Arial"/>
          <w:lang w:val="es-ES_tradnl"/>
        </w:rPr>
      </w:pPr>
      <w:r w:rsidRPr="00F237BB">
        <w:rPr>
          <w:rFonts w:ascii="Arial" w:hAnsi="Arial" w:cs="Arial"/>
          <w:lang w:val="es-ES_tradnl"/>
        </w:rPr>
        <w:t>A modo de recapitulación, estos hallazgos</w:t>
      </w:r>
      <w:r w:rsidR="00A413FD" w:rsidRPr="00F237BB">
        <w:rPr>
          <w:rFonts w:ascii="Arial" w:hAnsi="Arial" w:cs="Arial"/>
          <w:lang w:val="es-ES_tradnl"/>
        </w:rPr>
        <w:t xml:space="preserve"> confirman que la información necesaria para el funcionamiento de las direcciones de la </w:t>
      </w:r>
      <w:proofErr w:type="spellStart"/>
      <w:r w:rsidR="00A413FD" w:rsidRPr="00F237BB">
        <w:rPr>
          <w:rFonts w:ascii="Arial" w:hAnsi="Arial" w:cs="Arial"/>
          <w:lang w:val="es-ES_tradnl"/>
        </w:rPr>
        <w:t>SPE</w:t>
      </w:r>
      <w:r w:rsidR="00E170A7" w:rsidRPr="00F237BB">
        <w:rPr>
          <w:rFonts w:ascii="Arial" w:hAnsi="Arial" w:cs="Arial"/>
          <w:lang w:val="es-ES_tradnl"/>
        </w:rPr>
        <w:t>yPD</w:t>
      </w:r>
      <w:proofErr w:type="spellEnd"/>
      <w:r w:rsidR="00A413FD" w:rsidRPr="00F237BB">
        <w:rPr>
          <w:rFonts w:ascii="Arial" w:hAnsi="Arial" w:cs="Arial"/>
          <w:lang w:val="es-ES_tradnl"/>
        </w:rPr>
        <w:t xml:space="preserve"> </w:t>
      </w:r>
      <w:r w:rsidR="00DB697F" w:rsidRPr="00F237BB">
        <w:rPr>
          <w:rFonts w:ascii="Arial" w:hAnsi="Arial" w:cs="Arial"/>
          <w:lang w:val="es-ES_tradnl"/>
        </w:rPr>
        <w:t xml:space="preserve">es limitada, </w:t>
      </w:r>
      <w:r w:rsidR="00A413FD" w:rsidRPr="00F237BB">
        <w:rPr>
          <w:rFonts w:ascii="Arial" w:hAnsi="Arial" w:cs="Arial"/>
          <w:lang w:val="es-ES_tradnl"/>
        </w:rPr>
        <w:t xml:space="preserve">se encuentra fragmentada, dispersa y escasamente sistematizada. La inexistencia de un repositorio de datos </w:t>
      </w:r>
      <w:r w:rsidR="00E170A7" w:rsidRPr="00F237BB">
        <w:rPr>
          <w:rFonts w:ascii="Arial" w:hAnsi="Arial" w:cs="Arial"/>
          <w:lang w:val="es-ES_tradnl"/>
        </w:rPr>
        <w:t xml:space="preserve">único y de acceso generalizado </w:t>
      </w:r>
      <w:r w:rsidR="00A413FD" w:rsidRPr="00F237BB">
        <w:rPr>
          <w:rFonts w:ascii="Arial" w:hAnsi="Arial" w:cs="Arial"/>
          <w:lang w:val="es-ES_tradnl"/>
        </w:rPr>
        <w:t>confirma lo expresado con los indicadores descritos: cada dirección trata de resolver sus problemas de información de forma aislada, y no existen rutinas y procedimientos que tiendan a organizar la información de tal manera que los datos internos y externos puedan ser compartidos por el conjunto de la organización.</w:t>
      </w:r>
    </w:p>
    <w:p w:rsidR="009D728C" w:rsidRPr="00F237BB" w:rsidRDefault="009D728C" w:rsidP="009D728C">
      <w:pPr>
        <w:rPr>
          <w:rFonts w:ascii="Arial" w:hAnsi="Arial" w:cs="Arial"/>
          <w:lang w:val="es-ES_tradnl"/>
        </w:rPr>
      </w:pPr>
    </w:p>
    <w:p w:rsidR="00936029" w:rsidRPr="00F237BB" w:rsidRDefault="00936029" w:rsidP="00936029">
      <w:pPr>
        <w:pStyle w:val="ListParagraph"/>
        <w:numPr>
          <w:ilvl w:val="0"/>
          <w:numId w:val="21"/>
        </w:numPr>
        <w:rPr>
          <w:rFonts w:ascii="Arial" w:hAnsi="Arial" w:cs="Arial"/>
          <w:b/>
        </w:rPr>
      </w:pPr>
      <w:r w:rsidRPr="00F237BB">
        <w:rPr>
          <w:rFonts w:ascii="Arial" w:hAnsi="Arial" w:cs="Arial"/>
          <w:b/>
        </w:rPr>
        <w:t>Inexistencia de procedimientos y sistemas que aseguren la gestión eficiente y el control de las causas judiciales</w:t>
      </w:r>
      <w:r w:rsidR="004D55D7" w:rsidRPr="00F237BB">
        <w:rPr>
          <w:rFonts w:ascii="Arial" w:hAnsi="Arial" w:cs="Arial"/>
          <w:b/>
        </w:rPr>
        <w:t xml:space="preserve"> y de los dictámenes jurídicos</w:t>
      </w:r>
    </w:p>
    <w:p w:rsidR="00936029" w:rsidRPr="00F237BB" w:rsidRDefault="00936029" w:rsidP="00936029">
      <w:pPr>
        <w:rPr>
          <w:rFonts w:ascii="Arial" w:hAnsi="Arial" w:cs="Arial"/>
          <w:lang w:val="es-ES_tradnl"/>
        </w:rPr>
      </w:pPr>
    </w:p>
    <w:p w:rsidR="00936029" w:rsidRPr="00F237BB" w:rsidRDefault="00936029" w:rsidP="00936029">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En la sección </w:t>
      </w:r>
      <w:r w:rsidR="008F5B03" w:rsidRPr="00F237BB">
        <w:rPr>
          <w:rFonts w:ascii="Arial" w:hAnsi="Arial" w:cs="Arial"/>
          <w:lang w:val="es-ES_tradnl"/>
        </w:rPr>
        <w:fldChar w:fldCharType="begin"/>
      </w:r>
      <w:r w:rsidRPr="00F237BB">
        <w:rPr>
          <w:rFonts w:ascii="Arial" w:hAnsi="Arial" w:cs="Arial"/>
          <w:lang w:val="es-ES_tradnl"/>
        </w:rPr>
        <w:instrText xml:space="preserve"> REF _Ref290220270 \r \h </w:instrText>
      </w:r>
      <w:r w:rsidR="00F237BB" w:rsidRPr="00F237BB">
        <w:rPr>
          <w:rFonts w:ascii="Arial" w:hAnsi="Arial" w:cs="Arial"/>
          <w:lang w:val="es-ES_tradnl"/>
        </w:rPr>
        <w:instrText xml:space="preserve"> \* MERGEFORMAT </w:instrText>
      </w:r>
      <w:r w:rsidR="008F5B03" w:rsidRPr="00F237BB">
        <w:rPr>
          <w:rFonts w:ascii="Arial" w:hAnsi="Arial" w:cs="Arial"/>
          <w:lang w:val="es-ES_tradnl"/>
        </w:rPr>
      </w:r>
      <w:r w:rsidR="008F5B03" w:rsidRPr="00F237BB">
        <w:rPr>
          <w:rFonts w:ascii="Arial" w:hAnsi="Arial" w:cs="Arial"/>
          <w:lang w:val="es-ES_tradnl"/>
        </w:rPr>
        <w:fldChar w:fldCharType="separate"/>
      </w:r>
      <w:r w:rsidR="006143B7" w:rsidRPr="00F237BB">
        <w:rPr>
          <w:rFonts w:ascii="Arial" w:hAnsi="Arial" w:cs="Arial"/>
          <w:lang w:val="es-ES_tradnl"/>
        </w:rPr>
        <w:t>2.2</w:t>
      </w:r>
      <w:r w:rsidR="008F5B03" w:rsidRPr="00F237BB">
        <w:rPr>
          <w:rFonts w:ascii="Arial" w:hAnsi="Arial" w:cs="Arial"/>
          <w:lang w:val="es-ES_tradnl"/>
        </w:rPr>
        <w:fldChar w:fldCharType="end"/>
      </w:r>
      <w:r w:rsidRPr="00F237BB">
        <w:rPr>
          <w:rFonts w:ascii="Arial" w:hAnsi="Arial" w:cs="Arial"/>
          <w:lang w:val="es-ES_tradnl"/>
        </w:rPr>
        <w:t xml:space="preserve"> se </w:t>
      </w:r>
      <w:r w:rsidR="00497A32" w:rsidRPr="00F237BB">
        <w:rPr>
          <w:rFonts w:ascii="Arial" w:hAnsi="Arial" w:cs="Arial"/>
          <w:lang w:val="es-ES_tradnl"/>
        </w:rPr>
        <w:t xml:space="preserve">presentaron </w:t>
      </w:r>
      <w:r w:rsidRPr="00F237BB">
        <w:rPr>
          <w:rFonts w:ascii="Arial" w:hAnsi="Arial" w:cs="Arial"/>
          <w:lang w:val="es-ES_tradnl"/>
        </w:rPr>
        <w:t xml:space="preserve">los </w:t>
      </w:r>
      <w:r w:rsidR="007B5925" w:rsidRPr="00F237BB">
        <w:rPr>
          <w:rFonts w:ascii="Arial" w:hAnsi="Arial" w:cs="Arial"/>
          <w:lang w:val="es-ES_tradnl"/>
        </w:rPr>
        <w:t>datos</w:t>
      </w:r>
      <w:r w:rsidRPr="00F237BB">
        <w:rPr>
          <w:rFonts w:ascii="Arial" w:hAnsi="Arial" w:cs="Arial"/>
          <w:lang w:val="es-ES_tradnl"/>
        </w:rPr>
        <w:t xml:space="preserve"> básicos del modelo de funcionamiento de la DGAJ. Como órgano de la gestión y control de las </w:t>
      </w:r>
      <w:r w:rsidR="002D2C0C" w:rsidRPr="00F237BB">
        <w:rPr>
          <w:rFonts w:ascii="Arial" w:hAnsi="Arial" w:cs="Arial"/>
          <w:b/>
          <w:lang w:val="es-ES_tradnl"/>
        </w:rPr>
        <w:t>causas judiciales</w:t>
      </w:r>
      <w:r w:rsidRPr="00F237BB">
        <w:rPr>
          <w:rFonts w:ascii="Arial" w:hAnsi="Arial" w:cs="Arial"/>
          <w:lang w:val="es-ES_tradnl"/>
        </w:rPr>
        <w:t xml:space="preserve"> bajo responsabilidad del </w:t>
      </w:r>
      <w:proofErr w:type="spellStart"/>
      <w:r w:rsidR="00F86B3F" w:rsidRPr="00F237BB">
        <w:rPr>
          <w:rFonts w:ascii="Arial" w:hAnsi="Arial" w:cs="Arial"/>
          <w:lang w:val="es-ES_tradnl"/>
        </w:rPr>
        <w:t>MH</w:t>
      </w:r>
      <w:r w:rsidR="0060117A"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ante los tribunales, el éxito o el fracaso de sus acciones litigiosas tiene un impacto indudable en los costos fiscales que el Estado, en última instancia, debe asumir. O dicho de otra forma, mantener bajo control los riesgos fiscales debería formar parte de los objetivos estratégicos de la DGAJ y para ello se requiere que el modelo de gestión </w:t>
      </w:r>
      <w:r w:rsidR="00984E2B" w:rsidRPr="00F237BB">
        <w:rPr>
          <w:rFonts w:ascii="Arial" w:hAnsi="Arial" w:cs="Arial"/>
          <w:lang w:val="es-ES_tradnl"/>
        </w:rPr>
        <w:t>de los expedientes jurídicos</w:t>
      </w:r>
      <w:r w:rsidRPr="00F237BB">
        <w:rPr>
          <w:rFonts w:ascii="Arial" w:hAnsi="Arial" w:cs="Arial"/>
          <w:lang w:val="es-ES_tradnl"/>
        </w:rPr>
        <w:t xml:space="preserve"> </w:t>
      </w:r>
      <w:r w:rsidR="00984E2B" w:rsidRPr="00F237BB">
        <w:rPr>
          <w:rFonts w:ascii="Arial" w:hAnsi="Arial" w:cs="Arial"/>
          <w:lang w:val="es-ES_tradnl"/>
        </w:rPr>
        <w:t xml:space="preserve">(causas y dictámenes) </w:t>
      </w:r>
      <w:r w:rsidRPr="00F237BB">
        <w:rPr>
          <w:rFonts w:ascii="Arial" w:hAnsi="Arial" w:cs="Arial"/>
          <w:lang w:val="es-ES_tradnl"/>
        </w:rPr>
        <w:t>sea capaz de responder adecuadamente a las demandas.</w:t>
      </w:r>
    </w:p>
    <w:p w:rsidR="00936029" w:rsidRPr="00F237BB" w:rsidRDefault="00936029" w:rsidP="00936029">
      <w:pPr>
        <w:rPr>
          <w:rFonts w:ascii="Arial" w:hAnsi="Arial" w:cs="Arial"/>
          <w:lang w:val="es-ES_tradnl"/>
        </w:rPr>
      </w:pPr>
    </w:p>
    <w:p w:rsidR="002D24D5" w:rsidRPr="00F237BB" w:rsidRDefault="00146ACD" w:rsidP="00F6651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Los hallazgos son contundentes en cuanto a la naturaleza de los problemas vinculados con la gestión jurídica de las causas. </w:t>
      </w:r>
      <w:r w:rsidR="009324BA" w:rsidRPr="00F237BB">
        <w:rPr>
          <w:rFonts w:ascii="Arial" w:hAnsi="Arial" w:cs="Arial"/>
          <w:lang w:val="es-ES_tradnl"/>
        </w:rPr>
        <w:t>Siendo básicamente la defensa en tribunales la actividad que ocupa una gran parte de los recursos técnicos de los abogados</w:t>
      </w:r>
      <w:r w:rsidRPr="00F237BB">
        <w:rPr>
          <w:rFonts w:ascii="Arial" w:hAnsi="Arial" w:cs="Arial"/>
          <w:lang w:val="es-ES_tradnl"/>
        </w:rPr>
        <w:t xml:space="preserve"> de la DGAJ</w:t>
      </w:r>
      <w:r w:rsidR="009324BA" w:rsidRPr="00F237BB">
        <w:rPr>
          <w:rFonts w:ascii="Arial" w:hAnsi="Arial" w:cs="Arial"/>
          <w:lang w:val="es-ES_tradnl"/>
        </w:rPr>
        <w:t xml:space="preserve">, sin embargo se desconoce la cantidad </w:t>
      </w:r>
      <w:r w:rsidR="00984E2B" w:rsidRPr="00F237BB">
        <w:rPr>
          <w:rFonts w:ascii="Arial" w:hAnsi="Arial" w:cs="Arial"/>
          <w:lang w:val="es-ES_tradnl"/>
        </w:rPr>
        <w:t xml:space="preserve">total </w:t>
      </w:r>
      <w:r w:rsidR="009324BA" w:rsidRPr="00F237BB">
        <w:rPr>
          <w:rFonts w:ascii="Arial" w:hAnsi="Arial" w:cs="Arial"/>
          <w:lang w:val="es-ES_tradnl"/>
        </w:rPr>
        <w:t xml:space="preserve">de causas que ocupan en la actualidad a este personal. </w:t>
      </w:r>
      <w:r w:rsidR="00984E2B" w:rsidRPr="00F237BB">
        <w:rPr>
          <w:rFonts w:ascii="Arial" w:hAnsi="Arial" w:cs="Arial"/>
          <w:lang w:val="es-ES_tradnl"/>
        </w:rPr>
        <w:t xml:space="preserve">En el sistema registral DOTCOM </w:t>
      </w:r>
      <w:r w:rsidR="00497A32" w:rsidRPr="00F237BB">
        <w:rPr>
          <w:rFonts w:ascii="Arial" w:hAnsi="Arial" w:cs="Arial"/>
          <w:lang w:val="es-ES_tradnl"/>
        </w:rPr>
        <w:t xml:space="preserve">se encontraban </w:t>
      </w:r>
      <w:r w:rsidR="009324BA" w:rsidRPr="00F237BB">
        <w:rPr>
          <w:rFonts w:ascii="Arial" w:hAnsi="Arial" w:cs="Arial"/>
          <w:lang w:val="es-ES_tradnl"/>
        </w:rPr>
        <w:t xml:space="preserve">registradas aproximadamente </w:t>
      </w:r>
      <w:r w:rsidR="00185073" w:rsidRPr="00F237BB">
        <w:rPr>
          <w:rFonts w:ascii="Arial" w:hAnsi="Arial" w:cs="Arial"/>
          <w:lang w:val="es-ES_tradnl"/>
        </w:rPr>
        <w:t>97.400 causas</w:t>
      </w:r>
      <w:r w:rsidR="00185073" w:rsidRPr="00F237BB">
        <w:rPr>
          <w:rStyle w:val="FootnoteReference"/>
          <w:rFonts w:ascii="Arial" w:hAnsi="Arial" w:cs="Arial"/>
          <w:sz w:val="22"/>
        </w:rPr>
        <w:footnoteReference w:id="20"/>
      </w:r>
      <w:r w:rsidR="00185073" w:rsidRPr="00F237BB">
        <w:rPr>
          <w:rFonts w:ascii="Arial" w:hAnsi="Arial" w:cs="Arial"/>
          <w:lang w:val="es-ES_tradnl"/>
        </w:rPr>
        <w:t xml:space="preserve">  (26.661 activas, 6.690 paralizadas y 64.049 archivadas)</w:t>
      </w:r>
      <w:r w:rsidR="009324BA" w:rsidRPr="00F237BB">
        <w:rPr>
          <w:rFonts w:ascii="Arial" w:hAnsi="Arial" w:cs="Arial"/>
          <w:lang w:val="es-ES_tradnl"/>
        </w:rPr>
        <w:t xml:space="preserve">, pero se </w:t>
      </w:r>
      <w:r w:rsidR="00C0120B" w:rsidRPr="00F237BB">
        <w:rPr>
          <w:rFonts w:ascii="Arial" w:hAnsi="Arial" w:cs="Arial"/>
          <w:lang w:val="es-ES_tradnl"/>
        </w:rPr>
        <w:t>estima</w:t>
      </w:r>
      <w:r w:rsidR="009324BA" w:rsidRPr="00F237BB">
        <w:rPr>
          <w:rFonts w:ascii="Arial" w:hAnsi="Arial" w:cs="Arial"/>
          <w:lang w:val="es-ES_tradnl"/>
        </w:rPr>
        <w:t xml:space="preserve"> que </w:t>
      </w:r>
      <w:r w:rsidR="00984E2B" w:rsidRPr="00F237BB">
        <w:rPr>
          <w:rFonts w:ascii="Arial" w:hAnsi="Arial" w:cs="Arial"/>
          <w:lang w:val="es-ES_tradnl"/>
        </w:rPr>
        <w:t xml:space="preserve">con frecuencia </w:t>
      </w:r>
      <w:r w:rsidR="009324BA" w:rsidRPr="00F237BB">
        <w:rPr>
          <w:rFonts w:ascii="Arial" w:hAnsi="Arial" w:cs="Arial"/>
          <w:lang w:val="es-ES_tradnl"/>
        </w:rPr>
        <w:t>los abogados no cargan en la base de datos la</w:t>
      </w:r>
      <w:r w:rsidR="00C0120B" w:rsidRPr="00F237BB">
        <w:rPr>
          <w:rFonts w:ascii="Arial" w:hAnsi="Arial" w:cs="Arial"/>
          <w:lang w:val="es-ES_tradnl"/>
        </w:rPr>
        <w:t xml:space="preserve"> totalidad de las</w:t>
      </w:r>
      <w:r w:rsidR="009324BA" w:rsidRPr="00F237BB">
        <w:rPr>
          <w:rFonts w:ascii="Arial" w:hAnsi="Arial" w:cs="Arial"/>
          <w:lang w:val="es-ES_tradnl"/>
        </w:rPr>
        <w:t xml:space="preserve"> causas nuevas </w:t>
      </w:r>
      <w:r w:rsidR="00C0120B" w:rsidRPr="00F237BB">
        <w:rPr>
          <w:rFonts w:ascii="Arial" w:hAnsi="Arial" w:cs="Arial"/>
          <w:lang w:val="es-ES_tradnl"/>
        </w:rPr>
        <w:t>ingresadas</w:t>
      </w:r>
      <w:r w:rsidR="009324BA" w:rsidRPr="00F237BB">
        <w:rPr>
          <w:rFonts w:ascii="Arial" w:hAnsi="Arial" w:cs="Arial"/>
          <w:lang w:val="es-ES_tradnl"/>
        </w:rPr>
        <w:t xml:space="preserve">. </w:t>
      </w:r>
    </w:p>
    <w:p w:rsidR="002D24D5" w:rsidRPr="00F237BB" w:rsidRDefault="002D24D5" w:rsidP="002D24D5">
      <w:pPr>
        <w:pStyle w:val="ListParagraph"/>
        <w:ind w:left="567"/>
        <w:rPr>
          <w:rFonts w:ascii="Arial" w:hAnsi="Arial" w:cs="Arial"/>
        </w:rPr>
      </w:pPr>
    </w:p>
    <w:p w:rsidR="009324BA" w:rsidRPr="00F237BB" w:rsidRDefault="009324BA" w:rsidP="009324BA">
      <w:pPr>
        <w:pStyle w:val="ListParagraph"/>
        <w:numPr>
          <w:ilvl w:val="0"/>
          <w:numId w:val="14"/>
        </w:numPr>
        <w:ind w:left="567" w:hanging="567"/>
        <w:rPr>
          <w:rFonts w:ascii="Arial" w:hAnsi="Arial" w:cs="Arial"/>
        </w:rPr>
      </w:pPr>
      <w:r w:rsidRPr="00F237BB">
        <w:rPr>
          <w:rFonts w:ascii="Arial" w:hAnsi="Arial" w:cs="Arial"/>
        </w:rPr>
        <w:t xml:space="preserve">En este contexto de carencia </w:t>
      </w:r>
      <w:r w:rsidR="002D24D5" w:rsidRPr="00F237BB">
        <w:rPr>
          <w:rFonts w:ascii="Arial" w:hAnsi="Arial" w:cs="Arial"/>
        </w:rPr>
        <w:t xml:space="preserve">y baja confiabilidad </w:t>
      </w:r>
      <w:r w:rsidRPr="00F237BB">
        <w:rPr>
          <w:rFonts w:ascii="Arial" w:hAnsi="Arial" w:cs="Arial"/>
        </w:rPr>
        <w:t xml:space="preserve">de </w:t>
      </w:r>
      <w:r w:rsidR="002D24D5" w:rsidRPr="00F237BB">
        <w:rPr>
          <w:rFonts w:ascii="Arial" w:hAnsi="Arial" w:cs="Arial"/>
        </w:rPr>
        <w:t xml:space="preserve">la </w:t>
      </w:r>
      <w:r w:rsidRPr="00F237BB">
        <w:rPr>
          <w:rFonts w:ascii="Arial" w:hAnsi="Arial" w:cs="Arial"/>
        </w:rPr>
        <w:t xml:space="preserve">información es muy difícil conocer la tipología de causas, pero puede afirmarse que una gran parte de ellas son demandas </w:t>
      </w:r>
      <w:r w:rsidRPr="00F237BB">
        <w:rPr>
          <w:rFonts w:ascii="Arial" w:hAnsi="Arial" w:cs="Arial"/>
        </w:rPr>
        <w:lastRenderedPageBreak/>
        <w:t xml:space="preserve">contra el Estado vinculadas a los entes liquidados (de tipo laboral, indemnizatorio, etc.), otras muchas están vinculadas a juicios producidos por el </w:t>
      </w:r>
      <w:r w:rsidRPr="00F237BB">
        <w:rPr>
          <w:rFonts w:ascii="Arial" w:hAnsi="Arial" w:cs="Arial"/>
          <w:i/>
        </w:rPr>
        <w:t>corralito</w:t>
      </w:r>
      <w:r w:rsidRPr="00F237BB">
        <w:rPr>
          <w:rFonts w:ascii="Arial" w:hAnsi="Arial" w:cs="Arial"/>
        </w:rPr>
        <w:t xml:space="preserve">, y en menor medida a discrepancias en contratos con el Estado. </w:t>
      </w:r>
    </w:p>
    <w:p w:rsidR="002C68C2" w:rsidRPr="00F237BB" w:rsidRDefault="002C68C2" w:rsidP="002C68C2">
      <w:pPr>
        <w:rPr>
          <w:rFonts w:ascii="Arial" w:hAnsi="Arial" w:cs="Arial"/>
        </w:rPr>
      </w:pPr>
    </w:p>
    <w:p w:rsidR="00425B95" w:rsidRPr="00F237BB" w:rsidRDefault="004C1E69" w:rsidP="00D4169B">
      <w:pPr>
        <w:pStyle w:val="ListParagraph"/>
        <w:numPr>
          <w:ilvl w:val="0"/>
          <w:numId w:val="14"/>
        </w:numPr>
        <w:ind w:left="567" w:hanging="567"/>
        <w:rPr>
          <w:rFonts w:ascii="Arial" w:hAnsi="Arial" w:cs="Arial"/>
        </w:rPr>
      </w:pPr>
      <w:r w:rsidRPr="00F237BB">
        <w:rPr>
          <w:rFonts w:ascii="Arial" w:hAnsi="Arial" w:cs="Arial"/>
        </w:rPr>
        <w:t xml:space="preserve">Según datos provistos por la DGAJ, </w:t>
      </w:r>
      <w:r w:rsidR="00D40C97" w:rsidRPr="00F237BB">
        <w:rPr>
          <w:rFonts w:ascii="Arial" w:hAnsi="Arial" w:cs="Arial"/>
        </w:rPr>
        <w:t xml:space="preserve">el </w:t>
      </w:r>
      <w:r w:rsidRPr="00F237BB">
        <w:rPr>
          <w:rFonts w:ascii="Arial" w:hAnsi="Arial" w:cs="Arial"/>
        </w:rPr>
        <w:t>57</w:t>
      </w:r>
      <w:r w:rsidR="00D40C97" w:rsidRPr="00F237BB">
        <w:rPr>
          <w:rFonts w:ascii="Arial" w:hAnsi="Arial" w:cs="Arial"/>
        </w:rPr>
        <w:t>,</w:t>
      </w:r>
      <w:r w:rsidRPr="00F237BB">
        <w:rPr>
          <w:rFonts w:ascii="Arial" w:hAnsi="Arial" w:cs="Arial"/>
        </w:rPr>
        <w:t>1</w:t>
      </w:r>
      <w:r w:rsidR="00D40C97" w:rsidRPr="00F237BB">
        <w:rPr>
          <w:rFonts w:ascii="Arial" w:hAnsi="Arial" w:cs="Arial"/>
        </w:rPr>
        <w:t xml:space="preserve">% de las </w:t>
      </w:r>
      <w:r w:rsidRPr="00F237BB">
        <w:rPr>
          <w:rFonts w:ascii="Arial" w:hAnsi="Arial" w:cs="Arial"/>
        </w:rPr>
        <w:t xml:space="preserve">causas con decisión judicial </w:t>
      </w:r>
      <w:r w:rsidR="00D40C97" w:rsidRPr="00F237BB">
        <w:rPr>
          <w:rFonts w:ascii="Arial" w:hAnsi="Arial" w:cs="Arial"/>
        </w:rPr>
        <w:t xml:space="preserve">han tenido una sentencia favorable para el Estado. </w:t>
      </w:r>
      <w:r w:rsidRPr="00F237BB">
        <w:rPr>
          <w:rFonts w:ascii="Arial" w:hAnsi="Arial" w:cs="Arial"/>
        </w:rPr>
        <w:t>Este</w:t>
      </w:r>
      <w:r w:rsidR="00425B95" w:rsidRPr="00F237BB">
        <w:rPr>
          <w:rFonts w:ascii="Arial" w:hAnsi="Arial" w:cs="Arial"/>
        </w:rPr>
        <w:t xml:space="preserve"> valor </w:t>
      </w:r>
      <w:r w:rsidRPr="00F237BB">
        <w:rPr>
          <w:rFonts w:ascii="Arial" w:hAnsi="Arial" w:cs="Arial"/>
        </w:rPr>
        <w:t>difiere según la materia de la causa judicial, y por ende la Dirección en la se tramite su gestión. En el caso de la Dirección de Asuntos Contenciosos (DAC) el porcentaje de juicios ganados es del 41,9%, mientras que para la Dirección de Asuntos Judiciales de los Entes Liquidados y en Liquidación (DAJEL) es del 65,5%</w:t>
      </w:r>
      <w:r w:rsidR="00425B95" w:rsidRPr="00F237BB">
        <w:rPr>
          <w:rFonts w:ascii="Arial" w:hAnsi="Arial" w:cs="Arial"/>
        </w:rPr>
        <w:t xml:space="preserve">. Dado que en la práctica casi todos los juicios en primera instancia son recurridos en apelación (segunda instancia), puede señalarse que </w:t>
      </w:r>
      <w:r w:rsidRPr="00F237BB">
        <w:rPr>
          <w:rFonts w:ascii="Arial" w:hAnsi="Arial" w:cs="Arial"/>
        </w:rPr>
        <w:t>el</w:t>
      </w:r>
      <w:r w:rsidR="00425B95" w:rsidRPr="00F237BB">
        <w:rPr>
          <w:rFonts w:ascii="Arial" w:hAnsi="Arial" w:cs="Arial"/>
        </w:rPr>
        <w:t xml:space="preserve"> indicador de éxito judicial del </w:t>
      </w:r>
      <w:r w:rsidRPr="00F237BB">
        <w:rPr>
          <w:rFonts w:ascii="Arial" w:hAnsi="Arial" w:cs="Arial"/>
        </w:rPr>
        <w:t>57</w:t>
      </w:r>
      <w:r w:rsidR="00425B95" w:rsidRPr="00F237BB">
        <w:rPr>
          <w:rFonts w:ascii="Arial" w:hAnsi="Arial" w:cs="Arial"/>
        </w:rPr>
        <w:t>,</w:t>
      </w:r>
      <w:r w:rsidRPr="00F237BB">
        <w:rPr>
          <w:rFonts w:ascii="Arial" w:hAnsi="Arial" w:cs="Arial"/>
        </w:rPr>
        <w:t>1</w:t>
      </w:r>
      <w:r w:rsidR="00425B95" w:rsidRPr="00F237BB">
        <w:rPr>
          <w:rFonts w:ascii="Arial" w:hAnsi="Arial" w:cs="Arial"/>
        </w:rPr>
        <w:t>% se aproxima de forma razonable a lo que podría denominarse tasa de éxito.</w:t>
      </w:r>
      <w:r w:rsidR="00425B95" w:rsidRPr="00F237BB">
        <w:rPr>
          <w:rStyle w:val="FootnoteReference"/>
          <w:rFonts w:ascii="Arial" w:hAnsi="Arial" w:cs="Arial"/>
          <w:sz w:val="22"/>
        </w:rPr>
        <w:footnoteReference w:id="21"/>
      </w:r>
    </w:p>
    <w:p w:rsidR="00425B95" w:rsidRPr="00F237BB" w:rsidRDefault="00425B95" w:rsidP="00425B95">
      <w:pPr>
        <w:pStyle w:val="ListParagraph"/>
        <w:ind w:left="567"/>
        <w:rPr>
          <w:rFonts w:ascii="Arial" w:hAnsi="Arial" w:cs="Arial"/>
        </w:rPr>
      </w:pPr>
    </w:p>
    <w:p w:rsidR="00D40C97" w:rsidRPr="00F237BB" w:rsidRDefault="008D7054" w:rsidP="006143B7">
      <w:pPr>
        <w:pStyle w:val="ListParagraph"/>
        <w:numPr>
          <w:ilvl w:val="0"/>
          <w:numId w:val="14"/>
        </w:numPr>
        <w:ind w:left="567" w:hanging="567"/>
        <w:rPr>
          <w:rFonts w:ascii="Arial" w:hAnsi="Arial" w:cs="Arial"/>
        </w:rPr>
      </w:pPr>
      <w:r w:rsidRPr="00F237BB">
        <w:rPr>
          <w:rFonts w:ascii="Arial" w:hAnsi="Arial" w:cs="Arial"/>
        </w:rPr>
        <w:t xml:space="preserve">En términos </w:t>
      </w:r>
      <w:r w:rsidR="002D24D5" w:rsidRPr="00F237BB">
        <w:rPr>
          <w:rFonts w:ascii="Arial" w:hAnsi="Arial" w:cs="Arial"/>
        </w:rPr>
        <w:t xml:space="preserve">comparativos </w:t>
      </w:r>
      <w:r w:rsidRPr="00F237BB">
        <w:rPr>
          <w:rFonts w:ascii="Arial" w:hAnsi="Arial" w:cs="Arial"/>
        </w:rPr>
        <w:t>internacionales, este resultado de éxito puede calificarse de bajo, aunque esta afirmación es necesario tomarla con la necesaria cautela</w:t>
      </w:r>
      <w:r w:rsidR="00425B95" w:rsidRPr="00F237BB">
        <w:rPr>
          <w:rFonts w:ascii="Arial" w:hAnsi="Arial" w:cs="Arial"/>
        </w:rPr>
        <w:t xml:space="preserve"> dada la baja calidad de la información disponible</w:t>
      </w:r>
      <w:r w:rsidRPr="00F237BB">
        <w:rPr>
          <w:rFonts w:ascii="Arial" w:hAnsi="Arial" w:cs="Arial"/>
        </w:rPr>
        <w:t>.</w:t>
      </w:r>
    </w:p>
    <w:p w:rsidR="00D40C97" w:rsidRPr="00F237BB" w:rsidRDefault="00D40C97" w:rsidP="00D40C97">
      <w:pPr>
        <w:pStyle w:val="ListParagraph"/>
        <w:rPr>
          <w:rFonts w:ascii="Arial" w:hAnsi="Arial" w:cs="Arial"/>
        </w:rPr>
      </w:pPr>
    </w:p>
    <w:p w:rsidR="009324BA" w:rsidRPr="00F237BB" w:rsidRDefault="009324BA" w:rsidP="006143B7">
      <w:pPr>
        <w:pStyle w:val="ListParagraph"/>
        <w:numPr>
          <w:ilvl w:val="0"/>
          <w:numId w:val="14"/>
        </w:numPr>
        <w:ind w:left="567" w:hanging="567"/>
        <w:rPr>
          <w:rFonts w:ascii="Arial" w:hAnsi="Arial" w:cs="Arial"/>
        </w:rPr>
      </w:pPr>
      <w:r w:rsidRPr="00F237BB">
        <w:rPr>
          <w:rFonts w:ascii="Arial" w:hAnsi="Arial" w:cs="Arial"/>
        </w:rPr>
        <w:t xml:space="preserve">Se desconoce el valor </w:t>
      </w:r>
      <w:r w:rsidR="002C68C2" w:rsidRPr="00F237BB">
        <w:rPr>
          <w:rFonts w:ascii="Arial" w:hAnsi="Arial" w:cs="Arial"/>
        </w:rPr>
        <w:t xml:space="preserve">total </w:t>
      </w:r>
      <w:r w:rsidRPr="00F237BB">
        <w:rPr>
          <w:rFonts w:ascii="Arial" w:hAnsi="Arial" w:cs="Arial"/>
        </w:rPr>
        <w:t xml:space="preserve">de las pretensiones económicas establecidas en las demandas y, por tanto, el riesgo fiscal asociado. </w:t>
      </w:r>
      <w:r w:rsidR="002C68C2" w:rsidRPr="00F237BB">
        <w:rPr>
          <w:rFonts w:ascii="Arial" w:hAnsi="Arial" w:cs="Arial"/>
        </w:rPr>
        <w:t xml:space="preserve">Según estimaciones realizadas </w:t>
      </w:r>
      <w:r w:rsidR="002C68C2" w:rsidRPr="00F237BB">
        <w:rPr>
          <w:rFonts w:ascii="Arial" w:hAnsi="Arial" w:cs="Arial"/>
          <w:i/>
        </w:rPr>
        <w:t>ad hoc</w:t>
      </w:r>
      <w:r w:rsidR="002C68C2" w:rsidRPr="00F237BB">
        <w:rPr>
          <w:rFonts w:ascii="Arial" w:hAnsi="Arial" w:cs="Arial"/>
        </w:rPr>
        <w:t>, y con las máximas cautelas, aproximadamente se evita el pago del 69% de los montos pretendidos en la demanda, pero esta cifra puede ser sensiblemente superior ya que: (i) en el 62% de las causas de la muestra no está registrada la pretensión económica, por lo que la confiabilidad de los hallazgos desciende sensiblemente; y (ii) no están actualizados en el sistema los valores económicos de las pretensiones.</w:t>
      </w:r>
      <w:r w:rsidR="006143B7" w:rsidRPr="00F237BB">
        <w:rPr>
          <w:rStyle w:val="FootnoteReference"/>
          <w:rFonts w:ascii="Arial" w:hAnsi="Arial" w:cs="Arial"/>
          <w:sz w:val="22"/>
        </w:rPr>
        <w:footnoteReference w:id="22"/>
      </w:r>
      <w:r w:rsidR="002C68C2" w:rsidRPr="00F237BB">
        <w:rPr>
          <w:rFonts w:ascii="Arial" w:hAnsi="Arial" w:cs="Arial"/>
        </w:rPr>
        <w:t xml:space="preserve"> </w:t>
      </w:r>
      <w:r w:rsidRPr="00F237BB">
        <w:rPr>
          <w:rFonts w:ascii="Arial" w:hAnsi="Arial" w:cs="Arial"/>
        </w:rPr>
        <w:t xml:space="preserve">Esto afecta </w:t>
      </w:r>
      <w:r w:rsidR="006143B7" w:rsidRPr="00F237BB">
        <w:rPr>
          <w:rFonts w:ascii="Arial" w:hAnsi="Arial" w:cs="Arial"/>
        </w:rPr>
        <w:t xml:space="preserve">de forma crucial </w:t>
      </w:r>
      <w:r w:rsidRPr="00F237BB">
        <w:rPr>
          <w:rFonts w:ascii="Arial" w:hAnsi="Arial" w:cs="Arial"/>
        </w:rPr>
        <w:t>a una eventual estimación de los pasivos contingentes que por razones judiciales pueden estar implícitos en los juicios gestionados por la DGAJ.</w:t>
      </w:r>
    </w:p>
    <w:p w:rsidR="00146ACD" w:rsidRPr="00F237BB" w:rsidRDefault="00146ACD" w:rsidP="00146ACD">
      <w:pPr>
        <w:pStyle w:val="ListParagraph"/>
        <w:rPr>
          <w:rFonts w:ascii="Arial" w:hAnsi="Arial" w:cs="Arial"/>
        </w:rPr>
      </w:pPr>
    </w:p>
    <w:p w:rsidR="00146ACD" w:rsidRPr="00F237BB" w:rsidRDefault="00146ACD" w:rsidP="00146ACD">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Por otra parte, no existe un mecanismo no arbitrario </w:t>
      </w:r>
      <w:r w:rsidR="00BA692F" w:rsidRPr="00F237BB">
        <w:rPr>
          <w:rFonts w:ascii="Arial" w:hAnsi="Arial" w:cs="Arial"/>
          <w:lang w:val="es-ES_tradnl"/>
        </w:rPr>
        <w:t>que reparta la</w:t>
      </w:r>
      <w:r w:rsidRPr="00F237BB">
        <w:rPr>
          <w:rFonts w:ascii="Arial" w:hAnsi="Arial" w:cs="Arial"/>
          <w:lang w:val="es-ES_tradnl"/>
        </w:rPr>
        <w:t xml:space="preserve"> asignación de causas rutinarias y de causas emblemáticas, </w:t>
      </w:r>
      <w:r w:rsidR="00BA692F" w:rsidRPr="00F237BB">
        <w:rPr>
          <w:rFonts w:ascii="Arial" w:hAnsi="Arial" w:cs="Arial"/>
          <w:lang w:val="es-ES_tradnl"/>
        </w:rPr>
        <w:t xml:space="preserve">ya </w:t>
      </w:r>
      <w:r w:rsidRPr="00F237BB">
        <w:rPr>
          <w:rFonts w:ascii="Arial" w:hAnsi="Arial" w:cs="Arial"/>
          <w:lang w:val="es-ES_tradnl"/>
        </w:rPr>
        <w:t xml:space="preserve">que </w:t>
      </w:r>
      <w:r w:rsidR="00BA692F" w:rsidRPr="00F237BB">
        <w:rPr>
          <w:rFonts w:ascii="Arial" w:hAnsi="Arial" w:cs="Arial"/>
          <w:lang w:val="es-ES_tradnl"/>
        </w:rPr>
        <w:t xml:space="preserve">se </w:t>
      </w:r>
      <w:r w:rsidRPr="00F237BB">
        <w:rPr>
          <w:rFonts w:ascii="Arial" w:hAnsi="Arial" w:cs="Arial"/>
          <w:lang w:val="es-ES_tradnl"/>
        </w:rPr>
        <w:t xml:space="preserve">requieran estrategias de defensa diferenciada. Aparentemente todas las causas son igual de importantes. </w:t>
      </w:r>
      <w:r w:rsidR="0078453F" w:rsidRPr="00F237BB">
        <w:rPr>
          <w:rFonts w:ascii="Arial" w:hAnsi="Arial" w:cs="Arial"/>
          <w:lang w:val="es-ES_tradnl"/>
        </w:rPr>
        <w:t>L</w:t>
      </w:r>
      <w:r w:rsidRPr="00F237BB">
        <w:rPr>
          <w:rFonts w:ascii="Arial" w:hAnsi="Arial" w:cs="Arial"/>
          <w:lang w:val="es-ES_tradnl"/>
        </w:rPr>
        <w:t>a carga de trabajo que asumen los abogados</w:t>
      </w:r>
      <w:r w:rsidR="0078453F" w:rsidRPr="00F237BB">
        <w:rPr>
          <w:rFonts w:ascii="Arial" w:hAnsi="Arial" w:cs="Arial"/>
          <w:lang w:val="es-ES_tradnl"/>
        </w:rPr>
        <w:t xml:space="preserve"> se estima en </w:t>
      </w:r>
      <w:r w:rsidR="00F41134" w:rsidRPr="00F237BB">
        <w:rPr>
          <w:rFonts w:ascii="Arial" w:hAnsi="Arial" w:cs="Arial"/>
          <w:lang w:val="es-ES_tradnl"/>
        </w:rPr>
        <w:t xml:space="preserve">106 </w:t>
      </w:r>
      <w:r w:rsidR="0078453F" w:rsidRPr="00F237BB">
        <w:rPr>
          <w:rFonts w:ascii="Arial" w:hAnsi="Arial" w:cs="Arial"/>
          <w:lang w:val="es-ES_tradnl"/>
        </w:rPr>
        <w:t>causas activas por abogado</w:t>
      </w:r>
      <w:r w:rsidRPr="00F237BB">
        <w:rPr>
          <w:rFonts w:ascii="Arial" w:hAnsi="Arial" w:cs="Arial"/>
          <w:lang w:val="es-ES_tradnl"/>
        </w:rPr>
        <w:t xml:space="preserve">, </w:t>
      </w:r>
      <w:r w:rsidR="0078453F" w:rsidRPr="00F237BB">
        <w:rPr>
          <w:rFonts w:ascii="Arial" w:hAnsi="Arial" w:cs="Arial"/>
          <w:lang w:val="es-ES_tradnl"/>
        </w:rPr>
        <w:t xml:space="preserve">pero existen dificultades para poder definir su importancia relativa y si este es el número </w:t>
      </w:r>
      <w:r w:rsidR="00BA692F" w:rsidRPr="00F237BB">
        <w:rPr>
          <w:rFonts w:ascii="Arial" w:hAnsi="Arial" w:cs="Arial"/>
          <w:lang w:val="es-ES_tradnl"/>
        </w:rPr>
        <w:t xml:space="preserve">de causas </w:t>
      </w:r>
      <w:r w:rsidR="0078453F" w:rsidRPr="00F237BB">
        <w:rPr>
          <w:rFonts w:ascii="Arial" w:hAnsi="Arial" w:cs="Arial"/>
          <w:lang w:val="es-ES_tradnl"/>
        </w:rPr>
        <w:t xml:space="preserve">que efectivamente llevan entre manos. Recuérdese que según las opiniones relevadas, es frecuente que los abogados no carguen la información de las causas, </w:t>
      </w:r>
      <w:r w:rsidR="00BA692F" w:rsidRPr="00F237BB">
        <w:rPr>
          <w:rFonts w:ascii="Arial" w:hAnsi="Arial" w:cs="Arial"/>
          <w:lang w:val="es-ES_tradnl"/>
        </w:rPr>
        <w:t>ni tampoco</w:t>
      </w:r>
      <w:r w:rsidR="0078453F" w:rsidRPr="00F237BB">
        <w:rPr>
          <w:rFonts w:ascii="Arial" w:hAnsi="Arial" w:cs="Arial"/>
          <w:lang w:val="es-ES_tradnl"/>
        </w:rPr>
        <w:t xml:space="preserve"> de los movimientos, en el sistema de registro y seguimiento DOTCOM.</w:t>
      </w:r>
    </w:p>
    <w:p w:rsidR="00146ACD" w:rsidRPr="00F237BB" w:rsidRDefault="00146ACD" w:rsidP="00146ACD">
      <w:pPr>
        <w:pStyle w:val="ListParagraph"/>
        <w:rPr>
          <w:rFonts w:ascii="Arial" w:hAnsi="Arial" w:cs="Arial"/>
          <w:lang w:val="es-ES_tradnl"/>
        </w:rPr>
      </w:pPr>
    </w:p>
    <w:p w:rsidR="00146ACD" w:rsidRPr="00F237BB" w:rsidRDefault="00146ACD" w:rsidP="00146ACD">
      <w:pPr>
        <w:pStyle w:val="ListParagraph"/>
        <w:numPr>
          <w:ilvl w:val="0"/>
          <w:numId w:val="14"/>
        </w:numPr>
        <w:ind w:left="567" w:hanging="567"/>
        <w:rPr>
          <w:rFonts w:ascii="Arial" w:hAnsi="Arial" w:cs="Arial"/>
          <w:lang w:val="es-ES_tradnl"/>
        </w:rPr>
      </w:pPr>
      <w:r w:rsidRPr="00F237BB">
        <w:rPr>
          <w:rFonts w:ascii="Arial" w:hAnsi="Arial" w:cs="Arial"/>
          <w:lang w:val="es-ES_tradnl"/>
        </w:rPr>
        <w:t>De las causas cerradas</w:t>
      </w:r>
      <w:r w:rsidR="00BA692F" w:rsidRPr="00F237BB">
        <w:rPr>
          <w:rFonts w:ascii="Arial" w:hAnsi="Arial" w:cs="Arial"/>
          <w:lang w:val="es-ES_tradnl"/>
        </w:rPr>
        <w:t xml:space="preserve"> y definitivas,</w:t>
      </w:r>
      <w:r w:rsidRPr="00F237BB">
        <w:rPr>
          <w:rFonts w:ascii="Arial" w:hAnsi="Arial" w:cs="Arial"/>
          <w:lang w:val="es-ES_tradnl"/>
        </w:rPr>
        <w:t xml:space="preserve"> no se tiene constancia del sentido del fallo de los tribunales, de los fundamentos de la sentencia ni tampoco el monto de las indemnizaciones. </w:t>
      </w:r>
      <w:r w:rsidR="0078453F" w:rsidRPr="00F237BB">
        <w:rPr>
          <w:rFonts w:ascii="Arial" w:hAnsi="Arial" w:cs="Arial"/>
          <w:lang w:val="es-ES_tradnl"/>
        </w:rPr>
        <w:t xml:space="preserve">Esta información no consta en el sistema de seguimiento DOTCOM, por lo que habría que rastrearlas en los </w:t>
      </w:r>
      <w:r w:rsidR="002C68C2" w:rsidRPr="00F237BB">
        <w:rPr>
          <w:rFonts w:ascii="Arial" w:hAnsi="Arial" w:cs="Arial"/>
          <w:lang w:val="es-ES_tradnl"/>
        </w:rPr>
        <w:t>s</w:t>
      </w:r>
      <w:r w:rsidR="0078453F" w:rsidRPr="00F237BB">
        <w:rPr>
          <w:rFonts w:ascii="Arial" w:hAnsi="Arial" w:cs="Arial"/>
          <w:lang w:val="es-ES_tradnl"/>
        </w:rPr>
        <w:t xml:space="preserve">istemas informatizados de los tribunales. </w:t>
      </w:r>
      <w:r w:rsidR="00BA692F" w:rsidRPr="00F237BB">
        <w:rPr>
          <w:rFonts w:ascii="Arial" w:hAnsi="Arial" w:cs="Arial"/>
          <w:lang w:val="es-ES_tradnl"/>
        </w:rPr>
        <w:t>En este contexto de ausencia de información básica</w:t>
      </w:r>
      <w:r w:rsidRPr="00F237BB">
        <w:rPr>
          <w:rFonts w:ascii="Arial" w:hAnsi="Arial" w:cs="Arial"/>
          <w:lang w:val="es-ES_tradnl"/>
        </w:rPr>
        <w:t>, no es posible construir un modelo de gestión del conocimiento que permita generar instrucciones acerca de las estrategias de defensa judicial a partir de los precedentes</w:t>
      </w:r>
      <w:r w:rsidR="00BA692F" w:rsidRPr="00F237BB">
        <w:rPr>
          <w:rFonts w:ascii="Arial" w:hAnsi="Arial" w:cs="Arial"/>
          <w:lang w:val="es-ES_tradnl"/>
        </w:rPr>
        <w:t xml:space="preserve"> y los resultados de las sentencias</w:t>
      </w:r>
      <w:r w:rsidRPr="00F237BB">
        <w:rPr>
          <w:rFonts w:ascii="Arial" w:hAnsi="Arial" w:cs="Arial"/>
          <w:lang w:val="es-ES_tradnl"/>
        </w:rPr>
        <w:t>. Cada abogado trata de resolver sus asuntos a su buen entender. No existe</w:t>
      </w:r>
      <w:r w:rsidR="00BA692F" w:rsidRPr="00F237BB">
        <w:rPr>
          <w:rFonts w:ascii="Arial" w:hAnsi="Arial" w:cs="Arial"/>
          <w:lang w:val="es-ES_tradnl"/>
        </w:rPr>
        <w:t>n condiciones para poder iniciar un</w:t>
      </w:r>
      <w:r w:rsidRPr="00F237BB">
        <w:rPr>
          <w:rFonts w:ascii="Arial" w:hAnsi="Arial" w:cs="Arial"/>
          <w:lang w:val="es-ES_tradnl"/>
        </w:rPr>
        <w:t xml:space="preserve"> proceso de aprendizaje conjunto.</w:t>
      </w:r>
    </w:p>
    <w:p w:rsidR="009324BA" w:rsidRPr="00F237BB" w:rsidRDefault="009324BA" w:rsidP="009324BA">
      <w:pPr>
        <w:pStyle w:val="ListParagraph"/>
        <w:rPr>
          <w:rFonts w:ascii="Arial" w:hAnsi="Arial" w:cs="Arial"/>
        </w:rPr>
      </w:pPr>
    </w:p>
    <w:p w:rsidR="009324BA" w:rsidRPr="00F237BB" w:rsidRDefault="009324BA" w:rsidP="00F6651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Además de las causas judiciales, el otro gran bloque de actividades se centra en los </w:t>
      </w:r>
      <w:r w:rsidR="002D2C0C" w:rsidRPr="00F237BB">
        <w:rPr>
          <w:rFonts w:ascii="Arial" w:hAnsi="Arial" w:cs="Arial"/>
          <w:b/>
          <w:lang w:val="es-ES_tradnl"/>
        </w:rPr>
        <w:t>dictámenes jurídicos</w:t>
      </w:r>
      <w:r w:rsidRPr="00F237BB">
        <w:rPr>
          <w:rFonts w:ascii="Arial" w:hAnsi="Arial" w:cs="Arial"/>
          <w:lang w:val="es-ES_tradnl"/>
        </w:rPr>
        <w:t xml:space="preserve">. Se estima que existen unos </w:t>
      </w:r>
      <w:r w:rsidR="004B0657" w:rsidRPr="00F237BB">
        <w:rPr>
          <w:rFonts w:ascii="Arial" w:hAnsi="Arial" w:cs="Arial"/>
          <w:lang w:val="es-ES_tradnl"/>
        </w:rPr>
        <w:t>260</w:t>
      </w:r>
      <w:r w:rsidRPr="00F237BB">
        <w:rPr>
          <w:rFonts w:ascii="Arial" w:hAnsi="Arial" w:cs="Arial"/>
          <w:lang w:val="es-ES_tradnl"/>
        </w:rPr>
        <w:t>.</w:t>
      </w:r>
      <w:r w:rsidR="004B0657" w:rsidRPr="00F237BB">
        <w:rPr>
          <w:rFonts w:ascii="Arial" w:hAnsi="Arial" w:cs="Arial"/>
          <w:lang w:val="es-ES_tradnl"/>
        </w:rPr>
        <w:t xml:space="preserve">528 </w:t>
      </w:r>
      <w:r w:rsidRPr="00F237BB">
        <w:rPr>
          <w:rFonts w:ascii="Arial" w:hAnsi="Arial" w:cs="Arial"/>
          <w:lang w:val="es-ES_tradnl"/>
        </w:rPr>
        <w:t xml:space="preserve">dictámenes archivados, de los cuales 121.000 aproximadamente están clasificados y encuadernados, y el resto se encuentra en </w:t>
      </w:r>
      <w:proofErr w:type="spellStart"/>
      <w:r w:rsidRPr="00F237BB">
        <w:rPr>
          <w:rFonts w:ascii="Arial" w:hAnsi="Arial" w:cs="Arial"/>
          <w:lang w:val="es-ES_tradnl"/>
        </w:rPr>
        <w:t>biblioratos</w:t>
      </w:r>
      <w:proofErr w:type="spellEnd"/>
      <w:r w:rsidRPr="00F237BB">
        <w:rPr>
          <w:rFonts w:ascii="Arial" w:hAnsi="Arial" w:cs="Arial"/>
          <w:lang w:val="es-ES_tradnl"/>
        </w:rPr>
        <w:t xml:space="preserve">. </w:t>
      </w:r>
      <w:r w:rsidR="00F85808" w:rsidRPr="00F237BB">
        <w:rPr>
          <w:rFonts w:ascii="Arial" w:hAnsi="Arial" w:cs="Arial"/>
          <w:lang w:val="es-ES_tradnl"/>
        </w:rPr>
        <w:t>Entre enero y junio de</w:t>
      </w:r>
      <w:r w:rsidRPr="00F237BB">
        <w:rPr>
          <w:rFonts w:ascii="Arial" w:hAnsi="Arial" w:cs="Arial"/>
          <w:lang w:val="es-ES_tradnl"/>
        </w:rPr>
        <w:t xml:space="preserve"> </w:t>
      </w:r>
      <w:r w:rsidR="004B0657" w:rsidRPr="00F237BB">
        <w:rPr>
          <w:rFonts w:ascii="Arial" w:hAnsi="Arial" w:cs="Arial"/>
          <w:lang w:val="es-ES_tradnl"/>
        </w:rPr>
        <w:t xml:space="preserve">2016 </w:t>
      </w:r>
      <w:r w:rsidRPr="00F237BB">
        <w:rPr>
          <w:rFonts w:ascii="Arial" w:hAnsi="Arial" w:cs="Arial"/>
          <w:lang w:val="es-ES_tradnl"/>
        </w:rPr>
        <w:t>se genera</w:t>
      </w:r>
      <w:r w:rsidR="00F85808" w:rsidRPr="00F237BB">
        <w:rPr>
          <w:rFonts w:ascii="Arial" w:hAnsi="Arial" w:cs="Arial"/>
          <w:lang w:val="es-ES_tradnl"/>
        </w:rPr>
        <w:t>ro</w:t>
      </w:r>
      <w:r w:rsidRPr="00F237BB">
        <w:rPr>
          <w:rFonts w:ascii="Arial" w:hAnsi="Arial" w:cs="Arial"/>
          <w:lang w:val="es-ES_tradnl"/>
        </w:rPr>
        <w:t xml:space="preserve">n </w:t>
      </w:r>
      <w:r w:rsidR="00F85808" w:rsidRPr="00F237BB">
        <w:rPr>
          <w:rFonts w:ascii="Arial" w:hAnsi="Arial" w:cs="Arial"/>
          <w:lang w:val="es-ES_tradnl"/>
        </w:rPr>
        <w:t>2.648</w:t>
      </w:r>
      <w:r w:rsidRPr="00F237BB">
        <w:rPr>
          <w:rFonts w:ascii="Arial" w:hAnsi="Arial" w:cs="Arial"/>
          <w:lang w:val="es-ES_tradnl"/>
        </w:rPr>
        <w:t xml:space="preserve"> dictámenes jurídicos nuevos. </w:t>
      </w:r>
      <w:r w:rsidR="00F85808" w:rsidRPr="00F237BB">
        <w:rPr>
          <w:rFonts w:ascii="Arial" w:hAnsi="Arial" w:cs="Arial"/>
          <w:lang w:val="es-ES_tradnl"/>
        </w:rPr>
        <w:t xml:space="preserve">Por su parte, en el año 2015 se emitieron 8.273 dictámenes y en el 2014 unos 6.245. </w:t>
      </w:r>
      <w:r w:rsidRPr="00F237BB">
        <w:rPr>
          <w:rFonts w:ascii="Arial" w:hAnsi="Arial" w:cs="Arial"/>
          <w:lang w:val="es-ES_tradnl"/>
        </w:rPr>
        <w:t>Dado que para la labor de asistencia jurídica la consulta a antecedentes es fundamental, este modelo de almacenamiento de la información dificulta enormemente la consulta, lo cual a su vez retrasa el trámite.</w:t>
      </w:r>
      <w:r w:rsidR="004B0657" w:rsidRPr="00F237BB">
        <w:rPr>
          <w:rFonts w:ascii="Arial" w:hAnsi="Arial" w:cs="Arial"/>
          <w:lang w:val="es-ES_tradnl"/>
        </w:rPr>
        <w:t xml:space="preserve"> </w:t>
      </w:r>
    </w:p>
    <w:p w:rsidR="00BA692F" w:rsidRPr="00F237BB" w:rsidRDefault="00BA692F" w:rsidP="00BA692F">
      <w:pPr>
        <w:pStyle w:val="ListParagraph"/>
        <w:rPr>
          <w:rFonts w:ascii="Arial" w:hAnsi="Arial" w:cs="Arial"/>
        </w:rPr>
      </w:pPr>
    </w:p>
    <w:p w:rsidR="00BA692F" w:rsidRPr="00F237BB" w:rsidRDefault="00BA692F" w:rsidP="009324BA">
      <w:pPr>
        <w:pStyle w:val="ListParagraph"/>
        <w:numPr>
          <w:ilvl w:val="0"/>
          <w:numId w:val="14"/>
        </w:numPr>
        <w:ind w:left="567" w:hanging="567"/>
        <w:rPr>
          <w:rFonts w:ascii="Arial" w:hAnsi="Arial" w:cs="Arial"/>
        </w:rPr>
      </w:pPr>
      <w:r w:rsidRPr="00F237BB">
        <w:rPr>
          <w:rFonts w:ascii="Arial" w:hAnsi="Arial" w:cs="Arial"/>
        </w:rPr>
        <w:t>No existe información disponible acerca de la duración media de los dictá</w:t>
      </w:r>
      <w:r w:rsidR="001C39F5" w:rsidRPr="00F237BB">
        <w:rPr>
          <w:rFonts w:ascii="Arial" w:hAnsi="Arial" w:cs="Arial"/>
        </w:rPr>
        <w:t>menes, pues no hay ningún sistema informatizado que esté soportando el flujo de trabajo. Sin embargo, todas las opiniones consultadas son coincidentes en afirmar que existen demoras en la entrega de los trabajo, lo que estaría afectando a la celeridad en el proceso de toma de decisiones.</w:t>
      </w:r>
    </w:p>
    <w:p w:rsidR="009324BA" w:rsidRPr="00F237BB" w:rsidRDefault="009324BA" w:rsidP="009324BA">
      <w:pPr>
        <w:pStyle w:val="ListParagraph"/>
        <w:rPr>
          <w:rFonts w:ascii="Arial" w:hAnsi="Arial" w:cs="Arial"/>
        </w:rPr>
      </w:pPr>
    </w:p>
    <w:p w:rsidR="009324BA" w:rsidRPr="00F237BB" w:rsidRDefault="009324BA" w:rsidP="00F6651C">
      <w:pPr>
        <w:pStyle w:val="ListParagraph"/>
        <w:numPr>
          <w:ilvl w:val="0"/>
          <w:numId w:val="14"/>
        </w:numPr>
        <w:ind w:left="567" w:hanging="567"/>
        <w:rPr>
          <w:rFonts w:ascii="Arial" w:hAnsi="Arial" w:cs="Arial"/>
        </w:rPr>
      </w:pPr>
      <w:r w:rsidRPr="00F237BB">
        <w:rPr>
          <w:rFonts w:ascii="Arial" w:hAnsi="Arial" w:cs="Arial"/>
        </w:rPr>
        <w:t xml:space="preserve">Y finalmente, </w:t>
      </w:r>
      <w:r w:rsidR="009826B1" w:rsidRPr="00F237BB">
        <w:rPr>
          <w:rFonts w:ascii="Arial" w:hAnsi="Arial" w:cs="Arial"/>
        </w:rPr>
        <w:t xml:space="preserve">durante 2015 permanecieron en el sector 28.701 </w:t>
      </w:r>
      <w:r w:rsidR="009826B1" w:rsidRPr="00F237BB">
        <w:rPr>
          <w:rFonts w:ascii="Arial" w:hAnsi="Arial" w:cs="Arial"/>
          <w:b/>
        </w:rPr>
        <w:t>expedientes administrativos</w:t>
      </w:r>
      <w:r w:rsidR="009826B1" w:rsidRPr="00F237BB">
        <w:rPr>
          <w:rFonts w:ascii="Arial" w:hAnsi="Arial" w:cs="Arial"/>
        </w:rPr>
        <w:t xml:space="preserve">, y </w:t>
      </w:r>
      <w:r w:rsidR="000E3CB7" w:rsidRPr="00F237BB">
        <w:rPr>
          <w:rFonts w:ascii="Arial" w:hAnsi="Arial" w:cs="Arial"/>
        </w:rPr>
        <w:t>entre enero y junio</w:t>
      </w:r>
      <w:r w:rsidR="009826B1" w:rsidRPr="00F237BB">
        <w:rPr>
          <w:rFonts w:ascii="Arial" w:hAnsi="Arial" w:cs="Arial"/>
        </w:rPr>
        <w:t xml:space="preserve"> de 2016 permanecieron 8.409</w:t>
      </w:r>
      <w:r w:rsidRPr="00F237BB">
        <w:rPr>
          <w:rFonts w:ascii="Arial" w:hAnsi="Arial" w:cs="Arial"/>
        </w:rPr>
        <w:t xml:space="preserve"> expedientes. El sistema COMDOC del Ministerio, instalado para el seguimiento general de los expedientes</w:t>
      </w:r>
      <w:r w:rsidR="009826B1" w:rsidRPr="00F237BB">
        <w:rPr>
          <w:rFonts w:ascii="Arial" w:hAnsi="Arial" w:cs="Arial"/>
        </w:rPr>
        <w:t xml:space="preserve"> administrativos</w:t>
      </w:r>
      <w:r w:rsidRPr="00F237BB">
        <w:rPr>
          <w:rFonts w:ascii="Arial" w:hAnsi="Arial" w:cs="Arial"/>
        </w:rPr>
        <w:t xml:space="preserve">, no es </w:t>
      </w:r>
      <w:r w:rsidR="009826B1" w:rsidRPr="00F237BB">
        <w:rPr>
          <w:rFonts w:ascii="Arial" w:hAnsi="Arial" w:cs="Arial"/>
        </w:rPr>
        <w:t>aprovechado en su totalidad</w:t>
      </w:r>
      <w:r w:rsidRPr="00F237BB">
        <w:rPr>
          <w:rFonts w:ascii="Arial" w:hAnsi="Arial" w:cs="Arial"/>
        </w:rPr>
        <w:t>, por lo que en muchos casos se desconoce la ubicación exacta del expediente dentro del itinerario procedimental al interno de la DGAJ, o bien existen expedientes de mucha antigüedad (más de 10 años, en algunos casos) que siguen vivos en el sistema de registro para el seguimiento pero se desconoce si hubo unidad administrativa que lo recibió.</w:t>
      </w:r>
      <w:r w:rsidR="009826B1" w:rsidRPr="00F237BB">
        <w:rPr>
          <w:rFonts w:ascii="Arial" w:hAnsi="Arial" w:cs="Arial"/>
        </w:rPr>
        <w:t xml:space="preserve"> </w:t>
      </w:r>
    </w:p>
    <w:p w:rsidR="009826B1" w:rsidRPr="00F237BB" w:rsidRDefault="009826B1" w:rsidP="00F6651C">
      <w:pPr>
        <w:rPr>
          <w:rFonts w:ascii="Arial" w:hAnsi="Arial" w:cs="Arial"/>
        </w:rPr>
      </w:pPr>
    </w:p>
    <w:p w:rsidR="009324BA" w:rsidRPr="00F237BB" w:rsidRDefault="009324BA" w:rsidP="009324BA">
      <w:pPr>
        <w:pStyle w:val="ListParagraph"/>
        <w:numPr>
          <w:ilvl w:val="0"/>
          <w:numId w:val="14"/>
        </w:numPr>
        <w:ind w:left="567" w:hanging="567"/>
        <w:rPr>
          <w:rFonts w:ascii="Arial" w:hAnsi="Arial" w:cs="Arial"/>
        </w:rPr>
      </w:pPr>
      <w:r w:rsidRPr="00F237BB">
        <w:rPr>
          <w:rFonts w:ascii="Arial" w:hAnsi="Arial" w:cs="Arial"/>
        </w:rPr>
        <w:t xml:space="preserve">Estos trazos gruesos del modelo de funcionamiento de la DGAJ son suficientemente ilustrativos para poder concluir que los resultados de su producción estratégica tienen una repercusión directa sobre el espacio fiscal, y por lo tanto, para la determinación en el mediano y largo plazo del espacio fiscal sobre el que asentar los escenarios macroeconómicos y las políticas económicas. Esta es la razón principal por la cual se incluye el análisis del funcionamiento de la DGAJ dentro de este diagnóstico de la </w:t>
      </w:r>
      <w:r w:rsidR="00217341" w:rsidRPr="00F237BB">
        <w:rPr>
          <w:rFonts w:ascii="Arial" w:hAnsi="Arial" w:cs="Arial"/>
        </w:rPr>
        <w:t>Secretaría de Política Económica y Planificación del Desarrollo</w:t>
      </w:r>
      <w:r w:rsidRPr="00F237BB">
        <w:rPr>
          <w:rFonts w:ascii="Arial" w:hAnsi="Arial" w:cs="Arial"/>
        </w:rPr>
        <w:t>.</w:t>
      </w:r>
    </w:p>
    <w:p w:rsidR="00936029" w:rsidRPr="00F237BB" w:rsidRDefault="00936029" w:rsidP="00936029">
      <w:pPr>
        <w:pStyle w:val="ListParagraph"/>
        <w:rPr>
          <w:rFonts w:ascii="Arial" w:hAnsi="Arial" w:cs="Arial"/>
        </w:rPr>
      </w:pPr>
    </w:p>
    <w:p w:rsidR="00936029" w:rsidRPr="00F237BB" w:rsidRDefault="00936029" w:rsidP="00936029">
      <w:pPr>
        <w:pStyle w:val="ListParagraph"/>
        <w:numPr>
          <w:ilvl w:val="0"/>
          <w:numId w:val="14"/>
        </w:numPr>
        <w:ind w:left="567" w:hanging="567"/>
        <w:rPr>
          <w:rFonts w:ascii="Arial" w:hAnsi="Arial" w:cs="Arial"/>
          <w:lang w:val="es-ES_tradnl"/>
        </w:rPr>
      </w:pPr>
      <w:r w:rsidRPr="00F237BB">
        <w:rPr>
          <w:rFonts w:ascii="Arial" w:hAnsi="Arial" w:cs="Arial"/>
          <w:lang w:val="es-ES_tradnl"/>
        </w:rPr>
        <w:t>Todos estos aspectos problemáticos asociados a la gestión jurídica están vinculados a tres tipos distintos de factores:</w:t>
      </w:r>
    </w:p>
    <w:p w:rsidR="00936029" w:rsidRPr="00F237BB" w:rsidRDefault="00936029" w:rsidP="00936029">
      <w:pPr>
        <w:rPr>
          <w:rFonts w:ascii="Arial" w:hAnsi="Arial" w:cs="Arial"/>
          <w:lang w:val="es-ES_tradnl"/>
        </w:rPr>
      </w:pPr>
    </w:p>
    <w:p w:rsidR="00936029" w:rsidRPr="00F237BB" w:rsidRDefault="00936029" w:rsidP="00936029">
      <w:pPr>
        <w:pStyle w:val="ListParagraph"/>
        <w:numPr>
          <w:ilvl w:val="0"/>
          <w:numId w:val="24"/>
        </w:numPr>
        <w:rPr>
          <w:rFonts w:ascii="Arial" w:hAnsi="Arial" w:cs="Arial"/>
          <w:lang w:val="es-ES_tradnl"/>
        </w:rPr>
      </w:pPr>
      <w:r w:rsidRPr="00F237BB">
        <w:rPr>
          <w:rFonts w:ascii="Arial" w:hAnsi="Arial" w:cs="Arial"/>
          <w:lang w:val="es-ES_tradnl"/>
        </w:rPr>
        <w:t>En primer lugar, la inexistencia de procedimientos establecidos para la gestión de las causas y de los dictámenes. Es decir, el modelo de funcionamiento dominante no tiene establecidas pautas de trabajo ni tampoco criterios claros en cuanto a las distintas fases y controles que deben tener las causas y los dictámenes. En la práctica no existe medición de los resultados de la actividad.</w:t>
      </w:r>
    </w:p>
    <w:p w:rsidR="00936029" w:rsidRPr="00F237BB" w:rsidRDefault="00936029" w:rsidP="00936029">
      <w:pPr>
        <w:pStyle w:val="ListParagraph"/>
        <w:numPr>
          <w:ilvl w:val="0"/>
          <w:numId w:val="24"/>
        </w:numPr>
        <w:rPr>
          <w:rFonts w:ascii="Arial" w:hAnsi="Arial" w:cs="Arial"/>
          <w:lang w:val="es-ES_tradnl"/>
        </w:rPr>
      </w:pPr>
      <w:r w:rsidRPr="00F237BB">
        <w:rPr>
          <w:rFonts w:ascii="Arial" w:hAnsi="Arial" w:cs="Arial"/>
          <w:lang w:val="es-ES_tradnl"/>
        </w:rPr>
        <w:t>En segundo lugar, la ausencia de un sistema de gestión de causas y de dictámenes que generen ambientes de trabajo útiles para los profesionales, especialmente con capacidad de consulta de precedentes y otras herramientas auxiliares (textos legales, jurisprudencia, por ejemplo), y que al mismo tiempo permita hacer un seguimiento real de la traza de los expedientes.</w:t>
      </w:r>
    </w:p>
    <w:p w:rsidR="00936029" w:rsidRPr="00F237BB" w:rsidRDefault="00936029" w:rsidP="00936029">
      <w:pPr>
        <w:pStyle w:val="ListParagraph"/>
        <w:numPr>
          <w:ilvl w:val="0"/>
          <w:numId w:val="24"/>
        </w:numPr>
        <w:rPr>
          <w:rFonts w:ascii="Arial" w:hAnsi="Arial" w:cs="Arial"/>
          <w:lang w:val="es-ES_tradnl"/>
        </w:rPr>
      </w:pPr>
      <w:r w:rsidRPr="00F237BB">
        <w:rPr>
          <w:rFonts w:ascii="Arial" w:hAnsi="Arial" w:cs="Arial"/>
          <w:lang w:val="es-ES_tradnl"/>
        </w:rPr>
        <w:t>Y en tercer lugar pero igualmente importante, se carece de un modelo de gestión del conocimiento que permita generar información de alto valor agregado y retroalimentar el proceso de elaboración de los dictámenes y de las estrategias de defensa.</w:t>
      </w:r>
    </w:p>
    <w:p w:rsidR="00936029" w:rsidRPr="00F237BB" w:rsidRDefault="00936029" w:rsidP="00936029">
      <w:pPr>
        <w:rPr>
          <w:rFonts w:ascii="Arial" w:hAnsi="Arial" w:cs="Arial"/>
          <w:lang w:val="es-ES_tradnl"/>
        </w:rPr>
      </w:pPr>
    </w:p>
    <w:p w:rsidR="00FA215F" w:rsidRPr="00F237BB" w:rsidRDefault="00FA215F" w:rsidP="00FA215F">
      <w:pPr>
        <w:pStyle w:val="ListParagraph"/>
        <w:numPr>
          <w:ilvl w:val="0"/>
          <w:numId w:val="14"/>
        </w:numPr>
        <w:ind w:left="567" w:hanging="567"/>
        <w:rPr>
          <w:rFonts w:ascii="Arial" w:hAnsi="Arial" w:cs="Arial"/>
          <w:lang w:val="es-ES_tradnl"/>
        </w:rPr>
      </w:pPr>
      <w:r w:rsidRPr="00F237BB">
        <w:rPr>
          <w:rFonts w:ascii="Arial" w:hAnsi="Arial" w:cs="Arial"/>
          <w:lang w:val="es-ES_tradnl"/>
        </w:rPr>
        <w:lastRenderedPageBreak/>
        <w:t xml:space="preserve">Como conclusión, las carencias de información sobre causas en tribunales son de tal magnitud, que para la realización de este diagnóstico se consideró conveniente poner en marcha la contratación de una consultoría que levante datos mediante una encuesta a realizar sobre una muestra de expedientes judiciales. Se confía en que los resultados de esta encuesta estén disponibles en el momento de la </w:t>
      </w:r>
      <w:r w:rsidR="00DE20CD" w:rsidRPr="00F237BB">
        <w:rPr>
          <w:rFonts w:ascii="Arial" w:hAnsi="Arial" w:cs="Arial"/>
          <w:lang w:val="es-ES_tradnl"/>
        </w:rPr>
        <w:t xml:space="preserve">elaboración del documento de proyecto (POD) y, por tanto, puedan servir también para evidenciar con mayor </w:t>
      </w:r>
      <w:r w:rsidR="00992B4C" w:rsidRPr="00F237BB">
        <w:rPr>
          <w:rFonts w:ascii="Arial" w:hAnsi="Arial" w:cs="Arial"/>
          <w:lang w:val="es-ES_tradnl"/>
        </w:rPr>
        <w:t>soporte analítico</w:t>
      </w:r>
      <w:r w:rsidR="00DE20CD" w:rsidRPr="00F237BB">
        <w:rPr>
          <w:rFonts w:ascii="Arial" w:hAnsi="Arial" w:cs="Arial"/>
          <w:lang w:val="es-ES_tradnl"/>
        </w:rPr>
        <w:t xml:space="preserve"> las debilidades descritas. En cualquier caso, </w:t>
      </w:r>
      <w:r w:rsidR="00992B4C" w:rsidRPr="00F237BB">
        <w:rPr>
          <w:rFonts w:ascii="Arial" w:hAnsi="Arial" w:cs="Arial"/>
          <w:lang w:val="es-ES_tradnl"/>
        </w:rPr>
        <w:t xml:space="preserve">no es de esperar que </w:t>
      </w:r>
      <w:r w:rsidR="00146ACD" w:rsidRPr="00F237BB">
        <w:rPr>
          <w:rFonts w:ascii="Arial" w:hAnsi="Arial" w:cs="Arial"/>
          <w:lang w:val="es-ES_tradnl"/>
        </w:rPr>
        <w:t>los hallazgos</w:t>
      </w:r>
      <w:r w:rsidR="000A6BAC" w:rsidRPr="00F237BB">
        <w:rPr>
          <w:rFonts w:ascii="Arial" w:hAnsi="Arial" w:cs="Arial"/>
          <w:lang w:val="es-ES_tradnl"/>
        </w:rPr>
        <w:t xml:space="preserve"> expuest</w:t>
      </w:r>
      <w:r w:rsidR="00146ACD" w:rsidRPr="00F237BB">
        <w:rPr>
          <w:rFonts w:ascii="Arial" w:hAnsi="Arial" w:cs="Arial"/>
          <w:lang w:val="es-ES_tradnl"/>
        </w:rPr>
        <w:t>o</w:t>
      </w:r>
      <w:r w:rsidR="007B5925" w:rsidRPr="00F237BB">
        <w:rPr>
          <w:rFonts w:ascii="Arial" w:hAnsi="Arial" w:cs="Arial"/>
          <w:lang w:val="es-ES_tradnl"/>
        </w:rPr>
        <w:t>s ahora se vean alterado</w:t>
      </w:r>
      <w:r w:rsidR="000A6BAC" w:rsidRPr="00F237BB">
        <w:rPr>
          <w:rFonts w:ascii="Arial" w:hAnsi="Arial" w:cs="Arial"/>
          <w:lang w:val="es-ES_tradnl"/>
        </w:rPr>
        <w:t>s drásticamente con los nuevos datos.</w:t>
      </w:r>
    </w:p>
    <w:p w:rsidR="00146ACD" w:rsidRPr="00F237BB" w:rsidRDefault="00146ACD" w:rsidP="009D728C">
      <w:pPr>
        <w:rPr>
          <w:rFonts w:ascii="Arial" w:hAnsi="Arial" w:cs="Arial"/>
          <w:lang w:val="es-ES_tradnl"/>
        </w:rPr>
      </w:pPr>
    </w:p>
    <w:p w:rsidR="00BA5040" w:rsidRPr="00F237BB" w:rsidRDefault="00BA5040" w:rsidP="00BA5040">
      <w:pPr>
        <w:pStyle w:val="Heading3"/>
        <w:rPr>
          <w:rFonts w:ascii="Arial" w:hAnsi="Arial"/>
          <w:szCs w:val="22"/>
          <w:lang w:val="es-ES_tradnl"/>
        </w:rPr>
      </w:pPr>
      <w:r w:rsidRPr="00F237BB">
        <w:rPr>
          <w:rFonts w:ascii="Arial" w:hAnsi="Arial"/>
          <w:szCs w:val="22"/>
        </w:rPr>
        <w:t xml:space="preserve">Problema 3: </w:t>
      </w:r>
      <w:r w:rsidR="007B5925" w:rsidRPr="00F237BB">
        <w:rPr>
          <w:rFonts w:ascii="Arial" w:hAnsi="Arial"/>
          <w:szCs w:val="22"/>
          <w:lang w:val="es-ES_tradnl"/>
        </w:rPr>
        <w:t>Débil</w:t>
      </w:r>
      <w:r w:rsidR="00F77713" w:rsidRPr="00F237BB">
        <w:rPr>
          <w:rFonts w:ascii="Arial" w:hAnsi="Arial"/>
          <w:szCs w:val="22"/>
          <w:lang w:val="es-ES_tradnl"/>
        </w:rPr>
        <w:t xml:space="preserve"> interacción y coordinación</w:t>
      </w:r>
      <w:r w:rsidRPr="00F237BB">
        <w:rPr>
          <w:rFonts w:ascii="Arial" w:hAnsi="Arial"/>
          <w:szCs w:val="22"/>
          <w:lang w:val="es-ES_tradnl"/>
        </w:rPr>
        <w:t xml:space="preserve"> con actores externos</w:t>
      </w:r>
      <w:r w:rsidR="00F77713" w:rsidRPr="00F237BB">
        <w:rPr>
          <w:rFonts w:ascii="Arial" w:hAnsi="Arial"/>
          <w:szCs w:val="22"/>
          <w:lang w:val="es-ES_tradnl"/>
        </w:rPr>
        <w:t xml:space="preserve"> al </w:t>
      </w:r>
      <w:proofErr w:type="spellStart"/>
      <w:r w:rsidR="00F86B3F" w:rsidRPr="00F237BB">
        <w:rPr>
          <w:rFonts w:ascii="Arial" w:hAnsi="Arial"/>
          <w:szCs w:val="22"/>
          <w:lang w:val="es-ES_tradnl"/>
        </w:rPr>
        <w:t>MH</w:t>
      </w:r>
      <w:r w:rsidR="003279EF" w:rsidRPr="00F237BB">
        <w:rPr>
          <w:rFonts w:ascii="Arial" w:hAnsi="Arial"/>
          <w:szCs w:val="22"/>
          <w:lang w:val="es-ES_tradnl"/>
        </w:rPr>
        <w:t>y</w:t>
      </w:r>
      <w:r w:rsidR="00F86B3F" w:rsidRPr="00F237BB">
        <w:rPr>
          <w:rFonts w:ascii="Arial" w:hAnsi="Arial"/>
          <w:szCs w:val="22"/>
          <w:lang w:val="es-ES_tradnl"/>
        </w:rPr>
        <w:t>FP</w:t>
      </w:r>
      <w:proofErr w:type="spellEnd"/>
    </w:p>
    <w:p w:rsidR="00936029" w:rsidRPr="00F237BB" w:rsidRDefault="00936029" w:rsidP="00936029">
      <w:pPr>
        <w:spacing w:after="240"/>
        <w:ind w:left="567"/>
        <w:rPr>
          <w:rFonts w:ascii="Arial" w:hAnsi="Arial" w:cs="Arial"/>
          <w:b/>
          <w:u w:val="single"/>
        </w:rPr>
      </w:pPr>
      <w:r w:rsidRPr="00F237BB">
        <w:rPr>
          <w:rFonts w:ascii="Arial" w:hAnsi="Arial" w:cs="Arial"/>
          <w:b/>
          <w:u w:val="single"/>
        </w:rPr>
        <w:t>Descripción del problema</w:t>
      </w:r>
    </w:p>
    <w:p w:rsidR="000B00EF" w:rsidRPr="00F237BB" w:rsidRDefault="004B7859" w:rsidP="004607EF">
      <w:pPr>
        <w:pStyle w:val="ListParagraph"/>
        <w:numPr>
          <w:ilvl w:val="0"/>
          <w:numId w:val="14"/>
        </w:numPr>
        <w:ind w:left="567" w:hanging="567"/>
        <w:rPr>
          <w:rFonts w:ascii="Arial" w:hAnsi="Arial" w:cs="Arial"/>
          <w:lang w:val="es-ES_tradnl"/>
        </w:rPr>
      </w:pPr>
      <w:r w:rsidRPr="00F237BB">
        <w:rPr>
          <w:rFonts w:ascii="Arial" w:hAnsi="Arial" w:cs="Arial"/>
        </w:rPr>
        <w:t xml:space="preserve">Por último, y en tercer lugar, </w:t>
      </w:r>
      <w:r w:rsidR="00824B60" w:rsidRPr="00F237BB">
        <w:rPr>
          <w:rFonts w:ascii="Arial" w:hAnsi="Arial" w:cs="Arial"/>
        </w:rPr>
        <w:t>se percibe</w:t>
      </w:r>
      <w:r w:rsidR="002771C6" w:rsidRPr="00F237BB">
        <w:rPr>
          <w:rFonts w:ascii="Arial" w:hAnsi="Arial" w:cs="Arial"/>
        </w:rPr>
        <w:t>n</w:t>
      </w:r>
      <w:r w:rsidR="00824B60" w:rsidRPr="00F237BB">
        <w:rPr>
          <w:rFonts w:ascii="Arial" w:hAnsi="Arial" w:cs="Arial"/>
        </w:rPr>
        <w:t xml:space="preserve"> </w:t>
      </w:r>
      <w:r w:rsidR="00824B60" w:rsidRPr="00F237BB">
        <w:rPr>
          <w:rFonts w:ascii="Arial" w:hAnsi="Arial" w:cs="Arial"/>
          <w:i/>
          <w:lang w:val="es-ES_tradnl"/>
        </w:rPr>
        <w:t xml:space="preserve">debilidades relacionadas </w:t>
      </w:r>
      <w:r w:rsidR="001F0B6C" w:rsidRPr="00F237BB">
        <w:rPr>
          <w:rFonts w:ascii="Arial" w:hAnsi="Arial" w:cs="Arial"/>
          <w:i/>
          <w:lang w:val="es-ES_tradnl"/>
        </w:rPr>
        <w:t xml:space="preserve">en la interacción y coordinación interinstitucional </w:t>
      </w:r>
      <w:r w:rsidR="00824B60" w:rsidRPr="00F237BB">
        <w:rPr>
          <w:rFonts w:ascii="Arial" w:hAnsi="Arial" w:cs="Arial"/>
          <w:lang w:val="es-ES_tradnl"/>
        </w:rPr>
        <w:t xml:space="preserve">con actores externos al </w:t>
      </w:r>
      <w:proofErr w:type="spellStart"/>
      <w:r w:rsidR="00F86B3F" w:rsidRPr="00F237BB">
        <w:rPr>
          <w:rFonts w:ascii="Arial" w:hAnsi="Arial" w:cs="Arial"/>
          <w:lang w:val="es-ES_tradnl"/>
        </w:rPr>
        <w:t>MH</w:t>
      </w:r>
      <w:r w:rsidR="003279EF" w:rsidRPr="00F237BB">
        <w:rPr>
          <w:rFonts w:ascii="Arial" w:hAnsi="Arial" w:cs="Arial"/>
          <w:lang w:val="es-ES_tradnl"/>
        </w:rPr>
        <w:t>y</w:t>
      </w:r>
      <w:r w:rsidR="00F86B3F" w:rsidRPr="00F237BB">
        <w:rPr>
          <w:rFonts w:ascii="Arial" w:hAnsi="Arial" w:cs="Arial"/>
          <w:lang w:val="es-ES_tradnl"/>
        </w:rPr>
        <w:t>FP</w:t>
      </w:r>
      <w:proofErr w:type="spellEnd"/>
      <w:r w:rsidR="00824B60" w:rsidRPr="00F237BB">
        <w:rPr>
          <w:rFonts w:ascii="Arial" w:hAnsi="Arial" w:cs="Arial"/>
          <w:lang w:val="es-ES_tradnl"/>
        </w:rPr>
        <w:t xml:space="preserve">. Como se ha mencionado, las transformaciones institucionales del </w:t>
      </w:r>
      <w:proofErr w:type="spellStart"/>
      <w:r w:rsidR="00F86B3F" w:rsidRPr="00F237BB">
        <w:rPr>
          <w:rFonts w:ascii="Arial" w:hAnsi="Arial" w:cs="Arial"/>
          <w:lang w:val="es-ES_tradnl"/>
        </w:rPr>
        <w:t>MH</w:t>
      </w:r>
      <w:r w:rsidR="003279EF" w:rsidRPr="00F237BB">
        <w:rPr>
          <w:rFonts w:ascii="Arial" w:hAnsi="Arial" w:cs="Arial"/>
          <w:lang w:val="es-ES_tradnl"/>
        </w:rPr>
        <w:t>y</w:t>
      </w:r>
      <w:r w:rsidR="00F86B3F" w:rsidRPr="00F237BB">
        <w:rPr>
          <w:rFonts w:ascii="Arial" w:hAnsi="Arial" w:cs="Arial"/>
          <w:lang w:val="es-ES_tradnl"/>
        </w:rPr>
        <w:t>FP</w:t>
      </w:r>
      <w:proofErr w:type="spellEnd"/>
      <w:r w:rsidR="00824B60" w:rsidRPr="00F237BB">
        <w:rPr>
          <w:rFonts w:ascii="Arial" w:hAnsi="Arial" w:cs="Arial"/>
          <w:lang w:val="es-ES_tradnl"/>
        </w:rPr>
        <w:t xml:space="preserve"> consistieron básicamente en concentrar en este ministerio los aspectos fiscales, </w:t>
      </w:r>
      <w:r w:rsidR="001F29A2" w:rsidRPr="00F237BB">
        <w:rPr>
          <w:rFonts w:ascii="Arial" w:hAnsi="Arial" w:cs="Arial"/>
          <w:lang w:val="es-ES_tradnl"/>
        </w:rPr>
        <w:t>finanzas públicas</w:t>
      </w:r>
      <w:r w:rsidR="00824B60" w:rsidRPr="00F237BB">
        <w:rPr>
          <w:rFonts w:ascii="Arial" w:hAnsi="Arial" w:cs="Arial"/>
          <w:lang w:val="es-ES_tradnl"/>
        </w:rPr>
        <w:t xml:space="preserve"> y política económica, trasladando los temas más productivos y sectoriales a los nuevos ministerios recién creados. </w:t>
      </w:r>
      <w:r w:rsidR="004607EF" w:rsidRPr="00F237BB">
        <w:rPr>
          <w:rFonts w:ascii="Arial" w:hAnsi="Arial" w:cs="Arial"/>
          <w:lang w:val="es-ES_tradnl"/>
        </w:rPr>
        <w:t xml:space="preserve">Esta pérdida de integración orgánica no fue compensada con el establecimiento de mecanismos capaces de articular diálogos permanentes en materia de política económica fuera del </w:t>
      </w:r>
      <w:proofErr w:type="spellStart"/>
      <w:r w:rsidR="00F86B3F" w:rsidRPr="00F237BB">
        <w:rPr>
          <w:rFonts w:ascii="Arial" w:hAnsi="Arial" w:cs="Arial"/>
          <w:lang w:val="es-ES_tradnl"/>
        </w:rPr>
        <w:t>MH</w:t>
      </w:r>
      <w:r w:rsidR="003279EF" w:rsidRPr="00F237BB">
        <w:rPr>
          <w:rFonts w:ascii="Arial" w:hAnsi="Arial" w:cs="Arial"/>
          <w:lang w:val="es-ES_tradnl"/>
        </w:rPr>
        <w:t>y</w:t>
      </w:r>
      <w:r w:rsidR="00F86B3F" w:rsidRPr="00F237BB">
        <w:rPr>
          <w:rFonts w:ascii="Arial" w:hAnsi="Arial" w:cs="Arial"/>
          <w:lang w:val="es-ES_tradnl"/>
        </w:rPr>
        <w:t>FP</w:t>
      </w:r>
      <w:proofErr w:type="spellEnd"/>
      <w:r w:rsidR="00F77713" w:rsidRPr="00F237BB">
        <w:rPr>
          <w:rFonts w:ascii="Arial" w:hAnsi="Arial" w:cs="Arial"/>
          <w:lang w:val="es-ES_tradnl"/>
        </w:rPr>
        <w:t>,</w:t>
      </w:r>
      <w:r w:rsidR="004607EF" w:rsidRPr="00F237BB">
        <w:rPr>
          <w:rFonts w:ascii="Arial" w:hAnsi="Arial" w:cs="Arial"/>
          <w:lang w:val="es-ES_tradnl"/>
        </w:rPr>
        <w:t xml:space="preserve"> con otros ministerios</w:t>
      </w:r>
      <w:r w:rsidR="00F77713" w:rsidRPr="00F237BB">
        <w:rPr>
          <w:rFonts w:ascii="Arial" w:hAnsi="Arial" w:cs="Arial"/>
          <w:lang w:val="es-ES_tradnl"/>
        </w:rPr>
        <w:t xml:space="preserve"> sectoriales</w:t>
      </w:r>
      <w:r w:rsidR="004607EF" w:rsidRPr="00F237BB">
        <w:rPr>
          <w:rFonts w:ascii="Arial" w:hAnsi="Arial" w:cs="Arial"/>
          <w:lang w:val="es-ES_tradnl"/>
        </w:rPr>
        <w:t xml:space="preserve"> o instituciones (gobiernos provinciales, por ejemplo).</w:t>
      </w:r>
      <w:r w:rsidR="00F77713" w:rsidRPr="00F237BB">
        <w:rPr>
          <w:rFonts w:ascii="Arial" w:hAnsi="Arial" w:cs="Arial"/>
        </w:rPr>
        <w:t xml:space="preserve"> </w:t>
      </w:r>
      <w:r w:rsidR="004607EF" w:rsidRPr="00F237BB">
        <w:rPr>
          <w:rFonts w:ascii="Arial" w:hAnsi="Arial" w:cs="Arial"/>
        </w:rPr>
        <w:t xml:space="preserve">Estos problemas contribuyen </w:t>
      </w:r>
      <w:r w:rsidR="002D2C0C" w:rsidRPr="00F237BB">
        <w:rPr>
          <w:rFonts w:ascii="Arial" w:hAnsi="Arial" w:cs="Arial"/>
          <w:lang w:val="es-ES_tradnl"/>
        </w:rPr>
        <w:t xml:space="preserve">a su vez al problema principal, y dificultan </w:t>
      </w:r>
      <w:r w:rsidR="00F77713" w:rsidRPr="00F237BB">
        <w:rPr>
          <w:rFonts w:ascii="Arial" w:hAnsi="Arial" w:cs="Arial"/>
          <w:lang w:val="es-ES_tradnl"/>
        </w:rPr>
        <w:t>los esfuerzos para</w:t>
      </w:r>
      <w:r w:rsidR="002D2C0C" w:rsidRPr="00F237BB">
        <w:rPr>
          <w:rFonts w:ascii="Arial" w:hAnsi="Arial" w:cs="Arial"/>
          <w:lang w:val="es-ES_tradnl"/>
        </w:rPr>
        <w:t xml:space="preserve"> planificar </w:t>
      </w:r>
      <w:r w:rsidR="00F77713" w:rsidRPr="00F237BB">
        <w:rPr>
          <w:rFonts w:ascii="Arial" w:hAnsi="Arial" w:cs="Arial"/>
          <w:lang w:val="es-ES_tradnl"/>
        </w:rPr>
        <w:t xml:space="preserve">políticas </w:t>
      </w:r>
      <w:r w:rsidR="002D2C0C" w:rsidRPr="00F237BB">
        <w:rPr>
          <w:rFonts w:ascii="Arial" w:hAnsi="Arial" w:cs="Arial"/>
          <w:lang w:val="es-ES_tradnl"/>
        </w:rPr>
        <w:t>en el mediano y largo plazo</w:t>
      </w:r>
      <w:r w:rsidR="00F77713" w:rsidRPr="00F237BB">
        <w:rPr>
          <w:rFonts w:ascii="Arial" w:hAnsi="Arial" w:cs="Arial"/>
          <w:lang w:val="es-ES_tradnl"/>
        </w:rPr>
        <w:t>, especialmente en el caso en que las políticas económicas deben articularse con las sectoriales.</w:t>
      </w:r>
    </w:p>
    <w:p w:rsidR="00D778AE" w:rsidRPr="00F237BB" w:rsidRDefault="00D778AE" w:rsidP="00D778AE">
      <w:pPr>
        <w:rPr>
          <w:rFonts w:ascii="Arial" w:hAnsi="Arial" w:cs="Arial"/>
          <w:lang w:val="es-ES_tradnl"/>
        </w:rPr>
      </w:pPr>
    </w:p>
    <w:p w:rsidR="00D778AE" w:rsidRPr="00F237BB" w:rsidRDefault="00D778AE" w:rsidP="00D778AE">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Con el objeto de medir este </w:t>
      </w:r>
      <w:r w:rsidRPr="00F237BB">
        <w:rPr>
          <w:rFonts w:ascii="Arial" w:hAnsi="Arial" w:cs="Arial"/>
        </w:rPr>
        <w:t>problema</w:t>
      </w:r>
      <w:r w:rsidRPr="00F237BB">
        <w:rPr>
          <w:rFonts w:ascii="Arial" w:hAnsi="Arial" w:cs="Arial"/>
          <w:lang w:val="es-ES_tradnl"/>
        </w:rPr>
        <w:t xml:space="preserve"> de coordinación externa, se han elaborado tres indicadores (ver cuadros </w:t>
      </w:r>
      <w:r w:rsidR="00497A32" w:rsidRPr="00F237BB">
        <w:rPr>
          <w:rFonts w:ascii="Arial" w:hAnsi="Arial" w:cs="Arial"/>
          <w:lang w:val="es-ES_tradnl"/>
        </w:rPr>
        <w:t>15</w:t>
      </w:r>
      <w:r w:rsidRPr="00F237BB">
        <w:rPr>
          <w:rFonts w:ascii="Arial" w:hAnsi="Arial" w:cs="Arial"/>
          <w:lang w:val="es-ES_tradnl"/>
        </w:rPr>
        <w:t xml:space="preserve">, </w:t>
      </w:r>
      <w:r w:rsidR="00497A32" w:rsidRPr="00F237BB">
        <w:rPr>
          <w:rFonts w:ascii="Arial" w:hAnsi="Arial" w:cs="Arial"/>
          <w:lang w:val="es-ES_tradnl"/>
        </w:rPr>
        <w:t xml:space="preserve">16 </w:t>
      </w:r>
      <w:r w:rsidRPr="00F237BB">
        <w:rPr>
          <w:rFonts w:ascii="Arial" w:hAnsi="Arial" w:cs="Arial"/>
          <w:lang w:val="es-ES_tradnl"/>
        </w:rPr>
        <w:t xml:space="preserve">y </w:t>
      </w:r>
      <w:r w:rsidR="00497A32" w:rsidRPr="00F237BB">
        <w:rPr>
          <w:rFonts w:ascii="Arial" w:hAnsi="Arial" w:cs="Arial"/>
          <w:lang w:val="es-ES_tradnl"/>
        </w:rPr>
        <w:t>17</w:t>
      </w:r>
      <w:r w:rsidRPr="00F237BB">
        <w:rPr>
          <w:rFonts w:ascii="Arial" w:hAnsi="Arial" w:cs="Arial"/>
          <w:lang w:val="es-ES_tradnl"/>
        </w:rPr>
        <w:t xml:space="preserve">). El primero de ellos está vinculado a la familia de los ICEPE. Se trata del </w:t>
      </w:r>
      <w:r w:rsidRPr="00F237BB">
        <w:rPr>
          <w:rFonts w:ascii="Arial" w:hAnsi="Arial" w:cs="Arial"/>
          <w:i/>
          <w:lang w:val="es-AR"/>
        </w:rPr>
        <w:t>índice de calidad de la coordinación externa</w:t>
      </w:r>
      <w:r w:rsidRPr="00F237BB">
        <w:rPr>
          <w:rFonts w:ascii="Arial" w:hAnsi="Arial" w:cs="Arial"/>
          <w:lang w:val="es-AR"/>
        </w:rPr>
        <w:t xml:space="preserve"> (que valora varias dimensiones de la interacción entre la </w:t>
      </w:r>
      <w:proofErr w:type="spellStart"/>
      <w:r w:rsidRPr="00F237BB">
        <w:rPr>
          <w:rFonts w:ascii="Arial" w:hAnsi="Arial" w:cs="Arial"/>
          <w:lang w:val="es-AR"/>
        </w:rPr>
        <w:t>SPE</w:t>
      </w:r>
      <w:r w:rsidR="003279EF" w:rsidRPr="00F237BB">
        <w:rPr>
          <w:rFonts w:ascii="Arial" w:hAnsi="Arial" w:cs="Arial"/>
          <w:lang w:val="es-AR"/>
        </w:rPr>
        <w:t>yPD</w:t>
      </w:r>
      <w:proofErr w:type="spellEnd"/>
      <w:r w:rsidRPr="00F237BB">
        <w:rPr>
          <w:rFonts w:ascii="Arial" w:hAnsi="Arial" w:cs="Arial"/>
          <w:lang w:val="es-AR"/>
        </w:rPr>
        <w:t xml:space="preserve"> y entidades externas al </w:t>
      </w:r>
      <w:proofErr w:type="spellStart"/>
      <w:r w:rsidR="00F86B3F" w:rsidRPr="00F237BB">
        <w:rPr>
          <w:rFonts w:ascii="Arial" w:hAnsi="Arial" w:cs="Arial"/>
          <w:lang w:val="es-AR"/>
        </w:rPr>
        <w:t>MH</w:t>
      </w:r>
      <w:r w:rsidR="003279EF" w:rsidRPr="00F237BB">
        <w:rPr>
          <w:rFonts w:ascii="Arial" w:hAnsi="Arial" w:cs="Arial"/>
          <w:lang w:val="es-AR"/>
        </w:rPr>
        <w:t>y</w:t>
      </w:r>
      <w:r w:rsidR="00F86B3F" w:rsidRPr="00F237BB">
        <w:rPr>
          <w:rFonts w:ascii="Arial" w:hAnsi="Arial" w:cs="Arial"/>
          <w:lang w:val="es-AR"/>
        </w:rPr>
        <w:t>FP</w:t>
      </w:r>
      <w:proofErr w:type="spellEnd"/>
      <w:r w:rsidRPr="00F237BB">
        <w:rPr>
          <w:rFonts w:ascii="Arial" w:hAnsi="Arial" w:cs="Arial"/>
          <w:lang w:val="es-AR"/>
        </w:rPr>
        <w:t xml:space="preserve">), alcanza un valor promedio de </w:t>
      </w:r>
      <w:r w:rsidR="00A8623D" w:rsidRPr="00F237BB">
        <w:rPr>
          <w:rFonts w:ascii="Arial" w:hAnsi="Arial" w:cs="Arial"/>
          <w:lang w:val="es-AR"/>
        </w:rPr>
        <w:t>6</w:t>
      </w:r>
      <w:r w:rsidRPr="00F237BB">
        <w:rPr>
          <w:rFonts w:ascii="Arial" w:hAnsi="Arial" w:cs="Arial"/>
          <w:lang w:val="es-AR"/>
        </w:rPr>
        <w:t>,</w:t>
      </w:r>
      <w:r w:rsidR="00A8623D" w:rsidRPr="00F237BB">
        <w:rPr>
          <w:rFonts w:ascii="Arial" w:hAnsi="Arial" w:cs="Arial"/>
          <w:lang w:val="es-AR"/>
        </w:rPr>
        <w:t>51</w:t>
      </w:r>
      <w:r w:rsidR="003279EF" w:rsidRPr="00F237BB">
        <w:rPr>
          <w:rStyle w:val="FootnoteReference"/>
          <w:rFonts w:ascii="Arial" w:hAnsi="Arial" w:cs="Arial"/>
          <w:sz w:val="22"/>
          <w:lang w:val="es-AR"/>
        </w:rPr>
        <w:footnoteReference w:id="23"/>
      </w:r>
      <w:r w:rsidRPr="00F237BB">
        <w:rPr>
          <w:rFonts w:ascii="Arial" w:hAnsi="Arial" w:cs="Arial"/>
          <w:lang w:val="es-AR"/>
        </w:rPr>
        <w:t xml:space="preserve"> puntos sobre un total posible de 10, indicando también un desarrollo intermedio de las capacidades institucionales de coordinación </w:t>
      </w:r>
      <w:proofErr w:type="spellStart"/>
      <w:r w:rsidRPr="00F237BB">
        <w:rPr>
          <w:rFonts w:ascii="Arial" w:hAnsi="Arial" w:cs="Arial"/>
          <w:lang w:val="es-AR"/>
        </w:rPr>
        <w:t>interagencias</w:t>
      </w:r>
      <w:proofErr w:type="spellEnd"/>
      <w:r w:rsidRPr="00F237BB">
        <w:rPr>
          <w:rFonts w:ascii="Arial" w:hAnsi="Arial" w:cs="Arial"/>
          <w:lang w:val="es-AR"/>
        </w:rPr>
        <w:t>.</w:t>
      </w:r>
    </w:p>
    <w:p w:rsidR="002D2C0C" w:rsidRPr="00F237BB" w:rsidRDefault="002D2C0C" w:rsidP="00D778AE">
      <w:pPr>
        <w:rPr>
          <w:rFonts w:ascii="Arial" w:hAnsi="Arial" w:cs="Arial"/>
          <w:lang w:val="es-ES_tradnl"/>
        </w:rPr>
      </w:pPr>
    </w:p>
    <w:p w:rsidR="00D778AE" w:rsidRPr="00F237BB" w:rsidRDefault="00D778AE" w:rsidP="00D778AE">
      <w:pPr>
        <w:pStyle w:val="Caption"/>
        <w:spacing w:line="360" w:lineRule="auto"/>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497A32" w:rsidRPr="00F237BB">
        <w:rPr>
          <w:rFonts w:ascii="Arial" w:hAnsi="Arial" w:cs="Arial"/>
          <w:noProof/>
          <w:sz w:val="22"/>
          <w:szCs w:val="22"/>
        </w:rPr>
        <w:t>15</w:t>
      </w:r>
      <w:r w:rsidR="00F237BB" w:rsidRPr="00F237BB">
        <w:rPr>
          <w:rFonts w:ascii="Arial" w:hAnsi="Arial" w:cs="Arial"/>
          <w:noProof/>
          <w:sz w:val="22"/>
          <w:szCs w:val="22"/>
        </w:rPr>
        <w:fldChar w:fldCharType="end"/>
      </w:r>
      <w:r w:rsidR="00497A32" w:rsidRPr="00F237BB">
        <w:rPr>
          <w:rFonts w:ascii="Arial" w:hAnsi="Arial" w:cs="Arial"/>
          <w:sz w:val="22"/>
          <w:szCs w:val="22"/>
        </w:rPr>
        <w:t xml:space="preserve"> </w:t>
      </w:r>
      <w:r w:rsidRPr="00F237BB">
        <w:rPr>
          <w:rFonts w:ascii="Arial" w:hAnsi="Arial" w:cs="Arial"/>
          <w:sz w:val="22"/>
          <w:szCs w:val="22"/>
        </w:rPr>
        <w:t xml:space="preserve">– Índice de calidad </w:t>
      </w:r>
      <w:r w:rsidRPr="00F237BB">
        <w:rPr>
          <w:rFonts w:ascii="Arial" w:hAnsi="Arial" w:cs="Arial"/>
          <w:bCs w:val="0"/>
          <w:sz w:val="22"/>
          <w:szCs w:val="22"/>
          <w:lang w:val="es-ES_tradnl" w:eastAsia="es-ES_tradnl"/>
        </w:rPr>
        <w:t xml:space="preserve">de la </w:t>
      </w:r>
      <w:r w:rsidR="003B31E0" w:rsidRPr="00F237BB">
        <w:rPr>
          <w:rFonts w:ascii="Arial" w:hAnsi="Arial" w:cs="Arial"/>
          <w:bCs w:val="0"/>
          <w:sz w:val="22"/>
          <w:szCs w:val="22"/>
          <w:lang w:val="es-ES_tradnl" w:eastAsia="es-ES_tradnl"/>
        </w:rPr>
        <w:t>coordinación externa</w:t>
      </w:r>
    </w:p>
    <w:tbl>
      <w:tblPr>
        <w:tblW w:w="8931" w:type="dxa"/>
        <w:tblInd w:w="637" w:type="dxa"/>
        <w:tblCellMar>
          <w:left w:w="70" w:type="dxa"/>
          <w:right w:w="70" w:type="dxa"/>
        </w:tblCellMar>
        <w:tblLook w:val="04A0" w:firstRow="1" w:lastRow="0" w:firstColumn="1" w:lastColumn="0" w:noHBand="0" w:noVBand="1"/>
      </w:tblPr>
      <w:tblGrid>
        <w:gridCol w:w="5245"/>
        <w:gridCol w:w="1155"/>
        <w:gridCol w:w="1418"/>
        <w:gridCol w:w="1134"/>
      </w:tblGrid>
      <w:tr w:rsidR="00D778AE" w:rsidRPr="00F237BB" w:rsidTr="000E1099">
        <w:trPr>
          <w:trHeight w:val="255"/>
        </w:trPr>
        <w:tc>
          <w:tcPr>
            <w:tcW w:w="5245" w:type="dxa"/>
            <w:tcBorders>
              <w:top w:val="single" w:sz="4" w:space="0" w:color="auto"/>
              <w:left w:val="nil"/>
              <w:bottom w:val="single" w:sz="4" w:space="0" w:color="auto"/>
              <w:right w:val="nil"/>
            </w:tcBorders>
            <w:shd w:val="clear" w:color="auto" w:fill="auto"/>
            <w:noWrap/>
            <w:vAlign w:val="bottom"/>
            <w:hideMark/>
          </w:tcPr>
          <w:p w:rsidR="00D778AE" w:rsidRPr="00F237BB" w:rsidRDefault="00D778AE" w:rsidP="000E1099">
            <w:pPr>
              <w:rPr>
                <w:rFonts w:ascii="Arial" w:hAnsi="Arial" w:cs="Arial"/>
                <w:b/>
                <w:lang w:val="es-ES_tradnl" w:eastAsia="es-ES_tradnl"/>
              </w:rPr>
            </w:pPr>
            <w:r w:rsidRPr="00F237BB">
              <w:rPr>
                <w:rFonts w:ascii="Arial" w:hAnsi="Arial" w:cs="Arial"/>
                <w:b/>
                <w:lang w:val="es-ES_tradnl" w:eastAsia="es-ES_tradnl"/>
              </w:rPr>
              <w:t>Índice</w:t>
            </w:r>
          </w:p>
        </w:tc>
        <w:tc>
          <w:tcPr>
            <w:tcW w:w="1134" w:type="dxa"/>
            <w:tcBorders>
              <w:top w:val="single" w:sz="4" w:space="0" w:color="auto"/>
              <w:left w:val="nil"/>
              <w:bottom w:val="single" w:sz="4" w:space="0" w:color="auto"/>
              <w:right w:val="nil"/>
            </w:tcBorders>
            <w:shd w:val="clear" w:color="auto" w:fill="auto"/>
            <w:noWrap/>
            <w:vAlign w:val="center"/>
            <w:hideMark/>
          </w:tcPr>
          <w:p w:rsidR="00D778AE" w:rsidRPr="00F237BB" w:rsidRDefault="00D778AE" w:rsidP="000E1099">
            <w:pPr>
              <w:jc w:val="center"/>
              <w:rPr>
                <w:rFonts w:ascii="Arial" w:hAnsi="Arial" w:cs="Arial"/>
                <w:b/>
                <w:bCs/>
                <w:lang w:val="es-ES_tradnl" w:eastAsia="es-ES_tradnl"/>
              </w:rPr>
            </w:pPr>
            <w:r w:rsidRPr="00F237BB">
              <w:rPr>
                <w:rFonts w:ascii="Arial" w:hAnsi="Arial" w:cs="Arial"/>
                <w:b/>
                <w:bCs/>
                <w:lang w:val="es-ES_tradnl" w:eastAsia="es-ES_tradnl"/>
              </w:rPr>
              <w:t>A. Promedio</w:t>
            </w:r>
          </w:p>
        </w:tc>
        <w:tc>
          <w:tcPr>
            <w:tcW w:w="1418" w:type="dxa"/>
            <w:tcBorders>
              <w:top w:val="single" w:sz="4" w:space="0" w:color="auto"/>
              <w:left w:val="nil"/>
              <w:bottom w:val="single" w:sz="4" w:space="0" w:color="auto"/>
              <w:right w:val="nil"/>
            </w:tcBorders>
            <w:shd w:val="clear" w:color="auto" w:fill="auto"/>
            <w:noWrap/>
            <w:vAlign w:val="center"/>
            <w:hideMark/>
          </w:tcPr>
          <w:p w:rsidR="00D778AE" w:rsidRPr="00F237BB" w:rsidRDefault="00D778AE" w:rsidP="000E1099">
            <w:pPr>
              <w:jc w:val="center"/>
              <w:rPr>
                <w:rFonts w:ascii="Arial" w:hAnsi="Arial" w:cs="Arial"/>
                <w:b/>
                <w:bCs/>
                <w:lang w:val="es-ES_tradnl" w:eastAsia="es-ES_tradnl"/>
              </w:rPr>
            </w:pPr>
            <w:r w:rsidRPr="00F237BB">
              <w:rPr>
                <w:rFonts w:ascii="Arial" w:hAnsi="Arial" w:cs="Arial"/>
                <w:b/>
                <w:bCs/>
                <w:lang w:val="es-ES_tradnl" w:eastAsia="es-ES_tradnl"/>
              </w:rPr>
              <w:t>B. Desviación estándar</w:t>
            </w:r>
          </w:p>
        </w:tc>
        <w:tc>
          <w:tcPr>
            <w:tcW w:w="1134" w:type="dxa"/>
            <w:tcBorders>
              <w:top w:val="single" w:sz="4" w:space="0" w:color="auto"/>
              <w:left w:val="nil"/>
              <w:bottom w:val="single" w:sz="4" w:space="0" w:color="auto"/>
              <w:right w:val="nil"/>
            </w:tcBorders>
            <w:shd w:val="clear" w:color="auto" w:fill="auto"/>
            <w:noWrap/>
            <w:vAlign w:val="center"/>
            <w:hideMark/>
          </w:tcPr>
          <w:p w:rsidR="00D778AE" w:rsidRPr="00F237BB" w:rsidRDefault="00D778AE" w:rsidP="000E1099">
            <w:pPr>
              <w:jc w:val="center"/>
              <w:rPr>
                <w:rFonts w:ascii="Arial" w:hAnsi="Arial" w:cs="Arial"/>
                <w:b/>
                <w:bCs/>
                <w:lang w:val="es-ES_tradnl" w:eastAsia="es-ES_tradnl"/>
              </w:rPr>
            </w:pPr>
            <w:r w:rsidRPr="00F237BB">
              <w:rPr>
                <w:rFonts w:ascii="Arial" w:hAnsi="Arial" w:cs="Arial"/>
                <w:b/>
                <w:bCs/>
                <w:lang w:val="es-ES_tradnl" w:eastAsia="es-ES_tradnl"/>
              </w:rPr>
              <w:t>B/A (%)</w:t>
            </w:r>
          </w:p>
        </w:tc>
      </w:tr>
      <w:tr w:rsidR="00A8623D" w:rsidRPr="00F237BB" w:rsidTr="00C60E00">
        <w:trPr>
          <w:trHeight w:val="255"/>
        </w:trPr>
        <w:tc>
          <w:tcPr>
            <w:tcW w:w="5245" w:type="dxa"/>
            <w:tcBorders>
              <w:top w:val="nil"/>
              <w:left w:val="nil"/>
              <w:bottom w:val="single" w:sz="4" w:space="0" w:color="auto"/>
              <w:right w:val="nil"/>
            </w:tcBorders>
            <w:shd w:val="clear" w:color="auto" w:fill="auto"/>
            <w:noWrap/>
            <w:vAlign w:val="bottom"/>
            <w:hideMark/>
          </w:tcPr>
          <w:p w:rsidR="00A8623D" w:rsidRPr="00F237BB" w:rsidRDefault="00A8623D" w:rsidP="000E1099">
            <w:pPr>
              <w:rPr>
                <w:rFonts w:ascii="Arial" w:hAnsi="Arial" w:cs="Arial"/>
                <w:bCs/>
                <w:lang w:val="es-ES_tradnl" w:eastAsia="es-ES_tradnl"/>
              </w:rPr>
            </w:pPr>
            <w:r w:rsidRPr="00F237BB">
              <w:rPr>
                <w:rFonts w:ascii="Arial" w:hAnsi="Arial" w:cs="Arial"/>
                <w:bCs/>
                <w:lang w:val="es-ES_tradnl" w:eastAsia="es-ES_tradnl"/>
              </w:rPr>
              <w:t>Calidad de la coordinación externa</w:t>
            </w:r>
          </w:p>
        </w:tc>
        <w:tc>
          <w:tcPr>
            <w:tcW w:w="1134" w:type="dxa"/>
            <w:tcBorders>
              <w:top w:val="nil"/>
              <w:left w:val="nil"/>
              <w:bottom w:val="single" w:sz="4" w:space="0" w:color="auto"/>
              <w:right w:val="nil"/>
            </w:tcBorders>
            <w:shd w:val="clear" w:color="auto" w:fill="auto"/>
            <w:noWrap/>
            <w:hideMark/>
          </w:tcPr>
          <w:p w:rsidR="00A8623D" w:rsidRPr="00F237BB" w:rsidRDefault="00A8623D" w:rsidP="00FB3976">
            <w:pPr>
              <w:ind w:right="113"/>
              <w:jc w:val="right"/>
              <w:rPr>
                <w:rFonts w:ascii="Arial" w:hAnsi="Arial" w:cs="Arial"/>
                <w:lang w:val="es-ES_tradnl" w:eastAsia="es-ES_tradnl"/>
              </w:rPr>
            </w:pPr>
            <w:r w:rsidRPr="00F237BB">
              <w:rPr>
                <w:rFonts w:ascii="Arial" w:hAnsi="Arial" w:cs="Arial"/>
              </w:rPr>
              <w:t>6,51</w:t>
            </w:r>
          </w:p>
        </w:tc>
        <w:tc>
          <w:tcPr>
            <w:tcW w:w="1418" w:type="dxa"/>
            <w:tcBorders>
              <w:top w:val="nil"/>
              <w:left w:val="nil"/>
              <w:bottom w:val="single" w:sz="4" w:space="0" w:color="auto"/>
              <w:right w:val="nil"/>
            </w:tcBorders>
            <w:shd w:val="clear" w:color="auto" w:fill="auto"/>
            <w:noWrap/>
            <w:hideMark/>
          </w:tcPr>
          <w:p w:rsidR="00A8623D" w:rsidRPr="00F237BB" w:rsidRDefault="00A8623D" w:rsidP="00FB3976">
            <w:pPr>
              <w:ind w:right="287"/>
              <w:jc w:val="right"/>
              <w:rPr>
                <w:rFonts w:ascii="Arial" w:hAnsi="Arial" w:cs="Arial"/>
                <w:lang w:val="es-ES_tradnl" w:eastAsia="es-ES_tradnl"/>
              </w:rPr>
            </w:pPr>
            <w:r w:rsidRPr="00F237BB">
              <w:rPr>
                <w:rFonts w:ascii="Arial" w:hAnsi="Arial" w:cs="Arial"/>
              </w:rPr>
              <w:t>1,50</w:t>
            </w:r>
          </w:p>
        </w:tc>
        <w:tc>
          <w:tcPr>
            <w:tcW w:w="1134" w:type="dxa"/>
            <w:tcBorders>
              <w:top w:val="nil"/>
              <w:left w:val="nil"/>
              <w:bottom w:val="single" w:sz="4" w:space="0" w:color="auto"/>
              <w:right w:val="nil"/>
            </w:tcBorders>
            <w:shd w:val="clear" w:color="auto" w:fill="auto"/>
            <w:noWrap/>
            <w:hideMark/>
          </w:tcPr>
          <w:p w:rsidR="00A8623D" w:rsidRPr="00F237BB" w:rsidRDefault="00A8623D" w:rsidP="00FB3976">
            <w:pPr>
              <w:ind w:right="113"/>
              <w:jc w:val="right"/>
              <w:rPr>
                <w:rFonts w:ascii="Arial" w:hAnsi="Arial" w:cs="Arial"/>
                <w:lang w:val="es-ES_tradnl" w:eastAsia="es-ES_tradnl"/>
              </w:rPr>
            </w:pPr>
            <w:r w:rsidRPr="00F237BB">
              <w:rPr>
                <w:rFonts w:ascii="Arial" w:hAnsi="Arial" w:cs="Arial"/>
              </w:rPr>
              <w:t>23,0%</w:t>
            </w:r>
          </w:p>
        </w:tc>
      </w:tr>
    </w:tbl>
    <w:p w:rsidR="00D778AE" w:rsidRPr="00F237BB" w:rsidRDefault="00D778AE" w:rsidP="00D778AE">
      <w:pPr>
        <w:ind w:left="737"/>
        <w:rPr>
          <w:rFonts w:ascii="Arial" w:hAnsi="Arial" w:cs="Arial"/>
        </w:rPr>
      </w:pPr>
      <w:r w:rsidRPr="00F237BB">
        <w:rPr>
          <w:rFonts w:ascii="Arial" w:hAnsi="Arial" w:cs="Arial"/>
        </w:rPr>
        <w:t>Fuente: Elaboración propia con datos de la aplicación de la metodología ICEPE</w:t>
      </w:r>
      <w:r w:rsidR="003279EF" w:rsidRPr="00F237BB">
        <w:rPr>
          <w:rStyle w:val="FootnoteReference"/>
          <w:rFonts w:ascii="Arial" w:hAnsi="Arial" w:cs="Arial"/>
          <w:sz w:val="22"/>
        </w:rPr>
        <w:footnoteReference w:id="24"/>
      </w:r>
      <w:r w:rsidRPr="00F237BB">
        <w:rPr>
          <w:rFonts w:ascii="Arial" w:hAnsi="Arial" w:cs="Arial"/>
        </w:rPr>
        <w:t>.</w:t>
      </w:r>
    </w:p>
    <w:p w:rsidR="00D778AE" w:rsidRPr="00F237BB" w:rsidRDefault="00D778AE" w:rsidP="00D778AE">
      <w:pPr>
        <w:rPr>
          <w:rFonts w:ascii="Arial" w:hAnsi="Arial" w:cs="Arial"/>
          <w:lang w:val="es-ES_tradnl"/>
        </w:rPr>
      </w:pPr>
    </w:p>
    <w:p w:rsidR="00B57A26" w:rsidRPr="00F237BB" w:rsidRDefault="00D778AE" w:rsidP="004607EF">
      <w:pPr>
        <w:pStyle w:val="ListParagraph"/>
        <w:numPr>
          <w:ilvl w:val="0"/>
          <w:numId w:val="14"/>
        </w:numPr>
        <w:ind w:left="567" w:hanging="567"/>
        <w:rPr>
          <w:rFonts w:ascii="Arial" w:hAnsi="Arial" w:cs="Arial"/>
          <w:lang w:val="es-ES_tradnl"/>
        </w:rPr>
      </w:pPr>
      <w:r w:rsidRPr="00F237BB">
        <w:rPr>
          <w:rFonts w:ascii="Arial" w:hAnsi="Arial" w:cs="Arial"/>
          <w:lang w:val="es-ES_tradnl"/>
        </w:rPr>
        <w:t>Un segundo</w:t>
      </w:r>
      <w:r w:rsidR="00B57A26" w:rsidRPr="00F237BB">
        <w:rPr>
          <w:rFonts w:ascii="Arial" w:hAnsi="Arial" w:cs="Arial"/>
          <w:lang w:val="es-ES_tradnl"/>
        </w:rPr>
        <w:t xml:space="preserve"> indicador que permite apreciar la importancia institucional que la coordinación con otras entidades públicas tiene para el desarrollo de sus productos, consiste en observar la consideración de dicha coordinación en la descripción de las funciones de cada unidad. </w:t>
      </w:r>
      <w:r w:rsidR="004574A3" w:rsidRPr="00F237BB">
        <w:rPr>
          <w:rFonts w:ascii="Arial" w:hAnsi="Arial" w:cs="Arial"/>
          <w:lang w:val="es-ES_tradnl"/>
        </w:rPr>
        <w:t xml:space="preserve">El cuadro </w:t>
      </w:r>
      <w:r w:rsidR="00A8623D" w:rsidRPr="00F237BB">
        <w:rPr>
          <w:rFonts w:ascii="Arial" w:hAnsi="Arial" w:cs="Arial"/>
          <w:lang w:val="es-ES_tradnl"/>
        </w:rPr>
        <w:t xml:space="preserve">16 </w:t>
      </w:r>
      <w:r w:rsidR="004574A3" w:rsidRPr="00F237BB">
        <w:rPr>
          <w:rFonts w:ascii="Arial" w:hAnsi="Arial" w:cs="Arial"/>
          <w:lang w:val="es-ES_tradnl"/>
        </w:rPr>
        <w:t xml:space="preserve">muestra que en los casos de las seis unidades consideradas, las normas que establecen sus competencias y funciones incluyen explícitamente la </w:t>
      </w:r>
      <w:r w:rsidR="004574A3" w:rsidRPr="00F237BB">
        <w:rPr>
          <w:rFonts w:ascii="Arial" w:hAnsi="Arial" w:cs="Arial"/>
          <w:lang w:val="es-ES_tradnl"/>
        </w:rPr>
        <w:lastRenderedPageBreak/>
        <w:t>responsabilidad por la coordinación con entidades externas, sean del gobierno nacional o de instancias sub nacionales. Existe así el marco legal e institucional ne</w:t>
      </w:r>
      <w:r w:rsidR="00BC790F" w:rsidRPr="00F237BB">
        <w:rPr>
          <w:rFonts w:ascii="Arial" w:hAnsi="Arial" w:cs="Arial"/>
          <w:lang w:val="es-ES_tradnl"/>
        </w:rPr>
        <w:t>cesario para sustentar la labor</w:t>
      </w:r>
      <w:r w:rsidR="004574A3" w:rsidRPr="00F237BB">
        <w:rPr>
          <w:rFonts w:ascii="Arial" w:hAnsi="Arial" w:cs="Arial"/>
          <w:lang w:val="es-ES_tradnl"/>
        </w:rPr>
        <w:t xml:space="preserve"> de coordinación intersectorial por parte del </w:t>
      </w:r>
      <w:proofErr w:type="spellStart"/>
      <w:r w:rsidR="00F86B3F" w:rsidRPr="00F237BB">
        <w:rPr>
          <w:rFonts w:ascii="Arial" w:hAnsi="Arial" w:cs="Arial"/>
          <w:lang w:val="es-ES_tradnl"/>
        </w:rPr>
        <w:t>MH</w:t>
      </w:r>
      <w:r w:rsidR="007F581D" w:rsidRPr="00F237BB">
        <w:rPr>
          <w:rFonts w:ascii="Arial" w:hAnsi="Arial" w:cs="Arial"/>
          <w:lang w:val="es-ES_tradnl"/>
        </w:rPr>
        <w:t>y</w:t>
      </w:r>
      <w:r w:rsidR="00F86B3F" w:rsidRPr="00F237BB">
        <w:rPr>
          <w:rFonts w:ascii="Arial" w:hAnsi="Arial" w:cs="Arial"/>
          <w:lang w:val="es-ES_tradnl"/>
        </w:rPr>
        <w:t>FP</w:t>
      </w:r>
      <w:proofErr w:type="spellEnd"/>
      <w:r w:rsidR="004574A3" w:rsidRPr="00F237BB">
        <w:rPr>
          <w:rFonts w:ascii="Arial" w:hAnsi="Arial" w:cs="Arial"/>
          <w:lang w:val="es-ES_tradnl"/>
        </w:rPr>
        <w:t xml:space="preserve">. </w:t>
      </w:r>
    </w:p>
    <w:p w:rsidR="002D2C0C" w:rsidRPr="00F237BB" w:rsidRDefault="002D2C0C" w:rsidP="002D2C0C">
      <w:pPr>
        <w:pStyle w:val="ListParagraph"/>
        <w:rPr>
          <w:rFonts w:ascii="Arial" w:hAnsi="Arial" w:cs="Arial"/>
          <w:lang w:val="es-ES_tradnl"/>
        </w:rPr>
      </w:pPr>
    </w:p>
    <w:p w:rsidR="00B57A26" w:rsidRPr="00F237BB" w:rsidRDefault="00BC790F" w:rsidP="007B5925">
      <w:pPr>
        <w:pStyle w:val="Caption"/>
        <w:spacing w:after="120"/>
        <w:ind w:left="567"/>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497A32" w:rsidRPr="00F237BB">
        <w:rPr>
          <w:rFonts w:ascii="Arial" w:hAnsi="Arial" w:cs="Arial"/>
          <w:noProof/>
          <w:sz w:val="22"/>
          <w:szCs w:val="22"/>
        </w:rPr>
        <w:t>16</w:t>
      </w:r>
      <w:r w:rsidR="00F237BB" w:rsidRPr="00F237BB">
        <w:rPr>
          <w:rFonts w:ascii="Arial" w:hAnsi="Arial" w:cs="Arial"/>
          <w:noProof/>
          <w:sz w:val="22"/>
          <w:szCs w:val="22"/>
        </w:rPr>
        <w:fldChar w:fldCharType="end"/>
      </w:r>
      <w:r w:rsidR="00497A32" w:rsidRPr="00F237BB">
        <w:rPr>
          <w:rFonts w:ascii="Arial" w:hAnsi="Arial" w:cs="Arial"/>
          <w:sz w:val="22"/>
          <w:szCs w:val="22"/>
        </w:rPr>
        <w:t xml:space="preserve"> </w:t>
      </w:r>
      <w:r w:rsidR="00B57A26" w:rsidRPr="00F237BB">
        <w:rPr>
          <w:rFonts w:ascii="Arial" w:hAnsi="Arial" w:cs="Arial"/>
          <w:sz w:val="22"/>
          <w:szCs w:val="22"/>
        </w:rPr>
        <w:t>– Coordinación interinstitucional en las unidades de la SPE</w:t>
      </w:r>
    </w:p>
    <w:tbl>
      <w:tblPr>
        <w:tblStyle w:val="TableGrid"/>
        <w:tblW w:w="496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992"/>
        <w:gridCol w:w="1418"/>
      </w:tblGrid>
      <w:tr w:rsidR="005918B4" w:rsidRPr="00F237BB" w:rsidTr="00C60E00">
        <w:trPr>
          <w:cantSplit/>
          <w:tblHeader/>
        </w:trPr>
        <w:tc>
          <w:tcPr>
            <w:tcW w:w="2552" w:type="dxa"/>
            <w:tcBorders>
              <w:top w:val="single" w:sz="4" w:space="0" w:color="auto"/>
              <w:bottom w:val="single" w:sz="4" w:space="0" w:color="auto"/>
            </w:tcBorders>
            <w:shd w:val="clear" w:color="auto" w:fill="D9D9D9" w:themeFill="background1" w:themeFillShade="D9"/>
          </w:tcPr>
          <w:p w:rsidR="005918B4" w:rsidRPr="00F237BB" w:rsidRDefault="005918B4" w:rsidP="00B57A26">
            <w:pPr>
              <w:rPr>
                <w:rFonts w:ascii="Arial" w:hAnsi="Arial" w:cs="Arial"/>
                <w:b/>
              </w:rPr>
            </w:pPr>
          </w:p>
        </w:tc>
        <w:tc>
          <w:tcPr>
            <w:tcW w:w="992" w:type="dxa"/>
            <w:tcBorders>
              <w:top w:val="single" w:sz="4" w:space="0" w:color="auto"/>
              <w:bottom w:val="single" w:sz="4" w:space="0" w:color="auto"/>
            </w:tcBorders>
            <w:shd w:val="clear" w:color="auto" w:fill="D9D9D9" w:themeFill="background1" w:themeFillShade="D9"/>
          </w:tcPr>
          <w:p w:rsidR="005918B4" w:rsidRPr="00F237BB" w:rsidRDefault="005918B4" w:rsidP="00B57A26">
            <w:pPr>
              <w:jc w:val="center"/>
              <w:rPr>
                <w:rFonts w:ascii="Arial" w:hAnsi="Arial" w:cs="Arial"/>
                <w:b/>
              </w:rPr>
            </w:pPr>
            <w:r w:rsidRPr="00F237BB">
              <w:rPr>
                <w:rFonts w:ascii="Arial" w:hAnsi="Arial" w:cs="Arial"/>
                <w:b/>
              </w:rPr>
              <w:t>DNPM</w:t>
            </w:r>
          </w:p>
        </w:tc>
        <w:tc>
          <w:tcPr>
            <w:tcW w:w="1418" w:type="dxa"/>
            <w:tcBorders>
              <w:top w:val="single" w:sz="4" w:space="0" w:color="auto"/>
              <w:bottom w:val="single" w:sz="4" w:space="0" w:color="auto"/>
            </w:tcBorders>
            <w:shd w:val="clear" w:color="auto" w:fill="D9D9D9" w:themeFill="background1" w:themeFillShade="D9"/>
          </w:tcPr>
          <w:p w:rsidR="005918B4" w:rsidRPr="00F237BB" w:rsidRDefault="005918B4" w:rsidP="00B57A26">
            <w:pPr>
              <w:jc w:val="center"/>
              <w:rPr>
                <w:rFonts w:ascii="Arial" w:hAnsi="Arial" w:cs="Arial"/>
                <w:b/>
              </w:rPr>
            </w:pPr>
            <w:r w:rsidRPr="00F237BB">
              <w:rPr>
                <w:rFonts w:ascii="Arial" w:hAnsi="Arial" w:cs="Arial"/>
                <w:b/>
              </w:rPr>
              <w:t>DNPER</w:t>
            </w:r>
          </w:p>
        </w:tc>
      </w:tr>
      <w:tr w:rsidR="005918B4" w:rsidRPr="00F237BB" w:rsidTr="00C60E00">
        <w:trPr>
          <w:cantSplit/>
        </w:trPr>
        <w:tc>
          <w:tcPr>
            <w:tcW w:w="2552" w:type="dxa"/>
            <w:tcBorders>
              <w:top w:val="single" w:sz="4" w:space="0" w:color="auto"/>
              <w:bottom w:val="single" w:sz="4" w:space="0" w:color="auto"/>
            </w:tcBorders>
            <w:shd w:val="clear" w:color="auto" w:fill="auto"/>
          </w:tcPr>
          <w:p w:rsidR="005918B4" w:rsidRPr="00F237BB" w:rsidRDefault="005918B4" w:rsidP="00B57A26">
            <w:pPr>
              <w:jc w:val="left"/>
              <w:rPr>
                <w:rFonts w:ascii="Arial" w:hAnsi="Arial" w:cs="Arial"/>
              </w:rPr>
            </w:pPr>
            <w:r w:rsidRPr="00F237BB">
              <w:rPr>
                <w:rFonts w:ascii="Arial" w:hAnsi="Arial" w:cs="Arial"/>
                <w:lang w:val="es-ES_tradnl"/>
              </w:rPr>
              <w:t>Consideración explícita de la coordinación con instituciones fuera del MHYFP entre las funciones de la unidad</w:t>
            </w:r>
          </w:p>
        </w:tc>
        <w:tc>
          <w:tcPr>
            <w:tcW w:w="992" w:type="dxa"/>
            <w:tcBorders>
              <w:top w:val="single" w:sz="4" w:space="0" w:color="auto"/>
              <w:bottom w:val="single" w:sz="4" w:space="0" w:color="auto"/>
            </w:tcBorders>
            <w:shd w:val="clear" w:color="auto" w:fill="auto"/>
          </w:tcPr>
          <w:p w:rsidR="005918B4" w:rsidRPr="00F237BB" w:rsidRDefault="005918B4" w:rsidP="00B57A26">
            <w:pPr>
              <w:jc w:val="center"/>
              <w:rPr>
                <w:rFonts w:ascii="Arial" w:hAnsi="Arial" w:cs="Arial"/>
              </w:rPr>
            </w:pPr>
            <w:r w:rsidRPr="00F237BB">
              <w:rPr>
                <w:rFonts w:ascii="Arial" w:hAnsi="Arial" w:cs="Arial"/>
              </w:rPr>
              <w:t>SI</w:t>
            </w:r>
          </w:p>
        </w:tc>
        <w:tc>
          <w:tcPr>
            <w:tcW w:w="1418" w:type="dxa"/>
            <w:tcBorders>
              <w:top w:val="single" w:sz="4" w:space="0" w:color="auto"/>
              <w:bottom w:val="single" w:sz="4" w:space="0" w:color="auto"/>
            </w:tcBorders>
            <w:shd w:val="clear" w:color="auto" w:fill="auto"/>
          </w:tcPr>
          <w:p w:rsidR="005918B4" w:rsidRPr="00F237BB" w:rsidRDefault="005918B4" w:rsidP="002D2C0C">
            <w:pPr>
              <w:jc w:val="center"/>
              <w:rPr>
                <w:rFonts w:ascii="Arial" w:hAnsi="Arial" w:cs="Arial"/>
              </w:rPr>
            </w:pPr>
            <w:r w:rsidRPr="00F237BB">
              <w:rPr>
                <w:rFonts w:ascii="Arial" w:hAnsi="Arial" w:cs="Arial"/>
              </w:rPr>
              <w:t>SI</w:t>
            </w:r>
          </w:p>
        </w:tc>
      </w:tr>
    </w:tbl>
    <w:p w:rsidR="002D2C0C" w:rsidRPr="00F237BB" w:rsidRDefault="002D2C0C" w:rsidP="002D2C0C">
      <w:pPr>
        <w:ind w:left="567"/>
        <w:rPr>
          <w:rFonts w:ascii="Arial" w:hAnsi="Arial" w:cs="Arial"/>
          <w:lang w:val="es-ES_tradnl"/>
        </w:rPr>
      </w:pPr>
      <w:r w:rsidRPr="00F237BB">
        <w:rPr>
          <w:rFonts w:ascii="Arial" w:hAnsi="Arial" w:cs="Arial"/>
          <w:lang w:val="es-ES_tradnl"/>
        </w:rPr>
        <w:t xml:space="preserve">Fuente: </w:t>
      </w:r>
      <w:r w:rsidR="00402DF3" w:rsidRPr="00F237BB">
        <w:rPr>
          <w:rFonts w:ascii="Arial" w:hAnsi="Arial" w:cs="Arial"/>
          <w:lang w:val="es-ES_tradnl"/>
        </w:rPr>
        <w:t>Elaboración</w:t>
      </w:r>
      <w:r w:rsidRPr="00F237BB">
        <w:rPr>
          <w:rFonts w:ascii="Arial" w:hAnsi="Arial" w:cs="Arial"/>
          <w:lang w:val="es-ES_tradnl"/>
        </w:rPr>
        <w:t xml:space="preserve"> propia con base al Decreto 1359/2004 y modificaciones posteriores</w:t>
      </w:r>
    </w:p>
    <w:p w:rsidR="002D2C0C" w:rsidRPr="00F237BB" w:rsidRDefault="002D2C0C" w:rsidP="002D2C0C">
      <w:pPr>
        <w:rPr>
          <w:rFonts w:ascii="Arial" w:hAnsi="Arial" w:cs="Arial"/>
          <w:lang w:val="es-ES_tradnl"/>
        </w:rPr>
      </w:pPr>
    </w:p>
    <w:p w:rsidR="003B31E0" w:rsidRPr="00F237BB" w:rsidRDefault="003B31E0" w:rsidP="003B31E0">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El tercer indicador que puede servir para aproximarse a la importancia que la coordinación con el </w:t>
      </w:r>
      <w:proofErr w:type="spellStart"/>
      <w:r w:rsidR="00F86B3F" w:rsidRPr="00F237BB">
        <w:rPr>
          <w:rFonts w:ascii="Arial" w:hAnsi="Arial" w:cs="Arial"/>
          <w:lang w:val="es-ES_tradnl"/>
        </w:rPr>
        <w:t>MH</w:t>
      </w:r>
      <w:r w:rsidR="003279EF"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tiene para las entidades responsables de políticas sectoriales (que son en gran medida las contrapartes de las funciones de coordinación interinstitucional a las que se hizo referencia en el párrafo anterior), consiste en observar si dicha coordinación es mencionada explícitamente en las políticas estratégicas sectoriales que se han aprobado recientemente. Al respecto, el cuadro 18 muestra que la coordinación interinstitucional tiene una baja referencia explícita en las políticas estratégicas sectoriales consideradas, pero que aun en los casos donde obtiene alguna referencia, tan solo en la mitad de ellos (Turismo y </w:t>
      </w:r>
      <w:r w:rsidRPr="00F237BB">
        <w:rPr>
          <w:rFonts w:ascii="Arial" w:hAnsi="Arial" w:cs="Arial"/>
        </w:rPr>
        <w:t>Ciencia y Tecnología)</w:t>
      </w:r>
      <w:r w:rsidRPr="00F237BB">
        <w:rPr>
          <w:rFonts w:ascii="Arial" w:hAnsi="Arial" w:cs="Arial"/>
          <w:lang w:val="es-ES_tradnl"/>
        </w:rPr>
        <w:t xml:space="preserve"> se incluye al </w:t>
      </w:r>
      <w:proofErr w:type="spellStart"/>
      <w:r w:rsidR="00F86B3F" w:rsidRPr="00F237BB">
        <w:rPr>
          <w:rFonts w:ascii="Arial" w:hAnsi="Arial" w:cs="Arial"/>
          <w:lang w:val="es-ES_tradnl"/>
        </w:rPr>
        <w:t>MH</w:t>
      </w:r>
      <w:r w:rsidR="003D424E"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como referente en la coordinación entre dicha política sectorial y la política económica. En consecuencia, al menos en estas áreas de política, el mandato institucional que tiene el </w:t>
      </w:r>
      <w:proofErr w:type="spellStart"/>
      <w:r w:rsidR="00F86B3F" w:rsidRPr="00F237BB">
        <w:rPr>
          <w:rFonts w:ascii="Arial" w:hAnsi="Arial" w:cs="Arial"/>
          <w:lang w:val="es-ES_tradnl"/>
        </w:rPr>
        <w:t>MH</w:t>
      </w:r>
      <w:r w:rsidR="003D424E"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para promover la indispensable coordinación entre las políticas sectoriales y las económicas, no encuentra una suficiente correspondencia en la planificación sectorial de mediano o largo plazo. </w:t>
      </w:r>
    </w:p>
    <w:p w:rsidR="003B31E0" w:rsidRPr="00F237BB" w:rsidRDefault="003B31E0" w:rsidP="002D2C0C">
      <w:pPr>
        <w:rPr>
          <w:rFonts w:ascii="Arial" w:hAnsi="Arial" w:cs="Arial"/>
          <w:lang w:val="es-ES_tradnl"/>
        </w:rPr>
      </w:pPr>
    </w:p>
    <w:p w:rsidR="002D2C0C" w:rsidRPr="00F237BB" w:rsidRDefault="00BC790F" w:rsidP="007B5925">
      <w:pPr>
        <w:pStyle w:val="Caption"/>
        <w:spacing w:after="120"/>
        <w:ind w:left="567"/>
        <w:jc w:val="center"/>
        <w:rPr>
          <w:rFonts w:ascii="Arial" w:hAnsi="Arial" w:cs="Arial"/>
          <w:sz w:val="22"/>
          <w:szCs w:val="22"/>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497A32" w:rsidRPr="00F237BB">
        <w:rPr>
          <w:rFonts w:ascii="Arial" w:hAnsi="Arial" w:cs="Arial"/>
          <w:noProof/>
          <w:sz w:val="22"/>
          <w:szCs w:val="22"/>
        </w:rPr>
        <w:t>17</w:t>
      </w:r>
      <w:r w:rsidR="00F237BB" w:rsidRPr="00F237BB">
        <w:rPr>
          <w:rFonts w:ascii="Arial" w:hAnsi="Arial" w:cs="Arial"/>
          <w:noProof/>
          <w:sz w:val="22"/>
          <w:szCs w:val="22"/>
        </w:rPr>
        <w:fldChar w:fldCharType="end"/>
      </w:r>
      <w:r w:rsidR="00497A32" w:rsidRPr="00F237BB">
        <w:rPr>
          <w:rFonts w:ascii="Arial" w:hAnsi="Arial" w:cs="Arial"/>
          <w:sz w:val="22"/>
          <w:szCs w:val="22"/>
        </w:rPr>
        <w:t xml:space="preserve"> </w:t>
      </w:r>
      <w:r w:rsidR="002D2C0C" w:rsidRPr="00F237BB">
        <w:rPr>
          <w:rFonts w:ascii="Arial" w:hAnsi="Arial" w:cs="Arial"/>
          <w:sz w:val="22"/>
          <w:szCs w:val="22"/>
        </w:rPr>
        <w:t xml:space="preserve">– Referencia a la coordinación interinstitucional y la coordinación con el </w:t>
      </w:r>
      <w:proofErr w:type="spellStart"/>
      <w:r w:rsidR="00F86B3F" w:rsidRPr="00F237BB">
        <w:rPr>
          <w:rFonts w:ascii="Arial" w:hAnsi="Arial" w:cs="Arial"/>
          <w:sz w:val="22"/>
          <w:szCs w:val="22"/>
        </w:rPr>
        <w:t>MH</w:t>
      </w:r>
      <w:r w:rsidR="003D424E" w:rsidRPr="00F237BB">
        <w:rPr>
          <w:rFonts w:ascii="Arial" w:hAnsi="Arial" w:cs="Arial"/>
          <w:sz w:val="22"/>
          <w:szCs w:val="22"/>
        </w:rPr>
        <w:t>y</w:t>
      </w:r>
      <w:r w:rsidR="00F86B3F" w:rsidRPr="00F237BB">
        <w:rPr>
          <w:rFonts w:ascii="Arial" w:hAnsi="Arial" w:cs="Arial"/>
          <w:sz w:val="22"/>
          <w:szCs w:val="22"/>
        </w:rPr>
        <w:t>FP</w:t>
      </w:r>
      <w:proofErr w:type="spellEnd"/>
      <w:r w:rsidR="002D2C0C" w:rsidRPr="00F237BB">
        <w:rPr>
          <w:rFonts w:ascii="Arial" w:hAnsi="Arial" w:cs="Arial"/>
          <w:sz w:val="22"/>
          <w:szCs w:val="22"/>
        </w:rPr>
        <w:t xml:space="preserve"> en políticas estratégicas sectoriales</w:t>
      </w:r>
    </w:p>
    <w:tbl>
      <w:tblPr>
        <w:tblStyle w:val="TableGrid"/>
        <w:tblW w:w="0" w:type="auto"/>
        <w:tblInd w:w="737" w:type="dxa"/>
        <w:tblLook w:val="04A0" w:firstRow="1" w:lastRow="0" w:firstColumn="1" w:lastColumn="0" w:noHBand="0" w:noVBand="1"/>
      </w:tblPr>
      <w:tblGrid>
        <w:gridCol w:w="2951"/>
        <w:gridCol w:w="2966"/>
        <w:gridCol w:w="2966"/>
      </w:tblGrid>
      <w:tr w:rsidR="00C23A55" w:rsidRPr="00F237BB" w:rsidTr="007B5925">
        <w:tc>
          <w:tcPr>
            <w:tcW w:w="2951" w:type="dxa"/>
          </w:tcPr>
          <w:p w:rsidR="002D0558" w:rsidRPr="00F237BB" w:rsidRDefault="002D2C0C" w:rsidP="004574A3">
            <w:pPr>
              <w:rPr>
                <w:rFonts w:ascii="Arial" w:hAnsi="Arial" w:cs="Arial"/>
                <w:b/>
              </w:rPr>
            </w:pPr>
            <w:r w:rsidRPr="00F237BB">
              <w:rPr>
                <w:rFonts w:ascii="Arial" w:hAnsi="Arial" w:cs="Arial"/>
                <w:b/>
              </w:rPr>
              <w:t>Política Sectorial</w:t>
            </w:r>
          </w:p>
        </w:tc>
        <w:tc>
          <w:tcPr>
            <w:tcW w:w="2966" w:type="dxa"/>
          </w:tcPr>
          <w:p w:rsidR="002D2C0C" w:rsidRPr="00F237BB" w:rsidRDefault="002D2C0C" w:rsidP="002D2C0C">
            <w:pPr>
              <w:jc w:val="center"/>
              <w:rPr>
                <w:rFonts w:ascii="Arial" w:hAnsi="Arial" w:cs="Arial"/>
              </w:rPr>
            </w:pPr>
            <w:r w:rsidRPr="00F237BB">
              <w:rPr>
                <w:rFonts w:ascii="Arial" w:hAnsi="Arial" w:cs="Arial"/>
              </w:rPr>
              <w:t>Inclusión de referencia específica a la coordinación con otras instituciones o instancias de gobierno</w:t>
            </w:r>
          </w:p>
        </w:tc>
        <w:tc>
          <w:tcPr>
            <w:tcW w:w="2966" w:type="dxa"/>
          </w:tcPr>
          <w:p w:rsidR="002D2C0C" w:rsidRPr="00F237BB" w:rsidRDefault="002D2C0C" w:rsidP="002D2C0C">
            <w:pPr>
              <w:jc w:val="center"/>
              <w:rPr>
                <w:rFonts w:ascii="Arial" w:hAnsi="Arial" w:cs="Arial"/>
              </w:rPr>
            </w:pPr>
            <w:r w:rsidRPr="00F237BB">
              <w:rPr>
                <w:rFonts w:ascii="Arial" w:hAnsi="Arial" w:cs="Arial"/>
              </w:rPr>
              <w:t xml:space="preserve">Inclusión de referencia específica a la coordinación con el </w:t>
            </w:r>
            <w:r w:rsidR="00F86B3F" w:rsidRPr="00F237BB">
              <w:rPr>
                <w:rFonts w:ascii="Arial" w:hAnsi="Arial" w:cs="Arial"/>
              </w:rPr>
              <w:t>MHYFP</w:t>
            </w:r>
            <w:r w:rsidRPr="00F237BB">
              <w:rPr>
                <w:rFonts w:ascii="Arial" w:hAnsi="Arial" w:cs="Arial"/>
              </w:rPr>
              <w:t xml:space="preserve"> en materias de política económica</w:t>
            </w:r>
          </w:p>
        </w:tc>
      </w:tr>
      <w:tr w:rsidR="00C23A55" w:rsidRPr="00F237BB" w:rsidTr="007B5925">
        <w:tc>
          <w:tcPr>
            <w:tcW w:w="2951" w:type="dxa"/>
          </w:tcPr>
          <w:p w:rsidR="002D0558" w:rsidRPr="00F237BB" w:rsidRDefault="002D2C0C" w:rsidP="004574A3">
            <w:pPr>
              <w:rPr>
                <w:rFonts w:ascii="Arial" w:hAnsi="Arial" w:cs="Arial"/>
              </w:rPr>
            </w:pPr>
            <w:r w:rsidRPr="00F237BB">
              <w:rPr>
                <w:rFonts w:ascii="Arial" w:hAnsi="Arial" w:cs="Arial"/>
              </w:rPr>
              <w:t>Turismo</w:t>
            </w:r>
          </w:p>
        </w:tc>
        <w:tc>
          <w:tcPr>
            <w:tcW w:w="2966" w:type="dxa"/>
          </w:tcPr>
          <w:p w:rsidR="002D2C0C" w:rsidRPr="00F237BB" w:rsidRDefault="002D2C0C" w:rsidP="002D2C0C">
            <w:pPr>
              <w:jc w:val="center"/>
              <w:rPr>
                <w:rFonts w:ascii="Arial" w:hAnsi="Arial" w:cs="Arial"/>
              </w:rPr>
            </w:pPr>
            <w:r w:rsidRPr="00F237BB">
              <w:rPr>
                <w:rFonts w:ascii="Arial" w:hAnsi="Arial" w:cs="Arial"/>
              </w:rPr>
              <w:t xml:space="preserve">SI </w:t>
            </w:r>
          </w:p>
        </w:tc>
        <w:tc>
          <w:tcPr>
            <w:tcW w:w="2966" w:type="dxa"/>
          </w:tcPr>
          <w:p w:rsidR="002D2C0C" w:rsidRPr="00F237BB" w:rsidRDefault="00922C0D" w:rsidP="002D2C0C">
            <w:pPr>
              <w:jc w:val="center"/>
              <w:rPr>
                <w:rFonts w:ascii="Arial" w:hAnsi="Arial" w:cs="Arial"/>
              </w:rPr>
            </w:pPr>
            <w:r w:rsidRPr="00F237BB">
              <w:rPr>
                <w:rFonts w:ascii="Arial" w:hAnsi="Arial" w:cs="Arial"/>
              </w:rPr>
              <w:t>SI</w:t>
            </w:r>
          </w:p>
        </w:tc>
      </w:tr>
      <w:tr w:rsidR="00C23A55" w:rsidRPr="00F237BB" w:rsidTr="007B5925">
        <w:tc>
          <w:tcPr>
            <w:tcW w:w="2951" w:type="dxa"/>
          </w:tcPr>
          <w:p w:rsidR="002D0558" w:rsidRPr="00F237BB" w:rsidRDefault="002D2C0C" w:rsidP="004574A3">
            <w:pPr>
              <w:rPr>
                <w:rFonts w:ascii="Arial" w:hAnsi="Arial" w:cs="Arial"/>
              </w:rPr>
            </w:pPr>
            <w:r w:rsidRPr="00F237BB">
              <w:rPr>
                <w:rFonts w:ascii="Arial" w:hAnsi="Arial" w:cs="Arial"/>
              </w:rPr>
              <w:t>Desarrollo Territorial</w:t>
            </w:r>
          </w:p>
        </w:tc>
        <w:tc>
          <w:tcPr>
            <w:tcW w:w="2966" w:type="dxa"/>
          </w:tcPr>
          <w:p w:rsidR="002D2C0C" w:rsidRPr="00F237BB" w:rsidRDefault="00922C0D" w:rsidP="002D2C0C">
            <w:pPr>
              <w:jc w:val="center"/>
              <w:rPr>
                <w:rFonts w:ascii="Arial" w:hAnsi="Arial" w:cs="Arial"/>
              </w:rPr>
            </w:pPr>
            <w:r w:rsidRPr="00F237BB">
              <w:rPr>
                <w:rFonts w:ascii="Arial" w:hAnsi="Arial" w:cs="Arial"/>
              </w:rPr>
              <w:t>SI</w:t>
            </w:r>
          </w:p>
        </w:tc>
        <w:tc>
          <w:tcPr>
            <w:tcW w:w="2966" w:type="dxa"/>
          </w:tcPr>
          <w:p w:rsidR="002D2C0C" w:rsidRPr="00F237BB" w:rsidRDefault="002D2C0C" w:rsidP="002D2C0C">
            <w:pPr>
              <w:jc w:val="center"/>
              <w:rPr>
                <w:rFonts w:ascii="Arial" w:hAnsi="Arial" w:cs="Arial"/>
              </w:rPr>
            </w:pPr>
            <w:r w:rsidRPr="00F237BB">
              <w:rPr>
                <w:rFonts w:ascii="Arial" w:hAnsi="Arial" w:cs="Arial"/>
              </w:rPr>
              <w:t>NO</w:t>
            </w:r>
          </w:p>
        </w:tc>
      </w:tr>
      <w:tr w:rsidR="00C23A55" w:rsidRPr="00F237BB" w:rsidTr="007B5925">
        <w:tc>
          <w:tcPr>
            <w:tcW w:w="2951" w:type="dxa"/>
          </w:tcPr>
          <w:p w:rsidR="002D0558" w:rsidRPr="00F237BB" w:rsidRDefault="002D2C0C" w:rsidP="004574A3">
            <w:pPr>
              <w:rPr>
                <w:rFonts w:ascii="Arial" w:hAnsi="Arial" w:cs="Arial"/>
              </w:rPr>
            </w:pPr>
            <w:r w:rsidRPr="00F237BB">
              <w:rPr>
                <w:rFonts w:ascii="Arial" w:hAnsi="Arial" w:cs="Arial"/>
              </w:rPr>
              <w:t>Ciencia y Tecnología</w:t>
            </w:r>
          </w:p>
        </w:tc>
        <w:tc>
          <w:tcPr>
            <w:tcW w:w="2966" w:type="dxa"/>
          </w:tcPr>
          <w:p w:rsidR="002D2C0C" w:rsidRPr="00F237BB" w:rsidRDefault="00922C0D" w:rsidP="002D2C0C">
            <w:pPr>
              <w:jc w:val="center"/>
              <w:rPr>
                <w:rFonts w:ascii="Arial" w:hAnsi="Arial" w:cs="Arial"/>
              </w:rPr>
            </w:pPr>
            <w:r w:rsidRPr="00F237BB">
              <w:rPr>
                <w:rFonts w:ascii="Arial" w:hAnsi="Arial" w:cs="Arial"/>
              </w:rPr>
              <w:t>SI</w:t>
            </w:r>
          </w:p>
        </w:tc>
        <w:tc>
          <w:tcPr>
            <w:tcW w:w="2966" w:type="dxa"/>
          </w:tcPr>
          <w:p w:rsidR="002D2C0C" w:rsidRPr="00F237BB" w:rsidRDefault="00922C0D" w:rsidP="002D2C0C">
            <w:pPr>
              <w:jc w:val="center"/>
              <w:rPr>
                <w:rFonts w:ascii="Arial" w:hAnsi="Arial" w:cs="Arial"/>
              </w:rPr>
            </w:pPr>
            <w:r w:rsidRPr="00F237BB">
              <w:rPr>
                <w:rFonts w:ascii="Arial" w:hAnsi="Arial" w:cs="Arial"/>
              </w:rPr>
              <w:t>SI</w:t>
            </w:r>
          </w:p>
        </w:tc>
      </w:tr>
      <w:tr w:rsidR="00C23A55" w:rsidRPr="00F237BB" w:rsidTr="007B5925">
        <w:tc>
          <w:tcPr>
            <w:tcW w:w="2951" w:type="dxa"/>
          </w:tcPr>
          <w:p w:rsidR="002D0558" w:rsidRPr="00F237BB" w:rsidRDefault="00922C0D" w:rsidP="004574A3">
            <w:pPr>
              <w:rPr>
                <w:rFonts w:ascii="Arial" w:hAnsi="Arial" w:cs="Arial"/>
              </w:rPr>
            </w:pPr>
            <w:r w:rsidRPr="00F237BB">
              <w:rPr>
                <w:rFonts w:ascii="Arial" w:hAnsi="Arial" w:cs="Arial"/>
              </w:rPr>
              <w:t>Agroalimentario y agroindustrial</w:t>
            </w:r>
          </w:p>
        </w:tc>
        <w:tc>
          <w:tcPr>
            <w:tcW w:w="2966" w:type="dxa"/>
          </w:tcPr>
          <w:p w:rsidR="002D2C0C" w:rsidRPr="00F237BB" w:rsidRDefault="00922C0D" w:rsidP="002D2C0C">
            <w:pPr>
              <w:jc w:val="center"/>
              <w:rPr>
                <w:rFonts w:ascii="Arial" w:hAnsi="Arial" w:cs="Arial"/>
              </w:rPr>
            </w:pPr>
            <w:r w:rsidRPr="00F237BB">
              <w:rPr>
                <w:rFonts w:ascii="Arial" w:hAnsi="Arial" w:cs="Arial"/>
              </w:rPr>
              <w:t>SI</w:t>
            </w:r>
          </w:p>
        </w:tc>
        <w:tc>
          <w:tcPr>
            <w:tcW w:w="2966" w:type="dxa"/>
          </w:tcPr>
          <w:p w:rsidR="002D2C0C" w:rsidRPr="00F237BB" w:rsidRDefault="002D2C0C" w:rsidP="002D2C0C">
            <w:pPr>
              <w:jc w:val="center"/>
              <w:rPr>
                <w:rFonts w:ascii="Arial" w:hAnsi="Arial" w:cs="Arial"/>
              </w:rPr>
            </w:pPr>
            <w:r w:rsidRPr="00F237BB">
              <w:rPr>
                <w:rFonts w:ascii="Arial" w:hAnsi="Arial" w:cs="Arial"/>
              </w:rPr>
              <w:t>NO</w:t>
            </w:r>
          </w:p>
        </w:tc>
      </w:tr>
    </w:tbl>
    <w:p w:rsidR="004574A3" w:rsidRPr="00F237BB" w:rsidRDefault="002D2C0C" w:rsidP="004574A3">
      <w:pPr>
        <w:ind w:left="737"/>
        <w:rPr>
          <w:rFonts w:ascii="Arial" w:hAnsi="Arial" w:cs="Arial"/>
        </w:rPr>
      </w:pPr>
      <w:r w:rsidRPr="00F237BB">
        <w:rPr>
          <w:rFonts w:ascii="Arial" w:hAnsi="Arial" w:cs="Arial"/>
        </w:rPr>
        <w:t>Fuente: Elaboración propia con datos de los planes sectoriales</w:t>
      </w:r>
      <w:r w:rsidR="003D424E" w:rsidRPr="00F237BB">
        <w:rPr>
          <w:rFonts w:ascii="Arial" w:hAnsi="Arial" w:cs="Arial"/>
        </w:rPr>
        <w:t xml:space="preserve"> vigentes</w:t>
      </w:r>
      <w:r w:rsidR="004574A3" w:rsidRPr="00F237BB">
        <w:rPr>
          <w:rFonts w:ascii="Arial" w:hAnsi="Arial" w:cs="Arial"/>
        </w:rPr>
        <w:t>.</w:t>
      </w:r>
    </w:p>
    <w:p w:rsidR="008D7054" w:rsidRPr="00F237BB" w:rsidRDefault="008D7054" w:rsidP="008D7054">
      <w:pPr>
        <w:rPr>
          <w:rFonts w:ascii="Arial" w:hAnsi="Arial" w:cs="Arial"/>
          <w:lang w:val="es-ES_tradnl"/>
        </w:rPr>
      </w:pPr>
    </w:p>
    <w:p w:rsidR="001F0B6C" w:rsidRPr="00F237BB" w:rsidRDefault="001F0B6C" w:rsidP="001F0B6C">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Puede, en consecuencia, aseverarse que si bien el </w:t>
      </w:r>
      <w:proofErr w:type="spellStart"/>
      <w:r w:rsidR="00F86B3F" w:rsidRPr="00F237BB">
        <w:rPr>
          <w:rFonts w:ascii="Arial" w:hAnsi="Arial" w:cs="Arial"/>
          <w:lang w:val="es-ES_tradnl"/>
        </w:rPr>
        <w:t>MH</w:t>
      </w:r>
      <w:r w:rsidR="003D424E"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tiene un mandato específico para la coordinación interinstitucional en el área de la política económica, el reconocimiento de dicho rol parece escasamente desarrollado por parte de las contrapartes sectoriales. Esta situación sin duda contribuye a los resultados mostrados – y analizados anteriormente – por el cuadro 3, con relación a la escasa referencia que se hace en los planes estratégicos sectoriales recientemente aprobados a los parámetros de la política económica vigente. </w:t>
      </w:r>
    </w:p>
    <w:p w:rsidR="002D2C0C" w:rsidRPr="00F237BB" w:rsidRDefault="002D2C0C" w:rsidP="002D2C0C">
      <w:pPr>
        <w:rPr>
          <w:rFonts w:ascii="Arial" w:hAnsi="Arial" w:cs="Arial"/>
          <w:lang w:val="es-ES_tradnl"/>
        </w:rPr>
      </w:pPr>
    </w:p>
    <w:p w:rsidR="00F56497" w:rsidRPr="00F237BB" w:rsidRDefault="002D2C0C" w:rsidP="00936029">
      <w:pPr>
        <w:spacing w:after="240"/>
        <w:ind w:left="567"/>
        <w:rPr>
          <w:rFonts w:ascii="Arial" w:hAnsi="Arial" w:cs="Arial"/>
          <w:b/>
          <w:u w:val="single"/>
          <w:lang w:val="es-ES_tradnl"/>
        </w:rPr>
      </w:pPr>
      <w:r w:rsidRPr="00F237BB">
        <w:rPr>
          <w:rFonts w:ascii="Arial" w:hAnsi="Arial" w:cs="Arial"/>
          <w:b/>
          <w:u w:val="single"/>
          <w:lang w:val="es-ES_tradnl"/>
        </w:rPr>
        <w:t>Factores causales</w:t>
      </w:r>
    </w:p>
    <w:p w:rsidR="00246936" w:rsidRPr="00F237BB" w:rsidRDefault="002D2C0C" w:rsidP="00236E66">
      <w:pPr>
        <w:pStyle w:val="ListParagraph"/>
        <w:numPr>
          <w:ilvl w:val="0"/>
          <w:numId w:val="21"/>
        </w:numPr>
        <w:rPr>
          <w:rFonts w:ascii="Arial" w:hAnsi="Arial" w:cs="Arial"/>
          <w:b/>
          <w:lang w:val="es-ES_tradnl"/>
        </w:rPr>
      </w:pPr>
      <w:r w:rsidRPr="00F237BB">
        <w:rPr>
          <w:rFonts w:ascii="Arial" w:hAnsi="Arial" w:cs="Arial"/>
          <w:b/>
          <w:lang w:val="es-ES_tradnl"/>
        </w:rPr>
        <w:lastRenderedPageBreak/>
        <w:t xml:space="preserve">Falta de instrumentos, herramientas y prácticas consolidadas y formalizadas para la coordinación tanto entre unidades de la </w:t>
      </w:r>
      <w:proofErr w:type="spellStart"/>
      <w:r w:rsidRPr="00F237BB">
        <w:rPr>
          <w:rFonts w:ascii="Arial" w:hAnsi="Arial" w:cs="Arial"/>
          <w:b/>
          <w:lang w:val="es-ES_tradnl"/>
        </w:rPr>
        <w:t>SPE</w:t>
      </w:r>
      <w:r w:rsidR="003D424E" w:rsidRPr="00F237BB">
        <w:rPr>
          <w:rFonts w:ascii="Arial" w:hAnsi="Arial" w:cs="Arial"/>
          <w:b/>
          <w:lang w:val="es-ES_tradnl"/>
        </w:rPr>
        <w:t>yPD</w:t>
      </w:r>
      <w:proofErr w:type="spellEnd"/>
      <w:r w:rsidRPr="00F237BB">
        <w:rPr>
          <w:rFonts w:ascii="Arial" w:hAnsi="Arial" w:cs="Arial"/>
          <w:b/>
          <w:lang w:val="es-ES_tradnl"/>
        </w:rPr>
        <w:t xml:space="preserve"> y del resto del </w:t>
      </w:r>
      <w:proofErr w:type="spellStart"/>
      <w:r w:rsidR="00F86B3F" w:rsidRPr="00F237BB">
        <w:rPr>
          <w:rFonts w:ascii="Arial" w:hAnsi="Arial" w:cs="Arial"/>
          <w:b/>
          <w:lang w:val="es-ES_tradnl"/>
        </w:rPr>
        <w:t>MH</w:t>
      </w:r>
      <w:r w:rsidR="003D424E" w:rsidRPr="00F237BB">
        <w:rPr>
          <w:rFonts w:ascii="Arial" w:hAnsi="Arial" w:cs="Arial"/>
          <w:b/>
          <w:lang w:val="es-ES_tradnl"/>
        </w:rPr>
        <w:t>y</w:t>
      </w:r>
      <w:r w:rsidR="00F86B3F" w:rsidRPr="00F237BB">
        <w:rPr>
          <w:rFonts w:ascii="Arial" w:hAnsi="Arial" w:cs="Arial"/>
          <w:b/>
          <w:lang w:val="es-ES_tradnl"/>
        </w:rPr>
        <w:t>FP</w:t>
      </w:r>
      <w:proofErr w:type="spellEnd"/>
    </w:p>
    <w:p w:rsidR="00412AA4" w:rsidRPr="00F237BB" w:rsidRDefault="00412AA4" w:rsidP="00757D15">
      <w:pPr>
        <w:rPr>
          <w:rFonts w:ascii="Arial" w:hAnsi="Arial" w:cs="Arial"/>
          <w:lang w:val="es-ES_tradnl"/>
        </w:rPr>
      </w:pPr>
    </w:p>
    <w:p w:rsidR="00225331" w:rsidRPr="00F237BB" w:rsidRDefault="003111D5" w:rsidP="003111D5">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Uno de los aspectos que incide de forma significativa en el rol que debe desempeñar la </w:t>
      </w:r>
      <w:proofErr w:type="spellStart"/>
      <w:r w:rsidRPr="00F237BB">
        <w:rPr>
          <w:rFonts w:ascii="Arial" w:hAnsi="Arial" w:cs="Arial"/>
          <w:lang w:val="es-ES_tradnl"/>
        </w:rPr>
        <w:t>SPE</w:t>
      </w:r>
      <w:r w:rsidR="00FB3976" w:rsidRPr="00F237BB">
        <w:rPr>
          <w:rFonts w:ascii="Arial" w:hAnsi="Arial" w:cs="Arial"/>
          <w:lang w:val="es-ES_tradnl"/>
        </w:rPr>
        <w:t>yPD</w:t>
      </w:r>
      <w:proofErr w:type="spellEnd"/>
      <w:r w:rsidRPr="00F237BB">
        <w:rPr>
          <w:rFonts w:ascii="Arial" w:hAnsi="Arial" w:cs="Arial"/>
          <w:lang w:val="es-ES_tradnl"/>
        </w:rPr>
        <w:t xml:space="preserve"> como responsable de la elaboración de las políticas económicas de mediano y largo plazo</w:t>
      </w:r>
      <w:r w:rsidR="00225331" w:rsidRPr="00F237BB">
        <w:rPr>
          <w:rFonts w:ascii="Arial" w:hAnsi="Arial" w:cs="Arial"/>
          <w:lang w:val="es-ES_tradnl"/>
        </w:rPr>
        <w:t xml:space="preserve"> y su coordinación con otras instancias sectoriales y sub nacionales,</w:t>
      </w:r>
      <w:r w:rsidRPr="00F237BB">
        <w:rPr>
          <w:rFonts w:ascii="Arial" w:hAnsi="Arial" w:cs="Arial"/>
          <w:lang w:val="es-ES_tradnl"/>
        </w:rPr>
        <w:t xml:space="preserve"> tiene que ver con la falta de instrumentos, herramientas y prácticas consolidadas de </w:t>
      </w:r>
      <w:r w:rsidR="00EF7700" w:rsidRPr="00F237BB">
        <w:rPr>
          <w:rFonts w:ascii="Arial" w:hAnsi="Arial" w:cs="Arial"/>
          <w:lang w:val="es-ES_tradnl"/>
        </w:rPr>
        <w:t>coordinación externa</w:t>
      </w:r>
      <w:r w:rsidRPr="00F237BB">
        <w:rPr>
          <w:rFonts w:ascii="Arial" w:hAnsi="Arial" w:cs="Arial"/>
          <w:lang w:val="es-ES_tradnl"/>
        </w:rPr>
        <w:t xml:space="preserve">. </w:t>
      </w:r>
      <w:r w:rsidR="00225331" w:rsidRPr="00F237BB">
        <w:rPr>
          <w:rFonts w:ascii="Arial" w:hAnsi="Arial" w:cs="Arial"/>
          <w:lang w:val="es-ES_tradnl"/>
        </w:rPr>
        <w:t xml:space="preserve">Al respecto, el primer indicador del cuadro </w:t>
      </w:r>
      <w:r w:rsidR="007A2B77" w:rsidRPr="00F237BB">
        <w:rPr>
          <w:rFonts w:ascii="Arial" w:hAnsi="Arial" w:cs="Arial"/>
          <w:lang w:val="es-ES_tradnl"/>
        </w:rPr>
        <w:t xml:space="preserve">18 </w:t>
      </w:r>
      <w:r w:rsidR="007B5925" w:rsidRPr="00F237BB">
        <w:rPr>
          <w:rFonts w:ascii="Arial" w:hAnsi="Arial" w:cs="Arial"/>
          <w:lang w:val="es-ES_tradnl"/>
        </w:rPr>
        <w:t>muestra</w:t>
      </w:r>
      <w:r w:rsidR="00225331" w:rsidRPr="00F237BB">
        <w:rPr>
          <w:rFonts w:ascii="Arial" w:hAnsi="Arial" w:cs="Arial"/>
          <w:lang w:val="es-ES_tradnl"/>
        </w:rPr>
        <w:t xml:space="preserve"> </w:t>
      </w:r>
      <w:r w:rsidR="00674481" w:rsidRPr="00F237BB">
        <w:rPr>
          <w:rFonts w:ascii="Arial" w:hAnsi="Arial" w:cs="Arial"/>
          <w:lang w:val="es-ES_tradnl"/>
        </w:rPr>
        <w:t>ninguna</w:t>
      </w:r>
      <w:r w:rsidR="00225331" w:rsidRPr="00F237BB">
        <w:rPr>
          <w:rFonts w:ascii="Arial" w:hAnsi="Arial" w:cs="Arial"/>
          <w:lang w:val="es-ES_tradnl"/>
        </w:rPr>
        <w:t xml:space="preserve"> de las </w:t>
      </w:r>
      <w:r w:rsidR="00674481" w:rsidRPr="00F237BB">
        <w:rPr>
          <w:rFonts w:ascii="Arial" w:hAnsi="Arial" w:cs="Arial"/>
          <w:lang w:val="es-ES_tradnl"/>
        </w:rPr>
        <w:t xml:space="preserve">dos direcciones </w:t>
      </w:r>
      <w:r w:rsidR="00225331" w:rsidRPr="00F237BB">
        <w:rPr>
          <w:rFonts w:ascii="Arial" w:hAnsi="Arial" w:cs="Arial"/>
          <w:lang w:val="es-ES_tradnl"/>
        </w:rPr>
        <w:t xml:space="preserve">consideradas tiene mecanismos de coordinación externa formalmente establecidos. </w:t>
      </w:r>
    </w:p>
    <w:p w:rsidR="002D2C0C" w:rsidRPr="00F237BB" w:rsidRDefault="002D2C0C" w:rsidP="002D2C0C">
      <w:pPr>
        <w:rPr>
          <w:rFonts w:ascii="Arial" w:hAnsi="Arial" w:cs="Arial"/>
          <w:lang w:val="es-ES_tradnl"/>
        </w:rPr>
      </w:pPr>
    </w:p>
    <w:p w:rsidR="00E71E72" w:rsidRPr="00F237BB" w:rsidRDefault="00BC790F" w:rsidP="00E71E72">
      <w:pPr>
        <w:pStyle w:val="Caption"/>
        <w:spacing w:line="360" w:lineRule="auto"/>
        <w:ind w:left="567"/>
        <w:jc w:val="center"/>
        <w:rPr>
          <w:rFonts w:ascii="Arial" w:hAnsi="Arial" w:cs="Arial"/>
          <w:sz w:val="22"/>
          <w:szCs w:val="22"/>
          <w:lang w:val="es-ES_tradnl"/>
        </w:rPr>
      </w:pPr>
      <w:r w:rsidRPr="00F237BB">
        <w:rPr>
          <w:rFonts w:ascii="Arial" w:hAnsi="Arial" w:cs="Arial"/>
          <w:sz w:val="22"/>
          <w:szCs w:val="22"/>
        </w:rPr>
        <w:t xml:space="preserve">Cuadro </w:t>
      </w:r>
      <w:r w:rsidR="00F237BB" w:rsidRPr="00F237BB">
        <w:rPr>
          <w:rFonts w:ascii="Arial" w:hAnsi="Arial" w:cs="Arial"/>
          <w:sz w:val="22"/>
          <w:szCs w:val="22"/>
        </w:rPr>
        <w:fldChar w:fldCharType="begin"/>
      </w:r>
      <w:r w:rsidR="00F237BB" w:rsidRPr="00F237BB">
        <w:rPr>
          <w:rFonts w:ascii="Arial" w:hAnsi="Arial" w:cs="Arial"/>
          <w:sz w:val="22"/>
          <w:szCs w:val="22"/>
        </w:rPr>
        <w:instrText xml:space="preserve"> SEQ Cuadro \* ARABIC </w:instrText>
      </w:r>
      <w:r w:rsidR="00F237BB" w:rsidRPr="00F237BB">
        <w:rPr>
          <w:rFonts w:ascii="Arial" w:hAnsi="Arial" w:cs="Arial"/>
          <w:sz w:val="22"/>
          <w:szCs w:val="22"/>
        </w:rPr>
        <w:fldChar w:fldCharType="separate"/>
      </w:r>
      <w:r w:rsidR="007A2B77" w:rsidRPr="00F237BB">
        <w:rPr>
          <w:rFonts w:ascii="Arial" w:hAnsi="Arial" w:cs="Arial"/>
          <w:noProof/>
          <w:sz w:val="22"/>
          <w:szCs w:val="22"/>
        </w:rPr>
        <w:t>18</w:t>
      </w:r>
      <w:r w:rsidR="00F237BB" w:rsidRPr="00F237BB">
        <w:rPr>
          <w:rFonts w:ascii="Arial" w:hAnsi="Arial" w:cs="Arial"/>
          <w:noProof/>
          <w:sz w:val="22"/>
          <w:szCs w:val="22"/>
        </w:rPr>
        <w:fldChar w:fldCharType="end"/>
      </w:r>
      <w:r w:rsidR="007A2B77" w:rsidRPr="00F237BB">
        <w:rPr>
          <w:rFonts w:ascii="Arial" w:hAnsi="Arial" w:cs="Arial"/>
          <w:sz w:val="22"/>
          <w:szCs w:val="22"/>
        </w:rPr>
        <w:t xml:space="preserve"> </w:t>
      </w:r>
      <w:r w:rsidR="002D2C0C" w:rsidRPr="00F237BB">
        <w:rPr>
          <w:rFonts w:ascii="Arial" w:hAnsi="Arial" w:cs="Arial"/>
          <w:sz w:val="22"/>
          <w:szCs w:val="22"/>
          <w:lang w:val="es-ES_tradnl"/>
        </w:rPr>
        <w:t xml:space="preserve">– Mecanismos de coordinación </w:t>
      </w:r>
      <w:r w:rsidR="00176858" w:rsidRPr="00F237BB">
        <w:rPr>
          <w:rFonts w:ascii="Arial" w:hAnsi="Arial" w:cs="Arial"/>
          <w:sz w:val="22"/>
          <w:szCs w:val="22"/>
          <w:lang w:val="es-ES_tradnl"/>
        </w:rPr>
        <w:t xml:space="preserve">externa </w:t>
      </w:r>
      <w:r w:rsidR="002D2C0C" w:rsidRPr="00F237BB">
        <w:rPr>
          <w:rFonts w:ascii="Arial" w:hAnsi="Arial" w:cs="Arial"/>
          <w:sz w:val="22"/>
          <w:szCs w:val="22"/>
          <w:lang w:val="es-ES_tradnl"/>
        </w:rPr>
        <w:t>y</w:t>
      </w:r>
      <w:r w:rsidR="00176858" w:rsidRPr="00F237BB">
        <w:rPr>
          <w:rFonts w:ascii="Arial" w:hAnsi="Arial" w:cs="Arial"/>
          <w:sz w:val="22"/>
          <w:szCs w:val="22"/>
          <w:lang w:val="es-ES_tradnl"/>
        </w:rPr>
        <w:t xml:space="preserve"> de</w:t>
      </w:r>
      <w:r w:rsidR="002D2C0C" w:rsidRPr="00F237BB">
        <w:rPr>
          <w:rFonts w:ascii="Arial" w:hAnsi="Arial" w:cs="Arial"/>
          <w:sz w:val="22"/>
          <w:szCs w:val="22"/>
          <w:lang w:val="es-ES_tradnl"/>
        </w:rPr>
        <w:t xml:space="preserve"> </w:t>
      </w:r>
      <w:r w:rsidR="00922C0D" w:rsidRPr="00F237BB">
        <w:rPr>
          <w:rFonts w:ascii="Arial" w:hAnsi="Arial" w:cs="Arial"/>
          <w:sz w:val="22"/>
          <w:szCs w:val="22"/>
          <w:lang w:val="es-ES_tradnl"/>
        </w:rPr>
        <w:t>gestión</w:t>
      </w:r>
      <w:r w:rsidR="00176858" w:rsidRPr="00F237BB">
        <w:rPr>
          <w:rFonts w:ascii="Arial" w:hAnsi="Arial" w:cs="Arial"/>
          <w:sz w:val="22"/>
          <w:szCs w:val="22"/>
          <w:lang w:val="es-ES_tradnl"/>
        </w:rPr>
        <w:t xml:space="preserve"> organizacional</w:t>
      </w:r>
      <w:r w:rsidR="002D2C0C" w:rsidRPr="00F237BB">
        <w:rPr>
          <w:rFonts w:ascii="Arial" w:hAnsi="Arial" w:cs="Arial"/>
          <w:sz w:val="22"/>
          <w:szCs w:val="22"/>
          <w:lang w:val="es-ES_tradnl"/>
        </w:rPr>
        <w:t xml:space="preserve"> </w:t>
      </w:r>
    </w:p>
    <w:tbl>
      <w:tblPr>
        <w:tblStyle w:val="TableGrid"/>
        <w:tblW w:w="7230"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1276"/>
        <w:gridCol w:w="1418"/>
      </w:tblGrid>
      <w:tr w:rsidR="005918B4" w:rsidRPr="00F237BB" w:rsidTr="00C60E00">
        <w:trPr>
          <w:cantSplit/>
          <w:tblHeader/>
        </w:trPr>
        <w:tc>
          <w:tcPr>
            <w:tcW w:w="4536" w:type="dxa"/>
            <w:tcBorders>
              <w:top w:val="single" w:sz="4" w:space="0" w:color="auto"/>
              <w:bottom w:val="single" w:sz="4" w:space="0" w:color="auto"/>
            </w:tcBorders>
            <w:shd w:val="clear" w:color="auto" w:fill="D9D9D9" w:themeFill="background1" w:themeFillShade="D9"/>
          </w:tcPr>
          <w:p w:rsidR="005918B4" w:rsidRPr="00F237BB" w:rsidRDefault="005918B4" w:rsidP="00704EA2">
            <w:pPr>
              <w:rPr>
                <w:rFonts w:ascii="Arial" w:hAnsi="Arial" w:cs="Arial"/>
                <w:lang w:val="es-ES_tradnl"/>
              </w:rPr>
            </w:pPr>
          </w:p>
        </w:tc>
        <w:tc>
          <w:tcPr>
            <w:tcW w:w="1276" w:type="dxa"/>
            <w:tcBorders>
              <w:top w:val="single" w:sz="4" w:space="0" w:color="auto"/>
              <w:bottom w:val="single" w:sz="4" w:space="0" w:color="auto"/>
            </w:tcBorders>
            <w:shd w:val="clear" w:color="auto" w:fill="D9D9D9" w:themeFill="background1" w:themeFillShade="D9"/>
          </w:tcPr>
          <w:p w:rsidR="005918B4" w:rsidRPr="00F237BB" w:rsidRDefault="005918B4" w:rsidP="006752B3">
            <w:pPr>
              <w:jc w:val="center"/>
              <w:rPr>
                <w:rFonts w:ascii="Arial" w:hAnsi="Arial" w:cs="Arial"/>
                <w:b/>
                <w:lang w:val="es-ES_tradnl"/>
              </w:rPr>
            </w:pPr>
            <w:r w:rsidRPr="00F237BB">
              <w:rPr>
                <w:rFonts w:ascii="Arial" w:hAnsi="Arial" w:cs="Arial"/>
                <w:b/>
                <w:lang w:val="es-ES_tradnl"/>
              </w:rPr>
              <w:t>DNPM</w:t>
            </w:r>
          </w:p>
        </w:tc>
        <w:tc>
          <w:tcPr>
            <w:tcW w:w="1418" w:type="dxa"/>
            <w:tcBorders>
              <w:top w:val="single" w:sz="4" w:space="0" w:color="auto"/>
              <w:bottom w:val="single" w:sz="4" w:space="0" w:color="auto"/>
            </w:tcBorders>
            <w:shd w:val="clear" w:color="auto" w:fill="D9D9D9" w:themeFill="background1" w:themeFillShade="D9"/>
          </w:tcPr>
          <w:p w:rsidR="005918B4" w:rsidRPr="00F237BB" w:rsidRDefault="005918B4" w:rsidP="006752B3">
            <w:pPr>
              <w:jc w:val="center"/>
              <w:rPr>
                <w:rFonts w:ascii="Arial" w:hAnsi="Arial" w:cs="Arial"/>
                <w:b/>
                <w:lang w:val="es-ES_tradnl"/>
              </w:rPr>
            </w:pPr>
            <w:r w:rsidRPr="00F237BB">
              <w:rPr>
                <w:rFonts w:ascii="Arial" w:hAnsi="Arial" w:cs="Arial"/>
                <w:b/>
                <w:lang w:val="es-ES_tradnl"/>
              </w:rPr>
              <w:t>DNPR</w:t>
            </w:r>
          </w:p>
        </w:tc>
      </w:tr>
      <w:tr w:rsidR="005918B4" w:rsidRPr="00F237BB" w:rsidTr="00C60E00">
        <w:trPr>
          <w:cantSplit/>
          <w:tblHeader/>
        </w:trPr>
        <w:tc>
          <w:tcPr>
            <w:tcW w:w="4536" w:type="dxa"/>
            <w:tcBorders>
              <w:top w:val="single" w:sz="4" w:space="0" w:color="auto"/>
            </w:tcBorders>
            <w:shd w:val="clear" w:color="auto" w:fill="auto"/>
          </w:tcPr>
          <w:p w:rsidR="005918B4" w:rsidRPr="00F237BB" w:rsidRDefault="005918B4" w:rsidP="002D2C0C">
            <w:pPr>
              <w:pStyle w:val="ListParagraph"/>
              <w:numPr>
                <w:ilvl w:val="0"/>
                <w:numId w:val="35"/>
              </w:numPr>
              <w:jc w:val="left"/>
              <w:rPr>
                <w:rFonts w:ascii="Arial" w:hAnsi="Arial" w:cs="Arial"/>
                <w:lang w:val="es-ES_tradnl"/>
              </w:rPr>
            </w:pPr>
            <w:r w:rsidRPr="00F237BB">
              <w:rPr>
                <w:rFonts w:ascii="Arial" w:hAnsi="Arial" w:cs="Arial"/>
                <w:lang w:val="es-ES_tradnl"/>
              </w:rPr>
              <w:t>Mecanismos de coordinación formalmente establecidos</w:t>
            </w:r>
          </w:p>
        </w:tc>
        <w:tc>
          <w:tcPr>
            <w:tcW w:w="1276" w:type="dxa"/>
            <w:tcBorders>
              <w:top w:val="single" w:sz="4" w:space="0" w:color="auto"/>
            </w:tcBorders>
            <w:shd w:val="clear" w:color="auto" w:fill="auto"/>
          </w:tcPr>
          <w:p w:rsidR="005918B4" w:rsidRPr="00F237BB" w:rsidRDefault="005918B4" w:rsidP="006752B3">
            <w:pPr>
              <w:tabs>
                <w:tab w:val="center" w:pos="4252"/>
                <w:tab w:val="right" w:pos="8504"/>
              </w:tabs>
              <w:jc w:val="center"/>
              <w:rPr>
                <w:rFonts w:ascii="Arial" w:hAnsi="Arial" w:cs="Arial"/>
                <w:lang w:val="es-ES_tradnl"/>
              </w:rPr>
            </w:pPr>
            <w:r w:rsidRPr="00F237BB">
              <w:rPr>
                <w:rFonts w:ascii="Arial" w:hAnsi="Arial" w:cs="Arial"/>
                <w:lang w:val="es-ES_tradnl"/>
              </w:rPr>
              <w:t>NA</w:t>
            </w:r>
          </w:p>
        </w:tc>
        <w:tc>
          <w:tcPr>
            <w:tcW w:w="1418" w:type="dxa"/>
            <w:tcBorders>
              <w:top w:val="single" w:sz="4" w:space="0" w:color="auto"/>
            </w:tcBorders>
            <w:shd w:val="clear" w:color="auto" w:fill="auto"/>
          </w:tcPr>
          <w:p w:rsidR="005918B4" w:rsidRPr="00F237BB" w:rsidRDefault="005918B4" w:rsidP="00236E66">
            <w:pPr>
              <w:tabs>
                <w:tab w:val="center" w:pos="4252"/>
                <w:tab w:val="right" w:pos="8504"/>
              </w:tabs>
              <w:jc w:val="center"/>
              <w:rPr>
                <w:rFonts w:ascii="Arial" w:hAnsi="Arial" w:cs="Arial"/>
                <w:lang w:val="es-ES_tradnl"/>
              </w:rPr>
            </w:pPr>
            <w:r w:rsidRPr="00F237BB">
              <w:rPr>
                <w:rFonts w:ascii="Arial" w:hAnsi="Arial" w:cs="Arial"/>
                <w:lang w:val="es-ES_tradnl"/>
              </w:rPr>
              <w:t>NO</w:t>
            </w:r>
          </w:p>
        </w:tc>
      </w:tr>
      <w:tr w:rsidR="005918B4" w:rsidRPr="00F237BB" w:rsidTr="00C60E00">
        <w:trPr>
          <w:cantSplit/>
          <w:tblHeader/>
        </w:trPr>
        <w:tc>
          <w:tcPr>
            <w:tcW w:w="4536" w:type="dxa"/>
            <w:shd w:val="clear" w:color="auto" w:fill="auto"/>
          </w:tcPr>
          <w:p w:rsidR="005918B4" w:rsidRPr="00F237BB" w:rsidRDefault="005918B4" w:rsidP="0043405F">
            <w:pPr>
              <w:pStyle w:val="ListParagraph"/>
              <w:numPr>
                <w:ilvl w:val="0"/>
                <w:numId w:val="35"/>
              </w:numPr>
              <w:jc w:val="left"/>
              <w:rPr>
                <w:rFonts w:ascii="Arial" w:hAnsi="Arial" w:cs="Arial"/>
                <w:lang w:val="es-ES_tradnl"/>
              </w:rPr>
            </w:pPr>
            <w:r w:rsidRPr="00F237BB">
              <w:rPr>
                <w:rFonts w:ascii="Arial" w:hAnsi="Arial" w:cs="Arial"/>
                <w:lang w:val="es-ES_tradnl"/>
              </w:rPr>
              <w:t>Existencia de una descripción de las atribuciones y funciones de la unidad</w:t>
            </w:r>
          </w:p>
        </w:tc>
        <w:tc>
          <w:tcPr>
            <w:tcW w:w="1276" w:type="dxa"/>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SI</w:t>
            </w:r>
          </w:p>
        </w:tc>
        <w:tc>
          <w:tcPr>
            <w:tcW w:w="1418" w:type="dxa"/>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SI</w:t>
            </w:r>
          </w:p>
        </w:tc>
      </w:tr>
      <w:tr w:rsidR="005918B4" w:rsidRPr="00F237BB" w:rsidTr="00C60E00">
        <w:trPr>
          <w:cantSplit/>
          <w:tblHeader/>
        </w:trPr>
        <w:tc>
          <w:tcPr>
            <w:tcW w:w="4536" w:type="dxa"/>
            <w:shd w:val="clear" w:color="auto" w:fill="auto"/>
          </w:tcPr>
          <w:p w:rsidR="005918B4" w:rsidRPr="00F237BB" w:rsidRDefault="005918B4" w:rsidP="002D2C0C">
            <w:pPr>
              <w:pStyle w:val="ListParagraph"/>
              <w:numPr>
                <w:ilvl w:val="0"/>
                <w:numId w:val="35"/>
              </w:numPr>
              <w:jc w:val="left"/>
              <w:rPr>
                <w:rFonts w:ascii="Arial" w:hAnsi="Arial" w:cs="Arial"/>
                <w:lang w:val="es-ES_tradnl"/>
              </w:rPr>
            </w:pPr>
            <w:r w:rsidRPr="00F237BB">
              <w:rPr>
                <w:rFonts w:ascii="Arial" w:hAnsi="Arial" w:cs="Arial"/>
                <w:lang w:val="es-ES_tradnl"/>
              </w:rPr>
              <w:t>Procedimientos identificados (manual)</w:t>
            </w:r>
          </w:p>
        </w:tc>
        <w:tc>
          <w:tcPr>
            <w:tcW w:w="1276" w:type="dxa"/>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NO</w:t>
            </w:r>
          </w:p>
        </w:tc>
        <w:tc>
          <w:tcPr>
            <w:tcW w:w="1418" w:type="dxa"/>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NO</w:t>
            </w:r>
          </w:p>
        </w:tc>
      </w:tr>
      <w:tr w:rsidR="005918B4" w:rsidRPr="00F237BB" w:rsidTr="00C60E00">
        <w:trPr>
          <w:cantSplit/>
          <w:tblHeader/>
        </w:trPr>
        <w:tc>
          <w:tcPr>
            <w:tcW w:w="4536" w:type="dxa"/>
            <w:tcBorders>
              <w:bottom w:val="single" w:sz="4" w:space="0" w:color="auto"/>
            </w:tcBorders>
            <w:shd w:val="clear" w:color="auto" w:fill="auto"/>
          </w:tcPr>
          <w:p w:rsidR="005918B4" w:rsidRPr="00F237BB" w:rsidRDefault="005918B4" w:rsidP="002D2C0C">
            <w:pPr>
              <w:pStyle w:val="ListParagraph"/>
              <w:numPr>
                <w:ilvl w:val="0"/>
                <w:numId w:val="35"/>
              </w:numPr>
              <w:jc w:val="left"/>
              <w:rPr>
                <w:rFonts w:ascii="Arial" w:hAnsi="Arial" w:cs="Arial"/>
                <w:lang w:val="es-ES_tradnl"/>
              </w:rPr>
            </w:pPr>
            <w:r w:rsidRPr="00F237BB">
              <w:rPr>
                <w:rFonts w:ascii="Arial" w:hAnsi="Arial" w:cs="Arial"/>
                <w:lang w:val="es-ES_tradnl"/>
              </w:rPr>
              <w:t>Sistemas de seguimiento/control de desempeño distinto a auditoría</w:t>
            </w:r>
          </w:p>
        </w:tc>
        <w:tc>
          <w:tcPr>
            <w:tcW w:w="1276" w:type="dxa"/>
            <w:tcBorders>
              <w:bottom w:val="single" w:sz="4" w:space="0" w:color="auto"/>
            </w:tcBorders>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NO</w:t>
            </w:r>
          </w:p>
        </w:tc>
        <w:tc>
          <w:tcPr>
            <w:tcW w:w="1418" w:type="dxa"/>
            <w:tcBorders>
              <w:bottom w:val="single" w:sz="4" w:space="0" w:color="auto"/>
            </w:tcBorders>
            <w:shd w:val="clear" w:color="auto" w:fill="auto"/>
          </w:tcPr>
          <w:p w:rsidR="005918B4" w:rsidRPr="00F237BB" w:rsidRDefault="005918B4" w:rsidP="00236E66">
            <w:pPr>
              <w:jc w:val="center"/>
              <w:rPr>
                <w:rFonts w:ascii="Arial" w:hAnsi="Arial" w:cs="Arial"/>
                <w:lang w:val="es-ES_tradnl"/>
              </w:rPr>
            </w:pPr>
            <w:r w:rsidRPr="00F237BB">
              <w:rPr>
                <w:rFonts w:ascii="Arial" w:hAnsi="Arial" w:cs="Arial"/>
                <w:lang w:val="es-ES_tradnl"/>
              </w:rPr>
              <w:t>NO</w:t>
            </w:r>
          </w:p>
        </w:tc>
      </w:tr>
    </w:tbl>
    <w:p w:rsidR="008A3659" w:rsidRPr="00F237BB" w:rsidRDefault="008A3659" w:rsidP="008A3659">
      <w:pPr>
        <w:ind w:left="737"/>
        <w:rPr>
          <w:rFonts w:ascii="Arial" w:hAnsi="Arial" w:cs="Arial"/>
          <w:lang w:val="es-ES_tradnl"/>
        </w:rPr>
      </w:pPr>
      <w:r w:rsidRPr="00F237BB">
        <w:rPr>
          <w:rFonts w:ascii="Arial" w:hAnsi="Arial" w:cs="Arial"/>
          <w:lang w:val="es-ES_tradnl"/>
        </w:rPr>
        <w:t>NA: No aplica. Fuente: Ficha a directores</w:t>
      </w:r>
      <w:r w:rsidR="006A7302" w:rsidRPr="00F237BB">
        <w:rPr>
          <w:rStyle w:val="FootnoteReference"/>
          <w:rFonts w:ascii="Arial" w:hAnsi="Arial" w:cs="Arial"/>
          <w:sz w:val="22"/>
          <w:lang w:val="es-ES_tradnl"/>
        </w:rPr>
        <w:footnoteReference w:id="25"/>
      </w:r>
      <w:r w:rsidRPr="00F237BB">
        <w:rPr>
          <w:rFonts w:ascii="Arial" w:hAnsi="Arial" w:cs="Arial"/>
          <w:lang w:val="es-ES_tradnl"/>
        </w:rPr>
        <w:t>.</w:t>
      </w:r>
    </w:p>
    <w:p w:rsidR="00921317" w:rsidRPr="00F237BB" w:rsidRDefault="00921317" w:rsidP="00757D15">
      <w:pPr>
        <w:rPr>
          <w:rFonts w:ascii="Arial" w:hAnsi="Arial" w:cs="Arial"/>
          <w:lang w:val="es-ES_tradnl"/>
        </w:rPr>
      </w:pPr>
    </w:p>
    <w:p w:rsidR="008D7054" w:rsidRPr="00F237BB" w:rsidRDefault="008D7054" w:rsidP="008D7054">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La coordinación externa, como es sabido, debe fundarse en mecanismos internos del organismo que requiere dicha coordinación que permitan identificar las necesidades y momentos de coordinación a partir de la identificación de: i) los procesos de trabajo (para saber en qué punto específico requieren de coordinación), y ii) del control del desempeño de la organización en el seguimiento de dichos procesos y la generación de productos. En otras palabras: la debilidades relativas a la claridad que una organización tiene respecto a sus procesos de trabajo y al desempeño de los mismos, dificulta enormemente las posibilidades de coordinación tanto interna como – la que aquí interesa – externa. Al respecto, los tres restantes indicadores incluidos en el cuadro </w:t>
      </w:r>
      <w:r w:rsidR="00674481" w:rsidRPr="00F237BB">
        <w:rPr>
          <w:rFonts w:ascii="Arial" w:hAnsi="Arial" w:cs="Arial"/>
          <w:lang w:val="es-ES_tradnl"/>
        </w:rPr>
        <w:t xml:space="preserve">18 </w:t>
      </w:r>
      <w:r w:rsidRPr="00F237BB">
        <w:rPr>
          <w:rFonts w:ascii="Arial" w:hAnsi="Arial" w:cs="Arial"/>
          <w:lang w:val="es-ES_tradnl"/>
        </w:rPr>
        <w:t xml:space="preserve">muestran que si bien se cuenta con una identificación clara de las atribuciones y funciones de las </w:t>
      </w:r>
      <w:r w:rsidR="00674481" w:rsidRPr="00F237BB">
        <w:rPr>
          <w:rFonts w:ascii="Arial" w:hAnsi="Arial" w:cs="Arial"/>
          <w:lang w:val="es-ES_tradnl"/>
        </w:rPr>
        <w:t>dos direcciones nacionales</w:t>
      </w:r>
      <w:r w:rsidRPr="00F237BB">
        <w:rPr>
          <w:rFonts w:ascii="Arial" w:hAnsi="Arial" w:cs="Arial"/>
          <w:lang w:val="es-ES_tradnl"/>
        </w:rPr>
        <w:t xml:space="preserve">, no se cuenta en todos los casos con una clara identificación de los procedimientos de trabajo ni con mecanismos de seguimiento del desempeño (distintos a los de auditoría). Esta situación dificulta la coordinación tanto interna como externa. </w:t>
      </w:r>
    </w:p>
    <w:p w:rsidR="008D7054" w:rsidRPr="00F237BB" w:rsidRDefault="008D7054" w:rsidP="008D7054">
      <w:pPr>
        <w:rPr>
          <w:rFonts w:ascii="Arial" w:hAnsi="Arial" w:cs="Arial"/>
          <w:lang w:val="es-ES_tradnl"/>
        </w:rPr>
      </w:pPr>
    </w:p>
    <w:p w:rsidR="007B5925" w:rsidRPr="00F237BB" w:rsidRDefault="007B5925" w:rsidP="007B5925">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La falta de mecanismos de coordinación, de procedimientos de trabajo y de seguimiento del desempeño es aún más decisiva en el nuevo contexto institucional del </w:t>
      </w:r>
      <w:proofErr w:type="spellStart"/>
      <w:r w:rsidR="00F86B3F" w:rsidRPr="00F237BB">
        <w:rPr>
          <w:rFonts w:ascii="Arial" w:hAnsi="Arial" w:cs="Arial"/>
          <w:lang w:val="es-ES_tradnl"/>
        </w:rPr>
        <w:t>MH</w:t>
      </w:r>
      <w:r w:rsidR="00DA141A"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en el que, como se señaló en la sección </w:t>
      </w:r>
      <w:r w:rsidR="008F5B03" w:rsidRPr="00F237BB">
        <w:rPr>
          <w:rFonts w:ascii="Arial" w:hAnsi="Arial" w:cs="Arial"/>
          <w:lang w:val="es-ES_tradnl"/>
        </w:rPr>
        <w:fldChar w:fldCharType="begin"/>
      </w:r>
      <w:r w:rsidRPr="00F237BB">
        <w:rPr>
          <w:rFonts w:ascii="Arial" w:hAnsi="Arial" w:cs="Arial"/>
          <w:lang w:val="es-ES_tradnl"/>
        </w:rPr>
        <w:instrText xml:space="preserve"> REF _Ref290227029 \r \h </w:instrText>
      </w:r>
      <w:r w:rsidR="00F237BB" w:rsidRPr="00F237BB">
        <w:rPr>
          <w:rFonts w:ascii="Arial" w:hAnsi="Arial" w:cs="Arial"/>
          <w:lang w:val="es-ES_tradnl"/>
        </w:rPr>
        <w:instrText xml:space="preserve"> \* MERGEFORMAT </w:instrText>
      </w:r>
      <w:r w:rsidR="008F5B03" w:rsidRPr="00F237BB">
        <w:rPr>
          <w:rFonts w:ascii="Arial" w:hAnsi="Arial" w:cs="Arial"/>
          <w:lang w:val="es-ES_tradnl"/>
        </w:rPr>
      </w:r>
      <w:r w:rsidR="008F5B03" w:rsidRPr="00F237BB">
        <w:rPr>
          <w:rFonts w:ascii="Arial" w:hAnsi="Arial" w:cs="Arial"/>
          <w:lang w:val="es-ES_tradnl"/>
        </w:rPr>
        <w:fldChar w:fldCharType="separate"/>
      </w:r>
      <w:r w:rsidR="00402DF3" w:rsidRPr="00F237BB">
        <w:rPr>
          <w:rFonts w:ascii="Arial" w:hAnsi="Arial" w:cs="Arial"/>
          <w:lang w:val="es-ES_tradnl"/>
        </w:rPr>
        <w:t>2.1</w:t>
      </w:r>
      <w:r w:rsidR="008F5B03" w:rsidRPr="00F237BB">
        <w:rPr>
          <w:rFonts w:ascii="Arial" w:hAnsi="Arial" w:cs="Arial"/>
          <w:lang w:val="es-ES_tradnl"/>
        </w:rPr>
        <w:fldChar w:fldCharType="end"/>
      </w:r>
      <w:r w:rsidRPr="00F237BB">
        <w:rPr>
          <w:rFonts w:ascii="Arial" w:hAnsi="Arial" w:cs="Arial"/>
          <w:lang w:val="es-ES_tradnl"/>
        </w:rPr>
        <w:t xml:space="preserve">, ya no cuenta con toda la parte productiva, lo que facilitaba las tareas de coordinación con menores costos de transacción. </w:t>
      </w:r>
    </w:p>
    <w:p w:rsidR="007B5925" w:rsidRPr="00F237BB" w:rsidRDefault="007B5925" w:rsidP="00757D15">
      <w:pPr>
        <w:rPr>
          <w:rFonts w:ascii="Arial" w:hAnsi="Arial" w:cs="Arial"/>
          <w:lang w:val="es-ES_tradnl"/>
        </w:rPr>
      </w:pPr>
    </w:p>
    <w:p w:rsidR="0087168B" w:rsidRPr="00F237BB" w:rsidRDefault="0087168B" w:rsidP="00D04EC0">
      <w:pPr>
        <w:rPr>
          <w:rFonts w:ascii="Arial" w:hAnsi="Arial" w:cs="Arial"/>
          <w:lang w:val="es-ES_tradnl"/>
        </w:rPr>
      </w:pPr>
    </w:p>
    <w:p w:rsidR="0087168B" w:rsidRPr="00F237BB" w:rsidRDefault="00082E94" w:rsidP="00E71E72">
      <w:pPr>
        <w:pStyle w:val="Heading1"/>
        <w:rPr>
          <w:rFonts w:ascii="Arial" w:hAnsi="Arial" w:cs="Arial"/>
          <w:sz w:val="22"/>
          <w:szCs w:val="22"/>
        </w:rPr>
      </w:pPr>
      <w:bookmarkStart w:id="18" w:name="_Toc458521470"/>
      <w:r w:rsidRPr="00F237BB">
        <w:rPr>
          <w:rFonts w:ascii="Arial" w:hAnsi="Arial" w:cs="Arial"/>
          <w:sz w:val="22"/>
          <w:szCs w:val="22"/>
        </w:rPr>
        <w:t>Relaciones entre factores y problemas</w:t>
      </w:r>
      <w:bookmarkEnd w:id="18"/>
    </w:p>
    <w:p w:rsidR="008D7054" w:rsidRPr="00F237BB" w:rsidRDefault="00082E94" w:rsidP="0087168B">
      <w:pPr>
        <w:pStyle w:val="ListParagraph"/>
        <w:numPr>
          <w:ilvl w:val="0"/>
          <w:numId w:val="14"/>
        </w:numPr>
        <w:ind w:left="567" w:hanging="567"/>
        <w:rPr>
          <w:rFonts w:ascii="Arial" w:hAnsi="Arial" w:cs="Arial"/>
          <w:lang w:val="es-ES_tradnl"/>
        </w:rPr>
      </w:pPr>
      <w:r w:rsidRPr="00F237BB">
        <w:rPr>
          <w:rFonts w:ascii="Arial" w:hAnsi="Arial" w:cs="Arial"/>
          <w:lang w:val="es-ES_tradnl"/>
        </w:rPr>
        <w:t xml:space="preserve">El diagrama adjunto resume el modelo causal utilizado en la estructuración de este documento, a partir de la realización de un ejercicio de construcción del “árbol de </w:t>
      </w:r>
      <w:r w:rsidRPr="00F237BB">
        <w:rPr>
          <w:rFonts w:ascii="Arial" w:hAnsi="Arial" w:cs="Arial"/>
          <w:lang w:val="es-ES_tradnl"/>
        </w:rPr>
        <w:lastRenderedPageBreak/>
        <w:t xml:space="preserve">problemas” entre el equipo de proyecto y directivos y funcionarios del </w:t>
      </w:r>
      <w:proofErr w:type="spellStart"/>
      <w:r w:rsidR="00F86B3F" w:rsidRPr="00F237BB">
        <w:rPr>
          <w:rFonts w:ascii="Arial" w:hAnsi="Arial" w:cs="Arial"/>
          <w:lang w:val="es-ES_tradnl"/>
        </w:rPr>
        <w:t>MH</w:t>
      </w:r>
      <w:r w:rsidR="00DA141A" w:rsidRPr="00F237BB">
        <w:rPr>
          <w:rFonts w:ascii="Arial" w:hAnsi="Arial" w:cs="Arial"/>
          <w:lang w:val="es-ES_tradnl"/>
        </w:rPr>
        <w:t>y</w:t>
      </w:r>
      <w:r w:rsidR="00F86B3F" w:rsidRPr="00F237BB">
        <w:rPr>
          <w:rFonts w:ascii="Arial" w:hAnsi="Arial" w:cs="Arial"/>
          <w:lang w:val="es-ES_tradnl"/>
        </w:rPr>
        <w:t>FP</w:t>
      </w:r>
      <w:proofErr w:type="spellEnd"/>
      <w:r w:rsidRPr="00F237BB">
        <w:rPr>
          <w:rFonts w:ascii="Arial" w:hAnsi="Arial" w:cs="Arial"/>
          <w:lang w:val="es-ES_tradnl"/>
        </w:rPr>
        <w:t xml:space="preserve">. </w:t>
      </w:r>
      <w:r w:rsidR="00163374" w:rsidRPr="00F237BB">
        <w:rPr>
          <w:rFonts w:ascii="Arial" w:hAnsi="Arial" w:cs="Arial"/>
          <w:lang w:val="es-ES_tradnl"/>
        </w:rPr>
        <w:t xml:space="preserve">Este </w:t>
      </w:r>
      <w:r w:rsidR="00EF7700" w:rsidRPr="00F237BB">
        <w:rPr>
          <w:rFonts w:ascii="Arial" w:hAnsi="Arial" w:cs="Arial"/>
          <w:lang w:val="es-ES_tradnl"/>
        </w:rPr>
        <w:t>modelo permitirá</w:t>
      </w:r>
      <w:r w:rsidRPr="00F237BB">
        <w:rPr>
          <w:rFonts w:ascii="Arial" w:hAnsi="Arial" w:cs="Arial"/>
          <w:lang w:val="es-ES_tradnl"/>
        </w:rPr>
        <w:t xml:space="preserve"> el adecuado diseño lógico del Programa, identificando con claridad los resultados, productos y actividades del mismo.</w:t>
      </w:r>
      <w:r w:rsidR="00163374" w:rsidRPr="00F237BB">
        <w:rPr>
          <w:rFonts w:ascii="Arial" w:hAnsi="Arial" w:cs="Arial"/>
          <w:lang w:val="es-ES_tradnl"/>
        </w:rPr>
        <w:t xml:space="preserve"> </w:t>
      </w:r>
    </w:p>
    <w:p w:rsidR="008D7054" w:rsidRPr="00F237BB" w:rsidRDefault="008D7054" w:rsidP="008D7054">
      <w:pPr>
        <w:rPr>
          <w:rFonts w:ascii="Arial" w:hAnsi="Arial" w:cs="Arial"/>
          <w:lang w:val="es-ES_tradnl"/>
        </w:rPr>
      </w:pPr>
    </w:p>
    <w:p w:rsidR="008D7054" w:rsidRPr="00F237BB" w:rsidRDefault="004D6FB1" w:rsidP="00425B95">
      <w:pPr>
        <w:ind w:right="757"/>
        <w:jc w:val="right"/>
        <w:rPr>
          <w:rFonts w:ascii="Arial" w:hAnsi="Arial" w:cs="Arial"/>
          <w:lang w:val="es-ES_tradnl"/>
        </w:rPr>
      </w:pPr>
      <w:r w:rsidRPr="00F237BB">
        <w:rPr>
          <w:rFonts w:ascii="Arial" w:hAnsi="Arial" w:cs="Arial"/>
          <w:noProof/>
          <w:lang w:val="en-US" w:eastAsia="en-US"/>
        </w:rPr>
        <w:drawing>
          <wp:inline distT="0" distB="0" distL="0" distR="0" wp14:anchorId="57BA7B23" wp14:editId="2812CA7A">
            <wp:extent cx="5324475" cy="3982263"/>
            <wp:effectExtent l="19050" t="19050" r="9525" b="184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26032" cy="3983428"/>
                    </a:xfrm>
                    <a:prstGeom prst="rect">
                      <a:avLst/>
                    </a:prstGeom>
                    <a:noFill/>
                    <a:ln w="12700">
                      <a:solidFill>
                        <a:schemeClr val="tx1"/>
                      </a:solidFill>
                    </a:ln>
                  </pic:spPr>
                </pic:pic>
              </a:graphicData>
            </a:graphic>
          </wp:inline>
        </w:drawing>
      </w:r>
    </w:p>
    <w:p w:rsidR="008D7054" w:rsidRPr="00F237BB" w:rsidRDefault="008D7054" w:rsidP="008D7054">
      <w:pPr>
        <w:pStyle w:val="ListParagraph"/>
        <w:ind w:left="567"/>
        <w:rPr>
          <w:rFonts w:ascii="Arial" w:hAnsi="Arial" w:cs="Arial"/>
          <w:lang w:val="es-ES_tradnl"/>
        </w:rPr>
      </w:pPr>
    </w:p>
    <w:p w:rsidR="008D7054" w:rsidRPr="00F237BB" w:rsidRDefault="008D7054" w:rsidP="008D7054">
      <w:pPr>
        <w:pStyle w:val="ListParagraph"/>
        <w:numPr>
          <w:ilvl w:val="0"/>
          <w:numId w:val="14"/>
        </w:numPr>
        <w:ind w:left="567" w:hanging="567"/>
        <w:rPr>
          <w:rFonts w:ascii="Arial" w:hAnsi="Arial" w:cs="Arial"/>
          <w:lang w:val="es-ES_tradnl"/>
        </w:rPr>
      </w:pPr>
      <w:r w:rsidRPr="00F237BB">
        <w:rPr>
          <w:rFonts w:ascii="Arial" w:hAnsi="Arial" w:cs="Arial"/>
          <w:lang w:val="es-ES_tradnl"/>
        </w:rPr>
        <w:t>De la revisión efectuada a los factores causales puede desprenderse como conclusión que los problemas detectados recorren de manera transversal aspectos cruciales de la gestión del ciclo de políticas. Estos problemas están relacionados con la gestión del conocimiento, con la gestión de la información y con los mecanismos de coordinación, lo que a su vez está afectando en una limitada capacidad para la elaboración y coordinación de políticas económicas estratégicas y sectoriales de mediano y largo plazo.</w:t>
      </w:r>
      <w:r w:rsidRPr="00F237BB">
        <w:rPr>
          <w:rStyle w:val="FootnoteReference"/>
          <w:rFonts w:ascii="Arial" w:hAnsi="Arial" w:cs="Arial"/>
          <w:sz w:val="22"/>
          <w:lang w:val="es-ES_tradnl"/>
        </w:rPr>
        <w:footnoteReference w:id="26"/>
      </w:r>
      <w:r w:rsidRPr="00F237BB">
        <w:rPr>
          <w:rFonts w:ascii="Arial" w:hAnsi="Arial" w:cs="Arial"/>
          <w:lang w:val="es-ES_tradnl"/>
        </w:rPr>
        <w:t>.</w:t>
      </w:r>
    </w:p>
    <w:p w:rsidR="008D7054" w:rsidRPr="00F237BB" w:rsidRDefault="008D7054" w:rsidP="008D7054">
      <w:pPr>
        <w:rPr>
          <w:rFonts w:ascii="Arial" w:hAnsi="Arial" w:cs="Arial"/>
          <w:lang w:val="es-ES_tradnl"/>
        </w:rPr>
      </w:pPr>
    </w:p>
    <w:p w:rsidR="008D7054" w:rsidRPr="00F237BB" w:rsidRDefault="008D7054" w:rsidP="008D7054">
      <w:pPr>
        <w:pStyle w:val="ListParagraph"/>
        <w:numPr>
          <w:ilvl w:val="0"/>
          <w:numId w:val="14"/>
        </w:numPr>
        <w:ind w:left="567" w:hanging="567"/>
        <w:rPr>
          <w:rFonts w:ascii="Arial" w:hAnsi="Arial" w:cs="Arial"/>
        </w:rPr>
      </w:pPr>
      <w:r w:rsidRPr="00F237BB">
        <w:rPr>
          <w:rFonts w:ascii="Arial" w:hAnsi="Arial" w:cs="Arial"/>
        </w:rPr>
        <w:t xml:space="preserve">El </w:t>
      </w:r>
      <w:r w:rsidRPr="00F237BB">
        <w:rPr>
          <w:rFonts w:ascii="Arial" w:hAnsi="Arial" w:cs="Arial"/>
          <w:b/>
        </w:rPr>
        <w:t>efecto</w:t>
      </w:r>
      <w:r w:rsidRPr="00F237BB">
        <w:rPr>
          <w:rFonts w:ascii="Arial" w:hAnsi="Arial" w:cs="Arial"/>
        </w:rPr>
        <w:t xml:space="preserve"> (negativo) de todo ello es que el conjunto de los actores institucionales, tanto en el nivel ejecutivo nacional como en las agencias públicas y en los niveles </w:t>
      </w:r>
      <w:proofErr w:type="spellStart"/>
      <w:r w:rsidRPr="00F237BB">
        <w:rPr>
          <w:rFonts w:ascii="Arial" w:hAnsi="Arial" w:cs="Arial"/>
        </w:rPr>
        <w:t>subnacionales</w:t>
      </w:r>
      <w:proofErr w:type="spellEnd"/>
      <w:r w:rsidRPr="00F237BB">
        <w:rPr>
          <w:rFonts w:ascii="Arial" w:hAnsi="Arial" w:cs="Arial"/>
        </w:rPr>
        <w:t xml:space="preserve"> (provincias, municipios, etc.) no incorporan en sus planes y programas de mediano y largo plazo las prioridades y los supuestos de la política económica. </w:t>
      </w:r>
    </w:p>
    <w:p w:rsidR="008D7054" w:rsidRPr="00F237BB" w:rsidRDefault="008D7054" w:rsidP="008D7054">
      <w:pPr>
        <w:rPr>
          <w:rFonts w:ascii="Arial" w:hAnsi="Arial" w:cs="Arial"/>
        </w:rPr>
      </w:pPr>
    </w:p>
    <w:p w:rsidR="00EF7700" w:rsidRPr="00F237BB" w:rsidRDefault="00EF7700" w:rsidP="00D04EC0">
      <w:pPr>
        <w:rPr>
          <w:rFonts w:ascii="Arial" w:hAnsi="Arial" w:cs="Arial"/>
        </w:rPr>
      </w:pPr>
    </w:p>
    <w:p w:rsidR="0002543E" w:rsidRPr="00F237BB" w:rsidRDefault="0002543E" w:rsidP="00D04EC0">
      <w:pPr>
        <w:rPr>
          <w:rFonts w:ascii="Arial" w:hAnsi="Arial" w:cs="Arial"/>
        </w:rPr>
        <w:sectPr w:rsidR="0002543E" w:rsidRPr="00F237BB" w:rsidSect="00EA29A1">
          <w:footerReference w:type="default" r:id="rId14"/>
          <w:pgSz w:w="12240" w:h="15840" w:code="1"/>
          <w:pgMar w:top="1418" w:right="1325" w:bottom="1418" w:left="1418" w:header="709" w:footer="843" w:gutter="0"/>
          <w:cols w:space="708"/>
          <w:docGrid w:linePitch="360"/>
        </w:sectPr>
      </w:pPr>
    </w:p>
    <w:p w:rsidR="004B7859" w:rsidRPr="00F237BB" w:rsidRDefault="004B7859" w:rsidP="00D04EC0">
      <w:pPr>
        <w:rPr>
          <w:rFonts w:ascii="Arial" w:hAnsi="Arial" w:cs="Arial"/>
        </w:rPr>
      </w:pPr>
    </w:p>
    <w:p w:rsidR="00FD1C13" w:rsidRPr="00F237BB" w:rsidRDefault="00FD1C13"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C83C85">
      <w:pPr>
        <w:tabs>
          <w:tab w:val="left" w:pos="1005"/>
        </w:tabs>
        <w:rPr>
          <w:rFonts w:ascii="Arial" w:hAnsi="Arial" w:cs="Arial"/>
        </w:rPr>
      </w:pPr>
    </w:p>
    <w:p w:rsidR="00C83C85" w:rsidRPr="00F237BB" w:rsidRDefault="00C83C85"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02543E" w:rsidRPr="00F237BB" w:rsidRDefault="0002543E" w:rsidP="00D04EC0">
      <w:pPr>
        <w:rPr>
          <w:rFonts w:ascii="Arial" w:hAnsi="Arial" w:cs="Arial"/>
        </w:rPr>
      </w:pPr>
    </w:p>
    <w:p w:rsidR="00DA141A" w:rsidRPr="00F237BB" w:rsidRDefault="00DA141A" w:rsidP="00D04EC0">
      <w:pPr>
        <w:rPr>
          <w:rFonts w:ascii="Arial" w:hAnsi="Arial" w:cs="Arial"/>
        </w:rPr>
      </w:pPr>
    </w:p>
    <w:p w:rsidR="00DA141A" w:rsidRPr="00F237BB" w:rsidRDefault="00DA141A" w:rsidP="00D04EC0">
      <w:pPr>
        <w:rPr>
          <w:rFonts w:ascii="Arial" w:hAnsi="Arial" w:cs="Arial"/>
        </w:rPr>
      </w:pPr>
    </w:p>
    <w:p w:rsidR="00DA141A" w:rsidRPr="00F237BB" w:rsidRDefault="00DA141A" w:rsidP="00D04EC0">
      <w:pPr>
        <w:rPr>
          <w:rFonts w:ascii="Arial" w:hAnsi="Arial" w:cs="Arial"/>
        </w:rPr>
      </w:pPr>
    </w:p>
    <w:p w:rsidR="00DA141A" w:rsidRPr="00F237BB" w:rsidRDefault="00DA141A" w:rsidP="00D04EC0">
      <w:pPr>
        <w:rPr>
          <w:rFonts w:ascii="Arial" w:hAnsi="Arial" w:cs="Arial"/>
        </w:rPr>
      </w:pPr>
    </w:p>
    <w:p w:rsidR="00DA141A" w:rsidRPr="00F237BB" w:rsidRDefault="00DA141A" w:rsidP="00D04EC0">
      <w:pPr>
        <w:rPr>
          <w:rFonts w:ascii="Arial" w:hAnsi="Arial" w:cs="Arial"/>
        </w:rPr>
      </w:pPr>
    </w:p>
    <w:p w:rsidR="00DA141A" w:rsidRPr="00F237BB" w:rsidRDefault="00DA141A" w:rsidP="00D04EC0">
      <w:pPr>
        <w:rPr>
          <w:rFonts w:ascii="Arial" w:hAnsi="Arial" w:cs="Arial"/>
        </w:rPr>
      </w:pPr>
    </w:p>
    <w:p w:rsidR="00C83C85" w:rsidRPr="00F237BB" w:rsidRDefault="00C83C85" w:rsidP="00D04EC0">
      <w:pPr>
        <w:rPr>
          <w:rFonts w:ascii="Arial" w:hAnsi="Arial" w:cs="Arial"/>
        </w:rPr>
      </w:pPr>
    </w:p>
    <w:p w:rsidR="00C83C85" w:rsidRPr="00F237BB" w:rsidRDefault="0002543E" w:rsidP="00704EA2">
      <w:pPr>
        <w:shd w:val="clear" w:color="auto" w:fill="D9D9D9" w:themeFill="background1" w:themeFillShade="D9"/>
        <w:spacing w:after="360"/>
        <w:rPr>
          <w:rFonts w:ascii="Arial" w:hAnsi="Arial" w:cs="Arial"/>
          <w:b/>
        </w:rPr>
      </w:pPr>
      <w:r w:rsidRPr="00F237BB">
        <w:rPr>
          <w:rFonts w:ascii="Arial" w:hAnsi="Arial" w:cs="Arial"/>
          <w:b/>
        </w:rPr>
        <w:lastRenderedPageBreak/>
        <w:t>ANEXOS</w:t>
      </w:r>
    </w:p>
    <w:p w:rsidR="00C83C85" w:rsidRPr="00F237BB" w:rsidRDefault="00C83C85" w:rsidP="00D04EC0">
      <w:pPr>
        <w:rPr>
          <w:rFonts w:ascii="Arial" w:hAnsi="Arial" w:cs="Arial"/>
        </w:rPr>
      </w:pPr>
    </w:p>
    <w:p w:rsidR="00C83C85" w:rsidRPr="00F237BB" w:rsidRDefault="00C83C85" w:rsidP="00D04EC0">
      <w:pPr>
        <w:rPr>
          <w:rFonts w:ascii="Arial" w:hAnsi="Arial" w:cs="Arial"/>
        </w:rPr>
      </w:pPr>
    </w:p>
    <w:p w:rsidR="003B40C2" w:rsidRPr="00F237BB" w:rsidRDefault="003B40C2" w:rsidP="004D3CB7">
      <w:pPr>
        <w:pStyle w:val="ListParagraph"/>
        <w:ind w:left="567"/>
        <w:rPr>
          <w:rFonts w:ascii="Arial" w:hAnsi="Arial" w:cs="Arial"/>
        </w:rPr>
      </w:pPr>
    </w:p>
    <w:p w:rsidR="00DD0A45" w:rsidRPr="00F237BB" w:rsidRDefault="00DD0A45" w:rsidP="00D04EC0">
      <w:pPr>
        <w:rPr>
          <w:rFonts w:ascii="Arial" w:hAnsi="Arial" w:cs="Arial"/>
        </w:rPr>
        <w:sectPr w:rsidR="00DD0A45" w:rsidRPr="00F237BB" w:rsidSect="0002543E">
          <w:footerReference w:type="default" r:id="rId15"/>
          <w:pgSz w:w="12240" w:h="15840" w:code="1"/>
          <w:pgMar w:top="1418" w:right="1418" w:bottom="1418" w:left="1418" w:header="709" w:footer="1129" w:gutter="0"/>
          <w:cols w:space="708"/>
          <w:docGrid w:linePitch="360"/>
        </w:sectPr>
      </w:pPr>
    </w:p>
    <w:p w:rsidR="00065772" w:rsidRPr="00F237BB" w:rsidRDefault="00E07A3B" w:rsidP="00C60E00">
      <w:pPr>
        <w:pStyle w:val="Heading1"/>
        <w:numPr>
          <w:ilvl w:val="0"/>
          <w:numId w:val="0"/>
        </w:numPr>
        <w:ind w:left="851" w:hanging="851"/>
        <w:rPr>
          <w:rFonts w:ascii="Arial" w:hAnsi="Arial" w:cs="Arial"/>
          <w:sz w:val="22"/>
          <w:szCs w:val="22"/>
        </w:rPr>
      </w:pPr>
      <w:bookmarkStart w:id="19" w:name="_Toc458521471"/>
      <w:r w:rsidRPr="00F237BB">
        <w:rPr>
          <w:rFonts w:ascii="Arial" w:hAnsi="Arial" w:cs="Arial"/>
          <w:sz w:val="22"/>
          <w:szCs w:val="22"/>
        </w:rPr>
        <w:lastRenderedPageBreak/>
        <w:t xml:space="preserve">Anexo 1. </w:t>
      </w:r>
      <w:r w:rsidR="00DD0A45" w:rsidRPr="00F237BB">
        <w:rPr>
          <w:rFonts w:ascii="Arial" w:hAnsi="Arial" w:cs="Arial"/>
          <w:sz w:val="22"/>
          <w:szCs w:val="22"/>
        </w:rPr>
        <w:t xml:space="preserve">Competencias de la </w:t>
      </w:r>
      <w:r w:rsidR="00217341" w:rsidRPr="00F237BB">
        <w:rPr>
          <w:rFonts w:ascii="Arial" w:hAnsi="Arial" w:cs="Arial"/>
          <w:sz w:val="22"/>
          <w:szCs w:val="22"/>
        </w:rPr>
        <w:t>Secretaría de Política Económica y Planificación del Desarrollo</w:t>
      </w:r>
      <w:r w:rsidR="00DD0A45" w:rsidRPr="00F237BB">
        <w:rPr>
          <w:rFonts w:ascii="Arial" w:hAnsi="Arial" w:cs="Arial"/>
          <w:sz w:val="22"/>
          <w:szCs w:val="22"/>
        </w:rPr>
        <w:t xml:space="preserve"> (Decreto </w:t>
      </w:r>
      <w:r w:rsidR="00DA141A" w:rsidRPr="00F237BB">
        <w:rPr>
          <w:rFonts w:ascii="Arial" w:hAnsi="Arial" w:cs="Arial"/>
          <w:sz w:val="22"/>
          <w:szCs w:val="22"/>
        </w:rPr>
        <w:t>442/2016</w:t>
      </w:r>
      <w:r w:rsidR="00DD0A45" w:rsidRPr="00F237BB">
        <w:rPr>
          <w:rFonts w:ascii="Arial" w:hAnsi="Arial" w:cs="Arial"/>
          <w:sz w:val="22"/>
          <w:szCs w:val="22"/>
        </w:rPr>
        <w:t>)</w:t>
      </w:r>
      <w:bookmarkEnd w:id="19"/>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el diseño, elaboración y propuesta de los lineamientos estratégicos para la programación de la política económica y la planificación del desarrollo.</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el desarrollo e instrumentación de los mecanismos institucionales que aseguren la sistematicidad, coherencia, unidad y organicidad en la toma de decisiones de las diferentes áreas de la jurisdicción ministerial, en lo que es materia de su competencia.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Efectuar la evaluación del impacto económico del cumplimiento de las políticas, planes y programas ejecutados en el ámbito de su competencia, desarrollando criterios e indicadores que permitan un adecuado control estratégico sobre su efectiva instrumentación.</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Articular las relaciones que desde el MINISTERIO DE HACIENDA Y FINANZAS PÚBLICAS se establezcan con otras jurisdicciones del Gobierno Nacional, para establecer la coherencia y fortalecimiento de los lineamientos estratégicos de la política económica.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Entender en la determinación de los objetivos de política económica y elaborar las pautas que orienten al esquema de reestructuración y negociación de los contratos suscritos por el Sector Público Nacional en el ámbito de su competencia.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Ejercer la representación en los grupos y comisiones de trabajo en el ámbito del MERCADO COMÚN DEL SUR (MERCOSUR) y otros espacios económicos integrados, en los temas vinculados con su competencia específica.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el seguimiento sistemático de la coyuntura local y mundial y publicar indicadores e informes periódicos que permitan evaluar el desempeño de la economía.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Programar y coordinar la realización de diagnósticos y seguimiento de los niveles de vida y de pobreza de la población.</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Realizar diagnósticos sobre el empleo y la distribución del ingreso.</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Evaluar el impacto sobre la economía local de los cambios en el contexto internacional.</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Entender en la elaboración de pautas macroeconómicas que sirvan de base para la programación fiscal en el marco de la política económica vigente.</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Entender en la elaboración y propuesta de criterios para la fijación de prioridades en materia de recursos y erogaciones fiscales, todo ello, desde el punto de vista de la finalidad e impacto económico de los mismos.</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Entender en la programación regional y sectorial de la política económica nacional, coordinando su accionar con las jurisdicciones involucradas.</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Diseñar programas de capacitación y asistencia técnica orientados a organismos ejecutores de nivel nacional, provincial, municipal y de la Ciudad Autónoma de Buenos Aires, en el ámbito de su competencia.</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con las jurisdicciones del ESTADO NACIONAL con competencia en la materia las acciones a fin de establecer los lineamientos para el desarrollo de largo plazo.</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la gestión de los directores que representan al ESTADO NACIONAL en las empresas con participación estatal.</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Coordinar la elaboración, propuesta y seguimiento de estrategias y políticas tendientes a promover el crecimiento económico con inclusión social.</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 xml:space="preserve">Entender, con </w:t>
      </w:r>
      <w:proofErr w:type="gramStart"/>
      <w:r w:rsidRPr="00F237BB">
        <w:rPr>
          <w:rFonts w:ascii="Arial" w:hAnsi="Arial" w:cs="Arial"/>
        </w:rPr>
        <w:t>intervención de la SECRETARÍA DE FINANZAS, en todo lo vinculado con las relaciones y negociaciones con los organismos financieros internacionales de crédito, bilaterales y multilaterales</w:t>
      </w:r>
      <w:proofErr w:type="gramEnd"/>
      <w:r w:rsidRPr="00F237BB">
        <w:rPr>
          <w:rFonts w:ascii="Arial" w:hAnsi="Arial" w:cs="Arial"/>
        </w:rPr>
        <w:t>, para el desarrollo, actualización y mantenimiento de los sistemas de información destinados a optimizar la ejecución de los programas con dichos organismos.</w:t>
      </w:r>
    </w:p>
    <w:p w:rsidR="00A7310A" w:rsidRPr="00F237BB" w:rsidRDefault="00A7310A" w:rsidP="00C60E00">
      <w:pPr>
        <w:pStyle w:val="ListParagraph"/>
        <w:numPr>
          <w:ilvl w:val="0"/>
          <w:numId w:val="52"/>
        </w:numPr>
        <w:rPr>
          <w:rFonts w:ascii="Arial" w:hAnsi="Arial" w:cs="Arial"/>
        </w:rPr>
      </w:pPr>
      <w:r w:rsidRPr="00F237BB">
        <w:rPr>
          <w:rFonts w:ascii="Arial" w:hAnsi="Arial" w:cs="Arial"/>
        </w:rPr>
        <w:t xml:space="preserve">Coordinar, con intervención de la SECRETARÍA DE FINANZAS, la participación del MINISTERIO DE HACIENDA Y FINANZAS PÚBLICAS, en los foros financieros </w:t>
      </w:r>
      <w:r w:rsidRPr="00F237BB">
        <w:rPr>
          <w:rFonts w:ascii="Arial" w:hAnsi="Arial" w:cs="Arial"/>
        </w:rPr>
        <w:lastRenderedPageBreak/>
        <w:t>internacionales y el accionar de los representantes de la REPÚBLICA ARGENTINA en foros y organismos internacionales de crédito.</w:t>
      </w:r>
    </w:p>
    <w:p w:rsidR="00A7310A" w:rsidRPr="00F237BB" w:rsidRDefault="00A7310A" w:rsidP="00C60E00">
      <w:pPr>
        <w:rPr>
          <w:rFonts w:ascii="Arial" w:hAnsi="Arial" w:cs="Arial"/>
        </w:rPr>
      </w:pPr>
    </w:p>
    <w:p w:rsidR="00A7310A" w:rsidRPr="00F237BB" w:rsidRDefault="00A7310A" w:rsidP="00C60E00">
      <w:pPr>
        <w:rPr>
          <w:rFonts w:ascii="Arial" w:hAnsi="Arial" w:cs="Arial"/>
        </w:rPr>
      </w:pPr>
    </w:p>
    <w:p w:rsidR="00F77EEA" w:rsidRPr="00F237BB" w:rsidRDefault="00E07A3B" w:rsidP="00C60E00">
      <w:pPr>
        <w:pStyle w:val="Heading1"/>
        <w:numPr>
          <w:ilvl w:val="0"/>
          <w:numId w:val="0"/>
        </w:numPr>
        <w:ind w:left="851" w:hanging="851"/>
        <w:rPr>
          <w:rFonts w:ascii="Arial" w:hAnsi="Arial" w:cs="Arial"/>
          <w:sz w:val="22"/>
          <w:szCs w:val="22"/>
        </w:rPr>
      </w:pPr>
      <w:bookmarkStart w:id="20" w:name="_Toc458521472"/>
      <w:r w:rsidRPr="00F237BB">
        <w:rPr>
          <w:rFonts w:ascii="Arial" w:hAnsi="Arial" w:cs="Arial"/>
          <w:sz w:val="22"/>
          <w:szCs w:val="22"/>
        </w:rPr>
        <w:t xml:space="preserve">Anexo 2. </w:t>
      </w:r>
      <w:r w:rsidR="00F77EEA" w:rsidRPr="00F237BB">
        <w:rPr>
          <w:rFonts w:ascii="Arial" w:hAnsi="Arial" w:cs="Arial"/>
          <w:sz w:val="22"/>
          <w:szCs w:val="22"/>
        </w:rPr>
        <w:t>Sistema de indicadores de política económica (SIMPE)</w:t>
      </w:r>
      <w:bookmarkEnd w:id="20"/>
    </w:p>
    <w:p w:rsidR="00F77EEA" w:rsidRPr="00F237BB" w:rsidRDefault="00F77EEA" w:rsidP="00F77EEA">
      <w:pPr>
        <w:rPr>
          <w:rFonts w:ascii="Arial" w:hAnsi="Arial" w:cs="Arial"/>
        </w:rPr>
      </w:pPr>
      <w:r w:rsidRPr="00F237BB">
        <w:rPr>
          <w:rFonts w:ascii="Arial" w:hAnsi="Arial" w:cs="Arial"/>
        </w:rPr>
        <w:t>El SIMPE es una Intranet de contenidos de la Secretaria de Política Económica</w:t>
      </w:r>
      <w:r w:rsidR="00DA141A" w:rsidRPr="00F237BB">
        <w:rPr>
          <w:rFonts w:ascii="Arial" w:hAnsi="Arial" w:cs="Arial"/>
        </w:rPr>
        <w:t xml:space="preserve"> y Planificación del Desarrollo</w:t>
      </w:r>
      <w:r w:rsidRPr="00F237BB">
        <w:rPr>
          <w:rFonts w:ascii="Arial" w:hAnsi="Arial" w:cs="Arial"/>
        </w:rPr>
        <w:t xml:space="preserve"> (</w:t>
      </w:r>
      <w:proofErr w:type="spellStart"/>
      <w:r w:rsidRPr="00F237BB">
        <w:rPr>
          <w:rFonts w:ascii="Arial" w:hAnsi="Arial" w:cs="Arial"/>
        </w:rPr>
        <w:t>SPE</w:t>
      </w:r>
      <w:r w:rsidR="00DA141A" w:rsidRPr="00F237BB">
        <w:rPr>
          <w:rFonts w:ascii="Arial" w:hAnsi="Arial" w:cs="Arial"/>
        </w:rPr>
        <w:t>yPD</w:t>
      </w:r>
      <w:proofErr w:type="spellEnd"/>
      <w:r w:rsidRPr="00F237BB">
        <w:rPr>
          <w:rFonts w:ascii="Arial" w:hAnsi="Arial" w:cs="Arial"/>
        </w:rPr>
        <w:t>), que permite el acceso a las distintas publicaciones que elaboran las áreas así como también a un monitor de indicadores macroeconómicos y de política económica en general.</w:t>
      </w:r>
    </w:p>
    <w:p w:rsidR="00F77EEA" w:rsidRPr="00F237BB" w:rsidRDefault="00F77EEA" w:rsidP="00F77EEA">
      <w:pPr>
        <w:rPr>
          <w:rFonts w:ascii="Arial" w:hAnsi="Arial" w:cs="Arial"/>
        </w:rPr>
      </w:pPr>
    </w:p>
    <w:p w:rsidR="00F77EEA" w:rsidRPr="00F237BB" w:rsidRDefault="00F77EEA" w:rsidP="00F77EEA">
      <w:pPr>
        <w:rPr>
          <w:rFonts w:ascii="Arial" w:hAnsi="Arial" w:cs="Arial"/>
        </w:rPr>
      </w:pPr>
      <w:r w:rsidRPr="00F237BB">
        <w:rPr>
          <w:rFonts w:ascii="Arial" w:hAnsi="Arial" w:cs="Arial"/>
        </w:rPr>
        <w:t xml:space="preserve">Esta herramienta habilita, mediante una </w:t>
      </w:r>
      <w:proofErr w:type="spellStart"/>
      <w:r w:rsidRPr="00F237BB">
        <w:rPr>
          <w:rFonts w:ascii="Arial" w:hAnsi="Arial" w:cs="Arial"/>
        </w:rPr>
        <w:t>interfase</w:t>
      </w:r>
      <w:proofErr w:type="spellEnd"/>
      <w:r w:rsidRPr="00F237BB">
        <w:rPr>
          <w:rFonts w:ascii="Arial" w:hAnsi="Arial" w:cs="Arial"/>
        </w:rPr>
        <w:t xml:space="preserve"> alfanumérica y gráfica, integrar la información residente en las distintas áreas de la </w:t>
      </w:r>
      <w:proofErr w:type="spellStart"/>
      <w:r w:rsidRPr="00F237BB">
        <w:rPr>
          <w:rFonts w:ascii="Arial" w:hAnsi="Arial" w:cs="Arial"/>
        </w:rPr>
        <w:t>SPE</w:t>
      </w:r>
      <w:r w:rsidR="00DA141A" w:rsidRPr="00F237BB">
        <w:rPr>
          <w:rFonts w:ascii="Arial" w:hAnsi="Arial" w:cs="Arial"/>
        </w:rPr>
        <w:t>yPD</w:t>
      </w:r>
      <w:proofErr w:type="spellEnd"/>
      <w:r w:rsidRPr="00F237BB">
        <w:rPr>
          <w:rFonts w:ascii="Arial" w:hAnsi="Arial" w:cs="Arial"/>
        </w:rPr>
        <w:t xml:space="preserve"> y visualizar en una pantalla síntesis, accesible desde Internet, indicadores de la economía argentina que, definidos por los analistas, ilustren de manera inmediata la marcha de la misma en el marco de la economía mundial. A su vez, esta herramienta permite que todos los usuarios autorizados accedan, desde un perfil de consulta, a las series de datos e informes que se producen en las distintas áreas de la SPE. De esta manera, no sólo se facilita el acceso a la información de una manera sintetizada y de visualización amigable, sino que democratiza la información al interior de la SPE, conservando cada área la responsabilidad por la generación y el almacenamiento primario de la información.</w:t>
      </w:r>
    </w:p>
    <w:p w:rsidR="00F77EEA" w:rsidRPr="00F237BB" w:rsidRDefault="00F77EEA" w:rsidP="00F77EEA">
      <w:pPr>
        <w:rPr>
          <w:rFonts w:ascii="Arial" w:hAnsi="Arial" w:cs="Arial"/>
        </w:rPr>
      </w:pPr>
    </w:p>
    <w:p w:rsidR="00F77EEA" w:rsidRPr="00F237BB" w:rsidRDefault="00F77EEA" w:rsidP="00F77EEA">
      <w:pPr>
        <w:rPr>
          <w:rFonts w:ascii="Arial" w:hAnsi="Arial" w:cs="Arial"/>
        </w:rPr>
      </w:pPr>
      <w:r w:rsidRPr="00F237BB">
        <w:rPr>
          <w:rFonts w:ascii="Arial" w:hAnsi="Arial" w:cs="Arial"/>
        </w:rPr>
        <w:t xml:space="preserve">El diseño, desarrollo e implementación del sistema fue realizado por un equipo de trabajo de consultores contratados por el </w:t>
      </w:r>
      <w:r w:rsidRPr="00F237BB">
        <w:rPr>
          <w:rFonts w:ascii="Arial" w:hAnsi="Arial" w:cs="Arial"/>
          <w:i/>
        </w:rPr>
        <w:t xml:space="preserve">Programa de Fortalecimiento Institucional de la </w:t>
      </w:r>
      <w:r w:rsidR="00217341" w:rsidRPr="00F237BB">
        <w:rPr>
          <w:rFonts w:ascii="Arial" w:hAnsi="Arial" w:cs="Arial"/>
          <w:i/>
        </w:rPr>
        <w:t>Secretaría de Política Económica y Planificación del Desarrollo</w:t>
      </w:r>
      <w:r w:rsidRPr="00F237BB">
        <w:rPr>
          <w:rFonts w:ascii="Arial" w:hAnsi="Arial" w:cs="Arial"/>
        </w:rPr>
        <w:t xml:space="preserve"> (Préstamo BID 1575/OC-AR).</w:t>
      </w:r>
    </w:p>
    <w:p w:rsidR="00F77EEA" w:rsidRPr="00F237BB" w:rsidRDefault="00F77EEA" w:rsidP="00F77EEA">
      <w:pPr>
        <w:rPr>
          <w:rFonts w:ascii="Arial" w:hAnsi="Arial" w:cs="Arial"/>
        </w:rPr>
      </w:pPr>
    </w:p>
    <w:p w:rsidR="00F77EEA" w:rsidRPr="00F237BB" w:rsidRDefault="00F77EEA" w:rsidP="00F77EEA">
      <w:pPr>
        <w:rPr>
          <w:rFonts w:ascii="Arial" w:hAnsi="Arial" w:cs="Arial"/>
        </w:rPr>
      </w:pPr>
      <w:r w:rsidRPr="00F237BB">
        <w:rPr>
          <w:rFonts w:ascii="Arial" w:hAnsi="Arial" w:cs="Arial"/>
        </w:rPr>
        <w:t xml:space="preserve">El sistema maneja distintos niveles de acceso a la información. Según el nivel definido para el usuario que se conecta al sistema, se habilita o deshabilita el acceso a determinadas publicaciones e indicadores. </w:t>
      </w:r>
    </w:p>
    <w:p w:rsidR="00F77EEA" w:rsidRPr="00F237BB" w:rsidRDefault="00F77EEA" w:rsidP="00F77EEA">
      <w:pPr>
        <w:rPr>
          <w:rFonts w:ascii="Arial" w:hAnsi="Arial" w:cs="Arial"/>
        </w:rPr>
      </w:pPr>
      <w:r w:rsidRPr="00F237BB">
        <w:rPr>
          <w:rFonts w:ascii="Arial" w:hAnsi="Arial" w:cs="Arial"/>
        </w:rPr>
        <w:t xml:space="preserve">La seguridad del sistema fue implementada en el marco del esquema requerido por el Área Informática del </w:t>
      </w:r>
      <w:r w:rsidR="00F86B3F" w:rsidRPr="00F237BB">
        <w:rPr>
          <w:rFonts w:ascii="Arial" w:hAnsi="Arial" w:cs="Arial"/>
        </w:rPr>
        <w:t>MHYFP</w:t>
      </w:r>
      <w:r w:rsidRPr="00F237BB">
        <w:rPr>
          <w:rFonts w:ascii="Arial" w:hAnsi="Arial" w:cs="Arial"/>
        </w:rPr>
        <w:t>, autenticando a los usuarios con los servidores existentes en el Ministerio para tal fin, y permitiendo la administración de usuarios y contraseñas de acceso en forma centralizada.</w:t>
      </w:r>
    </w:p>
    <w:p w:rsidR="00F77EEA" w:rsidRPr="00F237BB" w:rsidRDefault="00F77EEA" w:rsidP="00F77EEA">
      <w:pPr>
        <w:rPr>
          <w:rFonts w:ascii="Arial" w:hAnsi="Arial" w:cs="Arial"/>
        </w:rPr>
      </w:pPr>
    </w:p>
    <w:p w:rsidR="00F77EEA" w:rsidRPr="00F237BB" w:rsidRDefault="00F77EEA" w:rsidP="00F77EEA">
      <w:pPr>
        <w:rPr>
          <w:rFonts w:ascii="Arial" w:hAnsi="Arial" w:cs="Arial"/>
        </w:rPr>
      </w:pPr>
      <w:r w:rsidRPr="00F237BB">
        <w:rPr>
          <w:rFonts w:ascii="Arial" w:hAnsi="Arial" w:cs="Arial"/>
        </w:rPr>
        <w:t>El SIMPE, está conformado por dos módulos bien definidos:</w:t>
      </w:r>
    </w:p>
    <w:p w:rsidR="00F77EEA" w:rsidRPr="00F237BB" w:rsidRDefault="00F77EEA" w:rsidP="00F77EEA">
      <w:pPr>
        <w:rPr>
          <w:rFonts w:ascii="Arial" w:hAnsi="Arial" w:cs="Arial"/>
        </w:rPr>
      </w:pPr>
    </w:p>
    <w:p w:rsidR="00F77EEA" w:rsidRPr="00F237BB" w:rsidRDefault="00F77EEA" w:rsidP="00F77EEA">
      <w:pPr>
        <w:numPr>
          <w:ilvl w:val="0"/>
          <w:numId w:val="31"/>
        </w:numPr>
        <w:rPr>
          <w:rFonts w:ascii="Arial" w:hAnsi="Arial" w:cs="Arial"/>
        </w:rPr>
      </w:pPr>
      <w:r w:rsidRPr="00F237BB">
        <w:rPr>
          <w:rFonts w:ascii="Arial" w:hAnsi="Arial" w:cs="Arial"/>
        </w:rPr>
        <w:t xml:space="preserve">Un módulo Web que es de consulta de información por parte de los usuarios (Indicadores y Publicaciones) </w:t>
      </w:r>
    </w:p>
    <w:p w:rsidR="00F77EEA" w:rsidRPr="00F237BB" w:rsidRDefault="00F77EEA" w:rsidP="00F77EEA">
      <w:pPr>
        <w:numPr>
          <w:ilvl w:val="0"/>
          <w:numId w:val="31"/>
        </w:numPr>
        <w:rPr>
          <w:rFonts w:ascii="Arial" w:hAnsi="Arial" w:cs="Arial"/>
        </w:rPr>
      </w:pPr>
      <w:r w:rsidRPr="00F237BB">
        <w:rPr>
          <w:rFonts w:ascii="Arial" w:hAnsi="Arial" w:cs="Arial"/>
        </w:rPr>
        <w:t xml:space="preserve">Un módulo de actualización de la información (acá el usuario define indicadores, publicaciones, actualizada los datos de indicadores, mantiene responsables y categorías de los indicadores y publicaciones y publica la información en la Web). </w:t>
      </w:r>
    </w:p>
    <w:p w:rsidR="00F77EEA" w:rsidRPr="00F237BB" w:rsidRDefault="00F77EEA" w:rsidP="00F77EEA">
      <w:pPr>
        <w:ind w:left="1680"/>
        <w:rPr>
          <w:rFonts w:ascii="Arial" w:hAnsi="Arial" w:cs="Arial"/>
        </w:rPr>
      </w:pPr>
    </w:p>
    <w:p w:rsidR="00F77EEA" w:rsidRPr="00F237BB" w:rsidRDefault="00F77EEA" w:rsidP="00F77EEA">
      <w:pPr>
        <w:rPr>
          <w:rFonts w:ascii="Arial" w:hAnsi="Arial" w:cs="Arial"/>
          <w:b/>
          <w:bCs/>
          <w:i/>
          <w:iCs/>
          <w:lang w:val="en-US"/>
        </w:rPr>
      </w:pPr>
      <w:bookmarkStart w:id="21" w:name="_Toc273722094"/>
      <w:r w:rsidRPr="00F237BB">
        <w:rPr>
          <w:rFonts w:ascii="Arial" w:hAnsi="Arial" w:cs="Arial"/>
          <w:b/>
          <w:bCs/>
          <w:i/>
          <w:iCs/>
          <w:lang w:val="en-US"/>
        </w:rPr>
        <w:t>SISTEMA FRONT-OFFICE</w:t>
      </w:r>
      <w:bookmarkEnd w:id="21"/>
      <w:r w:rsidRPr="00F237BB">
        <w:rPr>
          <w:rFonts w:ascii="Arial" w:hAnsi="Arial" w:cs="Arial"/>
          <w:b/>
          <w:bCs/>
          <w:i/>
          <w:iCs/>
          <w:lang w:val="en-US"/>
        </w:rPr>
        <w:t xml:space="preserve"> (</w:t>
      </w:r>
      <w:r w:rsidR="001E6518" w:rsidRPr="00F237BB">
        <w:rPr>
          <w:rFonts w:ascii="Arial" w:hAnsi="Arial" w:cs="Arial"/>
          <w:b/>
          <w:bCs/>
          <w:i/>
          <w:iCs/>
          <w:lang w:val="en-US"/>
        </w:rPr>
        <w:t xml:space="preserve">MÓDULO </w:t>
      </w:r>
      <w:r w:rsidRPr="00F237BB">
        <w:rPr>
          <w:rFonts w:ascii="Arial" w:hAnsi="Arial" w:cs="Arial"/>
          <w:b/>
          <w:bCs/>
          <w:i/>
          <w:iCs/>
          <w:lang w:val="en-US"/>
        </w:rPr>
        <w:t xml:space="preserve">WEB)  </w:t>
      </w:r>
    </w:p>
    <w:p w:rsidR="00F77EEA" w:rsidRPr="00F237BB" w:rsidRDefault="00F77EEA" w:rsidP="00F77EEA">
      <w:pPr>
        <w:rPr>
          <w:rFonts w:ascii="Arial" w:hAnsi="Arial" w:cs="Arial"/>
          <w:b/>
          <w:bCs/>
          <w:i/>
          <w:iCs/>
          <w:lang w:val="en-US"/>
        </w:rPr>
      </w:pPr>
    </w:p>
    <w:p w:rsidR="00F77EEA" w:rsidRPr="00F237BB" w:rsidRDefault="00F77EEA" w:rsidP="00F77EEA">
      <w:pPr>
        <w:rPr>
          <w:rFonts w:ascii="Arial" w:hAnsi="Arial" w:cs="Arial"/>
          <w:b/>
          <w:bCs/>
        </w:rPr>
      </w:pPr>
      <w:bookmarkStart w:id="22" w:name="_Toc273722095"/>
      <w:r w:rsidRPr="00F237BB">
        <w:rPr>
          <w:rFonts w:ascii="Arial" w:hAnsi="Arial" w:cs="Arial"/>
          <w:b/>
          <w:bCs/>
        </w:rPr>
        <w:t>Funcionalidades Generales</w:t>
      </w:r>
      <w:bookmarkEnd w:id="22"/>
    </w:p>
    <w:p w:rsidR="00F77EEA" w:rsidRPr="00F237BB" w:rsidRDefault="00F77EEA" w:rsidP="00F77EEA">
      <w:pPr>
        <w:rPr>
          <w:rFonts w:ascii="Arial" w:hAnsi="Arial" w:cs="Arial"/>
          <w:b/>
          <w:bCs/>
        </w:rPr>
      </w:pP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t>Visualización gráfica de los indicadores agrupados por categorías definidas.</w:t>
      </w: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t>Consultas alfanuméricas y gráficas sobre valores actuales, históricos y proyectados de los indicadores. Tanto de los definidos primarios como de los secundarios o adicionales.</w:t>
      </w: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lastRenderedPageBreak/>
        <w:t xml:space="preserve">Información de detalle de cada indicador seleccionado: tabla con los distintos valores del indicador como así también de series calculadas, </w:t>
      </w:r>
      <w:proofErr w:type="spellStart"/>
      <w:r w:rsidRPr="00F237BB">
        <w:rPr>
          <w:rFonts w:ascii="Arial" w:hAnsi="Arial" w:cs="Arial"/>
          <w:bCs/>
        </w:rPr>
        <w:t>graficación</w:t>
      </w:r>
      <w:proofErr w:type="spellEnd"/>
      <w:r w:rsidRPr="00F237BB">
        <w:rPr>
          <w:rFonts w:ascii="Arial" w:hAnsi="Arial" w:cs="Arial"/>
          <w:bCs/>
        </w:rPr>
        <w:t xml:space="preserve"> de dichos valores en el período seleccionado por el usuario. Grafico Comparativo de series para el indicador.  Posibilidad de visualizar datos de proyecciones cargadas para el indicador. Para el caso de indicadores definidos a nivel provincial se visualiza además gráfico comparativo entre provincias seleccionadas y gráfico de participación relativa de dicha provincia en el total país.</w:t>
      </w: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t xml:space="preserve">Exportación a Excel y PDF de los valores seleccionados. </w:t>
      </w: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t xml:space="preserve">Acceso a los datos de detalle a partir de links a archivos fuentes relacionados con el indicador (archivos Excel o </w:t>
      </w:r>
      <w:proofErr w:type="spellStart"/>
      <w:r w:rsidRPr="00F237BB">
        <w:rPr>
          <w:rFonts w:ascii="Arial" w:hAnsi="Arial" w:cs="Arial"/>
          <w:bCs/>
        </w:rPr>
        <w:t>PDFs</w:t>
      </w:r>
      <w:proofErr w:type="spellEnd"/>
      <w:r w:rsidRPr="00F237BB">
        <w:rPr>
          <w:rFonts w:ascii="Arial" w:hAnsi="Arial" w:cs="Arial"/>
          <w:bCs/>
        </w:rPr>
        <w:t>) o a páginas web.</w:t>
      </w:r>
    </w:p>
    <w:p w:rsidR="00F77EEA" w:rsidRPr="00F237BB" w:rsidRDefault="00F77EEA" w:rsidP="00F77EEA">
      <w:pPr>
        <w:numPr>
          <w:ilvl w:val="0"/>
          <w:numId w:val="32"/>
        </w:numPr>
        <w:tabs>
          <w:tab w:val="num" w:pos="720"/>
        </w:tabs>
        <w:rPr>
          <w:rFonts w:ascii="Arial" w:hAnsi="Arial" w:cs="Arial"/>
          <w:bCs/>
        </w:rPr>
      </w:pPr>
      <w:r w:rsidRPr="00F237BB">
        <w:rPr>
          <w:rFonts w:ascii="Arial" w:hAnsi="Arial" w:cs="Arial"/>
          <w:bCs/>
        </w:rPr>
        <w:t xml:space="preserve">Acceso a los informes periódicos elaborados por las diferentes áreas de la Secretaría en forma de publicaciones. Mantenimiento en dicho sistema de los informes históricos publicados. </w:t>
      </w:r>
    </w:p>
    <w:p w:rsidR="00F77EEA" w:rsidRPr="00F237BB" w:rsidRDefault="00F77EEA" w:rsidP="00F77EEA">
      <w:pPr>
        <w:tabs>
          <w:tab w:val="num" w:pos="1344"/>
        </w:tabs>
        <w:ind w:left="1344"/>
        <w:rPr>
          <w:rFonts w:ascii="Arial" w:hAnsi="Arial" w:cs="Arial"/>
          <w:bCs/>
        </w:rPr>
      </w:pPr>
    </w:p>
    <w:p w:rsidR="00F77EEA" w:rsidRPr="00F237BB" w:rsidRDefault="00F77EEA" w:rsidP="00F77EEA">
      <w:pPr>
        <w:rPr>
          <w:rFonts w:ascii="Arial" w:hAnsi="Arial" w:cs="Arial"/>
          <w:b/>
          <w:bCs/>
          <w:i/>
          <w:iCs/>
        </w:rPr>
      </w:pPr>
      <w:bookmarkStart w:id="23" w:name="_Toc273722103"/>
      <w:r w:rsidRPr="00F237BB">
        <w:rPr>
          <w:rFonts w:ascii="Arial" w:hAnsi="Arial" w:cs="Arial"/>
          <w:b/>
          <w:bCs/>
          <w:i/>
          <w:iCs/>
        </w:rPr>
        <w:t>SISTEMA BACK-OFFICE</w:t>
      </w:r>
      <w:bookmarkEnd w:id="23"/>
      <w:r w:rsidRPr="00F237BB">
        <w:rPr>
          <w:rFonts w:ascii="Arial" w:hAnsi="Arial" w:cs="Arial"/>
          <w:b/>
          <w:bCs/>
          <w:i/>
          <w:iCs/>
        </w:rPr>
        <w:t xml:space="preserve"> (MÓDULO </w:t>
      </w:r>
      <w:r w:rsidR="001E6518" w:rsidRPr="00F237BB">
        <w:rPr>
          <w:rFonts w:ascii="Arial" w:hAnsi="Arial" w:cs="Arial"/>
          <w:b/>
          <w:bCs/>
          <w:i/>
          <w:iCs/>
        </w:rPr>
        <w:t>actualización</w:t>
      </w:r>
      <w:r w:rsidRPr="00F237BB">
        <w:rPr>
          <w:rFonts w:ascii="Arial" w:hAnsi="Arial" w:cs="Arial"/>
          <w:b/>
          <w:bCs/>
          <w:i/>
          <w:iCs/>
        </w:rPr>
        <w:t xml:space="preserve"> de </w:t>
      </w:r>
      <w:r w:rsidR="001E6518" w:rsidRPr="00F237BB">
        <w:rPr>
          <w:rFonts w:ascii="Arial" w:hAnsi="Arial" w:cs="Arial"/>
          <w:b/>
          <w:bCs/>
          <w:i/>
          <w:iCs/>
        </w:rPr>
        <w:t>información</w:t>
      </w:r>
      <w:r w:rsidRPr="00F237BB">
        <w:rPr>
          <w:rFonts w:ascii="Arial" w:hAnsi="Arial" w:cs="Arial"/>
          <w:b/>
          <w:bCs/>
          <w:i/>
          <w:iCs/>
        </w:rPr>
        <w:t>)</w:t>
      </w:r>
    </w:p>
    <w:p w:rsidR="00F77EEA" w:rsidRPr="00F237BB" w:rsidRDefault="00F77EEA" w:rsidP="00F77EEA">
      <w:pPr>
        <w:rPr>
          <w:rFonts w:ascii="Arial" w:hAnsi="Arial" w:cs="Arial"/>
          <w:b/>
          <w:bCs/>
          <w:i/>
          <w:iCs/>
        </w:rPr>
      </w:pPr>
    </w:p>
    <w:p w:rsidR="00F77EEA" w:rsidRPr="00F237BB" w:rsidRDefault="00F77EEA" w:rsidP="00F77EEA">
      <w:pPr>
        <w:numPr>
          <w:ilvl w:val="0"/>
          <w:numId w:val="33"/>
        </w:numPr>
        <w:rPr>
          <w:rFonts w:ascii="Arial" w:hAnsi="Arial" w:cs="Arial"/>
          <w:bCs/>
        </w:rPr>
      </w:pPr>
      <w:r w:rsidRPr="00F237BB">
        <w:rPr>
          <w:rFonts w:ascii="Arial" w:hAnsi="Arial" w:cs="Arial"/>
          <w:bCs/>
        </w:rPr>
        <w:t>Administración de Menús: Ingresar / modificar / eliminar Categorías de Indicadores, Indicadores, Subcategorías de las Publicaciones y Publicaciones, con los permisos de acceso correspondientes</w:t>
      </w:r>
    </w:p>
    <w:p w:rsidR="00F77EEA" w:rsidRPr="00F237BB" w:rsidRDefault="00F77EEA" w:rsidP="00F77EEA">
      <w:pPr>
        <w:numPr>
          <w:ilvl w:val="0"/>
          <w:numId w:val="33"/>
        </w:numPr>
        <w:rPr>
          <w:rFonts w:ascii="Arial" w:hAnsi="Arial" w:cs="Arial"/>
          <w:bCs/>
        </w:rPr>
      </w:pPr>
      <w:r w:rsidRPr="00F237BB">
        <w:rPr>
          <w:rFonts w:ascii="Arial" w:hAnsi="Arial" w:cs="Arial"/>
          <w:bCs/>
        </w:rPr>
        <w:t xml:space="preserve">Administración de Datos: Actualizar en forma periódica los datos asociados a los Indicadores y las Publicaciones.  Esta actualización puede ser manual directamente en el sistema o masiva a través de la importación de los datos desde una planilla Excel. </w:t>
      </w:r>
    </w:p>
    <w:p w:rsidR="00F77EEA" w:rsidRPr="00F237BB" w:rsidRDefault="00F77EEA" w:rsidP="00F77EEA">
      <w:pPr>
        <w:numPr>
          <w:ilvl w:val="0"/>
          <w:numId w:val="33"/>
        </w:numPr>
        <w:rPr>
          <w:rFonts w:ascii="Arial" w:hAnsi="Arial" w:cs="Arial"/>
          <w:bCs/>
        </w:rPr>
      </w:pPr>
      <w:r w:rsidRPr="00F237BB">
        <w:rPr>
          <w:rFonts w:ascii="Arial" w:hAnsi="Arial" w:cs="Arial"/>
          <w:bCs/>
        </w:rPr>
        <w:t>Administración de Usuarios: Dar de Alta / Modificar Perfil / Eliminar usuario de la aplicación.</w:t>
      </w:r>
    </w:p>
    <w:p w:rsidR="00F77EEA" w:rsidRPr="00F237BB" w:rsidRDefault="00F77EEA" w:rsidP="00F77EEA">
      <w:pPr>
        <w:numPr>
          <w:ilvl w:val="0"/>
          <w:numId w:val="33"/>
        </w:numPr>
        <w:rPr>
          <w:rFonts w:ascii="Arial" w:hAnsi="Arial" w:cs="Arial"/>
          <w:bCs/>
        </w:rPr>
      </w:pPr>
      <w:r w:rsidRPr="00F237BB">
        <w:rPr>
          <w:rFonts w:ascii="Arial" w:hAnsi="Arial" w:cs="Arial"/>
          <w:bCs/>
        </w:rPr>
        <w:t xml:space="preserve">Publicación en la web de los datos actualizados (nuevos indicadores/publicaciones, eliminación de indicadores/publicaciones, actualización de datos). </w:t>
      </w:r>
    </w:p>
    <w:p w:rsidR="00F77EEA" w:rsidRPr="00F237BB" w:rsidRDefault="00F77EEA" w:rsidP="00F77EEA">
      <w:pPr>
        <w:rPr>
          <w:rFonts w:ascii="Arial" w:hAnsi="Arial" w:cs="Arial"/>
          <w:bCs/>
        </w:rPr>
      </w:pPr>
    </w:p>
    <w:p w:rsidR="00F77EEA" w:rsidRPr="00F237BB" w:rsidRDefault="00F77EEA" w:rsidP="00F77EEA">
      <w:pPr>
        <w:rPr>
          <w:rFonts w:ascii="Arial" w:hAnsi="Arial" w:cs="Arial"/>
          <w:bCs/>
        </w:rPr>
      </w:pPr>
      <w:r w:rsidRPr="00F237BB">
        <w:rPr>
          <w:rFonts w:ascii="Arial" w:hAnsi="Arial" w:cs="Arial"/>
          <w:bCs/>
        </w:rPr>
        <w:t xml:space="preserve"> Al momento de implementarse el SIMPE, había 196 indicadores creados y con sus datos cargados. En cuanto a publicaciones había 46 definidas y cargadas.</w:t>
      </w:r>
    </w:p>
    <w:p w:rsidR="00F77EEA" w:rsidRPr="00F237BB" w:rsidRDefault="00F77EEA" w:rsidP="00DD0A45">
      <w:pPr>
        <w:rPr>
          <w:rFonts w:ascii="Arial" w:hAnsi="Arial" w:cs="Arial"/>
        </w:rPr>
      </w:pPr>
    </w:p>
    <w:p w:rsidR="00ED357D" w:rsidRPr="00F237BB" w:rsidRDefault="00ED357D" w:rsidP="00ED357D">
      <w:pPr>
        <w:rPr>
          <w:rFonts w:ascii="Arial" w:hAnsi="Arial" w:cs="Arial"/>
          <w:lang w:val="es-ES_tradnl"/>
        </w:rPr>
      </w:pPr>
      <w:bookmarkStart w:id="24" w:name="_GoBack"/>
      <w:bookmarkEnd w:id="24"/>
    </w:p>
    <w:sectPr w:rsidR="00ED357D" w:rsidRPr="00F237BB" w:rsidSect="00ED357D">
      <w:footerReference w:type="default" r:id="rId16"/>
      <w:pgSz w:w="12240" w:h="15840" w:code="1"/>
      <w:pgMar w:top="1418" w:right="1418" w:bottom="1418" w:left="1418" w:header="709" w:footer="9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5B9" w:rsidRDefault="00AF75B9" w:rsidP="00D04EC0">
      <w:r>
        <w:separator/>
      </w:r>
    </w:p>
  </w:endnote>
  <w:endnote w:type="continuationSeparator" w:id="0">
    <w:p w:rsidR="00AF75B9" w:rsidRDefault="00AF75B9"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B9" w:rsidRDefault="00AF75B9" w:rsidP="005A45F9">
    <w:pPr>
      <w:pStyle w:val="Footer"/>
      <w:jc w:val="right"/>
    </w:pPr>
    <w:r>
      <w:fldChar w:fldCharType="begin"/>
    </w:r>
    <w:r>
      <w:instrText>PAGE   \* MERGEFORMAT</w:instrText>
    </w:r>
    <w:r>
      <w:fldChar w:fldCharType="separate"/>
    </w:r>
    <w:r w:rsidR="00B75855">
      <w:rPr>
        <w:noProof/>
      </w:rPr>
      <w:t>31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B9" w:rsidRPr="0002543E" w:rsidRDefault="00AF75B9" w:rsidP="000254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B9" w:rsidRDefault="00AF75B9" w:rsidP="005A45F9">
    <w:pPr>
      <w:pStyle w:val="Footer"/>
      <w:jc w:val="right"/>
    </w:pPr>
    <w:r>
      <w:fldChar w:fldCharType="begin"/>
    </w:r>
    <w:r>
      <w:instrText>PAGE   \* MERGEFORMAT</w:instrText>
    </w:r>
    <w:r>
      <w:fldChar w:fldCharType="separate"/>
    </w:r>
    <w:r w:rsidR="00B75855">
      <w:rPr>
        <w:noProof/>
      </w:rPr>
      <w:t>36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5B9" w:rsidRDefault="00AF75B9" w:rsidP="00D04EC0">
      <w:r>
        <w:separator/>
      </w:r>
    </w:p>
  </w:footnote>
  <w:footnote w:type="continuationSeparator" w:id="0">
    <w:p w:rsidR="00AF75B9" w:rsidRDefault="00AF75B9" w:rsidP="00D04EC0">
      <w:r>
        <w:continuationSeparator/>
      </w:r>
    </w:p>
  </w:footnote>
  <w:footnote w:id="1">
    <w:p w:rsidR="00AF75B9" w:rsidRPr="00D4169B" w:rsidRDefault="00AF75B9" w:rsidP="006F34B0">
      <w:pPr>
        <w:pStyle w:val="FootnoteText"/>
        <w:rPr>
          <w:rFonts w:ascii="Arial" w:hAnsi="Arial" w:cs="Arial"/>
          <w:sz w:val="18"/>
          <w:szCs w:val="18"/>
          <w:lang w:val="es-ES_tradnl"/>
        </w:rPr>
      </w:pPr>
      <w:r w:rsidRPr="00D4169B">
        <w:rPr>
          <w:rStyle w:val="FootnoteReference"/>
          <w:rFonts w:ascii="Arial" w:hAnsi="Arial" w:cs="Arial"/>
          <w:sz w:val="18"/>
          <w:szCs w:val="18"/>
        </w:rPr>
        <w:footnoteRef/>
      </w:r>
      <w:r w:rsidRPr="00D4169B">
        <w:rPr>
          <w:rFonts w:ascii="Arial" w:hAnsi="Arial" w:cs="Arial"/>
          <w:sz w:val="18"/>
          <w:szCs w:val="18"/>
        </w:rPr>
        <w:t xml:space="preserve"> Ver Decreto 442/2016, planilla anexo al artículo 2°.</w:t>
      </w:r>
      <w:r w:rsidRPr="00D4169B">
        <w:rPr>
          <w:rFonts w:ascii="Arial" w:hAnsi="Arial" w:cs="Arial"/>
          <w:sz w:val="18"/>
          <w:szCs w:val="18"/>
          <w:lang w:val="es-ES_tradnl"/>
        </w:rPr>
        <w:t xml:space="preserve"> En el párrafo siguiente, los numerales se refieren a este anexo.</w:t>
      </w:r>
    </w:p>
  </w:footnote>
  <w:footnote w:id="2">
    <w:p w:rsidR="00AF75B9" w:rsidRPr="00D4169B" w:rsidRDefault="00AF75B9" w:rsidP="006F34B0">
      <w:pPr>
        <w:pStyle w:val="FootnoteText"/>
        <w:rPr>
          <w:rFonts w:ascii="Arial" w:hAnsi="Arial" w:cs="Arial"/>
          <w:sz w:val="18"/>
          <w:szCs w:val="18"/>
          <w:lang w:val="es-ES_tradnl"/>
        </w:rPr>
      </w:pPr>
      <w:r w:rsidRPr="00D4169B">
        <w:rPr>
          <w:rStyle w:val="FootnoteReference"/>
          <w:rFonts w:ascii="Arial" w:hAnsi="Arial" w:cs="Arial"/>
          <w:sz w:val="18"/>
          <w:szCs w:val="18"/>
        </w:rPr>
        <w:footnoteRef/>
      </w:r>
      <w:r w:rsidRPr="00D4169B">
        <w:rPr>
          <w:rFonts w:ascii="Arial" w:hAnsi="Arial" w:cs="Arial"/>
          <w:sz w:val="18"/>
          <w:szCs w:val="18"/>
        </w:rPr>
        <w:t xml:space="preserve"> </w:t>
      </w:r>
      <w:r w:rsidRPr="00D4169B">
        <w:rPr>
          <w:rFonts w:ascii="Arial" w:hAnsi="Arial" w:cs="Arial"/>
          <w:sz w:val="18"/>
          <w:szCs w:val="18"/>
          <w:lang w:val="es-ES_tradnl"/>
        </w:rPr>
        <w:t>Por ciclo de políticas se entiende la formulación, ejecución, seguimiento y evaluación.</w:t>
      </w:r>
    </w:p>
  </w:footnote>
  <w:footnote w:id="3">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Decreto 13/2015.</w:t>
      </w:r>
    </w:p>
  </w:footnote>
  <w:footnote w:id="4">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Plan Estratégico Agro-Alimentario y Agro-Industrial 2010-2016 (Ministerio de Agricultura, Ganadería y Pesca); Plan Estratégico Industrial 2020 (Ministerio de Industria); Plan Estratégico Territorial 2010-2016; y Proyección de la Demanda de Energía y Lineamientos para la Conformación de la Oferta energética 2011-2030 (Ministerio de Planificación Federal, Inversión Pública y Servicios); Plan Nacional de Ciencia Tecnología e Innovación 2011-2014 (Ministerio de Ciencia, Tecnología e Innovación Productiva); Plan Federal Estratégico de Turismo 2016 (Ministerio de Turismo, Cultura y Deportes); Tercera Comunicación Nacional sobre cambio climático (Secretaria de Ambiente y Desarrollo Sustentable).</w:t>
      </w:r>
    </w:p>
  </w:footnote>
  <w:footnote w:id="5">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DGAJ no es la única unidad responsable de la defensa de los intereses del Estado ante los tribunales. Cada ministerio tiene su servicio jurídico, y la asignación de las causas las realiza la Procuraduría General del Tesoro, que es quien tiene la responsabilidad de la gobernanza en materia de defensa del Estado.</w:t>
      </w:r>
    </w:p>
  </w:footnote>
  <w:footnote w:id="6">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Por la Procuraduría General del Tesoro, como se ha mencionado.</w:t>
      </w:r>
    </w:p>
  </w:footnote>
  <w:footnote w:id="7">
    <w:p w:rsidR="00AF75B9" w:rsidRPr="00D4169B" w:rsidRDefault="00AF75B9" w:rsidP="008D3CEB">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Estos indicadores sí serían pertinentes para el análisis del modelo de gestión de la DGAJ. El gran problema que tiene esta institución es la gran escasez de datos e indicadores de la gestión. </w:t>
      </w:r>
    </w:p>
  </w:footnote>
  <w:footnote w:id="8">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Para un mayor detalle del diseño conceptual y el proceso de construcción de estos índices, puede consultarse el documento “Índices de calidad de la elaboración de la política económica. Nota metodológica”.</w:t>
      </w:r>
    </w:p>
  </w:footnote>
  <w:footnote w:id="9">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Se consideraron los planes sectoriales vigentes a la fecha de preparación del presente documento, </w:t>
      </w:r>
      <w:proofErr w:type="spellStart"/>
      <w:r w:rsidRPr="00D4169B">
        <w:rPr>
          <w:rFonts w:ascii="Arial" w:hAnsi="Arial" w:cs="Arial"/>
          <w:sz w:val="18"/>
          <w:szCs w:val="18"/>
        </w:rPr>
        <w:t>aún</w:t>
      </w:r>
      <w:proofErr w:type="spellEnd"/>
      <w:r w:rsidRPr="00D4169B">
        <w:rPr>
          <w:rFonts w:ascii="Arial" w:hAnsi="Arial" w:cs="Arial"/>
          <w:sz w:val="18"/>
          <w:szCs w:val="18"/>
        </w:rPr>
        <w:t xml:space="preserve"> cuando su fecha de elaboración es precedente al inicio de la actual gestión de gobierno.</w:t>
      </w:r>
    </w:p>
  </w:footnote>
  <w:footnote w:id="10">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Encuesta de Formación es un relevamiento realizado en el año 2011, se supone que la disponibilidad de herramientas se ha mantenido constante en el tiempo. Se prevé la actualización de la Encuesta de referencia durante el 2016. </w:t>
      </w:r>
    </w:p>
  </w:footnote>
  <w:footnote w:id="11">
    <w:p w:rsidR="00AF75B9" w:rsidRPr="00D4169B" w:rsidRDefault="00AF75B9" w:rsidP="006317D4">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Se entiende que aquellas direcciones que no disponen de las herramientas, pero manifiestan utilizarlas, pueden acudir a otros lugares para utilizar las herramientas.</w:t>
      </w:r>
    </w:p>
  </w:footnote>
  <w:footnote w:id="12">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Encuesta de Formación es un relevamiento realizado en el año 2011, se supone que la utilización de herramientas se ha mantenido constante en el tiempo. Se prevé la actualización de la Encuesta de referencia durante el 2016.</w:t>
      </w:r>
    </w:p>
  </w:footnote>
  <w:footnote w:id="13">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Encuesta de Formación es un relevamiento realizado en el año 2011, se supone que el perfil de profesional trabajando en cada unidad se ha mantenido constante en el tiempo. Se prevé la actualización de la Encuesta de referencia durante el 2016.</w:t>
      </w:r>
    </w:p>
  </w:footnote>
  <w:footnote w:id="14">
    <w:p w:rsidR="00AF75B9" w:rsidRPr="00D4169B" w:rsidRDefault="00AF75B9" w:rsidP="00155D2C">
      <w:pPr>
        <w:pStyle w:val="FootnoteText"/>
        <w:rPr>
          <w:rFonts w:ascii="Arial" w:hAnsi="Arial" w:cs="Arial"/>
          <w:sz w:val="18"/>
          <w:szCs w:val="18"/>
          <w:lang w:val="es-ES_tradnl"/>
        </w:rPr>
      </w:pPr>
      <w:r w:rsidRPr="00D4169B">
        <w:rPr>
          <w:rStyle w:val="FootnoteReference"/>
          <w:rFonts w:ascii="Arial" w:hAnsi="Arial" w:cs="Arial"/>
          <w:sz w:val="18"/>
          <w:szCs w:val="18"/>
        </w:rPr>
        <w:footnoteRef/>
      </w:r>
      <w:r w:rsidRPr="00D4169B">
        <w:rPr>
          <w:rFonts w:ascii="Arial" w:hAnsi="Arial" w:cs="Arial"/>
          <w:sz w:val="18"/>
          <w:szCs w:val="18"/>
        </w:rPr>
        <w:t xml:space="preserve"> </w:t>
      </w:r>
      <w:r w:rsidRPr="00D4169B">
        <w:rPr>
          <w:rFonts w:ascii="Arial" w:hAnsi="Arial" w:cs="Arial"/>
          <w:sz w:val="18"/>
          <w:szCs w:val="18"/>
          <w:lang w:val="es-ES_tradnl"/>
        </w:rPr>
        <w:t>Por procedimientos y rutinas se quiere señalar protocolos en forma de lista de control (</w:t>
      </w:r>
      <w:proofErr w:type="spellStart"/>
      <w:r w:rsidRPr="00D4169B">
        <w:rPr>
          <w:rFonts w:ascii="Arial" w:hAnsi="Arial" w:cs="Arial"/>
          <w:i/>
          <w:sz w:val="18"/>
          <w:szCs w:val="18"/>
          <w:lang w:val="es-ES_tradnl"/>
        </w:rPr>
        <w:t>checklist</w:t>
      </w:r>
      <w:proofErr w:type="spellEnd"/>
      <w:r w:rsidRPr="00D4169B">
        <w:rPr>
          <w:rFonts w:ascii="Arial" w:hAnsi="Arial" w:cs="Arial"/>
          <w:sz w:val="18"/>
          <w:szCs w:val="18"/>
          <w:lang w:val="es-ES_tradnl"/>
        </w:rPr>
        <w:t xml:space="preserve">) que permitan verificar que cada vez que se solicita o genera información se siguen los pasos acordados internamiento por las unidades organizativas. </w:t>
      </w:r>
    </w:p>
  </w:footnote>
  <w:footnote w:id="15">
    <w:p w:rsidR="00AF75B9" w:rsidRPr="00D4169B" w:rsidRDefault="00AF75B9" w:rsidP="006439A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Los indicadores calculados se refieren a información disponible en el año 2011. Dado que aún las áreas se encuentran en proceso de reconfiguración, los aspectos centrales de la gestión del conocimiento no se han modificado y por ende es válido tomar la información disponible. </w:t>
      </w:r>
    </w:p>
  </w:footnote>
  <w:footnote w:id="16">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Año 2011, se prevé su actualización durante 2016.</w:t>
      </w:r>
    </w:p>
  </w:footnote>
  <w:footnote w:id="17">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Los indicadores calculados se refieren a información disponible en el año 2011. Dado que aún las áreas se encuentran en proceso de reconfiguración, los aspectos centrales de la gestión del conocimiento no se han modificado y por ende es válido tomar la información disponible.</w:t>
      </w:r>
    </w:p>
  </w:footnote>
  <w:footnote w:id="18">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información disponible se refiere al año 2011.</w:t>
      </w:r>
    </w:p>
  </w:footnote>
  <w:footnote w:id="19">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Los indicadores calculados se refieren a información disponible en el año 2011. Dado que aún las áreas se encuentran en proceso de reconfiguración, los aspectos centrales de la gestión del conocimiento no se han modificado y por ende es válido tomar la información disponible.</w:t>
      </w:r>
    </w:p>
  </w:footnote>
  <w:footnote w:id="20">
    <w:p w:rsidR="00185073" w:rsidRPr="00D4169B" w:rsidRDefault="00185073" w:rsidP="00185073">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Junio 2016.</w:t>
      </w:r>
    </w:p>
  </w:footnote>
  <w:footnote w:id="21">
    <w:p w:rsidR="00AF75B9" w:rsidRPr="00D4169B" w:rsidRDefault="00AF75B9" w:rsidP="00425B95">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Una parte de estos juicios en segunda instancia son a su vez recurridos en casación. Sin embargo, no pudo calcularse la tasa de éxito para las sentencias definitivas, ya que no son registradas en el DOTCOM (sólo disponibles en los sistemas informatizados de tribunales). </w:t>
      </w:r>
    </w:p>
  </w:footnote>
  <w:footnote w:id="22">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Obviamente, una actualización a pesos argentinos de hoy daría lugar a que las pretensiones de demandas presentadas hace 6 o 7 años al menos se habría que multiplicarlas por dos, dada la evolución de los precios.</w:t>
      </w:r>
    </w:p>
  </w:footnote>
  <w:footnote w:id="23">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El valor del ICEPE corresponde a la medición realizada en el año 2011. Debido a los cambios organizacionales y de personal acontecidos en las dependencias del Ejecutivo Nacional, la actualización del índice se realizará una vez consolidados los cambios mencionados.</w:t>
      </w:r>
    </w:p>
  </w:footnote>
  <w:footnote w:id="24">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El valor del ICEPE corresponde a la medición realizada en el año 2011. Debido a los cambios organizacionales y de personal acontecidos en las dependencias del Ejecutivo Nacional, la actualización del índice se realizará una vez consolidados los cambios mencionados.</w:t>
      </w:r>
    </w:p>
  </w:footnote>
  <w:footnote w:id="25">
    <w:p w:rsidR="00AF75B9" w:rsidRPr="00D4169B" w:rsidRDefault="00AF75B9">
      <w:pPr>
        <w:pStyle w:val="FootnoteText"/>
        <w:rPr>
          <w:rFonts w:ascii="Arial" w:hAnsi="Arial" w:cs="Arial"/>
          <w:sz w:val="18"/>
          <w:szCs w:val="18"/>
        </w:rPr>
      </w:pPr>
      <w:r w:rsidRPr="00D4169B">
        <w:rPr>
          <w:rStyle w:val="FootnoteReference"/>
          <w:rFonts w:ascii="Arial" w:hAnsi="Arial" w:cs="Arial"/>
          <w:sz w:val="18"/>
          <w:szCs w:val="18"/>
        </w:rPr>
        <w:footnoteRef/>
      </w:r>
      <w:r w:rsidRPr="00D4169B">
        <w:rPr>
          <w:rFonts w:ascii="Arial" w:hAnsi="Arial" w:cs="Arial"/>
          <w:sz w:val="18"/>
          <w:szCs w:val="18"/>
        </w:rPr>
        <w:t xml:space="preserve"> La Encuesta de Formación es un relevamiento realizado en el año 2011, se supone que los mecanismos de coordinación externa y gestión institucional se han mantenido constante en el tiempo. Se prevé la actualización de la Encuesta de referencia durante el 2016.</w:t>
      </w:r>
    </w:p>
  </w:footnote>
  <w:footnote w:id="26">
    <w:p w:rsidR="00AF75B9" w:rsidRPr="00D4169B" w:rsidRDefault="00AF75B9" w:rsidP="008D7054">
      <w:pPr>
        <w:pStyle w:val="FootnoteText"/>
        <w:rPr>
          <w:rFonts w:ascii="Arial" w:hAnsi="Arial" w:cs="Arial"/>
          <w:sz w:val="18"/>
          <w:szCs w:val="18"/>
          <w:lang w:val="es-ES_tradnl"/>
        </w:rPr>
      </w:pPr>
      <w:r w:rsidRPr="00D4169B">
        <w:rPr>
          <w:rStyle w:val="FootnoteReference"/>
          <w:rFonts w:ascii="Arial" w:hAnsi="Arial" w:cs="Arial"/>
          <w:sz w:val="18"/>
          <w:szCs w:val="18"/>
        </w:rPr>
        <w:footnoteRef/>
      </w:r>
      <w:r w:rsidRPr="00D4169B">
        <w:rPr>
          <w:rFonts w:ascii="Arial" w:hAnsi="Arial" w:cs="Arial"/>
          <w:sz w:val="18"/>
          <w:szCs w:val="18"/>
        </w:rPr>
        <w:t xml:space="preserve"> </w:t>
      </w:r>
      <w:r w:rsidRPr="00D4169B">
        <w:rPr>
          <w:rFonts w:ascii="Arial" w:hAnsi="Arial" w:cs="Arial"/>
          <w:sz w:val="18"/>
          <w:szCs w:val="18"/>
          <w:lang w:val="es-ES_tradnl"/>
        </w:rPr>
        <w:t xml:space="preserve">Ver sección </w:t>
      </w:r>
      <w:r w:rsidRPr="00D4169B">
        <w:rPr>
          <w:rFonts w:ascii="Arial" w:hAnsi="Arial" w:cs="Arial"/>
          <w:sz w:val="18"/>
          <w:szCs w:val="18"/>
          <w:lang w:val="es-ES_tradnl"/>
        </w:rPr>
        <w:fldChar w:fldCharType="begin"/>
      </w:r>
      <w:r w:rsidRPr="00D4169B">
        <w:rPr>
          <w:rFonts w:ascii="Arial" w:hAnsi="Arial" w:cs="Arial"/>
          <w:sz w:val="18"/>
          <w:szCs w:val="18"/>
          <w:lang w:val="es-ES_tradnl"/>
        </w:rPr>
        <w:instrText xml:space="preserve"> REF _Ref290241692 \r \h </w:instrText>
      </w:r>
      <w:r w:rsidRPr="00D4169B">
        <w:rPr>
          <w:rFonts w:ascii="Arial" w:hAnsi="Arial" w:cs="Arial"/>
          <w:sz w:val="18"/>
          <w:szCs w:val="18"/>
          <w:lang w:val="es-ES_tradnl"/>
        </w:rPr>
      </w:r>
      <w:r w:rsidR="00D4169B" w:rsidRPr="00D4169B">
        <w:rPr>
          <w:rFonts w:ascii="Arial" w:hAnsi="Arial" w:cs="Arial"/>
          <w:sz w:val="18"/>
          <w:szCs w:val="18"/>
          <w:lang w:val="es-ES_tradnl"/>
        </w:rPr>
        <w:instrText xml:space="preserve"> \* MERGEFORMAT </w:instrText>
      </w:r>
      <w:r w:rsidRPr="00D4169B">
        <w:rPr>
          <w:rFonts w:ascii="Arial" w:hAnsi="Arial" w:cs="Arial"/>
          <w:sz w:val="18"/>
          <w:szCs w:val="18"/>
          <w:lang w:val="es-ES_tradnl"/>
        </w:rPr>
        <w:fldChar w:fldCharType="separate"/>
      </w:r>
      <w:r w:rsidRPr="00D4169B">
        <w:rPr>
          <w:rFonts w:ascii="Arial" w:hAnsi="Arial" w:cs="Arial"/>
          <w:sz w:val="18"/>
          <w:szCs w:val="18"/>
          <w:lang w:val="es-ES_tradnl"/>
        </w:rPr>
        <w:t>3</w:t>
      </w:r>
      <w:r w:rsidRPr="00D4169B">
        <w:rPr>
          <w:rFonts w:ascii="Arial" w:hAnsi="Arial" w:cs="Arial"/>
          <w:sz w:val="18"/>
          <w:szCs w:val="18"/>
          <w:lang w:val="es-ES_tradnl"/>
        </w:rPr>
        <w:fldChar w:fldCharType="end"/>
      </w:r>
      <w:r w:rsidRPr="00D4169B">
        <w:rPr>
          <w:rFonts w:ascii="Arial" w:hAnsi="Arial" w:cs="Arial"/>
          <w:sz w:val="18"/>
          <w:szCs w:val="18"/>
          <w:lang w:val="es-ES_tradnl"/>
        </w:rPr>
        <w:t xml:space="preserve"> para un detalle de estos problemas.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B9" w:rsidRDefault="00AF75B9">
    <w:pPr>
      <w:pStyle w:val="Header"/>
      <w:rPr>
        <w:rStyle w:val="PageNumber"/>
        <w:snapToGrid w:val="0"/>
      </w:rPr>
    </w:pPr>
  </w:p>
  <w:p w:rsidR="00AF75B9" w:rsidRDefault="00AF75B9">
    <w:pPr>
      <w:pStyle w:val="Header"/>
      <w:jc w:val="right"/>
      <w:rPr>
        <w:lang w:val="pt-PT"/>
      </w:rPr>
    </w:pPr>
    <w:r>
      <w:rPr>
        <w:rStyle w:val="PageNumber"/>
        <w:snapToGrid w:val="0"/>
        <w:lang w:val="pt-PT"/>
      </w:rPr>
      <w:t xml:space="preserve">                               Anexo III - </w:t>
    </w:r>
    <w:r>
      <w:rPr>
        <w:lang w:val="pt-PT"/>
      </w:rPr>
      <w:t xml:space="preserve">Página </w:t>
    </w:r>
    <w:r>
      <w:rPr>
        <w:lang w:val="pt-PT"/>
      </w:rPr>
      <w:fldChar w:fldCharType="begin"/>
    </w:r>
    <w:r>
      <w:rPr>
        <w:lang w:val="pt-PT"/>
      </w:rPr>
      <w:instrText xml:space="preserve"> PAGE </w:instrText>
    </w:r>
    <w:r>
      <w:rPr>
        <w:lang w:val="pt-PT"/>
      </w:rPr>
      <w:fldChar w:fldCharType="separate"/>
    </w:r>
    <w:r>
      <w:rPr>
        <w:noProof/>
        <w:lang w:val="pt-PT"/>
      </w:rPr>
      <w:t>1</w:t>
    </w:r>
    <w:r>
      <w:rPr>
        <w:lang w:val="pt-PT"/>
      </w:rPr>
      <w:fldChar w:fldCharType="end"/>
    </w:r>
    <w:r>
      <w:rPr>
        <w:lang w:val="pt-PT"/>
      </w:rPr>
      <w:t xml:space="preserve"> de </w:t>
    </w:r>
    <w:proofErr w:type="gramStart"/>
    <w:r>
      <w:rPr>
        <w:lang w:val="pt-PT"/>
      </w:rPr>
      <w:t>1</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F1379"/>
    <w:multiLevelType w:val="hybridMultilevel"/>
    <w:tmpl w:val="B21C8562"/>
    <w:lvl w:ilvl="0" w:tplc="B33A29AA">
      <w:start w:val="1"/>
      <w:numFmt w:val="decimal"/>
      <w:lvlText w:val="%1."/>
      <w:lvlJc w:val="lef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1">
    <w:nsid w:val="043E6E2E"/>
    <w:multiLevelType w:val="hybridMultilevel"/>
    <w:tmpl w:val="400A491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2">
    <w:nsid w:val="05C802B9"/>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0AB3398D"/>
    <w:multiLevelType w:val="hybridMultilevel"/>
    <w:tmpl w:val="DA2C41BC"/>
    <w:lvl w:ilvl="0" w:tplc="1D70CCBA">
      <w:start w:val="19"/>
      <w:numFmt w:val="decimal"/>
      <w:lvlText w:val="%1."/>
      <w:lvlJc w:val="left"/>
      <w:pPr>
        <w:ind w:left="72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0D716940"/>
    <w:multiLevelType w:val="multilevel"/>
    <w:tmpl w:val="834C783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6">
    <w:nsid w:val="18A238B1"/>
    <w:multiLevelType w:val="hybridMultilevel"/>
    <w:tmpl w:val="DA2C41BC"/>
    <w:lvl w:ilvl="0" w:tplc="1D70CCBA">
      <w:start w:val="19"/>
      <w:numFmt w:val="decimal"/>
      <w:lvlText w:val="%1."/>
      <w:lvlJc w:val="left"/>
      <w:pPr>
        <w:ind w:left="72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1ED57C5E"/>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8">
    <w:nsid w:val="207026AC"/>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9">
    <w:nsid w:val="20C67A1C"/>
    <w:multiLevelType w:val="hybridMultilevel"/>
    <w:tmpl w:val="8FF06866"/>
    <w:lvl w:ilvl="0" w:tplc="763447EA">
      <w:start w:val="1"/>
      <w:numFmt w:val="lowerLetter"/>
      <w:pStyle w:val="Heading3"/>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23A81918"/>
    <w:multiLevelType w:val="hybridMultilevel"/>
    <w:tmpl w:val="B554C97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F3F3FCC"/>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2">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nsid w:val="341B3049"/>
    <w:multiLevelType w:val="hybridMultilevel"/>
    <w:tmpl w:val="2EA4CAB8"/>
    <w:lvl w:ilvl="0" w:tplc="0C0A000F">
      <w:start w:val="1"/>
      <w:numFmt w:val="decimal"/>
      <w:lvlText w:val="%1."/>
      <w:lvlJc w:val="left"/>
      <w:pPr>
        <w:tabs>
          <w:tab w:val="num" w:pos="1344"/>
        </w:tabs>
        <w:ind w:left="1344" w:hanging="360"/>
      </w:pPr>
    </w:lvl>
    <w:lvl w:ilvl="1" w:tplc="0C0A0019">
      <w:start w:val="1"/>
      <w:numFmt w:val="lowerLetter"/>
      <w:lvlText w:val="%2."/>
      <w:lvlJc w:val="left"/>
      <w:pPr>
        <w:tabs>
          <w:tab w:val="num" w:pos="2064"/>
        </w:tabs>
        <w:ind w:left="2064" w:hanging="360"/>
      </w:pPr>
    </w:lvl>
    <w:lvl w:ilvl="2" w:tplc="0C0A001B">
      <w:start w:val="1"/>
      <w:numFmt w:val="lowerRoman"/>
      <w:lvlText w:val="%3."/>
      <w:lvlJc w:val="right"/>
      <w:pPr>
        <w:tabs>
          <w:tab w:val="num" w:pos="2784"/>
        </w:tabs>
        <w:ind w:left="2784" w:hanging="180"/>
      </w:pPr>
    </w:lvl>
    <w:lvl w:ilvl="3" w:tplc="0C0A000F">
      <w:start w:val="1"/>
      <w:numFmt w:val="decimal"/>
      <w:lvlText w:val="%4."/>
      <w:lvlJc w:val="left"/>
      <w:pPr>
        <w:tabs>
          <w:tab w:val="num" w:pos="3504"/>
        </w:tabs>
        <w:ind w:left="3504" w:hanging="360"/>
      </w:pPr>
    </w:lvl>
    <w:lvl w:ilvl="4" w:tplc="0C0A0019">
      <w:start w:val="1"/>
      <w:numFmt w:val="lowerLetter"/>
      <w:lvlText w:val="%5."/>
      <w:lvlJc w:val="left"/>
      <w:pPr>
        <w:tabs>
          <w:tab w:val="num" w:pos="4224"/>
        </w:tabs>
        <w:ind w:left="4224" w:hanging="360"/>
      </w:pPr>
    </w:lvl>
    <w:lvl w:ilvl="5" w:tplc="0C0A001B">
      <w:start w:val="1"/>
      <w:numFmt w:val="lowerRoman"/>
      <w:lvlText w:val="%6."/>
      <w:lvlJc w:val="right"/>
      <w:pPr>
        <w:tabs>
          <w:tab w:val="num" w:pos="4944"/>
        </w:tabs>
        <w:ind w:left="4944" w:hanging="180"/>
      </w:pPr>
    </w:lvl>
    <w:lvl w:ilvl="6" w:tplc="0C0A000F">
      <w:start w:val="1"/>
      <w:numFmt w:val="decimal"/>
      <w:lvlText w:val="%7."/>
      <w:lvlJc w:val="left"/>
      <w:pPr>
        <w:tabs>
          <w:tab w:val="num" w:pos="5664"/>
        </w:tabs>
        <w:ind w:left="5664" w:hanging="360"/>
      </w:pPr>
    </w:lvl>
    <w:lvl w:ilvl="7" w:tplc="0C0A0019">
      <w:start w:val="1"/>
      <w:numFmt w:val="lowerLetter"/>
      <w:lvlText w:val="%8."/>
      <w:lvlJc w:val="left"/>
      <w:pPr>
        <w:tabs>
          <w:tab w:val="num" w:pos="6384"/>
        </w:tabs>
        <w:ind w:left="6384" w:hanging="360"/>
      </w:pPr>
    </w:lvl>
    <w:lvl w:ilvl="8" w:tplc="0C0A001B">
      <w:start w:val="1"/>
      <w:numFmt w:val="lowerRoman"/>
      <w:lvlText w:val="%9."/>
      <w:lvlJc w:val="right"/>
      <w:pPr>
        <w:tabs>
          <w:tab w:val="num" w:pos="7104"/>
        </w:tabs>
        <w:ind w:left="7104" w:hanging="180"/>
      </w:pPr>
    </w:lvl>
  </w:abstractNum>
  <w:abstractNum w:abstractNumId="24">
    <w:nsid w:val="360528D0"/>
    <w:multiLevelType w:val="hybridMultilevel"/>
    <w:tmpl w:val="EAA678A8"/>
    <w:lvl w:ilvl="0" w:tplc="2C0A000D">
      <w:start w:val="1"/>
      <w:numFmt w:val="bullet"/>
      <w:lvlText w:val=""/>
      <w:lvlJc w:val="left"/>
      <w:pPr>
        <w:tabs>
          <w:tab w:val="num" w:pos="360"/>
        </w:tabs>
        <w:ind w:left="360" w:hanging="360"/>
      </w:pPr>
      <w:rPr>
        <w:rFonts w:ascii="Wingdings" w:hAnsi="Wingdings" w:hint="default"/>
      </w:rPr>
    </w:lvl>
    <w:lvl w:ilvl="1" w:tplc="2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D9C3987"/>
    <w:multiLevelType w:val="hybridMultilevel"/>
    <w:tmpl w:val="E326A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01E6E31"/>
    <w:multiLevelType w:val="hybridMultilevel"/>
    <w:tmpl w:val="709C69B6"/>
    <w:lvl w:ilvl="0" w:tplc="EFA0724E">
      <w:start w:val="15"/>
      <w:numFmt w:val="decimal"/>
      <w:lvlText w:val="%1."/>
      <w:lvlJc w:val="left"/>
      <w:pPr>
        <w:ind w:left="720"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404847DE"/>
    <w:multiLevelType w:val="hybridMultilevel"/>
    <w:tmpl w:val="ABE02B50"/>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8">
    <w:nsid w:val="41615DC8"/>
    <w:multiLevelType w:val="hybridMultilevel"/>
    <w:tmpl w:val="0F5EF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426B4348"/>
    <w:multiLevelType w:val="hybridMultilevel"/>
    <w:tmpl w:val="627A557A"/>
    <w:lvl w:ilvl="0" w:tplc="8392E94C">
      <w:start w:val="1"/>
      <w:numFmt w:val="decimal"/>
      <w:pStyle w:val="Title"/>
      <w:lvlText w:val="Anexo %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0">
    <w:nsid w:val="496F77CC"/>
    <w:multiLevelType w:val="hybridMultilevel"/>
    <w:tmpl w:val="1F0A4D42"/>
    <w:lvl w:ilvl="0" w:tplc="12F45CD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498402CB"/>
    <w:multiLevelType w:val="hybridMultilevel"/>
    <w:tmpl w:val="ABEE3BC0"/>
    <w:lvl w:ilvl="0" w:tplc="040A000F">
      <w:start w:val="1"/>
      <w:numFmt w:val="decimal"/>
      <w:lvlText w:val="%1."/>
      <w:lvlJc w:val="left"/>
      <w:pPr>
        <w:tabs>
          <w:tab w:val="num" w:pos="720"/>
        </w:tabs>
        <w:ind w:left="720" w:hanging="360"/>
      </w:pPr>
    </w:lvl>
    <w:lvl w:ilvl="1" w:tplc="040A0019">
      <w:start w:val="1"/>
      <w:numFmt w:val="lowerLetter"/>
      <w:lvlText w:val="%2."/>
      <w:lvlJc w:val="left"/>
      <w:pPr>
        <w:tabs>
          <w:tab w:val="num" w:pos="1440"/>
        </w:tabs>
        <w:ind w:left="1440" w:hanging="360"/>
      </w:pPr>
    </w:lvl>
    <w:lvl w:ilvl="2" w:tplc="040A001B">
      <w:start w:val="1"/>
      <w:numFmt w:val="lowerRoman"/>
      <w:lvlText w:val="%3."/>
      <w:lvlJc w:val="right"/>
      <w:pPr>
        <w:tabs>
          <w:tab w:val="num" w:pos="2160"/>
        </w:tabs>
        <w:ind w:left="2160" w:hanging="180"/>
      </w:pPr>
    </w:lvl>
    <w:lvl w:ilvl="3" w:tplc="040A000F">
      <w:start w:val="1"/>
      <w:numFmt w:val="decimal"/>
      <w:lvlText w:val="%4."/>
      <w:lvlJc w:val="left"/>
      <w:pPr>
        <w:tabs>
          <w:tab w:val="num" w:pos="2880"/>
        </w:tabs>
        <w:ind w:left="2880" w:hanging="360"/>
      </w:pPr>
    </w:lvl>
    <w:lvl w:ilvl="4" w:tplc="040A0019">
      <w:start w:val="1"/>
      <w:numFmt w:val="lowerLetter"/>
      <w:lvlText w:val="%5."/>
      <w:lvlJc w:val="left"/>
      <w:pPr>
        <w:tabs>
          <w:tab w:val="num" w:pos="3600"/>
        </w:tabs>
        <w:ind w:left="3600" w:hanging="360"/>
      </w:pPr>
    </w:lvl>
    <w:lvl w:ilvl="5" w:tplc="040A001B">
      <w:start w:val="1"/>
      <w:numFmt w:val="lowerRoman"/>
      <w:lvlText w:val="%6."/>
      <w:lvlJc w:val="right"/>
      <w:pPr>
        <w:tabs>
          <w:tab w:val="num" w:pos="4320"/>
        </w:tabs>
        <w:ind w:left="4320" w:hanging="180"/>
      </w:pPr>
    </w:lvl>
    <w:lvl w:ilvl="6" w:tplc="040A000F">
      <w:start w:val="1"/>
      <w:numFmt w:val="decimal"/>
      <w:lvlText w:val="%7."/>
      <w:lvlJc w:val="left"/>
      <w:pPr>
        <w:tabs>
          <w:tab w:val="num" w:pos="5040"/>
        </w:tabs>
        <w:ind w:left="5040" w:hanging="360"/>
      </w:pPr>
    </w:lvl>
    <w:lvl w:ilvl="7" w:tplc="040A0019">
      <w:start w:val="1"/>
      <w:numFmt w:val="lowerLetter"/>
      <w:lvlText w:val="%8."/>
      <w:lvlJc w:val="left"/>
      <w:pPr>
        <w:tabs>
          <w:tab w:val="num" w:pos="5760"/>
        </w:tabs>
        <w:ind w:left="5760" w:hanging="360"/>
      </w:pPr>
    </w:lvl>
    <w:lvl w:ilvl="8" w:tplc="040A001B">
      <w:start w:val="1"/>
      <w:numFmt w:val="lowerRoman"/>
      <w:lvlText w:val="%9."/>
      <w:lvlJc w:val="right"/>
      <w:pPr>
        <w:tabs>
          <w:tab w:val="num" w:pos="6480"/>
        </w:tabs>
        <w:ind w:left="6480" w:hanging="180"/>
      </w:pPr>
    </w:lvl>
  </w:abstractNum>
  <w:abstractNum w:abstractNumId="32">
    <w:nsid w:val="4DDD61D7"/>
    <w:multiLevelType w:val="hybridMultilevel"/>
    <w:tmpl w:val="8C3C863C"/>
    <w:lvl w:ilvl="0" w:tplc="95FEA4B0">
      <w:numFmt w:val="bullet"/>
      <w:lvlText w:val="-"/>
      <w:lvlJc w:val="left"/>
      <w:pPr>
        <w:tabs>
          <w:tab w:val="num" w:pos="1680"/>
        </w:tabs>
        <w:ind w:left="1680" w:hanging="960"/>
      </w:pPr>
      <w:rPr>
        <w:rFonts w:ascii="Times New Roman" w:eastAsia="Times New Roman" w:hAnsi="Times New Roman" w:cs="Times New Roman" w:hint="default"/>
      </w:rPr>
    </w:lvl>
    <w:lvl w:ilvl="1" w:tplc="040A0003">
      <w:start w:val="1"/>
      <w:numFmt w:val="bullet"/>
      <w:lvlText w:val="o"/>
      <w:lvlJc w:val="left"/>
      <w:pPr>
        <w:tabs>
          <w:tab w:val="num" w:pos="1800"/>
        </w:tabs>
        <w:ind w:left="1800" w:hanging="360"/>
      </w:pPr>
      <w:rPr>
        <w:rFonts w:ascii="Courier New" w:hAnsi="Courier New" w:cs="Courier New" w:hint="default"/>
      </w:rPr>
    </w:lvl>
    <w:lvl w:ilvl="2" w:tplc="040A0005">
      <w:start w:val="1"/>
      <w:numFmt w:val="bullet"/>
      <w:lvlText w:val=""/>
      <w:lvlJc w:val="left"/>
      <w:pPr>
        <w:tabs>
          <w:tab w:val="num" w:pos="2520"/>
        </w:tabs>
        <w:ind w:left="2520" w:hanging="360"/>
      </w:pPr>
      <w:rPr>
        <w:rFonts w:ascii="Wingdings" w:hAnsi="Wingdings" w:hint="default"/>
      </w:rPr>
    </w:lvl>
    <w:lvl w:ilvl="3" w:tplc="040A0001">
      <w:start w:val="1"/>
      <w:numFmt w:val="bullet"/>
      <w:lvlText w:val=""/>
      <w:lvlJc w:val="left"/>
      <w:pPr>
        <w:tabs>
          <w:tab w:val="num" w:pos="3240"/>
        </w:tabs>
        <w:ind w:left="3240" w:hanging="360"/>
      </w:pPr>
      <w:rPr>
        <w:rFonts w:ascii="Symbol" w:hAnsi="Symbol" w:hint="default"/>
      </w:rPr>
    </w:lvl>
    <w:lvl w:ilvl="4" w:tplc="040A0003">
      <w:start w:val="1"/>
      <w:numFmt w:val="bullet"/>
      <w:lvlText w:val="o"/>
      <w:lvlJc w:val="left"/>
      <w:pPr>
        <w:tabs>
          <w:tab w:val="num" w:pos="3960"/>
        </w:tabs>
        <w:ind w:left="3960" w:hanging="360"/>
      </w:pPr>
      <w:rPr>
        <w:rFonts w:ascii="Courier New" w:hAnsi="Courier New" w:cs="Courier New" w:hint="default"/>
      </w:rPr>
    </w:lvl>
    <w:lvl w:ilvl="5" w:tplc="040A0005">
      <w:start w:val="1"/>
      <w:numFmt w:val="bullet"/>
      <w:lvlText w:val=""/>
      <w:lvlJc w:val="left"/>
      <w:pPr>
        <w:tabs>
          <w:tab w:val="num" w:pos="4680"/>
        </w:tabs>
        <w:ind w:left="4680" w:hanging="360"/>
      </w:pPr>
      <w:rPr>
        <w:rFonts w:ascii="Wingdings" w:hAnsi="Wingdings" w:hint="default"/>
      </w:rPr>
    </w:lvl>
    <w:lvl w:ilvl="6" w:tplc="040A0001">
      <w:start w:val="1"/>
      <w:numFmt w:val="bullet"/>
      <w:lvlText w:val=""/>
      <w:lvlJc w:val="left"/>
      <w:pPr>
        <w:tabs>
          <w:tab w:val="num" w:pos="5400"/>
        </w:tabs>
        <w:ind w:left="5400" w:hanging="360"/>
      </w:pPr>
      <w:rPr>
        <w:rFonts w:ascii="Symbol" w:hAnsi="Symbol" w:hint="default"/>
      </w:rPr>
    </w:lvl>
    <w:lvl w:ilvl="7" w:tplc="040A0003">
      <w:start w:val="1"/>
      <w:numFmt w:val="bullet"/>
      <w:lvlText w:val="o"/>
      <w:lvlJc w:val="left"/>
      <w:pPr>
        <w:tabs>
          <w:tab w:val="num" w:pos="6120"/>
        </w:tabs>
        <w:ind w:left="6120" w:hanging="360"/>
      </w:pPr>
      <w:rPr>
        <w:rFonts w:ascii="Courier New" w:hAnsi="Courier New" w:cs="Courier New" w:hint="default"/>
      </w:rPr>
    </w:lvl>
    <w:lvl w:ilvl="8" w:tplc="040A0005">
      <w:start w:val="1"/>
      <w:numFmt w:val="bullet"/>
      <w:lvlText w:val=""/>
      <w:lvlJc w:val="left"/>
      <w:pPr>
        <w:tabs>
          <w:tab w:val="num" w:pos="6840"/>
        </w:tabs>
        <w:ind w:left="6840" w:hanging="360"/>
      </w:pPr>
      <w:rPr>
        <w:rFonts w:ascii="Wingdings" w:hAnsi="Wingdings" w:hint="default"/>
      </w:rPr>
    </w:lvl>
  </w:abstractNum>
  <w:abstractNum w:abstractNumId="33">
    <w:nsid w:val="507737AE"/>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4">
    <w:nsid w:val="50B45886"/>
    <w:multiLevelType w:val="hybridMultilevel"/>
    <w:tmpl w:val="ACE8C506"/>
    <w:lvl w:ilvl="0" w:tplc="86A4BDFA">
      <w:numFmt w:val="bullet"/>
      <w:lvlText w:val=""/>
      <w:lvlJc w:val="left"/>
      <w:pPr>
        <w:ind w:left="1778" w:hanging="360"/>
      </w:pPr>
      <w:rPr>
        <w:rFonts w:ascii="Symbol" w:eastAsia="Times New Roman" w:hAnsi="Symbol" w:cs="Times New Roman" w:hint="default"/>
      </w:rPr>
    </w:lvl>
    <w:lvl w:ilvl="1" w:tplc="040A0003" w:tentative="1">
      <w:start w:val="1"/>
      <w:numFmt w:val="bullet"/>
      <w:lvlText w:val="o"/>
      <w:lvlJc w:val="left"/>
      <w:pPr>
        <w:ind w:left="2498" w:hanging="360"/>
      </w:pPr>
      <w:rPr>
        <w:rFonts w:ascii="Courier New" w:hAnsi="Courier New" w:cs="Courier New" w:hint="default"/>
      </w:rPr>
    </w:lvl>
    <w:lvl w:ilvl="2" w:tplc="040A0005" w:tentative="1">
      <w:start w:val="1"/>
      <w:numFmt w:val="bullet"/>
      <w:lvlText w:val=""/>
      <w:lvlJc w:val="left"/>
      <w:pPr>
        <w:ind w:left="3218" w:hanging="360"/>
      </w:pPr>
      <w:rPr>
        <w:rFonts w:ascii="Wingdings" w:hAnsi="Wingdings" w:hint="default"/>
      </w:rPr>
    </w:lvl>
    <w:lvl w:ilvl="3" w:tplc="040A0001" w:tentative="1">
      <w:start w:val="1"/>
      <w:numFmt w:val="bullet"/>
      <w:lvlText w:val=""/>
      <w:lvlJc w:val="left"/>
      <w:pPr>
        <w:ind w:left="3938" w:hanging="360"/>
      </w:pPr>
      <w:rPr>
        <w:rFonts w:ascii="Symbol" w:hAnsi="Symbol" w:hint="default"/>
      </w:rPr>
    </w:lvl>
    <w:lvl w:ilvl="4" w:tplc="040A0003" w:tentative="1">
      <w:start w:val="1"/>
      <w:numFmt w:val="bullet"/>
      <w:lvlText w:val="o"/>
      <w:lvlJc w:val="left"/>
      <w:pPr>
        <w:ind w:left="4658" w:hanging="360"/>
      </w:pPr>
      <w:rPr>
        <w:rFonts w:ascii="Courier New" w:hAnsi="Courier New" w:cs="Courier New" w:hint="default"/>
      </w:rPr>
    </w:lvl>
    <w:lvl w:ilvl="5" w:tplc="040A0005" w:tentative="1">
      <w:start w:val="1"/>
      <w:numFmt w:val="bullet"/>
      <w:lvlText w:val=""/>
      <w:lvlJc w:val="left"/>
      <w:pPr>
        <w:ind w:left="5378" w:hanging="360"/>
      </w:pPr>
      <w:rPr>
        <w:rFonts w:ascii="Wingdings" w:hAnsi="Wingdings" w:hint="default"/>
      </w:rPr>
    </w:lvl>
    <w:lvl w:ilvl="6" w:tplc="040A0001" w:tentative="1">
      <w:start w:val="1"/>
      <w:numFmt w:val="bullet"/>
      <w:lvlText w:val=""/>
      <w:lvlJc w:val="left"/>
      <w:pPr>
        <w:ind w:left="6098" w:hanging="360"/>
      </w:pPr>
      <w:rPr>
        <w:rFonts w:ascii="Symbol" w:hAnsi="Symbol" w:hint="default"/>
      </w:rPr>
    </w:lvl>
    <w:lvl w:ilvl="7" w:tplc="040A0003" w:tentative="1">
      <w:start w:val="1"/>
      <w:numFmt w:val="bullet"/>
      <w:lvlText w:val="o"/>
      <w:lvlJc w:val="left"/>
      <w:pPr>
        <w:ind w:left="6818" w:hanging="360"/>
      </w:pPr>
      <w:rPr>
        <w:rFonts w:ascii="Courier New" w:hAnsi="Courier New" w:cs="Courier New" w:hint="default"/>
      </w:rPr>
    </w:lvl>
    <w:lvl w:ilvl="8" w:tplc="040A0005" w:tentative="1">
      <w:start w:val="1"/>
      <w:numFmt w:val="bullet"/>
      <w:lvlText w:val=""/>
      <w:lvlJc w:val="left"/>
      <w:pPr>
        <w:ind w:left="7538" w:hanging="360"/>
      </w:pPr>
      <w:rPr>
        <w:rFonts w:ascii="Wingdings" w:hAnsi="Wingdings" w:hint="default"/>
      </w:rPr>
    </w:lvl>
  </w:abstractNum>
  <w:abstractNum w:abstractNumId="35">
    <w:nsid w:val="54D66388"/>
    <w:multiLevelType w:val="hybridMultilevel"/>
    <w:tmpl w:val="D414ADB2"/>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6">
    <w:nsid w:val="57B5755C"/>
    <w:multiLevelType w:val="hybridMultilevel"/>
    <w:tmpl w:val="886C174E"/>
    <w:lvl w:ilvl="0" w:tplc="4ADA1408">
      <w:start w:val="11"/>
      <w:numFmt w:val="decimal"/>
      <w:lvlText w:val="%1."/>
      <w:lvlJc w:val="left"/>
      <w:pPr>
        <w:ind w:left="36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nsid w:val="5C322557"/>
    <w:multiLevelType w:val="hybridMultilevel"/>
    <w:tmpl w:val="874CF7CC"/>
    <w:lvl w:ilvl="0" w:tplc="040A0005">
      <w:start w:val="1"/>
      <w:numFmt w:val="bullet"/>
      <w:lvlText w:val=""/>
      <w:lvlJc w:val="left"/>
      <w:pPr>
        <w:ind w:left="927" w:hanging="360"/>
      </w:pPr>
      <w:rPr>
        <w:rFonts w:ascii="Wingdings" w:hAnsi="Wingdings" w:hint="default"/>
      </w:rPr>
    </w:lvl>
    <w:lvl w:ilvl="1" w:tplc="040A0003" w:tentative="1">
      <w:start w:val="1"/>
      <w:numFmt w:val="bullet"/>
      <w:lvlText w:val="o"/>
      <w:lvlJc w:val="left"/>
      <w:pPr>
        <w:ind w:left="1647" w:hanging="360"/>
      </w:pPr>
      <w:rPr>
        <w:rFonts w:ascii="Courier New" w:hAnsi="Courier New" w:cs="Courier New" w:hint="default"/>
      </w:rPr>
    </w:lvl>
    <w:lvl w:ilvl="2" w:tplc="040A0005" w:tentative="1">
      <w:start w:val="1"/>
      <w:numFmt w:val="bullet"/>
      <w:lvlText w:val=""/>
      <w:lvlJc w:val="left"/>
      <w:pPr>
        <w:ind w:left="2367" w:hanging="360"/>
      </w:pPr>
      <w:rPr>
        <w:rFonts w:ascii="Wingdings" w:hAnsi="Wingdings" w:hint="default"/>
      </w:rPr>
    </w:lvl>
    <w:lvl w:ilvl="3" w:tplc="040A0001" w:tentative="1">
      <w:start w:val="1"/>
      <w:numFmt w:val="bullet"/>
      <w:lvlText w:val=""/>
      <w:lvlJc w:val="left"/>
      <w:pPr>
        <w:ind w:left="3087" w:hanging="360"/>
      </w:pPr>
      <w:rPr>
        <w:rFonts w:ascii="Symbol" w:hAnsi="Symbol" w:hint="default"/>
      </w:rPr>
    </w:lvl>
    <w:lvl w:ilvl="4" w:tplc="040A0003" w:tentative="1">
      <w:start w:val="1"/>
      <w:numFmt w:val="bullet"/>
      <w:lvlText w:val="o"/>
      <w:lvlJc w:val="left"/>
      <w:pPr>
        <w:ind w:left="3807" w:hanging="360"/>
      </w:pPr>
      <w:rPr>
        <w:rFonts w:ascii="Courier New" w:hAnsi="Courier New" w:cs="Courier New" w:hint="default"/>
      </w:rPr>
    </w:lvl>
    <w:lvl w:ilvl="5" w:tplc="040A0005" w:tentative="1">
      <w:start w:val="1"/>
      <w:numFmt w:val="bullet"/>
      <w:lvlText w:val=""/>
      <w:lvlJc w:val="left"/>
      <w:pPr>
        <w:ind w:left="4527" w:hanging="360"/>
      </w:pPr>
      <w:rPr>
        <w:rFonts w:ascii="Wingdings" w:hAnsi="Wingdings" w:hint="default"/>
      </w:rPr>
    </w:lvl>
    <w:lvl w:ilvl="6" w:tplc="040A0001" w:tentative="1">
      <w:start w:val="1"/>
      <w:numFmt w:val="bullet"/>
      <w:lvlText w:val=""/>
      <w:lvlJc w:val="left"/>
      <w:pPr>
        <w:ind w:left="5247" w:hanging="360"/>
      </w:pPr>
      <w:rPr>
        <w:rFonts w:ascii="Symbol" w:hAnsi="Symbol" w:hint="default"/>
      </w:rPr>
    </w:lvl>
    <w:lvl w:ilvl="7" w:tplc="040A0003" w:tentative="1">
      <w:start w:val="1"/>
      <w:numFmt w:val="bullet"/>
      <w:lvlText w:val="o"/>
      <w:lvlJc w:val="left"/>
      <w:pPr>
        <w:ind w:left="5967" w:hanging="360"/>
      </w:pPr>
      <w:rPr>
        <w:rFonts w:ascii="Courier New" w:hAnsi="Courier New" w:cs="Courier New" w:hint="default"/>
      </w:rPr>
    </w:lvl>
    <w:lvl w:ilvl="8" w:tplc="040A0005" w:tentative="1">
      <w:start w:val="1"/>
      <w:numFmt w:val="bullet"/>
      <w:lvlText w:val=""/>
      <w:lvlJc w:val="left"/>
      <w:pPr>
        <w:ind w:left="6687" w:hanging="360"/>
      </w:pPr>
      <w:rPr>
        <w:rFonts w:ascii="Wingdings" w:hAnsi="Wingdings" w:hint="default"/>
      </w:rPr>
    </w:lvl>
  </w:abstractNum>
  <w:abstractNum w:abstractNumId="38">
    <w:nsid w:val="5E913433"/>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9">
    <w:nsid w:val="625941FB"/>
    <w:multiLevelType w:val="hybridMultilevel"/>
    <w:tmpl w:val="E3A00E10"/>
    <w:lvl w:ilvl="0" w:tplc="040A0015">
      <w:start w:val="1"/>
      <w:numFmt w:val="upp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40">
    <w:nsid w:val="62923C71"/>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41">
    <w:nsid w:val="63CB1E83"/>
    <w:multiLevelType w:val="hybridMultilevel"/>
    <w:tmpl w:val="ABE02B50"/>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2">
    <w:nsid w:val="679E7032"/>
    <w:multiLevelType w:val="hybridMultilevel"/>
    <w:tmpl w:val="F788E32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43">
    <w:nsid w:val="6CBF316F"/>
    <w:multiLevelType w:val="hybridMultilevel"/>
    <w:tmpl w:val="400A491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44">
    <w:nsid w:val="6D71531E"/>
    <w:multiLevelType w:val="hybridMultilevel"/>
    <w:tmpl w:val="D13C92FE"/>
    <w:lvl w:ilvl="0" w:tplc="920AEBD8">
      <w:start w:val="1"/>
      <w:numFmt w:val="decimal"/>
      <w:lvlText w:val="%1."/>
      <w:lvlJc w:val="left"/>
      <w:pPr>
        <w:ind w:left="643"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nsid w:val="75854B37"/>
    <w:multiLevelType w:val="hybridMultilevel"/>
    <w:tmpl w:val="96605784"/>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46">
    <w:nsid w:val="7DE919B0"/>
    <w:multiLevelType w:val="hybridMultilevel"/>
    <w:tmpl w:val="400A491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num w:numId="1">
    <w:abstractNumId w:val="22"/>
  </w:num>
  <w:num w:numId="2">
    <w:abstractNumId w:val="19"/>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7"/>
  </w:num>
  <w:num w:numId="15">
    <w:abstractNumId w:val="15"/>
  </w:num>
  <w:num w:numId="16">
    <w:abstractNumId w:val="11"/>
  </w:num>
  <w:num w:numId="17">
    <w:abstractNumId w:val="46"/>
  </w:num>
  <w:num w:numId="18">
    <w:abstractNumId w:val="43"/>
  </w:num>
  <w:num w:numId="19">
    <w:abstractNumId w:val="42"/>
  </w:num>
  <w:num w:numId="20">
    <w:abstractNumId w:val="17"/>
  </w:num>
  <w:num w:numId="21">
    <w:abstractNumId w:val="39"/>
  </w:num>
  <w:num w:numId="22">
    <w:abstractNumId w:val="29"/>
  </w:num>
  <w:num w:numId="23">
    <w:abstractNumId w:val="37"/>
  </w:num>
  <w:num w:numId="24">
    <w:abstractNumId w:val="40"/>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9"/>
  </w:num>
  <w:num w:numId="28">
    <w:abstractNumId w:val="38"/>
  </w:num>
  <w:num w:numId="29">
    <w:abstractNumId w:val="10"/>
  </w:num>
  <w:num w:numId="30">
    <w:abstractNumId w:val="34"/>
  </w:num>
  <w:num w:numId="31">
    <w:abstractNumId w:val="3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5"/>
  </w:num>
  <w:num w:numId="36">
    <w:abstractNumId w:val="33"/>
  </w:num>
  <w:num w:numId="37">
    <w:abstractNumId w:val="24"/>
  </w:num>
  <w:num w:numId="38">
    <w:abstractNumId w:val="35"/>
  </w:num>
  <w:num w:numId="39">
    <w:abstractNumId w:val="12"/>
  </w:num>
  <w:num w:numId="40">
    <w:abstractNumId w:val="13"/>
  </w:num>
  <w:num w:numId="41">
    <w:abstractNumId w:val="21"/>
  </w:num>
  <w:num w:numId="42">
    <w:abstractNumId w:val="30"/>
  </w:num>
  <w:num w:numId="43">
    <w:abstractNumId w:val="18"/>
  </w:num>
  <w:num w:numId="44">
    <w:abstractNumId w:val="44"/>
  </w:num>
  <w:num w:numId="45">
    <w:abstractNumId w:val="16"/>
  </w:num>
  <w:num w:numId="46">
    <w:abstractNumId w:val="36"/>
  </w:num>
  <w:num w:numId="47">
    <w:abstractNumId w:val="26"/>
  </w:num>
  <w:num w:numId="48">
    <w:abstractNumId w:val="29"/>
  </w:num>
  <w:num w:numId="49">
    <w:abstractNumId w:val="20"/>
  </w:num>
  <w:num w:numId="50">
    <w:abstractNumId w:val="14"/>
  </w:num>
  <w:num w:numId="51">
    <w:abstractNumId w:val="14"/>
  </w:num>
  <w:num w:numId="52">
    <w:abstractNumId w:val="41"/>
  </w:num>
  <w:num w:numId="53">
    <w:abstractNumId w:val="14"/>
  </w:num>
  <w:num w:numId="5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0EDB"/>
    <w:rsid w:val="000022B3"/>
    <w:rsid w:val="00003893"/>
    <w:rsid w:val="000041E5"/>
    <w:rsid w:val="000055FB"/>
    <w:rsid w:val="00005CE5"/>
    <w:rsid w:val="00006784"/>
    <w:rsid w:val="00011AD3"/>
    <w:rsid w:val="00013BED"/>
    <w:rsid w:val="00013EF5"/>
    <w:rsid w:val="00014890"/>
    <w:rsid w:val="00014D73"/>
    <w:rsid w:val="000155D9"/>
    <w:rsid w:val="000167FF"/>
    <w:rsid w:val="00017393"/>
    <w:rsid w:val="0002054C"/>
    <w:rsid w:val="00023687"/>
    <w:rsid w:val="00024268"/>
    <w:rsid w:val="0002543E"/>
    <w:rsid w:val="00025E6B"/>
    <w:rsid w:val="0002666B"/>
    <w:rsid w:val="00026E53"/>
    <w:rsid w:val="00027A3A"/>
    <w:rsid w:val="00027D1A"/>
    <w:rsid w:val="00027E30"/>
    <w:rsid w:val="0003338D"/>
    <w:rsid w:val="000339F4"/>
    <w:rsid w:val="00034A69"/>
    <w:rsid w:val="000370C6"/>
    <w:rsid w:val="000371C3"/>
    <w:rsid w:val="00037F13"/>
    <w:rsid w:val="00040650"/>
    <w:rsid w:val="0004079A"/>
    <w:rsid w:val="00041731"/>
    <w:rsid w:val="00042D8B"/>
    <w:rsid w:val="000430A5"/>
    <w:rsid w:val="00043DA2"/>
    <w:rsid w:val="00046021"/>
    <w:rsid w:val="000466A3"/>
    <w:rsid w:val="00046AF0"/>
    <w:rsid w:val="00046FDA"/>
    <w:rsid w:val="000507BD"/>
    <w:rsid w:val="00052B89"/>
    <w:rsid w:val="00053BA0"/>
    <w:rsid w:val="0005450A"/>
    <w:rsid w:val="000555D8"/>
    <w:rsid w:val="000567C7"/>
    <w:rsid w:val="00057E05"/>
    <w:rsid w:val="00060AB7"/>
    <w:rsid w:val="00063FB6"/>
    <w:rsid w:val="00064011"/>
    <w:rsid w:val="000650E7"/>
    <w:rsid w:val="00065772"/>
    <w:rsid w:val="000664C5"/>
    <w:rsid w:val="00067B8C"/>
    <w:rsid w:val="0007174B"/>
    <w:rsid w:val="00072A17"/>
    <w:rsid w:val="00072ABA"/>
    <w:rsid w:val="00072EE5"/>
    <w:rsid w:val="00073134"/>
    <w:rsid w:val="00074355"/>
    <w:rsid w:val="00074DCA"/>
    <w:rsid w:val="00076BBB"/>
    <w:rsid w:val="00077E67"/>
    <w:rsid w:val="000800F1"/>
    <w:rsid w:val="00081C1B"/>
    <w:rsid w:val="00081CD5"/>
    <w:rsid w:val="00082E94"/>
    <w:rsid w:val="000865EF"/>
    <w:rsid w:val="00086BF0"/>
    <w:rsid w:val="000877FA"/>
    <w:rsid w:val="00087F2B"/>
    <w:rsid w:val="00090970"/>
    <w:rsid w:val="00091BF8"/>
    <w:rsid w:val="000922FF"/>
    <w:rsid w:val="00093A3A"/>
    <w:rsid w:val="000944BF"/>
    <w:rsid w:val="000949A3"/>
    <w:rsid w:val="00094B98"/>
    <w:rsid w:val="00094F4A"/>
    <w:rsid w:val="00096CA8"/>
    <w:rsid w:val="000A053D"/>
    <w:rsid w:val="000A06DE"/>
    <w:rsid w:val="000A081D"/>
    <w:rsid w:val="000A10B3"/>
    <w:rsid w:val="000A14BE"/>
    <w:rsid w:val="000A1628"/>
    <w:rsid w:val="000A225F"/>
    <w:rsid w:val="000A2AB3"/>
    <w:rsid w:val="000A2D1F"/>
    <w:rsid w:val="000A586A"/>
    <w:rsid w:val="000A5E32"/>
    <w:rsid w:val="000A6BAC"/>
    <w:rsid w:val="000A6F31"/>
    <w:rsid w:val="000B00C1"/>
    <w:rsid w:val="000B00EF"/>
    <w:rsid w:val="000B0807"/>
    <w:rsid w:val="000B0871"/>
    <w:rsid w:val="000B1297"/>
    <w:rsid w:val="000B24E3"/>
    <w:rsid w:val="000B28CA"/>
    <w:rsid w:val="000B53D2"/>
    <w:rsid w:val="000B71EA"/>
    <w:rsid w:val="000C0A77"/>
    <w:rsid w:val="000C0FE9"/>
    <w:rsid w:val="000C17C6"/>
    <w:rsid w:val="000C282F"/>
    <w:rsid w:val="000C2EAD"/>
    <w:rsid w:val="000C3083"/>
    <w:rsid w:val="000C3B36"/>
    <w:rsid w:val="000C5373"/>
    <w:rsid w:val="000C7345"/>
    <w:rsid w:val="000D1C59"/>
    <w:rsid w:val="000D38FA"/>
    <w:rsid w:val="000D3A88"/>
    <w:rsid w:val="000D3E14"/>
    <w:rsid w:val="000D44B4"/>
    <w:rsid w:val="000D45FD"/>
    <w:rsid w:val="000D49E8"/>
    <w:rsid w:val="000D7913"/>
    <w:rsid w:val="000D7957"/>
    <w:rsid w:val="000E0839"/>
    <w:rsid w:val="000E1099"/>
    <w:rsid w:val="000E141B"/>
    <w:rsid w:val="000E3828"/>
    <w:rsid w:val="000E3CB7"/>
    <w:rsid w:val="000E55EA"/>
    <w:rsid w:val="000E5EC6"/>
    <w:rsid w:val="000E5F45"/>
    <w:rsid w:val="000E68EF"/>
    <w:rsid w:val="000E697E"/>
    <w:rsid w:val="000E78AC"/>
    <w:rsid w:val="000F1A1B"/>
    <w:rsid w:val="000F24B7"/>
    <w:rsid w:val="000F48E6"/>
    <w:rsid w:val="000F577D"/>
    <w:rsid w:val="000F5F9A"/>
    <w:rsid w:val="000F60BB"/>
    <w:rsid w:val="000F6222"/>
    <w:rsid w:val="00101772"/>
    <w:rsid w:val="00103A26"/>
    <w:rsid w:val="00104279"/>
    <w:rsid w:val="00104E03"/>
    <w:rsid w:val="00105ADE"/>
    <w:rsid w:val="00107412"/>
    <w:rsid w:val="00107CE3"/>
    <w:rsid w:val="00107D21"/>
    <w:rsid w:val="00110654"/>
    <w:rsid w:val="00110AEA"/>
    <w:rsid w:val="0011138B"/>
    <w:rsid w:val="001121DE"/>
    <w:rsid w:val="001123AE"/>
    <w:rsid w:val="0011588D"/>
    <w:rsid w:val="001164AA"/>
    <w:rsid w:val="00116EE5"/>
    <w:rsid w:val="00117DC0"/>
    <w:rsid w:val="00122899"/>
    <w:rsid w:val="001228EF"/>
    <w:rsid w:val="001245AB"/>
    <w:rsid w:val="001268DC"/>
    <w:rsid w:val="00126F36"/>
    <w:rsid w:val="0013072C"/>
    <w:rsid w:val="00130C87"/>
    <w:rsid w:val="00130FEC"/>
    <w:rsid w:val="00133D9F"/>
    <w:rsid w:val="00135237"/>
    <w:rsid w:val="0013680B"/>
    <w:rsid w:val="00136A0B"/>
    <w:rsid w:val="00137506"/>
    <w:rsid w:val="0013752D"/>
    <w:rsid w:val="001379BD"/>
    <w:rsid w:val="001415CE"/>
    <w:rsid w:val="00143D15"/>
    <w:rsid w:val="00144B37"/>
    <w:rsid w:val="00145179"/>
    <w:rsid w:val="00145871"/>
    <w:rsid w:val="00145B76"/>
    <w:rsid w:val="00146ACD"/>
    <w:rsid w:val="0014706F"/>
    <w:rsid w:val="00150C0A"/>
    <w:rsid w:val="00150C26"/>
    <w:rsid w:val="00151B3A"/>
    <w:rsid w:val="00152382"/>
    <w:rsid w:val="00152AFA"/>
    <w:rsid w:val="00155C32"/>
    <w:rsid w:val="00155D2C"/>
    <w:rsid w:val="001577AB"/>
    <w:rsid w:val="00157A27"/>
    <w:rsid w:val="00157A57"/>
    <w:rsid w:val="00160076"/>
    <w:rsid w:val="0016015B"/>
    <w:rsid w:val="00161072"/>
    <w:rsid w:val="00161A18"/>
    <w:rsid w:val="0016257E"/>
    <w:rsid w:val="00163252"/>
    <w:rsid w:val="00163374"/>
    <w:rsid w:val="00164496"/>
    <w:rsid w:val="001649BE"/>
    <w:rsid w:val="001657DF"/>
    <w:rsid w:val="00165D50"/>
    <w:rsid w:val="0016659F"/>
    <w:rsid w:val="00167A4A"/>
    <w:rsid w:val="00172EF6"/>
    <w:rsid w:val="00173517"/>
    <w:rsid w:val="0017426A"/>
    <w:rsid w:val="001742D0"/>
    <w:rsid w:val="0017454C"/>
    <w:rsid w:val="00175FD9"/>
    <w:rsid w:val="00176858"/>
    <w:rsid w:val="0017791C"/>
    <w:rsid w:val="00180434"/>
    <w:rsid w:val="0018095D"/>
    <w:rsid w:val="00181CC4"/>
    <w:rsid w:val="0018272B"/>
    <w:rsid w:val="00184034"/>
    <w:rsid w:val="00185073"/>
    <w:rsid w:val="00186010"/>
    <w:rsid w:val="00186601"/>
    <w:rsid w:val="00190494"/>
    <w:rsid w:val="00192CFD"/>
    <w:rsid w:val="001955F0"/>
    <w:rsid w:val="00195625"/>
    <w:rsid w:val="00195E06"/>
    <w:rsid w:val="00197225"/>
    <w:rsid w:val="001A2052"/>
    <w:rsid w:val="001A2A7E"/>
    <w:rsid w:val="001A2C02"/>
    <w:rsid w:val="001A40CE"/>
    <w:rsid w:val="001A4FCF"/>
    <w:rsid w:val="001A54B2"/>
    <w:rsid w:val="001A6008"/>
    <w:rsid w:val="001A7C57"/>
    <w:rsid w:val="001B06AB"/>
    <w:rsid w:val="001B1F3D"/>
    <w:rsid w:val="001B4AC4"/>
    <w:rsid w:val="001B63C2"/>
    <w:rsid w:val="001B6745"/>
    <w:rsid w:val="001B703C"/>
    <w:rsid w:val="001B77CD"/>
    <w:rsid w:val="001C00AE"/>
    <w:rsid w:val="001C0B29"/>
    <w:rsid w:val="001C1249"/>
    <w:rsid w:val="001C16B1"/>
    <w:rsid w:val="001C2B77"/>
    <w:rsid w:val="001C36AA"/>
    <w:rsid w:val="001C39F5"/>
    <w:rsid w:val="001C3CF2"/>
    <w:rsid w:val="001C4805"/>
    <w:rsid w:val="001C62D9"/>
    <w:rsid w:val="001C6C4B"/>
    <w:rsid w:val="001D0EF3"/>
    <w:rsid w:val="001D2BBE"/>
    <w:rsid w:val="001D33C3"/>
    <w:rsid w:val="001D3771"/>
    <w:rsid w:val="001D3B8F"/>
    <w:rsid w:val="001D3FA3"/>
    <w:rsid w:val="001E07A2"/>
    <w:rsid w:val="001E6314"/>
    <w:rsid w:val="001E6518"/>
    <w:rsid w:val="001F0B6C"/>
    <w:rsid w:val="001F0EAC"/>
    <w:rsid w:val="001F1EC2"/>
    <w:rsid w:val="001F26AB"/>
    <w:rsid w:val="001F29A2"/>
    <w:rsid w:val="001F30D1"/>
    <w:rsid w:val="001F330A"/>
    <w:rsid w:val="001F37E7"/>
    <w:rsid w:val="001F6CAA"/>
    <w:rsid w:val="002001E6"/>
    <w:rsid w:val="00200298"/>
    <w:rsid w:val="0020114D"/>
    <w:rsid w:val="00203911"/>
    <w:rsid w:val="002048AD"/>
    <w:rsid w:val="00204BFD"/>
    <w:rsid w:val="002056F5"/>
    <w:rsid w:val="00206389"/>
    <w:rsid w:val="00210EC2"/>
    <w:rsid w:val="0021151D"/>
    <w:rsid w:val="0021254A"/>
    <w:rsid w:val="00212706"/>
    <w:rsid w:val="002142D6"/>
    <w:rsid w:val="00216907"/>
    <w:rsid w:val="0021696C"/>
    <w:rsid w:val="00217341"/>
    <w:rsid w:val="002177E0"/>
    <w:rsid w:val="00221588"/>
    <w:rsid w:val="00221952"/>
    <w:rsid w:val="0022394C"/>
    <w:rsid w:val="002248BE"/>
    <w:rsid w:val="00225331"/>
    <w:rsid w:val="002256FC"/>
    <w:rsid w:val="00225D8E"/>
    <w:rsid w:val="002301C8"/>
    <w:rsid w:val="00230EE7"/>
    <w:rsid w:val="0023176D"/>
    <w:rsid w:val="00232515"/>
    <w:rsid w:val="0023516C"/>
    <w:rsid w:val="00235A1A"/>
    <w:rsid w:val="00235A50"/>
    <w:rsid w:val="002367B7"/>
    <w:rsid w:val="00236E66"/>
    <w:rsid w:val="00237248"/>
    <w:rsid w:val="00237970"/>
    <w:rsid w:val="0024058C"/>
    <w:rsid w:val="0024089D"/>
    <w:rsid w:val="0024160B"/>
    <w:rsid w:val="002438CC"/>
    <w:rsid w:val="002442E2"/>
    <w:rsid w:val="00245009"/>
    <w:rsid w:val="00245614"/>
    <w:rsid w:val="00245A3E"/>
    <w:rsid w:val="00245E40"/>
    <w:rsid w:val="00246271"/>
    <w:rsid w:val="00246936"/>
    <w:rsid w:val="00246D5A"/>
    <w:rsid w:val="00250EE0"/>
    <w:rsid w:val="00251CAF"/>
    <w:rsid w:val="0025225B"/>
    <w:rsid w:val="00252A0A"/>
    <w:rsid w:val="0025397E"/>
    <w:rsid w:val="00254C9C"/>
    <w:rsid w:val="002550BC"/>
    <w:rsid w:val="00256A2E"/>
    <w:rsid w:val="0026058F"/>
    <w:rsid w:val="0026085A"/>
    <w:rsid w:val="0026101A"/>
    <w:rsid w:val="002616C2"/>
    <w:rsid w:val="00262478"/>
    <w:rsid w:val="00262BA7"/>
    <w:rsid w:val="00263EE5"/>
    <w:rsid w:val="0026438F"/>
    <w:rsid w:val="002661C4"/>
    <w:rsid w:val="00267B80"/>
    <w:rsid w:val="002703D4"/>
    <w:rsid w:val="00272429"/>
    <w:rsid w:val="00272B60"/>
    <w:rsid w:val="00273FCB"/>
    <w:rsid w:val="002740FD"/>
    <w:rsid w:val="00276DF2"/>
    <w:rsid w:val="0027703D"/>
    <w:rsid w:val="002771C6"/>
    <w:rsid w:val="00280D39"/>
    <w:rsid w:val="002820D5"/>
    <w:rsid w:val="002834A1"/>
    <w:rsid w:val="00283B7D"/>
    <w:rsid w:val="00283D5F"/>
    <w:rsid w:val="0028698C"/>
    <w:rsid w:val="00286A2D"/>
    <w:rsid w:val="0029033E"/>
    <w:rsid w:val="00291C87"/>
    <w:rsid w:val="00292EF0"/>
    <w:rsid w:val="00293013"/>
    <w:rsid w:val="00293329"/>
    <w:rsid w:val="002944B3"/>
    <w:rsid w:val="00295A8C"/>
    <w:rsid w:val="00295C21"/>
    <w:rsid w:val="002A0401"/>
    <w:rsid w:val="002A05FD"/>
    <w:rsid w:val="002A293A"/>
    <w:rsid w:val="002A2A19"/>
    <w:rsid w:val="002A5437"/>
    <w:rsid w:val="002A54B5"/>
    <w:rsid w:val="002A6DE7"/>
    <w:rsid w:val="002A6F30"/>
    <w:rsid w:val="002A7146"/>
    <w:rsid w:val="002B0C25"/>
    <w:rsid w:val="002B2484"/>
    <w:rsid w:val="002B2C2C"/>
    <w:rsid w:val="002B3484"/>
    <w:rsid w:val="002B5C07"/>
    <w:rsid w:val="002B5EA4"/>
    <w:rsid w:val="002C04EF"/>
    <w:rsid w:val="002C0EA1"/>
    <w:rsid w:val="002C11B7"/>
    <w:rsid w:val="002C208E"/>
    <w:rsid w:val="002C348C"/>
    <w:rsid w:val="002C515F"/>
    <w:rsid w:val="002C5B77"/>
    <w:rsid w:val="002C5C6E"/>
    <w:rsid w:val="002C643B"/>
    <w:rsid w:val="002C6759"/>
    <w:rsid w:val="002C68C2"/>
    <w:rsid w:val="002C7418"/>
    <w:rsid w:val="002D01F5"/>
    <w:rsid w:val="002D0558"/>
    <w:rsid w:val="002D17DE"/>
    <w:rsid w:val="002D1856"/>
    <w:rsid w:val="002D19BD"/>
    <w:rsid w:val="002D24D5"/>
    <w:rsid w:val="002D2C0C"/>
    <w:rsid w:val="002D2F6C"/>
    <w:rsid w:val="002D5D28"/>
    <w:rsid w:val="002D662A"/>
    <w:rsid w:val="002D6ED6"/>
    <w:rsid w:val="002D721E"/>
    <w:rsid w:val="002E09DE"/>
    <w:rsid w:val="002E10A6"/>
    <w:rsid w:val="002E12CE"/>
    <w:rsid w:val="002E186C"/>
    <w:rsid w:val="002E23F4"/>
    <w:rsid w:val="002E2A06"/>
    <w:rsid w:val="002E3A96"/>
    <w:rsid w:val="002E6342"/>
    <w:rsid w:val="002E6988"/>
    <w:rsid w:val="002E6F3E"/>
    <w:rsid w:val="002F0631"/>
    <w:rsid w:val="002F1AF4"/>
    <w:rsid w:val="002F2816"/>
    <w:rsid w:val="002F4E2C"/>
    <w:rsid w:val="002F5680"/>
    <w:rsid w:val="002F6744"/>
    <w:rsid w:val="002F6C5C"/>
    <w:rsid w:val="002F6CE6"/>
    <w:rsid w:val="002F6FCE"/>
    <w:rsid w:val="002F74E8"/>
    <w:rsid w:val="00300B36"/>
    <w:rsid w:val="00301106"/>
    <w:rsid w:val="003021CB"/>
    <w:rsid w:val="00304005"/>
    <w:rsid w:val="0030441C"/>
    <w:rsid w:val="00304A92"/>
    <w:rsid w:val="003079E9"/>
    <w:rsid w:val="00307AF1"/>
    <w:rsid w:val="00307B0B"/>
    <w:rsid w:val="003111D5"/>
    <w:rsid w:val="00311E15"/>
    <w:rsid w:val="003129C7"/>
    <w:rsid w:val="003129EF"/>
    <w:rsid w:val="00312CA8"/>
    <w:rsid w:val="0031431E"/>
    <w:rsid w:val="00315766"/>
    <w:rsid w:val="0031604F"/>
    <w:rsid w:val="00320D77"/>
    <w:rsid w:val="003228FB"/>
    <w:rsid w:val="00322F3A"/>
    <w:rsid w:val="00324295"/>
    <w:rsid w:val="003263BD"/>
    <w:rsid w:val="00326C4B"/>
    <w:rsid w:val="003279EF"/>
    <w:rsid w:val="00327AAA"/>
    <w:rsid w:val="00330608"/>
    <w:rsid w:val="00330BB7"/>
    <w:rsid w:val="00331580"/>
    <w:rsid w:val="003327D1"/>
    <w:rsid w:val="00333356"/>
    <w:rsid w:val="003344AC"/>
    <w:rsid w:val="00334648"/>
    <w:rsid w:val="00334CE0"/>
    <w:rsid w:val="00335956"/>
    <w:rsid w:val="00336651"/>
    <w:rsid w:val="003371FF"/>
    <w:rsid w:val="0033781B"/>
    <w:rsid w:val="0033787D"/>
    <w:rsid w:val="003412A6"/>
    <w:rsid w:val="00341B8D"/>
    <w:rsid w:val="00342AF9"/>
    <w:rsid w:val="003447A1"/>
    <w:rsid w:val="00345935"/>
    <w:rsid w:val="003530CD"/>
    <w:rsid w:val="003550FB"/>
    <w:rsid w:val="00355484"/>
    <w:rsid w:val="0035555F"/>
    <w:rsid w:val="00356894"/>
    <w:rsid w:val="00356CFE"/>
    <w:rsid w:val="00356D88"/>
    <w:rsid w:val="00357D8E"/>
    <w:rsid w:val="00360FFE"/>
    <w:rsid w:val="0036194A"/>
    <w:rsid w:val="00362684"/>
    <w:rsid w:val="003629A2"/>
    <w:rsid w:val="00362D98"/>
    <w:rsid w:val="00362E9A"/>
    <w:rsid w:val="00367F0A"/>
    <w:rsid w:val="003704F4"/>
    <w:rsid w:val="00370C2F"/>
    <w:rsid w:val="00370DBE"/>
    <w:rsid w:val="00372BF2"/>
    <w:rsid w:val="00373563"/>
    <w:rsid w:val="00374181"/>
    <w:rsid w:val="00375179"/>
    <w:rsid w:val="00375BCB"/>
    <w:rsid w:val="00375CB5"/>
    <w:rsid w:val="00376613"/>
    <w:rsid w:val="003778D6"/>
    <w:rsid w:val="00377C26"/>
    <w:rsid w:val="00380373"/>
    <w:rsid w:val="003813D7"/>
    <w:rsid w:val="00382E56"/>
    <w:rsid w:val="00382F76"/>
    <w:rsid w:val="00382FA6"/>
    <w:rsid w:val="00385B45"/>
    <w:rsid w:val="00386E90"/>
    <w:rsid w:val="003901AE"/>
    <w:rsid w:val="00390BBA"/>
    <w:rsid w:val="003926D2"/>
    <w:rsid w:val="00392BC1"/>
    <w:rsid w:val="0039377F"/>
    <w:rsid w:val="00393D76"/>
    <w:rsid w:val="00394C33"/>
    <w:rsid w:val="00394F42"/>
    <w:rsid w:val="00395F29"/>
    <w:rsid w:val="003979A2"/>
    <w:rsid w:val="003A00AE"/>
    <w:rsid w:val="003A0A1C"/>
    <w:rsid w:val="003A2E86"/>
    <w:rsid w:val="003A37CF"/>
    <w:rsid w:val="003A580D"/>
    <w:rsid w:val="003A7F5E"/>
    <w:rsid w:val="003B1B28"/>
    <w:rsid w:val="003B1B8F"/>
    <w:rsid w:val="003B1BF2"/>
    <w:rsid w:val="003B239B"/>
    <w:rsid w:val="003B260D"/>
    <w:rsid w:val="003B28F5"/>
    <w:rsid w:val="003B31E0"/>
    <w:rsid w:val="003B40C2"/>
    <w:rsid w:val="003B498E"/>
    <w:rsid w:val="003B4DE9"/>
    <w:rsid w:val="003B65C4"/>
    <w:rsid w:val="003B72CE"/>
    <w:rsid w:val="003B7719"/>
    <w:rsid w:val="003C7DF4"/>
    <w:rsid w:val="003D092E"/>
    <w:rsid w:val="003D0983"/>
    <w:rsid w:val="003D0FC8"/>
    <w:rsid w:val="003D111C"/>
    <w:rsid w:val="003D1678"/>
    <w:rsid w:val="003D2540"/>
    <w:rsid w:val="003D2D1B"/>
    <w:rsid w:val="003D424E"/>
    <w:rsid w:val="003D5209"/>
    <w:rsid w:val="003D62F8"/>
    <w:rsid w:val="003D64C4"/>
    <w:rsid w:val="003D6C6E"/>
    <w:rsid w:val="003D6FBA"/>
    <w:rsid w:val="003E092D"/>
    <w:rsid w:val="003E0A8C"/>
    <w:rsid w:val="003E295A"/>
    <w:rsid w:val="003E2B85"/>
    <w:rsid w:val="003E41A2"/>
    <w:rsid w:val="003E53A4"/>
    <w:rsid w:val="003E7804"/>
    <w:rsid w:val="003F1025"/>
    <w:rsid w:val="003F1634"/>
    <w:rsid w:val="003F169B"/>
    <w:rsid w:val="003F305A"/>
    <w:rsid w:val="003F5F7E"/>
    <w:rsid w:val="003F6DCA"/>
    <w:rsid w:val="00401073"/>
    <w:rsid w:val="0040125E"/>
    <w:rsid w:val="00401578"/>
    <w:rsid w:val="00402548"/>
    <w:rsid w:val="00402B52"/>
    <w:rsid w:val="00402C8D"/>
    <w:rsid w:val="00402DF3"/>
    <w:rsid w:val="0040531C"/>
    <w:rsid w:val="00406543"/>
    <w:rsid w:val="00406ECB"/>
    <w:rsid w:val="00406F9D"/>
    <w:rsid w:val="00407C62"/>
    <w:rsid w:val="00410169"/>
    <w:rsid w:val="00410CCA"/>
    <w:rsid w:val="00410F7B"/>
    <w:rsid w:val="0041195A"/>
    <w:rsid w:val="00412AA4"/>
    <w:rsid w:val="00415F0E"/>
    <w:rsid w:val="00416CC3"/>
    <w:rsid w:val="00420368"/>
    <w:rsid w:val="00420C65"/>
    <w:rsid w:val="00421800"/>
    <w:rsid w:val="004221D9"/>
    <w:rsid w:val="00422F2A"/>
    <w:rsid w:val="00423598"/>
    <w:rsid w:val="00424A2C"/>
    <w:rsid w:val="00425B95"/>
    <w:rsid w:val="00426D47"/>
    <w:rsid w:val="0043380A"/>
    <w:rsid w:val="0043399F"/>
    <w:rsid w:val="0043405F"/>
    <w:rsid w:val="00434D3D"/>
    <w:rsid w:val="00436404"/>
    <w:rsid w:val="0043662C"/>
    <w:rsid w:val="004401AD"/>
    <w:rsid w:val="00440CE4"/>
    <w:rsid w:val="004433C4"/>
    <w:rsid w:val="00443F4B"/>
    <w:rsid w:val="0044595C"/>
    <w:rsid w:val="004466B4"/>
    <w:rsid w:val="0044718C"/>
    <w:rsid w:val="004478BC"/>
    <w:rsid w:val="004479A3"/>
    <w:rsid w:val="00450C42"/>
    <w:rsid w:val="004512B3"/>
    <w:rsid w:val="00451C78"/>
    <w:rsid w:val="00456605"/>
    <w:rsid w:val="004574A3"/>
    <w:rsid w:val="00457FD3"/>
    <w:rsid w:val="004607EF"/>
    <w:rsid w:val="004612E4"/>
    <w:rsid w:val="0046320C"/>
    <w:rsid w:val="00463594"/>
    <w:rsid w:val="004659E6"/>
    <w:rsid w:val="00465DD0"/>
    <w:rsid w:val="0046630D"/>
    <w:rsid w:val="00466C5A"/>
    <w:rsid w:val="0047039A"/>
    <w:rsid w:val="0047119D"/>
    <w:rsid w:val="00471C81"/>
    <w:rsid w:val="00475430"/>
    <w:rsid w:val="0047600A"/>
    <w:rsid w:val="004766AE"/>
    <w:rsid w:val="00477438"/>
    <w:rsid w:val="004807FF"/>
    <w:rsid w:val="00480D6D"/>
    <w:rsid w:val="00480E20"/>
    <w:rsid w:val="0048149A"/>
    <w:rsid w:val="0048156B"/>
    <w:rsid w:val="00481A1F"/>
    <w:rsid w:val="00481B35"/>
    <w:rsid w:val="00481C6D"/>
    <w:rsid w:val="0048345A"/>
    <w:rsid w:val="004834BD"/>
    <w:rsid w:val="00483576"/>
    <w:rsid w:val="004858AF"/>
    <w:rsid w:val="004870FE"/>
    <w:rsid w:val="00487DB2"/>
    <w:rsid w:val="00487F32"/>
    <w:rsid w:val="004908FE"/>
    <w:rsid w:val="004909C4"/>
    <w:rsid w:val="0049171B"/>
    <w:rsid w:val="00493168"/>
    <w:rsid w:val="004940AD"/>
    <w:rsid w:val="004946D3"/>
    <w:rsid w:val="00494F2A"/>
    <w:rsid w:val="0049605E"/>
    <w:rsid w:val="00496680"/>
    <w:rsid w:val="00497056"/>
    <w:rsid w:val="00497543"/>
    <w:rsid w:val="00497A32"/>
    <w:rsid w:val="00497E57"/>
    <w:rsid w:val="00497E74"/>
    <w:rsid w:val="004A0460"/>
    <w:rsid w:val="004A09CE"/>
    <w:rsid w:val="004A11DF"/>
    <w:rsid w:val="004A470A"/>
    <w:rsid w:val="004A477C"/>
    <w:rsid w:val="004A52C0"/>
    <w:rsid w:val="004A595A"/>
    <w:rsid w:val="004A69AB"/>
    <w:rsid w:val="004A74E8"/>
    <w:rsid w:val="004A77DF"/>
    <w:rsid w:val="004B0657"/>
    <w:rsid w:val="004B1826"/>
    <w:rsid w:val="004B198C"/>
    <w:rsid w:val="004B2C0E"/>
    <w:rsid w:val="004B2EFF"/>
    <w:rsid w:val="004B3E90"/>
    <w:rsid w:val="004B4228"/>
    <w:rsid w:val="004B6105"/>
    <w:rsid w:val="004B6434"/>
    <w:rsid w:val="004B7859"/>
    <w:rsid w:val="004C1E69"/>
    <w:rsid w:val="004C3847"/>
    <w:rsid w:val="004C5AFB"/>
    <w:rsid w:val="004C5E9B"/>
    <w:rsid w:val="004C6AED"/>
    <w:rsid w:val="004C7009"/>
    <w:rsid w:val="004C774A"/>
    <w:rsid w:val="004C7BC0"/>
    <w:rsid w:val="004C7F4B"/>
    <w:rsid w:val="004D006B"/>
    <w:rsid w:val="004D0C8C"/>
    <w:rsid w:val="004D21F8"/>
    <w:rsid w:val="004D3CB7"/>
    <w:rsid w:val="004D51ED"/>
    <w:rsid w:val="004D55D7"/>
    <w:rsid w:val="004D5F25"/>
    <w:rsid w:val="004D6FB1"/>
    <w:rsid w:val="004D7B32"/>
    <w:rsid w:val="004E0672"/>
    <w:rsid w:val="004E0A7B"/>
    <w:rsid w:val="004E0F07"/>
    <w:rsid w:val="004E1756"/>
    <w:rsid w:val="004E1F5D"/>
    <w:rsid w:val="004E403B"/>
    <w:rsid w:val="004E444E"/>
    <w:rsid w:val="004E53FF"/>
    <w:rsid w:val="004E6C47"/>
    <w:rsid w:val="004F004D"/>
    <w:rsid w:val="004F00F8"/>
    <w:rsid w:val="004F12AA"/>
    <w:rsid w:val="004F1CFB"/>
    <w:rsid w:val="004F1EC4"/>
    <w:rsid w:val="004F22D6"/>
    <w:rsid w:val="004F4EBD"/>
    <w:rsid w:val="004F5066"/>
    <w:rsid w:val="004F683F"/>
    <w:rsid w:val="00501014"/>
    <w:rsid w:val="005029A6"/>
    <w:rsid w:val="00503DB2"/>
    <w:rsid w:val="00504B3D"/>
    <w:rsid w:val="00505A30"/>
    <w:rsid w:val="00505D14"/>
    <w:rsid w:val="00506E22"/>
    <w:rsid w:val="00506F9A"/>
    <w:rsid w:val="00507D80"/>
    <w:rsid w:val="0051150B"/>
    <w:rsid w:val="005116E5"/>
    <w:rsid w:val="0051233A"/>
    <w:rsid w:val="00513319"/>
    <w:rsid w:val="00514766"/>
    <w:rsid w:val="005162B5"/>
    <w:rsid w:val="005167F5"/>
    <w:rsid w:val="0051718F"/>
    <w:rsid w:val="00517FA3"/>
    <w:rsid w:val="005203FF"/>
    <w:rsid w:val="00520E15"/>
    <w:rsid w:val="005217FC"/>
    <w:rsid w:val="00522681"/>
    <w:rsid w:val="00523018"/>
    <w:rsid w:val="00525DA9"/>
    <w:rsid w:val="005315D8"/>
    <w:rsid w:val="00534D55"/>
    <w:rsid w:val="00534FD6"/>
    <w:rsid w:val="00536065"/>
    <w:rsid w:val="00536125"/>
    <w:rsid w:val="005374C7"/>
    <w:rsid w:val="005379A4"/>
    <w:rsid w:val="0054003A"/>
    <w:rsid w:val="00542EE2"/>
    <w:rsid w:val="00545C4A"/>
    <w:rsid w:val="00545D97"/>
    <w:rsid w:val="005463CC"/>
    <w:rsid w:val="005506E4"/>
    <w:rsid w:val="00550727"/>
    <w:rsid w:val="00551FF9"/>
    <w:rsid w:val="00555B55"/>
    <w:rsid w:val="005561E9"/>
    <w:rsid w:val="00556D6C"/>
    <w:rsid w:val="00557956"/>
    <w:rsid w:val="005608D5"/>
    <w:rsid w:val="00560F28"/>
    <w:rsid w:val="005619D1"/>
    <w:rsid w:val="00561C67"/>
    <w:rsid w:val="005624B7"/>
    <w:rsid w:val="00562D56"/>
    <w:rsid w:val="00562F01"/>
    <w:rsid w:val="00563B92"/>
    <w:rsid w:val="00563EDB"/>
    <w:rsid w:val="0056455D"/>
    <w:rsid w:val="00565C7A"/>
    <w:rsid w:val="005671DF"/>
    <w:rsid w:val="0057132F"/>
    <w:rsid w:val="0057153F"/>
    <w:rsid w:val="00571599"/>
    <w:rsid w:val="00572143"/>
    <w:rsid w:val="0057353F"/>
    <w:rsid w:val="00573F3A"/>
    <w:rsid w:val="005751AE"/>
    <w:rsid w:val="005757E5"/>
    <w:rsid w:val="005759CA"/>
    <w:rsid w:val="00575E67"/>
    <w:rsid w:val="00576155"/>
    <w:rsid w:val="00576310"/>
    <w:rsid w:val="00580B70"/>
    <w:rsid w:val="00580BC6"/>
    <w:rsid w:val="00580C9B"/>
    <w:rsid w:val="00581E27"/>
    <w:rsid w:val="00582018"/>
    <w:rsid w:val="005840C3"/>
    <w:rsid w:val="0058579A"/>
    <w:rsid w:val="005861A4"/>
    <w:rsid w:val="00587328"/>
    <w:rsid w:val="00590687"/>
    <w:rsid w:val="005918B4"/>
    <w:rsid w:val="00591B53"/>
    <w:rsid w:val="00592BB1"/>
    <w:rsid w:val="00592E9D"/>
    <w:rsid w:val="00593927"/>
    <w:rsid w:val="00593C7F"/>
    <w:rsid w:val="00593CB9"/>
    <w:rsid w:val="00594AD7"/>
    <w:rsid w:val="005953EA"/>
    <w:rsid w:val="00597706"/>
    <w:rsid w:val="00597943"/>
    <w:rsid w:val="00597B45"/>
    <w:rsid w:val="00597D65"/>
    <w:rsid w:val="005A132C"/>
    <w:rsid w:val="005A1514"/>
    <w:rsid w:val="005A19F3"/>
    <w:rsid w:val="005A26D3"/>
    <w:rsid w:val="005A3742"/>
    <w:rsid w:val="005A37F9"/>
    <w:rsid w:val="005A45F9"/>
    <w:rsid w:val="005A4C63"/>
    <w:rsid w:val="005A6C74"/>
    <w:rsid w:val="005A75FD"/>
    <w:rsid w:val="005A7F3C"/>
    <w:rsid w:val="005B06C3"/>
    <w:rsid w:val="005B11AB"/>
    <w:rsid w:val="005B4A68"/>
    <w:rsid w:val="005B52DA"/>
    <w:rsid w:val="005B5337"/>
    <w:rsid w:val="005B7618"/>
    <w:rsid w:val="005B7FFE"/>
    <w:rsid w:val="005C0790"/>
    <w:rsid w:val="005C15BC"/>
    <w:rsid w:val="005C197C"/>
    <w:rsid w:val="005C35B3"/>
    <w:rsid w:val="005C5525"/>
    <w:rsid w:val="005C5B55"/>
    <w:rsid w:val="005C62D4"/>
    <w:rsid w:val="005C63C3"/>
    <w:rsid w:val="005C6A56"/>
    <w:rsid w:val="005C7C26"/>
    <w:rsid w:val="005D035B"/>
    <w:rsid w:val="005D1291"/>
    <w:rsid w:val="005D1934"/>
    <w:rsid w:val="005D21C0"/>
    <w:rsid w:val="005D2BFE"/>
    <w:rsid w:val="005D3B9C"/>
    <w:rsid w:val="005D3C12"/>
    <w:rsid w:val="005D3FC3"/>
    <w:rsid w:val="005D54AD"/>
    <w:rsid w:val="005D60C0"/>
    <w:rsid w:val="005D656D"/>
    <w:rsid w:val="005D7158"/>
    <w:rsid w:val="005E05E9"/>
    <w:rsid w:val="005E1485"/>
    <w:rsid w:val="005E18EC"/>
    <w:rsid w:val="005E2255"/>
    <w:rsid w:val="005E2418"/>
    <w:rsid w:val="005E2708"/>
    <w:rsid w:val="005E348D"/>
    <w:rsid w:val="005E391F"/>
    <w:rsid w:val="005E3F44"/>
    <w:rsid w:val="005E50C4"/>
    <w:rsid w:val="005E691A"/>
    <w:rsid w:val="005E6E3E"/>
    <w:rsid w:val="005F09C8"/>
    <w:rsid w:val="005F155A"/>
    <w:rsid w:val="005F1638"/>
    <w:rsid w:val="005F2A27"/>
    <w:rsid w:val="005F4CA6"/>
    <w:rsid w:val="005F6511"/>
    <w:rsid w:val="005F660C"/>
    <w:rsid w:val="00600563"/>
    <w:rsid w:val="00600A78"/>
    <w:rsid w:val="00600D7E"/>
    <w:rsid w:val="0060117A"/>
    <w:rsid w:val="00601C9F"/>
    <w:rsid w:val="00602146"/>
    <w:rsid w:val="006024F5"/>
    <w:rsid w:val="00603099"/>
    <w:rsid w:val="006039B6"/>
    <w:rsid w:val="00603B68"/>
    <w:rsid w:val="006040DB"/>
    <w:rsid w:val="00605B42"/>
    <w:rsid w:val="00605D43"/>
    <w:rsid w:val="00606251"/>
    <w:rsid w:val="0060678B"/>
    <w:rsid w:val="00607987"/>
    <w:rsid w:val="006079CE"/>
    <w:rsid w:val="0061171B"/>
    <w:rsid w:val="00612371"/>
    <w:rsid w:val="00612F61"/>
    <w:rsid w:val="00613FAA"/>
    <w:rsid w:val="006143B7"/>
    <w:rsid w:val="006143EB"/>
    <w:rsid w:val="006146DF"/>
    <w:rsid w:val="0061653C"/>
    <w:rsid w:val="00616A66"/>
    <w:rsid w:val="006209B9"/>
    <w:rsid w:val="00620B96"/>
    <w:rsid w:val="00620D2B"/>
    <w:rsid w:val="00622528"/>
    <w:rsid w:val="00622530"/>
    <w:rsid w:val="006238D4"/>
    <w:rsid w:val="00623DCD"/>
    <w:rsid w:val="006249D9"/>
    <w:rsid w:val="00625272"/>
    <w:rsid w:val="006266BF"/>
    <w:rsid w:val="00626CB2"/>
    <w:rsid w:val="00630708"/>
    <w:rsid w:val="00631711"/>
    <w:rsid w:val="006317D4"/>
    <w:rsid w:val="00632BA8"/>
    <w:rsid w:val="0063495F"/>
    <w:rsid w:val="00636775"/>
    <w:rsid w:val="00636A58"/>
    <w:rsid w:val="00636C78"/>
    <w:rsid w:val="006428C3"/>
    <w:rsid w:val="00643361"/>
    <w:rsid w:val="0064346B"/>
    <w:rsid w:val="006439A9"/>
    <w:rsid w:val="006445ED"/>
    <w:rsid w:val="0064481F"/>
    <w:rsid w:val="00644EF5"/>
    <w:rsid w:val="00645257"/>
    <w:rsid w:val="006458EC"/>
    <w:rsid w:val="00645A13"/>
    <w:rsid w:val="00650929"/>
    <w:rsid w:val="00651851"/>
    <w:rsid w:val="00652599"/>
    <w:rsid w:val="006615A5"/>
    <w:rsid w:val="00661992"/>
    <w:rsid w:val="00666E74"/>
    <w:rsid w:val="006724E7"/>
    <w:rsid w:val="00674481"/>
    <w:rsid w:val="006745FF"/>
    <w:rsid w:val="00674EDF"/>
    <w:rsid w:val="006752B3"/>
    <w:rsid w:val="00676F79"/>
    <w:rsid w:val="0067709C"/>
    <w:rsid w:val="006800F9"/>
    <w:rsid w:val="00680A24"/>
    <w:rsid w:val="0068136D"/>
    <w:rsid w:val="00682BAC"/>
    <w:rsid w:val="00685B60"/>
    <w:rsid w:val="00685C4E"/>
    <w:rsid w:val="00690C36"/>
    <w:rsid w:val="006913A5"/>
    <w:rsid w:val="00691D07"/>
    <w:rsid w:val="00694BEB"/>
    <w:rsid w:val="006950AD"/>
    <w:rsid w:val="00696DF1"/>
    <w:rsid w:val="00696F09"/>
    <w:rsid w:val="006979A4"/>
    <w:rsid w:val="006A0CE7"/>
    <w:rsid w:val="006A148E"/>
    <w:rsid w:val="006A3719"/>
    <w:rsid w:val="006A3D37"/>
    <w:rsid w:val="006A4CCC"/>
    <w:rsid w:val="006A6DA3"/>
    <w:rsid w:val="006A7302"/>
    <w:rsid w:val="006A7CD9"/>
    <w:rsid w:val="006B13E2"/>
    <w:rsid w:val="006B14AD"/>
    <w:rsid w:val="006B1938"/>
    <w:rsid w:val="006B1FF8"/>
    <w:rsid w:val="006B37A2"/>
    <w:rsid w:val="006B77C6"/>
    <w:rsid w:val="006C04B5"/>
    <w:rsid w:val="006C0E9E"/>
    <w:rsid w:val="006C21DB"/>
    <w:rsid w:val="006C4010"/>
    <w:rsid w:val="006C53BA"/>
    <w:rsid w:val="006C5B2A"/>
    <w:rsid w:val="006C6A3D"/>
    <w:rsid w:val="006C7042"/>
    <w:rsid w:val="006C7498"/>
    <w:rsid w:val="006D0053"/>
    <w:rsid w:val="006D0BCF"/>
    <w:rsid w:val="006D13D9"/>
    <w:rsid w:val="006D1EAF"/>
    <w:rsid w:val="006D22B2"/>
    <w:rsid w:val="006D28F6"/>
    <w:rsid w:val="006D4C1A"/>
    <w:rsid w:val="006D4D5C"/>
    <w:rsid w:val="006D5DB1"/>
    <w:rsid w:val="006D620E"/>
    <w:rsid w:val="006E03BA"/>
    <w:rsid w:val="006E0A6A"/>
    <w:rsid w:val="006E235B"/>
    <w:rsid w:val="006E2ADB"/>
    <w:rsid w:val="006E32D1"/>
    <w:rsid w:val="006E3AD2"/>
    <w:rsid w:val="006E5002"/>
    <w:rsid w:val="006E7480"/>
    <w:rsid w:val="006F0205"/>
    <w:rsid w:val="006F0819"/>
    <w:rsid w:val="006F08C6"/>
    <w:rsid w:val="006F2ADC"/>
    <w:rsid w:val="006F34B0"/>
    <w:rsid w:val="006F48E6"/>
    <w:rsid w:val="006F6AD4"/>
    <w:rsid w:val="006F6CFE"/>
    <w:rsid w:val="006F6E33"/>
    <w:rsid w:val="006F7C6F"/>
    <w:rsid w:val="00700189"/>
    <w:rsid w:val="00702EEF"/>
    <w:rsid w:val="00702FE0"/>
    <w:rsid w:val="00703C0B"/>
    <w:rsid w:val="00703D81"/>
    <w:rsid w:val="00704007"/>
    <w:rsid w:val="00704EA2"/>
    <w:rsid w:val="007066D9"/>
    <w:rsid w:val="00706899"/>
    <w:rsid w:val="00706B26"/>
    <w:rsid w:val="00710E70"/>
    <w:rsid w:val="0071198D"/>
    <w:rsid w:val="0071348C"/>
    <w:rsid w:val="00713613"/>
    <w:rsid w:val="00713E1D"/>
    <w:rsid w:val="00713F93"/>
    <w:rsid w:val="007141E8"/>
    <w:rsid w:val="0071452C"/>
    <w:rsid w:val="00716A8D"/>
    <w:rsid w:val="0071728B"/>
    <w:rsid w:val="007203BA"/>
    <w:rsid w:val="0072126A"/>
    <w:rsid w:val="00721A56"/>
    <w:rsid w:val="00721E18"/>
    <w:rsid w:val="00721F38"/>
    <w:rsid w:val="00723B96"/>
    <w:rsid w:val="007242C6"/>
    <w:rsid w:val="007244F0"/>
    <w:rsid w:val="00724B41"/>
    <w:rsid w:val="007260D0"/>
    <w:rsid w:val="007262A9"/>
    <w:rsid w:val="007262BA"/>
    <w:rsid w:val="0072681D"/>
    <w:rsid w:val="00730892"/>
    <w:rsid w:val="00732527"/>
    <w:rsid w:val="00733C24"/>
    <w:rsid w:val="00735090"/>
    <w:rsid w:val="007352F9"/>
    <w:rsid w:val="007354AD"/>
    <w:rsid w:val="00735E76"/>
    <w:rsid w:val="00740F47"/>
    <w:rsid w:val="0074435A"/>
    <w:rsid w:val="00745F93"/>
    <w:rsid w:val="007469F8"/>
    <w:rsid w:val="00746B42"/>
    <w:rsid w:val="007471C4"/>
    <w:rsid w:val="0074728C"/>
    <w:rsid w:val="00747B63"/>
    <w:rsid w:val="007519E3"/>
    <w:rsid w:val="00753C03"/>
    <w:rsid w:val="00755C7B"/>
    <w:rsid w:val="00756205"/>
    <w:rsid w:val="007570D1"/>
    <w:rsid w:val="00757D15"/>
    <w:rsid w:val="00757DA7"/>
    <w:rsid w:val="00757F92"/>
    <w:rsid w:val="00760A83"/>
    <w:rsid w:val="007614EF"/>
    <w:rsid w:val="0076178D"/>
    <w:rsid w:val="00762ADB"/>
    <w:rsid w:val="00762C02"/>
    <w:rsid w:val="007647DC"/>
    <w:rsid w:val="00764CCE"/>
    <w:rsid w:val="00765111"/>
    <w:rsid w:val="0076537E"/>
    <w:rsid w:val="00770A94"/>
    <w:rsid w:val="00770B86"/>
    <w:rsid w:val="00770BAF"/>
    <w:rsid w:val="00770F9B"/>
    <w:rsid w:val="00773688"/>
    <w:rsid w:val="00773A59"/>
    <w:rsid w:val="00775402"/>
    <w:rsid w:val="00775D80"/>
    <w:rsid w:val="00777C93"/>
    <w:rsid w:val="00780364"/>
    <w:rsid w:val="0078256B"/>
    <w:rsid w:val="00782699"/>
    <w:rsid w:val="0078276B"/>
    <w:rsid w:val="00783631"/>
    <w:rsid w:val="00783F51"/>
    <w:rsid w:val="0078453F"/>
    <w:rsid w:val="0078533A"/>
    <w:rsid w:val="00787D71"/>
    <w:rsid w:val="00790ABD"/>
    <w:rsid w:val="00791A9B"/>
    <w:rsid w:val="007921F6"/>
    <w:rsid w:val="00792335"/>
    <w:rsid w:val="00792A9C"/>
    <w:rsid w:val="00792C05"/>
    <w:rsid w:val="00793E62"/>
    <w:rsid w:val="0079406E"/>
    <w:rsid w:val="00797F5C"/>
    <w:rsid w:val="007A0262"/>
    <w:rsid w:val="007A08FE"/>
    <w:rsid w:val="007A1F3A"/>
    <w:rsid w:val="007A2275"/>
    <w:rsid w:val="007A2B77"/>
    <w:rsid w:val="007A40A5"/>
    <w:rsid w:val="007A4EFB"/>
    <w:rsid w:val="007A6A32"/>
    <w:rsid w:val="007A6E5E"/>
    <w:rsid w:val="007B0021"/>
    <w:rsid w:val="007B08C9"/>
    <w:rsid w:val="007B185C"/>
    <w:rsid w:val="007B26E3"/>
    <w:rsid w:val="007B388A"/>
    <w:rsid w:val="007B5925"/>
    <w:rsid w:val="007B6194"/>
    <w:rsid w:val="007B761E"/>
    <w:rsid w:val="007B7ED9"/>
    <w:rsid w:val="007C096B"/>
    <w:rsid w:val="007C0B1F"/>
    <w:rsid w:val="007C165F"/>
    <w:rsid w:val="007C39BE"/>
    <w:rsid w:val="007C3B46"/>
    <w:rsid w:val="007C3D1D"/>
    <w:rsid w:val="007C5650"/>
    <w:rsid w:val="007C74ED"/>
    <w:rsid w:val="007C7A28"/>
    <w:rsid w:val="007C7D56"/>
    <w:rsid w:val="007C7F14"/>
    <w:rsid w:val="007D114B"/>
    <w:rsid w:val="007D1C52"/>
    <w:rsid w:val="007D4021"/>
    <w:rsid w:val="007D49FD"/>
    <w:rsid w:val="007D4E48"/>
    <w:rsid w:val="007D568F"/>
    <w:rsid w:val="007D5828"/>
    <w:rsid w:val="007D5CEF"/>
    <w:rsid w:val="007D6335"/>
    <w:rsid w:val="007D6AF2"/>
    <w:rsid w:val="007D6B7E"/>
    <w:rsid w:val="007D6D5A"/>
    <w:rsid w:val="007E09C6"/>
    <w:rsid w:val="007E165A"/>
    <w:rsid w:val="007E343C"/>
    <w:rsid w:val="007E36CC"/>
    <w:rsid w:val="007E5160"/>
    <w:rsid w:val="007E7B70"/>
    <w:rsid w:val="007F0994"/>
    <w:rsid w:val="007F16A1"/>
    <w:rsid w:val="007F26A1"/>
    <w:rsid w:val="007F2F80"/>
    <w:rsid w:val="007F3A46"/>
    <w:rsid w:val="007F415F"/>
    <w:rsid w:val="007F4BD4"/>
    <w:rsid w:val="007F4EED"/>
    <w:rsid w:val="007F530F"/>
    <w:rsid w:val="007F581D"/>
    <w:rsid w:val="007F5CD0"/>
    <w:rsid w:val="007F6A0C"/>
    <w:rsid w:val="007F707A"/>
    <w:rsid w:val="007F7562"/>
    <w:rsid w:val="007F78A3"/>
    <w:rsid w:val="007F7913"/>
    <w:rsid w:val="008001BE"/>
    <w:rsid w:val="00801883"/>
    <w:rsid w:val="008039F3"/>
    <w:rsid w:val="00803ECD"/>
    <w:rsid w:val="008040C0"/>
    <w:rsid w:val="00804A7B"/>
    <w:rsid w:val="00804CDE"/>
    <w:rsid w:val="00804F1B"/>
    <w:rsid w:val="00806201"/>
    <w:rsid w:val="008064AB"/>
    <w:rsid w:val="00807C77"/>
    <w:rsid w:val="00807D28"/>
    <w:rsid w:val="00810D70"/>
    <w:rsid w:val="00811320"/>
    <w:rsid w:val="00811BEC"/>
    <w:rsid w:val="0081231B"/>
    <w:rsid w:val="008124D0"/>
    <w:rsid w:val="00815543"/>
    <w:rsid w:val="00820DA9"/>
    <w:rsid w:val="008211E2"/>
    <w:rsid w:val="00823012"/>
    <w:rsid w:val="00823AF0"/>
    <w:rsid w:val="00824B60"/>
    <w:rsid w:val="00824F1E"/>
    <w:rsid w:val="00825873"/>
    <w:rsid w:val="0082613D"/>
    <w:rsid w:val="008263A9"/>
    <w:rsid w:val="008268E8"/>
    <w:rsid w:val="008275C7"/>
    <w:rsid w:val="00827A79"/>
    <w:rsid w:val="00827EA3"/>
    <w:rsid w:val="00830065"/>
    <w:rsid w:val="00830B84"/>
    <w:rsid w:val="00831714"/>
    <w:rsid w:val="00833CA8"/>
    <w:rsid w:val="00834DBE"/>
    <w:rsid w:val="00836BBB"/>
    <w:rsid w:val="00836BE4"/>
    <w:rsid w:val="008374D4"/>
    <w:rsid w:val="00837D2E"/>
    <w:rsid w:val="00837DF5"/>
    <w:rsid w:val="00840298"/>
    <w:rsid w:val="00840EA7"/>
    <w:rsid w:val="0084112C"/>
    <w:rsid w:val="00842F1C"/>
    <w:rsid w:val="00843A93"/>
    <w:rsid w:val="0084425B"/>
    <w:rsid w:val="008449A3"/>
    <w:rsid w:val="00844FC7"/>
    <w:rsid w:val="00845F0C"/>
    <w:rsid w:val="00845F7E"/>
    <w:rsid w:val="00847E40"/>
    <w:rsid w:val="00850D1B"/>
    <w:rsid w:val="00850DAE"/>
    <w:rsid w:val="00850E6F"/>
    <w:rsid w:val="008511D7"/>
    <w:rsid w:val="00851DD2"/>
    <w:rsid w:val="00851E3B"/>
    <w:rsid w:val="00853D0B"/>
    <w:rsid w:val="00855867"/>
    <w:rsid w:val="00855995"/>
    <w:rsid w:val="00855E20"/>
    <w:rsid w:val="00855F77"/>
    <w:rsid w:val="0085696D"/>
    <w:rsid w:val="00856DBE"/>
    <w:rsid w:val="00857FBC"/>
    <w:rsid w:val="00860581"/>
    <w:rsid w:val="0086117A"/>
    <w:rsid w:val="00861432"/>
    <w:rsid w:val="008614B9"/>
    <w:rsid w:val="00861A3E"/>
    <w:rsid w:val="008623A4"/>
    <w:rsid w:val="00862844"/>
    <w:rsid w:val="00863FE3"/>
    <w:rsid w:val="008641BC"/>
    <w:rsid w:val="008648B0"/>
    <w:rsid w:val="00865316"/>
    <w:rsid w:val="008673F8"/>
    <w:rsid w:val="00867A04"/>
    <w:rsid w:val="00867DE6"/>
    <w:rsid w:val="00870BB2"/>
    <w:rsid w:val="00870C0A"/>
    <w:rsid w:val="0087168B"/>
    <w:rsid w:val="008718D9"/>
    <w:rsid w:val="00871AD0"/>
    <w:rsid w:val="00872959"/>
    <w:rsid w:val="00872C82"/>
    <w:rsid w:val="008741D2"/>
    <w:rsid w:val="00875AAD"/>
    <w:rsid w:val="00875E41"/>
    <w:rsid w:val="00875F26"/>
    <w:rsid w:val="00875F6A"/>
    <w:rsid w:val="00876BF3"/>
    <w:rsid w:val="00877464"/>
    <w:rsid w:val="00877A3E"/>
    <w:rsid w:val="00877B0C"/>
    <w:rsid w:val="008802AE"/>
    <w:rsid w:val="00880309"/>
    <w:rsid w:val="0088128B"/>
    <w:rsid w:val="00881C02"/>
    <w:rsid w:val="00881F44"/>
    <w:rsid w:val="00881FF3"/>
    <w:rsid w:val="00882340"/>
    <w:rsid w:val="008833BF"/>
    <w:rsid w:val="00885193"/>
    <w:rsid w:val="00885D3F"/>
    <w:rsid w:val="0088656B"/>
    <w:rsid w:val="00891691"/>
    <w:rsid w:val="008927E2"/>
    <w:rsid w:val="00893265"/>
    <w:rsid w:val="008936D2"/>
    <w:rsid w:val="008959B6"/>
    <w:rsid w:val="008968D9"/>
    <w:rsid w:val="008A0027"/>
    <w:rsid w:val="008A1072"/>
    <w:rsid w:val="008A1C28"/>
    <w:rsid w:val="008A1D8C"/>
    <w:rsid w:val="008A2F37"/>
    <w:rsid w:val="008A3659"/>
    <w:rsid w:val="008A41CF"/>
    <w:rsid w:val="008A4F7D"/>
    <w:rsid w:val="008A5931"/>
    <w:rsid w:val="008A5AA9"/>
    <w:rsid w:val="008A6923"/>
    <w:rsid w:val="008A7D5F"/>
    <w:rsid w:val="008B108D"/>
    <w:rsid w:val="008B2225"/>
    <w:rsid w:val="008B229A"/>
    <w:rsid w:val="008B3253"/>
    <w:rsid w:val="008B32AE"/>
    <w:rsid w:val="008B45A8"/>
    <w:rsid w:val="008B518C"/>
    <w:rsid w:val="008B71D0"/>
    <w:rsid w:val="008C212F"/>
    <w:rsid w:val="008C25F2"/>
    <w:rsid w:val="008C2ECF"/>
    <w:rsid w:val="008C3AA7"/>
    <w:rsid w:val="008C443F"/>
    <w:rsid w:val="008C4F0D"/>
    <w:rsid w:val="008C74C3"/>
    <w:rsid w:val="008D1C81"/>
    <w:rsid w:val="008D20F7"/>
    <w:rsid w:val="008D39FF"/>
    <w:rsid w:val="008D3CEB"/>
    <w:rsid w:val="008D477F"/>
    <w:rsid w:val="008D49CB"/>
    <w:rsid w:val="008D5898"/>
    <w:rsid w:val="008D6148"/>
    <w:rsid w:val="008D7054"/>
    <w:rsid w:val="008E1995"/>
    <w:rsid w:val="008E3038"/>
    <w:rsid w:val="008E321B"/>
    <w:rsid w:val="008E3E37"/>
    <w:rsid w:val="008E6348"/>
    <w:rsid w:val="008F2953"/>
    <w:rsid w:val="008F2C8F"/>
    <w:rsid w:val="008F3126"/>
    <w:rsid w:val="008F3911"/>
    <w:rsid w:val="008F457D"/>
    <w:rsid w:val="008F4A52"/>
    <w:rsid w:val="008F4A85"/>
    <w:rsid w:val="008F5B03"/>
    <w:rsid w:val="008F7370"/>
    <w:rsid w:val="009022C8"/>
    <w:rsid w:val="00902BB4"/>
    <w:rsid w:val="009062D2"/>
    <w:rsid w:val="00907065"/>
    <w:rsid w:val="00910469"/>
    <w:rsid w:val="00910510"/>
    <w:rsid w:val="00910585"/>
    <w:rsid w:val="009108B2"/>
    <w:rsid w:val="00911E93"/>
    <w:rsid w:val="0091216B"/>
    <w:rsid w:val="009123C4"/>
    <w:rsid w:val="009128FC"/>
    <w:rsid w:val="00913085"/>
    <w:rsid w:val="00913D94"/>
    <w:rsid w:val="00914CAC"/>
    <w:rsid w:val="00914D57"/>
    <w:rsid w:val="009152C7"/>
    <w:rsid w:val="00916076"/>
    <w:rsid w:val="00916618"/>
    <w:rsid w:val="00916D58"/>
    <w:rsid w:val="00917B00"/>
    <w:rsid w:val="00917D93"/>
    <w:rsid w:val="009208A9"/>
    <w:rsid w:val="00920CBC"/>
    <w:rsid w:val="00921317"/>
    <w:rsid w:val="0092141A"/>
    <w:rsid w:val="00921535"/>
    <w:rsid w:val="00921AF2"/>
    <w:rsid w:val="00921D24"/>
    <w:rsid w:val="00922C0D"/>
    <w:rsid w:val="0092522A"/>
    <w:rsid w:val="009266F9"/>
    <w:rsid w:val="00927821"/>
    <w:rsid w:val="00931332"/>
    <w:rsid w:val="009319D8"/>
    <w:rsid w:val="00931A54"/>
    <w:rsid w:val="0093233F"/>
    <w:rsid w:val="009324BA"/>
    <w:rsid w:val="00932BA8"/>
    <w:rsid w:val="009335A1"/>
    <w:rsid w:val="009336DC"/>
    <w:rsid w:val="00934176"/>
    <w:rsid w:val="0093446E"/>
    <w:rsid w:val="00936029"/>
    <w:rsid w:val="00937234"/>
    <w:rsid w:val="00937CCF"/>
    <w:rsid w:val="0094279A"/>
    <w:rsid w:val="009427E5"/>
    <w:rsid w:val="00942C7B"/>
    <w:rsid w:val="009430D8"/>
    <w:rsid w:val="00943872"/>
    <w:rsid w:val="00943A1D"/>
    <w:rsid w:val="00945DA6"/>
    <w:rsid w:val="009462F6"/>
    <w:rsid w:val="00946B36"/>
    <w:rsid w:val="00946EDD"/>
    <w:rsid w:val="00950849"/>
    <w:rsid w:val="00950DBD"/>
    <w:rsid w:val="0095126A"/>
    <w:rsid w:val="00952735"/>
    <w:rsid w:val="00952A84"/>
    <w:rsid w:val="00953168"/>
    <w:rsid w:val="0095332C"/>
    <w:rsid w:val="00953C19"/>
    <w:rsid w:val="00953E93"/>
    <w:rsid w:val="0095432C"/>
    <w:rsid w:val="009545F2"/>
    <w:rsid w:val="009548C3"/>
    <w:rsid w:val="00954CB8"/>
    <w:rsid w:val="00955E79"/>
    <w:rsid w:val="00957844"/>
    <w:rsid w:val="00960E82"/>
    <w:rsid w:val="009624E6"/>
    <w:rsid w:val="00963FC8"/>
    <w:rsid w:val="009644A8"/>
    <w:rsid w:val="00965E83"/>
    <w:rsid w:val="0096624F"/>
    <w:rsid w:val="00966E7C"/>
    <w:rsid w:val="0096786C"/>
    <w:rsid w:val="00967D93"/>
    <w:rsid w:val="00971D32"/>
    <w:rsid w:val="009721B1"/>
    <w:rsid w:val="0097237E"/>
    <w:rsid w:val="0097366C"/>
    <w:rsid w:val="00974492"/>
    <w:rsid w:val="00974AF4"/>
    <w:rsid w:val="00975553"/>
    <w:rsid w:val="00975E65"/>
    <w:rsid w:val="009765E7"/>
    <w:rsid w:val="00977F5F"/>
    <w:rsid w:val="0098090B"/>
    <w:rsid w:val="00981502"/>
    <w:rsid w:val="009817C3"/>
    <w:rsid w:val="0098189D"/>
    <w:rsid w:val="00982092"/>
    <w:rsid w:val="009820F4"/>
    <w:rsid w:val="009826B1"/>
    <w:rsid w:val="00984280"/>
    <w:rsid w:val="00984560"/>
    <w:rsid w:val="009847BF"/>
    <w:rsid w:val="00984E2B"/>
    <w:rsid w:val="00985789"/>
    <w:rsid w:val="00985848"/>
    <w:rsid w:val="0098688A"/>
    <w:rsid w:val="009868D8"/>
    <w:rsid w:val="00987CC7"/>
    <w:rsid w:val="00990254"/>
    <w:rsid w:val="0099034A"/>
    <w:rsid w:val="00991A43"/>
    <w:rsid w:val="00992B4C"/>
    <w:rsid w:val="00992E3C"/>
    <w:rsid w:val="00993391"/>
    <w:rsid w:val="00993417"/>
    <w:rsid w:val="009940BE"/>
    <w:rsid w:val="00994B8A"/>
    <w:rsid w:val="00994D2F"/>
    <w:rsid w:val="00997A12"/>
    <w:rsid w:val="00997DDA"/>
    <w:rsid w:val="009A0DCA"/>
    <w:rsid w:val="009A1210"/>
    <w:rsid w:val="009A2F8C"/>
    <w:rsid w:val="009A3247"/>
    <w:rsid w:val="009A32EC"/>
    <w:rsid w:val="009A3791"/>
    <w:rsid w:val="009A3C12"/>
    <w:rsid w:val="009A453D"/>
    <w:rsid w:val="009A4CC4"/>
    <w:rsid w:val="009A54E0"/>
    <w:rsid w:val="009B0780"/>
    <w:rsid w:val="009B0EBD"/>
    <w:rsid w:val="009B0F91"/>
    <w:rsid w:val="009B308B"/>
    <w:rsid w:val="009B4E7A"/>
    <w:rsid w:val="009B5023"/>
    <w:rsid w:val="009B51AB"/>
    <w:rsid w:val="009B5688"/>
    <w:rsid w:val="009B6C4A"/>
    <w:rsid w:val="009B6DAA"/>
    <w:rsid w:val="009B75B4"/>
    <w:rsid w:val="009B7788"/>
    <w:rsid w:val="009B7860"/>
    <w:rsid w:val="009C06E2"/>
    <w:rsid w:val="009C0AC3"/>
    <w:rsid w:val="009C223F"/>
    <w:rsid w:val="009C3FD6"/>
    <w:rsid w:val="009C521B"/>
    <w:rsid w:val="009C6359"/>
    <w:rsid w:val="009C753D"/>
    <w:rsid w:val="009C7DAC"/>
    <w:rsid w:val="009D131A"/>
    <w:rsid w:val="009D52BC"/>
    <w:rsid w:val="009D5D28"/>
    <w:rsid w:val="009D5DBA"/>
    <w:rsid w:val="009D645C"/>
    <w:rsid w:val="009D728C"/>
    <w:rsid w:val="009D7888"/>
    <w:rsid w:val="009D7A96"/>
    <w:rsid w:val="009E000C"/>
    <w:rsid w:val="009E06D8"/>
    <w:rsid w:val="009E35B0"/>
    <w:rsid w:val="009E4ABC"/>
    <w:rsid w:val="009E4B00"/>
    <w:rsid w:val="009E50F8"/>
    <w:rsid w:val="009E632A"/>
    <w:rsid w:val="009E6B6F"/>
    <w:rsid w:val="009E71FE"/>
    <w:rsid w:val="009E799F"/>
    <w:rsid w:val="009E7B4B"/>
    <w:rsid w:val="009F3B5B"/>
    <w:rsid w:val="009F3BB4"/>
    <w:rsid w:val="009F3EA0"/>
    <w:rsid w:val="009F4429"/>
    <w:rsid w:val="009F5423"/>
    <w:rsid w:val="009F724B"/>
    <w:rsid w:val="00A001EF"/>
    <w:rsid w:val="00A00A0C"/>
    <w:rsid w:val="00A01E60"/>
    <w:rsid w:val="00A0272A"/>
    <w:rsid w:val="00A03DD1"/>
    <w:rsid w:val="00A03E5D"/>
    <w:rsid w:val="00A050B2"/>
    <w:rsid w:val="00A052F4"/>
    <w:rsid w:val="00A057A6"/>
    <w:rsid w:val="00A05F7A"/>
    <w:rsid w:val="00A0735B"/>
    <w:rsid w:val="00A07409"/>
    <w:rsid w:val="00A1051F"/>
    <w:rsid w:val="00A108C6"/>
    <w:rsid w:val="00A12522"/>
    <w:rsid w:val="00A12EBF"/>
    <w:rsid w:val="00A136D2"/>
    <w:rsid w:val="00A14A67"/>
    <w:rsid w:val="00A1557C"/>
    <w:rsid w:val="00A1694D"/>
    <w:rsid w:val="00A17150"/>
    <w:rsid w:val="00A178DD"/>
    <w:rsid w:val="00A202FC"/>
    <w:rsid w:val="00A20332"/>
    <w:rsid w:val="00A22188"/>
    <w:rsid w:val="00A2384C"/>
    <w:rsid w:val="00A240EC"/>
    <w:rsid w:val="00A2427D"/>
    <w:rsid w:val="00A25E53"/>
    <w:rsid w:val="00A265D7"/>
    <w:rsid w:val="00A27375"/>
    <w:rsid w:val="00A30923"/>
    <w:rsid w:val="00A30AF1"/>
    <w:rsid w:val="00A30C5A"/>
    <w:rsid w:val="00A31311"/>
    <w:rsid w:val="00A33A99"/>
    <w:rsid w:val="00A359B5"/>
    <w:rsid w:val="00A35F06"/>
    <w:rsid w:val="00A36AEB"/>
    <w:rsid w:val="00A36B8C"/>
    <w:rsid w:val="00A40157"/>
    <w:rsid w:val="00A413FD"/>
    <w:rsid w:val="00A420CA"/>
    <w:rsid w:val="00A4282D"/>
    <w:rsid w:val="00A43D00"/>
    <w:rsid w:val="00A43D45"/>
    <w:rsid w:val="00A445DC"/>
    <w:rsid w:val="00A47AB7"/>
    <w:rsid w:val="00A47BB2"/>
    <w:rsid w:val="00A5065E"/>
    <w:rsid w:val="00A51E69"/>
    <w:rsid w:val="00A52E68"/>
    <w:rsid w:val="00A53F5C"/>
    <w:rsid w:val="00A55018"/>
    <w:rsid w:val="00A555BA"/>
    <w:rsid w:val="00A56209"/>
    <w:rsid w:val="00A56BC2"/>
    <w:rsid w:val="00A5769E"/>
    <w:rsid w:val="00A61F18"/>
    <w:rsid w:val="00A62816"/>
    <w:rsid w:val="00A63116"/>
    <w:rsid w:val="00A63365"/>
    <w:rsid w:val="00A64067"/>
    <w:rsid w:val="00A641E9"/>
    <w:rsid w:val="00A65812"/>
    <w:rsid w:val="00A659A5"/>
    <w:rsid w:val="00A665C2"/>
    <w:rsid w:val="00A672F1"/>
    <w:rsid w:val="00A67D3E"/>
    <w:rsid w:val="00A721C1"/>
    <w:rsid w:val="00A724DE"/>
    <w:rsid w:val="00A7286A"/>
    <w:rsid w:val="00A729D3"/>
    <w:rsid w:val="00A7310A"/>
    <w:rsid w:val="00A734A3"/>
    <w:rsid w:val="00A741F0"/>
    <w:rsid w:val="00A75578"/>
    <w:rsid w:val="00A75B02"/>
    <w:rsid w:val="00A75CC6"/>
    <w:rsid w:val="00A77367"/>
    <w:rsid w:val="00A77B8D"/>
    <w:rsid w:val="00A803B4"/>
    <w:rsid w:val="00A81012"/>
    <w:rsid w:val="00A81C09"/>
    <w:rsid w:val="00A81FAE"/>
    <w:rsid w:val="00A858CD"/>
    <w:rsid w:val="00A8623D"/>
    <w:rsid w:val="00A86F10"/>
    <w:rsid w:val="00A87A6E"/>
    <w:rsid w:val="00A9099C"/>
    <w:rsid w:val="00A90E9D"/>
    <w:rsid w:val="00A91FB3"/>
    <w:rsid w:val="00A928F1"/>
    <w:rsid w:val="00A929EB"/>
    <w:rsid w:val="00A95FCF"/>
    <w:rsid w:val="00A97AF0"/>
    <w:rsid w:val="00AA1CC6"/>
    <w:rsid w:val="00AA2A9C"/>
    <w:rsid w:val="00AA3573"/>
    <w:rsid w:val="00AA3F66"/>
    <w:rsid w:val="00AA66D1"/>
    <w:rsid w:val="00AA672B"/>
    <w:rsid w:val="00AA7EAC"/>
    <w:rsid w:val="00AB0D30"/>
    <w:rsid w:val="00AB3191"/>
    <w:rsid w:val="00AB4056"/>
    <w:rsid w:val="00AB581A"/>
    <w:rsid w:val="00AB6DFA"/>
    <w:rsid w:val="00AC0726"/>
    <w:rsid w:val="00AC1C72"/>
    <w:rsid w:val="00AC2272"/>
    <w:rsid w:val="00AC2550"/>
    <w:rsid w:val="00AC34D2"/>
    <w:rsid w:val="00AC4E6A"/>
    <w:rsid w:val="00AC5507"/>
    <w:rsid w:val="00AC5B7D"/>
    <w:rsid w:val="00AC6BDE"/>
    <w:rsid w:val="00AD0EA1"/>
    <w:rsid w:val="00AD1BB0"/>
    <w:rsid w:val="00AD2CB9"/>
    <w:rsid w:val="00AD323D"/>
    <w:rsid w:val="00AD4910"/>
    <w:rsid w:val="00AD5256"/>
    <w:rsid w:val="00AD7F79"/>
    <w:rsid w:val="00AE488A"/>
    <w:rsid w:val="00AF0320"/>
    <w:rsid w:val="00AF0AA7"/>
    <w:rsid w:val="00AF13B4"/>
    <w:rsid w:val="00AF2394"/>
    <w:rsid w:val="00AF4274"/>
    <w:rsid w:val="00AF46E4"/>
    <w:rsid w:val="00AF5EF0"/>
    <w:rsid w:val="00AF5FC3"/>
    <w:rsid w:val="00AF75B9"/>
    <w:rsid w:val="00B00310"/>
    <w:rsid w:val="00B01548"/>
    <w:rsid w:val="00B01AC4"/>
    <w:rsid w:val="00B01EB9"/>
    <w:rsid w:val="00B024A7"/>
    <w:rsid w:val="00B04E0A"/>
    <w:rsid w:val="00B04E28"/>
    <w:rsid w:val="00B0503B"/>
    <w:rsid w:val="00B06D4B"/>
    <w:rsid w:val="00B06DB8"/>
    <w:rsid w:val="00B074EE"/>
    <w:rsid w:val="00B07D63"/>
    <w:rsid w:val="00B10387"/>
    <w:rsid w:val="00B14E4E"/>
    <w:rsid w:val="00B1515B"/>
    <w:rsid w:val="00B200C3"/>
    <w:rsid w:val="00B208ED"/>
    <w:rsid w:val="00B21B65"/>
    <w:rsid w:val="00B22FBB"/>
    <w:rsid w:val="00B2333A"/>
    <w:rsid w:val="00B25B72"/>
    <w:rsid w:val="00B261E8"/>
    <w:rsid w:val="00B270DD"/>
    <w:rsid w:val="00B27179"/>
    <w:rsid w:val="00B33582"/>
    <w:rsid w:val="00B36AD7"/>
    <w:rsid w:val="00B37531"/>
    <w:rsid w:val="00B40647"/>
    <w:rsid w:val="00B40BA3"/>
    <w:rsid w:val="00B412B2"/>
    <w:rsid w:val="00B423D1"/>
    <w:rsid w:val="00B42F37"/>
    <w:rsid w:val="00B4326D"/>
    <w:rsid w:val="00B4395F"/>
    <w:rsid w:val="00B44B28"/>
    <w:rsid w:val="00B45ADC"/>
    <w:rsid w:val="00B51165"/>
    <w:rsid w:val="00B51F9F"/>
    <w:rsid w:val="00B53942"/>
    <w:rsid w:val="00B53B8D"/>
    <w:rsid w:val="00B54049"/>
    <w:rsid w:val="00B562EB"/>
    <w:rsid w:val="00B566AB"/>
    <w:rsid w:val="00B56EA7"/>
    <w:rsid w:val="00B573E0"/>
    <w:rsid w:val="00B577D3"/>
    <w:rsid w:val="00B57A26"/>
    <w:rsid w:val="00B57A7F"/>
    <w:rsid w:val="00B57C0A"/>
    <w:rsid w:val="00B649CD"/>
    <w:rsid w:val="00B64CE7"/>
    <w:rsid w:val="00B66C27"/>
    <w:rsid w:val="00B7192A"/>
    <w:rsid w:val="00B73425"/>
    <w:rsid w:val="00B73A56"/>
    <w:rsid w:val="00B73C08"/>
    <w:rsid w:val="00B748C9"/>
    <w:rsid w:val="00B756EA"/>
    <w:rsid w:val="00B75855"/>
    <w:rsid w:val="00B75F2C"/>
    <w:rsid w:val="00B766E2"/>
    <w:rsid w:val="00B7696C"/>
    <w:rsid w:val="00B77456"/>
    <w:rsid w:val="00B77702"/>
    <w:rsid w:val="00B80410"/>
    <w:rsid w:val="00B80F8D"/>
    <w:rsid w:val="00B8310B"/>
    <w:rsid w:val="00B83CD3"/>
    <w:rsid w:val="00B84A9B"/>
    <w:rsid w:val="00B84B59"/>
    <w:rsid w:val="00B857F6"/>
    <w:rsid w:val="00B90440"/>
    <w:rsid w:val="00B90A08"/>
    <w:rsid w:val="00B91603"/>
    <w:rsid w:val="00B92655"/>
    <w:rsid w:val="00B93258"/>
    <w:rsid w:val="00B9345E"/>
    <w:rsid w:val="00B9489D"/>
    <w:rsid w:val="00B95BC7"/>
    <w:rsid w:val="00B96E5D"/>
    <w:rsid w:val="00B973DE"/>
    <w:rsid w:val="00B97FDE"/>
    <w:rsid w:val="00BA018C"/>
    <w:rsid w:val="00BA155A"/>
    <w:rsid w:val="00BA1E7E"/>
    <w:rsid w:val="00BA22EB"/>
    <w:rsid w:val="00BA2A17"/>
    <w:rsid w:val="00BA3DB6"/>
    <w:rsid w:val="00BA3EB0"/>
    <w:rsid w:val="00BA46B2"/>
    <w:rsid w:val="00BA5040"/>
    <w:rsid w:val="00BA5831"/>
    <w:rsid w:val="00BA59F9"/>
    <w:rsid w:val="00BA5EB1"/>
    <w:rsid w:val="00BA6660"/>
    <w:rsid w:val="00BA692F"/>
    <w:rsid w:val="00BA6E57"/>
    <w:rsid w:val="00BA6E8C"/>
    <w:rsid w:val="00BB132B"/>
    <w:rsid w:val="00BB71CC"/>
    <w:rsid w:val="00BC05FB"/>
    <w:rsid w:val="00BC156D"/>
    <w:rsid w:val="00BC201F"/>
    <w:rsid w:val="00BC2D65"/>
    <w:rsid w:val="00BC3208"/>
    <w:rsid w:val="00BC38C7"/>
    <w:rsid w:val="00BC447C"/>
    <w:rsid w:val="00BC46B1"/>
    <w:rsid w:val="00BC4C5C"/>
    <w:rsid w:val="00BC7037"/>
    <w:rsid w:val="00BC70E3"/>
    <w:rsid w:val="00BC790F"/>
    <w:rsid w:val="00BD1681"/>
    <w:rsid w:val="00BD1932"/>
    <w:rsid w:val="00BD2A7B"/>
    <w:rsid w:val="00BD4057"/>
    <w:rsid w:val="00BD6C5C"/>
    <w:rsid w:val="00BE070F"/>
    <w:rsid w:val="00BE08F4"/>
    <w:rsid w:val="00BE099B"/>
    <w:rsid w:val="00BE4554"/>
    <w:rsid w:val="00BE4CE0"/>
    <w:rsid w:val="00BE5B96"/>
    <w:rsid w:val="00BE752A"/>
    <w:rsid w:val="00BF159B"/>
    <w:rsid w:val="00BF1B4D"/>
    <w:rsid w:val="00BF2C56"/>
    <w:rsid w:val="00BF3B81"/>
    <w:rsid w:val="00C00C39"/>
    <w:rsid w:val="00C0120B"/>
    <w:rsid w:val="00C0141A"/>
    <w:rsid w:val="00C01F27"/>
    <w:rsid w:val="00C0214D"/>
    <w:rsid w:val="00C036FE"/>
    <w:rsid w:val="00C03FA8"/>
    <w:rsid w:val="00C04157"/>
    <w:rsid w:val="00C0426C"/>
    <w:rsid w:val="00C04D83"/>
    <w:rsid w:val="00C06498"/>
    <w:rsid w:val="00C104C8"/>
    <w:rsid w:val="00C104D5"/>
    <w:rsid w:val="00C114C1"/>
    <w:rsid w:val="00C115B7"/>
    <w:rsid w:val="00C11DA7"/>
    <w:rsid w:val="00C122A0"/>
    <w:rsid w:val="00C14E89"/>
    <w:rsid w:val="00C15348"/>
    <w:rsid w:val="00C17101"/>
    <w:rsid w:val="00C21703"/>
    <w:rsid w:val="00C23A55"/>
    <w:rsid w:val="00C23C36"/>
    <w:rsid w:val="00C24E92"/>
    <w:rsid w:val="00C25299"/>
    <w:rsid w:val="00C256F4"/>
    <w:rsid w:val="00C265C9"/>
    <w:rsid w:val="00C26C06"/>
    <w:rsid w:val="00C27433"/>
    <w:rsid w:val="00C3025E"/>
    <w:rsid w:val="00C3074C"/>
    <w:rsid w:val="00C3206F"/>
    <w:rsid w:val="00C329D6"/>
    <w:rsid w:val="00C32A70"/>
    <w:rsid w:val="00C33462"/>
    <w:rsid w:val="00C336C8"/>
    <w:rsid w:val="00C3582E"/>
    <w:rsid w:val="00C3797B"/>
    <w:rsid w:val="00C40C58"/>
    <w:rsid w:val="00C41871"/>
    <w:rsid w:val="00C42358"/>
    <w:rsid w:val="00C503A8"/>
    <w:rsid w:val="00C51F0E"/>
    <w:rsid w:val="00C525B6"/>
    <w:rsid w:val="00C529D6"/>
    <w:rsid w:val="00C53CF5"/>
    <w:rsid w:val="00C54276"/>
    <w:rsid w:val="00C54286"/>
    <w:rsid w:val="00C54352"/>
    <w:rsid w:val="00C54D8A"/>
    <w:rsid w:val="00C550A6"/>
    <w:rsid w:val="00C565B4"/>
    <w:rsid w:val="00C568CE"/>
    <w:rsid w:val="00C60C2D"/>
    <w:rsid w:val="00C60E00"/>
    <w:rsid w:val="00C61010"/>
    <w:rsid w:val="00C61381"/>
    <w:rsid w:val="00C6160E"/>
    <w:rsid w:val="00C617CE"/>
    <w:rsid w:val="00C61957"/>
    <w:rsid w:val="00C61C3D"/>
    <w:rsid w:val="00C622FE"/>
    <w:rsid w:val="00C626E2"/>
    <w:rsid w:val="00C63257"/>
    <w:rsid w:val="00C64D56"/>
    <w:rsid w:val="00C65FB5"/>
    <w:rsid w:val="00C66162"/>
    <w:rsid w:val="00C6665C"/>
    <w:rsid w:val="00C6693B"/>
    <w:rsid w:val="00C70435"/>
    <w:rsid w:val="00C70FBF"/>
    <w:rsid w:val="00C71309"/>
    <w:rsid w:val="00C71F15"/>
    <w:rsid w:val="00C7218B"/>
    <w:rsid w:val="00C73089"/>
    <w:rsid w:val="00C756BD"/>
    <w:rsid w:val="00C75960"/>
    <w:rsid w:val="00C76BA0"/>
    <w:rsid w:val="00C76DDD"/>
    <w:rsid w:val="00C77235"/>
    <w:rsid w:val="00C77E29"/>
    <w:rsid w:val="00C80578"/>
    <w:rsid w:val="00C80C43"/>
    <w:rsid w:val="00C81802"/>
    <w:rsid w:val="00C81BB5"/>
    <w:rsid w:val="00C821A2"/>
    <w:rsid w:val="00C8315E"/>
    <w:rsid w:val="00C83A16"/>
    <w:rsid w:val="00C83C85"/>
    <w:rsid w:val="00C8653A"/>
    <w:rsid w:val="00C86B5A"/>
    <w:rsid w:val="00C86C57"/>
    <w:rsid w:val="00C875BF"/>
    <w:rsid w:val="00C90F85"/>
    <w:rsid w:val="00C91B61"/>
    <w:rsid w:val="00C92E08"/>
    <w:rsid w:val="00C93243"/>
    <w:rsid w:val="00C93E70"/>
    <w:rsid w:val="00C94831"/>
    <w:rsid w:val="00C96D66"/>
    <w:rsid w:val="00C97E4B"/>
    <w:rsid w:val="00CA064A"/>
    <w:rsid w:val="00CA2C95"/>
    <w:rsid w:val="00CA3AC2"/>
    <w:rsid w:val="00CA3C59"/>
    <w:rsid w:val="00CA4217"/>
    <w:rsid w:val="00CA498B"/>
    <w:rsid w:val="00CA507D"/>
    <w:rsid w:val="00CA513B"/>
    <w:rsid w:val="00CA5B7C"/>
    <w:rsid w:val="00CA7FDD"/>
    <w:rsid w:val="00CB00B0"/>
    <w:rsid w:val="00CB0122"/>
    <w:rsid w:val="00CB0150"/>
    <w:rsid w:val="00CB0B1D"/>
    <w:rsid w:val="00CB0BC3"/>
    <w:rsid w:val="00CB3920"/>
    <w:rsid w:val="00CB48A1"/>
    <w:rsid w:val="00CB5AC7"/>
    <w:rsid w:val="00CB77F7"/>
    <w:rsid w:val="00CC0083"/>
    <w:rsid w:val="00CC01AB"/>
    <w:rsid w:val="00CC0BDE"/>
    <w:rsid w:val="00CC1360"/>
    <w:rsid w:val="00CC17CA"/>
    <w:rsid w:val="00CC1B97"/>
    <w:rsid w:val="00CC2772"/>
    <w:rsid w:val="00CC2E98"/>
    <w:rsid w:val="00CC2F34"/>
    <w:rsid w:val="00CC4311"/>
    <w:rsid w:val="00CC4BE1"/>
    <w:rsid w:val="00CC4E72"/>
    <w:rsid w:val="00CC5616"/>
    <w:rsid w:val="00CC5DB6"/>
    <w:rsid w:val="00CD06F8"/>
    <w:rsid w:val="00CD35E9"/>
    <w:rsid w:val="00CD79A5"/>
    <w:rsid w:val="00CD7C63"/>
    <w:rsid w:val="00CE01C1"/>
    <w:rsid w:val="00CE0681"/>
    <w:rsid w:val="00CE0C26"/>
    <w:rsid w:val="00CE51E9"/>
    <w:rsid w:val="00CE5C63"/>
    <w:rsid w:val="00CE648E"/>
    <w:rsid w:val="00CE6F8E"/>
    <w:rsid w:val="00CF1F94"/>
    <w:rsid w:val="00CF2BD6"/>
    <w:rsid w:val="00CF3980"/>
    <w:rsid w:val="00CF3F94"/>
    <w:rsid w:val="00CF4A60"/>
    <w:rsid w:val="00CF67B2"/>
    <w:rsid w:val="00CF7116"/>
    <w:rsid w:val="00D000AC"/>
    <w:rsid w:val="00D006D8"/>
    <w:rsid w:val="00D0076D"/>
    <w:rsid w:val="00D034C6"/>
    <w:rsid w:val="00D04EC0"/>
    <w:rsid w:val="00D05288"/>
    <w:rsid w:val="00D0581E"/>
    <w:rsid w:val="00D05A6E"/>
    <w:rsid w:val="00D06824"/>
    <w:rsid w:val="00D06F1B"/>
    <w:rsid w:val="00D1080D"/>
    <w:rsid w:val="00D12703"/>
    <w:rsid w:val="00D128AD"/>
    <w:rsid w:val="00D15824"/>
    <w:rsid w:val="00D1593E"/>
    <w:rsid w:val="00D16D29"/>
    <w:rsid w:val="00D16DC5"/>
    <w:rsid w:val="00D206EE"/>
    <w:rsid w:val="00D213E9"/>
    <w:rsid w:val="00D2226C"/>
    <w:rsid w:val="00D222EE"/>
    <w:rsid w:val="00D22A04"/>
    <w:rsid w:val="00D232DF"/>
    <w:rsid w:val="00D232F4"/>
    <w:rsid w:val="00D25C78"/>
    <w:rsid w:val="00D26AD2"/>
    <w:rsid w:val="00D26BA7"/>
    <w:rsid w:val="00D27839"/>
    <w:rsid w:val="00D278AB"/>
    <w:rsid w:val="00D279FE"/>
    <w:rsid w:val="00D3140A"/>
    <w:rsid w:val="00D31EB0"/>
    <w:rsid w:val="00D346B7"/>
    <w:rsid w:val="00D346E7"/>
    <w:rsid w:val="00D375FC"/>
    <w:rsid w:val="00D37865"/>
    <w:rsid w:val="00D40C97"/>
    <w:rsid w:val="00D413D2"/>
    <w:rsid w:val="00D41462"/>
    <w:rsid w:val="00D4169B"/>
    <w:rsid w:val="00D4409F"/>
    <w:rsid w:val="00D44A71"/>
    <w:rsid w:val="00D45D4B"/>
    <w:rsid w:val="00D45DF2"/>
    <w:rsid w:val="00D46012"/>
    <w:rsid w:val="00D46D88"/>
    <w:rsid w:val="00D4793E"/>
    <w:rsid w:val="00D50313"/>
    <w:rsid w:val="00D50418"/>
    <w:rsid w:val="00D50E65"/>
    <w:rsid w:val="00D526D2"/>
    <w:rsid w:val="00D52E63"/>
    <w:rsid w:val="00D57E7F"/>
    <w:rsid w:val="00D6087B"/>
    <w:rsid w:val="00D60D81"/>
    <w:rsid w:val="00D611E5"/>
    <w:rsid w:val="00D67122"/>
    <w:rsid w:val="00D70E6C"/>
    <w:rsid w:val="00D711E6"/>
    <w:rsid w:val="00D72795"/>
    <w:rsid w:val="00D72825"/>
    <w:rsid w:val="00D739FB"/>
    <w:rsid w:val="00D751E3"/>
    <w:rsid w:val="00D76335"/>
    <w:rsid w:val="00D7652E"/>
    <w:rsid w:val="00D76DB5"/>
    <w:rsid w:val="00D778AE"/>
    <w:rsid w:val="00D81354"/>
    <w:rsid w:val="00D820A5"/>
    <w:rsid w:val="00D8224D"/>
    <w:rsid w:val="00D82310"/>
    <w:rsid w:val="00D83CE6"/>
    <w:rsid w:val="00D84B86"/>
    <w:rsid w:val="00D85945"/>
    <w:rsid w:val="00D85B2E"/>
    <w:rsid w:val="00D85C94"/>
    <w:rsid w:val="00D85F7B"/>
    <w:rsid w:val="00D866AE"/>
    <w:rsid w:val="00D87201"/>
    <w:rsid w:val="00D901F6"/>
    <w:rsid w:val="00D914EE"/>
    <w:rsid w:val="00D91A03"/>
    <w:rsid w:val="00D932AE"/>
    <w:rsid w:val="00D9551A"/>
    <w:rsid w:val="00D958DC"/>
    <w:rsid w:val="00D959D5"/>
    <w:rsid w:val="00D97E1F"/>
    <w:rsid w:val="00DA0565"/>
    <w:rsid w:val="00DA0B46"/>
    <w:rsid w:val="00DA0BA3"/>
    <w:rsid w:val="00DA0C5D"/>
    <w:rsid w:val="00DA141A"/>
    <w:rsid w:val="00DA2156"/>
    <w:rsid w:val="00DA3ABC"/>
    <w:rsid w:val="00DA5F38"/>
    <w:rsid w:val="00DA60C8"/>
    <w:rsid w:val="00DA61F1"/>
    <w:rsid w:val="00DA6296"/>
    <w:rsid w:val="00DA7EAD"/>
    <w:rsid w:val="00DB053D"/>
    <w:rsid w:val="00DB0908"/>
    <w:rsid w:val="00DB155D"/>
    <w:rsid w:val="00DB1BC3"/>
    <w:rsid w:val="00DB1F97"/>
    <w:rsid w:val="00DB2105"/>
    <w:rsid w:val="00DB2916"/>
    <w:rsid w:val="00DB29EC"/>
    <w:rsid w:val="00DB2B75"/>
    <w:rsid w:val="00DB41A4"/>
    <w:rsid w:val="00DB4771"/>
    <w:rsid w:val="00DB4A75"/>
    <w:rsid w:val="00DB4B8E"/>
    <w:rsid w:val="00DB63C5"/>
    <w:rsid w:val="00DB67E2"/>
    <w:rsid w:val="00DB697F"/>
    <w:rsid w:val="00DB6D9F"/>
    <w:rsid w:val="00DB7014"/>
    <w:rsid w:val="00DC2606"/>
    <w:rsid w:val="00DC2806"/>
    <w:rsid w:val="00DC2C71"/>
    <w:rsid w:val="00DC3371"/>
    <w:rsid w:val="00DC4279"/>
    <w:rsid w:val="00DC44EB"/>
    <w:rsid w:val="00DC4F28"/>
    <w:rsid w:val="00DC4FD3"/>
    <w:rsid w:val="00DC55E1"/>
    <w:rsid w:val="00DC5E39"/>
    <w:rsid w:val="00DC612B"/>
    <w:rsid w:val="00DC77C9"/>
    <w:rsid w:val="00DC7BD8"/>
    <w:rsid w:val="00DD0623"/>
    <w:rsid w:val="00DD0A45"/>
    <w:rsid w:val="00DD1FBA"/>
    <w:rsid w:val="00DD21D2"/>
    <w:rsid w:val="00DD2BBF"/>
    <w:rsid w:val="00DD3185"/>
    <w:rsid w:val="00DD3BAB"/>
    <w:rsid w:val="00DD4562"/>
    <w:rsid w:val="00DD4EDA"/>
    <w:rsid w:val="00DD5714"/>
    <w:rsid w:val="00DD5C98"/>
    <w:rsid w:val="00DD7297"/>
    <w:rsid w:val="00DD764E"/>
    <w:rsid w:val="00DE20CD"/>
    <w:rsid w:val="00DE50C0"/>
    <w:rsid w:val="00DE5AB5"/>
    <w:rsid w:val="00DF0563"/>
    <w:rsid w:val="00DF1573"/>
    <w:rsid w:val="00DF1902"/>
    <w:rsid w:val="00DF20E9"/>
    <w:rsid w:val="00DF34E7"/>
    <w:rsid w:val="00DF3737"/>
    <w:rsid w:val="00DF3741"/>
    <w:rsid w:val="00DF49C1"/>
    <w:rsid w:val="00DF5993"/>
    <w:rsid w:val="00DF6235"/>
    <w:rsid w:val="00DF6BA7"/>
    <w:rsid w:val="00E000B8"/>
    <w:rsid w:val="00E0015D"/>
    <w:rsid w:val="00E00D3D"/>
    <w:rsid w:val="00E04617"/>
    <w:rsid w:val="00E051C6"/>
    <w:rsid w:val="00E06949"/>
    <w:rsid w:val="00E06D5D"/>
    <w:rsid w:val="00E06FC3"/>
    <w:rsid w:val="00E07523"/>
    <w:rsid w:val="00E07A3B"/>
    <w:rsid w:val="00E11DA9"/>
    <w:rsid w:val="00E120C8"/>
    <w:rsid w:val="00E1211D"/>
    <w:rsid w:val="00E12E7F"/>
    <w:rsid w:val="00E16B6A"/>
    <w:rsid w:val="00E170A7"/>
    <w:rsid w:val="00E17257"/>
    <w:rsid w:val="00E17523"/>
    <w:rsid w:val="00E176EF"/>
    <w:rsid w:val="00E17E94"/>
    <w:rsid w:val="00E2058E"/>
    <w:rsid w:val="00E206BC"/>
    <w:rsid w:val="00E21F93"/>
    <w:rsid w:val="00E23A21"/>
    <w:rsid w:val="00E252DF"/>
    <w:rsid w:val="00E265E0"/>
    <w:rsid w:val="00E278B9"/>
    <w:rsid w:val="00E2790C"/>
    <w:rsid w:val="00E30412"/>
    <w:rsid w:val="00E30869"/>
    <w:rsid w:val="00E321DF"/>
    <w:rsid w:val="00E32636"/>
    <w:rsid w:val="00E34272"/>
    <w:rsid w:val="00E34B90"/>
    <w:rsid w:val="00E35D1C"/>
    <w:rsid w:val="00E360E3"/>
    <w:rsid w:val="00E369F1"/>
    <w:rsid w:val="00E36CB8"/>
    <w:rsid w:val="00E36FEB"/>
    <w:rsid w:val="00E37377"/>
    <w:rsid w:val="00E40A0F"/>
    <w:rsid w:val="00E40FB0"/>
    <w:rsid w:val="00E414CE"/>
    <w:rsid w:val="00E42877"/>
    <w:rsid w:val="00E44D92"/>
    <w:rsid w:val="00E450EE"/>
    <w:rsid w:val="00E45F3E"/>
    <w:rsid w:val="00E46A45"/>
    <w:rsid w:val="00E46CCF"/>
    <w:rsid w:val="00E4711D"/>
    <w:rsid w:val="00E47F42"/>
    <w:rsid w:val="00E50692"/>
    <w:rsid w:val="00E51457"/>
    <w:rsid w:val="00E52B9B"/>
    <w:rsid w:val="00E53131"/>
    <w:rsid w:val="00E53A2A"/>
    <w:rsid w:val="00E559D2"/>
    <w:rsid w:val="00E56C1A"/>
    <w:rsid w:val="00E571C4"/>
    <w:rsid w:val="00E573FD"/>
    <w:rsid w:val="00E606F3"/>
    <w:rsid w:val="00E6298B"/>
    <w:rsid w:val="00E63FC1"/>
    <w:rsid w:val="00E645C4"/>
    <w:rsid w:val="00E65C5A"/>
    <w:rsid w:val="00E66853"/>
    <w:rsid w:val="00E66C1F"/>
    <w:rsid w:val="00E6739D"/>
    <w:rsid w:val="00E678C8"/>
    <w:rsid w:val="00E70D05"/>
    <w:rsid w:val="00E70EF9"/>
    <w:rsid w:val="00E71643"/>
    <w:rsid w:val="00E71675"/>
    <w:rsid w:val="00E71BA4"/>
    <w:rsid w:val="00E71E72"/>
    <w:rsid w:val="00E73167"/>
    <w:rsid w:val="00E73AC3"/>
    <w:rsid w:val="00E76098"/>
    <w:rsid w:val="00E7749D"/>
    <w:rsid w:val="00E77993"/>
    <w:rsid w:val="00E80ECA"/>
    <w:rsid w:val="00E80FDB"/>
    <w:rsid w:val="00E81B8E"/>
    <w:rsid w:val="00E8321A"/>
    <w:rsid w:val="00E852C1"/>
    <w:rsid w:val="00E855B1"/>
    <w:rsid w:val="00E86B94"/>
    <w:rsid w:val="00E87DF1"/>
    <w:rsid w:val="00E91B99"/>
    <w:rsid w:val="00E92C14"/>
    <w:rsid w:val="00E93D67"/>
    <w:rsid w:val="00E93E1D"/>
    <w:rsid w:val="00E94B89"/>
    <w:rsid w:val="00E95A58"/>
    <w:rsid w:val="00EA0BDA"/>
    <w:rsid w:val="00EA0E8E"/>
    <w:rsid w:val="00EA1612"/>
    <w:rsid w:val="00EA1C78"/>
    <w:rsid w:val="00EA2968"/>
    <w:rsid w:val="00EA29A1"/>
    <w:rsid w:val="00EA2E2B"/>
    <w:rsid w:val="00EA3D2C"/>
    <w:rsid w:val="00EA3E5F"/>
    <w:rsid w:val="00EA4BFA"/>
    <w:rsid w:val="00EA55AE"/>
    <w:rsid w:val="00EA5627"/>
    <w:rsid w:val="00EA6184"/>
    <w:rsid w:val="00EA6328"/>
    <w:rsid w:val="00EB2587"/>
    <w:rsid w:val="00EB25FB"/>
    <w:rsid w:val="00EB4A06"/>
    <w:rsid w:val="00EB5AA3"/>
    <w:rsid w:val="00EB6848"/>
    <w:rsid w:val="00EB6E41"/>
    <w:rsid w:val="00EB711E"/>
    <w:rsid w:val="00EB749D"/>
    <w:rsid w:val="00EC0DBF"/>
    <w:rsid w:val="00EC29E4"/>
    <w:rsid w:val="00EC2AD9"/>
    <w:rsid w:val="00EC4199"/>
    <w:rsid w:val="00EC5171"/>
    <w:rsid w:val="00EC5E56"/>
    <w:rsid w:val="00EC621C"/>
    <w:rsid w:val="00EC67AE"/>
    <w:rsid w:val="00ED07EF"/>
    <w:rsid w:val="00ED0B82"/>
    <w:rsid w:val="00ED26A8"/>
    <w:rsid w:val="00ED357D"/>
    <w:rsid w:val="00ED3C2B"/>
    <w:rsid w:val="00ED3F6C"/>
    <w:rsid w:val="00ED4409"/>
    <w:rsid w:val="00ED523F"/>
    <w:rsid w:val="00ED587E"/>
    <w:rsid w:val="00ED7546"/>
    <w:rsid w:val="00ED7F3A"/>
    <w:rsid w:val="00EE0B47"/>
    <w:rsid w:val="00EE284E"/>
    <w:rsid w:val="00EE2C1F"/>
    <w:rsid w:val="00EE2D53"/>
    <w:rsid w:val="00EE4A3A"/>
    <w:rsid w:val="00EE5E4C"/>
    <w:rsid w:val="00EE6E60"/>
    <w:rsid w:val="00EE706F"/>
    <w:rsid w:val="00EF04A8"/>
    <w:rsid w:val="00EF0D6A"/>
    <w:rsid w:val="00EF0DC1"/>
    <w:rsid w:val="00EF234B"/>
    <w:rsid w:val="00EF2401"/>
    <w:rsid w:val="00EF4D3E"/>
    <w:rsid w:val="00EF540F"/>
    <w:rsid w:val="00EF54BB"/>
    <w:rsid w:val="00EF5C6A"/>
    <w:rsid w:val="00EF5DAD"/>
    <w:rsid w:val="00EF5DB4"/>
    <w:rsid w:val="00EF725A"/>
    <w:rsid w:val="00EF7700"/>
    <w:rsid w:val="00F000A0"/>
    <w:rsid w:val="00F0163E"/>
    <w:rsid w:val="00F034F2"/>
    <w:rsid w:val="00F04280"/>
    <w:rsid w:val="00F0639E"/>
    <w:rsid w:val="00F07BD0"/>
    <w:rsid w:val="00F07EA3"/>
    <w:rsid w:val="00F104BA"/>
    <w:rsid w:val="00F131F7"/>
    <w:rsid w:val="00F135AC"/>
    <w:rsid w:val="00F139F7"/>
    <w:rsid w:val="00F1457E"/>
    <w:rsid w:val="00F150E4"/>
    <w:rsid w:val="00F155C8"/>
    <w:rsid w:val="00F15CE6"/>
    <w:rsid w:val="00F17FB3"/>
    <w:rsid w:val="00F2050D"/>
    <w:rsid w:val="00F20F0E"/>
    <w:rsid w:val="00F20FFD"/>
    <w:rsid w:val="00F22D22"/>
    <w:rsid w:val="00F237BB"/>
    <w:rsid w:val="00F23DDE"/>
    <w:rsid w:val="00F2424D"/>
    <w:rsid w:val="00F244B6"/>
    <w:rsid w:val="00F278B1"/>
    <w:rsid w:val="00F27943"/>
    <w:rsid w:val="00F34BF9"/>
    <w:rsid w:val="00F35013"/>
    <w:rsid w:val="00F35378"/>
    <w:rsid w:val="00F35527"/>
    <w:rsid w:val="00F359F1"/>
    <w:rsid w:val="00F36D7A"/>
    <w:rsid w:val="00F40079"/>
    <w:rsid w:val="00F41134"/>
    <w:rsid w:val="00F4124B"/>
    <w:rsid w:val="00F4264C"/>
    <w:rsid w:val="00F42B0E"/>
    <w:rsid w:val="00F42F51"/>
    <w:rsid w:val="00F44D03"/>
    <w:rsid w:val="00F50795"/>
    <w:rsid w:val="00F51C4D"/>
    <w:rsid w:val="00F523A5"/>
    <w:rsid w:val="00F52BFC"/>
    <w:rsid w:val="00F542BE"/>
    <w:rsid w:val="00F54530"/>
    <w:rsid w:val="00F54537"/>
    <w:rsid w:val="00F5490E"/>
    <w:rsid w:val="00F55174"/>
    <w:rsid w:val="00F56497"/>
    <w:rsid w:val="00F56C20"/>
    <w:rsid w:val="00F56ECF"/>
    <w:rsid w:val="00F60B96"/>
    <w:rsid w:val="00F6430A"/>
    <w:rsid w:val="00F645DA"/>
    <w:rsid w:val="00F65387"/>
    <w:rsid w:val="00F65633"/>
    <w:rsid w:val="00F6651C"/>
    <w:rsid w:val="00F70192"/>
    <w:rsid w:val="00F7065C"/>
    <w:rsid w:val="00F70E69"/>
    <w:rsid w:val="00F72A95"/>
    <w:rsid w:val="00F72AEB"/>
    <w:rsid w:val="00F72EA1"/>
    <w:rsid w:val="00F730A8"/>
    <w:rsid w:val="00F7558B"/>
    <w:rsid w:val="00F77713"/>
    <w:rsid w:val="00F77EEA"/>
    <w:rsid w:val="00F8026E"/>
    <w:rsid w:val="00F808FE"/>
    <w:rsid w:val="00F81019"/>
    <w:rsid w:val="00F83925"/>
    <w:rsid w:val="00F844BE"/>
    <w:rsid w:val="00F8492B"/>
    <w:rsid w:val="00F84B20"/>
    <w:rsid w:val="00F85808"/>
    <w:rsid w:val="00F8602D"/>
    <w:rsid w:val="00F86B3F"/>
    <w:rsid w:val="00F87F77"/>
    <w:rsid w:val="00F90421"/>
    <w:rsid w:val="00F9289A"/>
    <w:rsid w:val="00F92E69"/>
    <w:rsid w:val="00F93E85"/>
    <w:rsid w:val="00F958E0"/>
    <w:rsid w:val="00F95913"/>
    <w:rsid w:val="00F96EEC"/>
    <w:rsid w:val="00F97D1D"/>
    <w:rsid w:val="00FA00CA"/>
    <w:rsid w:val="00FA215F"/>
    <w:rsid w:val="00FA23FF"/>
    <w:rsid w:val="00FA29FD"/>
    <w:rsid w:val="00FA31A5"/>
    <w:rsid w:val="00FA42C8"/>
    <w:rsid w:val="00FA5164"/>
    <w:rsid w:val="00FA6008"/>
    <w:rsid w:val="00FA632F"/>
    <w:rsid w:val="00FA644E"/>
    <w:rsid w:val="00FA7F86"/>
    <w:rsid w:val="00FB06AC"/>
    <w:rsid w:val="00FB14C6"/>
    <w:rsid w:val="00FB17AD"/>
    <w:rsid w:val="00FB1C92"/>
    <w:rsid w:val="00FB1D57"/>
    <w:rsid w:val="00FB1FF7"/>
    <w:rsid w:val="00FB2A4D"/>
    <w:rsid w:val="00FB2CC7"/>
    <w:rsid w:val="00FB3976"/>
    <w:rsid w:val="00FB4DDC"/>
    <w:rsid w:val="00FB6663"/>
    <w:rsid w:val="00FB6EE7"/>
    <w:rsid w:val="00FB6FC0"/>
    <w:rsid w:val="00FC00D5"/>
    <w:rsid w:val="00FC1DF3"/>
    <w:rsid w:val="00FC51B3"/>
    <w:rsid w:val="00FC66D7"/>
    <w:rsid w:val="00FD1C13"/>
    <w:rsid w:val="00FD6D5C"/>
    <w:rsid w:val="00FD7434"/>
    <w:rsid w:val="00FE0047"/>
    <w:rsid w:val="00FE0492"/>
    <w:rsid w:val="00FE058F"/>
    <w:rsid w:val="00FE08F6"/>
    <w:rsid w:val="00FE127B"/>
    <w:rsid w:val="00FE2AFE"/>
    <w:rsid w:val="00FE35E5"/>
    <w:rsid w:val="00FE3D8F"/>
    <w:rsid w:val="00FE5FF8"/>
    <w:rsid w:val="00FE6245"/>
    <w:rsid w:val="00FE6A5C"/>
    <w:rsid w:val="00FE6CDD"/>
    <w:rsid w:val="00FE6F07"/>
    <w:rsid w:val="00FE7AD7"/>
    <w:rsid w:val="00FF14BE"/>
    <w:rsid w:val="00FF3A81"/>
    <w:rsid w:val="00FF6B4A"/>
    <w:rsid w:val="00FF73F1"/>
    <w:rsid w:val="00FF74A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lsdException w:name="footnote reference" w:uiPriority="99"/>
    <w:lsdException w:name="Title" w:qFormat="1"/>
    <w:lsdException w:name="Hyperlink" w:uiPriority="99"/>
    <w:lsdException w:name="Strong"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406ECB"/>
    <w:pPr>
      <w:keepNext/>
      <w:numPr>
        <w:ilvl w:val="1"/>
        <w:numId w:val="13"/>
      </w:numPr>
      <w:shd w:val="clear" w:color="auto" w:fill="F2F2F2" w:themeFill="background1" w:themeFillShade="F2"/>
      <w:tabs>
        <w:tab w:val="clear" w:pos="851"/>
        <w:tab w:val="num" w:pos="567"/>
      </w:tabs>
      <w:spacing w:before="60" w:after="240"/>
      <w:outlineLvl w:val="1"/>
    </w:pPr>
    <w:rPr>
      <w:b/>
      <w:bCs/>
      <w:iCs/>
      <w:sz w:val="24"/>
      <w:szCs w:val="24"/>
    </w:rPr>
  </w:style>
  <w:style w:type="paragraph" w:styleId="Heading3">
    <w:name w:val="heading 3"/>
    <w:basedOn w:val="Normal"/>
    <w:next w:val="Normal"/>
    <w:link w:val="Heading3Char"/>
    <w:qFormat/>
    <w:rsid w:val="009D728C"/>
    <w:pPr>
      <w:keepNext/>
      <w:numPr>
        <w:numId w:val="2"/>
      </w:numPr>
      <w:spacing w:before="60" w:after="240"/>
      <w:ind w:hanging="513"/>
      <w:outlineLvl w:val="2"/>
    </w:pPr>
    <w:rPr>
      <w:rFonts w:cs="Arial"/>
      <w:b/>
      <w:bCs/>
      <w:szCs w:val="26"/>
    </w:rPr>
  </w:style>
  <w:style w:type="paragraph" w:styleId="Heading4">
    <w:name w:val="heading 4"/>
    <w:basedOn w:val="Normal"/>
    <w:next w:val="Normal"/>
    <w:link w:val="Heading4Char"/>
    <w:semiHidden/>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A43D00"/>
    <w:rPr>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027D1A"/>
    <w:pPr>
      <w:numPr>
        <w:numId w:val="22"/>
      </w:numPr>
      <w:spacing w:after="360"/>
      <w:outlineLvl w:val="0"/>
    </w:pPr>
    <w:rPr>
      <w:b/>
      <w:bCs/>
      <w:kern w:val="28"/>
      <w:szCs w:val="20"/>
    </w:rPr>
  </w:style>
  <w:style w:type="character" w:customStyle="1" w:styleId="TitleChar">
    <w:name w:val="Title Char"/>
    <w:basedOn w:val="DefaultParagraphFont"/>
    <w:link w:val="Title"/>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O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O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9D728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CommentReference">
    <w:name w:val="annotation reference"/>
    <w:basedOn w:val="DefaultParagraphFont"/>
    <w:rsid w:val="00504B3D"/>
    <w:rPr>
      <w:sz w:val="16"/>
      <w:szCs w:val="16"/>
    </w:rPr>
  </w:style>
  <w:style w:type="paragraph" w:styleId="Revision">
    <w:name w:val="Revision"/>
    <w:hidden/>
    <w:uiPriority w:val="99"/>
    <w:semiHidden/>
    <w:rsid w:val="00862844"/>
    <w:rPr>
      <w:sz w:val="22"/>
      <w:szCs w:val="22"/>
    </w:rPr>
  </w:style>
  <w:style w:type="character" w:customStyle="1" w:styleId="FootnoteTextChar">
    <w:name w:val="Footnote Text Char"/>
    <w:basedOn w:val="DefaultParagraphFont"/>
    <w:link w:val="FootnoteText"/>
    <w:uiPriority w:val="99"/>
    <w:semiHidden/>
    <w:rsid w:val="009C63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lsdException w:name="footnote reference" w:uiPriority="99"/>
    <w:lsdException w:name="Title" w:qFormat="1"/>
    <w:lsdException w:name="Hyperlink" w:uiPriority="99"/>
    <w:lsdException w:name="Strong"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406ECB"/>
    <w:pPr>
      <w:keepNext/>
      <w:numPr>
        <w:ilvl w:val="1"/>
        <w:numId w:val="13"/>
      </w:numPr>
      <w:shd w:val="clear" w:color="auto" w:fill="F2F2F2" w:themeFill="background1" w:themeFillShade="F2"/>
      <w:tabs>
        <w:tab w:val="clear" w:pos="851"/>
        <w:tab w:val="num" w:pos="567"/>
      </w:tabs>
      <w:spacing w:before="60" w:after="240"/>
      <w:outlineLvl w:val="1"/>
    </w:pPr>
    <w:rPr>
      <w:b/>
      <w:bCs/>
      <w:iCs/>
      <w:sz w:val="24"/>
      <w:szCs w:val="24"/>
    </w:rPr>
  </w:style>
  <w:style w:type="paragraph" w:styleId="Heading3">
    <w:name w:val="heading 3"/>
    <w:basedOn w:val="Normal"/>
    <w:next w:val="Normal"/>
    <w:link w:val="Heading3Char"/>
    <w:qFormat/>
    <w:rsid w:val="009D728C"/>
    <w:pPr>
      <w:keepNext/>
      <w:numPr>
        <w:numId w:val="2"/>
      </w:numPr>
      <w:spacing w:before="60" w:after="240"/>
      <w:ind w:hanging="513"/>
      <w:outlineLvl w:val="2"/>
    </w:pPr>
    <w:rPr>
      <w:rFonts w:cs="Arial"/>
      <w:b/>
      <w:bCs/>
      <w:szCs w:val="26"/>
    </w:rPr>
  </w:style>
  <w:style w:type="paragraph" w:styleId="Heading4">
    <w:name w:val="heading 4"/>
    <w:basedOn w:val="Normal"/>
    <w:next w:val="Normal"/>
    <w:link w:val="Heading4Char"/>
    <w:semiHidden/>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A43D00"/>
    <w:rPr>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027D1A"/>
    <w:pPr>
      <w:numPr>
        <w:numId w:val="22"/>
      </w:numPr>
      <w:spacing w:after="360"/>
      <w:outlineLvl w:val="0"/>
    </w:pPr>
    <w:rPr>
      <w:b/>
      <w:bCs/>
      <w:kern w:val="28"/>
      <w:szCs w:val="20"/>
    </w:rPr>
  </w:style>
  <w:style w:type="character" w:customStyle="1" w:styleId="TitleChar">
    <w:name w:val="Title Char"/>
    <w:basedOn w:val="DefaultParagraphFont"/>
    <w:link w:val="Title"/>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O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O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9D728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CommentReference">
    <w:name w:val="annotation reference"/>
    <w:basedOn w:val="DefaultParagraphFont"/>
    <w:rsid w:val="00504B3D"/>
    <w:rPr>
      <w:sz w:val="16"/>
      <w:szCs w:val="16"/>
    </w:rPr>
  </w:style>
  <w:style w:type="paragraph" w:styleId="Revision">
    <w:name w:val="Revision"/>
    <w:hidden/>
    <w:uiPriority w:val="99"/>
    <w:semiHidden/>
    <w:rsid w:val="00862844"/>
    <w:rPr>
      <w:sz w:val="22"/>
      <w:szCs w:val="22"/>
    </w:rPr>
  </w:style>
  <w:style w:type="character" w:customStyle="1" w:styleId="FootnoteTextChar">
    <w:name w:val="Footnote Text Char"/>
    <w:basedOn w:val="DefaultParagraphFont"/>
    <w:link w:val="FootnoteText"/>
    <w:uiPriority w:val="99"/>
    <w:semiHidden/>
    <w:rsid w:val="009C6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91514270">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33986446">
      <w:bodyDiv w:val="1"/>
      <w:marLeft w:val="0"/>
      <w:marRight w:val="0"/>
      <w:marTop w:val="0"/>
      <w:marBottom w:val="0"/>
      <w:divBdr>
        <w:top w:val="none" w:sz="0" w:space="0" w:color="auto"/>
        <w:left w:val="none" w:sz="0" w:space="0" w:color="auto"/>
        <w:bottom w:val="none" w:sz="0" w:space="0" w:color="auto"/>
        <w:right w:val="none" w:sz="0" w:space="0" w:color="auto"/>
      </w:divBdr>
    </w:div>
    <w:div w:id="158423681">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09622401">
      <w:bodyDiv w:val="1"/>
      <w:marLeft w:val="0"/>
      <w:marRight w:val="0"/>
      <w:marTop w:val="0"/>
      <w:marBottom w:val="0"/>
      <w:divBdr>
        <w:top w:val="none" w:sz="0" w:space="0" w:color="auto"/>
        <w:left w:val="none" w:sz="0" w:space="0" w:color="auto"/>
        <w:bottom w:val="none" w:sz="0" w:space="0" w:color="auto"/>
        <w:right w:val="none" w:sz="0" w:space="0" w:color="auto"/>
      </w:divBdr>
    </w:div>
    <w:div w:id="459611242">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647631405">
      <w:bodyDiv w:val="1"/>
      <w:marLeft w:val="0"/>
      <w:marRight w:val="0"/>
      <w:marTop w:val="0"/>
      <w:marBottom w:val="0"/>
      <w:divBdr>
        <w:top w:val="none" w:sz="0" w:space="0" w:color="auto"/>
        <w:left w:val="none" w:sz="0" w:space="0" w:color="auto"/>
        <w:bottom w:val="none" w:sz="0" w:space="0" w:color="auto"/>
        <w:right w:val="none" w:sz="0" w:space="0" w:color="auto"/>
      </w:divBdr>
    </w:div>
    <w:div w:id="67210268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95559960">
      <w:bodyDiv w:val="1"/>
      <w:marLeft w:val="0"/>
      <w:marRight w:val="0"/>
      <w:marTop w:val="0"/>
      <w:marBottom w:val="0"/>
      <w:divBdr>
        <w:top w:val="none" w:sz="0" w:space="0" w:color="auto"/>
        <w:left w:val="none" w:sz="0" w:space="0" w:color="auto"/>
        <w:bottom w:val="none" w:sz="0" w:space="0" w:color="auto"/>
        <w:right w:val="none" w:sz="0" w:space="0" w:color="auto"/>
      </w:divBdr>
    </w:div>
    <w:div w:id="839083348">
      <w:bodyDiv w:val="1"/>
      <w:marLeft w:val="0"/>
      <w:marRight w:val="0"/>
      <w:marTop w:val="0"/>
      <w:marBottom w:val="0"/>
      <w:divBdr>
        <w:top w:val="none" w:sz="0" w:space="0" w:color="auto"/>
        <w:left w:val="none" w:sz="0" w:space="0" w:color="auto"/>
        <w:bottom w:val="none" w:sz="0" w:space="0" w:color="auto"/>
        <w:right w:val="none" w:sz="0" w:space="0" w:color="auto"/>
      </w:divBdr>
    </w:div>
    <w:div w:id="840703388">
      <w:bodyDiv w:val="1"/>
      <w:marLeft w:val="0"/>
      <w:marRight w:val="0"/>
      <w:marTop w:val="0"/>
      <w:marBottom w:val="0"/>
      <w:divBdr>
        <w:top w:val="none" w:sz="0" w:space="0" w:color="auto"/>
        <w:left w:val="none" w:sz="0" w:space="0" w:color="auto"/>
        <w:bottom w:val="none" w:sz="0" w:space="0" w:color="auto"/>
        <w:right w:val="none" w:sz="0" w:space="0" w:color="auto"/>
      </w:divBdr>
    </w:div>
    <w:div w:id="845166807">
      <w:bodyDiv w:val="1"/>
      <w:marLeft w:val="0"/>
      <w:marRight w:val="0"/>
      <w:marTop w:val="0"/>
      <w:marBottom w:val="0"/>
      <w:divBdr>
        <w:top w:val="none" w:sz="0" w:space="0" w:color="auto"/>
        <w:left w:val="none" w:sz="0" w:space="0" w:color="auto"/>
        <w:bottom w:val="none" w:sz="0" w:space="0" w:color="auto"/>
        <w:right w:val="none" w:sz="0" w:space="0" w:color="auto"/>
      </w:divBdr>
    </w:div>
    <w:div w:id="966355539">
      <w:bodyDiv w:val="1"/>
      <w:marLeft w:val="0"/>
      <w:marRight w:val="0"/>
      <w:marTop w:val="0"/>
      <w:marBottom w:val="0"/>
      <w:divBdr>
        <w:top w:val="none" w:sz="0" w:space="0" w:color="auto"/>
        <w:left w:val="none" w:sz="0" w:space="0" w:color="auto"/>
        <w:bottom w:val="none" w:sz="0" w:space="0" w:color="auto"/>
        <w:right w:val="none" w:sz="0" w:space="0" w:color="auto"/>
      </w:divBdr>
    </w:div>
    <w:div w:id="986592767">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564218097">
      <w:bodyDiv w:val="1"/>
      <w:marLeft w:val="0"/>
      <w:marRight w:val="0"/>
      <w:marTop w:val="0"/>
      <w:marBottom w:val="0"/>
      <w:divBdr>
        <w:top w:val="none" w:sz="0" w:space="0" w:color="auto"/>
        <w:left w:val="none" w:sz="0" w:space="0" w:color="auto"/>
        <w:bottom w:val="none" w:sz="0" w:space="0" w:color="auto"/>
        <w:right w:val="none" w:sz="0" w:space="0" w:color="auto"/>
      </w:divBdr>
    </w:div>
    <w:div w:id="1573923997">
      <w:bodyDiv w:val="1"/>
      <w:marLeft w:val="0"/>
      <w:marRight w:val="0"/>
      <w:marTop w:val="0"/>
      <w:marBottom w:val="0"/>
      <w:divBdr>
        <w:top w:val="none" w:sz="0" w:space="0" w:color="auto"/>
        <w:left w:val="none" w:sz="0" w:space="0" w:color="auto"/>
        <w:bottom w:val="none" w:sz="0" w:space="0" w:color="auto"/>
        <w:right w:val="none" w:sz="0" w:space="0" w:color="auto"/>
      </w:divBdr>
    </w:div>
    <w:div w:id="1584991285">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805273633">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558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8A3B5C77C0FC43A261BE7C95B5E886" ma:contentTypeVersion="0" ma:contentTypeDescription="A content type to manage public (operations) IDB documents" ma:contentTypeScope="" ma:versionID="59dd6b97d33a5861a25fc5581e6b7be1">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40482371</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Reyes, Javier Ramiro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AR-L1247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F24F2C-6110-40EB-B8C4-D86F67EFFBCB}"/>
</file>

<file path=customXml/itemProps2.xml><?xml version="1.0" encoding="utf-8"?>
<ds:datastoreItem xmlns:ds="http://schemas.openxmlformats.org/officeDocument/2006/customXml" ds:itemID="{B144728A-2A7B-4B2E-8F98-818EF83B746B}"/>
</file>

<file path=customXml/itemProps3.xml><?xml version="1.0" encoding="utf-8"?>
<ds:datastoreItem xmlns:ds="http://schemas.openxmlformats.org/officeDocument/2006/customXml" ds:itemID="{0E7E3FF1-2244-40D0-812E-74BEBE5275D6}"/>
</file>

<file path=customXml/itemProps4.xml><?xml version="1.0" encoding="utf-8"?>
<ds:datastoreItem xmlns:ds="http://schemas.openxmlformats.org/officeDocument/2006/customXml" ds:itemID="{871EC2F3-D86A-451F-9337-92ADFB85C905}"/>
</file>

<file path=customXml/itemProps5.xml><?xml version="1.0" encoding="utf-8"?>
<ds:datastoreItem xmlns:ds="http://schemas.openxmlformats.org/officeDocument/2006/customXml" ds:itemID="{730F0E6A-D079-4E0C-8D65-C3F2D43BE111}"/>
</file>

<file path=customXml/itemProps6.xml><?xml version="1.0" encoding="utf-8"?>
<ds:datastoreItem xmlns:ds="http://schemas.openxmlformats.org/officeDocument/2006/customXml" ds:itemID="{B8689A71-6732-417F-A912-464FFD399F91}"/>
</file>

<file path=docProps/app.xml><?xml version="1.0" encoding="utf-8"?>
<Properties xmlns="http://schemas.openxmlformats.org/officeDocument/2006/extended-properties" xmlns:vt="http://schemas.openxmlformats.org/officeDocument/2006/docPropsVTypes">
  <Template>Normal Informe TNR A4.dotm</Template>
  <TotalTime>3</TotalTime>
  <Pages>36</Pages>
  <Words>13100</Words>
  <Characters>73608</Characters>
  <Application>Microsoft Office Word</Application>
  <DocSecurity>0</DocSecurity>
  <Lines>613</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LGEA</Company>
  <LinksUpToDate>false</LinksUpToDate>
  <CharactersWithSpaces>86535</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Diagnostico de la funcion de elaboracion de politicas economicas en el MHyFP</dc:title>
  <dc:creator>Ferdi</dc:creator>
  <cp:lastModifiedBy>Melissa Gonzalez</cp:lastModifiedBy>
  <cp:revision>4</cp:revision>
  <cp:lastPrinted>2011-04-19T20:28:00Z</cp:lastPrinted>
  <dcterms:created xsi:type="dcterms:W3CDTF">2016-08-18T00:53:00Z</dcterms:created>
  <dcterms:modified xsi:type="dcterms:W3CDTF">2016-08-26T18:22:00Z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0x01010046CF21643EE8D14686A648AA6DAD089200A08A3B5C77C0FC43A261BE7C95B5E886</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