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67A21" w14:textId="77777777" w:rsidR="00DA75B3" w:rsidRDefault="00DA75B3" w:rsidP="00E255A1">
      <w:pPr>
        <w:autoSpaceDE w:val="0"/>
        <w:autoSpaceDN w:val="0"/>
        <w:adjustRightInd w:val="0"/>
        <w:spacing w:after="0" w:line="240" w:lineRule="auto"/>
        <w:jc w:val="both"/>
        <w:rPr>
          <w:b/>
          <w:lang w:val="pt-BR"/>
        </w:rPr>
      </w:pPr>
      <w:bookmarkStart w:id="0" w:name="_GoBack"/>
      <w:bookmarkEnd w:id="0"/>
    </w:p>
    <w:p w14:paraId="07A1A98B" w14:textId="01ABEC57" w:rsidR="00E255A1" w:rsidRPr="00E255A1" w:rsidRDefault="00E255A1" w:rsidP="00E255A1">
      <w:pPr>
        <w:autoSpaceDE w:val="0"/>
        <w:autoSpaceDN w:val="0"/>
        <w:adjustRightInd w:val="0"/>
        <w:spacing w:after="0" w:line="240" w:lineRule="auto"/>
        <w:jc w:val="both"/>
        <w:rPr>
          <w:b/>
          <w:lang w:val="pt-BR"/>
        </w:rPr>
      </w:pPr>
      <w:r w:rsidRPr="00E255A1">
        <w:rPr>
          <w:b/>
          <w:lang w:val="pt-BR"/>
        </w:rPr>
        <w:t>PROGRAMA FEDERAL DE INFRAESTRUCTURA REGIONAL DE TRANSPORTE</w:t>
      </w:r>
      <w:r>
        <w:rPr>
          <w:b/>
          <w:lang w:val="pt-BR"/>
        </w:rPr>
        <w:t xml:space="preserve">, </w:t>
      </w:r>
      <w:r w:rsidRPr="00E255A1">
        <w:rPr>
          <w:b/>
          <w:lang w:val="pt-BR"/>
        </w:rPr>
        <w:t>AR-L1307</w:t>
      </w:r>
    </w:p>
    <w:p w14:paraId="04D4984D" w14:textId="4DDB7CF6" w:rsidR="00837526" w:rsidRDefault="00E255A1" w:rsidP="00A84694">
      <w:pPr>
        <w:autoSpaceDE w:val="0"/>
        <w:autoSpaceDN w:val="0"/>
        <w:adjustRightInd w:val="0"/>
        <w:spacing w:after="0" w:line="240" w:lineRule="auto"/>
        <w:jc w:val="both"/>
        <w:rPr>
          <w:b/>
          <w:lang w:val="es-CO"/>
        </w:rPr>
      </w:pPr>
      <w:r>
        <w:rPr>
          <w:b/>
          <w:lang w:val="es-CO"/>
        </w:rPr>
        <w:t xml:space="preserve">Anexo – Aplicación del Marco de Infraestructura Sostenible del BID </w:t>
      </w:r>
    </w:p>
    <w:p w14:paraId="7855BC62" w14:textId="0C2905B3" w:rsidR="00E255A1" w:rsidRPr="00E255A1" w:rsidRDefault="00E255A1" w:rsidP="00A8469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</w:p>
    <w:p w14:paraId="3BC8F478" w14:textId="4D699819" w:rsidR="001C02C9" w:rsidRDefault="00E255A1" w:rsidP="00A8469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  <w:r>
        <w:rPr>
          <w:rFonts w:eastAsia="Times New Roman"/>
          <w:lang w:val="es-CO"/>
        </w:rPr>
        <w:t xml:space="preserve">El </w:t>
      </w:r>
      <w:hyperlink r:id="rId5" w:history="1">
        <w:r w:rsidRPr="00E255A1">
          <w:rPr>
            <w:rStyle w:val="Hyperlink"/>
            <w:rFonts w:eastAsia="Times New Roman"/>
            <w:lang w:val="es-CO"/>
          </w:rPr>
          <w:t>Marco de Infraestructura Sostenible del BID</w:t>
        </w:r>
      </w:hyperlink>
      <w:r w:rsidR="001C02C9">
        <w:rPr>
          <w:rFonts w:eastAsia="Times New Roman"/>
          <w:lang w:val="es-CO"/>
        </w:rPr>
        <w:t xml:space="preserve"> (MIS)</w:t>
      </w:r>
      <w:r>
        <w:rPr>
          <w:rFonts w:eastAsia="Times New Roman"/>
          <w:lang w:val="es-CO"/>
        </w:rPr>
        <w:t>, n</w:t>
      </w:r>
      <w:r w:rsidRPr="00E255A1">
        <w:rPr>
          <w:rFonts w:eastAsia="Times New Roman"/>
          <w:lang w:val="es-CO"/>
        </w:rPr>
        <w:t>ota técnica IDB-TN-01388</w:t>
      </w:r>
      <w:r>
        <w:rPr>
          <w:rFonts w:eastAsia="Times New Roman"/>
          <w:lang w:val="es-CO"/>
        </w:rPr>
        <w:t xml:space="preserve">, establece una serie de criterios “guía”, agrupados en cuatro grandes categorías, que han de ser considerados a la hora de planificar, diseñar, construir y operar todo proyecto de infraestructura. Las cuatro grandes categorías de sostenibilidad que ha establecido el banco son: sostenibilidad </w:t>
      </w:r>
      <w:r w:rsidRPr="00E255A1">
        <w:rPr>
          <w:rFonts w:eastAsia="Times New Roman"/>
          <w:b/>
          <w:lang w:val="es-CO"/>
        </w:rPr>
        <w:t>ambiental</w:t>
      </w:r>
      <w:r>
        <w:rPr>
          <w:rFonts w:eastAsia="Times New Roman"/>
          <w:lang w:val="es-CO"/>
        </w:rPr>
        <w:t xml:space="preserve">, </w:t>
      </w:r>
      <w:r w:rsidRPr="00E255A1">
        <w:rPr>
          <w:rFonts w:eastAsia="Times New Roman"/>
          <w:b/>
          <w:lang w:val="es-CO"/>
        </w:rPr>
        <w:t>económica/financiera</w:t>
      </w:r>
      <w:r>
        <w:rPr>
          <w:rFonts w:eastAsia="Times New Roman"/>
          <w:lang w:val="es-CO"/>
        </w:rPr>
        <w:t xml:space="preserve">, </w:t>
      </w:r>
      <w:r w:rsidRPr="00E255A1">
        <w:rPr>
          <w:rFonts w:eastAsia="Times New Roman"/>
          <w:b/>
          <w:lang w:val="es-CO"/>
        </w:rPr>
        <w:t>social</w:t>
      </w:r>
      <w:r>
        <w:rPr>
          <w:rFonts w:eastAsia="Times New Roman"/>
          <w:lang w:val="es-CO"/>
        </w:rPr>
        <w:t xml:space="preserve"> e </w:t>
      </w:r>
      <w:r w:rsidRPr="00E255A1">
        <w:rPr>
          <w:rFonts w:eastAsia="Times New Roman"/>
          <w:b/>
          <w:lang w:val="es-CO"/>
        </w:rPr>
        <w:t>institucional</w:t>
      </w:r>
      <w:r>
        <w:rPr>
          <w:rFonts w:eastAsia="Times New Roman"/>
          <w:lang w:val="es-CO"/>
        </w:rPr>
        <w:t xml:space="preserve">, cada una de las cuales </w:t>
      </w:r>
      <w:r w:rsidR="001C02C9">
        <w:rPr>
          <w:rFonts w:eastAsia="Times New Roman"/>
          <w:lang w:val="es-CO"/>
        </w:rPr>
        <w:t>contiene aspectos específicos, que tienen relevancia durante una o varias etapas del ciclo de proyecto.</w:t>
      </w:r>
    </w:p>
    <w:p w14:paraId="41388C7E" w14:textId="3172A52D" w:rsidR="001C02C9" w:rsidRDefault="001C02C9" w:rsidP="00A8469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</w:p>
    <w:p w14:paraId="16377C4D" w14:textId="4F6CF23A" w:rsidR="001C02C9" w:rsidRPr="001C02C9" w:rsidRDefault="001C02C9" w:rsidP="00874537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lang w:val="es-CO"/>
        </w:rPr>
      </w:pPr>
      <w:r w:rsidRPr="001C02C9">
        <w:rPr>
          <w:rFonts w:eastAsia="Times New Roman"/>
          <w:b/>
          <w:lang w:val="es-CO"/>
        </w:rPr>
        <w:t xml:space="preserve">Categorías </w:t>
      </w:r>
      <w:r>
        <w:rPr>
          <w:rFonts w:eastAsia="Times New Roman"/>
          <w:b/>
          <w:lang w:val="es-CO"/>
        </w:rPr>
        <w:t xml:space="preserve">y criterios </w:t>
      </w:r>
      <w:r w:rsidRPr="001C02C9">
        <w:rPr>
          <w:rFonts w:eastAsia="Times New Roman"/>
          <w:b/>
          <w:lang w:val="es-CO"/>
        </w:rPr>
        <w:t>de sostenibilidad</w:t>
      </w:r>
    </w:p>
    <w:p w14:paraId="43C000C7" w14:textId="77777777" w:rsidR="00E255A1" w:rsidRDefault="00E255A1" w:rsidP="00A84694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</w:p>
    <w:p w14:paraId="73177EC3" w14:textId="7735820C" w:rsidR="00E255A1" w:rsidRPr="00E255A1" w:rsidRDefault="00E255A1" w:rsidP="00E255A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lang w:val="es-CO"/>
        </w:rPr>
      </w:pPr>
      <w:r>
        <w:rPr>
          <w:rFonts w:eastAsia="Times New Roman"/>
          <w:noProof/>
          <w:lang w:val="es-CO"/>
        </w:rPr>
        <w:drawing>
          <wp:inline distT="0" distB="0" distL="0" distR="0" wp14:anchorId="29808A9D" wp14:editId="04CDAE6E">
            <wp:extent cx="5122605" cy="3098800"/>
            <wp:effectExtent l="0" t="0" r="1905" b="635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2461" cy="3116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16F2EF" w14:textId="77777777" w:rsidR="00356D3A" w:rsidRPr="00E255A1" w:rsidRDefault="00356D3A" w:rsidP="00356D3A">
      <w:pPr>
        <w:autoSpaceDE w:val="0"/>
        <w:autoSpaceDN w:val="0"/>
        <w:adjustRightInd w:val="0"/>
        <w:spacing w:after="0" w:line="240" w:lineRule="auto"/>
        <w:rPr>
          <w:rFonts w:eastAsia="Times New Roman"/>
          <w:lang w:val="es-CO"/>
        </w:rPr>
      </w:pPr>
    </w:p>
    <w:p w14:paraId="5F9411FB" w14:textId="4E82BC99" w:rsidR="00356D3A" w:rsidRDefault="00356D3A" w:rsidP="00356D3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8F0B7F9" w14:textId="3D66F1E6" w:rsidR="001C02C9" w:rsidRDefault="001C02C9" w:rsidP="008745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  <w:r w:rsidRPr="001C02C9">
        <w:rPr>
          <w:rFonts w:eastAsia="Times New Roman"/>
          <w:lang w:val="es-CO"/>
        </w:rPr>
        <w:t xml:space="preserve">Durante la </w:t>
      </w:r>
      <w:r w:rsidR="007077B9">
        <w:rPr>
          <w:rFonts w:eastAsia="Times New Roman"/>
          <w:lang w:val="es-CO"/>
        </w:rPr>
        <w:t xml:space="preserve">preparación del </w:t>
      </w:r>
      <w:r w:rsidR="00874537">
        <w:rPr>
          <w:rFonts w:eastAsia="Times New Roman"/>
          <w:lang w:val="es-CO"/>
        </w:rPr>
        <w:t xml:space="preserve">Programa </w:t>
      </w:r>
      <w:r w:rsidR="007077B9">
        <w:rPr>
          <w:rFonts w:eastAsia="Times New Roman"/>
          <w:lang w:val="es-CO"/>
        </w:rPr>
        <w:t xml:space="preserve">AR-L1307, </w:t>
      </w:r>
      <w:r w:rsidR="00874537">
        <w:rPr>
          <w:rFonts w:eastAsia="Times New Roman"/>
          <w:lang w:val="es-CO"/>
        </w:rPr>
        <w:t xml:space="preserve">en coordinación con el principal ejecutor, el </w:t>
      </w:r>
      <w:r w:rsidR="00874537" w:rsidRPr="00874537">
        <w:rPr>
          <w:rFonts w:eastAsia="Times New Roman"/>
          <w:lang w:val="es-CO"/>
        </w:rPr>
        <w:t>Fondo Federal de Infraestructura Regional (FFFIR)</w:t>
      </w:r>
      <w:r w:rsidR="00874537">
        <w:rPr>
          <w:rFonts w:eastAsia="Times New Roman"/>
          <w:lang w:val="es-CO"/>
        </w:rPr>
        <w:t>, se estudiarán los distintos criterios del MIS a fin de incorporar aquellos que resulten relevantes en cada uno de los proyectos a financiar con el Programa</w:t>
      </w:r>
      <w:r w:rsidR="00691FB4">
        <w:rPr>
          <w:rFonts w:eastAsia="Times New Roman"/>
          <w:lang w:val="es-CO"/>
        </w:rPr>
        <w:t>. Este ejercicio tendrá el doble propósito de</w:t>
      </w:r>
      <w:r w:rsidR="00EA4D06">
        <w:rPr>
          <w:rFonts w:eastAsia="Times New Roman"/>
          <w:lang w:val="es-CO"/>
        </w:rPr>
        <w:t>: (i) garantizar que los proyectos a financiar con el programa generan el mayor impacto posible, y (</w:t>
      </w:r>
      <w:proofErr w:type="spellStart"/>
      <w:r w:rsidR="00EA4D06">
        <w:rPr>
          <w:rFonts w:eastAsia="Times New Roman"/>
          <w:lang w:val="es-CO"/>
        </w:rPr>
        <w:t>ii</w:t>
      </w:r>
      <w:proofErr w:type="spellEnd"/>
      <w:r w:rsidR="00EA4D06">
        <w:rPr>
          <w:rFonts w:eastAsia="Times New Roman"/>
          <w:lang w:val="es-CO"/>
        </w:rPr>
        <w:t xml:space="preserve">) </w:t>
      </w:r>
      <w:r w:rsidR="00691FB4">
        <w:rPr>
          <w:rFonts w:eastAsia="Times New Roman"/>
          <w:lang w:val="es-CO"/>
        </w:rPr>
        <w:t>generar capacidades en el organismo ejecutor y las distintas Direcciones Provinciales de Vialidad (</w:t>
      </w:r>
      <w:proofErr w:type="spellStart"/>
      <w:r w:rsidR="00691FB4">
        <w:rPr>
          <w:rFonts w:eastAsia="Times New Roman"/>
          <w:lang w:val="es-CO"/>
        </w:rPr>
        <w:t>DPVs</w:t>
      </w:r>
      <w:proofErr w:type="spellEnd"/>
      <w:r w:rsidR="00691FB4">
        <w:rPr>
          <w:rFonts w:eastAsia="Times New Roman"/>
          <w:lang w:val="es-CO"/>
        </w:rPr>
        <w:t xml:space="preserve">) acerca de los conceptos y metodologías relevantes para concebir proyectos sostenibles. </w:t>
      </w:r>
    </w:p>
    <w:p w14:paraId="0B51D944" w14:textId="5E08B5F5" w:rsidR="00691FB4" w:rsidRDefault="00691FB4" w:rsidP="008745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</w:p>
    <w:p w14:paraId="0F3950F2" w14:textId="6F7B7BCF" w:rsidR="00691FB4" w:rsidRDefault="00A92AB6" w:rsidP="008745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  <w:r>
        <w:rPr>
          <w:rFonts w:eastAsia="Times New Roman"/>
          <w:lang w:val="es-CO"/>
        </w:rPr>
        <w:t xml:space="preserve">Las </w:t>
      </w:r>
      <w:r w:rsidR="00691FB4">
        <w:rPr>
          <w:rFonts w:eastAsia="Times New Roman"/>
          <w:lang w:val="es-CO"/>
        </w:rPr>
        <w:t xml:space="preserve">actividades </w:t>
      </w:r>
      <w:r>
        <w:rPr>
          <w:rFonts w:eastAsia="Times New Roman"/>
          <w:lang w:val="es-CO"/>
        </w:rPr>
        <w:t>contempladas en este sentido</w:t>
      </w:r>
      <w:r w:rsidR="00950193">
        <w:rPr>
          <w:rFonts w:eastAsia="Times New Roman"/>
          <w:lang w:val="es-CO"/>
        </w:rPr>
        <w:t>, como parte de la preparación y ejecución del Programa</w:t>
      </w:r>
      <w:r w:rsidR="00691FB4">
        <w:rPr>
          <w:rFonts w:eastAsia="Times New Roman"/>
          <w:lang w:val="es-CO"/>
        </w:rPr>
        <w:t xml:space="preserve"> incluyen:</w:t>
      </w:r>
    </w:p>
    <w:p w14:paraId="6F49A4BD" w14:textId="77777777" w:rsidR="00DA75B3" w:rsidRDefault="00DA75B3" w:rsidP="0087453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val="es-CO"/>
        </w:rPr>
      </w:pPr>
    </w:p>
    <w:p w14:paraId="48BEE1DA" w14:textId="6D3A7740" w:rsidR="009D0DF7" w:rsidRDefault="00691FB4" w:rsidP="009D0DF7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6070E1">
        <w:rPr>
          <w:rFonts w:eastAsia="Times New Roman"/>
          <w:b/>
          <w:lang w:val="es-CO"/>
        </w:rPr>
        <w:t>I</w:t>
      </w:r>
      <w:r w:rsidR="009D0DF7">
        <w:rPr>
          <w:rFonts w:eastAsia="Times New Roman"/>
          <w:b/>
          <w:lang w:val="es-CO"/>
        </w:rPr>
        <w:t xml:space="preserve">ncorporación </w:t>
      </w:r>
      <w:r w:rsidRPr="006070E1">
        <w:rPr>
          <w:rFonts w:eastAsia="Times New Roman"/>
          <w:b/>
          <w:lang w:val="es-CO"/>
        </w:rPr>
        <w:t xml:space="preserve">de aspectos de sostenibilidad críticos a incorporar en </w:t>
      </w:r>
      <w:r w:rsidR="00DA75B3">
        <w:rPr>
          <w:rFonts w:eastAsia="Times New Roman"/>
          <w:b/>
          <w:lang w:val="es-CO"/>
        </w:rPr>
        <w:t xml:space="preserve">el </w:t>
      </w:r>
      <w:r w:rsidR="00943F35" w:rsidRPr="00DA75B3">
        <w:rPr>
          <w:rFonts w:eastAsia="Times New Roman"/>
          <w:b/>
          <w:lang w:val="es-CO"/>
        </w:rPr>
        <w:t>R</w:t>
      </w:r>
      <w:r w:rsidR="002A7546" w:rsidRPr="00DA75B3">
        <w:rPr>
          <w:rFonts w:eastAsia="Times New Roman"/>
          <w:b/>
          <w:lang w:val="es-CO"/>
        </w:rPr>
        <w:t xml:space="preserve">eglamento </w:t>
      </w:r>
      <w:r w:rsidR="00943F35" w:rsidRPr="00DA75B3">
        <w:rPr>
          <w:rFonts w:eastAsia="Times New Roman"/>
          <w:b/>
          <w:lang w:val="es-CO"/>
        </w:rPr>
        <w:t>O</w:t>
      </w:r>
      <w:r w:rsidR="002A7546" w:rsidRPr="00DA75B3">
        <w:rPr>
          <w:rFonts w:eastAsia="Times New Roman"/>
          <w:b/>
          <w:lang w:val="es-CO"/>
        </w:rPr>
        <w:t xml:space="preserve">perativo del </w:t>
      </w:r>
      <w:r w:rsidR="00943F35" w:rsidRPr="00DA75B3">
        <w:rPr>
          <w:rFonts w:eastAsia="Times New Roman"/>
          <w:b/>
          <w:lang w:val="es-CO"/>
        </w:rPr>
        <w:t>P</w:t>
      </w:r>
      <w:r w:rsidR="002A7546" w:rsidRPr="00DA75B3">
        <w:rPr>
          <w:rFonts w:eastAsia="Times New Roman"/>
          <w:b/>
          <w:lang w:val="es-CO"/>
        </w:rPr>
        <w:t>rograma (ROP)</w:t>
      </w:r>
      <w:r w:rsidR="00DA75B3">
        <w:rPr>
          <w:rFonts w:eastAsia="Times New Roman"/>
          <w:lang w:val="es-CO"/>
        </w:rPr>
        <w:t xml:space="preserve">: </w:t>
      </w:r>
      <w:r w:rsidR="00DA75B3" w:rsidRPr="006070E1">
        <w:rPr>
          <w:rFonts w:eastAsia="Times New Roman"/>
          <w:lang w:val="es-CO"/>
        </w:rPr>
        <w:t>Entre los lineamientos establecidos en el</w:t>
      </w:r>
      <w:r w:rsidR="00DA75B3">
        <w:rPr>
          <w:rFonts w:eastAsia="Times New Roman"/>
          <w:lang w:val="es-CO"/>
        </w:rPr>
        <w:t xml:space="preserve"> ROP</w:t>
      </w:r>
      <w:r w:rsidR="002A7546" w:rsidRPr="006070E1">
        <w:rPr>
          <w:rFonts w:eastAsia="Times New Roman"/>
          <w:lang w:val="es-CO"/>
        </w:rPr>
        <w:t xml:space="preserve"> se incorporarán los aspectos del </w:t>
      </w:r>
      <w:r w:rsidR="009D0DF7">
        <w:rPr>
          <w:rFonts w:eastAsia="Times New Roman"/>
          <w:lang w:val="es-CO"/>
        </w:rPr>
        <w:t>MIS</w:t>
      </w:r>
      <w:r w:rsidR="009D0DF7" w:rsidRPr="006070E1">
        <w:rPr>
          <w:rFonts w:eastAsia="Times New Roman"/>
          <w:lang w:val="es-CO"/>
        </w:rPr>
        <w:t xml:space="preserve"> </w:t>
      </w:r>
      <w:r w:rsidR="002A7546" w:rsidRPr="006070E1">
        <w:rPr>
          <w:rFonts w:eastAsia="Times New Roman"/>
          <w:lang w:val="es-CO"/>
        </w:rPr>
        <w:t xml:space="preserve">que </w:t>
      </w:r>
      <w:r w:rsidR="006070E1" w:rsidRPr="006070E1">
        <w:rPr>
          <w:rFonts w:eastAsia="Times New Roman"/>
          <w:lang w:val="es-CO"/>
        </w:rPr>
        <w:t xml:space="preserve">se consideren, en </w:t>
      </w:r>
      <w:r w:rsidR="009D0DF7">
        <w:rPr>
          <w:rFonts w:eastAsia="Times New Roman"/>
          <w:lang w:val="es-CO"/>
        </w:rPr>
        <w:t xml:space="preserve">mutuo </w:t>
      </w:r>
      <w:r w:rsidR="00DA75B3">
        <w:rPr>
          <w:rFonts w:eastAsia="Times New Roman"/>
          <w:lang w:val="es-CO"/>
        </w:rPr>
        <w:t xml:space="preserve">acuerdo </w:t>
      </w:r>
      <w:r w:rsidR="006070E1" w:rsidRPr="006070E1">
        <w:rPr>
          <w:rFonts w:eastAsia="Times New Roman"/>
          <w:lang w:val="es-CO"/>
        </w:rPr>
        <w:t xml:space="preserve">con la contraparte, </w:t>
      </w:r>
      <w:r w:rsidR="00DA75B3">
        <w:rPr>
          <w:rFonts w:eastAsia="Times New Roman"/>
          <w:lang w:val="es-CO"/>
        </w:rPr>
        <w:t xml:space="preserve">que </w:t>
      </w:r>
      <w:r w:rsidR="002A7546" w:rsidRPr="006070E1">
        <w:rPr>
          <w:rFonts w:eastAsia="Times New Roman"/>
          <w:lang w:val="es-CO"/>
        </w:rPr>
        <w:t xml:space="preserve">deben ser tomados en cuenta </w:t>
      </w:r>
      <w:r w:rsidR="006070E1" w:rsidRPr="006070E1">
        <w:rPr>
          <w:rFonts w:eastAsia="Times New Roman"/>
          <w:lang w:val="es-CO"/>
        </w:rPr>
        <w:t xml:space="preserve">en todos los proyectos para financiamiento. </w:t>
      </w:r>
      <w:r w:rsidR="00DA75B3">
        <w:rPr>
          <w:rFonts w:eastAsia="Times New Roman"/>
          <w:lang w:val="es-CO"/>
        </w:rPr>
        <w:t>Adicionalmente, c</w:t>
      </w:r>
      <w:r w:rsidR="006070E1" w:rsidRPr="006070E1">
        <w:rPr>
          <w:rFonts w:eastAsia="Times New Roman"/>
          <w:lang w:val="es-CO"/>
        </w:rPr>
        <w:t>omo parte de la revisión técnica ex ante de los proyectos por parte del BID</w:t>
      </w:r>
      <w:r w:rsidR="009D0DF7">
        <w:rPr>
          <w:rFonts w:eastAsia="Times New Roman"/>
          <w:lang w:val="es-CO"/>
        </w:rPr>
        <w:t>.</w:t>
      </w:r>
    </w:p>
    <w:p w14:paraId="4F2C1963" w14:textId="28406066" w:rsidR="00943F35" w:rsidRPr="009D0DF7" w:rsidRDefault="00943F35" w:rsidP="009D0DF7">
      <w:pPr>
        <w:pStyle w:val="ListParagraph"/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9D0DF7">
        <w:rPr>
          <w:rFonts w:eastAsia="Times New Roman"/>
          <w:lang w:val="es-CO"/>
        </w:rPr>
        <w:t xml:space="preserve">Preliminarmente, </w:t>
      </w:r>
      <w:r w:rsidR="006070E1" w:rsidRPr="009D0DF7">
        <w:rPr>
          <w:rFonts w:eastAsia="Times New Roman"/>
          <w:lang w:val="es-CO"/>
        </w:rPr>
        <w:t xml:space="preserve">dado el perfil de los proyectos de la muestra del Programa, </w:t>
      </w:r>
      <w:r w:rsidRPr="009D0DF7">
        <w:rPr>
          <w:rFonts w:eastAsia="Times New Roman"/>
          <w:lang w:val="es-CO"/>
        </w:rPr>
        <w:t xml:space="preserve">se espera trabajar </w:t>
      </w:r>
      <w:r w:rsidR="006070E1" w:rsidRPr="009D0DF7">
        <w:rPr>
          <w:rFonts w:eastAsia="Times New Roman"/>
          <w:lang w:val="es-CO"/>
        </w:rPr>
        <w:t xml:space="preserve">de manera enfática </w:t>
      </w:r>
      <w:r w:rsidRPr="009D0DF7">
        <w:rPr>
          <w:rFonts w:eastAsia="Times New Roman"/>
          <w:lang w:val="es-CO"/>
        </w:rPr>
        <w:t>los siguientes aspectos de sostenibilidad</w:t>
      </w:r>
      <w:r w:rsidR="006070E1" w:rsidRPr="009D0DF7">
        <w:rPr>
          <w:rFonts w:eastAsia="Times New Roman"/>
          <w:lang w:val="es-CO"/>
        </w:rPr>
        <w:t xml:space="preserve">: </w:t>
      </w:r>
    </w:p>
    <w:p w14:paraId="1518C5BD" w14:textId="0A73470B" w:rsidR="00943F35" w:rsidRDefault="00DA75B3" w:rsidP="00943F3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CC0AA2">
        <w:rPr>
          <w:rFonts w:eastAsia="Times New Roman"/>
          <w:b/>
          <w:lang w:val="es-CO"/>
        </w:rPr>
        <w:lastRenderedPageBreak/>
        <w:t>Gestión adecuada de impactos ambientales y sociales</w:t>
      </w:r>
      <w:r>
        <w:rPr>
          <w:rFonts w:eastAsia="Times New Roman"/>
          <w:lang w:val="es-CO"/>
        </w:rPr>
        <w:t xml:space="preserve">, en línea con la </w:t>
      </w:r>
      <w:r w:rsidRPr="00DA75B3">
        <w:rPr>
          <w:rFonts w:eastAsia="Times New Roman"/>
          <w:lang w:val="es-CO"/>
        </w:rPr>
        <w:t>Política de Medio Ambiente y Cumplimiento de Salvaguardas del Banco (OP-703)</w:t>
      </w:r>
      <w:r>
        <w:rPr>
          <w:rFonts w:eastAsia="Times New Roman"/>
          <w:lang w:val="es-CO"/>
        </w:rPr>
        <w:t xml:space="preserve"> y sus respectivos lineamientos</w:t>
      </w:r>
      <w:r w:rsidR="009D0DF7">
        <w:rPr>
          <w:rFonts w:eastAsia="Times New Roman"/>
          <w:lang w:val="es-CO"/>
        </w:rPr>
        <w:t>.</w:t>
      </w:r>
    </w:p>
    <w:p w14:paraId="7B2F3230" w14:textId="25594FD7" w:rsidR="00943F35" w:rsidRDefault="00DA75B3" w:rsidP="00943F3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CC0AA2">
        <w:rPr>
          <w:rFonts w:eastAsia="Times New Roman"/>
          <w:b/>
          <w:lang w:val="es-CO"/>
        </w:rPr>
        <w:t>Evaluación de las vulnerabilidades a</w:t>
      </w:r>
      <w:r w:rsidR="00CC0AA2">
        <w:rPr>
          <w:rFonts w:eastAsia="Times New Roman"/>
          <w:b/>
          <w:lang w:val="es-CO"/>
        </w:rPr>
        <w:t xml:space="preserve"> efectos del </w:t>
      </w:r>
      <w:r w:rsidRPr="00CC0AA2">
        <w:rPr>
          <w:rFonts w:eastAsia="Times New Roman"/>
          <w:b/>
          <w:lang w:val="es-CO"/>
        </w:rPr>
        <w:t>cambio climático</w:t>
      </w:r>
      <w:r>
        <w:rPr>
          <w:rFonts w:eastAsia="Times New Roman"/>
          <w:lang w:val="es-CO"/>
        </w:rPr>
        <w:t xml:space="preserve"> relevantes para cada proyecto</w:t>
      </w:r>
      <w:r w:rsidR="001D5FA9">
        <w:rPr>
          <w:rFonts w:eastAsia="Times New Roman"/>
          <w:lang w:val="es-CO"/>
        </w:rPr>
        <w:t>, y adopción de medidas necesarias para mitigar dichas vulnerabilidades, incluyendo, en los casos en que se determine necesario, la contratación de estudios de manejo de riesgos (</w:t>
      </w:r>
      <w:proofErr w:type="spellStart"/>
      <w:r w:rsidR="001D5FA9">
        <w:rPr>
          <w:rFonts w:eastAsia="Times New Roman"/>
          <w:lang w:val="es-CO"/>
        </w:rPr>
        <w:t>Disaster</w:t>
      </w:r>
      <w:proofErr w:type="spellEnd"/>
      <w:r w:rsidR="001D5FA9">
        <w:rPr>
          <w:rFonts w:eastAsia="Times New Roman"/>
          <w:lang w:val="es-CO"/>
        </w:rPr>
        <w:t xml:space="preserve"> </w:t>
      </w:r>
      <w:proofErr w:type="spellStart"/>
      <w:r w:rsidR="001D5FA9">
        <w:rPr>
          <w:rFonts w:eastAsia="Times New Roman"/>
          <w:lang w:val="es-CO"/>
        </w:rPr>
        <w:t>Risk</w:t>
      </w:r>
      <w:proofErr w:type="spellEnd"/>
      <w:r w:rsidR="001D5FA9">
        <w:rPr>
          <w:rFonts w:eastAsia="Times New Roman"/>
          <w:lang w:val="es-CO"/>
        </w:rPr>
        <w:t xml:space="preserve"> </w:t>
      </w:r>
      <w:proofErr w:type="spellStart"/>
      <w:r w:rsidR="001D5FA9">
        <w:rPr>
          <w:rFonts w:eastAsia="Times New Roman"/>
          <w:lang w:val="es-CO"/>
        </w:rPr>
        <w:t>Assesments</w:t>
      </w:r>
      <w:proofErr w:type="spellEnd"/>
      <w:r w:rsidR="001D5FA9">
        <w:rPr>
          <w:rFonts w:eastAsia="Times New Roman"/>
          <w:lang w:val="es-CO"/>
        </w:rPr>
        <w:t>)</w:t>
      </w:r>
      <w:r w:rsidRPr="00DA75B3">
        <w:rPr>
          <w:rFonts w:eastAsia="Times New Roman"/>
          <w:lang w:val="es-CO"/>
        </w:rPr>
        <w:t>.</w:t>
      </w:r>
    </w:p>
    <w:p w14:paraId="5D7A15BE" w14:textId="25DC897B" w:rsidR="001D5FA9" w:rsidRDefault="001D5FA9" w:rsidP="00943F3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b/>
          <w:lang w:val="es-CO"/>
        </w:rPr>
      </w:pPr>
      <w:r>
        <w:rPr>
          <w:rFonts w:eastAsia="Times New Roman"/>
          <w:b/>
          <w:lang w:val="es-CO"/>
        </w:rPr>
        <w:t xml:space="preserve">Uso de materiales y/o técnicas de construcción </w:t>
      </w:r>
      <w:r>
        <w:rPr>
          <w:rFonts w:eastAsia="Times New Roman"/>
          <w:lang w:val="es-CO"/>
        </w:rPr>
        <w:t xml:space="preserve">consistentes con el objetivo de mitigación de emisiones de gases de efecto invernadero asociadas a la construcción y operación del proyecto. </w:t>
      </w:r>
    </w:p>
    <w:p w14:paraId="7142F357" w14:textId="1D15FA71" w:rsidR="00943F35" w:rsidRPr="001D5FA9" w:rsidRDefault="001D5FA9" w:rsidP="00943F3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b/>
          <w:lang w:val="es-CO"/>
        </w:rPr>
      </w:pPr>
      <w:r>
        <w:rPr>
          <w:rFonts w:eastAsia="Times New Roman"/>
          <w:b/>
          <w:lang w:val="es-CO"/>
        </w:rPr>
        <w:t xml:space="preserve">Evaluación de la situación de las mujeres como usuarias/beneficiarias del proyecto; </w:t>
      </w:r>
      <w:r>
        <w:rPr>
          <w:rFonts w:eastAsia="Times New Roman"/>
          <w:lang w:val="es-CO"/>
        </w:rPr>
        <w:t xml:space="preserve">relevamiento de información relativa a la problemática de </w:t>
      </w:r>
      <w:r w:rsidRPr="001D5FA9">
        <w:rPr>
          <w:rFonts w:eastAsia="Times New Roman"/>
          <w:lang w:val="es-CO"/>
        </w:rPr>
        <w:t>género</w:t>
      </w:r>
      <w:r>
        <w:rPr>
          <w:rFonts w:eastAsia="Times New Roman"/>
          <w:b/>
          <w:lang w:val="es-CO"/>
        </w:rPr>
        <w:t xml:space="preserve"> </w:t>
      </w:r>
      <w:r w:rsidRPr="001D5FA9">
        <w:rPr>
          <w:rFonts w:eastAsia="Times New Roman"/>
          <w:lang w:val="es-CO"/>
        </w:rPr>
        <w:t>y</w:t>
      </w:r>
      <w:r>
        <w:rPr>
          <w:rFonts w:eastAsia="Times New Roman"/>
          <w:lang w:val="es-CO"/>
        </w:rPr>
        <w:t xml:space="preserve"> adopción de medidas para promover su resolución.</w:t>
      </w:r>
    </w:p>
    <w:p w14:paraId="7462FDC3" w14:textId="5ED41D42" w:rsidR="00943F35" w:rsidRPr="009D0DF7" w:rsidRDefault="001D5FA9" w:rsidP="00943F35">
      <w:pPr>
        <w:pStyle w:val="ListParagraph"/>
        <w:numPr>
          <w:ilvl w:val="0"/>
          <w:numId w:val="3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>
        <w:rPr>
          <w:rFonts w:eastAsia="Times New Roman"/>
          <w:b/>
          <w:lang w:val="es-CO"/>
        </w:rPr>
        <w:t xml:space="preserve">Evaluación de opciones </w:t>
      </w:r>
      <w:r w:rsidR="009D0DF7">
        <w:rPr>
          <w:rFonts w:eastAsia="Times New Roman"/>
          <w:b/>
          <w:lang w:val="es-CO"/>
        </w:rPr>
        <w:t xml:space="preserve">técnicas </w:t>
      </w:r>
      <w:r>
        <w:rPr>
          <w:rFonts w:eastAsia="Times New Roman"/>
          <w:b/>
          <w:lang w:val="es-CO"/>
        </w:rPr>
        <w:t xml:space="preserve">para </w:t>
      </w:r>
      <w:r w:rsidR="009D0DF7">
        <w:rPr>
          <w:rFonts w:eastAsia="Times New Roman"/>
          <w:b/>
          <w:lang w:val="es-CO"/>
        </w:rPr>
        <w:t xml:space="preserve">fomentar el acceso universal </w:t>
      </w:r>
      <w:r w:rsidR="009D0DF7" w:rsidRPr="009D0DF7">
        <w:rPr>
          <w:rFonts w:eastAsia="Times New Roman"/>
          <w:lang w:val="es-CO"/>
        </w:rPr>
        <w:t xml:space="preserve">a servicios de transporte, </w:t>
      </w:r>
      <w:r w:rsidR="009D0DF7">
        <w:rPr>
          <w:rFonts w:eastAsia="Times New Roman"/>
          <w:lang w:val="es-CO"/>
        </w:rPr>
        <w:t xml:space="preserve">incluyendo especial énfasis en población con </w:t>
      </w:r>
      <w:r w:rsidR="00943F35" w:rsidRPr="009D0DF7">
        <w:rPr>
          <w:rFonts w:eastAsia="Times New Roman"/>
          <w:lang w:val="es-CO"/>
        </w:rPr>
        <w:t>discapacidades</w:t>
      </w:r>
      <w:r w:rsidR="009D0DF7">
        <w:rPr>
          <w:rFonts w:eastAsia="Times New Roman"/>
          <w:lang w:val="es-CO"/>
        </w:rPr>
        <w:t>.</w:t>
      </w:r>
    </w:p>
    <w:p w14:paraId="3EE8D9D7" w14:textId="77777777" w:rsidR="00461544" w:rsidRDefault="00461544" w:rsidP="00461544">
      <w:pPr>
        <w:pStyle w:val="ListParagraph"/>
        <w:autoSpaceDE w:val="0"/>
        <w:autoSpaceDN w:val="0"/>
        <w:adjustRightInd w:val="0"/>
        <w:jc w:val="both"/>
        <w:rPr>
          <w:rFonts w:eastAsia="Times New Roman"/>
          <w:lang w:val="es-CO"/>
        </w:rPr>
      </w:pPr>
    </w:p>
    <w:p w14:paraId="614E939B" w14:textId="083CDD3E" w:rsidR="00950193" w:rsidRPr="00943F35" w:rsidRDefault="00950193" w:rsidP="00950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9D0DF7">
        <w:rPr>
          <w:rFonts w:eastAsia="Times New Roman"/>
          <w:b/>
          <w:lang w:val="es-CO"/>
        </w:rPr>
        <w:t>Realización de al menos dos ejercicios piloto</w:t>
      </w:r>
      <w:r w:rsidRPr="009D0DF7">
        <w:rPr>
          <w:rFonts w:eastAsia="Times New Roman"/>
          <w:lang w:val="es-CO"/>
        </w:rPr>
        <w:t xml:space="preserve">, con </w:t>
      </w:r>
      <w:r w:rsidR="009D0DF7" w:rsidRPr="009D0DF7">
        <w:rPr>
          <w:rFonts w:eastAsia="Times New Roman"/>
          <w:lang w:val="es-CO"/>
        </w:rPr>
        <w:t xml:space="preserve">proyectos </w:t>
      </w:r>
      <w:r w:rsidR="009D0DF7">
        <w:rPr>
          <w:rFonts w:eastAsia="Times New Roman"/>
          <w:lang w:val="es-CO"/>
        </w:rPr>
        <w:t xml:space="preserve">a ser identificados con el FFFIR que permitan, en adición a los aspectos priorizados en el ROP, incorporar otros aspectos de sostenibilidad relevantes para el sector y la comunidad beneficiaria. Dichos pilotos servirán para generar guías prácticas para uso por parte del FFFIR y las </w:t>
      </w:r>
      <w:proofErr w:type="spellStart"/>
      <w:r w:rsidR="009D0DF7">
        <w:rPr>
          <w:rFonts w:eastAsia="Times New Roman"/>
          <w:lang w:val="es-CO"/>
        </w:rPr>
        <w:t>DPVs</w:t>
      </w:r>
      <w:proofErr w:type="spellEnd"/>
      <w:r w:rsidR="009D0DF7">
        <w:rPr>
          <w:rFonts w:eastAsia="Times New Roman"/>
          <w:lang w:val="es-CO"/>
        </w:rPr>
        <w:t xml:space="preserve">, con orientación sobre </w:t>
      </w:r>
      <w:r w:rsidRPr="00943F35">
        <w:rPr>
          <w:rFonts w:eastAsia="Times New Roman"/>
          <w:lang w:val="es-CO"/>
        </w:rPr>
        <w:t>herramientas</w:t>
      </w:r>
      <w:r w:rsidR="009D0DF7">
        <w:rPr>
          <w:rFonts w:eastAsia="Times New Roman"/>
          <w:lang w:val="es-CO"/>
        </w:rPr>
        <w:t xml:space="preserve"> y </w:t>
      </w:r>
      <w:r w:rsidRPr="00943F35">
        <w:rPr>
          <w:rFonts w:eastAsia="Times New Roman"/>
          <w:lang w:val="es-CO"/>
        </w:rPr>
        <w:t xml:space="preserve">metodologías </w:t>
      </w:r>
      <w:r w:rsidR="009D0DF7">
        <w:rPr>
          <w:rFonts w:eastAsia="Times New Roman"/>
          <w:lang w:val="es-CO"/>
        </w:rPr>
        <w:t>relevantes para la incorporación de aspectos de sostenibilidad en proyectos de transporte</w:t>
      </w:r>
      <w:r w:rsidRPr="00943F35">
        <w:rPr>
          <w:rFonts w:eastAsia="Times New Roman"/>
          <w:lang w:val="es-CO"/>
        </w:rPr>
        <w:t>.</w:t>
      </w:r>
    </w:p>
    <w:p w14:paraId="5BBF4A62" w14:textId="77777777" w:rsidR="00461544" w:rsidRDefault="00461544" w:rsidP="00461544">
      <w:pPr>
        <w:pStyle w:val="ListParagraph"/>
        <w:autoSpaceDE w:val="0"/>
        <w:autoSpaceDN w:val="0"/>
        <w:adjustRightInd w:val="0"/>
        <w:jc w:val="both"/>
        <w:rPr>
          <w:rFonts w:eastAsia="Times New Roman"/>
          <w:lang w:val="es-CO"/>
        </w:rPr>
      </w:pPr>
    </w:p>
    <w:p w14:paraId="7F7A6B9F" w14:textId="11BB09A0" w:rsidR="00950193" w:rsidRPr="009D0DF7" w:rsidRDefault="00950193" w:rsidP="00950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/>
          <w:b/>
          <w:lang w:val="es-CO"/>
        </w:rPr>
      </w:pPr>
      <w:r w:rsidRPr="009D0DF7">
        <w:rPr>
          <w:rFonts w:eastAsia="Times New Roman"/>
          <w:b/>
          <w:lang w:val="es-CO"/>
        </w:rPr>
        <w:t xml:space="preserve">Realización de </w:t>
      </w:r>
      <w:r w:rsidR="009D0DF7">
        <w:rPr>
          <w:rFonts w:eastAsia="Times New Roman"/>
          <w:b/>
          <w:lang w:val="es-CO"/>
        </w:rPr>
        <w:t xml:space="preserve">un </w:t>
      </w:r>
      <w:r w:rsidRPr="009D0DF7">
        <w:rPr>
          <w:rFonts w:eastAsia="Times New Roman"/>
          <w:b/>
          <w:lang w:val="es-CO"/>
        </w:rPr>
        <w:t>taller</w:t>
      </w:r>
      <w:r w:rsidR="009D0DF7">
        <w:rPr>
          <w:rFonts w:eastAsia="Times New Roman"/>
          <w:b/>
          <w:lang w:val="es-CO"/>
        </w:rPr>
        <w:t xml:space="preserve"> con personal del FFFIR</w:t>
      </w:r>
      <w:r w:rsidR="009D0DF7">
        <w:rPr>
          <w:rFonts w:eastAsia="Times New Roman"/>
          <w:lang w:val="es-CO"/>
        </w:rPr>
        <w:t xml:space="preserve"> en el cual se introducirán los conceptos clave del MIS, y se llegará a acuerdos sobre cómo poner en práctica dichos conceptos, no sólo en el contexto de la ejecución del Programa, sino </w:t>
      </w:r>
      <w:r w:rsidR="00EC1C92">
        <w:rPr>
          <w:rFonts w:eastAsia="Times New Roman"/>
          <w:lang w:val="es-CO"/>
        </w:rPr>
        <w:t>en la operatividad del Fondo más allá de su relación con el Banco.</w:t>
      </w:r>
    </w:p>
    <w:p w14:paraId="7DF6131C" w14:textId="77777777" w:rsidR="00461544" w:rsidRDefault="00461544" w:rsidP="00461544">
      <w:pPr>
        <w:pStyle w:val="ListParagraph"/>
        <w:autoSpaceDE w:val="0"/>
        <w:autoSpaceDN w:val="0"/>
        <w:adjustRightInd w:val="0"/>
        <w:jc w:val="both"/>
        <w:rPr>
          <w:rFonts w:eastAsia="Times New Roman"/>
          <w:lang w:val="es-CO"/>
        </w:rPr>
      </w:pPr>
    </w:p>
    <w:p w14:paraId="167FA375" w14:textId="6ECA8ADD" w:rsidR="00950193" w:rsidRDefault="00950193" w:rsidP="00950193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/>
          <w:lang w:val="es-CO"/>
        </w:rPr>
      </w:pPr>
      <w:r w:rsidRPr="00EC1C92">
        <w:rPr>
          <w:rFonts w:eastAsia="Times New Roman"/>
          <w:b/>
          <w:lang w:val="es-CO"/>
        </w:rPr>
        <w:t xml:space="preserve">Desarrollo de un programa de capacitación </w:t>
      </w:r>
      <w:r w:rsidR="00EC1C92">
        <w:rPr>
          <w:rFonts w:eastAsia="Times New Roman"/>
          <w:b/>
          <w:lang w:val="es-CO"/>
        </w:rPr>
        <w:t xml:space="preserve">dirigido a </w:t>
      </w:r>
      <w:r w:rsidRPr="00EC1C92">
        <w:rPr>
          <w:rFonts w:eastAsia="Times New Roman"/>
          <w:b/>
          <w:lang w:val="es-CO"/>
        </w:rPr>
        <w:t>las DPV</w:t>
      </w:r>
      <w:r w:rsidR="00EC1C92">
        <w:rPr>
          <w:rFonts w:eastAsia="Times New Roman"/>
          <w:b/>
          <w:lang w:val="es-CO"/>
        </w:rPr>
        <w:t xml:space="preserve"> en su calidad de </w:t>
      </w:r>
      <w:proofErr w:type="spellStart"/>
      <w:proofErr w:type="gramStart"/>
      <w:r w:rsidR="00EC1C92">
        <w:rPr>
          <w:rFonts w:eastAsia="Times New Roman"/>
          <w:b/>
          <w:lang w:val="es-CO"/>
        </w:rPr>
        <w:t>sub-ejecutoras</w:t>
      </w:r>
      <w:proofErr w:type="spellEnd"/>
      <w:proofErr w:type="gramEnd"/>
      <w:r w:rsidR="00EC1C92">
        <w:rPr>
          <w:rFonts w:eastAsia="Times New Roman"/>
          <w:b/>
          <w:lang w:val="es-CO"/>
        </w:rPr>
        <w:t xml:space="preserve"> del Programa</w:t>
      </w:r>
      <w:r>
        <w:rPr>
          <w:rFonts w:eastAsia="Times New Roman"/>
          <w:lang w:val="es-CO"/>
        </w:rPr>
        <w:t xml:space="preserve">, el cual </w:t>
      </w:r>
      <w:r w:rsidR="00EC1C92">
        <w:rPr>
          <w:rFonts w:eastAsia="Times New Roman"/>
          <w:lang w:val="es-CO"/>
        </w:rPr>
        <w:t xml:space="preserve">buscará fortalecer sus capacidades </w:t>
      </w:r>
      <w:r w:rsidR="00EC1C92" w:rsidRPr="00EC1C92">
        <w:rPr>
          <w:rFonts w:eastAsia="Times New Roman"/>
          <w:lang w:val="es-CO"/>
        </w:rPr>
        <w:t>técnicas y operativas en materia de planificación, diseño, evaluación y gestión de proyectos con criterio</w:t>
      </w:r>
      <w:r w:rsidR="00EC1C92">
        <w:rPr>
          <w:rFonts w:eastAsia="Times New Roman"/>
          <w:lang w:val="es-CO"/>
        </w:rPr>
        <w:t>s</w:t>
      </w:r>
      <w:r w:rsidR="00EC1C92" w:rsidRPr="00EC1C92">
        <w:rPr>
          <w:rFonts w:eastAsia="Times New Roman"/>
          <w:lang w:val="es-CO"/>
        </w:rPr>
        <w:t xml:space="preserve"> de sostenibilidad.</w:t>
      </w:r>
    </w:p>
    <w:p w14:paraId="4CAD3F0F" w14:textId="77777777" w:rsidR="00EC1C92" w:rsidRDefault="00EC1C92" w:rsidP="00461544">
      <w:pPr>
        <w:rPr>
          <w:rFonts w:eastAsia="Times New Roman"/>
          <w:lang w:val="es-CO"/>
        </w:rPr>
      </w:pPr>
    </w:p>
    <w:p w14:paraId="57FD7CDA" w14:textId="4B772BF3" w:rsidR="00955447" w:rsidRDefault="00EC1C92" w:rsidP="003521E3">
      <w:pPr>
        <w:jc w:val="both"/>
        <w:rPr>
          <w:b/>
          <w:bCs/>
        </w:rPr>
      </w:pPr>
      <w:r>
        <w:rPr>
          <w:rFonts w:eastAsia="Times New Roman"/>
          <w:lang w:val="es-CO"/>
        </w:rPr>
        <w:t>La prioridad de</w:t>
      </w:r>
      <w:r w:rsidR="003521E3">
        <w:rPr>
          <w:rFonts w:eastAsia="Times New Roman"/>
          <w:lang w:val="es-CO"/>
        </w:rPr>
        <w:t xml:space="preserve"> </w:t>
      </w:r>
      <w:r>
        <w:rPr>
          <w:rFonts w:eastAsia="Times New Roman"/>
          <w:lang w:val="es-CO"/>
        </w:rPr>
        <w:t>l</w:t>
      </w:r>
      <w:r w:rsidR="003521E3">
        <w:rPr>
          <w:rFonts w:eastAsia="Times New Roman"/>
          <w:lang w:val="es-CO"/>
        </w:rPr>
        <w:t xml:space="preserve">as líneas de </w:t>
      </w:r>
      <w:r w:rsidR="00943F35" w:rsidRPr="00461544">
        <w:rPr>
          <w:rFonts w:eastAsia="Times New Roman"/>
          <w:lang w:val="es-CO"/>
        </w:rPr>
        <w:t>trabajo</w:t>
      </w:r>
      <w:r>
        <w:rPr>
          <w:rFonts w:eastAsia="Times New Roman"/>
          <w:lang w:val="es-CO"/>
        </w:rPr>
        <w:t xml:space="preserve"> aquí plantead</w:t>
      </w:r>
      <w:r w:rsidR="003521E3">
        <w:rPr>
          <w:rFonts w:eastAsia="Times New Roman"/>
          <w:lang w:val="es-CO"/>
        </w:rPr>
        <w:t>as</w:t>
      </w:r>
      <w:r>
        <w:rPr>
          <w:rFonts w:eastAsia="Times New Roman"/>
          <w:lang w:val="es-CO"/>
        </w:rPr>
        <w:t xml:space="preserve"> consiste en </w:t>
      </w:r>
      <w:r w:rsidR="00943F35" w:rsidRPr="00461544">
        <w:rPr>
          <w:rFonts w:eastAsia="Times New Roman"/>
          <w:lang w:val="es-CO"/>
        </w:rPr>
        <w:t>registrar las lecciones aprendidas</w:t>
      </w:r>
      <w:r>
        <w:rPr>
          <w:rFonts w:eastAsia="Times New Roman"/>
          <w:lang w:val="es-CO"/>
        </w:rPr>
        <w:t xml:space="preserve"> en la aplicación de criterios de sostenibilidad a proyectos viales, para fines de difusión entre las distintas provincias clientes del FFFIR</w:t>
      </w:r>
      <w:r w:rsidR="003521E3">
        <w:rPr>
          <w:rFonts w:eastAsia="Times New Roman"/>
          <w:lang w:val="es-CO"/>
        </w:rPr>
        <w:t xml:space="preserve">, e incluso entre otros países miembros del Banco con retos similares a nivel sectorial. </w:t>
      </w:r>
      <w:r w:rsidR="00D71BE5">
        <w:rPr>
          <w:rFonts w:eastAsia="Times New Roman"/>
          <w:lang w:val="es-CO"/>
        </w:rPr>
        <w:t>Los detalles de cada una de las actividades se definirán en pleno acuerdo con los ejecutores del Programa.</w:t>
      </w:r>
    </w:p>
    <w:p w14:paraId="372B7737" w14:textId="77777777" w:rsidR="00955447" w:rsidRPr="00955447" w:rsidRDefault="00955447" w:rsidP="00356D3A">
      <w:pPr>
        <w:autoSpaceDE w:val="0"/>
        <w:autoSpaceDN w:val="0"/>
        <w:adjustRightInd w:val="0"/>
        <w:spacing w:after="0" w:line="240" w:lineRule="auto"/>
      </w:pPr>
    </w:p>
    <w:sectPr w:rsidR="00955447" w:rsidRPr="0095544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00D22"/>
    <w:multiLevelType w:val="hybridMultilevel"/>
    <w:tmpl w:val="635070AC"/>
    <w:lvl w:ilvl="0" w:tplc="A15A7C4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4131FAB"/>
    <w:multiLevelType w:val="hybridMultilevel"/>
    <w:tmpl w:val="326EFB04"/>
    <w:lvl w:ilvl="0" w:tplc="9EB897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2A1228"/>
    <w:multiLevelType w:val="hybridMultilevel"/>
    <w:tmpl w:val="5FF2644C"/>
    <w:lvl w:ilvl="0" w:tplc="127ED1F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1561C"/>
    <w:multiLevelType w:val="hybridMultilevel"/>
    <w:tmpl w:val="EBF0FA5C"/>
    <w:lvl w:ilvl="0" w:tplc="5120AB5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526"/>
    <w:rsid w:val="00004620"/>
    <w:rsid w:val="000E6D29"/>
    <w:rsid w:val="001414C8"/>
    <w:rsid w:val="00151AD7"/>
    <w:rsid w:val="00156D08"/>
    <w:rsid w:val="001C02C9"/>
    <w:rsid w:val="001D5FA9"/>
    <w:rsid w:val="002A7546"/>
    <w:rsid w:val="00334D9C"/>
    <w:rsid w:val="003521E3"/>
    <w:rsid w:val="00356D3A"/>
    <w:rsid w:val="00387474"/>
    <w:rsid w:val="00402880"/>
    <w:rsid w:val="004378B1"/>
    <w:rsid w:val="00461544"/>
    <w:rsid w:val="0052722B"/>
    <w:rsid w:val="00570928"/>
    <w:rsid w:val="005B506C"/>
    <w:rsid w:val="005B67C2"/>
    <w:rsid w:val="005D4D6D"/>
    <w:rsid w:val="006070E1"/>
    <w:rsid w:val="00640A01"/>
    <w:rsid w:val="00642D78"/>
    <w:rsid w:val="00691FB4"/>
    <w:rsid w:val="006C2B74"/>
    <w:rsid w:val="007077B9"/>
    <w:rsid w:val="00747BED"/>
    <w:rsid w:val="00837526"/>
    <w:rsid w:val="00844CAC"/>
    <w:rsid w:val="00874537"/>
    <w:rsid w:val="00896CD7"/>
    <w:rsid w:val="00943F35"/>
    <w:rsid w:val="00950193"/>
    <w:rsid w:val="00953921"/>
    <w:rsid w:val="00955447"/>
    <w:rsid w:val="009D0DF7"/>
    <w:rsid w:val="009E22E0"/>
    <w:rsid w:val="009F4CAB"/>
    <w:rsid w:val="00A2526B"/>
    <w:rsid w:val="00A82ED6"/>
    <w:rsid w:val="00A84694"/>
    <w:rsid w:val="00A92AB6"/>
    <w:rsid w:val="00AB1641"/>
    <w:rsid w:val="00B95C20"/>
    <w:rsid w:val="00C203C7"/>
    <w:rsid w:val="00C43CB8"/>
    <w:rsid w:val="00C93122"/>
    <w:rsid w:val="00CB2D43"/>
    <w:rsid w:val="00CC0AA2"/>
    <w:rsid w:val="00D03E26"/>
    <w:rsid w:val="00D17980"/>
    <w:rsid w:val="00D71BE5"/>
    <w:rsid w:val="00DA75B3"/>
    <w:rsid w:val="00DD3292"/>
    <w:rsid w:val="00E255A1"/>
    <w:rsid w:val="00E40E84"/>
    <w:rsid w:val="00EA4D06"/>
    <w:rsid w:val="00EC1C92"/>
    <w:rsid w:val="00F1509F"/>
    <w:rsid w:val="00F53BF3"/>
    <w:rsid w:val="00FD6D93"/>
    <w:rsid w:val="00FF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7A3D8"/>
  <w15:chartTrackingRefBased/>
  <w15:docId w15:val="{EC9CF779-1484-4B0B-B6B1-DE23EC19A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-Briefings">
    <w:name w:val="Heading 1 - Briefings"/>
    <w:basedOn w:val="Normal"/>
    <w:next w:val="Normal"/>
    <w:link w:val="Heading1-BriefingsChar"/>
    <w:autoRedefine/>
    <w:qFormat/>
    <w:rsid w:val="006C2B74"/>
    <w:pPr>
      <w:pBdr>
        <w:top w:val="single" w:sz="6" w:space="1" w:color="auto"/>
        <w:bottom w:val="single" w:sz="6" w:space="1" w:color="auto"/>
      </w:pBdr>
      <w:spacing w:after="0" w:line="276" w:lineRule="auto"/>
      <w:contextualSpacing/>
      <w:jc w:val="both"/>
      <w:outlineLvl w:val="0"/>
    </w:pPr>
    <w:rPr>
      <w:rFonts w:ascii="Calibri" w:eastAsiaTheme="majorEastAsia" w:hAnsi="Calibri" w:cs="Calibri"/>
      <w:b/>
      <w:color w:val="2F5496" w:themeColor="accent1" w:themeShade="BF"/>
      <w:sz w:val="24"/>
    </w:rPr>
  </w:style>
  <w:style w:type="character" w:customStyle="1" w:styleId="Heading1-BriefingsChar">
    <w:name w:val="Heading 1 - Briefings Char"/>
    <w:basedOn w:val="DefaultParagraphFont"/>
    <w:link w:val="Heading1-Briefings"/>
    <w:rsid w:val="006C2B74"/>
    <w:rPr>
      <w:rFonts w:ascii="Calibri" w:eastAsiaTheme="majorEastAsia" w:hAnsi="Calibri" w:cs="Calibri"/>
      <w:b/>
      <w:color w:val="2F5496" w:themeColor="accent1" w:themeShade="BF"/>
      <w:sz w:val="24"/>
    </w:rPr>
  </w:style>
  <w:style w:type="character" w:styleId="Hyperlink">
    <w:name w:val="Hyperlink"/>
    <w:basedOn w:val="DefaultParagraphFont"/>
    <w:uiPriority w:val="99"/>
    <w:unhideWhenUsed/>
    <w:rsid w:val="0083752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7526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56D3A"/>
    <w:pPr>
      <w:spacing w:after="0" w:line="240" w:lineRule="auto"/>
      <w:ind w:left="720"/>
    </w:pPr>
    <w:rPr>
      <w:rFonts w:ascii="Calibri" w:hAnsi="Calibri" w:cs="Calibri"/>
      <w:lang w:eastAsia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5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5A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C1C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1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1C92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69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customXml" Target="../customXml/item3.xml"/><Relationship Id="rId5" Type="http://schemas.openxmlformats.org/officeDocument/2006/relationships/hyperlink" Target="https://publications.iadb.org/en/what-sustainable-infrastructure-framework-guide-sustainability-across-project-cycle" TargetMode="External"/><Relationship Id="rId15" Type="http://schemas.openxmlformats.org/officeDocument/2006/relationships/customXml" Target="../customXml/item7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D9257DB9CFA8B248AC5FEF4BA896381B" ma:contentTypeVersion="2846" ma:contentTypeDescription="The base project type from which other project content types inherit their information." ma:contentTypeScope="" ma:versionID="d75a7ee78229c65230781e32b6e8c8d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befaca324cd554cf181823e8b0fdee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AF41E64800BD74D8D0F3353FD166F16" ma:contentTypeVersion="2994" ma:contentTypeDescription="A content type to manage public (operations) IDB documents" ma:contentTypeScope="" ma:versionID="d73f6a039a7d7879419f3d39ec923f3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 xsi:nil="true"/>
    <Key_x0020_Document xmlns="cdc7663a-08f0-4737-9e8c-148ce897a09c">false</Key_x0020_Document>
    <Division_x0020_or_x0020_Unit xmlns="cdc7663a-08f0-4737-9e8c-148ce897a09c">INE/TSP</Division_x0020_or_x0020_Unit>
    <Document_x0020_Author xmlns="cdc7663a-08f0-4737-9e8c-148ce897a09c">Baladi Rodriguez,Aziz</Document_x0020_Author>
    <_dlc_DocId xmlns="cdc7663a-08f0-4737-9e8c-148ce897a09c">EZSHARE-323354554-30</_dlc_DocId>
    <Operation_x0020_Type xmlns="cdc7663a-08f0-4737-9e8c-148ce897a09c">Loan Operation</Operation_x0020_Type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TaxCatchAll xmlns="cdc7663a-08f0-4737-9e8c-148ce897a09c">
      <Value>5</Value>
      <Value>4</Value>
      <Value>3</Value>
      <Value>79</Value>
      <Value>1</Value>
    </TaxCatchAll>
    <Fiscal_x0020_Year_x0020_IDB xmlns="cdc7663a-08f0-4737-9e8c-148ce897a09c">2019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AR-L1307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>Life Cycle</Business_x0020_Area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SISCOR_x0020_Number xmlns="cdc7663a-08f0-4737-9e8c-148ce897a09c" xsi:nil="true"/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TRANSPORT</TermName>
          <TermId xmlns="http://schemas.microsoft.com/office/infopath/2007/PartnerControls">5a25d1a8-4baf-41a8-9e3b-e167accda6ea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MAJOR HIGHWAYS</TermName>
          <TermId xmlns="http://schemas.microsoft.com/office/infopath/2007/PartnerControls">59b49cf2-c4cd-4316-ac14-b3a0ffc7d51d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https://idbg.sharepoint.com/teams/EZ-AR-LON/AR-L1307/_layouts/15/DocIdRedir.aspx?ID=EZSHARE-323354554-30</Url>
      <Description>EZSHARE-323354554-30</Description>
    </_dlc_DocIdUrl>
    <Phase xmlns="cdc7663a-08f0-4737-9e8c-148ce897a09c">ACTIVE</Phase>
    <Other_x0020_Author xmlns="cdc7663a-08f0-4737-9e8c-148ce897a09c" xsi:nil="true"/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FE994D1-53D4-4198-B3BE-A306D00928F1}"/>
</file>

<file path=customXml/itemProps2.xml><?xml version="1.0" encoding="utf-8"?>
<ds:datastoreItem xmlns:ds="http://schemas.openxmlformats.org/officeDocument/2006/customXml" ds:itemID="{38B66B4B-4393-403E-817B-0CA7677D7D34}"/>
</file>

<file path=customXml/itemProps3.xml><?xml version="1.0" encoding="utf-8"?>
<ds:datastoreItem xmlns:ds="http://schemas.openxmlformats.org/officeDocument/2006/customXml" ds:itemID="{6C5F661B-A10D-4AC8-B33C-92378F511335}"/>
</file>

<file path=customXml/itemProps4.xml><?xml version="1.0" encoding="utf-8"?>
<ds:datastoreItem xmlns:ds="http://schemas.openxmlformats.org/officeDocument/2006/customXml" ds:itemID="{0470C109-679F-4454-B022-9EF3CADDD428}"/>
</file>

<file path=customXml/itemProps5.xml><?xml version="1.0" encoding="utf-8"?>
<ds:datastoreItem xmlns:ds="http://schemas.openxmlformats.org/officeDocument/2006/customXml" ds:itemID="{D407F0CD-2A4C-44C4-840E-E591FDBA46FF}"/>
</file>

<file path=customXml/itemProps6.xml><?xml version="1.0" encoding="utf-8"?>
<ds:datastoreItem xmlns:ds="http://schemas.openxmlformats.org/officeDocument/2006/customXml" ds:itemID="{7F98B0F6-B96D-4430-B2E6-9BBDAE65E57E}"/>
</file>

<file path=customXml/itemProps7.xml><?xml version="1.0" encoding="utf-8"?>
<ds:datastoreItem xmlns:ds="http://schemas.openxmlformats.org/officeDocument/2006/customXml" ds:itemID="{BFEA7185-E7E8-418A-B6A0-50814F7D93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729</Words>
  <Characters>4011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Ramirez Bello, Maria Cecilia</dc:creator>
  <cp:keywords/>
  <dc:description/>
  <cp:lastModifiedBy>Baladi Rodriguez, Aziz</cp:lastModifiedBy>
  <cp:revision>2</cp:revision>
  <dcterms:created xsi:type="dcterms:W3CDTF">2019-05-31T23:08:00Z</dcterms:created>
  <dcterms:modified xsi:type="dcterms:W3CDTF">2019-05-31T23:08:00Z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79;#MAJOR HIGHWAYS|59b49cf2-c4cd-4316-ac14-b3a0ffc7d51d</vt:lpwstr>
  </property>
  <property fmtid="{D5CDD505-2E9C-101B-9397-08002B2CF9AE}" pid="7" name="Country">
    <vt:lpwstr>5;#Argentina|eb1b705c-195f-4c3b-9661-b201f2fee3c5</vt:lpwstr>
  </property>
  <property fmtid="{D5CDD505-2E9C-101B-9397-08002B2CF9AE}" pid="8" name="Fund IDB">
    <vt:lpwstr>4;#ORC|c028a4b2-ad8b-4cf4-9cac-a2ae6a778e23</vt:lpwstr>
  </property>
  <property fmtid="{D5CDD505-2E9C-101B-9397-08002B2CF9AE}" pid="9" name="_dlc_DocIdItemGuid">
    <vt:lpwstr>f3efa0e2-5281-4c2b-81dd-1c2292f9f033</vt:lpwstr>
  </property>
  <property fmtid="{D5CDD505-2E9C-101B-9397-08002B2CF9AE}" pid="10" name="Sector IDB">
    <vt:lpwstr>3;#TRANSPORT|5a25d1a8-4baf-41a8-9e3b-e167accda6ea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0x0101001A458A224826124E8B45B1D613300CFC007AF41E64800BD74D8D0F3353FD166F16</vt:lpwstr>
  </property>
</Properties>
</file>