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2830" w14:textId="77777777" w:rsidR="00F15B67" w:rsidRPr="00FB0A0B" w:rsidRDefault="003F68E1" w:rsidP="001025F1">
      <w:pPr>
        <w:spacing w:after="100" w:afterAutospacing="1"/>
        <w:rPr>
          <w:rFonts w:ascii="Arial" w:hAnsi="Arial" w:cs="Arial"/>
          <w:b/>
          <w:sz w:val="22"/>
          <w:szCs w:val="22"/>
          <w:lang w:val="es-ES"/>
        </w:rPr>
      </w:pPr>
      <w:r w:rsidRPr="00FB0A0B">
        <w:rPr>
          <w:rFonts w:ascii="Arial" w:hAnsi="Arial" w:cs="Arial"/>
          <w:noProof/>
          <w:sz w:val="22"/>
          <w:szCs w:val="22"/>
        </w:rPr>
        <w:drawing>
          <wp:anchor distT="0" distB="0" distL="114300" distR="114300" simplePos="0" relativeHeight="251658243" behindDoc="0" locked="0" layoutInCell="1" allowOverlap="1" wp14:anchorId="50A7C491" wp14:editId="4F2CCF68">
            <wp:simplePos x="0" y="0"/>
            <wp:positionH relativeFrom="column">
              <wp:posOffset>114300</wp:posOffset>
            </wp:positionH>
            <wp:positionV relativeFrom="paragraph">
              <wp:posOffset>-228600</wp:posOffset>
            </wp:positionV>
            <wp:extent cx="2337435" cy="1275715"/>
            <wp:effectExtent l="0" t="0" r="0" b="0"/>
            <wp:wrapNone/>
            <wp:docPr id="3" name="Picture 3"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r w:rsidR="00F15B67" w:rsidRPr="00FB0A0B">
        <w:rPr>
          <w:rFonts w:ascii="Arial" w:hAnsi="Arial" w:cs="Arial"/>
          <w:noProof/>
          <w:sz w:val="22"/>
          <w:szCs w:val="22"/>
        </w:rPr>
        <mc:AlternateContent>
          <mc:Choice Requires="wps">
            <w:drawing>
              <wp:anchor distT="36576" distB="36576" distL="36576" distR="36576" simplePos="0" relativeHeight="251658241" behindDoc="0" locked="0" layoutInCell="1" allowOverlap="1" wp14:anchorId="051DB5BB" wp14:editId="5FD17E74">
                <wp:simplePos x="0" y="0"/>
                <wp:positionH relativeFrom="column">
                  <wp:posOffset>3538855</wp:posOffset>
                </wp:positionH>
                <wp:positionV relativeFrom="page">
                  <wp:posOffset>0</wp:posOffset>
                </wp:positionV>
                <wp:extent cx="3319145" cy="10125075"/>
                <wp:effectExtent l="0" t="0" r="8255" b="9525"/>
                <wp:wrapTight wrapText="bothSides">
                  <wp:wrapPolygon edited="0">
                    <wp:start x="0" y="0"/>
                    <wp:lineTo x="0" y="21566"/>
                    <wp:lineTo x="21488" y="21566"/>
                    <wp:lineTo x="21488" y="0"/>
                    <wp:lineTo x="0" y="0"/>
                  </wp:wrapPolygon>
                </wp:wrapTight>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F904C" id="Rectangle 9" o:spid="_x0000_s1026" style="position:absolute;margin-left:278.65pt;margin-top:0;width:261.35pt;height:797.25pt;z-index:25165824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" fillcolor="#153b5e" stroked="f">
                <v:textbox inset="2.88pt,2.88pt,2.88pt,2.88pt"/>
                <w10:wrap type="tight" anchory="page"/>
              </v:rect>
            </w:pict>
          </mc:Fallback>
        </mc:AlternateContent>
      </w:r>
      <w:bookmarkEnd w:id="0"/>
    </w:p>
    <w:p w14:paraId="14E5BAFE" w14:textId="77777777" w:rsidR="00F15B67" w:rsidRPr="00FB0A0B" w:rsidRDefault="00F15B67" w:rsidP="001025F1">
      <w:pPr>
        <w:spacing w:after="100" w:afterAutospacing="1"/>
        <w:rPr>
          <w:rFonts w:ascii="Arial" w:hAnsi="Arial" w:cs="Arial"/>
          <w:sz w:val="22"/>
          <w:szCs w:val="22"/>
          <w:lang w:val="es-ES"/>
        </w:rPr>
      </w:pPr>
    </w:p>
    <w:p w14:paraId="4C4357FF" w14:textId="77777777" w:rsidR="00F15B67" w:rsidRPr="00FB0A0B" w:rsidRDefault="00F15B67" w:rsidP="001025F1">
      <w:pPr>
        <w:spacing w:after="100" w:afterAutospacing="1"/>
        <w:rPr>
          <w:rFonts w:ascii="Arial" w:hAnsi="Arial" w:cs="Arial"/>
          <w:sz w:val="22"/>
          <w:szCs w:val="22"/>
          <w:lang w:val="es-ES"/>
        </w:rPr>
      </w:pPr>
    </w:p>
    <w:p w14:paraId="4E93B48B" w14:textId="77777777" w:rsidR="00F15B67" w:rsidRPr="00FB0A0B" w:rsidRDefault="00F15B67" w:rsidP="001025F1">
      <w:pPr>
        <w:spacing w:after="100" w:afterAutospacing="1"/>
        <w:rPr>
          <w:rFonts w:ascii="Arial" w:hAnsi="Arial" w:cs="Arial"/>
          <w:sz w:val="22"/>
          <w:szCs w:val="22"/>
          <w:lang w:val="es-ES"/>
        </w:rPr>
      </w:pPr>
    </w:p>
    <w:p w14:paraId="13820959" w14:textId="77777777" w:rsidR="00F15B67" w:rsidRPr="00FB0A0B" w:rsidRDefault="00F15B67" w:rsidP="001025F1">
      <w:pPr>
        <w:spacing w:after="100" w:afterAutospacing="1"/>
        <w:rPr>
          <w:rFonts w:ascii="Arial" w:hAnsi="Arial" w:cs="Arial"/>
          <w:sz w:val="22"/>
          <w:szCs w:val="22"/>
          <w:lang w:val="es-ES"/>
        </w:rPr>
      </w:pPr>
    </w:p>
    <w:p w14:paraId="7EAD4E6E" w14:textId="77777777" w:rsidR="00F15B67" w:rsidRPr="00FB0A0B" w:rsidRDefault="00F15B67" w:rsidP="001025F1">
      <w:pPr>
        <w:spacing w:after="100" w:afterAutospacing="1"/>
        <w:rPr>
          <w:rFonts w:ascii="Arial" w:hAnsi="Arial" w:cs="Arial"/>
          <w:sz w:val="22"/>
          <w:szCs w:val="22"/>
          <w:lang w:val="es-ES"/>
        </w:rPr>
      </w:pPr>
    </w:p>
    <w:p w14:paraId="59A6CD84" w14:textId="77777777" w:rsidR="00F15B67" w:rsidRPr="00FB0A0B" w:rsidRDefault="00F15B67" w:rsidP="001025F1">
      <w:pPr>
        <w:spacing w:after="100" w:afterAutospacing="1"/>
        <w:rPr>
          <w:rFonts w:ascii="Arial" w:hAnsi="Arial" w:cs="Arial"/>
          <w:sz w:val="22"/>
          <w:szCs w:val="22"/>
          <w:lang w:val="es-ES"/>
        </w:rPr>
      </w:pPr>
    </w:p>
    <w:p w14:paraId="6F272F05" w14:textId="77777777" w:rsidR="00F15B67" w:rsidRPr="00FB0A0B" w:rsidRDefault="00F15B67" w:rsidP="001025F1">
      <w:pPr>
        <w:spacing w:after="100" w:afterAutospacing="1"/>
        <w:rPr>
          <w:rFonts w:ascii="Arial" w:hAnsi="Arial" w:cs="Arial"/>
          <w:sz w:val="22"/>
          <w:szCs w:val="22"/>
          <w:lang w:val="es-ES"/>
        </w:rPr>
      </w:pPr>
    </w:p>
    <w:p w14:paraId="4D43CC80" w14:textId="77777777" w:rsidR="00F15B67" w:rsidRPr="00FB0A0B" w:rsidRDefault="003F68E1" w:rsidP="001025F1">
      <w:pPr>
        <w:spacing w:after="100" w:afterAutospacing="1"/>
        <w:rPr>
          <w:rFonts w:ascii="Arial" w:hAnsi="Arial" w:cs="Arial"/>
          <w:sz w:val="22"/>
          <w:szCs w:val="22"/>
          <w:lang w:val="es-ES"/>
        </w:rPr>
      </w:pPr>
      <w:r w:rsidRPr="00FB0A0B">
        <w:rPr>
          <w:rFonts w:ascii="Arial" w:hAnsi="Arial" w:cs="Arial"/>
          <w:noProof/>
          <w:sz w:val="22"/>
          <w:szCs w:val="22"/>
        </w:rPr>
        <mc:AlternateContent>
          <mc:Choice Requires="wps">
            <w:drawing>
              <wp:anchor distT="0" distB="0" distL="114300" distR="114300" simplePos="0" relativeHeight="251658242" behindDoc="0" locked="0" layoutInCell="1" allowOverlap="1" wp14:anchorId="02ED18D6" wp14:editId="5CDE8469">
                <wp:simplePos x="0" y="0"/>
                <wp:positionH relativeFrom="column">
                  <wp:posOffset>-457200</wp:posOffset>
                </wp:positionH>
                <wp:positionV relativeFrom="paragraph">
                  <wp:posOffset>49530</wp:posOffset>
                </wp:positionV>
                <wp:extent cx="3352800" cy="277177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A2228" w14:textId="77777777" w:rsidR="000A3DCE" w:rsidRPr="00F8108A" w:rsidRDefault="000A3DCE" w:rsidP="00F15B67">
                            <w:pPr>
                              <w:spacing w:before="120" w:after="120"/>
                              <w:rPr>
                                <w:rFonts w:ascii="Arial" w:hAnsi="Arial" w:cs="Arial"/>
                                <w:b/>
                                <w:bCs/>
                                <w:sz w:val="44"/>
                                <w:lang w:val="es-ES"/>
                              </w:rPr>
                            </w:pPr>
                            <w:r w:rsidRPr="00F8108A">
                              <w:rPr>
                                <w:rFonts w:ascii="Arial" w:hAnsi="Arial" w:cs="Arial"/>
                                <w:b/>
                                <w:bCs/>
                                <w:sz w:val="44"/>
                                <w:lang w:val="es-ES"/>
                              </w:rPr>
                              <w:t>Análisis Económico</w:t>
                            </w:r>
                          </w:p>
                          <w:p w14:paraId="53CD2794" w14:textId="16D0B5B5" w:rsidR="000A3DCE" w:rsidRPr="00F8108A" w:rsidRDefault="000A3DCE" w:rsidP="00F15B67">
                            <w:pPr>
                              <w:spacing w:before="120" w:after="120"/>
                              <w:rPr>
                                <w:rFonts w:ascii="Arial" w:hAnsi="Arial" w:cs="Arial"/>
                                <w:smallCaps/>
                                <w:sz w:val="32"/>
                                <w:szCs w:val="32"/>
                                <w:lang w:val="es-ES_tradnl"/>
                              </w:rPr>
                            </w:pPr>
                            <w:r>
                              <w:rPr>
                                <w:rFonts w:ascii="Arial" w:hAnsi="Arial" w:cs="Arial"/>
                                <w:smallCaps/>
                                <w:sz w:val="32"/>
                                <w:szCs w:val="32"/>
                                <w:lang w:val="es-ES_tradnl"/>
                              </w:rPr>
                              <w:t>BO</w:t>
                            </w:r>
                            <w:r w:rsidRPr="00F8108A">
                              <w:rPr>
                                <w:rFonts w:ascii="Arial" w:hAnsi="Arial" w:cs="Arial"/>
                                <w:smallCaps/>
                                <w:sz w:val="32"/>
                                <w:szCs w:val="32"/>
                                <w:lang w:val="es-ES_tradnl"/>
                              </w:rPr>
                              <w:t>-L</w:t>
                            </w:r>
                            <w:r>
                              <w:rPr>
                                <w:rFonts w:ascii="Arial" w:hAnsi="Arial" w:cs="Arial"/>
                                <w:smallCaps/>
                                <w:sz w:val="32"/>
                                <w:szCs w:val="32"/>
                                <w:lang w:val="es-ES_tradnl"/>
                              </w:rPr>
                              <w:t>1198</w:t>
                            </w:r>
                            <w:r w:rsidRPr="00F8108A">
                              <w:rPr>
                                <w:rFonts w:ascii="Arial" w:hAnsi="Arial" w:cs="Arial"/>
                                <w:smallCaps/>
                                <w:sz w:val="32"/>
                                <w:szCs w:val="32"/>
                                <w:lang w:val="es-ES_tradnl"/>
                              </w:rPr>
                              <w:t xml:space="preserve"> </w:t>
                            </w:r>
                          </w:p>
                          <w:p w14:paraId="0866AC36" w14:textId="69A433DD" w:rsidR="000A3DCE" w:rsidRPr="00B86365" w:rsidRDefault="000A3DCE" w:rsidP="00F15B67">
                            <w:pPr>
                              <w:spacing w:before="120" w:after="120"/>
                              <w:rPr>
                                <w:rFonts w:ascii="Arial" w:eastAsia="Times New Roman" w:hAnsi="Arial" w:cs="Arial"/>
                                <w:smallCaps/>
                                <w:spacing w:val="-3"/>
                                <w:sz w:val="32"/>
                                <w:szCs w:val="32"/>
                                <w:lang w:val="es-ES_tradnl"/>
                              </w:rPr>
                            </w:pPr>
                            <w:r w:rsidRPr="00B86365">
                              <w:rPr>
                                <w:rFonts w:ascii="Arial" w:eastAsia="Times New Roman" w:hAnsi="Arial" w:cs="Arial"/>
                                <w:smallCaps/>
                                <w:spacing w:val="-3"/>
                                <w:sz w:val="32"/>
                                <w:szCs w:val="32"/>
                                <w:lang w:val="es-ES_tradnl"/>
                              </w:rPr>
                              <w:t>Programa de Mejora en la Accesibilidad a los Servicios de Salud Materna en Bolivia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D18D6" id="_x0000_t202" coordsize="21600,21600" o:spt="202" path="m,l,21600r21600,l21600,xe">
                <v:stroke joinstyle="miter"/>
                <v:path gradientshapeok="t" o:connecttype="rect"/>
              </v:shapetype>
              <v:shape id="Text Box 7" o:spid="_x0000_s1026" type="#_x0000_t202" style="position:absolute;margin-left:-36pt;margin-top:3.9pt;width:264pt;height:218.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" filled="f" fillcolor="navy" stroked="f">
                <v:textbox>
                  <w:txbxContent>
                    <w:p w14:paraId="440A2228" w14:textId="77777777" w:rsidR="000A3DCE" w:rsidRPr="00F8108A" w:rsidRDefault="000A3DCE" w:rsidP="00F15B67">
                      <w:pPr>
                        <w:spacing w:before="120" w:after="120"/>
                        <w:rPr>
                          <w:rFonts w:ascii="Arial" w:hAnsi="Arial" w:cs="Arial"/>
                          <w:b/>
                          <w:bCs/>
                          <w:sz w:val="44"/>
                          <w:lang w:val="es-ES"/>
                        </w:rPr>
                      </w:pPr>
                      <w:r w:rsidRPr="00F8108A">
                        <w:rPr>
                          <w:rFonts w:ascii="Arial" w:hAnsi="Arial" w:cs="Arial"/>
                          <w:b/>
                          <w:bCs/>
                          <w:sz w:val="44"/>
                          <w:lang w:val="es-ES"/>
                        </w:rPr>
                        <w:t>Análisis Económico</w:t>
                      </w:r>
                    </w:p>
                    <w:p w14:paraId="53CD2794" w14:textId="16D0B5B5" w:rsidR="000A3DCE" w:rsidRPr="00F8108A" w:rsidRDefault="000A3DCE" w:rsidP="00F15B67">
                      <w:pPr>
                        <w:spacing w:before="120" w:after="120"/>
                        <w:rPr>
                          <w:rFonts w:ascii="Arial" w:hAnsi="Arial" w:cs="Arial"/>
                          <w:smallCaps/>
                          <w:sz w:val="32"/>
                          <w:szCs w:val="32"/>
                          <w:lang w:val="es-ES_tradnl"/>
                        </w:rPr>
                      </w:pPr>
                      <w:r>
                        <w:rPr>
                          <w:rFonts w:ascii="Arial" w:hAnsi="Arial" w:cs="Arial"/>
                          <w:smallCaps/>
                          <w:sz w:val="32"/>
                          <w:szCs w:val="32"/>
                          <w:lang w:val="es-ES_tradnl"/>
                        </w:rPr>
                        <w:t>BO</w:t>
                      </w:r>
                      <w:r w:rsidRPr="00F8108A">
                        <w:rPr>
                          <w:rFonts w:ascii="Arial" w:hAnsi="Arial" w:cs="Arial"/>
                          <w:smallCaps/>
                          <w:sz w:val="32"/>
                          <w:szCs w:val="32"/>
                          <w:lang w:val="es-ES_tradnl"/>
                        </w:rPr>
                        <w:t>-L</w:t>
                      </w:r>
                      <w:r>
                        <w:rPr>
                          <w:rFonts w:ascii="Arial" w:hAnsi="Arial" w:cs="Arial"/>
                          <w:smallCaps/>
                          <w:sz w:val="32"/>
                          <w:szCs w:val="32"/>
                          <w:lang w:val="es-ES_tradnl"/>
                        </w:rPr>
                        <w:t>1198</w:t>
                      </w:r>
                      <w:r w:rsidRPr="00F8108A">
                        <w:rPr>
                          <w:rFonts w:ascii="Arial" w:hAnsi="Arial" w:cs="Arial"/>
                          <w:smallCaps/>
                          <w:sz w:val="32"/>
                          <w:szCs w:val="32"/>
                          <w:lang w:val="es-ES_tradnl"/>
                        </w:rPr>
                        <w:t xml:space="preserve"> </w:t>
                      </w:r>
                    </w:p>
                    <w:p w14:paraId="0866AC36" w14:textId="69A433DD" w:rsidR="000A3DCE" w:rsidRPr="00B86365" w:rsidRDefault="000A3DCE" w:rsidP="00F15B67">
                      <w:pPr>
                        <w:spacing w:before="120" w:after="120"/>
                        <w:rPr>
                          <w:rFonts w:ascii="Arial" w:eastAsia="Times New Roman" w:hAnsi="Arial" w:cs="Arial"/>
                          <w:smallCaps/>
                          <w:spacing w:val="-3"/>
                          <w:sz w:val="32"/>
                          <w:szCs w:val="32"/>
                          <w:lang w:val="es-ES_tradnl"/>
                        </w:rPr>
                      </w:pPr>
                      <w:r w:rsidRPr="00B86365">
                        <w:rPr>
                          <w:rFonts w:ascii="Arial" w:eastAsia="Times New Roman" w:hAnsi="Arial" w:cs="Arial"/>
                          <w:smallCaps/>
                          <w:spacing w:val="-3"/>
                          <w:sz w:val="32"/>
                          <w:szCs w:val="32"/>
                          <w:lang w:val="es-ES_tradnl"/>
                        </w:rPr>
                        <w:t>Programa de Mejora en la Accesibilidad a los Servicios de Salud Materna en Bolivia</w:t>
                      </w:r>
                    </w:p>
                  </w:txbxContent>
                </v:textbox>
                <w10:wrap type="square"/>
              </v:shape>
            </w:pict>
          </mc:Fallback>
        </mc:AlternateContent>
      </w:r>
    </w:p>
    <w:p w14:paraId="3D0923BD" w14:textId="77777777" w:rsidR="00F15B67" w:rsidRPr="00FB0A0B" w:rsidRDefault="00F15B67" w:rsidP="001025F1">
      <w:pPr>
        <w:spacing w:after="100" w:afterAutospacing="1"/>
        <w:rPr>
          <w:rFonts w:ascii="Arial" w:hAnsi="Arial" w:cs="Arial"/>
          <w:sz w:val="22"/>
          <w:szCs w:val="22"/>
          <w:lang w:val="es-ES"/>
        </w:rPr>
      </w:pPr>
    </w:p>
    <w:p w14:paraId="22ACF050" w14:textId="77777777" w:rsidR="00F15B67" w:rsidRPr="00FB0A0B" w:rsidRDefault="00F15B67" w:rsidP="001025F1">
      <w:pPr>
        <w:spacing w:after="100" w:afterAutospacing="1"/>
        <w:rPr>
          <w:rFonts w:ascii="Arial" w:hAnsi="Arial" w:cs="Arial"/>
          <w:sz w:val="22"/>
          <w:szCs w:val="22"/>
          <w:lang w:val="es-ES"/>
        </w:rPr>
      </w:pPr>
    </w:p>
    <w:p w14:paraId="5F8C010E" w14:textId="77777777" w:rsidR="00F15B67" w:rsidRPr="00FB0A0B" w:rsidRDefault="00F15B67" w:rsidP="001025F1">
      <w:pPr>
        <w:spacing w:after="100" w:afterAutospacing="1"/>
        <w:rPr>
          <w:rFonts w:ascii="Arial" w:hAnsi="Arial" w:cs="Arial"/>
          <w:sz w:val="22"/>
          <w:szCs w:val="22"/>
          <w:lang w:val="es-ES"/>
        </w:rPr>
      </w:pPr>
    </w:p>
    <w:p w14:paraId="191167AE" w14:textId="77777777" w:rsidR="00F15B67" w:rsidRPr="00FB0A0B" w:rsidRDefault="00F15B67" w:rsidP="001025F1">
      <w:pPr>
        <w:spacing w:after="100" w:afterAutospacing="1"/>
        <w:rPr>
          <w:rFonts w:ascii="Arial" w:hAnsi="Arial" w:cs="Arial"/>
          <w:sz w:val="22"/>
          <w:szCs w:val="22"/>
          <w:lang w:val="es-ES"/>
        </w:rPr>
      </w:pPr>
    </w:p>
    <w:p w14:paraId="4BC33FC6" w14:textId="77777777" w:rsidR="00F15B67" w:rsidRPr="00FB0A0B" w:rsidRDefault="00F15B67" w:rsidP="001025F1">
      <w:pPr>
        <w:spacing w:after="100" w:afterAutospacing="1"/>
        <w:rPr>
          <w:rFonts w:ascii="Arial" w:hAnsi="Arial" w:cs="Arial"/>
          <w:sz w:val="22"/>
          <w:szCs w:val="22"/>
          <w:lang w:val="es-ES"/>
        </w:rPr>
      </w:pPr>
    </w:p>
    <w:p w14:paraId="1C72664C" w14:textId="77777777" w:rsidR="00F15B67" w:rsidRPr="00FB0A0B" w:rsidRDefault="00F15B67" w:rsidP="001025F1">
      <w:pPr>
        <w:spacing w:after="100" w:afterAutospacing="1"/>
        <w:rPr>
          <w:rFonts w:ascii="Arial" w:hAnsi="Arial" w:cs="Arial"/>
          <w:sz w:val="22"/>
          <w:szCs w:val="22"/>
          <w:lang w:val="es-ES"/>
        </w:rPr>
      </w:pPr>
    </w:p>
    <w:p w14:paraId="6BCB4381" w14:textId="77777777" w:rsidR="00F15B67" w:rsidRPr="00FB0A0B" w:rsidRDefault="00F15B67" w:rsidP="001025F1">
      <w:pPr>
        <w:spacing w:after="100" w:afterAutospacing="1"/>
        <w:rPr>
          <w:rFonts w:ascii="Arial" w:hAnsi="Arial" w:cs="Arial"/>
          <w:sz w:val="22"/>
          <w:szCs w:val="22"/>
          <w:lang w:val="es-ES"/>
        </w:rPr>
      </w:pPr>
    </w:p>
    <w:p w14:paraId="6FE99A28" w14:textId="77777777" w:rsidR="00F15B67" w:rsidRPr="00FB0A0B" w:rsidRDefault="00F15B67" w:rsidP="001025F1">
      <w:pPr>
        <w:spacing w:after="100" w:afterAutospacing="1"/>
        <w:rPr>
          <w:rFonts w:ascii="Arial" w:hAnsi="Arial" w:cs="Arial"/>
          <w:sz w:val="22"/>
          <w:szCs w:val="22"/>
          <w:lang w:val="es-ES"/>
        </w:rPr>
      </w:pPr>
    </w:p>
    <w:p w14:paraId="6FCBD8C1" w14:textId="77777777" w:rsidR="00F15B67" w:rsidRPr="00FB0A0B" w:rsidRDefault="00F15B67" w:rsidP="001025F1">
      <w:pPr>
        <w:spacing w:after="100" w:afterAutospacing="1"/>
        <w:rPr>
          <w:rFonts w:ascii="Arial" w:hAnsi="Arial" w:cs="Arial"/>
          <w:sz w:val="22"/>
          <w:szCs w:val="22"/>
          <w:lang w:val="es-ES"/>
        </w:rPr>
      </w:pPr>
    </w:p>
    <w:p w14:paraId="7A47576D" w14:textId="77777777" w:rsidR="00F15B67" w:rsidRPr="00FB0A0B" w:rsidRDefault="00F15B67" w:rsidP="001025F1">
      <w:pPr>
        <w:spacing w:after="100" w:afterAutospacing="1"/>
        <w:rPr>
          <w:rFonts w:ascii="Arial" w:hAnsi="Arial" w:cs="Arial"/>
          <w:sz w:val="22"/>
          <w:szCs w:val="22"/>
          <w:lang w:val="es-ES"/>
        </w:rPr>
      </w:pPr>
    </w:p>
    <w:p w14:paraId="1DF1DF6B" w14:textId="5B8CDAB2" w:rsidR="00F15B67" w:rsidRPr="00FB0A0B" w:rsidRDefault="00E054B4" w:rsidP="001025F1">
      <w:pPr>
        <w:tabs>
          <w:tab w:val="left" w:pos="1440"/>
          <w:tab w:val="left" w:pos="3060"/>
        </w:tabs>
        <w:spacing w:before="120" w:after="100" w:afterAutospacing="1"/>
        <w:jc w:val="both"/>
        <w:rPr>
          <w:rFonts w:ascii="Arial" w:hAnsi="Arial" w:cs="Arial"/>
          <w:b/>
          <w:smallCaps/>
          <w:sz w:val="22"/>
          <w:szCs w:val="22"/>
          <w:lang w:val="es-ES"/>
        </w:rPr>
      </w:pPr>
      <w:r w:rsidRPr="00FB0A0B">
        <w:rPr>
          <w:rFonts w:ascii="Arial" w:hAnsi="Arial" w:cs="Arial"/>
          <w:b/>
          <w:smallCaps/>
          <w:sz w:val="22"/>
          <w:szCs w:val="22"/>
          <w:lang w:val="es-ES"/>
        </w:rPr>
        <w:t>Junio</w:t>
      </w:r>
      <w:r w:rsidR="000752E3" w:rsidRPr="00FB0A0B">
        <w:rPr>
          <w:rFonts w:ascii="Arial" w:hAnsi="Arial" w:cs="Arial"/>
          <w:b/>
          <w:smallCaps/>
          <w:sz w:val="22"/>
          <w:szCs w:val="22"/>
          <w:lang w:val="es-ES"/>
        </w:rPr>
        <w:t xml:space="preserve"> de </w:t>
      </w:r>
      <w:r w:rsidR="00F15B67" w:rsidRPr="00FB0A0B">
        <w:rPr>
          <w:rFonts w:ascii="Arial" w:hAnsi="Arial" w:cs="Arial"/>
          <w:b/>
          <w:smallCaps/>
          <w:sz w:val="22"/>
          <w:szCs w:val="22"/>
          <w:lang w:val="es-ES"/>
        </w:rPr>
        <w:t>201</w:t>
      </w:r>
      <w:r w:rsidR="001773E6" w:rsidRPr="00FB0A0B">
        <w:rPr>
          <w:rFonts w:ascii="Arial" w:hAnsi="Arial" w:cs="Arial"/>
          <w:b/>
          <w:smallCaps/>
          <w:sz w:val="22"/>
          <w:szCs w:val="22"/>
          <w:lang w:val="es-ES"/>
        </w:rPr>
        <w:t>8</w:t>
      </w:r>
    </w:p>
    <w:p w14:paraId="6314D839" w14:textId="77777777" w:rsidR="00F15B67" w:rsidRPr="00FB0A0B" w:rsidRDefault="00F15B67" w:rsidP="001025F1">
      <w:pPr>
        <w:spacing w:after="100" w:afterAutospacing="1"/>
        <w:rPr>
          <w:rFonts w:ascii="Arial" w:hAnsi="Arial" w:cs="Arial"/>
          <w:sz w:val="22"/>
          <w:szCs w:val="22"/>
          <w:lang w:val="es-ES"/>
        </w:rPr>
      </w:pPr>
    </w:p>
    <w:p w14:paraId="31B7E012" w14:textId="77777777" w:rsidR="00F15B67" w:rsidRPr="00FB0A0B" w:rsidRDefault="00AD709D" w:rsidP="001025F1">
      <w:pPr>
        <w:spacing w:after="100" w:afterAutospacing="1"/>
        <w:rPr>
          <w:rFonts w:ascii="Arial" w:hAnsi="Arial" w:cs="Arial"/>
          <w:sz w:val="22"/>
          <w:szCs w:val="22"/>
          <w:lang w:val="es-ES"/>
        </w:rPr>
      </w:pPr>
      <w:r w:rsidRPr="00FB0A0B">
        <w:rPr>
          <w:rFonts w:ascii="Arial" w:hAnsi="Arial" w:cs="Arial"/>
          <w:sz w:val="22"/>
          <w:szCs w:val="22"/>
          <w:lang w:val="es-ES"/>
        </w:rPr>
        <w:t xml:space="preserve">Documento preparado por </w:t>
      </w:r>
      <w:r w:rsidR="001773E6" w:rsidRPr="00FB0A0B">
        <w:rPr>
          <w:rFonts w:ascii="Arial" w:hAnsi="Arial" w:cs="Arial"/>
          <w:sz w:val="22"/>
          <w:szCs w:val="22"/>
          <w:lang w:val="es-ES"/>
        </w:rPr>
        <w:t>María Laura Oliveri</w:t>
      </w:r>
    </w:p>
    <w:p w14:paraId="761BD273" w14:textId="77777777" w:rsidR="00AD709D" w:rsidRPr="00FB0A0B" w:rsidRDefault="00AD709D" w:rsidP="001025F1">
      <w:pPr>
        <w:spacing w:after="100" w:afterAutospacing="1"/>
        <w:rPr>
          <w:rFonts w:ascii="Arial" w:hAnsi="Arial" w:cs="Arial"/>
          <w:sz w:val="22"/>
          <w:szCs w:val="22"/>
          <w:lang w:val="es-ES"/>
        </w:rPr>
      </w:pPr>
      <w:r w:rsidRPr="00FB0A0B">
        <w:rPr>
          <w:rFonts w:ascii="Arial" w:hAnsi="Arial" w:cs="Arial"/>
          <w:sz w:val="22"/>
          <w:szCs w:val="22"/>
          <w:lang w:val="es-ES"/>
        </w:rPr>
        <w:t xml:space="preserve">y Pablo Ibarrarán </w:t>
      </w:r>
    </w:p>
    <w:p w14:paraId="246583A9" w14:textId="77777777" w:rsidR="00A719A7" w:rsidRPr="00FB0A0B" w:rsidRDefault="00A719A7" w:rsidP="001025F1">
      <w:pPr>
        <w:tabs>
          <w:tab w:val="left" w:pos="1440"/>
          <w:tab w:val="left" w:pos="3060"/>
        </w:tabs>
        <w:spacing w:after="100" w:afterAutospacing="1"/>
        <w:jc w:val="center"/>
        <w:rPr>
          <w:rFonts w:ascii="Arial" w:hAnsi="Arial" w:cs="Arial"/>
          <w:b/>
          <w:smallCaps/>
          <w:sz w:val="22"/>
          <w:szCs w:val="22"/>
          <w:lang w:val="es-ES"/>
        </w:rPr>
      </w:pPr>
    </w:p>
    <w:p w14:paraId="6578A3DD" w14:textId="77777777" w:rsidR="00242569" w:rsidRPr="00FB0A0B" w:rsidRDefault="00242569" w:rsidP="00242569">
      <w:pPr>
        <w:spacing w:after="100" w:afterAutospacing="1"/>
        <w:rPr>
          <w:rFonts w:ascii="Arial" w:hAnsi="Arial" w:cs="Arial"/>
          <w:b/>
          <w:smallCaps/>
          <w:sz w:val="22"/>
          <w:szCs w:val="22"/>
          <w:lang w:val="es-ES"/>
        </w:rPr>
      </w:pPr>
    </w:p>
    <w:p w14:paraId="2D3D9303" w14:textId="77777777" w:rsidR="00AE5F64" w:rsidRDefault="00361A79" w:rsidP="0077530D">
      <w:pPr>
        <w:pStyle w:val="TOC1"/>
        <w:tabs>
          <w:tab w:val="right" w:leader="dot" w:pos="9350"/>
        </w:tabs>
        <w:rPr>
          <w:rFonts w:eastAsia="Arial Unicode MS"/>
          <w:smallCaps/>
          <w:lang w:val="es-ES"/>
        </w:rPr>
      </w:pPr>
      <w:r w:rsidRPr="56B4504F">
        <w:rPr>
          <w:rFonts w:ascii="Arial" w:eastAsia="Arial" w:hAnsi="Arial" w:cs="Arial"/>
          <w:smallCaps/>
          <w:lang w:val="es-ES"/>
          <w:rPrChange w:id="1" w:author="Aguilar Blandon, Maria Alejandra" w:date="2018-08-09T15:06:00Z">
            <w:rPr>
              <w:rFonts w:ascii="Arial" w:hAnsi="Arial" w:cs="Arial"/>
              <w:smallCaps/>
              <w:lang w:val="es-ES"/>
            </w:rPr>
          </w:rPrChange>
        </w:rPr>
        <w:t>Tabla de Contenido</w:t>
      </w:r>
    </w:p>
    <w:sdt>
      <w:sdtPr>
        <w:rPr>
          <w:rFonts w:ascii="Times New Roman" w:eastAsia="Calibri" w:hAnsi="Times New Roman" w:cs="Times New Roman"/>
          <w:b w:val="0"/>
          <w:bCs w:val="0"/>
          <w:sz w:val="24"/>
          <w:szCs w:val="24"/>
          <w:lang w:val="en-US" w:eastAsia="en-US"/>
        </w:rPr>
        <w:id w:val="1818532772"/>
        <w:docPartObj>
          <w:docPartGallery w:val="Table of Contents"/>
          <w:docPartUnique/>
        </w:docPartObj>
      </w:sdtPr>
      <w:sdtEndPr>
        <w:rPr>
          <w:noProof/>
        </w:rPr>
      </w:sdtEndPr>
      <w:sdtContent>
        <w:p w14:paraId="75193860" w14:textId="77777777" w:rsidR="00AE5F64" w:rsidRDefault="00AE5F64" w:rsidP="00AE5F64">
          <w:pPr>
            <w:pStyle w:val="TOCHeading"/>
          </w:pPr>
        </w:p>
        <w:p w14:paraId="3B57DB8E" w14:textId="77777777" w:rsidR="00AE5F64" w:rsidRPr="0077530D" w:rsidRDefault="00AE5F64" w:rsidP="00AE5F64">
          <w:pPr>
            <w:pStyle w:val="TOC1"/>
            <w:tabs>
              <w:tab w:val="right" w:leader="dot" w:pos="9350"/>
            </w:tabs>
            <w:rPr>
              <w:rFonts w:ascii="Arial" w:eastAsiaTheme="minorEastAsia" w:hAnsi="Arial" w:cs="Arial"/>
              <w:b w:val="0"/>
              <w:noProof/>
            </w:rPr>
          </w:pPr>
          <w:r>
            <w:fldChar w:fldCharType="begin"/>
          </w:r>
          <w:r>
            <w:instrText xml:space="preserve"> TOC \o "1-3" \h \z \u </w:instrText>
          </w:r>
          <w:r>
            <w:fldChar w:fldCharType="separate"/>
          </w:r>
          <w:hyperlink w:anchor="_Toc517873038" w:history="1">
            <w:r w:rsidRPr="0077530D">
              <w:rPr>
                <w:rStyle w:val="Hyperlink"/>
                <w:rFonts w:ascii="Arial" w:hAnsi="Arial" w:cs="Arial"/>
                <w:noProof/>
              </w:rPr>
              <w:t>Resumen</w:t>
            </w:r>
            <w:r w:rsidRPr="0077530D">
              <w:rPr>
                <w:rFonts w:ascii="Arial" w:hAnsi="Arial" w:cs="Arial"/>
                <w:noProof/>
                <w:webHidden/>
              </w:rPr>
              <w:tab/>
            </w:r>
            <w:r w:rsidRPr="0077530D">
              <w:rPr>
                <w:rFonts w:ascii="Arial" w:hAnsi="Arial" w:cs="Arial"/>
                <w:noProof/>
                <w:webHidden/>
              </w:rPr>
              <w:fldChar w:fldCharType="begin"/>
            </w:r>
            <w:r w:rsidRPr="0077530D">
              <w:rPr>
                <w:rFonts w:ascii="Arial" w:hAnsi="Arial" w:cs="Arial"/>
                <w:noProof/>
                <w:webHidden/>
              </w:rPr>
              <w:instrText xml:space="preserve"> PAGEREF _Toc517873038 \h </w:instrText>
            </w:r>
            <w:r w:rsidRPr="0077530D">
              <w:rPr>
                <w:rFonts w:ascii="Arial" w:hAnsi="Arial" w:cs="Arial"/>
                <w:noProof/>
                <w:webHidden/>
              </w:rPr>
            </w:r>
            <w:r w:rsidRPr="0077530D">
              <w:rPr>
                <w:rFonts w:ascii="Arial" w:hAnsi="Arial" w:cs="Arial"/>
                <w:noProof/>
                <w:webHidden/>
              </w:rPr>
              <w:fldChar w:fldCharType="separate"/>
            </w:r>
            <w:r w:rsidRPr="0077530D">
              <w:rPr>
                <w:rFonts w:ascii="Arial" w:hAnsi="Arial" w:cs="Arial"/>
                <w:noProof/>
                <w:webHidden/>
              </w:rPr>
              <w:t>2</w:t>
            </w:r>
            <w:r w:rsidRPr="0077530D">
              <w:rPr>
                <w:rFonts w:ascii="Arial" w:hAnsi="Arial" w:cs="Arial"/>
                <w:noProof/>
                <w:webHidden/>
              </w:rPr>
              <w:fldChar w:fldCharType="end"/>
            </w:r>
          </w:hyperlink>
        </w:p>
        <w:p w14:paraId="348EA928" w14:textId="77777777" w:rsidR="00AE5F64" w:rsidRPr="0077530D" w:rsidRDefault="00AE5F64" w:rsidP="00AE5F64">
          <w:pPr>
            <w:pStyle w:val="TOC1"/>
            <w:tabs>
              <w:tab w:val="right" w:leader="dot" w:pos="9350"/>
            </w:tabs>
            <w:rPr>
              <w:rFonts w:ascii="Arial" w:eastAsiaTheme="minorEastAsia" w:hAnsi="Arial" w:cs="Arial"/>
              <w:b w:val="0"/>
              <w:noProof/>
            </w:rPr>
          </w:pPr>
          <w:hyperlink w:anchor="_Toc517873039" w:history="1">
            <w:r w:rsidRPr="0077530D">
              <w:rPr>
                <w:rStyle w:val="Hyperlink"/>
                <w:rFonts w:ascii="Arial" w:hAnsi="Arial" w:cs="Arial"/>
                <w:noProof/>
              </w:rPr>
              <w:t>I. Introducción</w:t>
            </w:r>
            <w:r w:rsidRPr="0077530D">
              <w:rPr>
                <w:rFonts w:ascii="Arial" w:hAnsi="Arial" w:cs="Arial"/>
                <w:noProof/>
                <w:webHidden/>
              </w:rPr>
              <w:tab/>
            </w:r>
            <w:r w:rsidRPr="0077530D">
              <w:rPr>
                <w:rFonts w:ascii="Arial" w:hAnsi="Arial" w:cs="Arial"/>
                <w:noProof/>
                <w:webHidden/>
              </w:rPr>
              <w:fldChar w:fldCharType="begin"/>
            </w:r>
            <w:r w:rsidRPr="0077530D">
              <w:rPr>
                <w:rFonts w:ascii="Arial" w:hAnsi="Arial" w:cs="Arial"/>
                <w:noProof/>
                <w:webHidden/>
              </w:rPr>
              <w:instrText xml:space="preserve"> PAGEREF _Toc517873039 \h </w:instrText>
            </w:r>
            <w:r w:rsidRPr="0077530D">
              <w:rPr>
                <w:rFonts w:ascii="Arial" w:hAnsi="Arial" w:cs="Arial"/>
                <w:noProof/>
                <w:webHidden/>
              </w:rPr>
            </w:r>
            <w:r w:rsidRPr="0077530D">
              <w:rPr>
                <w:rFonts w:ascii="Arial" w:hAnsi="Arial" w:cs="Arial"/>
                <w:noProof/>
                <w:webHidden/>
              </w:rPr>
              <w:fldChar w:fldCharType="separate"/>
            </w:r>
            <w:r w:rsidRPr="0077530D">
              <w:rPr>
                <w:rFonts w:ascii="Arial" w:hAnsi="Arial" w:cs="Arial"/>
                <w:noProof/>
                <w:webHidden/>
              </w:rPr>
              <w:t>3</w:t>
            </w:r>
            <w:r w:rsidRPr="0077530D">
              <w:rPr>
                <w:rFonts w:ascii="Arial" w:hAnsi="Arial" w:cs="Arial"/>
                <w:noProof/>
                <w:webHidden/>
              </w:rPr>
              <w:fldChar w:fldCharType="end"/>
            </w:r>
          </w:hyperlink>
        </w:p>
        <w:p w14:paraId="5FFC43D0" w14:textId="77777777" w:rsidR="00AE5F64" w:rsidRPr="0077530D" w:rsidRDefault="00AE5F64" w:rsidP="00AE5F64">
          <w:pPr>
            <w:pStyle w:val="TOC2"/>
            <w:tabs>
              <w:tab w:val="left" w:pos="720"/>
              <w:tab w:val="right" w:leader="dot" w:pos="9350"/>
            </w:tabs>
            <w:rPr>
              <w:rFonts w:ascii="Arial" w:eastAsiaTheme="minorEastAsia" w:hAnsi="Arial" w:cs="Arial"/>
              <w:i w:val="0"/>
              <w:noProof/>
            </w:rPr>
          </w:pPr>
          <w:hyperlink w:anchor="_Toc517873040" w:history="1">
            <w:r w:rsidRPr="0077530D">
              <w:rPr>
                <w:rStyle w:val="Hyperlink"/>
                <w:rFonts w:ascii="Arial" w:hAnsi="Arial" w:cs="Arial"/>
                <w:i w:val="0"/>
                <w:noProof/>
                <w:lang w:val="es-419"/>
              </w:rPr>
              <w:t>A.</w:t>
            </w:r>
            <w:r w:rsidRPr="0077530D">
              <w:rPr>
                <w:rFonts w:ascii="Arial" w:eastAsiaTheme="minorEastAsia" w:hAnsi="Arial" w:cs="Arial"/>
                <w:i w:val="0"/>
                <w:noProof/>
              </w:rPr>
              <w:tab/>
            </w:r>
            <w:r w:rsidRPr="0077530D">
              <w:rPr>
                <w:rStyle w:val="Hyperlink"/>
                <w:rFonts w:ascii="Arial" w:hAnsi="Arial" w:cs="Arial"/>
                <w:i w:val="0"/>
                <w:noProof/>
                <w:lang w:val="es-419"/>
              </w:rPr>
              <w:t>Antecedentes del Programa de Mejora en la Accesibilidad de los Servicios de Salud Materna en Bolivia</w:t>
            </w:r>
            <w:r w:rsidRPr="0077530D">
              <w:rPr>
                <w:rFonts w:ascii="Arial" w:hAnsi="Arial" w:cs="Arial"/>
                <w:i w:val="0"/>
                <w:noProof/>
                <w:webHidden/>
              </w:rPr>
              <w:tab/>
            </w:r>
            <w:r w:rsidRPr="0077530D">
              <w:rPr>
                <w:rFonts w:ascii="Arial" w:hAnsi="Arial" w:cs="Arial"/>
                <w:i w:val="0"/>
                <w:noProof/>
                <w:webHidden/>
              </w:rPr>
              <w:fldChar w:fldCharType="begin"/>
            </w:r>
            <w:r w:rsidRPr="0077530D">
              <w:rPr>
                <w:rFonts w:ascii="Arial" w:hAnsi="Arial" w:cs="Arial"/>
                <w:i w:val="0"/>
                <w:noProof/>
                <w:webHidden/>
              </w:rPr>
              <w:instrText xml:space="preserve"> PAGEREF _Toc517873040 \h </w:instrText>
            </w:r>
            <w:r w:rsidRPr="0077530D">
              <w:rPr>
                <w:rFonts w:ascii="Arial" w:hAnsi="Arial" w:cs="Arial"/>
                <w:i w:val="0"/>
                <w:noProof/>
                <w:webHidden/>
              </w:rPr>
            </w:r>
            <w:r w:rsidRPr="0077530D">
              <w:rPr>
                <w:rFonts w:ascii="Arial" w:hAnsi="Arial" w:cs="Arial"/>
                <w:i w:val="0"/>
                <w:noProof/>
                <w:webHidden/>
              </w:rPr>
              <w:fldChar w:fldCharType="separate"/>
            </w:r>
            <w:r w:rsidRPr="0077530D">
              <w:rPr>
                <w:rFonts w:ascii="Arial" w:hAnsi="Arial" w:cs="Arial"/>
                <w:i w:val="0"/>
                <w:noProof/>
                <w:webHidden/>
              </w:rPr>
              <w:t>3</w:t>
            </w:r>
            <w:r w:rsidRPr="0077530D">
              <w:rPr>
                <w:rFonts w:ascii="Arial" w:hAnsi="Arial" w:cs="Arial"/>
                <w:i w:val="0"/>
                <w:noProof/>
                <w:webHidden/>
              </w:rPr>
              <w:fldChar w:fldCharType="end"/>
            </w:r>
          </w:hyperlink>
        </w:p>
        <w:p w14:paraId="6BC26C0F" w14:textId="77777777" w:rsidR="00AE5F64" w:rsidRPr="0077530D" w:rsidRDefault="00AE5F64" w:rsidP="00AE5F64">
          <w:pPr>
            <w:pStyle w:val="TOC2"/>
            <w:tabs>
              <w:tab w:val="left" w:pos="720"/>
              <w:tab w:val="right" w:leader="dot" w:pos="9350"/>
            </w:tabs>
            <w:rPr>
              <w:rFonts w:ascii="Arial" w:eastAsiaTheme="minorEastAsia" w:hAnsi="Arial" w:cs="Arial"/>
              <w:i w:val="0"/>
              <w:noProof/>
            </w:rPr>
          </w:pPr>
          <w:hyperlink w:anchor="_Toc517873041" w:history="1">
            <w:r w:rsidRPr="0077530D">
              <w:rPr>
                <w:rStyle w:val="Hyperlink"/>
                <w:rFonts w:ascii="Arial" w:hAnsi="Arial" w:cs="Arial"/>
                <w:i w:val="0"/>
                <w:noProof/>
              </w:rPr>
              <w:t>B.</w:t>
            </w:r>
            <w:r w:rsidRPr="0077530D">
              <w:rPr>
                <w:rFonts w:ascii="Arial" w:eastAsiaTheme="minorEastAsia" w:hAnsi="Arial" w:cs="Arial"/>
                <w:i w:val="0"/>
                <w:noProof/>
              </w:rPr>
              <w:tab/>
            </w:r>
            <w:r w:rsidRPr="0077530D">
              <w:rPr>
                <w:rStyle w:val="Hyperlink"/>
                <w:rFonts w:ascii="Arial" w:hAnsi="Arial" w:cs="Arial"/>
                <w:i w:val="0"/>
                <w:noProof/>
              </w:rPr>
              <w:t>Objetivos, Componentes y Costo</w:t>
            </w:r>
            <w:r w:rsidRPr="0077530D">
              <w:rPr>
                <w:rFonts w:ascii="Arial" w:hAnsi="Arial" w:cs="Arial"/>
                <w:i w:val="0"/>
                <w:noProof/>
                <w:webHidden/>
              </w:rPr>
              <w:tab/>
            </w:r>
            <w:r w:rsidRPr="0077530D">
              <w:rPr>
                <w:rFonts w:ascii="Arial" w:hAnsi="Arial" w:cs="Arial"/>
                <w:i w:val="0"/>
                <w:noProof/>
                <w:webHidden/>
              </w:rPr>
              <w:fldChar w:fldCharType="begin"/>
            </w:r>
            <w:r w:rsidRPr="0077530D">
              <w:rPr>
                <w:rFonts w:ascii="Arial" w:hAnsi="Arial" w:cs="Arial"/>
                <w:i w:val="0"/>
                <w:noProof/>
                <w:webHidden/>
              </w:rPr>
              <w:instrText xml:space="preserve"> PAGEREF _Toc517873041 \h </w:instrText>
            </w:r>
            <w:r w:rsidRPr="0077530D">
              <w:rPr>
                <w:rFonts w:ascii="Arial" w:hAnsi="Arial" w:cs="Arial"/>
                <w:i w:val="0"/>
                <w:noProof/>
                <w:webHidden/>
              </w:rPr>
            </w:r>
            <w:r w:rsidRPr="0077530D">
              <w:rPr>
                <w:rFonts w:ascii="Arial" w:hAnsi="Arial" w:cs="Arial"/>
                <w:i w:val="0"/>
                <w:noProof/>
                <w:webHidden/>
              </w:rPr>
              <w:fldChar w:fldCharType="separate"/>
            </w:r>
            <w:r w:rsidRPr="0077530D">
              <w:rPr>
                <w:rFonts w:ascii="Arial" w:hAnsi="Arial" w:cs="Arial"/>
                <w:i w:val="0"/>
                <w:noProof/>
                <w:webHidden/>
              </w:rPr>
              <w:t>3</w:t>
            </w:r>
            <w:r w:rsidRPr="0077530D">
              <w:rPr>
                <w:rFonts w:ascii="Arial" w:hAnsi="Arial" w:cs="Arial"/>
                <w:i w:val="0"/>
                <w:noProof/>
                <w:webHidden/>
              </w:rPr>
              <w:fldChar w:fldCharType="end"/>
            </w:r>
          </w:hyperlink>
        </w:p>
        <w:p w14:paraId="1CB87210" w14:textId="77777777" w:rsidR="00AE5F64" w:rsidRPr="0077530D" w:rsidRDefault="00AE5F64" w:rsidP="00AE5F64">
          <w:pPr>
            <w:pStyle w:val="TOC1"/>
            <w:tabs>
              <w:tab w:val="left" w:pos="480"/>
              <w:tab w:val="right" w:leader="dot" w:pos="9350"/>
            </w:tabs>
            <w:rPr>
              <w:rFonts w:ascii="Arial" w:eastAsiaTheme="minorEastAsia" w:hAnsi="Arial" w:cs="Arial"/>
              <w:b w:val="0"/>
              <w:noProof/>
            </w:rPr>
          </w:pPr>
          <w:hyperlink w:anchor="_Toc517873042" w:history="1">
            <w:r w:rsidRPr="0077530D">
              <w:rPr>
                <w:rStyle w:val="Hyperlink"/>
                <w:rFonts w:ascii="Arial" w:hAnsi="Arial" w:cs="Arial"/>
                <w:noProof/>
              </w:rPr>
              <w:t xml:space="preserve">II. </w:t>
            </w:r>
            <w:r w:rsidRPr="0077530D">
              <w:rPr>
                <w:rFonts w:ascii="Arial" w:eastAsiaTheme="minorEastAsia" w:hAnsi="Arial" w:cs="Arial"/>
                <w:b w:val="0"/>
                <w:noProof/>
              </w:rPr>
              <w:tab/>
            </w:r>
            <w:r w:rsidRPr="0077530D">
              <w:rPr>
                <w:rStyle w:val="Hyperlink"/>
                <w:rFonts w:ascii="Arial" w:hAnsi="Arial" w:cs="Arial"/>
                <w:noProof/>
              </w:rPr>
              <w:t>Análisis económico</w:t>
            </w:r>
            <w:r w:rsidRPr="0077530D">
              <w:rPr>
                <w:rFonts w:ascii="Arial" w:hAnsi="Arial" w:cs="Arial"/>
                <w:noProof/>
                <w:webHidden/>
              </w:rPr>
              <w:tab/>
            </w:r>
            <w:r w:rsidRPr="0077530D">
              <w:rPr>
                <w:rFonts w:ascii="Arial" w:hAnsi="Arial" w:cs="Arial"/>
                <w:noProof/>
                <w:webHidden/>
              </w:rPr>
              <w:fldChar w:fldCharType="begin"/>
            </w:r>
            <w:r w:rsidRPr="0077530D">
              <w:rPr>
                <w:rFonts w:ascii="Arial" w:hAnsi="Arial" w:cs="Arial"/>
                <w:noProof/>
                <w:webHidden/>
              </w:rPr>
              <w:instrText xml:space="preserve"> PAGEREF _Toc517873042 \h </w:instrText>
            </w:r>
            <w:r w:rsidRPr="0077530D">
              <w:rPr>
                <w:rFonts w:ascii="Arial" w:hAnsi="Arial" w:cs="Arial"/>
                <w:noProof/>
                <w:webHidden/>
              </w:rPr>
            </w:r>
            <w:r w:rsidRPr="0077530D">
              <w:rPr>
                <w:rFonts w:ascii="Arial" w:hAnsi="Arial" w:cs="Arial"/>
                <w:noProof/>
                <w:webHidden/>
              </w:rPr>
              <w:fldChar w:fldCharType="separate"/>
            </w:r>
            <w:r w:rsidRPr="0077530D">
              <w:rPr>
                <w:rFonts w:ascii="Arial" w:hAnsi="Arial" w:cs="Arial"/>
                <w:noProof/>
                <w:webHidden/>
              </w:rPr>
              <w:t>6</w:t>
            </w:r>
            <w:r w:rsidRPr="0077530D">
              <w:rPr>
                <w:rFonts w:ascii="Arial" w:hAnsi="Arial" w:cs="Arial"/>
                <w:noProof/>
                <w:webHidden/>
              </w:rPr>
              <w:fldChar w:fldCharType="end"/>
            </w:r>
          </w:hyperlink>
        </w:p>
        <w:p w14:paraId="6AFC97F7" w14:textId="77777777" w:rsidR="00AE5F64" w:rsidRPr="0077530D" w:rsidRDefault="00AE5F64" w:rsidP="00AE5F64">
          <w:pPr>
            <w:pStyle w:val="TOC2"/>
            <w:tabs>
              <w:tab w:val="left" w:pos="720"/>
              <w:tab w:val="right" w:leader="dot" w:pos="9350"/>
            </w:tabs>
            <w:rPr>
              <w:rFonts w:ascii="Arial" w:eastAsiaTheme="minorEastAsia" w:hAnsi="Arial" w:cs="Arial"/>
              <w:i w:val="0"/>
              <w:noProof/>
            </w:rPr>
          </w:pPr>
          <w:hyperlink w:anchor="_Toc517873043" w:history="1">
            <w:r w:rsidRPr="0077530D">
              <w:rPr>
                <w:rStyle w:val="Hyperlink"/>
                <w:rFonts w:ascii="Arial" w:hAnsi="Arial" w:cs="Arial"/>
                <w:i w:val="0"/>
                <w:noProof/>
              </w:rPr>
              <w:t>A.</w:t>
            </w:r>
            <w:r w:rsidRPr="0077530D">
              <w:rPr>
                <w:rFonts w:ascii="Arial" w:eastAsiaTheme="minorEastAsia" w:hAnsi="Arial" w:cs="Arial"/>
                <w:i w:val="0"/>
                <w:noProof/>
              </w:rPr>
              <w:tab/>
            </w:r>
            <w:r w:rsidRPr="0077530D">
              <w:rPr>
                <w:rStyle w:val="Hyperlink"/>
                <w:rFonts w:ascii="Arial" w:hAnsi="Arial" w:cs="Arial"/>
                <w:i w:val="0"/>
                <w:noProof/>
              </w:rPr>
              <w:t>Medida de efectividad de líneas de atención en Años de Vida Ajustados por Discapacidad -AVADs</w:t>
            </w:r>
            <w:r w:rsidRPr="0077530D">
              <w:rPr>
                <w:rFonts w:ascii="Arial" w:hAnsi="Arial" w:cs="Arial"/>
                <w:i w:val="0"/>
                <w:noProof/>
                <w:webHidden/>
              </w:rPr>
              <w:tab/>
            </w:r>
            <w:r w:rsidRPr="0077530D">
              <w:rPr>
                <w:rFonts w:ascii="Arial" w:hAnsi="Arial" w:cs="Arial"/>
                <w:i w:val="0"/>
                <w:noProof/>
                <w:webHidden/>
              </w:rPr>
              <w:fldChar w:fldCharType="begin"/>
            </w:r>
            <w:r w:rsidRPr="0077530D">
              <w:rPr>
                <w:rFonts w:ascii="Arial" w:hAnsi="Arial" w:cs="Arial"/>
                <w:i w:val="0"/>
                <w:noProof/>
                <w:webHidden/>
              </w:rPr>
              <w:instrText xml:space="preserve"> PAGEREF _Toc517873043 \h </w:instrText>
            </w:r>
            <w:r w:rsidRPr="0077530D">
              <w:rPr>
                <w:rFonts w:ascii="Arial" w:hAnsi="Arial" w:cs="Arial"/>
                <w:i w:val="0"/>
                <w:noProof/>
                <w:webHidden/>
              </w:rPr>
            </w:r>
            <w:r w:rsidRPr="0077530D">
              <w:rPr>
                <w:rFonts w:ascii="Arial" w:hAnsi="Arial" w:cs="Arial"/>
                <w:i w:val="0"/>
                <w:noProof/>
                <w:webHidden/>
              </w:rPr>
              <w:fldChar w:fldCharType="separate"/>
            </w:r>
            <w:r w:rsidRPr="0077530D">
              <w:rPr>
                <w:rFonts w:ascii="Arial" w:hAnsi="Arial" w:cs="Arial"/>
                <w:i w:val="0"/>
                <w:noProof/>
                <w:webHidden/>
              </w:rPr>
              <w:t>6</w:t>
            </w:r>
            <w:r w:rsidRPr="0077530D">
              <w:rPr>
                <w:rFonts w:ascii="Arial" w:hAnsi="Arial" w:cs="Arial"/>
                <w:i w:val="0"/>
                <w:noProof/>
                <w:webHidden/>
              </w:rPr>
              <w:fldChar w:fldCharType="end"/>
            </w:r>
          </w:hyperlink>
        </w:p>
        <w:p w14:paraId="775EDBDC" w14:textId="77777777" w:rsidR="00AE5F64" w:rsidRPr="0077530D" w:rsidRDefault="00AE5F64" w:rsidP="00AE5F64">
          <w:pPr>
            <w:pStyle w:val="TOC2"/>
            <w:tabs>
              <w:tab w:val="left" w:pos="720"/>
              <w:tab w:val="right" w:leader="dot" w:pos="9350"/>
            </w:tabs>
            <w:rPr>
              <w:rFonts w:ascii="Arial" w:eastAsiaTheme="minorEastAsia" w:hAnsi="Arial" w:cs="Arial"/>
              <w:i w:val="0"/>
              <w:noProof/>
            </w:rPr>
          </w:pPr>
          <w:hyperlink w:anchor="_Toc517873044" w:history="1">
            <w:r w:rsidRPr="0077530D">
              <w:rPr>
                <w:rStyle w:val="Hyperlink"/>
                <w:rFonts w:ascii="Arial" w:hAnsi="Arial" w:cs="Arial"/>
                <w:i w:val="0"/>
                <w:noProof/>
                <w:lang w:eastAsia="ko-KR"/>
              </w:rPr>
              <w:t>B.</w:t>
            </w:r>
            <w:r w:rsidRPr="0077530D">
              <w:rPr>
                <w:rFonts w:ascii="Arial" w:eastAsiaTheme="minorEastAsia" w:hAnsi="Arial" w:cs="Arial"/>
                <w:i w:val="0"/>
                <w:noProof/>
              </w:rPr>
              <w:tab/>
            </w:r>
            <w:r w:rsidRPr="0077530D">
              <w:rPr>
                <w:rStyle w:val="Hyperlink"/>
                <w:rFonts w:ascii="Arial" w:hAnsi="Arial" w:cs="Arial"/>
                <w:i w:val="0"/>
                <w:noProof/>
                <w:lang w:eastAsia="ko-KR"/>
              </w:rPr>
              <w:t>Procedimiento para la evaluación económica del Programa de Mejora en la Accesibilidad de los Servicios de Salud Materna en Bolivia</w:t>
            </w:r>
            <w:r w:rsidRPr="0077530D">
              <w:rPr>
                <w:rFonts w:ascii="Arial" w:hAnsi="Arial" w:cs="Arial"/>
                <w:i w:val="0"/>
                <w:noProof/>
                <w:webHidden/>
              </w:rPr>
              <w:tab/>
            </w:r>
            <w:r w:rsidRPr="0077530D">
              <w:rPr>
                <w:rFonts w:ascii="Arial" w:hAnsi="Arial" w:cs="Arial"/>
                <w:i w:val="0"/>
                <w:noProof/>
                <w:webHidden/>
              </w:rPr>
              <w:fldChar w:fldCharType="begin"/>
            </w:r>
            <w:r w:rsidRPr="0077530D">
              <w:rPr>
                <w:rFonts w:ascii="Arial" w:hAnsi="Arial" w:cs="Arial"/>
                <w:i w:val="0"/>
                <w:noProof/>
                <w:webHidden/>
              </w:rPr>
              <w:instrText xml:space="preserve"> PAGEREF _Toc517873044 \h </w:instrText>
            </w:r>
            <w:r w:rsidRPr="0077530D">
              <w:rPr>
                <w:rFonts w:ascii="Arial" w:hAnsi="Arial" w:cs="Arial"/>
                <w:i w:val="0"/>
                <w:noProof/>
                <w:webHidden/>
              </w:rPr>
            </w:r>
            <w:r w:rsidRPr="0077530D">
              <w:rPr>
                <w:rFonts w:ascii="Arial" w:hAnsi="Arial" w:cs="Arial"/>
                <w:i w:val="0"/>
                <w:noProof/>
                <w:webHidden/>
              </w:rPr>
              <w:fldChar w:fldCharType="separate"/>
            </w:r>
            <w:r w:rsidRPr="0077530D">
              <w:rPr>
                <w:rFonts w:ascii="Arial" w:hAnsi="Arial" w:cs="Arial"/>
                <w:i w:val="0"/>
                <w:noProof/>
                <w:webHidden/>
              </w:rPr>
              <w:t>10</w:t>
            </w:r>
            <w:r w:rsidRPr="0077530D">
              <w:rPr>
                <w:rFonts w:ascii="Arial" w:hAnsi="Arial" w:cs="Arial"/>
                <w:i w:val="0"/>
                <w:noProof/>
                <w:webHidden/>
              </w:rPr>
              <w:fldChar w:fldCharType="end"/>
            </w:r>
          </w:hyperlink>
        </w:p>
        <w:p w14:paraId="0D256DF4" w14:textId="77777777" w:rsidR="00AE5F64" w:rsidRPr="0077530D" w:rsidRDefault="00AE5F64" w:rsidP="00AE5F64">
          <w:pPr>
            <w:pStyle w:val="TOC2"/>
            <w:tabs>
              <w:tab w:val="left" w:pos="720"/>
              <w:tab w:val="right" w:leader="dot" w:pos="9350"/>
            </w:tabs>
            <w:rPr>
              <w:rFonts w:ascii="Arial" w:eastAsiaTheme="minorEastAsia" w:hAnsi="Arial" w:cs="Arial"/>
              <w:i w:val="0"/>
              <w:noProof/>
            </w:rPr>
          </w:pPr>
          <w:hyperlink w:anchor="_Toc517873045" w:history="1">
            <w:r w:rsidRPr="0077530D">
              <w:rPr>
                <w:rStyle w:val="Hyperlink"/>
                <w:rFonts w:ascii="Arial" w:hAnsi="Arial" w:cs="Arial"/>
                <w:i w:val="0"/>
                <w:noProof/>
              </w:rPr>
              <w:t>C.</w:t>
            </w:r>
            <w:r w:rsidRPr="0077530D">
              <w:rPr>
                <w:rFonts w:ascii="Arial" w:eastAsiaTheme="minorEastAsia" w:hAnsi="Arial" w:cs="Arial"/>
                <w:i w:val="0"/>
                <w:noProof/>
              </w:rPr>
              <w:tab/>
            </w:r>
            <w:r w:rsidRPr="0077530D">
              <w:rPr>
                <w:rStyle w:val="Hyperlink"/>
                <w:rFonts w:ascii="Arial" w:hAnsi="Arial" w:cs="Arial"/>
                <w:i w:val="0"/>
                <w:noProof/>
              </w:rPr>
              <w:t>Resultados del análisis costo – beneficio</w:t>
            </w:r>
            <w:r w:rsidRPr="0077530D">
              <w:rPr>
                <w:rFonts w:ascii="Arial" w:hAnsi="Arial" w:cs="Arial"/>
                <w:i w:val="0"/>
                <w:noProof/>
                <w:webHidden/>
              </w:rPr>
              <w:tab/>
            </w:r>
            <w:r w:rsidRPr="0077530D">
              <w:rPr>
                <w:rFonts w:ascii="Arial" w:hAnsi="Arial" w:cs="Arial"/>
                <w:i w:val="0"/>
                <w:noProof/>
                <w:webHidden/>
              </w:rPr>
              <w:fldChar w:fldCharType="begin"/>
            </w:r>
            <w:r w:rsidRPr="0077530D">
              <w:rPr>
                <w:rFonts w:ascii="Arial" w:hAnsi="Arial" w:cs="Arial"/>
                <w:i w:val="0"/>
                <w:noProof/>
                <w:webHidden/>
              </w:rPr>
              <w:instrText xml:space="preserve"> PAGEREF _Toc517873045 \h </w:instrText>
            </w:r>
            <w:r w:rsidRPr="0077530D">
              <w:rPr>
                <w:rFonts w:ascii="Arial" w:hAnsi="Arial" w:cs="Arial"/>
                <w:i w:val="0"/>
                <w:noProof/>
                <w:webHidden/>
              </w:rPr>
            </w:r>
            <w:r w:rsidRPr="0077530D">
              <w:rPr>
                <w:rFonts w:ascii="Arial" w:hAnsi="Arial" w:cs="Arial"/>
                <w:i w:val="0"/>
                <w:noProof/>
                <w:webHidden/>
              </w:rPr>
              <w:fldChar w:fldCharType="separate"/>
            </w:r>
            <w:r w:rsidRPr="0077530D">
              <w:rPr>
                <w:rFonts w:ascii="Arial" w:hAnsi="Arial" w:cs="Arial"/>
                <w:i w:val="0"/>
                <w:noProof/>
                <w:webHidden/>
              </w:rPr>
              <w:t>14</w:t>
            </w:r>
            <w:r w:rsidRPr="0077530D">
              <w:rPr>
                <w:rFonts w:ascii="Arial" w:hAnsi="Arial" w:cs="Arial"/>
                <w:i w:val="0"/>
                <w:noProof/>
                <w:webHidden/>
              </w:rPr>
              <w:fldChar w:fldCharType="end"/>
            </w:r>
          </w:hyperlink>
        </w:p>
        <w:p w14:paraId="6FF7D3D3" w14:textId="77777777" w:rsidR="00AE5F64" w:rsidRPr="0077530D" w:rsidRDefault="00AE5F64" w:rsidP="00AE5F64">
          <w:pPr>
            <w:pStyle w:val="TOC1"/>
            <w:tabs>
              <w:tab w:val="right" w:leader="dot" w:pos="9350"/>
            </w:tabs>
            <w:rPr>
              <w:rFonts w:ascii="Arial" w:eastAsiaTheme="minorEastAsia" w:hAnsi="Arial" w:cs="Arial"/>
              <w:b w:val="0"/>
              <w:noProof/>
            </w:rPr>
          </w:pPr>
          <w:hyperlink w:anchor="_Toc517873046" w:history="1">
            <w:r w:rsidRPr="0077530D">
              <w:rPr>
                <w:rStyle w:val="Hyperlink"/>
                <w:rFonts w:ascii="Arial" w:hAnsi="Arial" w:cs="Arial"/>
                <w:noProof/>
              </w:rPr>
              <w:t>Referencias</w:t>
            </w:r>
            <w:r w:rsidRPr="0077530D">
              <w:rPr>
                <w:rFonts w:ascii="Arial" w:hAnsi="Arial" w:cs="Arial"/>
                <w:noProof/>
                <w:webHidden/>
              </w:rPr>
              <w:tab/>
            </w:r>
            <w:r w:rsidRPr="0077530D">
              <w:rPr>
                <w:rFonts w:ascii="Arial" w:hAnsi="Arial" w:cs="Arial"/>
                <w:noProof/>
                <w:webHidden/>
              </w:rPr>
              <w:fldChar w:fldCharType="begin"/>
            </w:r>
            <w:r w:rsidRPr="0077530D">
              <w:rPr>
                <w:rFonts w:ascii="Arial" w:hAnsi="Arial" w:cs="Arial"/>
                <w:noProof/>
                <w:webHidden/>
              </w:rPr>
              <w:instrText xml:space="preserve"> PAGEREF _Toc517873046 \h </w:instrText>
            </w:r>
            <w:r w:rsidRPr="0077530D">
              <w:rPr>
                <w:rFonts w:ascii="Arial" w:hAnsi="Arial" w:cs="Arial"/>
                <w:noProof/>
                <w:webHidden/>
              </w:rPr>
            </w:r>
            <w:r w:rsidRPr="0077530D">
              <w:rPr>
                <w:rFonts w:ascii="Arial" w:hAnsi="Arial" w:cs="Arial"/>
                <w:noProof/>
                <w:webHidden/>
              </w:rPr>
              <w:fldChar w:fldCharType="separate"/>
            </w:r>
            <w:r w:rsidRPr="0077530D">
              <w:rPr>
                <w:rFonts w:ascii="Arial" w:hAnsi="Arial" w:cs="Arial"/>
                <w:noProof/>
                <w:webHidden/>
              </w:rPr>
              <w:t>19</w:t>
            </w:r>
            <w:r w:rsidRPr="0077530D">
              <w:rPr>
                <w:rFonts w:ascii="Arial" w:hAnsi="Arial" w:cs="Arial"/>
                <w:noProof/>
                <w:webHidden/>
              </w:rPr>
              <w:fldChar w:fldCharType="end"/>
            </w:r>
          </w:hyperlink>
        </w:p>
        <w:p w14:paraId="1186299C" w14:textId="77777777" w:rsidR="00AE5F64" w:rsidRDefault="00AE5F64" w:rsidP="00AE5F64">
          <w:pPr>
            <w:rPr>
              <w:noProof/>
            </w:rPr>
          </w:pPr>
          <w:r>
            <w:rPr>
              <w:b/>
              <w:bCs/>
              <w:noProof/>
            </w:rPr>
            <w:fldChar w:fldCharType="end"/>
          </w:r>
        </w:p>
      </w:sdtContent>
    </w:sdt>
    <w:p w14:paraId="067CCA29" w14:textId="77777777" w:rsidR="00AE5F64" w:rsidRDefault="00AE5F64">
      <w:pPr>
        <w:rPr>
          <w:rFonts w:ascii="Arial" w:eastAsia="Arial Unicode MS" w:hAnsi="Arial" w:cs="Arial"/>
          <w:bCs/>
          <w:smallCaps/>
          <w:sz w:val="22"/>
          <w:szCs w:val="22"/>
          <w:lang w:val="es-ES"/>
        </w:rPr>
      </w:pPr>
      <w:r>
        <w:rPr>
          <w:rFonts w:ascii="Arial" w:eastAsia="Arial Unicode MS" w:hAnsi="Arial" w:cs="Arial"/>
          <w:bCs/>
          <w:smallCaps/>
          <w:sz w:val="22"/>
          <w:szCs w:val="22"/>
          <w:lang w:val="es-ES"/>
        </w:rPr>
        <w:br w:type="page"/>
      </w:r>
    </w:p>
    <w:p w14:paraId="292E797C" w14:textId="77777777" w:rsidR="00F15B67" w:rsidRPr="0077530D" w:rsidRDefault="00F15B67" w:rsidP="0077530D">
      <w:pPr>
        <w:spacing w:after="100" w:afterAutospacing="1"/>
        <w:rPr>
          <w:rFonts w:ascii="Arial" w:eastAsia="Arial Unicode MS" w:hAnsi="Arial" w:cs="Arial"/>
          <w:bCs/>
          <w:smallCaps/>
          <w:sz w:val="22"/>
          <w:szCs w:val="22"/>
          <w:lang w:val="es-ES"/>
        </w:rPr>
      </w:pPr>
    </w:p>
    <w:p w14:paraId="7C642ED4" w14:textId="77777777" w:rsidR="008242ED" w:rsidRPr="0077530D" w:rsidRDefault="008242ED" w:rsidP="00216A0C">
      <w:pPr>
        <w:pStyle w:val="Heading1"/>
      </w:pPr>
      <w:bookmarkStart w:id="2" w:name="_Toc296257181"/>
      <w:bookmarkStart w:id="3" w:name="_Toc517873020"/>
      <w:bookmarkStart w:id="4" w:name="_Toc521590377"/>
      <w:r w:rsidRPr="0077530D">
        <w:lastRenderedPageBreak/>
        <w:t>Resumen</w:t>
      </w:r>
      <w:bookmarkEnd w:id="2"/>
      <w:bookmarkEnd w:id="3"/>
      <w:bookmarkEnd w:id="4"/>
    </w:p>
    <w:p w14:paraId="2A65741A" w14:textId="41C05A78" w:rsidR="002230DE" w:rsidRPr="0077530D" w:rsidRDefault="002230DE" w:rsidP="0077530D">
      <w:pPr>
        <w:spacing w:before="120" w:after="100" w:afterAutospacing="1"/>
        <w:jc w:val="both"/>
        <w:rPr>
          <w:rFonts w:ascii="Arial" w:hAnsi="Arial" w:cs="Arial"/>
          <w:sz w:val="22"/>
          <w:szCs w:val="22"/>
          <w:highlight w:val="yellow"/>
          <w:lang w:val="es-ES"/>
        </w:rPr>
      </w:pPr>
      <w:r w:rsidRPr="0077530D">
        <w:rPr>
          <w:rFonts w:ascii="Arial" w:hAnsi="Arial" w:cs="Arial"/>
          <w:sz w:val="22"/>
          <w:szCs w:val="22"/>
          <w:lang w:val="es-ES"/>
        </w:rPr>
        <w:t xml:space="preserve">Este documento desarrolla el enfoque y los resultados del análisis económico del </w:t>
      </w:r>
      <w:r w:rsidR="006639DD" w:rsidRPr="0077530D">
        <w:rPr>
          <w:rFonts w:ascii="Arial" w:hAnsi="Arial" w:cs="Arial"/>
          <w:sz w:val="22"/>
          <w:szCs w:val="22"/>
          <w:lang w:val="es-ES"/>
        </w:rPr>
        <w:t>Programa de Mejora en la Accesibilidad de los Servicios de Salud Materna en Bolivia</w:t>
      </w:r>
      <w:r w:rsidR="003F4F84" w:rsidRPr="0077530D">
        <w:rPr>
          <w:rFonts w:ascii="Arial" w:hAnsi="Arial" w:cs="Arial"/>
          <w:sz w:val="22"/>
          <w:szCs w:val="22"/>
          <w:lang w:val="es-ES"/>
        </w:rPr>
        <w:t xml:space="preserve"> (el “programa”)</w:t>
      </w:r>
      <w:r w:rsidRPr="0077530D">
        <w:rPr>
          <w:rFonts w:ascii="Arial" w:hAnsi="Arial" w:cs="Arial"/>
          <w:sz w:val="22"/>
          <w:szCs w:val="22"/>
          <w:lang w:val="es-ES"/>
        </w:rPr>
        <w:t xml:space="preserve">. </w:t>
      </w:r>
      <w:r w:rsidR="00D14B91" w:rsidRPr="0077530D">
        <w:rPr>
          <w:rFonts w:ascii="Arial" w:hAnsi="Arial" w:cs="Arial"/>
          <w:sz w:val="22"/>
          <w:szCs w:val="22"/>
          <w:lang w:val="es-ES"/>
        </w:rPr>
        <w:t>El objetivo general del programa es la reducción de la morbi-mortalidad materna y neonatal, incrementando la accesibilidad y capacidad resolutiva, con calidad, de las redes de salud priorizadas (aquellas con indicadores de mortalidad materno-infantil y accesibilidad más desfavorables). Los objetivos específicos son: (i</w:t>
      </w:r>
      <w:r w:rsidR="00FB0A0B" w:rsidRPr="0077530D">
        <w:rPr>
          <w:rFonts w:ascii="Arial" w:eastAsia="Arial" w:hAnsi="Arial" w:cs="Arial"/>
          <w:sz w:val="22"/>
          <w:szCs w:val="22"/>
          <w:lang w:val="es-ES"/>
        </w:rPr>
        <w:t>) </w:t>
      </w:r>
      <w:r w:rsidR="00D14B91" w:rsidRPr="0077530D">
        <w:rPr>
          <w:rFonts w:ascii="Arial" w:hAnsi="Arial" w:cs="Arial"/>
          <w:sz w:val="22"/>
          <w:szCs w:val="22"/>
          <w:lang w:val="es-ES"/>
        </w:rPr>
        <w:t>implementación de la estrategia CONE y mejoras en el desempeño de la red a través de: (a</w:t>
      </w:r>
      <w:r w:rsidR="00FB0A0B" w:rsidRPr="00FB0A0B">
        <w:rPr>
          <w:rFonts w:ascii="Arial" w:hAnsi="Arial" w:cs="Arial"/>
          <w:sz w:val="22"/>
          <w:szCs w:val="22"/>
          <w:lang w:val="es-ES"/>
        </w:rPr>
        <w:t>)</w:t>
      </w:r>
      <w:r w:rsidR="00FB0A0B" w:rsidRPr="0077530D">
        <w:rPr>
          <w:rFonts w:ascii="Arial" w:eastAsia="Arial" w:hAnsi="Arial" w:cs="Arial"/>
          <w:sz w:val="22"/>
          <w:szCs w:val="22"/>
          <w:lang w:val="es-ES"/>
        </w:rPr>
        <w:t> </w:t>
      </w:r>
      <w:r w:rsidR="00D14B91" w:rsidRPr="0077530D">
        <w:rPr>
          <w:rFonts w:ascii="Arial" w:hAnsi="Arial" w:cs="Arial"/>
          <w:sz w:val="22"/>
          <w:szCs w:val="22"/>
          <w:lang w:val="es-ES"/>
        </w:rPr>
        <w:t>implementación de procesos de mejora continua de la calidad de atención, con énfasis en un modelo de atención CONE; (b</w:t>
      </w:r>
      <w:r w:rsidR="00FB0A0B" w:rsidRPr="00FB0A0B">
        <w:rPr>
          <w:rFonts w:ascii="Arial" w:hAnsi="Arial" w:cs="Arial"/>
          <w:sz w:val="22"/>
          <w:szCs w:val="22"/>
          <w:lang w:val="es-ES"/>
        </w:rPr>
        <w:t>)</w:t>
      </w:r>
      <w:r w:rsidR="00FB0A0B" w:rsidRPr="0077530D">
        <w:rPr>
          <w:rFonts w:ascii="Arial" w:eastAsia="Arial" w:hAnsi="Arial" w:cs="Arial"/>
          <w:sz w:val="22"/>
          <w:szCs w:val="22"/>
          <w:lang w:val="es-ES"/>
        </w:rPr>
        <w:t> </w:t>
      </w:r>
      <w:r w:rsidR="00D14B91" w:rsidRPr="0077530D">
        <w:rPr>
          <w:rFonts w:ascii="Arial" w:hAnsi="Arial" w:cs="Arial"/>
          <w:sz w:val="22"/>
          <w:szCs w:val="22"/>
          <w:lang w:val="es-ES"/>
        </w:rPr>
        <w:t>mejora de los sistemas de información para la gestión de la atención en salud en red y el monitoreo de la morbi-mortalidad materna y neonatal; y (c</w:t>
      </w:r>
      <w:r w:rsidR="00FB0A0B" w:rsidRPr="00FB0A0B">
        <w:rPr>
          <w:rFonts w:ascii="Arial" w:hAnsi="Arial" w:cs="Arial"/>
          <w:sz w:val="22"/>
          <w:szCs w:val="22"/>
          <w:lang w:val="es-ES"/>
        </w:rPr>
        <w:t>)</w:t>
      </w:r>
      <w:r w:rsidR="00FB0A0B" w:rsidRPr="0077530D">
        <w:rPr>
          <w:rFonts w:ascii="Arial" w:eastAsia="Arial" w:hAnsi="Arial" w:cs="Arial"/>
          <w:sz w:val="22"/>
          <w:szCs w:val="22"/>
          <w:lang w:val="es-ES"/>
        </w:rPr>
        <w:t> </w:t>
      </w:r>
      <w:r w:rsidR="00D14B91" w:rsidRPr="0077530D">
        <w:rPr>
          <w:rFonts w:ascii="Arial" w:hAnsi="Arial" w:cs="Arial"/>
          <w:sz w:val="22"/>
          <w:szCs w:val="22"/>
          <w:lang w:val="es-ES"/>
        </w:rPr>
        <w:t>incremento de las capacidades gerenciales de la red y de los establecimientos de salud; y (ii</w:t>
      </w:r>
      <w:r w:rsidR="00FB0A0B" w:rsidRPr="00FB0A0B">
        <w:rPr>
          <w:rFonts w:ascii="Arial" w:hAnsi="Arial" w:cs="Arial"/>
          <w:sz w:val="22"/>
          <w:szCs w:val="22"/>
          <w:lang w:val="es-ES"/>
        </w:rPr>
        <w:t>)</w:t>
      </w:r>
      <w:r w:rsidR="00FB0A0B" w:rsidRPr="0077530D">
        <w:rPr>
          <w:rFonts w:ascii="Arial" w:eastAsia="Arial" w:hAnsi="Arial" w:cs="Arial"/>
          <w:sz w:val="22"/>
          <w:szCs w:val="22"/>
          <w:lang w:val="es-ES"/>
        </w:rPr>
        <w:t> </w:t>
      </w:r>
      <w:r w:rsidR="00D14B91" w:rsidRPr="0077530D">
        <w:rPr>
          <w:rFonts w:ascii="Arial" w:hAnsi="Arial" w:cs="Arial"/>
          <w:sz w:val="22"/>
          <w:szCs w:val="22"/>
          <w:lang w:val="es-ES"/>
        </w:rPr>
        <w:t>fortalecimiento de la infraestructura de la red de servicios de salud, realizando inversiones en obras y equipamiento que incrementen la capacidad resolutiva de la misma, con una visión integral y articulada de la red.</w:t>
      </w:r>
    </w:p>
    <w:p w14:paraId="1123D14E" w14:textId="0B5B730E" w:rsidR="00E240CC" w:rsidRPr="0077530D" w:rsidRDefault="00206E88" w:rsidP="008E506C">
      <w:pPr>
        <w:spacing w:before="120"/>
        <w:jc w:val="both"/>
        <w:rPr>
          <w:rFonts w:ascii="Arial" w:eastAsia="Arial" w:hAnsi="Arial" w:cs="Arial"/>
          <w:sz w:val="22"/>
          <w:szCs w:val="22"/>
          <w:lang w:val="es-ES"/>
        </w:rPr>
      </w:pPr>
      <w:r w:rsidRPr="0077530D">
        <w:rPr>
          <w:rFonts w:ascii="Arial" w:eastAsia="Arial" w:hAnsi="Arial" w:cs="Arial"/>
          <w:sz w:val="22"/>
          <w:szCs w:val="22"/>
          <w:lang w:val="es-ES"/>
        </w:rPr>
        <w:t xml:space="preserve">Se trata de una operación </w:t>
      </w:r>
      <w:r w:rsidR="0028258E" w:rsidRPr="0077530D">
        <w:rPr>
          <w:rFonts w:ascii="Arial" w:eastAsia="Arial" w:hAnsi="Arial" w:cs="Arial"/>
          <w:sz w:val="22"/>
          <w:szCs w:val="22"/>
          <w:lang w:val="es-ES"/>
        </w:rPr>
        <w:t xml:space="preserve">integral </w:t>
      </w:r>
      <w:r w:rsidR="001E141D" w:rsidRPr="0077530D">
        <w:rPr>
          <w:rFonts w:ascii="Arial" w:eastAsia="Arial" w:hAnsi="Arial" w:cs="Arial"/>
          <w:sz w:val="22"/>
          <w:szCs w:val="22"/>
          <w:lang w:val="es-ES"/>
        </w:rPr>
        <w:t xml:space="preserve">porque está </w:t>
      </w:r>
      <w:r w:rsidR="00E240CC" w:rsidRPr="0077530D">
        <w:rPr>
          <w:rFonts w:ascii="Arial" w:eastAsia="Arial" w:hAnsi="Arial" w:cs="Arial"/>
          <w:sz w:val="22"/>
          <w:szCs w:val="22"/>
          <w:lang w:val="es-ES"/>
        </w:rPr>
        <w:t>dirigida a fortalecer la red de provisión de servicios de salud</w:t>
      </w:r>
      <w:r w:rsidR="001E141D" w:rsidRPr="0077530D">
        <w:rPr>
          <w:rFonts w:ascii="Arial" w:eastAsia="Arial" w:hAnsi="Arial" w:cs="Arial"/>
          <w:sz w:val="22"/>
          <w:szCs w:val="22"/>
          <w:lang w:val="es-ES"/>
        </w:rPr>
        <w:t xml:space="preserve"> a través de varias intervenciones en diferentes niveles de atención con</w:t>
      </w:r>
      <w:r w:rsidR="00392CEF" w:rsidRPr="0077530D">
        <w:rPr>
          <w:rFonts w:ascii="Arial" w:eastAsia="Arial" w:hAnsi="Arial" w:cs="Arial"/>
          <w:sz w:val="22"/>
          <w:szCs w:val="22"/>
          <w:lang w:val="es-ES"/>
        </w:rPr>
        <w:t xml:space="preserve"> distinta</w:t>
      </w:r>
      <w:r w:rsidR="00300506" w:rsidRPr="0077530D">
        <w:rPr>
          <w:rFonts w:ascii="Arial" w:eastAsia="Arial" w:hAnsi="Arial" w:cs="Arial"/>
          <w:sz w:val="22"/>
          <w:szCs w:val="22"/>
          <w:lang w:val="es-ES"/>
        </w:rPr>
        <w:t xml:space="preserve"> </w:t>
      </w:r>
      <w:r w:rsidR="001E141D" w:rsidRPr="0077530D">
        <w:rPr>
          <w:rFonts w:ascii="Arial" w:eastAsia="Arial" w:hAnsi="Arial" w:cs="Arial"/>
          <w:sz w:val="22"/>
          <w:szCs w:val="22"/>
          <w:lang w:val="es-ES"/>
        </w:rPr>
        <w:t>cobertura</w:t>
      </w:r>
      <w:r w:rsidR="00392CEF" w:rsidRPr="0077530D">
        <w:rPr>
          <w:rFonts w:ascii="Arial" w:eastAsia="Arial" w:hAnsi="Arial" w:cs="Arial"/>
          <w:sz w:val="22"/>
          <w:szCs w:val="22"/>
          <w:lang w:val="es-ES"/>
        </w:rPr>
        <w:t xml:space="preserve"> geográfica</w:t>
      </w:r>
      <w:r w:rsidR="00E240CC" w:rsidRPr="0077530D">
        <w:rPr>
          <w:rFonts w:ascii="Arial" w:eastAsia="Arial" w:hAnsi="Arial" w:cs="Arial"/>
          <w:sz w:val="22"/>
          <w:szCs w:val="22"/>
          <w:lang w:val="es-ES"/>
        </w:rPr>
        <w:t xml:space="preserve">. Los beneficios esperados </w:t>
      </w:r>
      <w:r w:rsidR="001E141D" w:rsidRPr="0077530D">
        <w:rPr>
          <w:rFonts w:ascii="Arial" w:eastAsia="Arial" w:hAnsi="Arial" w:cs="Arial"/>
          <w:sz w:val="22"/>
          <w:szCs w:val="22"/>
          <w:lang w:val="es-ES"/>
        </w:rPr>
        <w:t>de</w:t>
      </w:r>
      <w:r w:rsidR="004D5DD2" w:rsidRPr="0077530D">
        <w:rPr>
          <w:rFonts w:ascii="Arial" w:eastAsia="Arial" w:hAnsi="Arial" w:cs="Arial"/>
          <w:sz w:val="22"/>
          <w:szCs w:val="22"/>
          <w:lang w:val="es-ES"/>
        </w:rPr>
        <w:t xml:space="preserve">l </w:t>
      </w:r>
      <w:r w:rsidR="001C215A" w:rsidRPr="0077530D">
        <w:rPr>
          <w:rFonts w:ascii="Arial" w:eastAsia="Arial" w:hAnsi="Arial" w:cs="Arial"/>
          <w:sz w:val="22"/>
          <w:szCs w:val="22"/>
          <w:lang w:val="es-ES"/>
        </w:rPr>
        <w:t>p</w:t>
      </w:r>
      <w:r w:rsidR="00A84ED8" w:rsidRPr="0077530D">
        <w:rPr>
          <w:rFonts w:ascii="Arial" w:eastAsia="Arial" w:hAnsi="Arial" w:cs="Arial"/>
          <w:sz w:val="22"/>
          <w:szCs w:val="22"/>
          <w:lang w:val="es-ES"/>
        </w:rPr>
        <w:t>rograma</w:t>
      </w:r>
      <w:r w:rsidR="00F01C28" w:rsidRPr="0077530D">
        <w:rPr>
          <w:rFonts w:ascii="Arial" w:eastAsia="Arial" w:hAnsi="Arial" w:cs="Arial"/>
          <w:sz w:val="22"/>
          <w:szCs w:val="22"/>
          <w:lang w:val="es-ES"/>
        </w:rPr>
        <w:t>,</w:t>
      </w:r>
      <w:r w:rsidR="00716015" w:rsidRPr="0077530D">
        <w:rPr>
          <w:rFonts w:ascii="Arial" w:eastAsia="Arial" w:hAnsi="Arial" w:cs="Arial"/>
          <w:sz w:val="22"/>
          <w:szCs w:val="22"/>
          <w:lang w:val="es-ES"/>
        </w:rPr>
        <w:t xml:space="preserve"> </w:t>
      </w:r>
      <w:r w:rsidR="00E240CC" w:rsidRPr="0077530D">
        <w:rPr>
          <w:rFonts w:ascii="Arial" w:eastAsia="Arial" w:hAnsi="Arial" w:cs="Arial"/>
          <w:sz w:val="22"/>
          <w:szCs w:val="22"/>
          <w:lang w:val="es-ES"/>
        </w:rPr>
        <w:t>se derivan de:</w:t>
      </w:r>
    </w:p>
    <w:p w14:paraId="2621583B" w14:textId="4E59A22C" w:rsidR="00E240CC" w:rsidRPr="0077530D" w:rsidRDefault="00E240CC" w:rsidP="008A41E6">
      <w:pPr>
        <w:pStyle w:val="ListParagraph"/>
        <w:numPr>
          <w:ilvl w:val="0"/>
          <w:numId w:val="6"/>
        </w:numPr>
        <w:spacing w:before="120" w:after="100" w:afterAutospacing="1" w:line="240" w:lineRule="auto"/>
        <w:jc w:val="both"/>
        <w:rPr>
          <w:rFonts w:ascii="Arial" w:hAnsi="Arial" w:cs="Arial"/>
          <w:lang w:val="es-ES_tradnl"/>
        </w:rPr>
      </w:pPr>
      <w:r w:rsidRPr="0077530D">
        <w:rPr>
          <w:rFonts w:ascii="Arial" w:hAnsi="Arial" w:cs="Arial"/>
          <w:lang w:val="es-ES_tradnl"/>
        </w:rPr>
        <w:t>Disminuci</w:t>
      </w:r>
      <w:r w:rsidRPr="0077530D">
        <w:rPr>
          <w:rFonts w:ascii="Arial" w:eastAsia="Calibri" w:hAnsi="Arial" w:cs="Arial"/>
          <w:lang w:val="es-ES_tradnl"/>
        </w:rPr>
        <w:t>ón</w:t>
      </w:r>
      <w:r w:rsidRPr="0077530D">
        <w:rPr>
          <w:rFonts w:ascii="Arial" w:hAnsi="Arial" w:cs="Arial"/>
          <w:lang w:val="es-ES_tradnl"/>
        </w:rPr>
        <w:t xml:space="preserve"> </w:t>
      </w:r>
      <w:r w:rsidRPr="0077530D">
        <w:rPr>
          <w:rFonts w:ascii="Arial" w:eastAsia="Calibri" w:hAnsi="Arial" w:cs="Arial"/>
          <w:lang w:val="es-ES_tradnl"/>
        </w:rPr>
        <w:t>en</w:t>
      </w:r>
      <w:r w:rsidRPr="0077530D">
        <w:rPr>
          <w:rFonts w:ascii="Arial" w:hAnsi="Arial" w:cs="Arial"/>
          <w:lang w:val="es-ES_tradnl"/>
        </w:rPr>
        <w:t xml:space="preserve"> </w:t>
      </w:r>
      <w:r w:rsidRPr="0077530D">
        <w:rPr>
          <w:rFonts w:ascii="Arial" w:eastAsia="Calibri" w:hAnsi="Arial" w:cs="Arial"/>
          <w:lang w:val="es-ES_tradnl"/>
        </w:rPr>
        <w:t>la</w:t>
      </w:r>
      <w:r w:rsidRPr="0077530D">
        <w:rPr>
          <w:rFonts w:ascii="Arial" w:hAnsi="Arial" w:cs="Arial"/>
          <w:lang w:val="es-ES_tradnl"/>
        </w:rPr>
        <w:t xml:space="preserve"> </w:t>
      </w:r>
      <w:r w:rsidRPr="0077530D">
        <w:rPr>
          <w:rFonts w:ascii="Arial" w:eastAsia="Calibri" w:hAnsi="Arial" w:cs="Arial"/>
          <w:lang w:val="es-ES_tradnl"/>
        </w:rPr>
        <w:t>mortalidad</w:t>
      </w:r>
      <w:r w:rsidR="00EB3C9B" w:rsidRPr="0077530D">
        <w:rPr>
          <w:rFonts w:ascii="Arial" w:hAnsi="Arial" w:cs="Arial"/>
          <w:lang w:val="es-ES_tradnl"/>
        </w:rPr>
        <w:t xml:space="preserve"> y la morbilidad</w:t>
      </w:r>
      <w:r w:rsidRPr="0077530D">
        <w:rPr>
          <w:rFonts w:ascii="Arial" w:hAnsi="Arial" w:cs="Arial"/>
          <w:lang w:val="es-ES_tradnl"/>
        </w:rPr>
        <w:t xml:space="preserve"> resultado de una mayor cobertura</w:t>
      </w:r>
      <w:r w:rsidR="00EB3C9B" w:rsidRPr="0077530D">
        <w:rPr>
          <w:rFonts w:ascii="Arial" w:hAnsi="Arial" w:cs="Arial"/>
          <w:lang w:val="es-ES_tradnl"/>
        </w:rPr>
        <w:t xml:space="preserve"> y calidad</w:t>
      </w:r>
      <w:r w:rsidRPr="0077530D">
        <w:rPr>
          <w:rFonts w:ascii="Arial" w:hAnsi="Arial" w:cs="Arial"/>
          <w:lang w:val="es-ES_tradnl"/>
        </w:rPr>
        <w:t xml:space="preserve"> d</w:t>
      </w:r>
      <w:r w:rsidR="00EB3C9B" w:rsidRPr="0077530D">
        <w:rPr>
          <w:rFonts w:ascii="Arial" w:hAnsi="Arial" w:cs="Arial"/>
          <w:lang w:val="es-ES_tradnl"/>
        </w:rPr>
        <w:t>e los servicios de la red de salud resultado de las inversiones en</w:t>
      </w:r>
      <w:r w:rsidR="006C5500" w:rsidRPr="0077530D">
        <w:rPr>
          <w:rFonts w:ascii="Arial" w:hAnsi="Arial" w:cs="Arial"/>
          <w:lang w:val="es-ES_tradnl"/>
        </w:rPr>
        <w:t xml:space="preserve"> construcción de infraestructura</w:t>
      </w:r>
      <w:r w:rsidR="00EB3C9B" w:rsidRPr="0077530D">
        <w:rPr>
          <w:rFonts w:ascii="Arial" w:hAnsi="Arial" w:cs="Arial"/>
          <w:lang w:val="es-ES_tradnl"/>
        </w:rPr>
        <w:t xml:space="preserve">, </w:t>
      </w:r>
      <w:r w:rsidR="006C5500" w:rsidRPr="0077530D">
        <w:rPr>
          <w:rFonts w:ascii="Arial" w:hAnsi="Arial" w:cs="Arial"/>
          <w:lang w:val="es-ES_tradnl"/>
        </w:rPr>
        <w:t xml:space="preserve">ampliaciones, </w:t>
      </w:r>
      <w:r w:rsidR="00EB3C9B" w:rsidRPr="0077530D">
        <w:rPr>
          <w:rFonts w:ascii="Arial" w:hAnsi="Arial" w:cs="Arial"/>
          <w:lang w:val="es-ES_tradnl"/>
        </w:rPr>
        <w:t>equipamiento</w:t>
      </w:r>
      <w:r w:rsidR="0091422B" w:rsidRPr="0077530D">
        <w:rPr>
          <w:rFonts w:ascii="Arial" w:hAnsi="Arial" w:cs="Arial"/>
          <w:lang w:val="es-ES_tradnl"/>
        </w:rPr>
        <w:t xml:space="preserve"> </w:t>
      </w:r>
      <w:r w:rsidR="00EB3C9B" w:rsidRPr="0077530D">
        <w:rPr>
          <w:rFonts w:ascii="Arial" w:hAnsi="Arial" w:cs="Arial"/>
          <w:lang w:val="es-ES_tradnl"/>
        </w:rPr>
        <w:t>y mejora en la gesti</w:t>
      </w:r>
      <w:r w:rsidR="00EB3C9B" w:rsidRPr="0077530D">
        <w:rPr>
          <w:rFonts w:ascii="Arial" w:eastAsia="Calibri" w:hAnsi="Arial" w:cs="Arial"/>
          <w:lang w:val="es-ES_tradnl"/>
        </w:rPr>
        <w:t>ón</w:t>
      </w:r>
      <w:r w:rsidR="00EB3C9B" w:rsidRPr="0077530D">
        <w:rPr>
          <w:rFonts w:ascii="Arial" w:hAnsi="Arial" w:cs="Arial"/>
          <w:lang w:val="es-ES_tradnl"/>
        </w:rPr>
        <w:t xml:space="preserve">. </w:t>
      </w:r>
      <w:r w:rsidR="006A4084" w:rsidRPr="0077530D">
        <w:rPr>
          <w:rFonts w:ascii="Arial" w:hAnsi="Arial" w:cs="Arial"/>
          <w:lang w:val="es-ES_tradnl"/>
        </w:rPr>
        <w:t>Estos beneficios son c</w:t>
      </w:r>
      <w:r w:rsidR="003F4AC6" w:rsidRPr="0077530D">
        <w:rPr>
          <w:rFonts w:ascii="Arial" w:hAnsi="Arial" w:cs="Arial"/>
          <w:lang w:val="es-ES_tradnl"/>
        </w:rPr>
        <w:t>uantificad</w:t>
      </w:r>
      <w:r w:rsidR="006A4084" w:rsidRPr="0077530D">
        <w:rPr>
          <w:rFonts w:ascii="Arial" w:hAnsi="Arial" w:cs="Arial"/>
          <w:lang w:val="es-ES_tradnl"/>
        </w:rPr>
        <w:t>o</w:t>
      </w:r>
      <w:r w:rsidR="003F4AC6" w:rsidRPr="0077530D">
        <w:rPr>
          <w:rFonts w:ascii="Arial" w:hAnsi="Arial" w:cs="Arial"/>
          <w:lang w:val="es-ES_tradnl"/>
        </w:rPr>
        <w:t xml:space="preserve">s </w:t>
      </w:r>
      <w:r w:rsidR="00E72416" w:rsidRPr="0077530D">
        <w:rPr>
          <w:rFonts w:ascii="Arial" w:hAnsi="Arial" w:cs="Arial"/>
          <w:lang w:val="es-ES_tradnl"/>
        </w:rPr>
        <w:t>utilizando</w:t>
      </w:r>
      <w:r w:rsidR="003F4AC6" w:rsidRPr="0077530D">
        <w:rPr>
          <w:rFonts w:ascii="Arial" w:hAnsi="Arial" w:cs="Arial"/>
          <w:lang w:val="es-ES_tradnl"/>
        </w:rPr>
        <w:t xml:space="preserve"> los </w:t>
      </w:r>
      <w:r w:rsidR="00F76E03" w:rsidRPr="0077530D">
        <w:rPr>
          <w:rFonts w:ascii="Arial" w:hAnsi="Arial" w:cs="Arial"/>
          <w:lang w:val="es-ES_tradnl"/>
        </w:rPr>
        <w:t>A</w:t>
      </w:r>
      <w:r w:rsidR="00F76E03" w:rsidRPr="0077530D">
        <w:rPr>
          <w:rFonts w:ascii="Arial" w:eastAsia="Calibri" w:hAnsi="Arial" w:cs="Arial"/>
          <w:lang w:val="es-ES_tradnl"/>
        </w:rPr>
        <w:t>ños</w:t>
      </w:r>
      <w:r w:rsidR="00F76E03" w:rsidRPr="0077530D">
        <w:rPr>
          <w:rFonts w:ascii="Arial" w:hAnsi="Arial" w:cs="Arial"/>
          <w:lang w:val="es-ES_tradnl"/>
        </w:rPr>
        <w:t xml:space="preserve"> </w:t>
      </w:r>
      <w:r w:rsidR="00F76E03" w:rsidRPr="0077530D">
        <w:rPr>
          <w:rFonts w:ascii="Arial" w:eastAsia="Calibri" w:hAnsi="Arial" w:cs="Arial"/>
          <w:lang w:val="es-ES_tradnl"/>
        </w:rPr>
        <w:t>de</w:t>
      </w:r>
      <w:r w:rsidR="00F76E03" w:rsidRPr="0077530D">
        <w:rPr>
          <w:rFonts w:ascii="Arial" w:hAnsi="Arial" w:cs="Arial"/>
          <w:lang w:val="es-ES_tradnl"/>
        </w:rPr>
        <w:t xml:space="preserve"> </w:t>
      </w:r>
      <w:r w:rsidR="00F76E03" w:rsidRPr="0077530D">
        <w:rPr>
          <w:rFonts w:ascii="Arial" w:eastAsia="Calibri" w:hAnsi="Arial" w:cs="Arial"/>
          <w:lang w:val="es-ES_tradnl"/>
        </w:rPr>
        <w:t>Vida</w:t>
      </w:r>
      <w:r w:rsidR="00F76E03" w:rsidRPr="0077530D">
        <w:rPr>
          <w:rFonts w:ascii="Arial" w:hAnsi="Arial" w:cs="Arial"/>
          <w:lang w:val="es-ES_tradnl"/>
        </w:rPr>
        <w:t xml:space="preserve"> </w:t>
      </w:r>
      <w:r w:rsidR="00F76E03" w:rsidRPr="0077530D">
        <w:rPr>
          <w:rFonts w:ascii="Arial" w:eastAsia="Calibri" w:hAnsi="Arial" w:cs="Arial"/>
          <w:lang w:val="es-ES_tradnl"/>
        </w:rPr>
        <w:t>Ajustados</w:t>
      </w:r>
      <w:r w:rsidR="00F76E03" w:rsidRPr="0077530D">
        <w:rPr>
          <w:rFonts w:ascii="Arial" w:hAnsi="Arial" w:cs="Arial"/>
          <w:lang w:val="es-ES_tradnl"/>
        </w:rPr>
        <w:t xml:space="preserve"> </w:t>
      </w:r>
      <w:r w:rsidR="00F76E03" w:rsidRPr="0077530D">
        <w:rPr>
          <w:rFonts w:ascii="Arial" w:eastAsia="Calibri" w:hAnsi="Arial" w:cs="Arial"/>
          <w:lang w:val="es-ES_tradnl"/>
        </w:rPr>
        <w:t>por</w:t>
      </w:r>
      <w:r w:rsidR="00F76E03" w:rsidRPr="0077530D">
        <w:rPr>
          <w:rFonts w:ascii="Arial" w:hAnsi="Arial" w:cs="Arial"/>
          <w:lang w:val="es-ES_tradnl"/>
        </w:rPr>
        <w:t xml:space="preserve"> </w:t>
      </w:r>
      <w:r w:rsidR="00F76E03" w:rsidRPr="0077530D">
        <w:rPr>
          <w:rFonts w:ascii="Arial" w:eastAsia="Calibri" w:hAnsi="Arial" w:cs="Arial"/>
          <w:lang w:val="es-ES_tradnl"/>
        </w:rPr>
        <w:t>Discapacidad</w:t>
      </w:r>
      <w:r w:rsidR="00F76E03" w:rsidRPr="0077530D">
        <w:rPr>
          <w:rFonts w:ascii="Arial" w:hAnsi="Arial" w:cs="Arial"/>
          <w:lang w:val="es-ES_tradnl"/>
        </w:rPr>
        <w:t xml:space="preserve"> (</w:t>
      </w:r>
      <w:r w:rsidR="00F76E03" w:rsidRPr="0077530D">
        <w:rPr>
          <w:rFonts w:ascii="Arial" w:eastAsia="Calibri" w:hAnsi="Arial" w:cs="Arial"/>
          <w:lang w:val="es-ES_tradnl"/>
        </w:rPr>
        <w:t>AVADs</w:t>
      </w:r>
      <w:r w:rsidR="00FB0A0B">
        <w:rPr>
          <w:rFonts w:ascii="Arial" w:hAnsi="Arial" w:cs="Arial"/>
          <w:lang w:val="es-ES_tradnl"/>
        </w:rPr>
        <w:t>) </w:t>
      </w:r>
      <w:r w:rsidR="00F76E03" w:rsidRPr="0077530D">
        <w:rPr>
          <w:rFonts w:ascii="Arial" w:eastAsia="Calibri" w:hAnsi="Arial" w:cs="Arial"/>
          <w:lang w:val="es-ES_tradnl"/>
        </w:rPr>
        <w:t>que</w:t>
      </w:r>
      <w:r w:rsidR="00F76E03" w:rsidRPr="0077530D">
        <w:rPr>
          <w:rFonts w:ascii="Arial" w:hAnsi="Arial" w:cs="Arial"/>
          <w:lang w:val="es-ES_tradnl"/>
        </w:rPr>
        <w:t xml:space="preserve"> </w:t>
      </w:r>
      <w:r w:rsidR="00F76E03" w:rsidRPr="0077530D">
        <w:rPr>
          <w:rFonts w:ascii="Arial" w:eastAsia="Calibri" w:hAnsi="Arial" w:cs="Arial"/>
          <w:lang w:val="es-ES_tradnl"/>
        </w:rPr>
        <w:t>resultan</w:t>
      </w:r>
      <w:r w:rsidR="00F76E03" w:rsidRPr="0077530D">
        <w:rPr>
          <w:rFonts w:ascii="Arial" w:hAnsi="Arial" w:cs="Arial"/>
          <w:lang w:val="es-ES_tradnl"/>
        </w:rPr>
        <w:t xml:space="preserve"> </w:t>
      </w:r>
      <w:r w:rsidR="00F76E03" w:rsidRPr="0077530D">
        <w:rPr>
          <w:rFonts w:ascii="Arial" w:eastAsia="Calibri" w:hAnsi="Arial" w:cs="Arial"/>
          <w:lang w:val="es-ES_tradnl"/>
        </w:rPr>
        <w:t>de</w:t>
      </w:r>
      <w:r w:rsidR="00F76E03" w:rsidRPr="0077530D">
        <w:rPr>
          <w:rFonts w:ascii="Arial" w:hAnsi="Arial" w:cs="Arial"/>
          <w:lang w:val="es-ES_tradnl"/>
        </w:rPr>
        <w:t xml:space="preserve"> </w:t>
      </w:r>
      <w:r w:rsidR="00F76E03" w:rsidRPr="0077530D">
        <w:rPr>
          <w:rFonts w:ascii="Arial" w:eastAsia="Calibri" w:hAnsi="Arial" w:cs="Arial"/>
          <w:lang w:val="es-ES_tradnl"/>
        </w:rPr>
        <w:t>la</w:t>
      </w:r>
      <w:r w:rsidR="00F76E03" w:rsidRPr="0077530D">
        <w:rPr>
          <w:rFonts w:ascii="Arial" w:hAnsi="Arial" w:cs="Arial"/>
          <w:lang w:val="es-ES_tradnl"/>
        </w:rPr>
        <w:t xml:space="preserve"> </w:t>
      </w:r>
      <w:r w:rsidR="00F76E03" w:rsidRPr="0077530D">
        <w:rPr>
          <w:rFonts w:ascii="Arial" w:eastAsia="Calibri" w:hAnsi="Arial" w:cs="Arial"/>
          <w:lang w:val="es-ES_tradnl"/>
        </w:rPr>
        <w:t>imp</w:t>
      </w:r>
      <w:r w:rsidR="00F76E03" w:rsidRPr="0077530D">
        <w:rPr>
          <w:rFonts w:ascii="Arial" w:hAnsi="Arial" w:cs="Arial"/>
          <w:lang w:val="es-ES_tradnl"/>
        </w:rPr>
        <w:t>lementaci</w:t>
      </w:r>
      <w:r w:rsidR="00F76E03" w:rsidRPr="0077530D">
        <w:rPr>
          <w:rFonts w:ascii="Arial" w:eastAsia="Calibri" w:hAnsi="Arial" w:cs="Arial"/>
          <w:lang w:val="es-ES_tradnl"/>
        </w:rPr>
        <w:t>ón</w:t>
      </w:r>
      <w:r w:rsidR="00F76E03" w:rsidRPr="0077530D">
        <w:rPr>
          <w:rFonts w:ascii="Arial" w:hAnsi="Arial" w:cs="Arial"/>
          <w:lang w:val="es-ES_tradnl"/>
        </w:rPr>
        <w:t xml:space="preserve"> </w:t>
      </w:r>
      <w:r w:rsidR="00F76E03" w:rsidRPr="0077530D">
        <w:rPr>
          <w:rFonts w:ascii="Arial" w:eastAsia="Calibri" w:hAnsi="Arial" w:cs="Arial"/>
          <w:lang w:val="es-ES_tradnl"/>
        </w:rPr>
        <w:t>de</w:t>
      </w:r>
      <w:r w:rsidR="00F76E03" w:rsidRPr="0077530D">
        <w:rPr>
          <w:rFonts w:ascii="Arial" w:hAnsi="Arial" w:cs="Arial"/>
          <w:lang w:val="es-ES_tradnl"/>
        </w:rPr>
        <w:t xml:space="preserve"> </w:t>
      </w:r>
      <w:r w:rsidR="00F76E03" w:rsidRPr="0077530D">
        <w:rPr>
          <w:rFonts w:ascii="Arial" w:eastAsia="Calibri" w:hAnsi="Arial" w:cs="Arial"/>
          <w:lang w:val="es-ES_tradnl"/>
        </w:rPr>
        <w:t>líneas</w:t>
      </w:r>
      <w:r w:rsidR="00F76E03" w:rsidRPr="0077530D">
        <w:rPr>
          <w:rFonts w:ascii="Arial" w:hAnsi="Arial" w:cs="Arial"/>
          <w:lang w:val="es-ES_tradnl"/>
        </w:rPr>
        <w:t xml:space="preserve"> </w:t>
      </w:r>
      <w:r w:rsidR="00F76E03" w:rsidRPr="0077530D">
        <w:rPr>
          <w:rFonts w:ascii="Arial" w:eastAsia="Calibri" w:hAnsi="Arial" w:cs="Arial"/>
          <w:lang w:val="es-ES_tradnl"/>
        </w:rPr>
        <w:t>de</w:t>
      </w:r>
      <w:r w:rsidR="00F76E03" w:rsidRPr="0077530D">
        <w:rPr>
          <w:rFonts w:ascii="Arial" w:hAnsi="Arial" w:cs="Arial"/>
          <w:lang w:val="es-ES_tradnl"/>
        </w:rPr>
        <w:t xml:space="preserve"> </w:t>
      </w:r>
      <w:r w:rsidR="00F76E03" w:rsidRPr="0077530D">
        <w:rPr>
          <w:rFonts w:ascii="Arial" w:eastAsia="Calibri" w:hAnsi="Arial" w:cs="Arial"/>
          <w:lang w:val="es-ES_tradnl"/>
        </w:rPr>
        <w:t>cuidado</w:t>
      </w:r>
      <w:r w:rsidR="00F76E03" w:rsidRPr="0077530D">
        <w:rPr>
          <w:rFonts w:ascii="Arial" w:hAnsi="Arial" w:cs="Arial"/>
          <w:lang w:val="es-ES_tradnl"/>
        </w:rPr>
        <w:t xml:space="preserve"> </w:t>
      </w:r>
      <w:r w:rsidR="00F76E03" w:rsidRPr="0077530D">
        <w:rPr>
          <w:rFonts w:ascii="Arial" w:eastAsia="Calibri" w:hAnsi="Arial" w:cs="Arial"/>
          <w:lang w:val="es-ES_tradnl"/>
        </w:rPr>
        <w:t>de</w:t>
      </w:r>
      <w:r w:rsidR="00F76E03" w:rsidRPr="0077530D">
        <w:rPr>
          <w:rFonts w:ascii="Arial" w:hAnsi="Arial" w:cs="Arial"/>
          <w:lang w:val="es-ES_tradnl"/>
        </w:rPr>
        <w:t xml:space="preserve"> </w:t>
      </w:r>
      <w:r w:rsidR="00F76E03" w:rsidRPr="0077530D">
        <w:rPr>
          <w:rFonts w:ascii="Arial" w:eastAsia="Calibri" w:hAnsi="Arial" w:cs="Arial"/>
          <w:lang w:val="es-ES_tradnl"/>
        </w:rPr>
        <w:t>probada</w:t>
      </w:r>
      <w:r w:rsidR="00F76E03" w:rsidRPr="0077530D">
        <w:rPr>
          <w:rFonts w:ascii="Arial" w:hAnsi="Arial" w:cs="Arial"/>
          <w:lang w:val="es-ES_tradnl"/>
        </w:rPr>
        <w:t xml:space="preserve"> </w:t>
      </w:r>
      <w:r w:rsidR="00F76E03" w:rsidRPr="0077530D">
        <w:rPr>
          <w:rFonts w:ascii="Arial" w:eastAsia="Calibri" w:hAnsi="Arial" w:cs="Arial"/>
          <w:lang w:val="es-ES_tradnl"/>
        </w:rPr>
        <w:t>efectividad</w:t>
      </w:r>
      <w:r w:rsidR="006A4084" w:rsidRPr="0077530D">
        <w:rPr>
          <w:rFonts w:ascii="Arial" w:eastAsia="Calibri" w:hAnsi="Arial" w:cs="Arial"/>
          <w:lang w:val="es-ES_tradnl"/>
        </w:rPr>
        <w:t>, en un contexto de redes integradas de servicios de salud</w:t>
      </w:r>
      <w:r w:rsidR="00F76E03" w:rsidRPr="0077530D">
        <w:rPr>
          <w:rFonts w:ascii="Arial" w:hAnsi="Arial" w:cs="Arial"/>
          <w:lang w:val="es-ES_tradnl"/>
        </w:rPr>
        <w:t>.</w:t>
      </w:r>
    </w:p>
    <w:p w14:paraId="6842A06E" w14:textId="1B18E655" w:rsidR="00E240CC" w:rsidRPr="0077530D" w:rsidRDefault="003F4AC6" w:rsidP="00216A0C">
      <w:pPr>
        <w:pStyle w:val="ListParagraph"/>
        <w:numPr>
          <w:ilvl w:val="0"/>
          <w:numId w:val="6"/>
        </w:numPr>
        <w:spacing w:before="120" w:after="0" w:line="240" w:lineRule="auto"/>
        <w:jc w:val="both"/>
        <w:rPr>
          <w:rFonts w:ascii="Arial" w:hAnsi="Arial" w:cs="Arial"/>
          <w:lang w:val="es-ES_tradnl"/>
        </w:rPr>
      </w:pPr>
      <w:r w:rsidRPr="0077530D">
        <w:rPr>
          <w:rFonts w:ascii="Arial" w:hAnsi="Arial" w:cs="Arial"/>
          <w:lang w:val="es-ES_tradnl"/>
        </w:rPr>
        <w:t>Ganancias en la productividad de la poblaci</w:t>
      </w:r>
      <w:r w:rsidRPr="0077530D">
        <w:rPr>
          <w:rFonts w:ascii="Arial" w:eastAsia="Calibri" w:hAnsi="Arial" w:cs="Arial"/>
          <w:lang w:val="es-ES_tradnl"/>
        </w:rPr>
        <w:t>ón</w:t>
      </w:r>
      <w:r w:rsidR="00392CEF" w:rsidRPr="0077530D">
        <w:rPr>
          <w:rFonts w:ascii="Arial" w:eastAsia="Calibri" w:hAnsi="Arial" w:cs="Arial"/>
          <w:lang w:val="es-ES_tradnl"/>
        </w:rPr>
        <w:t xml:space="preserve"> derivadas de una mejor salud y</w:t>
      </w:r>
      <w:r w:rsidRPr="0077530D">
        <w:rPr>
          <w:rFonts w:ascii="Arial" w:hAnsi="Arial" w:cs="Arial"/>
          <w:lang w:val="es-ES_tradnl"/>
        </w:rPr>
        <w:t xml:space="preserve"> </w:t>
      </w:r>
      <w:r w:rsidRPr="0077530D">
        <w:rPr>
          <w:rFonts w:ascii="Arial" w:eastAsia="Calibri" w:hAnsi="Arial" w:cs="Arial"/>
          <w:lang w:val="es-ES_tradnl"/>
        </w:rPr>
        <w:t>cuantificadas</w:t>
      </w:r>
      <w:r w:rsidRPr="0077530D">
        <w:rPr>
          <w:rFonts w:ascii="Arial" w:hAnsi="Arial" w:cs="Arial"/>
          <w:lang w:val="es-ES_tradnl"/>
        </w:rPr>
        <w:t xml:space="preserve"> </w:t>
      </w:r>
      <w:r w:rsidR="00392CEF" w:rsidRPr="0077530D">
        <w:rPr>
          <w:rFonts w:ascii="Arial" w:hAnsi="Arial" w:cs="Arial"/>
          <w:lang w:val="es-ES_tradnl"/>
        </w:rPr>
        <w:t>c</w:t>
      </w:r>
      <w:r w:rsidR="007657D8" w:rsidRPr="0077530D">
        <w:rPr>
          <w:rFonts w:ascii="Arial" w:hAnsi="Arial" w:cs="Arial"/>
          <w:lang w:val="es-ES_tradnl"/>
        </w:rPr>
        <w:t>onsiderando</w:t>
      </w:r>
      <w:r w:rsidR="00F76E03" w:rsidRPr="0077530D">
        <w:rPr>
          <w:rFonts w:ascii="Arial" w:hAnsi="Arial" w:cs="Arial"/>
          <w:lang w:val="es-ES_tradnl"/>
        </w:rPr>
        <w:t xml:space="preserve"> </w:t>
      </w:r>
      <w:r w:rsidR="00392CEF" w:rsidRPr="0077530D">
        <w:rPr>
          <w:rFonts w:ascii="Arial" w:hAnsi="Arial" w:cs="Arial"/>
          <w:lang w:val="es-ES_tradnl"/>
        </w:rPr>
        <w:t>los</w:t>
      </w:r>
      <w:r w:rsidR="00F76E03" w:rsidRPr="0077530D">
        <w:rPr>
          <w:rFonts w:ascii="Arial" w:hAnsi="Arial" w:cs="Arial"/>
          <w:lang w:val="es-ES_tradnl"/>
        </w:rPr>
        <w:t xml:space="preserve"> AVADs</w:t>
      </w:r>
      <w:r w:rsidR="00392CEF" w:rsidRPr="0077530D">
        <w:rPr>
          <w:rFonts w:ascii="Arial" w:hAnsi="Arial" w:cs="Arial"/>
          <w:lang w:val="es-ES_tradnl"/>
        </w:rPr>
        <w:t xml:space="preserve"> obtenidos por la intervención </w:t>
      </w:r>
      <w:r w:rsidR="00F76E03" w:rsidRPr="0077530D">
        <w:rPr>
          <w:rFonts w:ascii="Arial" w:hAnsi="Arial" w:cs="Arial"/>
          <w:lang w:val="es-ES_tradnl"/>
        </w:rPr>
        <w:t>y</w:t>
      </w:r>
      <w:r w:rsidRPr="0077530D">
        <w:rPr>
          <w:rFonts w:ascii="Arial" w:hAnsi="Arial" w:cs="Arial"/>
          <w:lang w:val="es-ES_tradnl"/>
        </w:rPr>
        <w:t xml:space="preserve"> el producto interno </w:t>
      </w:r>
      <w:r w:rsidR="00392CEF" w:rsidRPr="0077530D">
        <w:rPr>
          <w:rFonts w:ascii="Arial" w:hAnsi="Arial" w:cs="Arial"/>
          <w:lang w:val="es-ES_tradnl"/>
        </w:rPr>
        <w:t xml:space="preserve">bruto de </w:t>
      </w:r>
      <w:r w:rsidR="00137C48" w:rsidRPr="0077530D">
        <w:rPr>
          <w:rFonts w:ascii="Arial" w:hAnsi="Arial" w:cs="Arial"/>
          <w:lang w:val="es-ES_tradnl"/>
        </w:rPr>
        <w:t>Bolivia</w:t>
      </w:r>
      <w:r w:rsidR="00392CEF" w:rsidRPr="0077530D">
        <w:rPr>
          <w:rFonts w:ascii="Arial" w:hAnsi="Arial" w:cs="Arial"/>
          <w:lang w:val="es-ES_tradnl"/>
        </w:rPr>
        <w:t>.</w:t>
      </w:r>
    </w:p>
    <w:p w14:paraId="5F11835C" w14:textId="3C06B4F4" w:rsidR="00F76E03" w:rsidRPr="0077530D" w:rsidRDefault="00F76E03" w:rsidP="0077530D">
      <w:pPr>
        <w:spacing w:before="120" w:after="100" w:afterAutospacing="1"/>
        <w:jc w:val="both"/>
        <w:rPr>
          <w:rFonts w:ascii="Arial" w:eastAsia="Arial" w:hAnsi="Arial" w:cs="Arial"/>
          <w:sz w:val="22"/>
          <w:szCs w:val="22"/>
          <w:lang w:val="es-ES"/>
        </w:rPr>
      </w:pPr>
      <w:r w:rsidRPr="0077530D">
        <w:rPr>
          <w:rFonts w:ascii="Arial" w:eastAsia="Arial" w:hAnsi="Arial" w:cs="Arial"/>
          <w:sz w:val="22"/>
          <w:szCs w:val="22"/>
          <w:lang w:val="es-ES"/>
        </w:rPr>
        <w:t>El análisis está diseñado</w:t>
      </w:r>
      <w:r w:rsidR="006016B5" w:rsidRPr="0077530D">
        <w:rPr>
          <w:rFonts w:ascii="Arial" w:eastAsia="Arial" w:hAnsi="Arial" w:cs="Arial"/>
          <w:sz w:val="22"/>
          <w:szCs w:val="22"/>
          <w:lang w:val="es-ES"/>
        </w:rPr>
        <w:t xml:space="preserve"> </w:t>
      </w:r>
      <w:r w:rsidR="00FC74EA" w:rsidRPr="0077530D">
        <w:rPr>
          <w:rFonts w:ascii="Arial" w:eastAsia="Arial" w:hAnsi="Arial" w:cs="Arial"/>
          <w:sz w:val="22"/>
          <w:szCs w:val="22"/>
          <w:lang w:val="es-ES"/>
        </w:rPr>
        <w:t>para considerar los diferentes</w:t>
      </w:r>
      <w:r w:rsidR="006016B5" w:rsidRPr="0077530D">
        <w:rPr>
          <w:rFonts w:ascii="Arial" w:eastAsia="Arial" w:hAnsi="Arial" w:cs="Arial"/>
          <w:sz w:val="22"/>
          <w:szCs w:val="22"/>
          <w:lang w:val="es-ES"/>
        </w:rPr>
        <w:t xml:space="preserve"> tipo</w:t>
      </w:r>
      <w:r w:rsidR="00FC74EA" w:rsidRPr="0077530D">
        <w:rPr>
          <w:rFonts w:ascii="Arial" w:eastAsia="Arial" w:hAnsi="Arial" w:cs="Arial"/>
          <w:sz w:val="22"/>
          <w:szCs w:val="22"/>
          <w:lang w:val="es-ES"/>
        </w:rPr>
        <w:t>s</w:t>
      </w:r>
      <w:r w:rsidR="006016B5" w:rsidRPr="0077530D">
        <w:rPr>
          <w:rFonts w:ascii="Arial" w:eastAsia="Arial" w:hAnsi="Arial" w:cs="Arial"/>
          <w:sz w:val="22"/>
          <w:szCs w:val="22"/>
          <w:lang w:val="es-ES"/>
        </w:rPr>
        <w:t xml:space="preserve"> de intervenciones</w:t>
      </w:r>
      <w:r w:rsidR="00392CEF" w:rsidRPr="0077530D">
        <w:rPr>
          <w:rFonts w:ascii="Arial" w:eastAsia="Arial" w:hAnsi="Arial" w:cs="Arial"/>
          <w:sz w:val="22"/>
          <w:szCs w:val="22"/>
          <w:lang w:val="es-ES"/>
        </w:rPr>
        <w:t xml:space="preserve"> </w:t>
      </w:r>
      <w:r w:rsidR="00FC74EA" w:rsidRPr="0077530D">
        <w:rPr>
          <w:rFonts w:ascii="Arial" w:eastAsia="Arial" w:hAnsi="Arial" w:cs="Arial"/>
          <w:sz w:val="22"/>
          <w:szCs w:val="22"/>
          <w:lang w:val="es-ES"/>
        </w:rPr>
        <w:t>de</w:t>
      </w:r>
      <w:r w:rsidR="00642DA6" w:rsidRPr="0077530D">
        <w:rPr>
          <w:rFonts w:ascii="Arial" w:eastAsia="Arial" w:hAnsi="Arial" w:cs="Arial"/>
          <w:sz w:val="22"/>
          <w:szCs w:val="22"/>
          <w:lang w:val="es-ES"/>
        </w:rPr>
        <w:t xml:space="preserve">l </w:t>
      </w:r>
      <w:r w:rsidR="001C215A" w:rsidRPr="0077530D">
        <w:rPr>
          <w:rFonts w:ascii="Arial" w:eastAsia="Arial" w:hAnsi="Arial" w:cs="Arial"/>
          <w:sz w:val="22"/>
          <w:szCs w:val="22"/>
          <w:lang w:val="es-ES"/>
        </w:rPr>
        <w:t>p</w:t>
      </w:r>
      <w:r w:rsidR="00A84ED8" w:rsidRPr="0077530D">
        <w:rPr>
          <w:rFonts w:ascii="Arial" w:eastAsia="Arial" w:hAnsi="Arial" w:cs="Arial"/>
          <w:sz w:val="22"/>
          <w:szCs w:val="22"/>
          <w:lang w:val="es-ES"/>
        </w:rPr>
        <w:t>rograma</w:t>
      </w:r>
      <w:r w:rsidR="00DA3C95" w:rsidRPr="0077530D">
        <w:rPr>
          <w:rFonts w:ascii="Arial" w:eastAsia="Arial" w:hAnsi="Arial" w:cs="Arial"/>
          <w:sz w:val="22"/>
          <w:szCs w:val="22"/>
          <w:lang w:val="es-ES"/>
        </w:rPr>
        <w:t xml:space="preserve">. </w:t>
      </w:r>
      <w:r w:rsidR="00392CEF" w:rsidRPr="0077530D">
        <w:rPr>
          <w:rFonts w:ascii="Arial" w:eastAsia="Arial" w:hAnsi="Arial" w:cs="Arial"/>
          <w:sz w:val="22"/>
          <w:szCs w:val="22"/>
          <w:lang w:val="es-ES"/>
        </w:rPr>
        <w:t xml:space="preserve">En primer </w:t>
      </w:r>
      <w:r w:rsidR="00E6546E" w:rsidRPr="0077530D">
        <w:rPr>
          <w:rFonts w:ascii="Arial" w:eastAsia="Arial" w:hAnsi="Arial" w:cs="Arial"/>
          <w:sz w:val="22"/>
          <w:szCs w:val="22"/>
          <w:lang w:val="es-ES"/>
        </w:rPr>
        <w:t>lugar,</w:t>
      </w:r>
      <w:r w:rsidR="00392CEF" w:rsidRPr="0077530D">
        <w:rPr>
          <w:rFonts w:ascii="Arial" w:eastAsia="Arial" w:hAnsi="Arial" w:cs="Arial"/>
          <w:sz w:val="22"/>
          <w:szCs w:val="22"/>
          <w:lang w:val="es-ES"/>
        </w:rPr>
        <w:t xml:space="preserve"> se </w:t>
      </w:r>
      <w:r w:rsidR="006A4084" w:rsidRPr="0077530D">
        <w:rPr>
          <w:rFonts w:ascii="Arial" w:eastAsia="Arial" w:hAnsi="Arial" w:cs="Arial"/>
          <w:sz w:val="22"/>
          <w:szCs w:val="22"/>
          <w:lang w:val="es-ES"/>
        </w:rPr>
        <w:t xml:space="preserve">generarán beneficios </w:t>
      </w:r>
      <w:r w:rsidR="00392CEF" w:rsidRPr="0077530D">
        <w:rPr>
          <w:rFonts w:ascii="Arial" w:eastAsia="Arial" w:hAnsi="Arial" w:cs="Arial"/>
          <w:sz w:val="22"/>
          <w:szCs w:val="22"/>
          <w:lang w:val="es-ES"/>
        </w:rPr>
        <w:t xml:space="preserve">por las </w:t>
      </w:r>
      <w:r w:rsidR="006016B5" w:rsidRPr="0077530D">
        <w:rPr>
          <w:rFonts w:ascii="Arial" w:eastAsia="Arial" w:hAnsi="Arial" w:cs="Arial"/>
          <w:sz w:val="22"/>
          <w:szCs w:val="22"/>
          <w:lang w:val="es-ES"/>
        </w:rPr>
        <w:t>mejora</w:t>
      </w:r>
      <w:r w:rsidR="00DA3C95" w:rsidRPr="0077530D">
        <w:rPr>
          <w:rFonts w:ascii="Arial" w:eastAsia="Arial" w:hAnsi="Arial" w:cs="Arial"/>
          <w:sz w:val="22"/>
          <w:szCs w:val="22"/>
          <w:lang w:val="es-ES"/>
        </w:rPr>
        <w:t xml:space="preserve">s </w:t>
      </w:r>
      <w:r w:rsidR="002C4941" w:rsidRPr="0077530D">
        <w:rPr>
          <w:rFonts w:ascii="Arial" w:eastAsia="Arial" w:hAnsi="Arial" w:cs="Arial"/>
          <w:sz w:val="22"/>
          <w:szCs w:val="22"/>
          <w:lang w:val="es-ES"/>
        </w:rPr>
        <w:t xml:space="preserve">en equipamiento </w:t>
      </w:r>
      <w:r w:rsidR="006A4084" w:rsidRPr="0077530D">
        <w:rPr>
          <w:rFonts w:ascii="Arial" w:eastAsia="Arial" w:hAnsi="Arial" w:cs="Arial"/>
          <w:sz w:val="22"/>
          <w:szCs w:val="22"/>
          <w:lang w:val="es-ES"/>
        </w:rPr>
        <w:t xml:space="preserve">e </w:t>
      </w:r>
      <w:r w:rsidR="00677095" w:rsidRPr="0077530D">
        <w:rPr>
          <w:rFonts w:ascii="Arial" w:eastAsia="Arial" w:hAnsi="Arial" w:cs="Arial"/>
          <w:sz w:val="22"/>
          <w:szCs w:val="22"/>
          <w:lang w:val="es-ES"/>
        </w:rPr>
        <w:t>infraestructura</w:t>
      </w:r>
      <w:r w:rsidR="002C4941" w:rsidRPr="0077530D">
        <w:rPr>
          <w:rFonts w:ascii="Arial" w:eastAsia="Arial" w:hAnsi="Arial" w:cs="Arial"/>
          <w:sz w:val="22"/>
          <w:szCs w:val="22"/>
          <w:lang w:val="es-ES"/>
        </w:rPr>
        <w:t xml:space="preserve"> </w:t>
      </w:r>
      <w:r w:rsidR="00137C48" w:rsidRPr="0077530D">
        <w:rPr>
          <w:rFonts w:ascii="Arial" w:eastAsia="Arial" w:hAnsi="Arial" w:cs="Arial"/>
          <w:sz w:val="22"/>
          <w:szCs w:val="22"/>
          <w:lang w:val="es-ES"/>
        </w:rPr>
        <w:t>(construcción</w:t>
      </w:r>
      <w:r w:rsidR="007C6890" w:rsidRPr="0077530D">
        <w:rPr>
          <w:rFonts w:ascii="Arial" w:eastAsia="Arial" w:hAnsi="Arial" w:cs="Arial"/>
          <w:sz w:val="22"/>
          <w:szCs w:val="22"/>
          <w:lang w:val="es-ES"/>
        </w:rPr>
        <w:t>/</w:t>
      </w:r>
      <w:r w:rsidR="00137C48" w:rsidRPr="0077530D">
        <w:rPr>
          <w:rFonts w:ascii="Arial" w:eastAsia="Arial" w:hAnsi="Arial" w:cs="Arial"/>
          <w:sz w:val="22"/>
          <w:szCs w:val="22"/>
          <w:lang w:val="es-ES"/>
        </w:rPr>
        <w:t xml:space="preserve"> ampliación </w:t>
      </w:r>
      <w:r w:rsidR="00C63F38" w:rsidRPr="0077530D">
        <w:rPr>
          <w:rFonts w:ascii="Arial" w:eastAsia="Arial" w:hAnsi="Arial" w:cs="Arial"/>
          <w:sz w:val="22"/>
          <w:szCs w:val="22"/>
          <w:lang w:val="es-ES"/>
        </w:rPr>
        <w:t xml:space="preserve">y equipamiento </w:t>
      </w:r>
      <w:r w:rsidR="002C4941" w:rsidRPr="0077530D">
        <w:rPr>
          <w:rFonts w:ascii="Arial" w:eastAsia="Arial" w:hAnsi="Arial" w:cs="Arial"/>
          <w:sz w:val="22"/>
          <w:szCs w:val="22"/>
          <w:lang w:val="es-ES"/>
        </w:rPr>
        <w:t>de hospitales</w:t>
      </w:r>
      <w:r w:rsidR="00137C48" w:rsidRPr="0077530D">
        <w:rPr>
          <w:rFonts w:ascii="Arial" w:eastAsia="Arial" w:hAnsi="Arial" w:cs="Arial"/>
          <w:sz w:val="22"/>
          <w:szCs w:val="22"/>
          <w:lang w:val="es-ES"/>
        </w:rPr>
        <w:t xml:space="preserve"> de segundo y tercer nivel de atención</w:t>
      </w:r>
      <w:r w:rsidR="007C6890" w:rsidRPr="0077530D">
        <w:rPr>
          <w:rFonts w:ascii="Arial" w:eastAsia="Arial" w:hAnsi="Arial" w:cs="Arial"/>
          <w:sz w:val="22"/>
          <w:szCs w:val="22"/>
          <w:lang w:val="es-ES"/>
        </w:rPr>
        <w:t xml:space="preserve"> y centros de salud</w:t>
      </w:r>
      <w:r w:rsidR="00137C48" w:rsidRPr="0077530D">
        <w:rPr>
          <w:rFonts w:ascii="Arial" w:eastAsia="Arial" w:hAnsi="Arial" w:cs="Arial"/>
          <w:sz w:val="22"/>
          <w:szCs w:val="22"/>
          <w:lang w:val="es-ES"/>
        </w:rPr>
        <w:t>)</w:t>
      </w:r>
      <w:r w:rsidR="00677095" w:rsidRPr="0077530D">
        <w:rPr>
          <w:rFonts w:ascii="Arial" w:eastAsia="Arial" w:hAnsi="Arial" w:cs="Arial"/>
          <w:sz w:val="22"/>
          <w:szCs w:val="22"/>
          <w:lang w:val="es-ES"/>
        </w:rPr>
        <w:t>. Además,</w:t>
      </w:r>
      <w:r w:rsidR="001475C6" w:rsidRPr="0077530D">
        <w:rPr>
          <w:rFonts w:ascii="Arial" w:eastAsia="Arial" w:hAnsi="Arial" w:cs="Arial"/>
          <w:sz w:val="22"/>
          <w:szCs w:val="22"/>
          <w:lang w:val="es-ES"/>
        </w:rPr>
        <w:t xml:space="preserve"> la implementación de la estrategia CONE</w:t>
      </w:r>
      <w:r w:rsidR="000E0DF0" w:rsidRPr="0077530D">
        <w:rPr>
          <w:rFonts w:ascii="Arial" w:eastAsia="Arial" w:hAnsi="Arial" w:cs="Arial"/>
          <w:sz w:val="22"/>
          <w:szCs w:val="22"/>
          <w:lang w:val="es-ES"/>
        </w:rPr>
        <w:t xml:space="preserve"> y</w:t>
      </w:r>
      <w:r w:rsidR="00677095" w:rsidRPr="0077530D">
        <w:rPr>
          <w:rFonts w:ascii="Arial" w:eastAsia="Arial" w:hAnsi="Arial" w:cs="Arial"/>
          <w:sz w:val="22"/>
          <w:szCs w:val="22"/>
          <w:lang w:val="es-ES"/>
        </w:rPr>
        <w:t xml:space="preserve"> las mejoras</w:t>
      </w:r>
      <w:r w:rsidR="00DA3C95" w:rsidRPr="0077530D">
        <w:rPr>
          <w:rFonts w:ascii="Arial" w:eastAsia="Arial" w:hAnsi="Arial" w:cs="Arial"/>
          <w:sz w:val="22"/>
          <w:szCs w:val="22"/>
          <w:lang w:val="es-ES"/>
        </w:rPr>
        <w:t xml:space="preserve"> </w:t>
      </w:r>
      <w:r w:rsidR="00677095" w:rsidRPr="0077530D">
        <w:rPr>
          <w:rFonts w:ascii="Arial" w:eastAsia="Arial" w:hAnsi="Arial" w:cs="Arial"/>
          <w:sz w:val="22"/>
          <w:szCs w:val="22"/>
          <w:lang w:val="es-ES"/>
        </w:rPr>
        <w:t xml:space="preserve">en </w:t>
      </w:r>
      <w:r w:rsidR="00507625" w:rsidRPr="0077530D">
        <w:rPr>
          <w:rFonts w:ascii="Arial" w:eastAsia="Arial" w:hAnsi="Arial" w:cs="Arial"/>
          <w:sz w:val="22"/>
          <w:szCs w:val="22"/>
          <w:lang w:val="es-ES"/>
        </w:rPr>
        <w:t xml:space="preserve">procesos de </w:t>
      </w:r>
      <w:r w:rsidR="00DA3C95" w:rsidRPr="0077530D">
        <w:rPr>
          <w:rFonts w:ascii="Arial" w:eastAsia="Arial" w:hAnsi="Arial" w:cs="Arial"/>
          <w:sz w:val="22"/>
          <w:szCs w:val="22"/>
          <w:lang w:val="es-ES"/>
        </w:rPr>
        <w:t>gestión y</w:t>
      </w:r>
      <w:r w:rsidR="00677095" w:rsidRPr="0077530D">
        <w:rPr>
          <w:rFonts w:ascii="Arial" w:eastAsia="Arial" w:hAnsi="Arial" w:cs="Arial"/>
          <w:sz w:val="22"/>
          <w:szCs w:val="22"/>
          <w:lang w:val="es-ES"/>
        </w:rPr>
        <w:t xml:space="preserve"> sistemas de información </w:t>
      </w:r>
      <w:r w:rsidR="00392CEF" w:rsidRPr="0077530D">
        <w:rPr>
          <w:rFonts w:ascii="Arial" w:eastAsia="Arial" w:hAnsi="Arial" w:cs="Arial"/>
          <w:sz w:val="22"/>
          <w:szCs w:val="22"/>
          <w:lang w:val="es-ES"/>
        </w:rPr>
        <w:t xml:space="preserve">influirán en todo el </w:t>
      </w:r>
      <w:r w:rsidR="001475C6" w:rsidRPr="0077530D">
        <w:rPr>
          <w:rFonts w:ascii="Arial" w:eastAsia="Arial" w:hAnsi="Arial" w:cs="Arial"/>
          <w:sz w:val="22"/>
          <w:szCs w:val="22"/>
          <w:lang w:val="es-ES"/>
        </w:rPr>
        <w:t>país</w:t>
      </w:r>
      <w:r w:rsidR="006016B5" w:rsidRPr="0077530D">
        <w:rPr>
          <w:rFonts w:ascii="Arial" w:eastAsia="Arial" w:hAnsi="Arial" w:cs="Arial"/>
          <w:sz w:val="22"/>
          <w:szCs w:val="22"/>
          <w:lang w:val="es-ES"/>
        </w:rPr>
        <w:t>. Una analogía que f</w:t>
      </w:r>
      <w:r w:rsidR="00AD2B33" w:rsidRPr="0077530D">
        <w:rPr>
          <w:rFonts w:ascii="Arial" w:eastAsia="Arial" w:hAnsi="Arial" w:cs="Arial"/>
          <w:sz w:val="22"/>
          <w:szCs w:val="22"/>
          <w:lang w:val="es-ES"/>
        </w:rPr>
        <w:t>acilita entender el enfoque</w:t>
      </w:r>
      <w:r w:rsidR="00392CEF" w:rsidRPr="0077530D">
        <w:rPr>
          <w:rFonts w:ascii="Arial" w:eastAsia="Arial" w:hAnsi="Arial" w:cs="Arial"/>
          <w:sz w:val="22"/>
          <w:szCs w:val="22"/>
          <w:lang w:val="es-ES"/>
        </w:rPr>
        <w:t xml:space="preserve"> </w:t>
      </w:r>
      <w:r w:rsidR="00E6546E" w:rsidRPr="0077530D">
        <w:rPr>
          <w:rFonts w:ascii="Arial" w:eastAsia="Arial" w:hAnsi="Arial" w:cs="Arial"/>
          <w:sz w:val="22"/>
          <w:szCs w:val="22"/>
          <w:lang w:val="es-ES"/>
        </w:rPr>
        <w:t>utilizado</w:t>
      </w:r>
      <w:r w:rsidR="00AD2B33" w:rsidRPr="0077530D">
        <w:rPr>
          <w:rFonts w:ascii="Arial" w:eastAsia="Arial" w:hAnsi="Arial" w:cs="Arial"/>
          <w:sz w:val="22"/>
          <w:szCs w:val="22"/>
          <w:lang w:val="es-ES"/>
        </w:rPr>
        <w:t xml:space="preserve"> es pensar</w:t>
      </w:r>
      <w:r w:rsidR="00392CEF" w:rsidRPr="0077530D">
        <w:rPr>
          <w:rFonts w:ascii="Arial" w:eastAsia="Arial" w:hAnsi="Arial" w:cs="Arial"/>
          <w:sz w:val="22"/>
          <w:szCs w:val="22"/>
          <w:lang w:val="es-ES"/>
        </w:rPr>
        <w:t xml:space="preserve"> en cada tipo de intervención como</w:t>
      </w:r>
      <w:r w:rsidR="00AD2B33" w:rsidRPr="0077530D">
        <w:rPr>
          <w:rFonts w:ascii="Arial" w:eastAsia="Arial" w:hAnsi="Arial" w:cs="Arial"/>
          <w:sz w:val="22"/>
          <w:szCs w:val="22"/>
          <w:lang w:val="es-ES"/>
        </w:rPr>
        <w:t xml:space="preserve"> una capa</w:t>
      </w:r>
      <w:r w:rsidR="006016B5" w:rsidRPr="0077530D">
        <w:rPr>
          <w:rFonts w:ascii="Arial" w:eastAsia="Arial" w:hAnsi="Arial" w:cs="Arial"/>
          <w:sz w:val="22"/>
          <w:szCs w:val="22"/>
          <w:lang w:val="es-ES"/>
        </w:rPr>
        <w:t xml:space="preserve"> de beneficios</w:t>
      </w:r>
      <w:r w:rsidR="00AD2B33" w:rsidRPr="0077530D">
        <w:rPr>
          <w:rFonts w:ascii="Arial" w:eastAsia="Arial" w:hAnsi="Arial" w:cs="Arial"/>
          <w:sz w:val="22"/>
          <w:szCs w:val="22"/>
          <w:lang w:val="es-ES"/>
        </w:rPr>
        <w:t>.</w:t>
      </w:r>
      <w:r w:rsidR="006016B5" w:rsidRPr="0077530D">
        <w:rPr>
          <w:rFonts w:ascii="Arial" w:eastAsia="Arial" w:hAnsi="Arial" w:cs="Arial"/>
          <w:sz w:val="22"/>
          <w:szCs w:val="22"/>
          <w:lang w:val="es-ES"/>
        </w:rPr>
        <w:t xml:space="preserve"> El beneficio total</w:t>
      </w:r>
      <w:r w:rsidR="00AD2B33" w:rsidRPr="0077530D">
        <w:rPr>
          <w:rFonts w:ascii="Arial" w:eastAsia="Arial" w:hAnsi="Arial" w:cs="Arial"/>
          <w:sz w:val="22"/>
          <w:szCs w:val="22"/>
          <w:lang w:val="es-ES"/>
        </w:rPr>
        <w:t xml:space="preserve"> de un territorio entonces está determinado por el total de capas que se superponen</w:t>
      </w:r>
      <w:r w:rsidR="00392CEF" w:rsidRPr="0077530D">
        <w:rPr>
          <w:rFonts w:ascii="Arial" w:eastAsia="Arial" w:hAnsi="Arial" w:cs="Arial"/>
          <w:sz w:val="22"/>
          <w:szCs w:val="22"/>
          <w:lang w:val="es-ES"/>
        </w:rPr>
        <w:t xml:space="preserve"> sobre dicho territorio</w:t>
      </w:r>
      <w:r w:rsidR="00AD2B33" w:rsidRPr="0077530D">
        <w:rPr>
          <w:rFonts w:ascii="Arial" w:eastAsia="Arial" w:hAnsi="Arial" w:cs="Arial"/>
          <w:sz w:val="22"/>
          <w:szCs w:val="22"/>
          <w:lang w:val="es-ES"/>
        </w:rPr>
        <w:t xml:space="preserve">. </w:t>
      </w:r>
    </w:p>
    <w:p w14:paraId="3DE953BD" w14:textId="306C4813" w:rsidR="00A719A7" w:rsidRPr="0077530D" w:rsidRDefault="006016B5" w:rsidP="0077530D">
      <w:pPr>
        <w:spacing w:before="120" w:after="100" w:afterAutospacing="1"/>
        <w:jc w:val="both"/>
        <w:rPr>
          <w:rFonts w:ascii="Arial" w:eastAsia="Arial" w:hAnsi="Arial" w:cs="Arial"/>
          <w:sz w:val="22"/>
          <w:szCs w:val="22"/>
          <w:lang w:val="es-ES"/>
        </w:rPr>
      </w:pPr>
      <w:r w:rsidRPr="0077530D">
        <w:rPr>
          <w:rFonts w:ascii="Arial" w:eastAsia="Arial" w:hAnsi="Arial" w:cs="Arial"/>
          <w:sz w:val="22"/>
          <w:szCs w:val="22"/>
          <w:lang w:val="es-ES"/>
        </w:rPr>
        <w:t>El aná</w:t>
      </w:r>
      <w:r w:rsidR="00AD2B33" w:rsidRPr="0077530D">
        <w:rPr>
          <w:rFonts w:ascii="Arial" w:eastAsia="Arial" w:hAnsi="Arial" w:cs="Arial"/>
          <w:sz w:val="22"/>
          <w:szCs w:val="22"/>
          <w:lang w:val="es-ES"/>
        </w:rPr>
        <w:t>lisis considera</w:t>
      </w:r>
      <w:r w:rsidR="00F30797" w:rsidRPr="0077530D">
        <w:rPr>
          <w:rFonts w:ascii="Arial" w:eastAsia="Arial" w:hAnsi="Arial" w:cs="Arial"/>
          <w:sz w:val="22"/>
          <w:szCs w:val="22"/>
          <w:lang w:val="es-ES"/>
        </w:rPr>
        <w:t xml:space="preserve"> varios escenarios que permiten realizar un detallado</w:t>
      </w:r>
      <w:r w:rsidR="00AD2B33" w:rsidRPr="0077530D">
        <w:rPr>
          <w:rFonts w:ascii="Arial" w:eastAsia="Arial" w:hAnsi="Arial" w:cs="Arial"/>
          <w:sz w:val="22"/>
          <w:szCs w:val="22"/>
          <w:lang w:val="es-ES"/>
        </w:rPr>
        <w:t xml:space="preserve"> </w:t>
      </w:r>
      <w:r w:rsidR="00DA3C95" w:rsidRPr="0077530D">
        <w:rPr>
          <w:rFonts w:ascii="Arial" w:eastAsia="Arial" w:hAnsi="Arial" w:cs="Arial"/>
          <w:sz w:val="22"/>
          <w:szCs w:val="22"/>
          <w:lang w:val="es-ES"/>
        </w:rPr>
        <w:t>análisis de sensibilidad.</w:t>
      </w:r>
      <w:r w:rsidR="00AD2B33" w:rsidRPr="0077530D">
        <w:rPr>
          <w:rFonts w:ascii="Arial" w:eastAsia="Arial" w:hAnsi="Arial" w:cs="Arial"/>
          <w:sz w:val="22"/>
          <w:szCs w:val="22"/>
          <w:lang w:val="es-ES"/>
        </w:rPr>
        <w:t xml:space="preserve"> En primer lugar</w:t>
      </w:r>
      <w:r w:rsidR="00C558DB" w:rsidRPr="0077530D">
        <w:rPr>
          <w:rFonts w:ascii="Arial" w:eastAsia="Arial" w:hAnsi="Arial" w:cs="Arial"/>
          <w:sz w:val="22"/>
          <w:szCs w:val="22"/>
          <w:lang w:val="es-ES"/>
        </w:rPr>
        <w:t>,</w:t>
      </w:r>
      <w:r w:rsidR="00AD2B33" w:rsidRPr="0077530D">
        <w:rPr>
          <w:rFonts w:ascii="Arial" w:eastAsia="Arial" w:hAnsi="Arial" w:cs="Arial"/>
          <w:sz w:val="22"/>
          <w:szCs w:val="22"/>
          <w:lang w:val="es-ES"/>
        </w:rPr>
        <w:t xml:space="preserve"> se </w:t>
      </w:r>
      <w:r w:rsidR="00DA3C95" w:rsidRPr="0077530D">
        <w:rPr>
          <w:rFonts w:ascii="Arial" w:eastAsia="Arial" w:hAnsi="Arial" w:cs="Arial"/>
          <w:sz w:val="22"/>
          <w:szCs w:val="22"/>
          <w:lang w:val="es-ES"/>
        </w:rPr>
        <w:t>analizan</w:t>
      </w:r>
      <w:r w:rsidR="00AD2B33" w:rsidRPr="0077530D">
        <w:rPr>
          <w:rFonts w:ascii="Arial" w:eastAsia="Arial" w:hAnsi="Arial" w:cs="Arial"/>
          <w:sz w:val="22"/>
          <w:szCs w:val="22"/>
          <w:lang w:val="es-ES"/>
        </w:rPr>
        <w:t xml:space="preserve"> tres escenarios sobre la contribución marginal a</w:t>
      </w:r>
      <w:r w:rsidRPr="0077530D">
        <w:rPr>
          <w:rFonts w:ascii="Arial" w:eastAsia="Arial" w:hAnsi="Arial" w:cs="Arial"/>
          <w:sz w:val="22"/>
          <w:szCs w:val="22"/>
          <w:lang w:val="es-ES"/>
        </w:rPr>
        <w:t xml:space="preserve"> la cobertura efectiva de salud </w:t>
      </w:r>
      <w:r w:rsidR="00392CEF" w:rsidRPr="0077530D">
        <w:rPr>
          <w:rFonts w:ascii="Arial" w:eastAsia="Arial" w:hAnsi="Arial" w:cs="Arial"/>
          <w:sz w:val="22"/>
          <w:szCs w:val="22"/>
          <w:lang w:val="es-ES"/>
        </w:rPr>
        <w:t>que tendrá</w:t>
      </w:r>
      <w:r w:rsidR="00AD2B33" w:rsidRPr="0077530D">
        <w:rPr>
          <w:rFonts w:ascii="Arial" w:eastAsia="Arial" w:hAnsi="Arial" w:cs="Arial"/>
          <w:sz w:val="22"/>
          <w:szCs w:val="22"/>
          <w:lang w:val="es-ES"/>
        </w:rPr>
        <w:t xml:space="preserve"> </w:t>
      </w:r>
      <w:r w:rsidR="00DA3C95" w:rsidRPr="0077530D">
        <w:rPr>
          <w:rFonts w:ascii="Arial" w:eastAsia="Arial" w:hAnsi="Arial" w:cs="Arial"/>
          <w:sz w:val="22"/>
          <w:szCs w:val="22"/>
          <w:lang w:val="es-ES"/>
        </w:rPr>
        <w:t xml:space="preserve">cada una de </w:t>
      </w:r>
      <w:r w:rsidR="00AD2B33" w:rsidRPr="0077530D">
        <w:rPr>
          <w:rFonts w:ascii="Arial" w:eastAsia="Arial" w:hAnsi="Arial" w:cs="Arial"/>
          <w:sz w:val="22"/>
          <w:szCs w:val="22"/>
          <w:lang w:val="es-ES"/>
        </w:rPr>
        <w:t>las intervenciones</w:t>
      </w:r>
      <w:r w:rsidR="00392CEF" w:rsidRPr="0077530D">
        <w:rPr>
          <w:rFonts w:ascii="Arial" w:eastAsia="Arial" w:hAnsi="Arial" w:cs="Arial"/>
          <w:sz w:val="22"/>
          <w:szCs w:val="22"/>
          <w:lang w:val="es-ES"/>
        </w:rPr>
        <w:t xml:space="preserve">, en ausencia de modelos que permitan estimar la contribución marginal el análisis se centra en justificar </w:t>
      </w:r>
      <w:r w:rsidR="00C558DB" w:rsidRPr="0077530D">
        <w:rPr>
          <w:rFonts w:ascii="Arial" w:eastAsia="Arial" w:hAnsi="Arial" w:cs="Arial"/>
          <w:sz w:val="22"/>
          <w:szCs w:val="22"/>
          <w:lang w:val="es-ES"/>
        </w:rPr>
        <w:t>por qué</w:t>
      </w:r>
      <w:r w:rsidR="00392CEF" w:rsidRPr="0077530D">
        <w:rPr>
          <w:rFonts w:ascii="Arial" w:eastAsia="Arial" w:hAnsi="Arial" w:cs="Arial"/>
          <w:sz w:val="22"/>
          <w:szCs w:val="22"/>
          <w:lang w:val="es-ES"/>
        </w:rPr>
        <w:t xml:space="preserve"> hay un margen de mejora de cobertura y utiliza un análisis de sensibilidad para establecer un rango</w:t>
      </w:r>
      <w:r w:rsidR="00AD2B33" w:rsidRPr="0077530D">
        <w:rPr>
          <w:rFonts w:ascii="Arial" w:eastAsia="Arial" w:hAnsi="Arial" w:cs="Arial"/>
          <w:sz w:val="22"/>
          <w:szCs w:val="22"/>
          <w:lang w:val="es-ES"/>
        </w:rPr>
        <w:t>. En segundo lugar</w:t>
      </w:r>
      <w:r w:rsidR="00C558DB" w:rsidRPr="0077530D">
        <w:rPr>
          <w:rFonts w:ascii="Arial" w:eastAsia="Arial" w:hAnsi="Arial" w:cs="Arial"/>
          <w:sz w:val="22"/>
          <w:szCs w:val="22"/>
          <w:lang w:val="es-ES"/>
        </w:rPr>
        <w:t>,</w:t>
      </w:r>
      <w:r w:rsidR="00AD2B33" w:rsidRPr="0077530D">
        <w:rPr>
          <w:rFonts w:ascii="Arial" w:eastAsia="Arial" w:hAnsi="Arial" w:cs="Arial"/>
          <w:sz w:val="22"/>
          <w:szCs w:val="22"/>
          <w:lang w:val="es-ES"/>
        </w:rPr>
        <w:t xml:space="preserve"> </w:t>
      </w:r>
      <w:r w:rsidR="00F30797" w:rsidRPr="0077530D">
        <w:rPr>
          <w:rFonts w:ascii="Arial" w:eastAsia="Arial" w:hAnsi="Arial" w:cs="Arial"/>
          <w:sz w:val="22"/>
          <w:szCs w:val="22"/>
          <w:lang w:val="es-ES"/>
        </w:rPr>
        <w:t xml:space="preserve">se </w:t>
      </w:r>
      <w:r w:rsidR="00AD2B33" w:rsidRPr="0077530D">
        <w:rPr>
          <w:rFonts w:ascii="Arial" w:eastAsia="Arial" w:hAnsi="Arial" w:cs="Arial"/>
          <w:sz w:val="22"/>
          <w:szCs w:val="22"/>
          <w:lang w:val="es-ES"/>
        </w:rPr>
        <w:t>considera</w:t>
      </w:r>
      <w:r w:rsidR="00F30797" w:rsidRPr="0077530D">
        <w:rPr>
          <w:rFonts w:ascii="Arial" w:eastAsia="Arial" w:hAnsi="Arial" w:cs="Arial"/>
          <w:sz w:val="22"/>
          <w:szCs w:val="22"/>
          <w:lang w:val="es-ES"/>
        </w:rPr>
        <w:t>n</w:t>
      </w:r>
      <w:r w:rsidR="00AD2B33" w:rsidRPr="0077530D">
        <w:rPr>
          <w:rFonts w:ascii="Arial" w:eastAsia="Arial" w:hAnsi="Arial" w:cs="Arial"/>
          <w:sz w:val="22"/>
          <w:szCs w:val="22"/>
          <w:lang w:val="es-ES"/>
        </w:rPr>
        <w:t xml:space="preserve"> tres vectores de gradualidad que modelan el</w:t>
      </w:r>
      <w:r w:rsidRPr="0077530D">
        <w:rPr>
          <w:rFonts w:ascii="Arial" w:eastAsia="Arial" w:hAnsi="Arial" w:cs="Arial"/>
          <w:sz w:val="22"/>
          <w:szCs w:val="22"/>
          <w:lang w:val="es-ES"/>
        </w:rPr>
        <w:t xml:space="preserve"> tiempo necesario para observar los beneficios de las mejoras en la red de servicios de salud. En este sentido se espera </w:t>
      </w:r>
      <w:r w:rsidR="00547A75" w:rsidRPr="0077530D">
        <w:rPr>
          <w:rFonts w:ascii="Arial" w:eastAsia="Arial" w:hAnsi="Arial" w:cs="Arial"/>
          <w:sz w:val="22"/>
          <w:szCs w:val="22"/>
          <w:lang w:val="es-ES"/>
        </w:rPr>
        <w:t>que los desembolsos comiencen en 201</w:t>
      </w:r>
      <w:r w:rsidR="00C558DB" w:rsidRPr="0077530D">
        <w:rPr>
          <w:rFonts w:ascii="Arial" w:eastAsia="Arial" w:hAnsi="Arial" w:cs="Arial"/>
          <w:sz w:val="22"/>
          <w:szCs w:val="22"/>
          <w:lang w:val="es-ES"/>
        </w:rPr>
        <w:t>8</w:t>
      </w:r>
      <w:r w:rsidR="00C87780" w:rsidRPr="0077530D">
        <w:rPr>
          <w:rFonts w:ascii="Arial" w:eastAsia="Arial" w:hAnsi="Arial" w:cs="Arial"/>
          <w:sz w:val="22"/>
          <w:szCs w:val="22"/>
          <w:lang w:val="es-ES"/>
        </w:rPr>
        <w:t xml:space="preserve"> y los primeros beneficios se observen </w:t>
      </w:r>
      <w:r w:rsidR="004B0BCD" w:rsidRPr="0077530D">
        <w:rPr>
          <w:rFonts w:ascii="Arial" w:eastAsia="Arial" w:hAnsi="Arial" w:cs="Arial"/>
          <w:sz w:val="22"/>
          <w:szCs w:val="22"/>
          <w:lang w:val="es-ES"/>
        </w:rPr>
        <w:t>en 2020</w:t>
      </w:r>
      <w:r w:rsidR="00E6546E" w:rsidRPr="0077530D">
        <w:rPr>
          <w:rFonts w:ascii="Arial" w:eastAsia="Arial" w:hAnsi="Arial" w:cs="Arial"/>
          <w:sz w:val="22"/>
          <w:szCs w:val="22"/>
          <w:lang w:val="es-ES"/>
        </w:rPr>
        <w:t>,</w:t>
      </w:r>
      <w:r w:rsidR="00C87780" w:rsidRPr="0077530D">
        <w:rPr>
          <w:rFonts w:ascii="Arial" w:eastAsia="Arial" w:hAnsi="Arial" w:cs="Arial"/>
          <w:sz w:val="22"/>
          <w:szCs w:val="22"/>
          <w:lang w:val="es-ES"/>
        </w:rPr>
        <w:t xml:space="preserve"> aunque sean de una magnitud moderada</w:t>
      </w:r>
      <w:r w:rsidR="005C665C" w:rsidRPr="0077530D">
        <w:rPr>
          <w:rFonts w:ascii="Arial" w:eastAsia="Arial" w:hAnsi="Arial" w:cs="Arial"/>
          <w:sz w:val="22"/>
          <w:szCs w:val="22"/>
          <w:lang w:val="es-ES"/>
        </w:rPr>
        <w:t>.</w:t>
      </w:r>
      <w:r w:rsidR="00C87780" w:rsidRPr="0077530D">
        <w:rPr>
          <w:rFonts w:ascii="Arial" w:eastAsia="Arial" w:hAnsi="Arial" w:cs="Arial"/>
          <w:sz w:val="22"/>
          <w:szCs w:val="22"/>
          <w:lang w:val="es-ES"/>
        </w:rPr>
        <w:t xml:space="preserve"> El análisis considera los beneficios obtenidos durante los </w:t>
      </w:r>
      <w:r w:rsidR="006F6F71" w:rsidRPr="0077530D">
        <w:rPr>
          <w:rFonts w:ascii="Arial" w:eastAsia="Arial" w:hAnsi="Arial" w:cs="Arial"/>
          <w:sz w:val="22"/>
          <w:szCs w:val="22"/>
          <w:lang w:val="es-ES"/>
        </w:rPr>
        <w:t>cinco</w:t>
      </w:r>
      <w:r w:rsidR="00C87780" w:rsidRPr="0077530D">
        <w:rPr>
          <w:rFonts w:ascii="Arial" w:eastAsia="Arial" w:hAnsi="Arial" w:cs="Arial"/>
          <w:sz w:val="22"/>
          <w:szCs w:val="22"/>
          <w:lang w:val="es-ES"/>
        </w:rPr>
        <w:t xml:space="preserve"> años de desembolso del préstamo. Esto coincide con los</w:t>
      </w:r>
      <w:r w:rsidR="00356A6F" w:rsidRPr="0077530D">
        <w:rPr>
          <w:rFonts w:ascii="Arial" w:eastAsia="Arial" w:hAnsi="Arial" w:cs="Arial"/>
          <w:sz w:val="22"/>
          <w:szCs w:val="22"/>
          <w:lang w:val="es-ES"/>
        </w:rPr>
        <w:t xml:space="preserve"> indicadores de </w:t>
      </w:r>
      <w:r w:rsidR="00C87780" w:rsidRPr="0077530D">
        <w:rPr>
          <w:rFonts w:ascii="Arial" w:eastAsia="Arial" w:hAnsi="Arial" w:cs="Arial"/>
          <w:sz w:val="22"/>
          <w:szCs w:val="22"/>
          <w:lang w:val="es-ES"/>
        </w:rPr>
        <w:t xml:space="preserve">resultados de la matriz de </w:t>
      </w:r>
      <w:r w:rsidR="00C87780" w:rsidRPr="0077530D">
        <w:rPr>
          <w:rFonts w:ascii="Arial" w:eastAsia="Arial" w:hAnsi="Arial" w:cs="Arial"/>
          <w:sz w:val="22"/>
          <w:szCs w:val="22"/>
          <w:lang w:val="es-ES"/>
        </w:rPr>
        <w:lastRenderedPageBreak/>
        <w:t>resultados espe</w:t>
      </w:r>
      <w:r w:rsidR="00B55A51" w:rsidRPr="0077530D">
        <w:rPr>
          <w:rFonts w:ascii="Arial" w:eastAsia="Arial" w:hAnsi="Arial" w:cs="Arial"/>
          <w:sz w:val="22"/>
          <w:szCs w:val="22"/>
          <w:lang w:val="es-ES"/>
        </w:rPr>
        <w:t>rados para 202</w:t>
      </w:r>
      <w:r w:rsidR="00C558DB" w:rsidRPr="0077530D">
        <w:rPr>
          <w:rFonts w:ascii="Arial" w:eastAsia="Arial" w:hAnsi="Arial" w:cs="Arial"/>
          <w:sz w:val="22"/>
          <w:szCs w:val="22"/>
          <w:lang w:val="es-ES"/>
        </w:rPr>
        <w:t>3</w:t>
      </w:r>
      <w:r w:rsidR="00EF339B" w:rsidRPr="0077530D">
        <w:rPr>
          <w:rFonts w:ascii="Arial" w:eastAsia="Arial" w:hAnsi="Arial" w:cs="Arial"/>
          <w:sz w:val="22"/>
          <w:szCs w:val="22"/>
          <w:lang w:val="es-ES"/>
        </w:rPr>
        <w:t xml:space="preserve"> y el horizonte de los indicadores </w:t>
      </w:r>
      <w:r w:rsidR="00592F85" w:rsidRPr="0077530D">
        <w:rPr>
          <w:rFonts w:ascii="Arial" w:eastAsia="Arial" w:hAnsi="Arial" w:cs="Arial"/>
          <w:sz w:val="22"/>
          <w:szCs w:val="22"/>
          <w:lang w:val="es-ES"/>
        </w:rPr>
        <w:t>de impacto</w:t>
      </w:r>
      <w:r w:rsidR="00B55A51" w:rsidRPr="0077530D">
        <w:rPr>
          <w:rFonts w:ascii="Arial" w:eastAsia="Arial" w:hAnsi="Arial" w:cs="Arial"/>
          <w:sz w:val="22"/>
          <w:szCs w:val="22"/>
          <w:lang w:val="es-ES"/>
        </w:rPr>
        <w:t>. Sin embargo</w:t>
      </w:r>
      <w:r w:rsidR="00A727CA" w:rsidRPr="0077530D">
        <w:rPr>
          <w:rFonts w:ascii="Arial" w:eastAsia="Arial" w:hAnsi="Arial" w:cs="Arial"/>
          <w:sz w:val="22"/>
          <w:szCs w:val="22"/>
          <w:lang w:val="es-ES"/>
        </w:rPr>
        <w:t>,</w:t>
      </w:r>
      <w:r w:rsidR="00B55A51" w:rsidRPr="0077530D">
        <w:rPr>
          <w:rFonts w:ascii="Arial" w:eastAsia="Arial" w:hAnsi="Arial" w:cs="Arial"/>
          <w:sz w:val="22"/>
          <w:szCs w:val="22"/>
          <w:lang w:val="es-ES"/>
        </w:rPr>
        <w:t xml:space="preserve"> se prevé que el pro</w:t>
      </w:r>
      <w:r w:rsidR="00DC1B3E" w:rsidRPr="0077530D">
        <w:rPr>
          <w:rFonts w:ascii="Arial" w:eastAsia="Arial" w:hAnsi="Arial" w:cs="Arial"/>
          <w:sz w:val="22"/>
          <w:szCs w:val="22"/>
          <w:lang w:val="es-ES"/>
        </w:rPr>
        <w:t>grama</w:t>
      </w:r>
      <w:r w:rsidR="00B55A51" w:rsidRPr="0077530D">
        <w:rPr>
          <w:rFonts w:ascii="Arial" w:eastAsia="Arial" w:hAnsi="Arial" w:cs="Arial"/>
          <w:sz w:val="22"/>
          <w:szCs w:val="22"/>
          <w:lang w:val="es-ES"/>
        </w:rPr>
        <w:t xml:space="preserve"> permita apalancar más beneficios en los años subsecuentes al periodo de desembolso, aunque para cosechar </w:t>
      </w:r>
      <w:r w:rsidR="006A4084" w:rsidRPr="0077530D">
        <w:rPr>
          <w:rFonts w:ascii="Arial" w:eastAsia="Arial" w:hAnsi="Arial" w:cs="Arial"/>
          <w:sz w:val="22"/>
          <w:szCs w:val="22"/>
          <w:lang w:val="es-ES"/>
        </w:rPr>
        <w:t xml:space="preserve">algunos de </w:t>
      </w:r>
      <w:r w:rsidR="00B55A51" w:rsidRPr="0077530D">
        <w:rPr>
          <w:rFonts w:ascii="Arial" w:eastAsia="Arial" w:hAnsi="Arial" w:cs="Arial"/>
          <w:sz w:val="22"/>
          <w:szCs w:val="22"/>
          <w:lang w:val="es-ES"/>
        </w:rPr>
        <w:t xml:space="preserve">estos beneficios se requiere de una inversión adicional que asegure la </w:t>
      </w:r>
      <w:r w:rsidR="006A4084" w:rsidRPr="0077530D">
        <w:rPr>
          <w:rFonts w:ascii="Arial" w:eastAsia="Arial" w:hAnsi="Arial" w:cs="Arial"/>
          <w:sz w:val="22"/>
          <w:szCs w:val="22"/>
          <w:lang w:val="es-ES"/>
        </w:rPr>
        <w:t xml:space="preserve">continuidad en la </w:t>
      </w:r>
      <w:r w:rsidR="00B55A51" w:rsidRPr="0077530D">
        <w:rPr>
          <w:rFonts w:ascii="Arial" w:eastAsia="Arial" w:hAnsi="Arial" w:cs="Arial"/>
          <w:sz w:val="22"/>
          <w:szCs w:val="22"/>
          <w:lang w:val="es-ES"/>
        </w:rPr>
        <w:t>prestación de los servicios</w:t>
      </w:r>
      <w:r w:rsidR="005C665C" w:rsidRPr="0077530D">
        <w:rPr>
          <w:rFonts w:ascii="Arial" w:eastAsia="Arial" w:hAnsi="Arial" w:cs="Arial"/>
          <w:sz w:val="22"/>
          <w:szCs w:val="22"/>
          <w:lang w:val="es-ES"/>
        </w:rPr>
        <w:t>.</w:t>
      </w:r>
      <w:r w:rsidR="00B55A51" w:rsidRPr="0077530D">
        <w:rPr>
          <w:rFonts w:ascii="Arial" w:eastAsia="Arial" w:hAnsi="Arial" w:cs="Arial"/>
          <w:sz w:val="22"/>
          <w:szCs w:val="22"/>
          <w:lang w:val="es-ES"/>
        </w:rPr>
        <w:t xml:space="preserve"> Por esta razón se agrega un análisis de costo beneficio con un horizonte más amplio que comprende de</w:t>
      </w:r>
      <w:r w:rsidR="007657D8" w:rsidRPr="0077530D">
        <w:rPr>
          <w:rFonts w:ascii="Arial" w:eastAsia="Arial" w:hAnsi="Arial" w:cs="Arial"/>
          <w:sz w:val="22"/>
          <w:szCs w:val="22"/>
          <w:lang w:val="es-ES"/>
        </w:rPr>
        <w:t xml:space="preserve"> 201</w:t>
      </w:r>
      <w:r w:rsidR="00C558DB" w:rsidRPr="0077530D">
        <w:rPr>
          <w:rFonts w:ascii="Arial" w:eastAsia="Arial" w:hAnsi="Arial" w:cs="Arial"/>
          <w:sz w:val="22"/>
          <w:szCs w:val="22"/>
          <w:lang w:val="es-ES"/>
        </w:rPr>
        <w:t>8</w:t>
      </w:r>
      <w:r w:rsidR="00DC1B3E" w:rsidRPr="0077530D">
        <w:rPr>
          <w:rFonts w:ascii="Arial" w:hAnsi="Arial" w:cs="Arial"/>
          <w:sz w:val="22"/>
          <w:szCs w:val="22"/>
          <w:lang w:val="es-ES_tradnl"/>
        </w:rPr>
        <w:noBreakHyphen/>
      </w:r>
      <w:r w:rsidR="007657D8" w:rsidRPr="0077530D">
        <w:rPr>
          <w:rFonts w:ascii="Arial" w:eastAsia="Arial" w:hAnsi="Arial" w:cs="Arial"/>
          <w:sz w:val="22"/>
          <w:szCs w:val="22"/>
          <w:lang w:val="es-ES"/>
        </w:rPr>
        <w:t>202</w:t>
      </w:r>
      <w:r w:rsidR="00C558DB" w:rsidRPr="0077530D">
        <w:rPr>
          <w:rFonts w:ascii="Arial" w:eastAsia="Arial" w:hAnsi="Arial" w:cs="Arial"/>
          <w:sz w:val="22"/>
          <w:szCs w:val="22"/>
          <w:lang w:val="es-ES"/>
        </w:rPr>
        <w:t>8</w:t>
      </w:r>
      <w:r w:rsidR="007657D8" w:rsidRPr="0077530D">
        <w:rPr>
          <w:rFonts w:ascii="Arial" w:eastAsia="Arial" w:hAnsi="Arial" w:cs="Arial"/>
          <w:sz w:val="22"/>
          <w:szCs w:val="22"/>
          <w:lang w:val="es-ES"/>
        </w:rPr>
        <w:t xml:space="preserve">. </w:t>
      </w:r>
      <w:r w:rsidR="00B55A51" w:rsidRPr="0077530D">
        <w:rPr>
          <w:rFonts w:ascii="Arial" w:eastAsia="Arial" w:hAnsi="Arial" w:cs="Arial"/>
          <w:sz w:val="22"/>
          <w:szCs w:val="22"/>
          <w:lang w:val="es-ES"/>
        </w:rPr>
        <w:t>En este análisis</w:t>
      </w:r>
      <w:r w:rsidR="007657D8" w:rsidRPr="0077530D">
        <w:rPr>
          <w:rFonts w:ascii="Arial" w:eastAsia="Arial" w:hAnsi="Arial" w:cs="Arial"/>
          <w:sz w:val="22"/>
          <w:szCs w:val="22"/>
          <w:lang w:val="es-ES"/>
        </w:rPr>
        <w:t xml:space="preserve"> alternativo</w:t>
      </w:r>
      <w:r w:rsidR="00B55A51" w:rsidRPr="0077530D">
        <w:rPr>
          <w:rFonts w:ascii="Arial" w:eastAsia="Arial" w:hAnsi="Arial" w:cs="Arial"/>
          <w:sz w:val="22"/>
          <w:szCs w:val="22"/>
          <w:lang w:val="es-ES"/>
        </w:rPr>
        <w:t xml:space="preserve"> se considera un factor de sobrecosto</w:t>
      </w:r>
      <w:r w:rsidR="007657D8" w:rsidRPr="0077530D">
        <w:rPr>
          <w:rFonts w:ascii="Arial" w:eastAsia="Arial" w:hAnsi="Arial" w:cs="Arial"/>
          <w:sz w:val="22"/>
          <w:szCs w:val="22"/>
          <w:lang w:val="es-ES"/>
        </w:rPr>
        <w:t xml:space="preserve"> de </w:t>
      </w:r>
      <w:r w:rsidR="007F333C" w:rsidRPr="0077530D">
        <w:rPr>
          <w:rFonts w:ascii="Arial" w:eastAsia="Arial" w:hAnsi="Arial" w:cs="Arial"/>
          <w:sz w:val="22"/>
          <w:szCs w:val="22"/>
          <w:lang w:val="es-ES"/>
        </w:rPr>
        <w:t>35</w:t>
      </w:r>
      <w:r w:rsidR="007657D8" w:rsidRPr="0077530D">
        <w:rPr>
          <w:rFonts w:ascii="Arial" w:eastAsia="Arial" w:hAnsi="Arial" w:cs="Arial"/>
          <w:sz w:val="22"/>
          <w:szCs w:val="22"/>
          <w:lang w:val="es-ES"/>
        </w:rPr>
        <w:t xml:space="preserve"> millones</w:t>
      </w:r>
      <w:r w:rsidR="00632642" w:rsidRPr="0077530D">
        <w:rPr>
          <w:rFonts w:ascii="Arial" w:eastAsia="Arial" w:hAnsi="Arial" w:cs="Arial"/>
          <w:sz w:val="22"/>
          <w:szCs w:val="22"/>
          <w:lang w:val="es-ES"/>
        </w:rPr>
        <w:t xml:space="preserve"> de dólares</w:t>
      </w:r>
      <w:r w:rsidR="007657D8" w:rsidRPr="0077530D">
        <w:rPr>
          <w:rFonts w:ascii="Arial" w:eastAsia="Arial" w:hAnsi="Arial" w:cs="Arial"/>
          <w:sz w:val="22"/>
          <w:szCs w:val="22"/>
          <w:lang w:val="es-ES"/>
        </w:rPr>
        <w:t xml:space="preserve"> anuales</w:t>
      </w:r>
      <w:r w:rsidR="00B55A51" w:rsidRPr="0077530D">
        <w:rPr>
          <w:rFonts w:ascii="Arial" w:eastAsia="Arial" w:hAnsi="Arial" w:cs="Arial"/>
          <w:sz w:val="22"/>
          <w:szCs w:val="22"/>
          <w:lang w:val="es-ES"/>
        </w:rPr>
        <w:t xml:space="preserve"> que representa </w:t>
      </w:r>
      <w:r w:rsidR="00311359" w:rsidRPr="0077530D">
        <w:rPr>
          <w:rFonts w:ascii="Arial" w:eastAsia="Arial" w:hAnsi="Arial" w:cs="Arial"/>
          <w:sz w:val="22"/>
          <w:szCs w:val="22"/>
          <w:lang w:val="es-ES"/>
        </w:rPr>
        <w:t xml:space="preserve">un gasto </w:t>
      </w:r>
      <w:r w:rsidR="00B55A51" w:rsidRPr="0077530D">
        <w:rPr>
          <w:rFonts w:ascii="Arial" w:eastAsia="Arial" w:hAnsi="Arial" w:cs="Arial"/>
          <w:sz w:val="22"/>
          <w:szCs w:val="22"/>
          <w:lang w:val="es-ES"/>
        </w:rPr>
        <w:t xml:space="preserve">adicional que </w:t>
      </w:r>
      <w:r w:rsidR="00311359" w:rsidRPr="0077530D">
        <w:rPr>
          <w:rFonts w:ascii="Arial" w:eastAsia="Arial" w:hAnsi="Arial" w:cs="Arial"/>
          <w:sz w:val="22"/>
          <w:szCs w:val="22"/>
          <w:lang w:val="es-ES"/>
        </w:rPr>
        <w:t xml:space="preserve">es </w:t>
      </w:r>
      <w:r w:rsidR="00B55A51" w:rsidRPr="0077530D">
        <w:rPr>
          <w:rFonts w:ascii="Arial" w:eastAsia="Arial" w:hAnsi="Arial" w:cs="Arial"/>
          <w:sz w:val="22"/>
          <w:szCs w:val="22"/>
          <w:lang w:val="es-ES"/>
        </w:rPr>
        <w:t>necesari</w:t>
      </w:r>
      <w:r w:rsidR="00311359" w:rsidRPr="0077530D">
        <w:rPr>
          <w:rFonts w:ascii="Arial" w:eastAsia="Arial" w:hAnsi="Arial" w:cs="Arial"/>
          <w:sz w:val="22"/>
          <w:szCs w:val="22"/>
          <w:lang w:val="es-ES"/>
        </w:rPr>
        <w:t>o</w:t>
      </w:r>
      <w:r w:rsidR="00B55A51" w:rsidRPr="0077530D">
        <w:rPr>
          <w:rFonts w:ascii="Arial" w:eastAsia="Arial" w:hAnsi="Arial" w:cs="Arial"/>
          <w:sz w:val="22"/>
          <w:szCs w:val="22"/>
          <w:lang w:val="es-ES"/>
        </w:rPr>
        <w:t xml:space="preserve"> para cosechar los beneficios</w:t>
      </w:r>
      <w:r w:rsidR="00FD5CE1" w:rsidRPr="0077530D">
        <w:rPr>
          <w:rFonts w:ascii="Arial" w:eastAsia="Arial" w:hAnsi="Arial" w:cs="Arial"/>
          <w:sz w:val="22"/>
          <w:szCs w:val="22"/>
          <w:lang w:val="es-ES"/>
        </w:rPr>
        <w:t xml:space="preserve"> y que tendrá que asumir el </w:t>
      </w:r>
      <w:r w:rsidR="003A3C29" w:rsidRPr="0077530D">
        <w:rPr>
          <w:rFonts w:ascii="Arial" w:eastAsia="Arial" w:hAnsi="Arial" w:cs="Arial"/>
          <w:sz w:val="22"/>
          <w:szCs w:val="22"/>
          <w:lang w:val="es-ES"/>
        </w:rPr>
        <w:t>Ministerio de Salud de Bolivia</w:t>
      </w:r>
      <w:r w:rsidR="006A4084" w:rsidRPr="0077530D">
        <w:rPr>
          <w:rFonts w:ascii="Arial" w:eastAsia="Arial" w:hAnsi="Arial" w:cs="Arial"/>
          <w:sz w:val="22"/>
          <w:szCs w:val="22"/>
          <w:lang w:val="es-ES"/>
        </w:rPr>
        <w:t xml:space="preserve"> </w:t>
      </w:r>
      <w:r w:rsidR="00FD5CE1" w:rsidRPr="0077530D">
        <w:rPr>
          <w:rFonts w:ascii="Arial" w:eastAsia="Arial" w:hAnsi="Arial" w:cs="Arial"/>
          <w:sz w:val="22"/>
          <w:szCs w:val="22"/>
          <w:lang w:val="es-ES"/>
        </w:rPr>
        <w:t xml:space="preserve">una vez que se haya concluido </w:t>
      </w:r>
      <w:r w:rsidR="00DC1B3E" w:rsidRPr="0077530D">
        <w:rPr>
          <w:rFonts w:ascii="Arial" w:eastAsia="Arial" w:hAnsi="Arial" w:cs="Arial"/>
          <w:sz w:val="22"/>
          <w:szCs w:val="22"/>
          <w:lang w:val="es-ES"/>
        </w:rPr>
        <w:t xml:space="preserve">el </w:t>
      </w:r>
      <w:r w:rsidR="00984227" w:rsidRPr="0077530D">
        <w:rPr>
          <w:rFonts w:ascii="Arial" w:eastAsia="Arial" w:hAnsi="Arial" w:cs="Arial"/>
          <w:sz w:val="22"/>
          <w:szCs w:val="22"/>
          <w:lang w:val="es-ES"/>
        </w:rPr>
        <w:t>programa</w:t>
      </w:r>
      <w:r w:rsidR="00FD5CE1" w:rsidRPr="0077530D">
        <w:rPr>
          <w:rFonts w:ascii="Arial" w:eastAsia="Arial" w:hAnsi="Arial" w:cs="Arial"/>
          <w:sz w:val="22"/>
          <w:szCs w:val="22"/>
          <w:lang w:val="es-ES"/>
        </w:rPr>
        <w:t xml:space="preserve">. Esto </w:t>
      </w:r>
      <w:r w:rsidR="00701977" w:rsidRPr="0077530D">
        <w:rPr>
          <w:rFonts w:ascii="Arial" w:eastAsia="Arial" w:hAnsi="Arial" w:cs="Arial"/>
          <w:sz w:val="22"/>
          <w:szCs w:val="22"/>
          <w:lang w:val="es-ES"/>
        </w:rPr>
        <w:t>incluye,</w:t>
      </w:r>
      <w:r w:rsidR="00FD5CE1" w:rsidRPr="0077530D">
        <w:rPr>
          <w:rFonts w:ascii="Arial" w:eastAsia="Arial" w:hAnsi="Arial" w:cs="Arial"/>
          <w:sz w:val="22"/>
          <w:szCs w:val="22"/>
          <w:lang w:val="es-ES"/>
        </w:rPr>
        <w:t xml:space="preserve"> </w:t>
      </w:r>
      <w:r w:rsidR="00B55A51" w:rsidRPr="0077530D">
        <w:rPr>
          <w:rFonts w:ascii="Arial" w:eastAsia="Arial" w:hAnsi="Arial" w:cs="Arial"/>
          <w:sz w:val="22"/>
          <w:szCs w:val="22"/>
          <w:lang w:val="es-ES"/>
        </w:rPr>
        <w:t>por ejemplo, mantenimiento del equipo hospitalario, rec</w:t>
      </w:r>
      <w:r w:rsidR="00FD5CE1" w:rsidRPr="0077530D">
        <w:rPr>
          <w:rFonts w:ascii="Arial" w:eastAsia="Arial" w:hAnsi="Arial" w:cs="Arial"/>
          <w:sz w:val="22"/>
          <w:szCs w:val="22"/>
          <w:lang w:val="es-ES"/>
        </w:rPr>
        <w:t>ursos humanos e insumos médicos</w:t>
      </w:r>
      <w:r w:rsidR="00B55A51" w:rsidRPr="0077530D">
        <w:rPr>
          <w:rFonts w:ascii="Arial" w:eastAsia="Arial" w:hAnsi="Arial" w:cs="Arial"/>
          <w:sz w:val="22"/>
          <w:szCs w:val="22"/>
          <w:lang w:val="es-ES"/>
        </w:rPr>
        <w:t>.</w:t>
      </w:r>
      <w:r w:rsidR="005C665C" w:rsidRPr="0077530D">
        <w:rPr>
          <w:rFonts w:ascii="Arial" w:eastAsia="Arial" w:hAnsi="Arial" w:cs="Arial"/>
          <w:sz w:val="22"/>
          <w:szCs w:val="22"/>
          <w:lang w:val="es-ES"/>
        </w:rPr>
        <w:t xml:space="preserve"> </w:t>
      </w:r>
    </w:p>
    <w:p w14:paraId="3B3E420B" w14:textId="70C37039" w:rsidR="002F5E0E" w:rsidRPr="0077530D" w:rsidRDefault="002F5E0E" w:rsidP="0077530D">
      <w:pPr>
        <w:spacing w:before="120" w:after="100" w:afterAutospacing="1"/>
        <w:jc w:val="both"/>
        <w:rPr>
          <w:rFonts w:ascii="Arial" w:eastAsia="Arial" w:hAnsi="Arial" w:cs="Arial"/>
          <w:sz w:val="22"/>
          <w:szCs w:val="22"/>
          <w:lang w:val="es-ES"/>
        </w:rPr>
      </w:pPr>
      <w:r w:rsidRPr="0077530D">
        <w:rPr>
          <w:rFonts w:ascii="Arial" w:eastAsia="Arial" w:hAnsi="Arial" w:cs="Arial"/>
          <w:sz w:val="22"/>
          <w:szCs w:val="22"/>
          <w:lang w:val="es-ES"/>
        </w:rPr>
        <w:t>El análisis económico indica que los beneficios del pro</w:t>
      </w:r>
      <w:r w:rsidR="00C153D0" w:rsidRPr="0077530D">
        <w:rPr>
          <w:rFonts w:ascii="Arial" w:eastAsia="Arial" w:hAnsi="Arial" w:cs="Arial"/>
          <w:sz w:val="22"/>
          <w:szCs w:val="22"/>
          <w:lang w:val="es-ES"/>
        </w:rPr>
        <w:t>grama</w:t>
      </w:r>
      <w:r w:rsidRPr="0077530D">
        <w:rPr>
          <w:rFonts w:ascii="Arial" w:eastAsia="Arial" w:hAnsi="Arial" w:cs="Arial"/>
          <w:sz w:val="22"/>
          <w:szCs w:val="22"/>
          <w:lang w:val="es-ES"/>
        </w:rPr>
        <w:t xml:space="preserve"> exceden los costos. La razón entre los beneficios y costos es de </w:t>
      </w:r>
      <w:r w:rsidR="00B62E93" w:rsidRPr="0077530D">
        <w:rPr>
          <w:rFonts w:ascii="Arial" w:eastAsia="Arial" w:hAnsi="Arial" w:cs="Arial"/>
          <w:sz w:val="22"/>
          <w:szCs w:val="22"/>
          <w:lang w:val="es-ES"/>
        </w:rPr>
        <w:t>6</w:t>
      </w:r>
      <w:r w:rsidR="006F6F71" w:rsidRPr="0077530D">
        <w:rPr>
          <w:rFonts w:ascii="Arial" w:eastAsia="Arial" w:hAnsi="Arial" w:cs="Arial"/>
          <w:sz w:val="22"/>
          <w:szCs w:val="22"/>
          <w:lang w:val="es-ES"/>
        </w:rPr>
        <w:t>,</w:t>
      </w:r>
      <w:r w:rsidR="00B62E93" w:rsidRPr="0077530D">
        <w:rPr>
          <w:rFonts w:ascii="Arial" w:eastAsia="Arial" w:hAnsi="Arial" w:cs="Arial"/>
          <w:sz w:val="22"/>
          <w:szCs w:val="22"/>
          <w:lang w:val="es-ES"/>
        </w:rPr>
        <w:t>5</w:t>
      </w:r>
      <w:r w:rsidR="00577181" w:rsidRPr="0077530D">
        <w:rPr>
          <w:rFonts w:ascii="Arial" w:eastAsia="Arial" w:hAnsi="Arial" w:cs="Arial"/>
          <w:sz w:val="22"/>
          <w:szCs w:val="22"/>
          <w:lang w:val="es-ES"/>
        </w:rPr>
        <w:t>1</w:t>
      </w:r>
      <w:r w:rsidR="00634066" w:rsidRPr="0077530D">
        <w:rPr>
          <w:rFonts w:ascii="Arial" w:eastAsia="Arial" w:hAnsi="Arial" w:cs="Arial"/>
          <w:sz w:val="22"/>
          <w:szCs w:val="22"/>
          <w:lang w:val="es-ES"/>
        </w:rPr>
        <w:t xml:space="preserve"> </w:t>
      </w:r>
      <w:r w:rsidRPr="0077530D">
        <w:rPr>
          <w:rFonts w:ascii="Arial" w:eastAsia="Arial" w:hAnsi="Arial" w:cs="Arial"/>
          <w:sz w:val="22"/>
          <w:szCs w:val="22"/>
          <w:lang w:val="es-ES"/>
        </w:rPr>
        <w:t>cuando se considera</w:t>
      </w:r>
      <w:r w:rsidR="001E57DE" w:rsidRPr="0077530D">
        <w:rPr>
          <w:rFonts w:ascii="Arial" w:eastAsia="Arial" w:hAnsi="Arial" w:cs="Arial"/>
          <w:sz w:val="22"/>
          <w:szCs w:val="22"/>
          <w:lang w:val="es-ES"/>
        </w:rPr>
        <w:t xml:space="preserve"> un horizonte de tiempo de cinco años (201</w:t>
      </w:r>
      <w:r w:rsidR="00701977" w:rsidRPr="0077530D">
        <w:rPr>
          <w:rFonts w:ascii="Arial" w:eastAsia="Arial" w:hAnsi="Arial" w:cs="Arial"/>
          <w:sz w:val="22"/>
          <w:szCs w:val="22"/>
          <w:lang w:val="es-ES"/>
        </w:rPr>
        <w:t>8</w:t>
      </w:r>
      <w:r w:rsidR="001E57DE" w:rsidRPr="0077530D">
        <w:rPr>
          <w:rFonts w:ascii="Arial" w:eastAsia="Arial" w:hAnsi="Arial" w:cs="Arial"/>
          <w:sz w:val="22"/>
          <w:szCs w:val="22"/>
          <w:lang w:val="es-ES"/>
        </w:rPr>
        <w:t>-202</w:t>
      </w:r>
      <w:r w:rsidR="00701977" w:rsidRPr="0077530D">
        <w:rPr>
          <w:rFonts w:ascii="Arial" w:eastAsia="Arial" w:hAnsi="Arial" w:cs="Arial"/>
          <w:sz w:val="22"/>
          <w:szCs w:val="22"/>
          <w:lang w:val="es-ES"/>
        </w:rPr>
        <w:t>3</w:t>
      </w:r>
      <w:r w:rsidR="00FB0A0B">
        <w:rPr>
          <w:rFonts w:ascii="Arial" w:eastAsia="Arial" w:hAnsi="Arial" w:cs="Arial"/>
          <w:sz w:val="22"/>
          <w:szCs w:val="22"/>
          <w:lang w:val="es-ES"/>
        </w:rPr>
        <w:t>) </w:t>
      </w:r>
      <w:r w:rsidR="001E57DE" w:rsidRPr="0077530D">
        <w:rPr>
          <w:rFonts w:ascii="Arial" w:eastAsia="Arial" w:hAnsi="Arial" w:cs="Arial"/>
          <w:sz w:val="22"/>
          <w:szCs w:val="22"/>
          <w:lang w:val="es-ES"/>
        </w:rPr>
        <w:t>y</w:t>
      </w:r>
      <w:r w:rsidRPr="0077530D">
        <w:rPr>
          <w:rFonts w:ascii="Arial" w:eastAsia="Arial" w:hAnsi="Arial" w:cs="Arial"/>
          <w:sz w:val="22"/>
          <w:szCs w:val="22"/>
          <w:lang w:val="es-ES"/>
        </w:rPr>
        <w:t xml:space="preserve"> un escenario conservador. Este escenario supone que </w:t>
      </w:r>
      <w:r w:rsidR="0039357C" w:rsidRPr="0077530D">
        <w:rPr>
          <w:rFonts w:ascii="Arial" w:eastAsia="Arial" w:hAnsi="Arial" w:cs="Arial"/>
          <w:sz w:val="22"/>
          <w:szCs w:val="22"/>
          <w:lang w:val="es-ES"/>
        </w:rPr>
        <w:t>el programa</w:t>
      </w:r>
      <w:r w:rsidR="00826BD8" w:rsidRPr="0077530D">
        <w:rPr>
          <w:rFonts w:ascii="Arial" w:eastAsia="Arial" w:hAnsi="Arial" w:cs="Arial"/>
          <w:sz w:val="22"/>
          <w:szCs w:val="22"/>
          <w:lang w:val="es-ES"/>
        </w:rPr>
        <w:t xml:space="preserve"> </w:t>
      </w:r>
      <w:r w:rsidRPr="0077530D">
        <w:rPr>
          <w:rFonts w:ascii="Arial" w:eastAsia="Arial" w:hAnsi="Arial" w:cs="Arial"/>
          <w:sz w:val="22"/>
          <w:szCs w:val="22"/>
          <w:lang w:val="es-ES"/>
        </w:rPr>
        <w:t xml:space="preserve">aumenta la cobertura efectiva de manera media y utiliza un vector de gradualidad regular en el que los beneficios se alcanzan gradualmente y en </w:t>
      </w:r>
      <w:r w:rsidR="002B1C3A" w:rsidRPr="0077530D">
        <w:rPr>
          <w:rFonts w:ascii="Arial" w:eastAsia="Arial" w:hAnsi="Arial" w:cs="Arial"/>
          <w:sz w:val="22"/>
          <w:szCs w:val="22"/>
          <w:lang w:val="es-ES"/>
        </w:rPr>
        <w:t>202</w:t>
      </w:r>
      <w:r w:rsidR="000979F8" w:rsidRPr="0077530D">
        <w:rPr>
          <w:rFonts w:ascii="Arial" w:eastAsia="Arial" w:hAnsi="Arial" w:cs="Arial"/>
          <w:sz w:val="22"/>
          <w:szCs w:val="22"/>
          <w:lang w:val="es-ES"/>
        </w:rPr>
        <w:t>6</w:t>
      </w:r>
      <w:r w:rsidR="002B1C3A" w:rsidRPr="0077530D">
        <w:rPr>
          <w:rFonts w:ascii="Arial" w:eastAsia="Arial" w:hAnsi="Arial" w:cs="Arial"/>
          <w:sz w:val="22"/>
          <w:szCs w:val="22"/>
          <w:lang w:val="es-ES"/>
        </w:rPr>
        <w:t xml:space="preserve"> </w:t>
      </w:r>
      <w:r w:rsidRPr="0077530D">
        <w:rPr>
          <w:rFonts w:ascii="Arial" w:eastAsia="Arial" w:hAnsi="Arial" w:cs="Arial"/>
          <w:sz w:val="22"/>
          <w:szCs w:val="22"/>
          <w:lang w:val="es-ES"/>
        </w:rPr>
        <w:t xml:space="preserve">solo se alcanza el </w:t>
      </w:r>
      <w:r w:rsidR="00032B9D" w:rsidRPr="0077530D">
        <w:rPr>
          <w:rFonts w:ascii="Arial" w:eastAsia="Arial" w:hAnsi="Arial" w:cs="Arial"/>
          <w:sz w:val="22"/>
          <w:szCs w:val="22"/>
          <w:lang w:val="es-ES"/>
        </w:rPr>
        <w:t>75</w:t>
      </w:r>
      <w:r w:rsidRPr="0077530D">
        <w:rPr>
          <w:rFonts w:ascii="Arial" w:eastAsia="Arial" w:hAnsi="Arial" w:cs="Arial"/>
          <w:sz w:val="22"/>
          <w:szCs w:val="22"/>
          <w:lang w:val="es-ES"/>
        </w:rPr>
        <w:t>% de los beneficios potenciales de cobertura efectiva.</w:t>
      </w:r>
    </w:p>
    <w:p w14:paraId="5E78654E" w14:textId="5AB0E8B6" w:rsidR="002F5E0E" w:rsidRPr="0077530D" w:rsidRDefault="002F5E0E" w:rsidP="0077530D">
      <w:pPr>
        <w:spacing w:before="120" w:after="100" w:afterAutospacing="1"/>
        <w:jc w:val="both"/>
        <w:rPr>
          <w:rFonts w:ascii="Arial" w:eastAsia="Arial" w:hAnsi="Arial" w:cs="Arial"/>
          <w:sz w:val="22"/>
          <w:szCs w:val="22"/>
          <w:highlight w:val="yellow"/>
          <w:lang w:val="es-ES"/>
        </w:rPr>
      </w:pPr>
      <w:r w:rsidRPr="0077530D">
        <w:rPr>
          <w:rFonts w:ascii="Arial" w:eastAsia="Arial" w:hAnsi="Arial" w:cs="Arial"/>
          <w:sz w:val="22"/>
          <w:szCs w:val="22"/>
          <w:lang w:val="es-ES"/>
        </w:rPr>
        <w:t>De manera complementaria se presenta un análisis con un horizo</w:t>
      </w:r>
      <w:r w:rsidR="00E84948" w:rsidRPr="0077530D">
        <w:rPr>
          <w:rFonts w:ascii="Arial" w:eastAsia="Arial" w:hAnsi="Arial" w:cs="Arial"/>
          <w:sz w:val="22"/>
          <w:szCs w:val="22"/>
          <w:lang w:val="es-ES"/>
        </w:rPr>
        <w:t>nte de análisis más prolongado</w:t>
      </w:r>
      <w:r w:rsidR="00247A82" w:rsidRPr="0077530D">
        <w:rPr>
          <w:rFonts w:ascii="Arial" w:eastAsia="Arial" w:hAnsi="Arial" w:cs="Arial"/>
          <w:sz w:val="22"/>
          <w:szCs w:val="22"/>
          <w:lang w:val="es-ES"/>
        </w:rPr>
        <w:t xml:space="preserve"> (201</w:t>
      </w:r>
      <w:r w:rsidR="007C6AD3" w:rsidRPr="0077530D">
        <w:rPr>
          <w:rFonts w:ascii="Arial" w:eastAsia="Arial" w:hAnsi="Arial" w:cs="Arial"/>
          <w:sz w:val="22"/>
          <w:szCs w:val="22"/>
          <w:lang w:val="es-ES"/>
        </w:rPr>
        <w:t>8</w:t>
      </w:r>
      <w:r w:rsidR="00247A82" w:rsidRPr="0077530D">
        <w:rPr>
          <w:rFonts w:ascii="Arial" w:eastAsia="Arial" w:hAnsi="Arial" w:cs="Arial"/>
          <w:sz w:val="22"/>
          <w:szCs w:val="22"/>
          <w:lang w:val="es-ES"/>
        </w:rPr>
        <w:t>-202</w:t>
      </w:r>
      <w:r w:rsidR="007C6AD3" w:rsidRPr="0077530D">
        <w:rPr>
          <w:rFonts w:ascii="Arial" w:eastAsia="Arial" w:hAnsi="Arial" w:cs="Arial"/>
          <w:sz w:val="22"/>
          <w:szCs w:val="22"/>
          <w:lang w:val="es-ES"/>
        </w:rPr>
        <w:t>8</w:t>
      </w:r>
      <w:r w:rsidR="00FB0A0B">
        <w:rPr>
          <w:rFonts w:ascii="Arial" w:eastAsia="Arial" w:hAnsi="Arial" w:cs="Arial"/>
          <w:sz w:val="22"/>
          <w:szCs w:val="22"/>
          <w:lang w:val="es-ES"/>
        </w:rPr>
        <w:t>) </w:t>
      </w:r>
      <w:r w:rsidR="00E84948" w:rsidRPr="0077530D">
        <w:rPr>
          <w:rFonts w:ascii="Arial" w:eastAsia="Arial" w:hAnsi="Arial" w:cs="Arial"/>
          <w:sz w:val="22"/>
          <w:szCs w:val="22"/>
          <w:lang w:val="es-ES"/>
        </w:rPr>
        <w:t>con la intención de reflejar que el 100% de los beneficios potenciales se observarán después del per</w:t>
      </w:r>
      <w:r w:rsidR="008E506C" w:rsidRPr="0077530D">
        <w:rPr>
          <w:rFonts w:ascii="Arial" w:eastAsia="Arial" w:hAnsi="Arial" w:cs="Arial"/>
          <w:sz w:val="22"/>
          <w:szCs w:val="22"/>
          <w:lang w:val="es-ES"/>
        </w:rPr>
        <w:t>í</w:t>
      </w:r>
      <w:r w:rsidR="00E84948" w:rsidRPr="0077530D">
        <w:rPr>
          <w:rFonts w:ascii="Arial" w:eastAsia="Arial" w:hAnsi="Arial" w:cs="Arial"/>
          <w:sz w:val="22"/>
          <w:szCs w:val="22"/>
          <w:lang w:val="es-ES"/>
        </w:rPr>
        <w:t xml:space="preserve">odo de desembolso. Para realizar este análisis se considera que una vez concluidos los desembolsos </w:t>
      </w:r>
      <w:r w:rsidR="001753FD" w:rsidRPr="0077530D">
        <w:rPr>
          <w:rFonts w:ascii="Arial" w:eastAsia="Arial" w:hAnsi="Arial" w:cs="Arial"/>
          <w:sz w:val="22"/>
          <w:szCs w:val="22"/>
          <w:lang w:val="es-ES"/>
        </w:rPr>
        <w:t>del programa</w:t>
      </w:r>
      <w:r w:rsidR="008E506C" w:rsidRPr="0077530D">
        <w:rPr>
          <w:rFonts w:ascii="Arial" w:eastAsia="Arial" w:hAnsi="Arial" w:cs="Arial"/>
          <w:sz w:val="22"/>
          <w:szCs w:val="22"/>
          <w:lang w:val="es-ES"/>
        </w:rPr>
        <w:t>,</w:t>
      </w:r>
      <w:r w:rsidR="00E84948" w:rsidRPr="0077530D">
        <w:rPr>
          <w:rFonts w:ascii="Arial" w:eastAsia="Arial" w:hAnsi="Arial" w:cs="Arial"/>
          <w:sz w:val="22"/>
          <w:szCs w:val="22"/>
          <w:lang w:val="es-ES"/>
        </w:rPr>
        <w:t xml:space="preserve"> </w:t>
      </w:r>
      <w:r w:rsidR="008E506C" w:rsidRPr="0077530D">
        <w:rPr>
          <w:rFonts w:ascii="Arial" w:eastAsia="Arial" w:hAnsi="Arial" w:cs="Arial"/>
          <w:sz w:val="22"/>
          <w:szCs w:val="22"/>
          <w:lang w:val="es-ES"/>
        </w:rPr>
        <w:t>e</w:t>
      </w:r>
      <w:r w:rsidR="00E84948" w:rsidRPr="0077530D">
        <w:rPr>
          <w:rFonts w:ascii="Arial" w:eastAsia="Arial" w:hAnsi="Arial" w:cs="Arial"/>
          <w:sz w:val="22"/>
          <w:szCs w:val="22"/>
          <w:lang w:val="es-ES"/>
        </w:rPr>
        <w:t xml:space="preserve">l </w:t>
      </w:r>
      <w:r w:rsidR="001753FD" w:rsidRPr="0077530D">
        <w:rPr>
          <w:rFonts w:ascii="Arial" w:eastAsia="Arial" w:hAnsi="Arial" w:cs="Arial"/>
          <w:sz w:val="22"/>
          <w:szCs w:val="22"/>
          <w:lang w:val="es-ES"/>
        </w:rPr>
        <w:t>Ministerio de Salud</w:t>
      </w:r>
      <w:r w:rsidR="00B00D2A" w:rsidRPr="0077530D">
        <w:rPr>
          <w:rFonts w:ascii="Arial" w:eastAsia="Arial" w:hAnsi="Arial" w:cs="Arial"/>
          <w:sz w:val="22"/>
          <w:szCs w:val="22"/>
          <w:lang w:val="es-ES"/>
        </w:rPr>
        <w:t xml:space="preserve"> </w:t>
      </w:r>
      <w:r w:rsidR="00E84948" w:rsidRPr="0077530D">
        <w:rPr>
          <w:rFonts w:ascii="Arial" w:eastAsia="Arial" w:hAnsi="Arial" w:cs="Arial"/>
          <w:sz w:val="22"/>
          <w:szCs w:val="22"/>
          <w:lang w:val="es-ES"/>
        </w:rPr>
        <w:t>deberá asumir los costos de mantenimiento, recursos humanos e insumos para mantener la infraestructura de</w:t>
      </w:r>
      <w:r w:rsidR="00E30037" w:rsidRPr="0077530D">
        <w:rPr>
          <w:rFonts w:ascii="Arial" w:eastAsia="Arial" w:hAnsi="Arial" w:cs="Arial"/>
          <w:sz w:val="22"/>
          <w:szCs w:val="22"/>
          <w:lang w:val="es-ES"/>
        </w:rPr>
        <w:t>l programa</w:t>
      </w:r>
      <w:r w:rsidR="00E84948" w:rsidRPr="0077530D">
        <w:rPr>
          <w:rFonts w:ascii="Arial" w:eastAsia="Arial" w:hAnsi="Arial" w:cs="Arial"/>
          <w:sz w:val="22"/>
          <w:szCs w:val="22"/>
          <w:lang w:val="es-ES"/>
        </w:rPr>
        <w:t xml:space="preserve">. En este sentido se incluye un costo de </w:t>
      </w:r>
      <w:r w:rsidR="004B0FBD" w:rsidRPr="0077530D">
        <w:rPr>
          <w:rFonts w:ascii="Arial" w:eastAsia="Arial" w:hAnsi="Arial" w:cs="Arial"/>
          <w:sz w:val="22"/>
          <w:szCs w:val="22"/>
          <w:lang w:val="es-ES"/>
        </w:rPr>
        <w:t>35</w:t>
      </w:r>
      <w:r w:rsidR="00E84948" w:rsidRPr="0077530D">
        <w:rPr>
          <w:rFonts w:ascii="Arial" w:eastAsia="Arial" w:hAnsi="Arial" w:cs="Arial"/>
          <w:sz w:val="22"/>
          <w:szCs w:val="22"/>
          <w:lang w:val="es-ES"/>
        </w:rPr>
        <w:t xml:space="preserve"> millones </w:t>
      </w:r>
      <w:r w:rsidR="00EC72F6" w:rsidRPr="0077530D">
        <w:rPr>
          <w:rFonts w:ascii="Arial" w:eastAsia="Arial" w:hAnsi="Arial" w:cs="Arial"/>
          <w:sz w:val="22"/>
          <w:szCs w:val="22"/>
          <w:lang w:val="es-ES"/>
        </w:rPr>
        <w:t xml:space="preserve">de dólares </w:t>
      </w:r>
      <w:r w:rsidR="00E84948" w:rsidRPr="0077530D">
        <w:rPr>
          <w:rFonts w:ascii="Arial" w:eastAsia="Arial" w:hAnsi="Arial" w:cs="Arial"/>
          <w:sz w:val="22"/>
          <w:szCs w:val="22"/>
          <w:lang w:val="es-ES"/>
        </w:rPr>
        <w:t>anuales entre 202</w:t>
      </w:r>
      <w:r w:rsidR="007C6AD3" w:rsidRPr="0077530D">
        <w:rPr>
          <w:rFonts w:ascii="Arial" w:eastAsia="Arial" w:hAnsi="Arial" w:cs="Arial"/>
          <w:sz w:val="22"/>
          <w:szCs w:val="22"/>
          <w:lang w:val="es-ES"/>
        </w:rPr>
        <w:t>4</w:t>
      </w:r>
      <w:r w:rsidR="00E84948" w:rsidRPr="0077530D">
        <w:rPr>
          <w:rFonts w:ascii="Arial" w:eastAsia="Arial" w:hAnsi="Arial" w:cs="Arial"/>
          <w:sz w:val="22"/>
          <w:szCs w:val="22"/>
          <w:lang w:val="es-ES"/>
        </w:rPr>
        <w:t xml:space="preserve"> y 202</w:t>
      </w:r>
      <w:r w:rsidR="007C6AD3" w:rsidRPr="0077530D">
        <w:rPr>
          <w:rFonts w:ascii="Arial" w:eastAsia="Arial" w:hAnsi="Arial" w:cs="Arial"/>
          <w:sz w:val="22"/>
          <w:szCs w:val="22"/>
          <w:lang w:val="es-ES"/>
        </w:rPr>
        <w:t>8</w:t>
      </w:r>
      <w:r w:rsidR="00E84948" w:rsidRPr="0077530D">
        <w:rPr>
          <w:rFonts w:ascii="Arial" w:eastAsia="Arial" w:hAnsi="Arial" w:cs="Arial"/>
          <w:sz w:val="22"/>
          <w:szCs w:val="22"/>
          <w:lang w:val="es-ES"/>
        </w:rPr>
        <w:t xml:space="preserve">. </w:t>
      </w:r>
      <w:r w:rsidR="007C6AD3" w:rsidRPr="0077530D">
        <w:rPr>
          <w:rFonts w:ascii="Arial" w:eastAsia="Arial" w:hAnsi="Arial" w:cs="Arial"/>
          <w:sz w:val="22"/>
          <w:szCs w:val="22"/>
          <w:lang w:val="es-ES"/>
        </w:rPr>
        <w:t>Aun</w:t>
      </w:r>
      <w:r w:rsidR="00E84948" w:rsidRPr="0077530D">
        <w:rPr>
          <w:rFonts w:ascii="Arial" w:eastAsia="Arial" w:hAnsi="Arial" w:cs="Arial"/>
          <w:sz w:val="22"/>
          <w:szCs w:val="22"/>
          <w:lang w:val="es-ES"/>
        </w:rPr>
        <w:t xml:space="preserve"> considerando este sobrecosto, los beneficios del </w:t>
      </w:r>
      <w:r w:rsidR="001C215A" w:rsidRPr="0077530D">
        <w:rPr>
          <w:rFonts w:ascii="Arial" w:eastAsia="Arial" w:hAnsi="Arial" w:cs="Arial"/>
          <w:sz w:val="22"/>
          <w:szCs w:val="22"/>
          <w:lang w:val="es-ES"/>
        </w:rPr>
        <w:t>p</w:t>
      </w:r>
      <w:r w:rsidR="00A84ED8" w:rsidRPr="0077530D">
        <w:rPr>
          <w:rFonts w:ascii="Arial" w:eastAsia="Arial" w:hAnsi="Arial" w:cs="Arial"/>
          <w:sz w:val="22"/>
          <w:szCs w:val="22"/>
          <w:lang w:val="es-ES"/>
        </w:rPr>
        <w:t>rograma</w:t>
      </w:r>
      <w:r w:rsidR="00EE7737" w:rsidRPr="0077530D">
        <w:rPr>
          <w:rFonts w:ascii="Arial" w:eastAsia="Arial" w:hAnsi="Arial" w:cs="Arial"/>
          <w:sz w:val="22"/>
          <w:szCs w:val="22"/>
          <w:lang w:val="es-ES"/>
        </w:rPr>
        <w:t xml:space="preserve"> </w:t>
      </w:r>
      <w:r w:rsidR="00E84948" w:rsidRPr="0077530D">
        <w:rPr>
          <w:rFonts w:ascii="Arial" w:eastAsia="Arial" w:hAnsi="Arial" w:cs="Arial"/>
          <w:sz w:val="22"/>
          <w:szCs w:val="22"/>
          <w:lang w:val="es-ES"/>
        </w:rPr>
        <w:t xml:space="preserve">superan los costos y la razón entre los beneficios y los costos en el mismo escenario conservador es de </w:t>
      </w:r>
      <w:r w:rsidR="008C6703" w:rsidRPr="0077530D">
        <w:rPr>
          <w:rFonts w:ascii="Arial" w:eastAsia="Arial" w:hAnsi="Arial" w:cs="Arial"/>
          <w:sz w:val="22"/>
          <w:szCs w:val="22"/>
          <w:lang w:val="es-ES"/>
        </w:rPr>
        <w:t>22</w:t>
      </w:r>
      <w:r w:rsidR="00517D69" w:rsidRPr="0077530D">
        <w:rPr>
          <w:rFonts w:ascii="Arial" w:eastAsia="Arial" w:hAnsi="Arial" w:cs="Arial"/>
          <w:sz w:val="22"/>
          <w:szCs w:val="22"/>
          <w:lang w:val="es-ES"/>
        </w:rPr>
        <w:t>,</w:t>
      </w:r>
      <w:r w:rsidR="008C6703" w:rsidRPr="0077530D">
        <w:rPr>
          <w:rFonts w:ascii="Arial" w:eastAsia="Arial" w:hAnsi="Arial" w:cs="Arial"/>
          <w:sz w:val="22"/>
          <w:szCs w:val="22"/>
          <w:lang w:val="es-ES"/>
        </w:rPr>
        <w:t>8</w:t>
      </w:r>
      <w:r w:rsidR="00E84948" w:rsidRPr="0077530D">
        <w:rPr>
          <w:rFonts w:ascii="Arial" w:eastAsia="Arial" w:hAnsi="Arial" w:cs="Arial"/>
          <w:sz w:val="22"/>
          <w:szCs w:val="22"/>
          <w:lang w:val="es-ES"/>
        </w:rPr>
        <w:t>.</w:t>
      </w:r>
    </w:p>
    <w:p w14:paraId="4BD33BD9" w14:textId="58A3701C" w:rsidR="00DA23EC" w:rsidRPr="0077530D" w:rsidRDefault="00BB436F" w:rsidP="0077796B">
      <w:pPr>
        <w:spacing w:before="120"/>
        <w:jc w:val="both"/>
        <w:rPr>
          <w:rFonts w:ascii="Arial" w:eastAsia="Arial" w:hAnsi="Arial" w:cs="Arial"/>
          <w:sz w:val="22"/>
          <w:szCs w:val="22"/>
          <w:lang w:val="es-ES"/>
        </w:rPr>
      </w:pPr>
      <w:r w:rsidRPr="0077530D">
        <w:rPr>
          <w:rFonts w:ascii="Arial" w:eastAsia="Arial" w:hAnsi="Arial" w:cs="Arial"/>
          <w:sz w:val="22"/>
          <w:szCs w:val="22"/>
          <w:lang w:val="es-ES"/>
        </w:rPr>
        <w:t xml:space="preserve">El documento </w:t>
      </w:r>
      <w:r w:rsidR="00C676BF" w:rsidRPr="0077530D">
        <w:rPr>
          <w:rFonts w:ascii="Arial" w:eastAsia="Arial" w:hAnsi="Arial" w:cs="Arial"/>
          <w:sz w:val="22"/>
          <w:szCs w:val="22"/>
          <w:lang w:val="es-ES"/>
        </w:rPr>
        <w:t>está</w:t>
      </w:r>
      <w:r w:rsidRPr="0077530D">
        <w:rPr>
          <w:rFonts w:ascii="Arial" w:eastAsia="Arial" w:hAnsi="Arial" w:cs="Arial"/>
          <w:sz w:val="22"/>
          <w:szCs w:val="22"/>
          <w:lang w:val="es-ES"/>
        </w:rPr>
        <w:t xml:space="preserve"> organiza</w:t>
      </w:r>
      <w:r w:rsidR="00C676BF" w:rsidRPr="0077530D">
        <w:rPr>
          <w:rFonts w:ascii="Arial" w:eastAsia="Arial" w:hAnsi="Arial" w:cs="Arial"/>
          <w:sz w:val="22"/>
          <w:szCs w:val="22"/>
          <w:lang w:val="es-ES"/>
        </w:rPr>
        <w:t>do</w:t>
      </w:r>
      <w:r w:rsidRPr="0077530D">
        <w:rPr>
          <w:rFonts w:ascii="Arial" w:eastAsia="Arial" w:hAnsi="Arial" w:cs="Arial"/>
          <w:sz w:val="22"/>
          <w:szCs w:val="22"/>
          <w:lang w:val="es-ES"/>
        </w:rPr>
        <w:t xml:space="preserve"> en </w:t>
      </w:r>
      <w:r w:rsidR="004C5824" w:rsidRPr="0077530D">
        <w:rPr>
          <w:rFonts w:ascii="Arial" w:eastAsia="Arial" w:hAnsi="Arial" w:cs="Arial"/>
          <w:sz w:val="22"/>
          <w:szCs w:val="22"/>
          <w:lang w:val="es-ES"/>
        </w:rPr>
        <w:t>dos</w:t>
      </w:r>
      <w:r w:rsidR="00FC2B5D" w:rsidRPr="0077530D">
        <w:rPr>
          <w:rFonts w:ascii="Arial" w:eastAsia="Arial" w:hAnsi="Arial" w:cs="Arial"/>
          <w:sz w:val="22"/>
          <w:szCs w:val="22"/>
          <w:lang w:val="es-ES"/>
        </w:rPr>
        <w:t xml:space="preserve"> </w:t>
      </w:r>
      <w:r w:rsidRPr="0077530D">
        <w:rPr>
          <w:rFonts w:ascii="Arial" w:eastAsia="Arial" w:hAnsi="Arial" w:cs="Arial"/>
          <w:sz w:val="22"/>
          <w:szCs w:val="22"/>
          <w:lang w:val="es-ES"/>
        </w:rPr>
        <w:t>secciones. La primera</w:t>
      </w:r>
      <w:r w:rsidR="00DA23EC" w:rsidRPr="0077530D">
        <w:rPr>
          <w:rFonts w:ascii="Arial" w:eastAsia="Arial" w:hAnsi="Arial" w:cs="Arial"/>
          <w:sz w:val="22"/>
          <w:szCs w:val="22"/>
          <w:lang w:val="es-ES"/>
        </w:rPr>
        <w:t xml:space="preserve"> presenta una descripción del </w:t>
      </w:r>
      <w:r w:rsidR="008E506C" w:rsidRPr="0077530D">
        <w:rPr>
          <w:rFonts w:ascii="Arial" w:eastAsia="Arial" w:hAnsi="Arial" w:cs="Arial"/>
          <w:sz w:val="22"/>
          <w:szCs w:val="22"/>
          <w:lang w:val="es-ES"/>
        </w:rPr>
        <w:t>pro</w:t>
      </w:r>
      <w:r w:rsidR="008E506C" w:rsidRPr="0077530D">
        <w:rPr>
          <w:rFonts w:ascii="Arial" w:eastAsia="Arial" w:hAnsi="Arial" w:cs="Arial"/>
          <w:sz w:val="22"/>
          <w:szCs w:val="22"/>
          <w:lang w:val="es-ES"/>
        </w:rPr>
        <w:t>grama</w:t>
      </w:r>
      <w:r w:rsidR="008E506C" w:rsidRPr="0077530D">
        <w:rPr>
          <w:rFonts w:ascii="Arial" w:eastAsia="Arial" w:hAnsi="Arial" w:cs="Arial"/>
          <w:sz w:val="22"/>
          <w:szCs w:val="22"/>
          <w:lang w:val="es-ES"/>
        </w:rPr>
        <w:t xml:space="preserve"> </w:t>
      </w:r>
      <w:r w:rsidR="00C676BF" w:rsidRPr="0077530D">
        <w:rPr>
          <w:rFonts w:ascii="Arial" w:eastAsia="Arial" w:hAnsi="Arial" w:cs="Arial"/>
          <w:sz w:val="22"/>
          <w:szCs w:val="22"/>
          <w:lang w:val="es-ES"/>
        </w:rPr>
        <w:t>mientras que</w:t>
      </w:r>
      <w:r w:rsidR="00311359" w:rsidRPr="0077530D">
        <w:rPr>
          <w:rFonts w:ascii="Arial" w:eastAsia="Arial" w:hAnsi="Arial" w:cs="Arial"/>
          <w:sz w:val="22"/>
          <w:szCs w:val="22"/>
          <w:lang w:val="es-ES"/>
        </w:rPr>
        <w:t xml:space="preserve"> l</w:t>
      </w:r>
      <w:r w:rsidRPr="0077530D">
        <w:rPr>
          <w:rFonts w:ascii="Arial" w:eastAsia="Arial" w:hAnsi="Arial" w:cs="Arial"/>
          <w:sz w:val="22"/>
          <w:szCs w:val="22"/>
          <w:lang w:val="es-ES"/>
        </w:rPr>
        <w:t xml:space="preserve">a segunda desarrolla </w:t>
      </w:r>
      <w:r w:rsidR="00013136" w:rsidRPr="0077530D">
        <w:rPr>
          <w:rFonts w:ascii="Arial" w:eastAsia="Arial" w:hAnsi="Arial" w:cs="Arial"/>
          <w:sz w:val="22"/>
          <w:szCs w:val="22"/>
          <w:lang w:val="es-ES"/>
        </w:rPr>
        <w:t>los resultados d</w:t>
      </w:r>
      <w:r w:rsidRPr="0077530D">
        <w:rPr>
          <w:rFonts w:ascii="Arial" w:eastAsia="Arial" w:hAnsi="Arial" w:cs="Arial"/>
          <w:sz w:val="22"/>
          <w:szCs w:val="22"/>
          <w:lang w:val="es-ES"/>
        </w:rPr>
        <w:t xml:space="preserve">el análisis </w:t>
      </w:r>
      <w:r w:rsidR="00AB57E7" w:rsidRPr="0077530D">
        <w:rPr>
          <w:rFonts w:ascii="Arial" w:eastAsia="Arial" w:hAnsi="Arial" w:cs="Arial"/>
          <w:sz w:val="22"/>
          <w:szCs w:val="22"/>
          <w:lang w:val="es-ES"/>
        </w:rPr>
        <w:t xml:space="preserve">económico del </w:t>
      </w:r>
      <w:r w:rsidR="008E506C" w:rsidRPr="0077530D">
        <w:rPr>
          <w:rFonts w:ascii="Arial" w:eastAsia="Arial" w:hAnsi="Arial" w:cs="Arial"/>
          <w:sz w:val="22"/>
          <w:szCs w:val="22"/>
          <w:lang w:val="es-ES"/>
        </w:rPr>
        <w:t>pro</w:t>
      </w:r>
      <w:r w:rsidR="008E506C" w:rsidRPr="0077530D">
        <w:rPr>
          <w:rFonts w:ascii="Arial" w:eastAsia="Arial" w:hAnsi="Arial" w:cs="Arial"/>
          <w:sz w:val="22"/>
          <w:szCs w:val="22"/>
          <w:lang w:val="es-ES"/>
        </w:rPr>
        <w:t>grama</w:t>
      </w:r>
      <w:r w:rsidRPr="0077530D">
        <w:rPr>
          <w:rFonts w:ascii="Arial" w:eastAsia="Arial" w:hAnsi="Arial" w:cs="Arial"/>
          <w:sz w:val="22"/>
          <w:szCs w:val="22"/>
          <w:lang w:val="es-ES"/>
        </w:rPr>
        <w:t>.</w:t>
      </w:r>
      <w:r w:rsidR="00361A79" w:rsidRPr="0077530D">
        <w:rPr>
          <w:rFonts w:ascii="Arial" w:eastAsia="Arial" w:hAnsi="Arial" w:cs="Arial"/>
          <w:sz w:val="22"/>
          <w:szCs w:val="22"/>
          <w:lang w:val="es-ES"/>
        </w:rPr>
        <w:t xml:space="preserve"> </w:t>
      </w:r>
    </w:p>
    <w:p w14:paraId="01ABDDDC" w14:textId="77777777" w:rsidR="008A14AC" w:rsidRPr="0077530D" w:rsidRDefault="008A14AC" w:rsidP="00216A0C">
      <w:pPr>
        <w:jc w:val="both"/>
        <w:rPr>
          <w:rFonts w:ascii="Arial" w:hAnsi="Arial" w:cs="Arial"/>
          <w:sz w:val="22"/>
          <w:szCs w:val="22"/>
          <w:lang w:val="es-ES"/>
        </w:rPr>
      </w:pPr>
    </w:p>
    <w:p w14:paraId="396AF539" w14:textId="77777777" w:rsidR="002356B7" w:rsidRPr="0077530D" w:rsidRDefault="00BB436F" w:rsidP="00216A0C">
      <w:pPr>
        <w:pStyle w:val="Heading1"/>
      </w:pPr>
      <w:bookmarkStart w:id="5" w:name="_Toc296257182"/>
      <w:bookmarkStart w:id="6" w:name="_Toc517873021"/>
      <w:bookmarkStart w:id="7" w:name="_Toc521590378"/>
      <w:r w:rsidRPr="7C974D7A">
        <w:rPr>
          <w:rFonts w:eastAsia="Calibri"/>
          <w:rPrChange w:id="8" w:author="Aguilar Blandon, Maria Alejandra" w:date="2018-08-09T15:06:00Z">
            <w:rPr>
              <w:rFonts w:eastAsia="Calibri"/>
            </w:rPr>
          </w:rPrChange>
        </w:rPr>
        <w:t>I.</w:t>
      </w:r>
      <w:r w:rsidR="008242ED" w:rsidRPr="7C974D7A">
        <w:rPr>
          <w:rFonts w:ascii="Calibri" w:eastAsia="Calibri" w:hAnsi="Calibri" w:cs="Calibri"/>
          <w:rPrChange w:id="9" w:author="Aguilar Blandon, Maria Alejandra" w:date="2018-08-09T15:06:00Z">
            <w:rPr>
              <w:rFonts w:eastAsia="Calibri"/>
            </w:rPr>
          </w:rPrChange>
        </w:rPr>
        <w:t xml:space="preserve"> </w:t>
      </w:r>
      <w:r w:rsidR="002356B7" w:rsidRPr="7C974D7A">
        <w:rPr>
          <w:rFonts w:eastAsia="Calibri"/>
          <w:rPrChange w:id="10" w:author="Aguilar Blandon, Maria Alejandra" w:date="2018-08-09T15:06:00Z">
            <w:rPr>
              <w:rFonts w:eastAsia="Calibri"/>
            </w:rPr>
          </w:rPrChange>
        </w:rPr>
        <w:t>Introducción</w:t>
      </w:r>
      <w:r w:rsidR="002356B7" w:rsidRPr="0077530D">
        <w:rPr>
          <w:vertAlign w:val="superscript"/>
        </w:rPr>
        <w:footnoteReference w:id="2"/>
      </w:r>
      <w:bookmarkEnd w:id="5"/>
      <w:bookmarkEnd w:id="6"/>
      <w:bookmarkEnd w:id="7"/>
      <w:r w:rsidR="00AF07E7" w:rsidRPr="0077530D">
        <w:t xml:space="preserve"> </w:t>
      </w:r>
    </w:p>
    <w:p w14:paraId="0356CC1A" w14:textId="215FC7CB" w:rsidR="00461FD7" w:rsidRPr="0077530D" w:rsidRDefault="00D874A4" w:rsidP="00461FD7">
      <w:pPr>
        <w:pStyle w:val="Heading2"/>
        <w:rPr>
          <w:rFonts w:cs="Arial"/>
          <w:lang w:val="es-419"/>
        </w:rPr>
      </w:pPr>
      <w:bookmarkStart w:id="11" w:name="_Toc517873022"/>
      <w:bookmarkStart w:id="12" w:name="_Toc389607247"/>
      <w:bookmarkStart w:id="13" w:name="_Toc296257183"/>
      <w:bookmarkStart w:id="14" w:name="_Toc521590379"/>
      <w:r w:rsidRPr="0077530D">
        <w:rPr>
          <w:rFonts w:cs="Arial"/>
          <w:lang w:val="es-419"/>
        </w:rPr>
        <w:t>A</w:t>
      </w:r>
      <w:r w:rsidR="00461FD7" w:rsidRPr="0077530D">
        <w:rPr>
          <w:rFonts w:cs="Arial"/>
          <w:lang w:val="es-419"/>
        </w:rPr>
        <w:t>.</w:t>
      </w:r>
      <w:r w:rsidR="00461FD7" w:rsidRPr="0077530D">
        <w:rPr>
          <w:rFonts w:cs="Arial"/>
          <w:lang w:val="es-419"/>
        </w:rPr>
        <w:tab/>
      </w:r>
      <w:r w:rsidRPr="0077530D">
        <w:rPr>
          <w:rFonts w:cs="Arial"/>
          <w:lang w:val="es-419"/>
        </w:rPr>
        <w:t xml:space="preserve">Antecedentes </w:t>
      </w:r>
      <w:r w:rsidR="009D0806" w:rsidRPr="0077530D">
        <w:rPr>
          <w:rFonts w:cs="Arial"/>
          <w:lang w:val="es-419"/>
        </w:rPr>
        <w:t>del Programa de Mejora en la Accesibilidad de los Servicios de Salud Materna en Bolivia</w:t>
      </w:r>
      <w:bookmarkEnd w:id="11"/>
      <w:bookmarkEnd w:id="14"/>
    </w:p>
    <w:p w14:paraId="686664DB" w14:textId="3EC599AC" w:rsidR="00DA62E2" w:rsidRPr="0077530D" w:rsidRDefault="00DA62E2" w:rsidP="00ED0677">
      <w:pPr>
        <w:pStyle w:val="Paragraph"/>
        <w:tabs>
          <w:tab w:val="clear" w:pos="720"/>
        </w:tabs>
        <w:ind w:left="0" w:firstLine="0"/>
        <w:rPr>
          <w:rFonts w:ascii="Arial" w:eastAsia="Arial" w:hAnsi="Arial" w:cs="Arial"/>
        </w:rPr>
      </w:pPr>
      <w:bookmarkStart w:id="15" w:name="_Toc422751911"/>
      <w:bookmarkStart w:id="16" w:name="_Toc517873023"/>
      <w:bookmarkStart w:id="17" w:name="_Ref285380113"/>
      <w:bookmarkStart w:id="18" w:name="_Toc521590380"/>
      <w:bookmarkEnd w:id="12"/>
      <w:bookmarkEnd w:id="13"/>
      <w:r w:rsidRPr="0077530D">
        <w:rPr>
          <w:rFonts w:ascii="Arial" w:eastAsia="Arial" w:hAnsi="Arial" w:cs="Arial"/>
          <w:b/>
        </w:rPr>
        <w:t>Antecedentes.</w:t>
      </w:r>
      <w:r w:rsidRPr="0077530D">
        <w:rPr>
          <w:rFonts w:ascii="Arial" w:eastAsia="Arial" w:hAnsi="Arial" w:cs="Arial"/>
        </w:rPr>
        <w:t xml:space="preserve"> Bolivia ha venido desarrollando en los últimos años importantes avances en sus indicadores de salud, desarrollo social y accesibilidad equitativa a servicios. Destacan, por ejemplo, la erradicación de enfermedades infecto-prevenibles como el sarampión</w:t>
      </w:r>
      <w:r w:rsidRPr="0077530D">
        <w:rPr>
          <w:rStyle w:val="FootnoteReference"/>
          <w:rFonts w:ascii="Arial" w:eastAsia="Arial" w:hAnsi="Arial" w:cs="Arial"/>
          <w:color w:val="000000"/>
        </w:rPr>
        <w:footnoteReference w:id="3"/>
      </w:r>
      <w:r w:rsidRPr="0077530D">
        <w:rPr>
          <w:rStyle w:val="FootnoteReference"/>
          <w:rFonts w:ascii="Arial" w:eastAsia="Arial" w:hAnsi="Arial" w:cs="Arial"/>
          <w:color w:val="000000"/>
        </w:rPr>
        <w:t xml:space="preserve"> </w:t>
      </w:r>
      <w:r w:rsidRPr="0077530D">
        <w:rPr>
          <w:rFonts w:ascii="Arial" w:eastAsia="Arial" w:hAnsi="Arial" w:cs="Arial"/>
        </w:rPr>
        <w:t>y la rubeola</w:t>
      </w:r>
      <w:r w:rsidRPr="0077530D">
        <w:rPr>
          <w:rStyle w:val="FootnoteReference"/>
          <w:rFonts w:ascii="Arial" w:eastAsia="Arial" w:hAnsi="Arial" w:cs="Arial"/>
          <w:color w:val="000000"/>
        </w:rPr>
        <w:footnoteReference w:id="4"/>
      </w:r>
      <w:r w:rsidRPr="0077530D">
        <w:rPr>
          <w:rFonts w:ascii="Arial" w:eastAsia="Arial" w:hAnsi="Arial" w:cs="Arial"/>
        </w:rPr>
        <w:t>; o descensos significativos en la razón de mortalidad materna, que ha pasado de una razón de muerte materna de 234  por 100.000 NV en el estudio de mortalidad materna del año 2000 a 160  muertes por 100.000 NV en el año 2011</w:t>
      </w:r>
      <w:r w:rsidRPr="0077530D">
        <w:rPr>
          <w:rStyle w:val="FootnoteReference"/>
          <w:rFonts w:ascii="Arial" w:eastAsia="Arial" w:hAnsi="Arial" w:cs="Arial"/>
          <w:color w:val="000000"/>
        </w:rPr>
        <w:footnoteReference w:id="5"/>
      </w:r>
      <w:r w:rsidRPr="0077530D">
        <w:rPr>
          <w:rFonts w:ascii="Arial" w:eastAsia="Arial" w:hAnsi="Arial" w:cs="Arial"/>
        </w:rPr>
        <w:t xml:space="preserve">; y descensos también en la mortalidad infantil que ha </w:t>
      </w:r>
      <w:r w:rsidRPr="0077530D">
        <w:rPr>
          <w:rFonts w:ascii="Arial" w:eastAsia="Arial" w:hAnsi="Arial" w:cs="Arial"/>
        </w:rPr>
        <w:lastRenderedPageBreak/>
        <w:t>pasado de 50 muertes por 1.000 N.V. registrados en el ENDSA 2008 a 17 muertes por 1.000 N.V registrados en el EDSA 2016</w:t>
      </w:r>
      <w:r w:rsidRPr="0077530D">
        <w:rPr>
          <w:rStyle w:val="FootnoteReference"/>
          <w:rFonts w:ascii="Arial" w:eastAsia="Arial" w:hAnsi="Arial" w:cs="Arial"/>
          <w:color w:val="000000"/>
        </w:rPr>
        <w:footnoteReference w:id="6"/>
      </w:r>
      <w:r w:rsidRPr="0077530D">
        <w:rPr>
          <w:rFonts w:ascii="Arial" w:eastAsia="Arial" w:hAnsi="Arial" w:cs="Arial"/>
        </w:rPr>
        <w:t xml:space="preserve">. No </w:t>
      </w:r>
      <w:r w:rsidR="004F7237" w:rsidRPr="0077530D">
        <w:rPr>
          <w:rFonts w:ascii="Arial" w:eastAsia="Arial" w:hAnsi="Arial" w:cs="Arial"/>
        </w:rPr>
        <w:t>obstante,</w:t>
      </w:r>
      <w:r w:rsidRPr="0077530D">
        <w:rPr>
          <w:rFonts w:ascii="Arial" w:eastAsia="Arial" w:hAnsi="Arial" w:cs="Arial"/>
        </w:rPr>
        <w:t xml:space="preserve"> estos progresos, el país se mantiene entre los países de la región con los índices de expectativa de vida al nacer más bajos</w:t>
      </w:r>
      <w:r w:rsidRPr="0077530D">
        <w:rPr>
          <w:rStyle w:val="FootnoteReference"/>
          <w:rFonts w:ascii="Arial" w:eastAsia="Arial" w:hAnsi="Arial" w:cs="Arial"/>
          <w:color w:val="000000"/>
        </w:rPr>
        <w:footnoteReference w:id="7"/>
      </w:r>
      <w:r w:rsidRPr="0077530D">
        <w:rPr>
          <w:rFonts w:ascii="Arial" w:eastAsia="Arial" w:hAnsi="Arial" w:cs="Arial"/>
        </w:rPr>
        <w:t xml:space="preserve"> y tasas de mortalidad materna e infantil por encima del promedio regional</w:t>
      </w:r>
      <w:r w:rsidRPr="0077530D">
        <w:rPr>
          <w:rStyle w:val="FootnoteReference"/>
          <w:rFonts w:ascii="Arial" w:eastAsia="Arial" w:hAnsi="Arial" w:cs="Arial"/>
          <w:color w:val="000000"/>
        </w:rPr>
        <w:footnoteReference w:id="8"/>
      </w:r>
      <w:r w:rsidRPr="0077530D">
        <w:rPr>
          <w:rFonts w:ascii="Arial" w:eastAsia="Arial" w:hAnsi="Arial" w:cs="Arial"/>
        </w:rPr>
        <w:t>. Asimismo, el país enfrenta todavía altas prevalencias de enfermedades transmisibles y desafíos importantes relacionados al estado nutricional de los niños, con una tasa de desnutrición crónica en menores de 5 años del 18% (promedio regional del 11,3%), con brechas pronunciadas entre las áreas urbanas y rurales.</w:t>
      </w:r>
      <w:bookmarkEnd w:id="18"/>
      <w:r w:rsidRPr="0077530D">
        <w:rPr>
          <w:rFonts w:ascii="Arial" w:eastAsia="Arial" w:hAnsi="Arial" w:cs="Arial"/>
        </w:rPr>
        <w:t xml:space="preserve"> </w:t>
      </w:r>
    </w:p>
    <w:p w14:paraId="3B38205E" w14:textId="77777777" w:rsidR="00DA62E2" w:rsidRPr="0077530D" w:rsidRDefault="00DA62E2" w:rsidP="00ED0677">
      <w:pPr>
        <w:pStyle w:val="Paragraph"/>
        <w:tabs>
          <w:tab w:val="clear" w:pos="720"/>
        </w:tabs>
        <w:ind w:left="0" w:firstLine="0"/>
        <w:rPr>
          <w:rFonts w:ascii="Arial" w:eastAsia="Arial" w:hAnsi="Arial" w:cs="Arial"/>
        </w:rPr>
      </w:pPr>
      <w:bookmarkStart w:id="19" w:name="_Toc521590381"/>
      <w:r w:rsidRPr="0077530D">
        <w:rPr>
          <w:rFonts w:ascii="Arial" w:eastAsia="Arial" w:hAnsi="Arial" w:cs="Arial"/>
          <w:b/>
        </w:rPr>
        <w:t>Problemas de cobertura y accesibilidad del sistema</w:t>
      </w:r>
      <w:r w:rsidRPr="0077530D">
        <w:rPr>
          <w:rFonts w:ascii="Arial" w:eastAsia="Arial" w:hAnsi="Arial" w:cs="Arial"/>
        </w:rPr>
        <w:t>. Los sistemas estatales de la seguridad social cubren un 37,8% de la población, mientras que los seguros públicos subnacionales y la Ley 475 dan cobertura respectivamente al 4,9% y 13,5% de la población; el 1% de la población tiene coberturas privadas y el 42,8% no tendría actualmente cobertura sanitaria</w:t>
      </w:r>
      <w:r w:rsidRPr="0077530D">
        <w:rPr>
          <w:rStyle w:val="FootnoteReference"/>
          <w:rFonts w:ascii="Arial" w:eastAsia="Arial" w:hAnsi="Arial" w:cs="Arial"/>
          <w:color w:val="000000"/>
        </w:rPr>
        <w:footnoteReference w:id="9"/>
      </w:r>
      <w:r w:rsidRPr="0077530D">
        <w:rPr>
          <w:rFonts w:ascii="Arial" w:eastAsia="Arial" w:hAnsi="Arial" w:cs="Arial"/>
        </w:rPr>
        <w:t>. Por otra parte, la eficacia y eficiencia del sistema se encuentran limitados por déficits en las infraestructuras y el equipamiento de las redes; por la disponibilidad, formación y distribución de los recursos humanos de salud; y por la fragmentación de la gestión institucional, financiera y operativa</w:t>
      </w:r>
      <w:r w:rsidRPr="0077530D">
        <w:rPr>
          <w:rStyle w:val="FootnoteReference"/>
          <w:rFonts w:ascii="Arial" w:eastAsia="Arial" w:hAnsi="Arial" w:cs="Arial"/>
          <w:color w:val="000000"/>
        </w:rPr>
        <w:footnoteReference w:id="10"/>
      </w:r>
      <w:r w:rsidRPr="0077530D">
        <w:rPr>
          <w:rFonts w:ascii="Arial" w:eastAsia="Arial" w:hAnsi="Arial" w:cs="Arial"/>
        </w:rPr>
        <w:t>. Además, la accesibilidad a los servicios de salud continúa siendo, en algunas áreas geográficas, una limitante para las poblaciones más desfavorecidas, que enfrentan elevados costos directos y de oportunidad para utilizar servicios preventivos y curativos de salud. Las ratios de la oferta del sistema de salud boliviano están muy por debajo de los promedios regionales</w:t>
      </w:r>
      <w:r w:rsidRPr="0077530D">
        <w:rPr>
          <w:rStyle w:val="FootnoteReference"/>
          <w:rFonts w:ascii="Arial" w:eastAsia="Arial" w:hAnsi="Arial" w:cs="Arial"/>
          <w:color w:val="000000"/>
        </w:rPr>
        <w:footnoteReference w:id="11"/>
      </w:r>
      <w:r w:rsidRPr="0077530D">
        <w:rPr>
          <w:rFonts w:ascii="Arial" w:eastAsia="Arial" w:hAnsi="Arial" w:cs="Arial"/>
        </w:rPr>
        <w:t>: por ejemplo, cuenta con 8,9 médicos por 10.000 habitantes (promedio regional de 17,7); y 1,6 camas por 1.000 habitantes (promedio regional de 3,4).</w:t>
      </w:r>
      <w:bookmarkEnd w:id="19"/>
    </w:p>
    <w:p w14:paraId="733E84D2" w14:textId="325CC50E" w:rsidR="00DA62E2" w:rsidRPr="0077530D" w:rsidRDefault="00DA62E2" w:rsidP="00ED0677">
      <w:pPr>
        <w:pStyle w:val="Paragraph"/>
        <w:tabs>
          <w:tab w:val="clear" w:pos="720"/>
        </w:tabs>
        <w:ind w:left="0" w:firstLine="0"/>
        <w:rPr>
          <w:rFonts w:ascii="Arial" w:eastAsia="Arial" w:hAnsi="Arial" w:cs="Arial"/>
        </w:rPr>
      </w:pPr>
      <w:bookmarkStart w:id="20" w:name="_Toc521590382"/>
      <w:r w:rsidRPr="0077530D">
        <w:rPr>
          <w:rFonts w:ascii="Arial" w:eastAsia="Arial" w:hAnsi="Arial" w:cs="Arial"/>
          <w:b/>
          <w:color w:val="000000"/>
        </w:rPr>
        <w:t>El reto de la reducción de la mortalidad materna e infantil en Bolivia</w:t>
      </w:r>
      <w:r w:rsidRPr="0077530D">
        <w:rPr>
          <w:rFonts w:ascii="Arial" w:eastAsia="Arial" w:hAnsi="Arial" w:cs="Arial"/>
          <w:color w:val="000000"/>
        </w:rPr>
        <w:t>. La mortalidad materna visibiliza la inequidad del acceso a los servicios de salud desde varias asimetrías, ente otras, lo rural con lo urbano. En 2011, en Bolivia murieron 538 mujeres a consecuencia de complicaciones durante el embarazo, parto y post-parto, el 14% de las cuales eran menores de 19 años; el 68% del total de muertes maternas ocurrió en población indígena</w:t>
      </w:r>
      <w:r w:rsidRPr="0077530D">
        <w:rPr>
          <w:rStyle w:val="FootnoteReference"/>
          <w:rFonts w:ascii="Arial" w:eastAsia="Arial" w:hAnsi="Arial" w:cs="Arial"/>
          <w:color w:val="000000"/>
        </w:rPr>
        <w:footnoteReference w:id="12"/>
      </w:r>
      <w:r w:rsidRPr="0077530D">
        <w:rPr>
          <w:rFonts w:ascii="Arial" w:eastAsia="Arial" w:hAnsi="Arial" w:cs="Arial"/>
          <w:color w:val="000000"/>
        </w:rPr>
        <w:t>. A nivel nacional, el 42% de las muertes maternas ocurre en el domicilio de las mujeres fallecidas. Las más altas tasas de mortalidad materna en Bolivia se encuentran en los departamentos altiplánicos de La Paz y Potosí. En cuanto a la mortalidad infantil, el 45% de los niños menores de cinco años que fallecen lo hacen antes de los 28 días (mortalidad neonatal). De acuerdo con la Guía para la vigilancia de mortalidad perinatal y neonatal publicada por el Ministerio de Salud en el año 2013, se estima que en el país ocurren, aproximadamente, algo más de 8.000 muertes neonatales anuales y dos tercios de estos fallecimientos podrían evitarse aplicando medidas sanitarias conocidas y eficaces en el parto y durante la primera semana de vida.</w:t>
      </w:r>
      <w:bookmarkEnd w:id="20"/>
      <w:r w:rsidRPr="0077530D">
        <w:rPr>
          <w:rFonts w:ascii="Arial" w:eastAsia="Arial" w:hAnsi="Arial" w:cs="Arial"/>
          <w:color w:val="000000"/>
        </w:rPr>
        <w:t xml:space="preserve"> </w:t>
      </w:r>
    </w:p>
    <w:p w14:paraId="407A61DA" w14:textId="7624B73F" w:rsidR="00DA62E2" w:rsidRPr="0077530D" w:rsidRDefault="00DA62E2" w:rsidP="00ED0677">
      <w:pPr>
        <w:pStyle w:val="Paragraph"/>
        <w:tabs>
          <w:tab w:val="clear" w:pos="720"/>
        </w:tabs>
        <w:autoSpaceDE w:val="0"/>
        <w:autoSpaceDN w:val="0"/>
        <w:adjustRightInd w:val="0"/>
        <w:ind w:left="0" w:firstLine="0"/>
        <w:rPr>
          <w:rFonts w:ascii="Arial" w:hAnsi="Arial" w:cs="Arial"/>
        </w:rPr>
      </w:pPr>
      <w:bookmarkStart w:id="21" w:name="_Toc521590383"/>
      <w:r w:rsidRPr="0077530D">
        <w:rPr>
          <w:rFonts w:ascii="Arial" w:hAnsi="Arial" w:cs="Arial"/>
          <w:b/>
        </w:rPr>
        <w:t>El trabajo del Banco en el sector salud en Bolivia.</w:t>
      </w:r>
      <w:r w:rsidRPr="0077530D">
        <w:rPr>
          <w:rFonts w:ascii="Arial" w:hAnsi="Arial" w:cs="Arial"/>
        </w:rPr>
        <w:t xml:space="preserve"> En la última década, Bolivia ha contado con el apoyo del Banco a través de cuatro operaciones en el sector salud de las cuales las últimas tres se encuentran todavía en ejecución: (i</w:t>
      </w:r>
      <w:r w:rsidR="00FB0A0B">
        <w:rPr>
          <w:rFonts w:ascii="Arial" w:hAnsi="Arial" w:cs="Arial"/>
        </w:rPr>
        <w:t>) </w:t>
      </w:r>
      <w:r w:rsidRPr="0077530D">
        <w:rPr>
          <w:rFonts w:ascii="Arial" w:hAnsi="Arial" w:cs="Arial"/>
        </w:rPr>
        <w:t>Programa multifase de erradicación de la extrema pobreza (BO-L1032); (ii</w:t>
      </w:r>
      <w:r w:rsidR="00FB0A0B">
        <w:rPr>
          <w:rFonts w:ascii="Arial" w:hAnsi="Arial" w:cs="Arial"/>
        </w:rPr>
        <w:t>) </w:t>
      </w:r>
      <w:r w:rsidRPr="0077530D">
        <w:rPr>
          <w:rFonts w:ascii="Arial" w:hAnsi="Arial" w:cs="Arial"/>
        </w:rPr>
        <w:t>Programa de fortalecimiento de las redes integrales de salud en el Departamento de Potosí (BO-L1067); (iii</w:t>
      </w:r>
      <w:r w:rsidR="00FB0A0B">
        <w:rPr>
          <w:rFonts w:ascii="Arial" w:hAnsi="Arial" w:cs="Arial"/>
        </w:rPr>
        <w:t>) </w:t>
      </w:r>
      <w:r w:rsidRPr="0077530D">
        <w:rPr>
          <w:rFonts w:ascii="Arial" w:hAnsi="Arial" w:cs="Arial"/>
        </w:rPr>
        <w:t xml:space="preserve">Programa de mejoramiento del acceso a los servicios </w:t>
      </w:r>
      <w:r w:rsidRPr="0077530D">
        <w:rPr>
          <w:rFonts w:ascii="Arial" w:hAnsi="Arial" w:cs="Arial"/>
        </w:rPr>
        <w:lastRenderedPageBreak/>
        <w:t>hospitalarios en Bolivia (BO-L1078); y (iv</w:t>
      </w:r>
      <w:r w:rsidR="00FB0A0B">
        <w:rPr>
          <w:rFonts w:ascii="Arial" w:hAnsi="Arial" w:cs="Arial"/>
        </w:rPr>
        <w:t>) </w:t>
      </w:r>
      <w:r w:rsidRPr="0077530D">
        <w:rPr>
          <w:rFonts w:ascii="Arial" w:hAnsi="Arial" w:cs="Arial"/>
        </w:rPr>
        <w:t>Programa de mejoramiento del acceso a los servicios de salud en El Alto (BO-L1082). Los objetivos de la serie son complementarios a la operación propuesta, buscando contribuir a mejorar las condiciones de salud de la población en situación de pobreza, principalmente en madres y niños y niñas del ámbito rural e indígena.</w:t>
      </w:r>
      <w:bookmarkEnd w:id="21"/>
    </w:p>
    <w:p w14:paraId="3208C1E3" w14:textId="1097336D" w:rsidR="00DA62E2" w:rsidRPr="00FB0A0B" w:rsidRDefault="00DA62E2" w:rsidP="00ED0677">
      <w:pPr>
        <w:pStyle w:val="Paragraph"/>
        <w:tabs>
          <w:tab w:val="clear" w:pos="720"/>
        </w:tabs>
        <w:autoSpaceDE w:val="0"/>
        <w:autoSpaceDN w:val="0"/>
        <w:adjustRightInd w:val="0"/>
        <w:ind w:left="0" w:firstLine="0"/>
        <w:rPr>
          <w:rFonts w:ascii="Arial" w:eastAsia="Arial" w:hAnsi="Arial" w:cs="Arial"/>
          <w:rPrChange w:id="22" w:author="Aguilar Blandon, Maria Alejandra" w:date="2018-08-09T15:06:00Z">
            <w:rPr>
              <w:rFonts w:ascii="Arial" w:hAnsi="Arial" w:cs="Arial"/>
            </w:rPr>
          </w:rPrChange>
        </w:rPr>
      </w:pPr>
      <w:bookmarkStart w:id="23" w:name="_Toc521590384"/>
      <w:r w:rsidRPr="7C974D7A">
        <w:rPr>
          <w:rFonts w:ascii="Arial" w:eastAsia="Arial" w:hAnsi="Arial" w:cs="Arial"/>
          <w:b/>
          <w:rPrChange w:id="24" w:author="Aguilar Blandon, Maria Alejandra" w:date="2018-08-09T15:06:00Z">
            <w:rPr>
              <w:rFonts w:ascii="Arial" w:hAnsi="Arial" w:cs="Arial"/>
              <w:b/>
            </w:rPr>
          </w:rPrChange>
        </w:rPr>
        <w:t>Alineación estratégica.</w:t>
      </w:r>
      <w:r w:rsidRPr="7C974D7A">
        <w:rPr>
          <w:rFonts w:ascii="Arial" w:eastAsia="Arial" w:hAnsi="Arial" w:cs="Arial"/>
          <w:rPrChange w:id="25" w:author="Aguilar Blandon, Maria Alejandra" w:date="2018-08-09T15:06:00Z">
            <w:rPr>
              <w:rFonts w:ascii="Arial" w:hAnsi="Arial" w:cs="Arial"/>
            </w:rPr>
          </w:rPrChange>
        </w:rPr>
        <w:t xml:space="preserve"> El programa es consistente con la Actualización de la Estrategia Institucional (UIS</w:t>
      </w:r>
      <w:r w:rsidR="00FB0A0B" w:rsidRPr="00FB0A0B">
        <w:rPr>
          <w:rFonts w:ascii="Arial" w:hAnsi="Arial" w:cs="Arial"/>
        </w:rPr>
        <w:t>)</w:t>
      </w:r>
      <w:r w:rsidR="00FB0A0B" w:rsidRPr="0077530D">
        <w:rPr>
          <w:rFonts w:ascii="Arial" w:eastAsia="Arial" w:hAnsi="Arial" w:cs="Arial"/>
        </w:rPr>
        <w:t> </w:t>
      </w:r>
      <w:r w:rsidRPr="7C974D7A">
        <w:rPr>
          <w:rFonts w:ascii="Arial" w:eastAsia="Arial" w:hAnsi="Arial" w:cs="Arial"/>
          <w:rPrChange w:id="26" w:author="Aguilar Blandon, Maria Alejandra" w:date="2018-08-09T15:06:00Z">
            <w:rPr>
              <w:rFonts w:ascii="Arial" w:hAnsi="Arial" w:cs="Arial"/>
            </w:rPr>
          </w:rPrChange>
        </w:rPr>
        <w:t>2010-2020 (AB-3008</w:t>
      </w:r>
      <w:r w:rsidR="00FB0A0B" w:rsidRPr="0077530D">
        <w:rPr>
          <w:rFonts w:ascii="Arial" w:eastAsia="Arial" w:hAnsi="Arial" w:cs="Arial"/>
        </w:rPr>
        <w:t>) </w:t>
      </w:r>
      <w:r w:rsidRPr="7C974D7A">
        <w:rPr>
          <w:rFonts w:ascii="Arial" w:eastAsia="Arial" w:hAnsi="Arial" w:cs="Arial"/>
          <w:rPrChange w:id="27" w:author="Aguilar Blandon, Maria Alejandra" w:date="2018-08-09T15:06:00Z">
            <w:rPr>
              <w:rFonts w:ascii="Arial" w:hAnsi="Arial" w:cs="Arial"/>
            </w:rPr>
          </w:rPrChange>
        </w:rPr>
        <w:t>y se alinea estratégicamente con los desafíos de desarrollo de inclusión social e igualdad por medio de la reducción de la mortalidad materna. El programa también se alinea con las áreas transversales de igualdad de género y diversidad al fomentar la salud de la mujer; cambio climático y sostenibilidad ambiental al promover infraestructuras eficientes, sostenibles y resilientes. Adicionalmente, el programa contribuirá al Marco de Resultados Corporativos (CRF</w:t>
      </w:r>
      <w:r w:rsidR="00FB0A0B" w:rsidRPr="00FB0A0B">
        <w:rPr>
          <w:rFonts w:ascii="Arial" w:hAnsi="Arial" w:cs="Arial"/>
        </w:rPr>
        <w:t>)</w:t>
      </w:r>
      <w:r w:rsidR="00FB0A0B" w:rsidRPr="0077530D">
        <w:rPr>
          <w:rFonts w:ascii="Arial" w:eastAsia="Arial" w:hAnsi="Arial" w:cs="Arial"/>
        </w:rPr>
        <w:t> </w:t>
      </w:r>
      <w:r w:rsidRPr="7C974D7A">
        <w:rPr>
          <w:rFonts w:ascii="Arial" w:eastAsia="Arial" w:hAnsi="Arial" w:cs="Arial"/>
          <w:rPrChange w:id="28" w:author="Aguilar Blandon, Maria Alejandra" w:date="2018-08-09T15:06:00Z">
            <w:rPr>
              <w:rFonts w:ascii="Arial" w:hAnsi="Arial" w:cs="Arial"/>
            </w:rPr>
          </w:rPrChange>
        </w:rPr>
        <w:t>2016-2019 (GN-2727-6</w:t>
      </w:r>
      <w:r w:rsidR="00FB0A0B" w:rsidRPr="00FB0A0B">
        <w:rPr>
          <w:rFonts w:ascii="Arial" w:hAnsi="Arial" w:cs="Arial"/>
        </w:rPr>
        <w:t>)</w:t>
      </w:r>
      <w:r w:rsidR="00FB0A0B" w:rsidRPr="0077530D">
        <w:rPr>
          <w:rFonts w:ascii="Arial" w:eastAsia="Arial" w:hAnsi="Arial" w:cs="Arial"/>
        </w:rPr>
        <w:t> </w:t>
      </w:r>
      <w:r w:rsidRPr="7C974D7A">
        <w:rPr>
          <w:rFonts w:ascii="Arial" w:eastAsia="Arial" w:hAnsi="Arial" w:cs="Arial"/>
          <w:rPrChange w:id="29" w:author="Aguilar Blandon, Maria Alejandra" w:date="2018-08-09T15:06:00Z">
            <w:rPr>
              <w:rFonts w:ascii="Arial" w:hAnsi="Arial" w:cs="Arial"/>
            </w:rPr>
          </w:rPrChange>
        </w:rPr>
        <w:t>mediante el aumento de personas que se benefician de servicios de salud, de forma consistente con el Marco Sectorial de Salud y Nutrición (GN-2735-7). También se alinea con la estrategia del grupo BID con el país al contribuir a cerrar las brechas sociales (GN-2843), pues facilitará la accesibilidad a los servicios de salud CONE de forma equitativa y oportuna de la población más vulnerable.</w:t>
      </w:r>
      <w:bookmarkEnd w:id="23"/>
    </w:p>
    <w:p w14:paraId="1502E534" w14:textId="77777777" w:rsidR="00DA62E2" w:rsidRPr="0077530D" w:rsidRDefault="00DA62E2" w:rsidP="00ED0677">
      <w:pPr>
        <w:pStyle w:val="Paragraph"/>
        <w:tabs>
          <w:tab w:val="clear" w:pos="720"/>
        </w:tabs>
        <w:autoSpaceDE w:val="0"/>
        <w:autoSpaceDN w:val="0"/>
        <w:adjustRightInd w:val="0"/>
        <w:ind w:left="0" w:firstLine="0"/>
        <w:rPr>
          <w:rFonts w:ascii="Arial" w:hAnsi="Arial" w:cs="Arial"/>
        </w:rPr>
      </w:pPr>
      <w:bookmarkStart w:id="30" w:name="_Toc521590385"/>
      <w:r w:rsidRPr="0077530D">
        <w:rPr>
          <w:rFonts w:ascii="Arial" w:hAnsi="Arial" w:cs="Arial"/>
          <w:b/>
        </w:rPr>
        <w:t>Justificación</w:t>
      </w:r>
      <w:r w:rsidRPr="0077530D">
        <w:rPr>
          <w:rFonts w:ascii="Arial" w:hAnsi="Arial" w:cs="Arial"/>
        </w:rPr>
        <w:t>.  El Gobierno de Bolivia ha solicitado al Banco un préstamo de inversión, complementario a la serie programática, para mejorar la capacidad institucional de gestión de los cuidados obstétricos neonatales esenciales (CONE), incrementar la accesibilidad y calidad de la oferta de los servicios de salud materno-infantiles, y hacer su infraestructura más resolutiva al tiempo que resiliente ante fenómenos naturales y ambientalmente sostenible. Se priorizarán aquellas redes de salud con mayores tasas de mortalidad materna e infantil y con barreras geográficas de accesibilidad a los servicios.</w:t>
      </w:r>
      <w:bookmarkEnd w:id="30"/>
      <w:r w:rsidRPr="0077530D">
        <w:rPr>
          <w:rFonts w:ascii="Arial" w:hAnsi="Arial" w:cs="Arial"/>
        </w:rPr>
        <w:t xml:space="preserve"> </w:t>
      </w:r>
    </w:p>
    <w:p w14:paraId="63FF9C1E" w14:textId="6D1430D1" w:rsidR="00924EEC" w:rsidRPr="0077530D" w:rsidRDefault="00620E0A" w:rsidP="007B7847">
      <w:pPr>
        <w:pStyle w:val="Heading2"/>
        <w:rPr>
          <w:rFonts w:cs="Arial"/>
        </w:rPr>
      </w:pPr>
      <w:bookmarkStart w:id="31" w:name="_Toc521590386"/>
      <w:r w:rsidRPr="0077530D">
        <w:rPr>
          <w:rFonts w:cs="Arial"/>
        </w:rPr>
        <w:t>B.</w:t>
      </w:r>
      <w:r w:rsidRPr="0077530D">
        <w:rPr>
          <w:rFonts w:cs="Arial"/>
        </w:rPr>
        <w:tab/>
      </w:r>
      <w:r w:rsidR="009A7589" w:rsidRPr="0077530D">
        <w:rPr>
          <w:rFonts w:cs="Arial"/>
        </w:rPr>
        <w:t>Objetivos, Componentes y Costo</w:t>
      </w:r>
      <w:bookmarkEnd w:id="15"/>
      <w:bookmarkEnd w:id="16"/>
      <w:bookmarkEnd w:id="31"/>
    </w:p>
    <w:p w14:paraId="523FFEA2" w14:textId="005612DA" w:rsidR="001F7C33" w:rsidRPr="0077530D" w:rsidRDefault="001F7C33" w:rsidP="00CF7686">
      <w:pPr>
        <w:pStyle w:val="Paragraph"/>
        <w:tabs>
          <w:tab w:val="clear" w:pos="720"/>
        </w:tabs>
        <w:ind w:left="0" w:firstLine="0"/>
        <w:outlineLvl w:val="9"/>
        <w:rPr>
          <w:rFonts w:ascii="Arial" w:hAnsi="Arial" w:cs="Arial"/>
          <w:spacing w:val="-2"/>
        </w:rPr>
      </w:pPr>
      <w:bookmarkStart w:id="32" w:name="_Toc517873024"/>
      <w:bookmarkStart w:id="33" w:name="_Toc296257185"/>
      <w:bookmarkEnd w:id="17"/>
      <w:r w:rsidRPr="0077530D">
        <w:rPr>
          <w:rFonts w:ascii="Arial" w:hAnsi="Arial" w:cs="Arial"/>
          <w:b/>
        </w:rPr>
        <w:t xml:space="preserve">Objetivo. </w:t>
      </w:r>
      <w:r w:rsidRPr="0077530D">
        <w:rPr>
          <w:rFonts w:ascii="Arial" w:hAnsi="Arial" w:cs="Arial"/>
          <w:spacing w:val="-2"/>
        </w:rPr>
        <w:t>El objetivo general del programa es la reducción de la morbi-mortalidad materna y neonatal, incrementando la accesibilidad y capacidad resolutiva, con calidad, de las redes de salud priorizadas (aquellas con indicadores de mortalidad materno-infantil y accesibilidad más desfavorables). Los objetivos específicos son: (i</w:t>
      </w:r>
      <w:r w:rsidR="00FB0A0B">
        <w:rPr>
          <w:rFonts w:ascii="Arial" w:hAnsi="Arial" w:cs="Arial"/>
          <w:spacing w:val="-2"/>
        </w:rPr>
        <w:t>) </w:t>
      </w:r>
      <w:r w:rsidRPr="0077530D">
        <w:rPr>
          <w:rFonts w:ascii="Arial" w:hAnsi="Arial" w:cs="Arial"/>
          <w:spacing w:val="-2"/>
        </w:rPr>
        <w:t>implementación de la estrategia CONE y mejoras en el desempeño de la red a través de: (a</w:t>
      </w:r>
      <w:r w:rsidR="00FB0A0B">
        <w:rPr>
          <w:rFonts w:ascii="Arial" w:hAnsi="Arial" w:cs="Arial"/>
          <w:spacing w:val="-2"/>
        </w:rPr>
        <w:t>) </w:t>
      </w:r>
      <w:r w:rsidRPr="0077530D">
        <w:rPr>
          <w:rFonts w:ascii="Arial" w:hAnsi="Arial" w:cs="Arial"/>
          <w:spacing w:val="-2"/>
        </w:rPr>
        <w:t>implementación de procesos de mejora continua de la calidad de atención, con énfasis en un modelo de atención CONE; (b</w:t>
      </w:r>
      <w:r w:rsidR="00FB0A0B">
        <w:rPr>
          <w:rFonts w:ascii="Arial" w:hAnsi="Arial" w:cs="Arial"/>
          <w:spacing w:val="-2"/>
        </w:rPr>
        <w:t>) </w:t>
      </w:r>
      <w:r w:rsidRPr="0077530D">
        <w:rPr>
          <w:rFonts w:ascii="Arial" w:hAnsi="Arial" w:cs="Arial"/>
          <w:spacing w:val="-2"/>
        </w:rPr>
        <w:t>mejora de los sistemas de información para la gestión de la atención en salud en red y el monitoreo de la morbi-mortalidad materna y neonatal; y (c</w:t>
      </w:r>
      <w:r w:rsidR="00FB0A0B">
        <w:rPr>
          <w:rFonts w:ascii="Arial" w:hAnsi="Arial" w:cs="Arial"/>
          <w:spacing w:val="-2"/>
        </w:rPr>
        <w:t>) </w:t>
      </w:r>
      <w:r w:rsidRPr="0077530D">
        <w:rPr>
          <w:rFonts w:ascii="Arial" w:hAnsi="Arial" w:cs="Arial"/>
          <w:spacing w:val="-2"/>
        </w:rPr>
        <w:t>incremento de las capacidades gerenciales de la red y de los establecimientos de salud; y (ii</w:t>
      </w:r>
      <w:r w:rsidR="00FB0A0B">
        <w:rPr>
          <w:rFonts w:ascii="Arial" w:hAnsi="Arial" w:cs="Arial"/>
          <w:spacing w:val="-2"/>
        </w:rPr>
        <w:t>) </w:t>
      </w:r>
      <w:r w:rsidRPr="0077530D">
        <w:rPr>
          <w:rFonts w:ascii="Arial" w:hAnsi="Arial" w:cs="Arial"/>
          <w:spacing w:val="-2"/>
        </w:rPr>
        <w:t>fortalecimiento de la infraestructura de la red de servicios de salud, realizando inversiones en obras y equipamiento que incrementen la capacidad resolutiva de la misma, con una visión integral y articulada de la red.</w:t>
      </w:r>
      <w:bookmarkEnd w:id="32"/>
    </w:p>
    <w:p w14:paraId="3F2898FC" w14:textId="011DF3C4" w:rsidR="00D00280" w:rsidRPr="00FB0A0B" w:rsidRDefault="00D00280" w:rsidP="0077530D">
      <w:pPr>
        <w:pStyle w:val="Paragraph"/>
        <w:tabs>
          <w:tab w:val="clear" w:pos="720"/>
        </w:tabs>
        <w:spacing w:before="0" w:after="0"/>
        <w:ind w:left="0" w:firstLine="0"/>
        <w:rPr>
          <w:rFonts w:ascii="Arial" w:eastAsia="Arial" w:hAnsi="Arial" w:cs="Arial"/>
          <w:rPrChange w:id="34" w:author="Aguilar Blandon, Maria Alejandra" w:date="2018-08-09T15:06:00Z">
            <w:rPr>
              <w:rFonts w:ascii="Arial" w:hAnsi="Arial" w:cs="Arial"/>
            </w:rPr>
          </w:rPrChange>
        </w:rPr>
      </w:pPr>
      <w:bookmarkStart w:id="35" w:name="_Toc521590387"/>
      <w:r w:rsidRPr="7C974D7A">
        <w:rPr>
          <w:rFonts w:ascii="Arial" w:eastAsia="Arial" w:hAnsi="Arial" w:cs="Arial"/>
          <w:b/>
          <w:rPrChange w:id="36" w:author="Aguilar Blandon, Maria Alejandra" w:date="2018-08-09T15:06:00Z">
            <w:rPr>
              <w:rFonts w:ascii="Arial" w:hAnsi="Arial" w:cs="Arial"/>
              <w:b/>
            </w:rPr>
          </w:rPrChange>
        </w:rPr>
        <w:t xml:space="preserve">Componente 1. </w:t>
      </w:r>
      <w:r w:rsidR="000A3DCE" w:rsidRPr="7C974D7A">
        <w:rPr>
          <w:rFonts w:ascii="Arial" w:eastAsia="Arial" w:hAnsi="Arial" w:cs="Arial"/>
          <w:b/>
          <w:color w:val="000000"/>
          <w:rPrChange w:id="37" w:author="Aguilar Blandon, Maria Alejandra" w:date="2018-08-09T15:06:00Z">
            <w:rPr>
              <w:rFonts w:ascii="Arial" w:hAnsi="Arial" w:cs="Arial"/>
              <w:b/>
              <w:color w:val="000000"/>
            </w:rPr>
          </w:rPrChange>
        </w:rPr>
        <w:t>E</w:t>
      </w:r>
      <w:r w:rsidRPr="7C974D7A">
        <w:rPr>
          <w:rFonts w:ascii="Arial" w:eastAsia="Arial" w:hAnsi="Arial" w:cs="Arial"/>
          <w:b/>
          <w:color w:val="000000"/>
          <w:rPrChange w:id="38" w:author="Aguilar Blandon, Maria Alejandra" w:date="2018-08-09T15:06:00Z">
            <w:rPr>
              <w:rFonts w:ascii="Arial" w:hAnsi="Arial" w:cs="Arial"/>
              <w:b/>
              <w:color w:val="000000"/>
            </w:rPr>
          </w:rPrChange>
        </w:rPr>
        <w:t xml:space="preserve">strategia CONE, </w:t>
      </w:r>
      <w:r w:rsidR="0035784B" w:rsidRPr="7C974D7A">
        <w:rPr>
          <w:rFonts w:ascii="Arial" w:eastAsia="Arial" w:hAnsi="Arial" w:cs="Arial"/>
          <w:b/>
          <w:color w:val="000000"/>
          <w:rPrChange w:id="39" w:author="Aguilar Blandon, Maria Alejandra" w:date="2018-08-09T15:06:00Z">
            <w:rPr>
              <w:rFonts w:ascii="Arial" w:hAnsi="Arial" w:cs="Arial"/>
              <w:b/>
              <w:color w:val="000000"/>
            </w:rPr>
          </w:rPrChange>
        </w:rPr>
        <w:t>G</w:t>
      </w:r>
      <w:r w:rsidRPr="7C974D7A">
        <w:rPr>
          <w:rFonts w:ascii="Arial" w:eastAsia="Arial" w:hAnsi="Arial" w:cs="Arial"/>
          <w:b/>
          <w:color w:val="000000"/>
          <w:rPrChange w:id="40" w:author="Aguilar Blandon, Maria Alejandra" w:date="2018-08-09T15:06:00Z">
            <w:rPr>
              <w:rFonts w:ascii="Arial" w:hAnsi="Arial" w:cs="Arial"/>
              <w:b/>
              <w:color w:val="000000"/>
            </w:rPr>
          </w:rPrChange>
        </w:rPr>
        <w:t xml:space="preserve">estión y </w:t>
      </w:r>
      <w:r w:rsidR="0035784B" w:rsidRPr="7C974D7A">
        <w:rPr>
          <w:rFonts w:ascii="Arial" w:eastAsia="Arial" w:hAnsi="Arial" w:cs="Arial"/>
          <w:b/>
          <w:color w:val="000000"/>
          <w:rPrChange w:id="41" w:author="Aguilar Blandon, Maria Alejandra" w:date="2018-08-09T15:06:00Z">
            <w:rPr>
              <w:rFonts w:ascii="Arial" w:hAnsi="Arial" w:cs="Arial"/>
              <w:b/>
              <w:color w:val="000000"/>
            </w:rPr>
          </w:rPrChange>
        </w:rPr>
        <w:t>F</w:t>
      </w:r>
      <w:r w:rsidRPr="7C974D7A">
        <w:rPr>
          <w:rFonts w:ascii="Arial" w:eastAsia="Arial" w:hAnsi="Arial" w:cs="Arial"/>
          <w:b/>
          <w:color w:val="000000"/>
          <w:rPrChange w:id="42" w:author="Aguilar Blandon, Maria Alejandra" w:date="2018-08-09T15:06:00Z">
            <w:rPr>
              <w:rFonts w:ascii="Arial" w:hAnsi="Arial" w:cs="Arial"/>
              <w:b/>
              <w:color w:val="000000"/>
            </w:rPr>
          </w:rPrChange>
        </w:rPr>
        <w:t>ormación de Recursos Humanos (US$16,600 millones).</w:t>
      </w:r>
      <w:r w:rsidRPr="7C974D7A">
        <w:rPr>
          <w:rFonts w:ascii="Arial" w:eastAsia="Arial" w:hAnsi="Arial" w:cs="Arial"/>
          <w:color w:val="000000"/>
          <w:rPrChange w:id="43" w:author="Aguilar Blandon, Maria Alejandra" w:date="2018-08-09T15:06:00Z">
            <w:rPr>
              <w:rFonts w:ascii="Arial" w:hAnsi="Arial" w:cs="Arial"/>
              <w:color w:val="000000"/>
            </w:rPr>
          </w:rPrChange>
        </w:rPr>
        <w:t xml:space="preserve"> Orientado a apoyar la implementación de un modelo de atención en CONE y al fortalecimiento institucional de la red de servicios de salud, optimizando los recursos disponibles y mejorando los procesos de gestión, contribuirá al logro de los resultados intermedios del programa r1 (calidad y accesibilidad de los CONE y PF incrementada), r2 (capacidad resolutiva de la red de servicios de salud incrementada</w:t>
      </w:r>
      <w:r w:rsidR="00FB0A0B" w:rsidRPr="00FB0A0B">
        <w:rPr>
          <w:rFonts w:ascii="Arial" w:hAnsi="Arial" w:cs="Arial"/>
          <w:color w:val="000000"/>
        </w:rPr>
        <w:t>)</w:t>
      </w:r>
      <w:r w:rsidR="00FB0A0B" w:rsidRPr="0077530D">
        <w:rPr>
          <w:rFonts w:ascii="Arial" w:eastAsia="Arial" w:hAnsi="Arial" w:cs="Arial"/>
          <w:color w:val="000000"/>
        </w:rPr>
        <w:t> </w:t>
      </w:r>
      <w:r w:rsidRPr="7C974D7A">
        <w:rPr>
          <w:rFonts w:ascii="Arial" w:eastAsia="Arial" w:hAnsi="Arial" w:cs="Arial"/>
          <w:color w:val="000000"/>
          <w:rPrChange w:id="44" w:author="Aguilar Blandon, Maria Alejandra" w:date="2018-08-09T15:06:00Z">
            <w:rPr>
              <w:rFonts w:ascii="Arial" w:hAnsi="Arial" w:cs="Arial"/>
              <w:color w:val="000000"/>
            </w:rPr>
          </w:rPrChange>
        </w:rPr>
        <w:t xml:space="preserve"> y r3 (capacidad de gestión y eficiencia de las redes y establecimientos de salud incrementada). Se financiarán:</w:t>
      </w:r>
      <w:bookmarkEnd w:id="35"/>
    </w:p>
    <w:p w14:paraId="1381D1DE" w14:textId="77777777" w:rsidR="00D00280" w:rsidRPr="0077530D" w:rsidRDefault="00D00280" w:rsidP="008C1994">
      <w:pPr>
        <w:pStyle w:val="Paragraph"/>
        <w:tabs>
          <w:tab w:val="clear" w:pos="720"/>
        </w:tabs>
        <w:spacing w:before="0" w:after="0"/>
        <w:ind w:firstLine="0"/>
        <w:outlineLvl w:val="9"/>
        <w:rPr>
          <w:rFonts w:ascii="Arial" w:hAnsi="Arial" w:cs="Arial"/>
          <w:sz w:val="16"/>
          <w:szCs w:val="16"/>
        </w:rPr>
      </w:pPr>
    </w:p>
    <w:p w14:paraId="765CEEB6" w14:textId="10F1B8A7" w:rsidR="00D00280" w:rsidRPr="0077530D" w:rsidRDefault="00D00280" w:rsidP="00D00280">
      <w:pPr>
        <w:pStyle w:val="ListParagraph"/>
        <w:spacing w:after="120" w:line="240" w:lineRule="auto"/>
        <w:ind w:left="0"/>
        <w:jc w:val="both"/>
        <w:rPr>
          <w:rFonts w:ascii="Arial" w:hAnsi="Arial" w:cs="Arial"/>
          <w:color w:val="000000"/>
          <w:lang w:val="es-ES_tradnl"/>
        </w:rPr>
      </w:pPr>
      <w:r w:rsidRPr="0077530D">
        <w:rPr>
          <w:rFonts w:ascii="Arial" w:hAnsi="Arial" w:cs="Arial"/>
          <w:color w:val="000000"/>
          <w:u w:val="single"/>
          <w:lang w:val="es-ES_tradnl"/>
        </w:rPr>
        <w:t xml:space="preserve">Sub-componente 1.1: </w:t>
      </w:r>
      <w:r w:rsidR="0035784B" w:rsidRPr="0077530D">
        <w:rPr>
          <w:rFonts w:ascii="Arial" w:hAnsi="Arial" w:cs="Arial"/>
          <w:color w:val="000000"/>
          <w:u w:val="single"/>
          <w:lang w:val="es-ES_tradnl"/>
        </w:rPr>
        <w:t>M</w:t>
      </w:r>
      <w:r w:rsidRPr="0077530D">
        <w:rPr>
          <w:rFonts w:ascii="Arial" w:hAnsi="Arial" w:cs="Arial"/>
          <w:color w:val="000000"/>
          <w:u w:val="single"/>
          <w:lang w:val="es-ES_tradnl"/>
        </w:rPr>
        <w:t>odelo de atención en CONE (US$9,656 millones)</w:t>
      </w:r>
      <w:r w:rsidRPr="0077530D">
        <w:rPr>
          <w:rFonts w:ascii="Arial" w:hAnsi="Arial" w:cs="Arial"/>
          <w:color w:val="000000"/>
          <w:lang w:val="es-ES_tradnl"/>
        </w:rPr>
        <w:t>: (i</w:t>
      </w:r>
      <w:r w:rsidR="00FB0A0B">
        <w:rPr>
          <w:rFonts w:ascii="Arial" w:hAnsi="Arial" w:cs="Arial"/>
          <w:color w:val="000000"/>
          <w:lang w:val="es-ES_tradnl"/>
        </w:rPr>
        <w:t>) </w:t>
      </w:r>
      <w:r w:rsidRPr="0077530D">
        <w:rPr>
          <w:rFonts w:ascii="Arial" w:hAnsi="Arial" w:cs="Arial"/>
          <w:color w:val="000000"/>
          <w:lang w:val="es-ES_tradnl"/>
        </w:rPr>
        <w:t>Apoyo a la redefinición de la cartera de servicios CONE y elaboración y difusión de normas, guías y/o reglamentos que aseguren la operativización práctica de la estrategia para la reducción acelerada de la morbi-mortalidad materna y neonatal; (ii</w:t>
      </w:r>
      <w:r w:rsidR="00FB0A0B">
        <w:rPr>
          <w:rFonts w:ascii="Arial" w:hAnsi="Arial" w:cs="Arial"/>
          <w:color w:val="000000"/>
          <w:lang w:val="es-ES_tradnl"/>
        </w:rPr>
        <w:t>) </w:t>
      </w:r>
      <w:r w:rsidRPr="0077530D">
        <w:rPr>
          <w:rFonts w:ascii="Arial" w:hAnsi="Arial" w:cs="Arial"/>
          <w:color w:val="000000"/>
          <w:lang w:val="es-ES_tradnl"/>
        </w:rPr>
        <w:t>Implementación de un programa de mejora continua de la calidad en CONE; (iii</w:t>
      </w:r>
      <w:r w:rsidR="00FB0A0B">
        <w:rPr>
          <w:rFonts w:ascii="Arial" w:hAnsi="Arial" w:cs="Arial"/>
          <w:color w:val="000000"/>
          <w:lang w:val="es-ES_tradnl"/>
        </w:rPr>
        <w:t>) </w:t>
      </w:r>
      <w:r w:rsidRPr="0077530D">
        <w:rPr>
          <w:rFonts w:ascii="Arial" w:hAnsi="Arial" w:cs="Arial"/>
          <w:color w:val="000000"/>
          <w:lang w:val="es-ES_tradnl"/>
        </w:rPr>
        <w:t xml:space="preserve">Puesta en marcha de plataformas comunitarias que permitan la mejor captación de las embarazadas y su control, así como el incremento de la </w:t>
      </w:r>
      <w:r w:rsidRPr="0077530D">
        <w:rPr>
          <w:rFonts w:ascii="Arial" w:hAnsi="Arial" w:cs="Arial"/>
          <w:color w:val="000000"/>
          <w:lang w:val="es-ES_tradnl"/>
        </w:rPr>
        <w:lastRenderedPageBreak/>
        <w:t>eficacia de la participación social en la gestión de salud; (iv</w:t>
      </w:r>
      <w:r w:rsidR="00FB0A0B">
        <w:rPr>
          <w:rFonts w:ascii="Arial" w:hAnsi="Arial" w:cs="Arial"/>
          <w:color w:val="000000"/>
          <w:lang w:val="es-ES_tradnl"/>
        </w:rPr>
        <w:t>) </w:t>
      </w:r>
      <w:r w:rsidRPr="0077530D">
        <w:rPr>
          <w:rFonts w:ascii="Arial" w:hAnsi="Arial" w:cs="Arial"/>
          <w:color w:val="000000"/>
          <w:lang w:val="es-ES_tradnl"/>
        </w:rPr>
        <w:t>Implementación de programas Información, Educación y Comunicación (IEC</w:t>
      </w:r>
      <w:r w:rsidR="00FB0A0B">
        <w:rPr>
          <w:rFonts w:ascii="Arial" w:hAnsi="Arial" w:cs="Arial"/>
          <w:color w:val="000000"/>
          <w:lang w:val="es-ES_tradnl"/>
        </w:rPr>
        <w:t>) </w:t>
      </w:r>
      <w:r w:rsidRPr="0077530D">
        <w:rPr>
          <w:rFonts w:ascii="Arial" w:hAnsi="Arial" w:cs="Arial"/>
          <w:color w:val="000000"/>
          <w:lang w:val="es-ES_tradnl"/>
        </w:rPr>
        <w:t>para el cambio de comportamiento en relación con la salud sexual y reproductiva y la planificación familiar; (v</w:t>
      </w:r>
      <w:r w:rsidR="00FB0A0B">
        <w:rPr>
          <w:rFonts w:ascii="Arial" w:hAnsi="Arial" w:cs="Arial"/>
          <w:color w:val="000000"/>
          <w:lang w:val="es-ES_tradnl"/>
        </w:rPr>
        <w:t>) </w:t>
      </w:r>
      <w:r w:rsidRPr="0077530D">
        <w:rPr>
          <w:rFonts w:ascii="Arial" w:hAnsi="Arial" w:cs="Arial"/>
          <w:color w:val="000000"/>
          <w:lang w:val="es-ES_tradnl"/>
        </w:rPr>
        <w:t>Intervenciones que mejoren la situación nutricional en las mujeres embarazadas y neonatos; (vi</w:t>
      </w:r>
      <w:r w:rsidR="00FB0A0B">
        <w:rPr>
          <w:rFonts w:ascii="Arial" w:hAnsi="Arial" w:cs="Arial"/>
          <w:color w:val="000000"/>
          <w:lang w:val="es-ES_tradnl"/>
        </w:rPr>
        <w:t>) </w:t>
      </w:r>
      <w:r w:rsidRPr="0077530D">
        <w:rPr>
          <w:rFonts w:ascii="Arial" w:hAnsi="Arial" w:cs="Arial"/>
          <w:color w:val="000000"/>
          <w:lang w:val="es-ES_tradnl"/>
        </w:rPr>
        <w:t>Incorporación al sistema, a nivel comunitario, de al menos 61 licenciadas en enfermería obstétrica y desarrollo de instrumentos y metodologías de trabajo sistematizados en CONE para dicho personal; (vii</w:t>
      </w:r>
      <w:r w:rsidR="00FB0A0B">
        <w:rPr>
          <w:rFonts w:ascii="Arial" w:hAnsi="Arial" w:cs="Arial"/>
          <w:color w:val="000000"/>
          <w:lang w:val="es-ES_tradnl"/>
        </w:rPr>
        <w:t>) </w:t>
      </w:r>
      <w:r w:rsidRPr="0077530D">
        <w:rPr>
          <w:rFonts w:ascii="Arial" w:hAnsi="Arial" w:cs="Arial"/>
          <w:color w:val="000000"/>
          <w:lang w:val="es-ES_tradnl"/>
        </w:rPr>
        <w:t>Fortalecimiento del sistema de compra centralizada de insumos y medicamentos para CONE y la planificación familiar, para garantizar el abastecimiento a nivel de los establecimientos de salud; (viii</w:t>
      </w:r>
      <w:r w:rsidR="00FB0A0B">
        <w:rPr>
          <w:rFonts w:ascii="Arial" w:hAnsi="Arial" w:cs="Arial"/>
          <w:color w:val="000000"/>
          <w:lang w:val="es-ES_tradnl"/>
        </w:rPr>
        <w:t>) </w:t>
      </w:r>
      <w:r w:rsidRPr="0077530D">
        <w:rPr>
          <w:rFonts w:ascii="Arial" w:hAnsi="Arial" w:cs="Arial"/>
          <w:color w:val="000000"/>
          <w:lang w:val="es-ES_tradnl"/>
        </w:rPr>
        <w:t>Fortalecimiento del sistema de Bancos/depósitos de Sangre Segura; y (ix</w:t>
      </w:r>
      <w:r w:rsidR="00FB0A0B">
        <w:rPr>
          <w:rFonts w:ascii="Arial" w:hAnsi="Arial" w:cs="Arial"/>
          <w:color w:val="000000"/>
          <w:lang w:val="es-ES_tradnl"/>
        </w:rPr>
        <w:t>) </w:t>
      </w:r>
      <w:r w:rsidRPr="0077530D">
        <w:rPr>
          <w:rFonts w:ascii="Arial" w:hAnsi="Arial" w:cs="Arial"/>
          <w:color w:val="000000"/>
          <w:lang w:val="es-ES_tradnl"/>
        </w:rPr>
        <w:t>Fortalecimiento de los sistemas de referencia y contra-referencia. Las actividades de este componente se podrán agrupar en tres paut</w:t>
      </w:r>
      <w:r w:rsidR="00B50B76" w:rsidRPr="0077530D">
        <w:rPr>
          <w:rFonts w:ascii="Arial" w:hAnsi="Arial" w:cs="Arial"/>
          <w:color w:val="000000"/>
          <w:lang w:val="es-ES_tradnl"/>
        </w:rPr>
        <w:t>a</w:t>
      </w:r>
      <w:r w:rsidRPr="0077530D">
        <w:rPr>
          <w:rFonts w:ascii="Arial" w:hAnsi="Arial" w:cs="Arial"/>
          <w:color w:val="000000"/>
          <w:lang w:val="es-ES_tradnl"/>
        </w:rPr>
        <w:t>s de trabajo (atención, provisión y gestión</w:t>
      </w:r>
      <w:r w:rsidR="00FB0A0B">
        <w:rPr>
          <w:rFonts w:ascii="Arial" w:hAnsi="Arial" w:cs="Arial"/>
          <w:color w:val="000000"/>
          <w:lang w:val="es-ES_tradnl"/>
        </w:rPr>
        <w:t>) </w:t>
      </w:r>
      <w:r w:rsidRPr="0077530D">
        <w:rPr>
          <w:rFonts w:ascii="Arial" w:hAnsi="Arial" w:cs="Arial"/>
          <w:color w:val="000000"/>
          <w:lang w:val="es-ES_tradnl"/>
        </w:rPr>
        <w:t xml:space="preserve">y contemplará la adquisición de equipamiento, insumos y medicamentos para atender a los cambios en la cartera de prestación de servicios que puedan originarse, y de vehículos que permitan la correcta implementación de las actividades. </w:t>
      </w:r>
    </w:p>
    <w:p w14:paraId="663EBDBE" w14:textId="521E0DA3" w:rsidR="00D00280" w:rsidRPr="0077530D" w:rsidRDefault="00D00280" w:rsidP="00D00280">
      <w:pPr>
        <w:spacing w:before="120"/>
        <w:jc w:val="both"/>
        <w:rPr>
          <w:rFonts w:ascii="Arial" w:hAnsi="Arial" w:cs="Arial"/>
          <w:color w:val="000000"/>
          <w:lang w:val="es-ES_tradnl"/>
        </w:rPr>
      </w:pPr>
      <w:r w:rsidRPr="0077530D">
        <w:rPr>
          <w:rFonts w:ascii="Arial" w:hAnsi="Arial" w:cs="Arial"/>
          <w:color w:val="000000"/>
          <w:u w:val="single"/>
          <w:lang w:val="es-ES_tradnl"/>
        </w:rPr>
        <w:t xml:space="preserve">Sub-componente 1.2: </w:t>
      </w:r>
      <w:r w:rsidR="0035784B" w:rsidRPr="0077530D">
        <w:rPr>
          <w:rFonts w:ascii="Arial" w:hAnsi="Arial" w:cs="Arial"/>
          <w:color w:val="000000"/>
          <w:u w:val="single"/>
          <w:lang w:val="es-ES_tradnl"/>
        </w:rPr>
        <w:t>Gestión</w:t>
      </w:r>
      <w:r w:rsidRPr="0077530D">
        <w:rPr>
          <w:rFonts w:ascii="Arial" w:hAnsi="Arial" w:cs="Arial"/>
          <w:color w:val="000000"/>
          <w:u w:val="single"/>
          <w:lang w:val="es-ES_tradnl"/>
        </w:rPr>
        <w:t xml:space="preserve"> y sistemas de información (US$5,334 millones)</w:t>
      </w:r>
      <w:r w:rsidRPr="0077530D">
        <w:rPr>
          <w:rFonts w:ascii="Arial" w:hAnsi="Arial" w:cs="Arial"/>
          <w:color w:val="000000"/>
          <w:lang w:val="es-ES_tradnl"/>
        </w:rPr>
        <w:t>: (i</w:t>
      </w:r>
      <w:r w:rsidR="00FB0A0B">
        <w:rPr>
          <w:rFonts w:ascii="Arial" w:hAnsi="Arial" w:cs="Arial"/>
          <w:color w:val="000000"/>
          <w:lang w:val="es-ES_tradnl"/>
        </w:rPr>
        <w:t>) </w:t>
      </w:r>
      <w:r w:rsidRPr="0077530D">
        <w:rPr>
          <w:rFonts w:ascii="Arial" w:hAnsi="Arial" w:cs="Arial"/>
          <w:color w:val="000000"/>
          <w:lang w:val="es-ES_tradnl"/>
        </w:rPr>
        <w:t>Implementación de un modelo de gestión hospitalaria que incremente la eficiencia y calidad de atención; (ii</w:t>
      </w:r>
      <w:r w:rsidR="00FB0A0B">
        <w:rPr>
          <w:rFonts w:ascii="Arial" w:hAnsi="Arial" w:cs="Arial"/>
          <w:color w:val="000000"/>
          <w:lang w:val="es-ES_tradnl"/>
        </w:rPr>
        <w:t>) </w:t>
      </w:r>
      <w:r w:rsidRPr="0077530D">
        <w:rPr>
          <w:rFonts w:ascii="Arial" w:hAnsi="Arial" w:cs="Arial"/>
          <w:color w:val="000000"/>
          <w:lang w:val="es-ES_tradnl"/>
        </w:rPr>
        <w:t>Fortalecimiento de los sistemas de gestión a nivel municipal y las gerencias de las redes de salud, que permitan mejorar, entre otras cosas, la ejecución de los POAs municipales de salud y la coordinación del RHS en el nivel operativo ; (iii</w:t>
      </w:r>
      <w:r w:rsidR="00FB0A0B">
        <w:rPr>
          <w:rFonts w:ascii="Arial" w:hAnsi="Arial" w:cs="Arial"/>
          <w:color w:val="000000"/>
          <w:lang w:val="es-ES_tradnl"/>
        </w:rPr>
        <w:t>) </w:t>
      </w:r>
      <w:r w:rsidRPr="0077530D">
        <w:rPr>
          <w:rFonts w:ascii="Arial" w:hAnsi="Arial" w:cs="Arial"/>
          <w:color w:val="000000"/>
          <w:lang w:val="es-ES_tradnl"/>
        </w:rPr>
        <w:t>Fortalecimiento de los sistemas de información para gestión clínica; y (iv</w:t>
      </w:r>
      <w:r w:rsidR="00FB0A0B">
        <w:rPr>
          <w:rFonts w:ascii="Arial" w:hAnsi="Arial" w:cs="Arial"/>
          <w:color w:val="000000"/>
          <w:lang w:val="es-ES_tradnl"/>
        </w:rPr>
        <w:t>) </w:t>
      </w:r>
      <w:r w:rsidRPr="0077530D">
        <w:rPr>
          <w:rFonts w:ascii="Arial" w:hAnsi="Arial" w:cs="Arial"/>
          <w:color w:val="000000"/>
          <w:lang w:val="es-ES_tradnl"/>
        </w:rPr>
        <w:t>Fortalecimiento de la vigilancia de la mortalidad materna con metodología RAMOS (</w:t>
      </w:r>
      <w:r w:rsidRPr="0077530D">
        <w:rPr>
          <w:rFonts w:ascii="Arial" w:hAnsi="Arial" w:cs="Arial"/>
          <w:lang w:val="es-ES_tradnl"/>
        </w:rPr>
        <w:t>Reproductive Age Maternal Mortality Survey</w:t>
      </w:r>
      <w:r w:rsidR="00FB0A0B">
        <w:rPr>
          <w:rFonts w:ascii="Arial" w:hAnsi="Arial" w:cs="Arial"/>
          <w:lang w:val="es-ES_tradnl"/>
        </w:rPr>
        <w:t>) </w:t>
      </w:r>
      <w:r w:rsidRPr="0077530D">
        <w:rPr>
          <w:rFonts w:ascii="Arial" w:hAnsi="Arial" w:cs="Arial"/>
          <w:color w:val="000000"/>
          <w:lang w:val="es-ES_tradnl"/>
        </w:rPr>
        <w:t>o similar.</w:t>
      </w:r>
    </w:p>
    <w:p w14:paraId="10020528" w14:textId="1F13889B" w:rsidR="00D00280" w:rsidRPr="00FB0A0B" w:rsidRDefault="00D00280" w:rsidP="0077530D">
      <w:pPr>
        <w:spacing w:before="120"/>
        <w:jc w:val="both"/>
        <w:rPr>
          <w:rFonts w:ascii="Arial" w:eastAsia="Arial" w:hAnsi="Arial" w:cs="Arial"/>
          <w:color w:val="000000" w:themeColor="text1"/>
          <w:lang w:val="es-ES"/>
          <w:rPrChange w:id="45" w:author="Aguilar Blandon, Maria Alejandra" w:date="2018-08-09T15:06:00Z">
            <w:rPr>
              <w:rFonts w:ascii="Arial" w:hAnsi="Arial" w:cs="Arial"/>
              <w:color w:val="000000"/>
              <w:lang w:val="es-ES_tradnl"/>
            </w:rPr>
          </w:rPrChange>
        </w:rPr>
      </w:pPr>
      <w:r w:rsidRPr="7C974D7A">
        <w:rPr>
          <w:rFonts w:ascii="Arial" w:eastAsia="Arial" w:hAnsi="Arial" w:cs="Arial"/>
          <w:color w:val="000000"/>
          <w:u w:val="single"/>
          <w:lang w:val="es-ES"/>
          <w:rPrChange w:id="46" w:author="Aguilar Blandon, Maria Alejandra" w:date="2018-08-09T15:06:00Z">
            <w:rPr>
              <w:rFonts w:ascii="Arial" w:hAnsi="Arial" w:cs="Arial"/>
              <w:color w:val="000000"/>
              <w:u w:val="single"/>
              <w:lang w:val="es-ES_tradnl"/>
            </w:rPr>
          </w:rPrChange>
        </w:rPr>
        <w:t>Sub-componente 1.3: Formación de Recursos Humanos de Salud (US$1,600 millones)</w:t>
      </w:r>
      <w:r w:rsidRPr="7C974D7A">
        <w:rPr>
          <w:rFonts w:ascii="Arial" w:eastAsia="Arial" w:hAnsi="Arial" w:cs="Arial"/>
          <w:color w:val="000000"/>
          <w:lang w:val="es-ES"/>
          <w:rPrChange w:id="47" w:author="Aguilar Blandon, Maria Alejandra" w:date="2018-08-09T15:06:00Z">
            <w:rPr>
              <w:rFonts w:ascii="Arial" w:hAnsi="Arial" w:cs="Arial"/>
              <w:color w:val="000000"/>
              <w:lang w:val="es-ES_tradnl"/>
            </w:rPr>
          </w:rPrChange>
        </w:rPr>
        <w:t>: (i</w:t>
      </w:r>
      <w:r w:rsidR="00FB0A0B" w:rsidRPr="0077530D">
        <w:rPr>
          <w:rFonts w:ascii="Arial" w:eastAsia="Arial" w:hAnsi="Arial" w:cs="Arial"/>
          <w:color w:val="000000"/>
          <w:lang w:val="es-ES"/>
        </w:rPr>
        <w:t>) </w:t>
      </w:r>
      <w:r w:rsidRPr="7C974D7A">
        <w:rPr>
          <w:rFonts w:ascii="Arial" w:eastAsia="Arial" w:hAnsi="Arial" w:cs="Arial"/>
          <w:color w:val="000000"/>
          <w:lang w:val="es-ES"/>
          <w:rPrChange w:id="48" w:author="Aguilar Blandon, Maria Alejandra" w:date="2018-08-09T15:06:00Z">
            <w:rPr>
              <w:rFonts w:ascii="Arial" w:hAnsi="Arial" w:cs="Arial"/>
              <w:color w:val="000000"/>
              <w:lang w:val="es-ES_tradnl"/>
            </w:rPr>
          </w:rPrChange>
        </w:rPr>
        <w:t>Fortalecimiento de las capacidades clínico-diagnósticas y terapéuticas del personal de salud, a través de programas de formación continua del RHS ya existente en las redes; (ii</w:t>
      </w:r>
      <w:r w:rsidR="00FB0A0B" w:rsidRPr="0077530D">
        <w:rPr>
          <w:rFonts w:ascii="Arial" w:eastAsia="Arial" w:hAnsi="Arial" w:cs="Arial"/>
          <w:color w:val="000000"/>
          <w:lang w:val="es-ES"/>
        </w:rPr>
        <w:t>) </w:t>
      </w:r>
      <w:r w:rsidRPr="7C974D7A">
        <w:rPr>
          <w:rFonts w:ascii="Arial" w:eastAsia="Arial" w:hAnsi="Arial" w:cs="Arial"/>
          <w:color w:val="000000"/>
          <w:lang w:val="es-ES"/>
          <w:rPrChange w:id="49" w:author="Aguilar Blandon, Maria Alejandra" w:date="2018-08-09T15:06:00Z">
            <w:rPr>
              <w:rFonts w:ascii="Arial" w:hAnsi="Arial" w:cs="Arial"/>
              <w:color w:val="000000"/>
              <w:lang w:val="es-ES_tradnl"/>
            </w:rPr>
          </w:rPrChange>
        </w:rPr>
        <w:t>Incremento del número de especialistas/sub-especialistas médicos y enfermeros a través de programas de residencia médica/de enfermería posgraduada o similar; (iii</w:t>
      </w:r>
      <w:r w:rsidR="00FB0A0B" w:rsidRPr="0077530D">
        <w:rPr>
          <w:rFonts w:ascii="Arial" w:eastAsia="Arial" w:hAnsi="Arial" w:cs="Arial"/>
          <w:color w:val="000000"/>
          <w:lang w:val="es-ES"/>
        </w:rPr>
        <w:t>) </w:t>
      </w:r>
      <w:r w:rsidRPr="7C974D7A">
        <w:rPr>
          <w:rFonts w:ascii="Arial" w:eastAsia="Arial" w:hAnsi="Arial" w:cs="Arial"/>
          <w:color w:val="000000"/>
          <w:lang w:val="es-ES"/>
          <w:rPrChange w:id="50" w:author="Aguilar Blandon, Maria Alejandra" w:date="2018-08-09T15:06:00Z">
            <w:rPr>
              <w:rFonts w:ascii="Arial" w:hAnsi="Arial" w:cs="Arial"/>
              <w:color w:val="000000"/>
              <w:lang w:val="es-ES_tradnl"/>
            </w:rPr>
          </w:rPrChange>
        </w:rPr>
        <w:t>Formación en gestión hospitalaria destinada a los cuadros directivos de los hospitales, las redes de salud y los SEDES.</w:t>
      </w:r>
    </w:p>
    <w:p w14:paraId="0353C0D7" w14:textId="4B6C70C2" w:rsidR="00D00280" w:rsidRPr="00FB0A0B" w:rsidRDefault="00D00280" w:rsidP="0077530D">
      <w:pPr>
        <w:pStyle w:val="Paragraph"/>
        <w:tabs>
          <w:tab w:val="clear" w:pos="720"/>
        </w:tabs>
        <w:spacing w:after="0"/>
        <w:ind w:left="0" w:firstLine="0"/>
        <w:rPr>
          <w:rFonts w:ascii="Arial" w:eastAsia="Arial" w:hAnsi="Arial" w:cs="Arial"/>
          <w:rPrChange w:id="51" w:author="Aguilar Blandon, Maria Alejandra" w:date="2018-08-09T15:06:00Z">
            <w:rPr>
              <w:rFonts w:ascii="Arial" w:hAnsi="Arial" w:cs="Arial"/>
            </w:rPr>
          </w:rPrChange>
        </w:rPr>
      </w:pPr>
      <w:bookmarkStart w:id="52" w:name="_Toc521590388"/>
      <w:r w:rsidRPr="7C974D7A">
        <w:rPr>
          <w:rFonts w:ascii="Arial" w:eastAsia="Arial" w:hAnsi="Arial" w:cs="Arial"/>
          <w:b/>
          <w:rPrChange w:id="53" w:author="Aguilar Blandon, Maria Alejandra" w:date="2018-08-09T15:06:00Z">
            <w:rPr>
              <w:rFonts w:ascii="Arial" w:hAnsi="Arial" w:cs="Arial"/>
              <w:b/>
            </w:rPr>
          </w:rPrChange>
        </w:rPr>
        <w:t xml:space="preserve">Componente 2. </w:t>
      </w:r>
      <w:r w:rsidR="0035784B" w:rsidRPr="7C974D7A">
        <w:rPr>
          <w:rFonts w:ascii="Arial" w:eastAsia="Arial" w:hAnsi="Arial" w:cs="Arial"/>
          <w:b/>
          <w:rPrChange w:id="54" w:author="Aguilar Blandon, Maria Alejandra" w:date="2018-08-09T15:06:00Z">
            <w:rPr>
              <w:rFonts w:ascii="Arial" w:hAnsi="Arial" w:cs="Arial"/>
              <w:b/>
            </w:rPr>
          </w:rPrChange>
        </w:rPr>
        <w:t>I</w:t>
      </w:r>
      <w:r w:rsidRPr="7C974D7A">
        <w:rPr>
          <w:rFonts w:ascii="Arial" w:eastAsia="Arial" w:hAnsi="Arial" w:cs="Arial"/>
          <w:b/>
          <w:rPrChange w:id="55" w:author="Aguilar Blandon, Maria Alejandra" w:date="2018-08-09T15:06:00Z">
            <w:rPr>
              <w:rFonts w:ascii="Arial" w:hAnsi="Arial" w:cs="Arial"/>
              <w:b/>
            </w:rPr>
          </w:rPrChange>
        </w:rPr>
        <w:t xml:space="preserve">nfraestructura y equipamiento (US$249,7 millones). </w:t>
      </w:r>
      <w:r w:rsidRPr="7C974D7A">
        <w:rPr>
          <w:rFonts w:ascii="Arial" w:eastAsia="Arial" w:hAnsi="Arial" w:cs="Arial"/>
          <w:rPrChange w:id="56" w:author="Aguilar Blandon, Maria Alejandra" w:date="2018-08-09T15:06:00Z">
            <w:rPr>
              <w:rFonts w:ascii="Arial" w:hAnsi="Arial" w:cs="Arial"/>
            </w:rPr>
          </w:rPrChange>
        </w:rPr>
        <w:t>Orientado a incrementar la capacidad resolutiva de la red de servicios, con calidad y con una visión integral y articulada de la misma, mediante la inversión en obras y equipamiento de hospitales, centros de salud y casas maternas, contribuirá al logro de los resultados del programa r1 (calidad y accesibilidad de los CONE y PF incrementada</w:t>
      </w:r>
      <w:r w:rsidR="00FB0A0B" w:rsidRPr="00FB0A0B">
        <w:rPr>
          <w:rFonts w:ascii="Arial" w:hAnsi="Arial" w:cs="Arial"/>
        </w:rPr>
        <w:t>)</w:t>
      </w:r>
      <w:r w:rsidR="00FB0A0B" w:rsidRPr="0077530D">
        <w:rPr>
          <w:rFonts w:ascii="Arial" w:eastAsia="Arial" w:hAnsi="Arial" w:cs="Arial"/>
        </w:rPr>
        <w:t> </w:t>
      </w:r>
      <w:r w:rsidRPr="7C974D7A">
        <w:rPr>
          <w:rFonts w:ascii="Arial" w:eastAsia="Arial" w:hAnsi="Arial" w:cs="Arial"/>
          <w:rPrChange w:id="57" w:author="Aguilar Blandon, Maria Alejandra" w:date="2018-08-09T15:06:00Z">
            <w:rPr>
              <w:rFonts w:ascii="Arial" w:hAnsi="Arial" w:cs="Arial"/>
            </w:rPr>
          </w:rPrChange>
        </w:rPr>
        <w:t>y r2 (capacidad resolutiva de la red de servicios de salud incrementada). Se buscará que la infraestructura sea ambientalmente sostenible y resiliente a los efectos del cambio climático. Se financiarán:</w:t>
      </w:r>
      <w:bookmarkEnd w:id="52"/>
    </w:p>
    <w:p w14:paraId="3F19A80F" w14:textId="77777777" w:rsidR="00D00280" w:rsidRPr="0077530D" w:rsidRDefault="00D00280" w:rsidP="008C1994">
      <w:pPr>
        <w:pStyle w:val="Paragraph"/>
        <w:tabs>
          <w:tab w:val="clear" w:pos="720"/>
        </w:tabs>
        <w:spacing w:before="0" w:after="0"/>
        <w:ind w:firstLine="0"/>
        <w:outlineLvl w:val="9"/>
        <w:rPr>
          <w:rFonts w:ascii="Arial" w:hAnsi="Arial" w:cs="Arial"/>
        </w:rPr>
      </w:pPr>
    </w:p>
    <w:p w14:paraId="56512AE1" w14:textId="0E7B6817" w:rsidR="00D00280" w:rsidRPr="0077530D" w:rsidRDefault="00D00280" w:rsidP="00674D01">
      <w:pPr>
        <w:pStyle w:val="ListParagraph"/>
        <w:spacing w:after="0" w:line="240" w:lineRule="auto"/>
        <w:ind w:left="0"/>
        <w:jc w:val="both"/>
        <w:rPr>
          <w:rFonts w:ascii="Arial" w:hAnsi="Arial" w:cs="Arial"/>
          <w:color w:val="000000"/>
          <w:lang w:val="es-ES_tradnl"/>
        </w:rPr>
      </w:pPr>
      <w:r w:rsidRPr="0077530D">
        <w:rPr>
          <w:rFonts w:ascii="Arial" w:hAnsi="Arial" w:cs="Arial"/>
          <w:color w:val="000000"/>
          <w:u w:val="single"/>
          <w:lang w:val="es-ES_tradnl"/>
        </w:rPr>
        <w:t xml:space="preserve">Sub-componente 2.1. </w:t>
      </w:r>
      <w:r w:rsidR="0035784B" w:rsidRPr="0077530D">
        <w:rPr>
          <w:rFonts w:ascii="Arial" w:hAnsi="Arial" w:cs="Arial"/>
          <w:color w:val="000000"/>
          <w:u w:val="single"/>
          <w:lang w:val="es-ES_tradnl"/>
        </w:rPr>
        <w:t>Cobertura de</w:t>
      </w:r>
      <w:r w:rsidRPr="0077530D">
        <w:rPr>
          <w:rFonts w:ascii="Arial" w:hAnsi="Arial" w:cs="Arial"/>
          <w:color w:val="000000"/>
          <w:u w:val="single"/>
          <w:lang w:val="es-ES_tradnl"/>
        </w:rPr>
        <w:t xml:space="preserve"> brechas en equipamiento (US$49,5 millones)</w:t>
      </w:r>
      <w:r w:rsidRPr="0077530D">
        <w:rPr>
          <w:rFonts w:ascii="Arial" w:hAnsi="Arial" w:cs="Arial"/>
          <w:color w:val="000000"/>
          <w:lang w:val="es-ES_tradnl"/>
        </w:rPr>
        <w:t>: Complementación del equipamiento de los hospitales El Alto Norte, El Alto Sur, Ocurí, Llallagua y tercer nivel de Potosí; y de sus redes (respectivamente, Los Andes, Corea, Uncía-Sacaca, Ocurí y Potosí urbano).</w:t>
      </w:r>
    </w:p>
    <w:p w14:paraId="02E6EC02" w14:textId="61B5F07A" w:rsidR="00D00280" w:rsidRPr="0077530D" w:rsidRDefault="00D00280" w:rsidP="001E1EC3">
      <w:pPr>
        <w:pStyle w:val="ListParagraph"/>
        <w:spacing w:after="120" w:line="240" w:lineRule="auto"/>
        <w:ind w:left="0"/>
        <w:jc w:val="both"/>
        <w:rPr>
          <w:rFonts w:ascii="Arial" w:eastAsia="Arial" w:hAnsi="Arial" w:cs="Arial"/>
          <w:color w:val="000000"/>
          <w:lang w:val="es-ES"/>
        </w:rPr>
      </w:pPr>
      <w:r w:rsidRPr="0077530D">
        <w:rPr>
          <w:rFonts w:ascii="Arial" w:eastAsia="Arial" w:hAnsi="Arial" w:cs="Arial"/>
          <w:color w:val="000000"/>
          <w:u w:val="single"/>
          <w:lang w:val="es-ES"/>
        </w:rPr>
        <w:t xml:space="preserve">Sub-componente 2.2. </w:t>
      </w:r>
      <w:r w:rsidR="0035784B" w:rsidRPr="0077530D">
        <w:rPr>
          <w:rFonts w:ascii="Arial" w:eastAsia="Arial" w:hAnsi="Arial" w:cs="Arial"/>
          <w:color w:val="000000"/>
          <w:u w:val="single"/>
          <w:lang w:val="es-ES"/>
        </w:rPr>
        <w:t>Fortalecimiento del segundo nivel de atención en redes priorizadas</w:t>
      </w:r>
      <w:r w:rsidRPr="0077530D">
        <w:rPr>
          <w:rFonts w:ascii="Arial" w:eastAsia="Arial" w:hAnsi="Arial" w:cs="Arial"/>
          <w:color w:val="000000"/>
          <w:u w:val="single"/>
          <w:lang w:val="es-ES"/>
        </w:rPr>
        <w:t xml:space="preserve"> (US$128,5)</w:t>
      </w:r>
      <w:r w:rsidRPr="0077530D">
        <w:rPr>
          <w:rFonts w:ascii="Arial" w:eastAsia="Arial" w:hAnsi="Arial" w:cs="Arial"/>
          <w:color w:val="000000"/>
          <w:lang w:val="es-ES"/>
        </w:rPr>
        <w:t>: (i</w:t>
      </w:r>
      <w:r w:rsidR="00FB0A0B">
        <w:rPr>
          <w:rFonts w:ascii="Arial" w:eastAsia="Arial" w:hAnsi="Arial" w:cs="Arial"/>
          <w:color w:val="000000"/>
          <w:lang w:val="es-ES"/>
        </w:rPr>
        <w:t>) </w:t>
      </w:r>
      <w:r w:rsidRPr="0077530D">
        <w:rPr>
          <w:rFonts w:ascii="Arial" w:eastAsia="Arial" w:hAnsi="Arial" w:cs="Arial"/>
          <w:color w:val="000000"/>
          <w:lang w:val="es-ES"/>
        </w:rPr>
        <w:t>Elaboración de estudios de pre-inversión para construcción y/o ampliación y equipamiento de establecimientos de salud; (ii</w:t>
      </w:r>
      <w:r w:rsidR="00FB0A0B">
        <w:rPr>
          <w:rFonts w:ascii="Arial" w:eastAsia="Arial" w:hAnsi="Arial" w:cs="Arial"/>
          <w:color w:val="000000"/>
          <w:lang w:val="es-ES"/>
        </w:rPr>
        <w:t>) </w:t>
      </w:r>
      <w:r w:rsidRPr="0077530D">
        <w:rPr>
          <w:rFonts w:ascii="Arial" w:eastAsia="Arial" w:hAnsi="Arial" w:cs="Arial"/>
          <w:color w:val="000000"/>
          <w:lang w:val="es-ES"/>
        </w:rPr>
        <w:t>Construcción y/o ampliación y equipamiento de infraestructuras de salud; (iii</w:t>
      </w:r>
      <w:r w:rsidR="00FB0A0B">
        <w:rPr>
          <w:rFonts w:ascii="Arial" w:eastAsia="Arial" w:hAnsi="Arial" w:cs="Arial"/>
          <w:color w:val="000000"/>
          <w:lang w:val="es-ES"/>
        </w:rPr>
        <w:t>) </w:t>
      </w:r>
      <w:r w:rsidRPr="0077530D">
        <w:rPr>
          <w:rFonts w:ascii="Arial" w:eastAsia="Arial" w:hAnsi="Arial" w:cs="Arial"/>
          <w:color w:val="000000"/>
          <w:lang w:val="es-ES"/>
        </w:rPr>
        <w:t xml:space="preserve">Puesta en marcha y acompañamiento de los hospitales a intervenir; </w:t>
      </w:r>
      <w:r w:rsidRPr="0077530D">
        <w:rPr>
          <w:rFonts w:ascii="Arial" w:eastAsia="Arial" w:hAnsi="Arial" w:cs="Arial"/>
          <w:color w:val="000000"/>
          <w:lang w:val="es-ES"/>
        </w:rPr>
        <w:lastRenderedPageBreak/>
        <w:t>y (iv</w:t>
      </w:r>
      <w:r w:rsidR="00FB0A0B">
        <w:rPr>
          <w:rFonts w:ascii="Arial" w:eastAsia="Arial" w:hAnsi="Arial" w:cs="Arial"/>
          <w:color w:val="000000"/>
          <w:lang w:val="es-ES"/>
        </w:rPr>
        <w:t>) </w:t>
      </w:r>
      <w:r w:rsidRPr="0077530D">
        <w:rPr>
          <w:rFonts w:ascii="Arial" w:eastAsia="Arial" w:hAnsi="Arial" w:cs="Arial"/>
          <w:color w:val="000000"/>
          <w:lang w:val="es-ES"/>
        </w:rPr>
        <w:t>Supervisión de las actividades anteriores. La cartera tentativa a financiar es la siguiente</w:t>
      </w:r>
      <w:r w:rsidRPr="0077530D">
        <w:rPr>
          <w:rStyle w:val="FootnoteReference"/>
          <w:rFonts w:ascii="Arial" w:eastAsia="Arial" w:hAnsi="Arial" w:cs="Arial"/>
          <w:color w:val="000000"/>
        </w:rPr>
        <w:footnoteReference w:id="13"/>
      </w:r>
      <w:r w:rsidRPr="0077530D">
        <w:rPr>
          <w:rFonts w:ascii="Arial" w:eastAsia="Arial" w:hAnsi="Arial" w:cs="Arial"/>
          <w:color w:val="000000"/>
          <w:lang w:val="es-ES"/>
        </w:rPr>
        <w:t>: hospitales de segundo nivel (y sus redes respectivas</w:t>
      </w:r>
      <w:r w:rsidR="00FB0A0B">
        <w:rPr>
          <w:rFonts w:ascii="Arial" w:eastAsia="Arial" w:hAnsi="Arial" w:cs="Arial"/>
          <w:color w:val="000000"/>
          <w:lang w:val="es-ES"/>
        </w:rPr>
        <w:t>) </w:t>
      </w:r>
      <w:r w:rsidRPr="0077530D">
        <w:rPr>
          <w:rFonts w:ascii="Arial" w:eastAsia="Arial" w:hAnsi="Arial" w:cs="Arial"/>
          <w:color w:val="000000"/>
          <w:lang w:val="es-ES"/>
        </w:rPr>
        <w:t>de: Palos Blancos (red rural 7), Ixiamas (red rural 1), Puerto Suarez (red Germán Bush), El Torno (red Andrés Ibáñez), Camiri (red Cordillera), San Borja (red San Borja), Monteagudo (red Monteagudo), Villazón (red Villazón</w:t>
      </w:r>
      <w:r w:rsidR="00FB0A0B">
        <w:rPr>
          <w:rFonts w:ascii="Arial" w:eastAsia="Arial" w:hAnsi="Arial" w:cs="Arial"/>
          <w:color w:val="000000"/>
          <w:lang w:val="es-ES"/>
        </w:rPr>
        <w:t>) </w:t>
      </w:r>
      <w:r w:rsidRPr="0077530D">
        <w:rPr>
          <w:rFonts w:ascii="Arial" w:eastAsia="Arial" w:hAnsi="Arial" w:cs="Arial"/>
          <w:color w:val="000000"/>
          <w:lang w:val="es-ES"/>
        </w:rPr>
        <w:t>y Tupiza (red Tupiza)</w:t>
      </w:r>
      <w:r w:rsidRPr="0077530D">
        <w:rPr>
          <w:rStyle w:val="FootnoteReference"/>
          <w:rFonts w:ascii="Arial" w:eastAsia="Arial" w:hAnsi="Arial" w:cs="Arial"/>
          <w:color w:val="000000"/>
        </w:rPr>
        <w:footnoteReference w:id="14"/>
      </w:r>
      <w:r w:rsidRPr="0077530D">
        <w:rPr>
          <w:rFonts w:ascii="Arial" w:eastAsia="Arial" w:hAnsi="Arial" w:cs="Arial"/>
          <w:color w:val="000000"/>
          <w:lang w:val="es-ES"/>
        </w:rPr>
        <w:t>. La figura No. 2 muestra la distribución geográfica de estas inversiones.</w:t>
      </w:r>
    </w:p>
    <w:p w14:paraId="6FF8BC46" w14:textId="096E1AF9" w:rsidR="00D00280" w:rsidRPr="00FB0A0B" w:rsidRDefault="00D00280" w:rsidP="0077530D">
      <w:pPr>
        <w:pStyle w:val="ListParagraph"/>
        <w:spacing w:before="120" w:after="0" w:line="240" w:lineRule="auto"/>
        <w:ind w:left="0"/>
        <w:jc w:val="both"/>
        <w:rPr>
          <w:rFonts w:ascii="Arial" w:eastAsia="Arial" w:hAnsi="Arial" w:cs="Arial"/>
          <w:color w:val="000000" w:themeColor="text1"/>
          <w:lang w:val="es-ES"/>
          <w:rPrChange w:id="58" w:author="Aguilar Blandon, Maria Alejandra" w:date="2018-08-09T15:06:00Z">
            <w:rPr>
              <w:rFonts w:ascii="Arial" w:hAnsi="Arial" w:cs="Arial"/>
              <w:color w:val="000000"/>
              <w:lang w:val="es-ES_tradnl"/>
            </w:rPr>
          </w:rPrChange>
        </w:rPr>
      </w:pPr>
      <w:r w:rsidRPr="7C974D7A">
        <w:rPr>
          <w:rFonts w:ascii="Arial" w:eastAsia="Arial" w:hAnsi="Arial" w:cs="Arial"/>
          <w:color w:val="000000"/>
          <w:u w:val="single"/>
          <w:lang w:val="es-ES"/>
          <w:rPrChange w:id="59" w:author="Aguilar Blandon, Maria Alejandra" w:date="2018-08-09T15:06:00Z">
            <w:rPr>
              <w:rFonts w:ascii="Arial" w:hAnsi="Arial" w:cs="Arial"/>
              <w:color w:val="000000"/>
              <w:u w:val="single"/>
              <w:lang w:val="es-ES_tradnl"/>
            </w:rPr>
          </w:rPrChange>
        </w:rPr>
        <w:t xml:space="preserve">Sub-componente 2.3. </w:t>
      </w:r>
      <w:r w:rsidR="0035784B" w:rsidRPr="7C974D7A">
        <w:rPr>
          <w:rFonts w:ascii="Arial" w:eastAsia="Arial" w:hAnsi="Arial" w:cs="Arial"/>
          <w:color w:val="000000"/>
          <w:u w:val="single"/>
          <w:lang w:val="es-ES"/>
          <w:rPrChange w:id="60" w:author="Aguilar Blandon, Maria Alejandra" w:date="2018-08-09T15:06:00Z">
            <w:rPr>
              <w:rFonts w:ascii="Arial" w:hAnsi="Arial" w:cs="Arial"/>
              <w:color w:val="000000"/>
              <w:u w:val="single"/>
              <w:lang w:val="es-ES_tradnl"/>
            </w:rPr>
          </w:rPrChange>
        </w:rPr>
        <w:t>Fortalecimiento del</w:t>
      </w:r>
      <w:r w:rsidRPr="7C974D7A">
        <w:rPr>
          <w:rFonts w:ascii="Arial" w:eastAsia="Arial" w:hAnsi="Arial" w:cs="Arial"/>
          <w:color w:val="000000"/>
          <w:u w:val="single"/>
          <w:lang w:val="es-ES"/>
          <w:rPrChange w:id="61" w:author="Aguilar Blandon, Maria Alejandra" w:date="2018-08-09T15:06:00Z">
            <w:rPr>
              <w:rFonts w:ascii="Arial" w:hAnsi="Arial" w:cs="Arial"/>
              <w:color w:val="000000"/>
              <w:u w:val="single"/>
              <w:lang w:val="es-ES_tradnl"/>
            </w:rPr>
          </w:rPrChange>
        </w:rPr>
        <w:t xml:space="preserve"> tercer nivel en el municipio El Alto (US$69 millones)</w:t>
      </w:r>
      <w:r w:rsidRPr="7C974D7A">
        <w:rPr>
          <w:rFonts w:ascii="Arial" w:eastAsia="Arial" w:hAnsi="Arial" w:cs="Arial"/>
          <w:color w:val="000000"/>
          <w:lang w:val="es-ES"/>
          <w:rPrChange w:id="62" w:author="Aguilar Blandon, Maria Alejandra" w:date="2018-08-09T15:06:00Z">
            <w:rPr>
              <w:rFonts w:ascii="Arial" w:hAnsi="Arial" w:cs="Arial"/>
              <w:color w:val="000000"/>
              <w:lang w:val="es-ES_tradnl"/>
            </w:rPr>
          </w:rPrChange>
        </w:rPr>
        <w:t>: (i</w:t>
      </w:r>
      <w:r w:rsidR="00FB0A0B" w:rsidRPr="0077530D">
        <w:rPr>
          <w:rFonts w:ascii="Arial" w:eastAsia="Arial" w:hAnsi="Arial" w:cs="Arial"/>
          <w:color w:val="000000"/>
          <w:lang w:val="es-ES"/>
        </w:rPr>
        <w:t>) </w:t>
      </w:r>
      <w:r w:rsidRPr="7C974D7A">
        <w:rPr>
          <w:rFonts w:ascii="Arial" w:eastAsia="Arial" w:hAnsi="Arial" w:cs="Arial"/>
          <w:color w:val="000000"/>
          <w:lang w:val="es-ES"/>
          <w:rPrChange w:id="63" w:author="Aguilar Blandon, Maria Alejandra" w:date="2018-08-09T15:06:00Z">
            <w:rPr>
              <w:rFonts w:ascii="Arial" w:hAnsi="Arial" w:cs="Arial"/>
              <w:color w:val="000000"/>
              <w:lang w:val="es-ES_tradnl"/>
            </w:rPr>
          </w:rPrChange>
        </w:rPr>
        <w:t>Elaboración de estudios de pre-inversión; (ii</w:t>
      </w:r>
      <w:r w:rsidR="00FB0A0B" w:rsidRPr="0077530D">
        <w:rPr>
          <w:rFonts w:ascii="Arial" w:eastAsia="Arial" w:hAnsi="Arial" w:cs="Arial"/>
          <w:color w:val="000000"/>
          <w:lang w:val="es-ES"/>
        </w:rPr>
        <w:t>) </w:t>
      </w:r>
      <w:r w:rsidRPr="7C974D7A">
        <w:rPr>
          <w:rFonts w:ascii="Arial" w:eastAsia="Arial" w:hAnsi="Arial" w:cs="Arial"/>
          <w:color w:val="000000"/>
          <w:lang w:val="es-ES"/>
          <w:rPrChange w:id="64" w:author="Aguilar Blandon, Maria Alejandra" w:date="2018-08-09T15:06:00Z">
            <w:rPr>
              <w:rFonts w:ascii="Arial" w:hAnsi="Arial" w:cs="Arial"/>
              <w:color w:val="000000"/>
              <w:lang w:val="es-ES_tradnl"/>
            </w:rPr>
          </w:rPrChange>
        </w:rPr>
        <w:t>Construcción y equipamiento; y (iii</w:t>
      </w:r>
      <w:r w:rsidR="00FB0A0B" w:rsidRPr="0077530D">
        <w:rPr>
          <w:rFonts w:ascii="Arial" w:eastAsia="Arial" w:hAnsi="Arial" w:cs="Arial"/>
          <w:color w:val="000000"/>
          <w:lang w:val="es-ES"/>
        </w:rPr>
        <w:t>) </w:t>
      </w:r>
      <w:r w:rsidRPr="7C974D7A">
        <w:rPr>
          <w:rFonts w:ascii="Arial" w:eastAsia="Arial" w:hAnsi="Arial" w:cs="Arial"/>
          <w:color w:val="000000"/>
          <w:lang w:val="es-ES"/>
          <w:rPrChange w:id="65" w:author="Aguilar Blandon, Maria Alejandra" w:date="2018-08-09T15:06:00Z">
            <w:rPr>
              <w:rFonts w:ascii="Arial" w:hAnsi="Arial" w:cs="Arial"/>
              <w:color w:val="000000"/>
              <w:lang w:val="es-ES_tradnl"/>
            </w:rPr>
          </w:rPrChange>
        </w:rPr>
        <w:t>Supervisión de las actividades anteriores.</w:t>
      </w:r>
    </w:p>
    <w:p w14:paraId="345BC870" w14:textId="4D2105EE" w:rsidR="00D00280" w:rsidRPr="00FB0A0B" w:rsidRDefault="00D00280" w:rsidP="0077530D">
      <w:pPr>
        <w:pStyle w:val="ListParagraph"/>
        <w:spacing w:before="120" w:after="0" w:line="240" w:lineRule="auto"/>
        <w:ind w:left="0"/>
        <w:jc w:val="both"/>
        <w:rPr>
          <w:rFonts w:ascii="Arial" w:eastAsia="Arial" w:hAnsi="Arial" w:cs="Arial"/>
          <w:color w:val="000000" w:themeColor="text1"/>
          <w:lang w:val="es-ES"/>
          <w:rPrChange w:id="66" w:author="Aguilar Blandon, Maria Alejandra" w:date="2018-08-09T15:06:00Z">
            <w:rPr>
              <w:rFonts w:ascii="Arial" w:hAnsi="Arial" w:cs="Arial"/>
              <w:color w:val="000000"/>
              <w:lang w:val="es-ES_tradnl"/>
            </w:rPr>
          </w:rPrChange>
        </w:rPr>
      </w:pPr>
      <w:r w:rsidRPr="7C974D7A">
        <w:rPr>
          <w:rFonts w:ascii="Arial" w:eastAsia="Arial" w:hAnsi="Arial" w:cs="Arial"/>
          <w:color w:val="000000"/>
          <w:u w:val="single"/>
          <w:lang w:val="es-ES"/>
          <w:rPrChange w:id="67" w:author="Aguilar Blandon, Maria Alejandra" w:date="2018-08-09T15:06:00Z">
            <w:rPr>
              <w:rFonts w:ascii="Arial" w:hAnsi="Arial" w:cs="Arial"/>
              <w:color w:val="000000"/>
              <w:u w:val="single"/>
              <w:lang w:val="es-ES_tradnl"/>
            </w:rPr>
          </w:rPrChange>
        </w:rPr>
        <w:t>Sub-componente 2.4. Apoyo la gestión y puesta en marcha de los hospitales (US$2,7)</w:t>
      </w:r>
      <w:r w:rsidRPr="7C974D7A">
        <w:rPr>
          <w:rFonts w:ascii="Arial" w:eastAsia="Arial" w:hAnsi="Arial" w:cs="Arial"/>
          <w:color w:val="000000"/>
          <w:lang w:val="es-ES"/>
          <w:rPrChange w:id="68" w:author="Aguilar Blandon, Maria Alejandra" w:date="2018-08-09T15:06:00Z">
            <w:rPr>
              <w:rFonts w:ascii="Arial" w:hAnsi="Arial" w:cs="Arial"/>
              <w:color w:val="000000"/>
              <w:lang w:val="es-ES_tradnl"/>
            </w:rPr>
          </w:rPrChange>
        </w:rPr>
        <w:t>: (i</w:t>
      </w:r>
      <w:r w:rsidR="00FB0A0B" w:rsidRPr="0077530D">
        <w:rPr>
          <w:rFonts w:ascii="Arial" w:eastAsia="Arial" w:hAnsi="Arial" w:cs="Arial"/>
          <w:color w:val="000000"/>
          <w:lang w:val="es-ES"/>
        </w:rPr>
        <w:t>) </w:t>
      </w:r>
      <w:r w:rsidRPr="7C974D7A">
        <w:rPr>
          <w:rFonts w:ascii="Arial" w:eastAsia="Arial" w:hAnsi="Arial" w:cs="Arial"/>
          <w:color w:val="000000"/>
          <w:lang w:val="es-ES"/>
          <w:rPrChange w:id="69" w:author="Aguilar Blandon, Maria Alejandra" w:date="2018-08-09T15:06:00Z">
            <w:rPr>
              <w:rFonts w:ascii="Arial" w:hAnsi="Arial" w:cs="Arial"/>
              <w:color w:val="000000"/>
              <w:lang w:val="es-ES_tradnl"/>
            </w:rPr>
          </w:rPrChange>
        </w:rPr>
        <w:t>Elaboración de planes de apertura y/o migración de los nuevos hospitales; (ii</w:t>
      </w:r>
      <w:r w:rsidR="00FB0A0B" w:rsidRPr="0077530D">
        <w:rPr>
          <w:rFonts w:ascii="Arial" w:eastAsia="Arial" w:hAnsi="Arial" w:cs="Arial"/>
          <w:color w:val="000000"/>
          <w:lang w:val="es-ES"/>
        </w:rPr>
        <w:t>) </w:t>
      </w:r>
      <w:r w:rsidRPr="7C974D7A">
        <w:rPr>
          <w:rFonts w:ascii="Arial" w:eastAsia="Arial" w:hAnsi="Arial" w:cs="Arial"/>
          <w:color w:val="000000"/>
          <w:lang w:val="es-ES"/>
          <w:rPrChange w:id="70" w:author="Aguilar Blandon, Maria Alejandra" w:date="2018-08-09T15:06:00Z">
            <w:rPr>
              <w:rFonts w:ascii="Arial" w:hAnsi="Arial" w:cs="Arial"/>
              <w:color w:val="000000"/>
              <w:lang w:val="es-ES_tradnl"/>
            </w:rPr>
          </w:rPrChange>
        </w:rPr>
        <w:t>Asistencia Técnica para la puesta en marcha y el acompañamiento a la operación de los nuevos hospitales;</w:t>
      </w:r>
    </w:p>
    <w:p w14:paraId="6EAC511D" w14:textId="77777777" w:rsidR="00D00280" w:rsidRPr="0077530D" w:rsidRDefault="00D00280" w:rsidP="00D00280">
      <w:pPr>
        <w:pStyle w:val="ListParagraph"/>
        <w:spacing w:after="0" w:line="240" w:lineRule="auto"/>
        <w:ind w:left="1710" w:hanging="540"/>
        <w:jc w:val="both"/>
        <w:rPr>
          <w:rFonts w:ascii="Arial" w:hAnsi="Arial" w:cs="Arial"/>
          <w:color w:val="000000"/>
          <w:lang w:val="es-ES_tradnl"/>
        </w:rPr>
      </w:pPr>
    </w:p>
    <w:p w14:paraId="63B0B4F4" w14:textId="60747F81" w:rsidR="00D00280" w:rsidRPr="0077530D" w:rsidRDefault="00D00280" w:rsidP="0077530D">
      <w:pPr>
        <w:pStyle w:val="Paragraph"/>
        <w:tabs>
          <w:tab w:val="clear" w:pos="720"/>
        </w:tabs>
        <w:spacing w:before="0" w:after="0"/>
        <w:ind w:left="0" w:firstLine="0"/>
        <w:rPr>
          <w:rFonts w:ascii="Arial" w:eastAsia="Arial" w:hAnsi="Arial" w:cs="Arial"/>
          <w:b/>
          <w:sz w:val="16"/>
          <w:szCs w:val="16"/>
        </w:rPr>
      </w:pPr>
      <w:bookmarkStart w:id="71" w:name="_Toc521590389"/>
      <w:r w:rsidRPr="0077530D">
        <w:rPr>
          <w:rFonts w:ascii="Arial" w:eastAsia="Arial" w:hAnsi="Arial" w:cs="Arial"/>
          <w:b/>
        </w:rPr>
        <w:t xml:space="preserve">Componente 3: </w:t>
      </w:r>
      <w:r w:rsidR="0035784B" w:rsidRPr="0077530D">
        <w:rPr>
          <w:rFonts w:ascii="Arial" w:eastAsia="Arial" w:hAnsi="Arial" w:cs="Arial"/>
          <w:b/>
        </w:rPr>
        <w:t xml:space="preserve">Auditorias, </w:t>
      </w:r>
      <w:r w:rsidR="001C7C90" w:rsidRPr="0077530D">
        <w:rPr>
          <w:rFonts w:ascii="Arial" w:eastAsia="Arial" w:hAnsi="Arial" w:cs="Arial"/>
          <w:b/>
        </w:rPr>
        <w:t>a</w:t>
      </w:r>
      <w:r w:rsidRPr="0077530D">
        <w:rPr>
          <w:rFonts w:ascii="Arial" w:eastAsia="Arial" w:hAnsi="Arial" w:cs="Arial"/>
          <w:b/>
        </w:rPr>
        <w:t>dministración, monitoreo y evaluación (US$8,7 millones).</w:t>
      </w:r>
      <w:r w:rsidRPr="0077530D">
        <w:rPr>
          <w:rFonts w:ascii="Arial" w:eastAsia="Arial" w:hAnsi="Arial" w:cs="Arial"/>
        </w:rPr>
        <w:t xml:space="preserve"> Este componente financiará: (i</w:t>
      </w:r>
      <w:r w:rsidR="00FB0A0B">
        <w:rPr>
          <w:rFonts w:ascii="Arial" w:eastAsia="Arial" w:hAnsi="Arial" w:cs="Arial"/>
        </w:rPr>
        <w:t>) </w:t>
      </w:r>
      <w:r w:rsidRPr="0077530D">
        <w:rPr>
          <w:rFonts w:ascii="Arial" w:eastAsia="Arial" w:hAnsi="Arial" w:cs="Arial"/>
        </w:rPr>
        <w:t>los equipos ejecutores del programa y podrá financiar asistencia técnica y fiduciaria a éstos, mediante consultorías individuales y/o de firmas consultoras; (ii</w:t>
      </w:r>
      <w:r w:rsidR="00FB0A0B">
        <w:rPr>
          <w:rFonts w:ascii="Arial" w:eastAsia="Arial" w:hAnsi="Arial" w:cs="Arial"/>
        </w:rPr>
        <w:t>) </w:t>
      </w:r>
      <w:r w:rsidRPr="0077530D">
        <w:rPr>
          <w:rFonts w:ascii="Arial" w:eastAsia="Arial" w:hAnsi="Arial" w:cs="Arial"/>
        </w:rPr>
        <w:t>fortalecimiento de la AISEM, con asistencia que incremente las capacidades técnicas de la entidad para la supervisión de pre-inversiones, obras y equipamiento, así como de sus procesos administrativo-financieros y de adquisiciones; y (v</w:t>
      </w:r>
      <w:r w:rsidR="00FB0A0B">
        <w:rPr>
          <w:rFonts w:ascii="Arial" w:eastAsia="Arial" w:hAnsi="Arial" w:cs="Arial"/>
        </w:rPr>
        <w:t>) </w:t>
      </w:r>
      <w:r w:rsidRPr="0077530D">
        <w:rPr>
          <w:rFonts w:ascii="Arial" w:eastAsia="Arial" w:hAnsi="Arial" w:cs="Arial"/>
        </w:rPr>
        <w:t>auditorías (anuales y finales</w:t>
      </w:r>
      <w:r w:rsidR="00FB0A0B">
        <w:rPr>
          <w:rFonts w:ascii="Arial" w:eastAsia="Arial" w:hAnsi="Arial" w:cs="Arial"/>
        </w:rPr>
        <w:t>) </w:t>
      </w:r>
      <w:r w:rsidRPr="0077530D">
        <w:rPr>
          <w:rFonts w:ascii="Arial" w:eastAsia="Arial" w:hAnsi="Arial" w:cs="Arial"/>
        </w:rPr>
        <w:t>del programa y estudios de evaluación y monitoreo</w:t>
      </w:r>
      <w:r w:rsidRPr="0077530D">
        <w:rPr>
          <w:rStyle w:val="FootnoteReference"/>
          <w:rFonts w:ascii="Arial" w:eastAsia="Arial" w:hAnsi="Arial" w:cs="Arial"/>
        </w:rPr>
        <w:footnoteReference w:id="15"/>
      </w:r>
      <w:r w:rsidRPr="0077530D">
        <w:rPr>
          <w:rFonts w:ascii="Arial" w:eastAsia="Arial" w:hAnsi="Arial" w:cs="Arial"/>
        </w:rPr>
        <w:t>.</w:t>
      </w:r>
      <w:bookmarkEnd w:id="71"/>
      <w:r w:rsidRPr="0077530D">
        <w:rPr>
          <w:rFonts w:ascii="Arial" w:eastAsia="Arial" w:hAnsi="Arial" w:cs="Arial"/>
        </w:rPr>
        <w:t xml:space="preserve"> </w:t>
      </w:r>
    </w:p>
    <w:p w14:paraId="15E36930" w14:textId="77777777" w:rsidR="001F7C33" w:rsidRPr="0077530D" w:rsidRDefault="001F7C33" w:rsidP="00CF7686">
      <w:pPr>
        <w:pStyle w:val="Paragraph"/>
        <w:tabs>
          <w:tab w:val="clear" w:pos="720"/>
        </w:tabs>
        <w:spacing w:before="0" w:after="0"/>
        <w:ind w:firstLine="0"/>
        <w:outlineLvl w:val="9"/>
        <w:rPr>
          <w:rFonts w:ascii="Arial" w:hAnsi="Arial" w:cs="Arial"/>
        </w:rPr>
      </w:pPr>
    </w:p>
    <w:p w14:paraId="50470EDC" w14:textId="10BC4428" w:rsidR="001F7C33" w:rsidRPr="0077530D" w:rsidRDefault="001F7C33" w:rsidP="0077530D">
      <w:pPr>
        <w:spacing w:before="120"/>
        <w:jc w:val="center"/>
        <w:rPr>
          <w:rFonts w:ascii="Arial,Arial,Cambria" w:eastAsia="Arial,Arial,Cambria" w:hAnsi="Arial,Arial,Cambria" w:cs="Arial,Arial,Cambria"/>
          <w:b/>
          <w:sz w:val="18"/>
          <w:szCs w:val="18"/>
          <w:lang w:val="es-419"/>
        </w:rPr>
      </w:pPr>
      <w:r w:rsidRPr="0077530D">
        <w:rPr>
          <w:rFonts w:ascii="Arial" w:eastAsia="Arial" w:hAnsi="Arial" w:cs="Arial"/>
          <w:b/>
          <w:sz w:val="18"/>
          <w:szCs w:val="18"/>
          <w:lang w:val="es-ES"/>
        </w:rPr>
        <w:t xml:space="preserve">Tabla </w:t>
      </w:r>
      <w:r w:rsidRPr="0077530D">
        <w:fldChar w:fldCharType="begin"/>
      </w:r>
      <w:r w:rsidRPr="0077530D">
        <w:rPr>
          <w:rFonts w:ascii="Arial" w:eastAsia="Cambria" w:hAnsi="Arial" w:cs="Arial"/>
          <w:b/>
          <w:bCs/>
          <w:sz w:val="18"/>
          <w:szCs w:val="18"/>
          <w:lang w:val="es-ES"/>
        </w:rPr>
        <w:instrText xml:space="preserve"> SEQ Tabla \* ARABIC </w:instrText>
      </w:r>
      <w:r w:rsidRPr="0077530D">
        <w:rPr>
          <w:rFonts w:ascii="Arial" w:eastAsia="Cambria" w:hAnsi="Arial" w:cs="Arial"/>
          <w:b/>
          <w:bCs/>
          <w:sz w:val="18"/>
          <w:szCs w:val="18"/>
          <w:lang w:val="es-ES"/>
        </w:rPr>
        <w:fldChar w:fldCharType="separate"/>
      </w:r>
      <w:r w:rsidR="000A3DCE" w:rsidRPr="0077530D">
        <w:rPr>
          <w:rFonts w:ascii="Arial" w:eastAsia="Arial" w:hAnsi="Arial" w:cs="Arial"/>
          <w:b/>
          <w:sz w:val="18"/>
          <w:szCs w:val="18"/>
          <w:lang w:val="es-ES"/>
        </w:rPr>
        <w:t>1</w:t>
      </w:r>
      <w:r w:rsidRPr="0077530D">
        <w:fldChar w:fldCharType="end"/>
      </w:r>
      <w:r w:rsidRPr="0077530D">
        <w:rPr>
          <w:rFonts w:ascii="Arial,Arial,Cambria" w:eastAsia="Arial,Arial,Cambria" w:hAnsi="Arial,Arial,Cambria" w:cs="Arial,Arial,Cambria"/>
          <w:b/>
          <w:sz w:val="18"/>
          <w:szCs w:val="18"/>
          <w:lang w:val="es-ES"/>
        </w:rPr>
        <w:t xml:space="preserve">. </w:t>
      </w:r>
      <w:r w:rsidRPr="0077530D">
        <w:rPr>
          <w:rFonts w:ascii="Arial" w:eastAsia="Arial" w:hAnsi="Arial" w:cs="Arial"/>
          <w:b/>
          <w:sz w:val="18"/>
          <w:szCs w:val="18"/>
          <w:lang w:val="es-419"/>
        </w:rPr>
        <w:t>Costos de la operación (millones de dólares)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3"/>
        <w:gridCol w:w="1013"/>
      </w:tblGrid>
      <w:tr w:rsidR="00225D8B" w:rsidRPr="0077530D" w14:paraId="2BD13A77" w14:textId="77777777" w:rsidTr="004F7237">
        <w:trPr>
          <w:jc w:val="center"/>
        </w:trPr>
        <w:tc>
          <w:tcPr>
            <w:tcW w:w="6293" w:type="dxa"/>
            <w:shd w:val="clear" w:color="auto" w:fill="8DB3E2"/>
          </w:tcPr>
          <w:p w14:paraId="5111DF25" w14:textId="77777777" w:rsidR="00225D8B" w:rsidRPr="0077530D" w:rsidRDefault="00225D8B" w:rsidP="00CF7686">
            <w:pPr>
              <w:spacing w:after="100" w:afterAutospacing="1"/>
              <w:jc w:val="center"/>
              <w:rPr>
                <w:rFonts w:ascii="Arial" w:hAnsi="Arial" w:cs="Arial"/>
                <w:b/>
                <w:sz w:val="18"/>
                <w:szCs w:val="18"/>
                <w:lang w:val="es-ES"/>
              </w:rPr>
            </w:pPr>
            <w:r w:rsidRPr="0077530D">
              <w:rPr>
                <w:rFonts w:ascii="Arial" w:hAnsi="Arial" w:cs="Arial"/>
                <w:b/>
                <w:sz w:val="18"/>
                <w:szCs w:val="18"/>
                <w:lang w:val="es-ES"/>
              </w:rPr>
              <w:t>Componentes</w:t>
            </w:r>
          </w:p>
        </w:tc>
        <w:tc>
          <w:tcPr>
            <w:tcW w:w="1013" w:type="dxa"/>
            <w:shd w:val="clear" w:color="auto" w:fill="8DB3E2"/>
          </w:tcPr>
          <w:p w14:paraId="35AA6463" w14:textId="77777777" w:rsidR="00225D8B" w:rsidRPr="0077530D" w:rsidRDefault="00225D8B" w:rsidP="00CF7686">
            <w:pPr>
              <w:spacing w:after="100" w:afterAutospacing="1"/>
              <w:jc w:val="center"/>
              <w:rPr>
                <w:rFonts w:ascii="Arial" w:hAnsi="Arial" w:cs="Arial"/>
                <w:b/>
                <w:sz w:val="18"/>
                <w:szCs w:val="18"/>
                <w:lang w:val="es-ES"/>
              </w:rPr>
            </w:pPr>
            <w:r w:rsidRPr="0077530D">
              <w:rPr>
                <w:rFonts w:ascii="Arial" w:hAnsi="Arial" w:cs="Arial"/>
                <w:b/>
                <w:sz w:val="18"/>
                <w:szCs w:val="18"/>
                <w:lang w:val="es-ES"/>
              </w:rPr>
              <w:t xml:space="preserve">BID </w:t>
            </w:r>
          </w:p>
        </w:tc>
      </w:tr>
      <w:tr w:rsidR="00225D8B" w:rsidRPr="0077530D" w14:paraId="7C5C6C37" w14:textId="77777777" w:rsidTr="004F7237">
        <w:trPr>
          <w:jc w:val="center"/>
        </w:trPr>
        <w:tc>
          <w:tcPr>
            <w:tcW w:w="6293" w:type="dxa"/>
            <w:shd w:val="clear" w:color="auto" w:fill="auto"/>
          </w:tcPr>
          <w:p w14:paraId="14BCAA4B" w14:textId="77777777" w:rsidR="00225D8B" w:rsidRPr="0077530D" w:rsidRDefault="00225D8B" w:rsidP="00CF7686">
            <w:pPr>
              <w:spacing w:after="100" w:afterAutospacing="1"/>
              <w:rPr>
                <w:rFonts w:ascii="Arial" w:hAnsi="Arial" w:cs="Arial"/>
                <w:sz w:val="18"/>
                <w:szCs w:val="18"/>
                <w:lang w:val="es-419"/>
              </w:rPr>
            </w:pPr>
            <w:r w:rsidRPr="0077530D">
              <w:rPr>
                <w:rFonts w:ascii="Arial" w:hAnsi="Arial" w:cs="Arial"/>
                <w:sz w:val="18"/>
                <w:szCs w:val="18"/>
                <w:lang w:val="es-ES"/>
              </w:rPr>
              <w:t>Componente 1. Implementación de la estrategia CONE y optimización y mejora de los procesos de gestión integral de las redes de salud priorizadas</w:t>
            </w:r>
          </w:p>
        </w:tc>
        <w:tc>
          <w:tcPr>
            <w:tcW w:w="1013" w:type="dxa"/>
            <w:shd w:val="clear" w:color="auto" w:fill="auto"/>
            <w:vAlign w:val="center"/>
          </w:tcPr>
          <w:p w14:paraId="24DDC887" w14:textId="0A0661B9" w:rsidR="00225D8B" w:rsidRPr="0077530D" w:rsidRDefault="00E330A7" w:rsidP="0077530D">
            <w:pPr>
              <w:spacing w:after="100" w:afterAutospacing="1"/>
              <w:jc w:val="right"/>
              <w:rPr>
                <w:rFonts w:ascii="Arial" w:hAnsi="Arial" w:cs="Arial"/>
                <w:sz w:val="18"/>
                <w:szCs w:val="18"/>
              </w:rPr>
            </w:pPr>
            <w:r w:rsidRPr="0077530D">
              <w:rPr>
                <w:rFonts w:ascii="Arial" w:hAnsi="Arial" w:cs="Arial"/>
                <w:sz w:val="18"/>
                <w:szCs w:val="18"/>
                <w:lang w:val="es-ES"/>
              </w:rPr>
              <w:t>16.6</w:t>
            </w:r>
          </w:p>
        </w:tc>
      </w:tr>
      <w:tr w:rsidR="00225D8B" w:rsidRPr="0077530D" w14:paraId="6F80567E" w14:textId="77777777" w:rsidTr="004F7237">
        <w:trPr>
          <w:trHeight w:val="269"/>
          <w:jc w:val="center"/>
        </w:trPr>
        <w:tc>
          <w:tcPr>
            <w:tcW w:w="6293" w:type="dxa"/>
            <w:shd w:val="clear" w:color="auto" w:fill="auto"/>
          </w:tcPr>
          <w:p w14:paraId="00B0771D" w14:textId="77777777" w:rsidR="00225D8B" w:rsidRPr="0077530D" w:rsidRDefault="00225D8B" w:rsidP="00CF7686">
            <w:pPr>
              <w:spacing w:after="100" w:afterAutospacing="1"/>
              <w:rPr>
                <w:rFonts w:ascii="Arial" w:hAnsi="Arial" w:cs="Arial"/>
                <w:sz w:val="18"/>
                <w:szCs w:val="18"/>
                <w:lang w:val="es-419"/>
              </w:rPr>
            </w:pPr>
            <w:r w:rsidRPr="0077530D">
              <w:rPr>
                <w:rFonts w:ascii="Arial" w:hAnsi="Arial" w:cs="Arial"/>
                <w:sz w:val="18"/>
                <w:szCs w:val="18"/>
                <w:lang w:val="es-ES"/>
              </w:rPr>
              <w:t>Componente 2. Incremento de la capacidad resolutiva de la red de servicios a través de mejoras en la infraestructura y equipamiento de los establecimientos de salud</w:t>
            </w:r>
          </w:p>
        </w:tc>
        <w:tc>
          <w:tcPr>
            <w:tcW w:w="1013" w:type="dxa"/>
            <w:shd w:val="clear" w:color="auto" w:fill="auto"/>
            <w:vAlign w:val="center"/>
          </w:tcPr>
          <w:p w14:paraId="0CD65434" w14:textId="64886089" w:rsidR="00225D8B" w:rsidRPr="0077530D" w:rsidRDefault="00E330A7" w:rsidP="0077530D">
            <w:pPr>
              <w:spacing w:after="100" w:afterAutospacing="1"/>
              <w:jc w:val="right"/>
              <w:rPr>
                <w:rFonts w:ascii="Arial" w:hAnsi="Arial" w:cs="Arial"/>
                <w:sz w:val="18"/>
                <w:szCs w:val="18"/>
              </w:rPr>
            </w:pPr>
            <w:r w:rsidRPr="0077530D">
              <w:rPr>
                <w:rFonts w:ascii="Arial" w:hAnsi="Arial" w:cs="Arial"/>
                <w:sz w:val="18"/>
                <w:szCs w:val="18"/>
              </w:rPr>
              <w:t>249.7</w:t>
            </w:r>
          </w:p>
        </w:tc>
      </w:tr>
      <w:tr w:rsidR="00225D8B" w:rsidRPr="0077530D" w14:paraId="6D2EE553" w14:textId="77777777" w:rsidTr="004F7237">
        <w:trPr>
          <w:trHeight w:val="269"/>
          <w:jc w:val="center"/>
        </w:trPr>
        <w:tc>
          <w:tcPr>
            <w:tcW w:w="6293" w:type="dxa"/>
            <w:shd w:val="clear" w:color="auto" w:fill="auto"/>
          </w:tcPr>
          <w:p w14:paraId="29830C59" w14:textId="77777777" w:rsidR="00225D8B" w:rsidRPr="0077530D" w:rsidRDefault="00225D8B" w:rsidP="00CF7686">
            <w:pPr>
              <w:spacing w:after="100" w:afterAutospacing="1"/>
              <w:rPr>
                <w:rFonts w:ascii="Arial" w:hAnsi="Arial" w:cs="Arial"/>
                <w:sz w:val="18"/>
                <w:szCs w:val="18"/>
                <w:lang w:val="es-419"/>
              </w:rPr>
            </w:pPr>
            <w:r w:rsidRPr="0077530D">
              <w:rPr>
                <w:rFonts w:ascii="Arial" w:hAnsi="Arial" w:cs="Arial"/>
                <w:sz w:val="18"/>
                <w:szCs w:val="18"/>
                <w:lang w:val="es-ES"/>
              </w:rPr>
              <w:t>Componente 3: Apoyo a la gestión, monitoreo y evaluación</w:t>
            </w:r>
          </w:p>
        </w:tc>
        <w:tc>
          <w:tcPr>
            <w:tcW w:w="1013" w:type="dxa"/>
            <w:shd w:val="clear" w:color="auto" w:fill="auto"/>
            <w:vAlign w:val="center"/>
          </w:tcPr>
          <w:p w14:paraId="237D6D74" w14:textId="3AFE342A" w:rsidR="00225D8B" w:rsidRPr="0077530D" w:rsidRDefault="00E330A7" w:rsidP="0077530D">
            <w:pPr>
              <w:spacing w:after="100" w:afterAutospacing="1"/>
              <w:jc w:val="right"/>
              <w:rPr>
                <w:rFonts w:ascii="Arial" w:hAnsi="Arial" w:cs="Arial"/>
                <w:sz w:val="18"/>
                <w:szCs w:val="18"/>
              </w:rPr>
            </w:pPr>
            <w:r w:rsidRPr="0077530D">
              <w:rPr>
                <w:rFonts w:ascii="Arial" w:hAnsi="Arial" w:cs="Arial"/>
                <w:sz w:val="18"/>
                <w:szCs w:val="18"/>
              </w:rPr>
              <w:t>8.7</w:t>
            </w:r>
          </w:p>
        </w:tc>
      </w:tr>
      <w:tr w:rsidR="00225D8B" w:rsidRPr="0077530D" w14:paraId="3C155331" w14:textId="77777777" w:rsidTr="004F7237">
        <w:trPr>
          <w:trHeight w:val="269"/>
          <w:jc w:val="center"/>
        </w:trPr>
        <w:tc>
          <w:tcPr>
            <w:tcW w:w="6293" w:type="dxa"/>
            <w:shd w:val="clear" w:color="auto" w:fill="auto"/>
            <w:vAlign w:val="center"/>
          </w:tcPr>
          <w:p w14:paraId="3B208555" w14:textId="77777777" w:rsidR="00225D8B" w:rsidRPr="0077530D" w:rsidRDefault="00225D8B" w:rsidP="0077530D">
            <w:pPr>
              <w:spacing w:after="100" w:afterAutospacing="1"/>
              <w:jc w:val="center"/>
              <w:rPr>
                <w:rFonts w:ascii="Arial" w:hAnsi="Arial" w:cs="Arial"/>
                <w:sz w:val="18"/>
                <w:szCs w:val="18"/>
              </w:rPr>
            </w:pPr>
            <w:r w:rsidRPr="0077530D">
              <w:rPr>
                <w:rFonts w:ascii="Arial" w:hAnsi="Arial" w:cs="Arial"/>
                <w:b/>
                <w:sz w:val="18"/>
                <w:szCs w:val="18"/>
                <w:lang w:val="es-ES"/>
              </w:rPr>
              <w:t>Total</w:t>
            </w:r>
          </w:p>
        </w:tc>
        <w:tc>
          <w:tcPr>
            <w:tcW w:w="1013" w:type="dxa"/>
            <w:shd w:val="clear" w:color="auto" w:fill="auto"/>
            <w:vAlign w:val="center"/>
          </w:tcPr>
          <w:p w14:paraId="69A7E22C" w14:textId="77777777" w:rsidR="00225D8B" w:rsidRPr="0077530D" w:rsidRDefault="00225D8B" w:rsidP="0077530D">
            <w:pPr>
              <w:spacing w:after="100" w:afterAutospacing="1"/>
              <w:jc w:val="right"/>
              <w:rPr>
                <w:rFonts w:ascii="Arial" w:hAnsi="Arial" w:cs="Arial"/>
                <w:sz w:val="18"/>
                <w:szCs w:val="18"/>
              </w:rPr>
            </w:pPr>
            <w:r w:rsidRPr="0077530D">
              <w:rPr>
                <w:rFonts w:ascii="Arial" w:hAnsi="Arial" w:cs="Arial"/>
                <w:b/>
                <w:sz w:val="18"/>
                <w:szCs w:val="18"/>
                <w:lang w:val="es-ES"/>
              </w:rPr>
              <w:t>275</w:t>
            </w:r>
          </w:p>
        </w:tc>
      </w:tr>
    </w:tbl>
    <w:p w14:paraId="32C80F88" w14:textId="77777777" w:rsidR="000C7603" w:rsidRPr="0077530D" w:rsidRDefault="000C7603" w:rsidP="008C1994">
      <w:pPr>
        <w:rPr>
          <w:rFonts w:ascii="Arial" w:hAnsi="Arial" w:cs="Arial"/>
        </w:rPr>
      </w:pPr>
    </w:p>
    <w:p w14:paraId="2520A2A7" w14:textId="304DC695" w:rsidR="00015AFD" w:rsidRPr="0077530D" w:rsidRDefault="008242ED" w:rsidP="00216A0C">
      <w:pPr>
        <w:pStyle w:val="Heading1"/>
      </w:pPr>
      <w:bookmarkStart w:id="72" w:name="_Toc517873027"/>
      <w:bookmarkStart w:id="73" w:name="_Toc521590390"/>
      <w:r w:rsidRPr="0077530D">
        <w:t>I</w:t>
      </w:r>
      <w:r w:rsidR="002356B7" w:rsidRPr="0077530D">
        <w:t xml:space="preserve">I. </w:t>
      </w:r>
      <w:r w:rsidR="008C30C9" w:rsidRPr="0077530D">
        <w:tab/>
      </w:r>
      <w:r w:rsidR="00BB436F" w:rsidRPr="0077530D">
        <w:t>A</w:t>
      </w:r>
      <w:r w:rsidR="00D3685E" w:rsidRPr="0077530D">
        <w:t>n</w:t>
      </w:r>
      <w:r w:rsidR="00D3685E" w:rsidRPr="0077530D">
        <w:rPr>
          <w:rFonts w:eastAsia="Calibri"/>
        </w:rPr>
        <w:t>álisis</w:t>
      </w:r>
      <w:r w:rsidR="00D3685E" w:rsidRPr="0077530D">
        <w:t xml:space="preserve"> </w:t>
      </w:r>
      <w:r w:rsidR="00D3685E" w:rsidRPr="0077530D">
        <w:rPr>
          <w:rFonts w:eastAsia="Calibri"/>
        </w:rPr>
        <w:t>económico</w:t>
      </w:r>
      <w:bookmarkEnd w:id="33"/>
      <w:bookmarkEnd w:id="72"/>
      <w:bookmarkEnd w:id="73"/>
    </w:p>
    <w:p w14:paraId="700C956A" w14:textId="060E05CF" w:rsidR="003C0AC1" w:rsidRPr="0077530D" w:rsidRDefault="001E57DE" w:rsidP="001025F1">
      <w:pPr>
        <w:pStyle w:val="ColorfulList-Accent11"/>
        <w:spacing w:before="120" w:after="100" w:afterAutospacing="1" w:line="240" w:lineRule="auto"/>
        <w:ind w:left="0"/>
        <w:jc w:val="both"/>
        <w:rPr>
          <w:rFonts w:eastAsia="Arial" w:cs="Arial"/>
          <w:lang w:val="es-ES"/>
        </w:rPr>
      </w:pPr>
      <w:r w:rsidRPr="0077530D">
        <w:rPr>
          <w:rFonts w:cs="Arial"/>
          <w:lang w:val="es-ES"/>
        </w:rPr>
        <w:t>El enfoque del análisis económico que se desarrolla en este documento utiliza los Años de Vida Ajustados por Discapacidad (AVADs</w:t>
      </w:r>
      <w:r w:rsidR="00FB0A0B">
        <w:rPr>
          <w:rFonts w:cs="Arial"/>
          <w:lang w:val="es-ES"/>
        </w:rPr>
        <w:t>) </w:t>
      </w:r>
      <w:r w:rsidRPr="0077530D">
        <w:rPr>
          <w:rFonts w:cs="Arial"/>
          <w:lang w:val="es-ES"/>
        </w:rPr>
        <w:t>para cuantificar los beneficios que se obtienen de la implementación de líneas de atención de salud de eficiencia probada y convierte dichos beneficios expresados en años productivos en beneficios económicos multiplicando los AVADs obtenidos por el producto interno bruto</w:t>
      </w:r>
      <w:r w:rsidR="008E2A4E" w:rsidRPr="0077530D">
        <w:rPr>
          <w:rFonts w:cs="Arial"/>
          <w:lang w:val="es-ES"/>
        </w:rPr>
        <w:t xml:space="preserve"> per cápita</w:t>
      </w:r>
      <w:r w:rsidRPr="0077530D">
        <w:rPr>
          <w:rFonts w:cs="Arial"/>
          <w:lang w:val="es-ES"/>
        </w:rPr>
        <w:t xml:space="preserve"> de la población beneficiada.</w:t>
      </w:r>
      <w:r w:rsidR="008E2A4E" w:rsidRPr="0077530D">
        <w:rPr>
          <w:rFonts w:cs="Arial"/>
          <w:lang w:val="es-ES"/>
        </w:rPr>
        <w:t xml:space="preserve"> El supuesto es que con una población más saludable se obtiene mayor productividad.</w:t>
      </w:r>
      <w:r w:rsidR="008E2A4E" w:rsidRPr="0077530D">
        <w:rPr>
          <w:rFonts w:eastAsia="Arial" w:cs="Arial"/>
          <w:lang w:val="es-ES"/>
        </w:rPr>
        <w:t xml:space="preserve"> </w:t>
      </w:r>
      <w:r w:rsidR="008E2A4E" w:rsidRPr="0077530D">
        <w:rPr>
          <w:rFonts w:cs="Arial"/>
          <w:lang w:val="es-ES"/>
        </w:rPr>
        <w:t>Este enfoque para realizar el análisis económico de programas de salud ha sido utilizado anteriormente para analizar la relación costo beneficio de varios proyectos financiados por el Banco en Brasil incluyendo BR</w:t>
      </w:r>
      <w:r w:rsidR="00C23C79" w:rsidRPr="0077530D">
        <w:rPr>
          <w:rFonts w:cs="Arial"/>
          <w:lang w:val="es-ES"/>
        </w:rPr>
        <w:noBreakHyphen/>
      </w:r>
      <w:r w:rsidR="008E2A4E" w:rsidRPr="0077530D">
        <w:rPr>
          <w:rFonts w:cs="Arial"/>
          <w:lang w:val="es-ES"/>
        </w:rPr>
        <w:t>L1414 y BR-L1408 en Ceará</w:t>
      </w:r>
      <w:r w:rsidR="004F49D5" w:rsidRPr="0077530D">
        <w:rPr>
          <w:rFonts w:cs="Arial"/>
          <w:lang w:val="es-ES"/>
        </w:rPr>
        <w:t>, por ejemplo</w:t>
      </w:r>
      <w:r w:rsidR="008E2A4E" w:rsidRPr="0077530D">
        <w:rPr>
          <w:rFonts w:cs="Arial"/>
          <w:lang w:val="es-ES"/>
        </w:rPr>
        <w:t xml:space="preserve">. Una de sus ventajas es que permite cuantificar </w:t>
      </w:r>
      <w:r w:rsidR="008E2A4E" w:rsidRPr="0077530D">
        <w:rPr>
          <w:rFonts w:cs="Arial"/>
          <w:lang w:val="es-ES"/>
        </w:rPr>
        <w:lastRenderedPageBreak/>
        <w:t xml:space="preserve">los beneficios de programas que incluyen varias intervenciones que fortalecen a una red de servicios de salud. </w:t>
      </w:r>
    </w:p>
    <w:p w14:paraId="2DCCFEEB" w14:textId="77777777" w:rsidR="003C0AC1" w:rsidRPr="0077530D" w:rsidRDefault="003C0AC1" w:rsidP="001025F1">
      <w:pPr>
        <w:pStyle w:val="ColorfulList-Accent11"/>
        <w:spacing w:before="120" w:after="100" w:afterAutospacing="1" w:line="240" w:lineRule="auto"/>
        <w:ind w:left="0"/>
        <w:jc w:val="both"/>
        <w:rPr>
          <w:rFonts w:cs="Arial"/>
          <w:lang w:val="es-ES"/>
        </w:rPr>
      </w:pPr>
    </w:p>
    <w:p w14:paraId="2C5C3724" w14:textId="55572254" w:rsidR="00114E8C" w:rsidRPr="0077530D" w:rsidRDefault="00CB635D" w:rsidP="0000599D">
      <w:pPr>
        <w:pStyle w:val="ColorfulList-Accent11"/>
        <w:spacing w:before="120" w:after="100" w:afterAutospacing="1" w:line="240" w:lineRule="auto"/>
        <w:ind w:left="0"/>
        <w:jc w:val="both"/>
        <w:rPr>
          <w:rFonts w:eastAsia="Arial" w:cs="Arial"/>
          <w:lang w:val="es-ES"/>
        </w:rPr>
      </w:pPr>
      <w:r w:rsidRPr="0077530D">
        <w:rPr>
          <w:lang w:val="es-ES"/>
        </w:rPr>
        <w:t xml:space="preserve">El objetivo del </w:t>
      </w:r>
      <w:r w:rsidR="003C0AC1" w:rsidRPr="753C03B8">
        <w:rPr>
          <w:lang w:val="es-ES"/>
        </w:rPr>
        <w:t xml:space="preserve">programa </w:t>
      </w:r>
      <w:r w:rsidR="003C0AC1" w:rsidRPr="0077530D">
        <w:rPr>
          <w:rFonts w:eastAsia="Arial" w:cs="Arial"/>
          <w:lang w:val="es-ES"/>
        </w:rPr>
        <w:t xml:space="preserve"> </w:t>
      </w:r>
      <w:r w:rsidRPr="0077530D">
        <w:rPr>
          <w:lang w:val="es-ES"/>
        </w:rPr>
        <w:t>es</w:t>
      </w:r>
      <w:r w:rsidRPr="0077530D">
        <w:rPr>
          <w:rFonts w:eastAsia="Arial" w:cs="Arial"/>
          <w:lang w:val="es-ES"/>
        </w:rPr>
        <w:t xml:space="preserve"> </w:t>
      </w:r>
      <w:r w:rsidR="008365BF" w:rsidRPr="753C03B8">
        <w:rPr>
          <w:lang w:val="es-ES"/>
        </w:rPr>
        <w:t>la reducción de la morbi-mortalidad materna y neonatal, incrementando la accesibilidad y capacidad resolutiva, con calidad, de las redes de salud priorizadas</w:t>
      </w:r>
      <w:r w:rsidR="00463755" w:rsidRPr="0077530D">
        <w:rPr>
          <w:rFonts w:eastAsia="Arial" w:cs="Arial"/>
          <w:lang w:val="es-ES"/>
        </w:rPr>
        <w:t>.</w:t>
      </w:r>
      <w:r w:rsidR="003C0AC1" w:rsidRPr="0077530D">
        <w:rPr>
          <w:lang w:val="es-ES"/>
        </w:rPr>
        <w:t xml:space="preserve"> Los beneficios cuantificados en este documento provienen de la disminución en mortalidad y morbilidad derivados de una mayor cobertura y una mayor calidad en los servicios de salud. </w:t>
      </w:r>
      <w:r w:rsidR="008E2A4E" w:rsidRPr="0077530D">
        <w:rPr>
          <w:lang w:val="es-ES"/>
        </w:rPr>
        <w:t>Existe evidencia de que la atención de salud organizada en redes genera mejores resultados en salud que acciones descoordinadas.</w:t>
      </w:r>
      <w:r w:rsidR="00D21C1E" w:rsidRPr="0077530D">
        <w:rPr>
          <w:rFonts w:eastAsia="Arial" w:cs="Arial"/>
          <w:lang w:val="es-ES"/>
        </w:rPr>
        <w:t xml:space="preserve"> </w:t>
      </w:r>
      <w:r w:rsidR="004249A2" w:rsidRPr="0077530D">
        <w:rPr>
          <w:lang w:val="es-ES"/>
        </w:rPr>
        <w:t>Diversas experiencias y estudios</w:t>
      </w:r>
      <w:r w:rsidR="007B5053" w:rsidRPr="0077530D">
        <w:rPr>
          <w:lang w:val="es-ES"/>
        </w:rPr>
        <w:t xml:space="preserve"> han aportado evidencia robusta entre la adecuación de infraestructura y equipamiento de los servicios de salud, el incremento en la utilización de los mismos para el parto y </w:t>
      </w:r>
      <w:r w:rsidR="00B92E70" w:rsidRPr="0077530D">
        <w:rPr>
          <w:lang w:val="es-ES"/>
        </w:rPr>
        <w:t>la reducción de la mortalidad materna y neonatal tanto en la región (Iniciativa de Salud Mesoamérica</w:t>
      </w:r>
      <w:r w:rsidR="00F6660A" w:rsidRPr="0077530D">
        <w:rPr>
          <w:rFonts w:eastAsia="Arial" w:cs="Arial"/>
          <w:lang w:val="es-ES"/>
        </w:rPr>
        <w:t xml:space="preserve"> </w:t>
      </w:r>
      <w:r w:rsidR="00BE404D" w:rsidRPr="0077530D">
        <w:rPr>
          <w:lang w:val="es-419"/>
        </w:rPr>
        <w:t>- Guatemala)</w:t>
      </w:r>
      <w:r w:rsidR="00BE404D" w:rsidRPr="0077530D">
        <w:rPr>
          <w:rStyle w:val="FootnoteReference"/>
          <w:rFonts w:eastAsia="Arial" w:cs="Arial"/>
        </w:rPr>
        <w:footnoteReference w:id="16"/>
      </w:r>
      <w:r w:rsidR="00BE404D" w:rsidRPr="753C03B8">
        <w:rPr>
          <w:lang w:val="es-419"/>
        </w:rPr>
        <w:t>, como a nivel global</w:t>
      </w:r>
      <w:r w:rsidR="00BE404D" w:rsidRPr="0077530D">
        <w:rPr>
          <w:rStyle w:val="FootnoteReference"/>
          <w:rFonts w:eastAsia="Arial" w:cs="Arial"/>
        </w:rPr>
        <w:footnoteReference w:id="17"/>
      </w:r>
      <w:r w:rsidR="00BE404D" w:rsidRPr="0077530D">
        <w:rPr>
          <w:rFonts w:eastAsia="Arial" w:cs="Arial"/>
          <w:lang w:val="es-419"/>
        </w:rPr>
        <w:t xml:space="preserve"> </w:t>
      </w:r>
      <w:r w:rsidR="00BE404D" w:rsidRPr="0077530D">
        <w:rPr>
          <w:rStyle w:val="FootnoteReference"/>
          <w:rFonts w:eastAsia="Arial" w:cs="Arial"/>
        </w:rPr>
        <w:footnoteReference w:id="18"/>
      </w:r>
      <w:r w:rsidR="007C6890" w:rsidRPr="0077530D">
        <w:rPr>
          <w:rFonts w:eastAsia="Arial" w:cs="Arial"/>
          <w:lang w:val="es-419"/>
        </w:rPr>
        <w:t>.</w:t>
      </w:r>
      <w:r w:rsidR="003C0AC1" w:rsidRPr="0077530D">
        <w:rPr>
          <w:lang w:val="es-ES"/>
        </w:rPr>
        <w:t xml:space="preserve"> Este apartado presenta una breve explicación de los AVADs y después desarrolla la aplicación de la metodología para evaluar los beneficios del </w:t>
      </w:r>
      <w:r w:rsidR="00AF25AF" w:rsidRPr="0077530D">
        <w:rPr>
          <w:lang w:val="es-ES"/>
        </w:rPr>
        <w:t>programa</w:t>
      </w:r>
      <w:r w:rsidR="003C0AC1" w:rsidRPr="0077530D">
        <w:rPr>
          <w:rFonts w:eastAsia="Arial" w:cs="Arial"/>
          <w:lang w:val="es-ES"/>
        </w:rPr>
        <w:t>.</w:t>
      </w:r>
    </w:p>
    <w:p w14:paraId="68BC3BA3" w14:textId="77777777" w:rsidR="00FA34E2" w:rsidRPr="0077530D" w:rsidRDefault="00FA34E2" w:rsidP="008A41E6">
      <w:pPr>
        <w:pStyle w:val="Heading2"/>
        <w:numPr>
          <w:ilvl w:val="0"/>
          <w:numId w:val="5"/>
        </w:numPr>
        <w:rPr>
          <w:rFonts w:cs="Arial"/>
          <w:i/>
        </w:rPr>
      </w:pPr>
      <w:bookmarkStart w:id="74" w:name="_Toc296257187"/>
      <w:bookmarkStart w:id="75" w:name="_Toc517873028"/>
      <w:bookmarkStart w:id="76" w:name="_Toc521590391"/>
      <w:r w:rsidRPr="0077530D">
        <w:rPr>
          <w:rFonts w:cs="Arial"/>
        </w:rPr>
        <w:t>Medida de efectividad</w:t>
      </w:r>
      <w:r w:rsidR="00472B16" w:rsidRPr="0077530D">
        <w:rPr>
          <w:rFonts w:cs="Arial"/>
        </w:rPr>
        <w:t xml:space="preserve"> </w:t>
      </w:r>
      <w:r w:rsidR="00763381" w:rsidRPr="0077530D">
        <w:rPr>
          <w:rFonts w:cs="Arial"/>
        </w:rPr>
        <w:t>de l</w:t>
      </w:r>
      <w:r w:rsidR="00763381" w:rsidRPr="0077530D">
        <w:rPr>
          <w:rFonts w:eastAsia="Calibri" w:cs="Arial"/>
        </w:rPr>
        <w:t>íneas</w:t>
      </w:r>
      <w:r w:rsidR="00763381" w:rsidRPr="0077530D">
        <w:rPr>
          <w:rFonts w:cs="Arial"/>
        </w:rPr>
        <w:t xml:space="preserve"> </w:t>
      </w:r>
      <w:r w:rsidR="00763381" w:rsidRPr="0077530D">
        <w:rPr>
          <w:rFonts w:eastAsia="Calibri" w:cs="Arial"/>
        </w:rPr>
        <w:t>de</w:t>
      </w:r>
      <w:r w:rsidR="00763381" w:rsidRPr="0077530D">
        <w:rPr>
          <w:rFonts w:cs="Arial"/>
        </w:rPr>
        <w:t xml:space="preserve"> </w:t>
      </w:r>
      <w:r w:rsidR="00763381" w:rsidRPr="0077530D">
        <w:rPr>
          <w:rFonts w:eastAsia="Calibri" w:cs="Arial"/>
        </w:rPr>
        <w:t>atención</w:t>
      </w:r>
      <w:r w:rsidR="00763381" w:rsidRPr="0077530D">
        <w:rPr>
          <w:rFonts w:cs="Arial"/>
        </w:rPr>
        <w:t xml:space="preserve"> </w:t>
      </w:r>
      <w:r w:rsidR="00763381" w:rsidRPr="0077530D">
        <w:rPr>
          <w:rFonts w:eastAsia="Calibri" w:cs="Arial"/>
        </w:rPr>
        <w:t>en</w:t>
      </w:r>
      <w:r w:rsidR="00763381" w:rsidRPr="0077530D">
        <w:rPr>
          <w:rFonts w:cs="Arial"/>
        </w:rPr>
        <w:t xml:space="preserve"> </w:t>
      </w:r>
      <w:r w:rsidRPr="0077530D">
        <w:rPr>
          <w:rFonts w:cs="Arial"/>
        </w:rPr>
        <w:t>A</w:t>
      </w:r>
      <w:r w:rsidRPr="0077530D">
        <w:rPr>
          <w:rFonts w:eastAsia="Calibri" w:cs="Arial"/>
        </w:rPr>
        <w:t>ños</w:t>
      </w:r>
      <w:r w:rsidRPr="0077530D">
        <w:rPr>
          <w:rFonts w:cs="Arial"/>
        </w:rPr>
        <w:t xml:space="preserve"> </w:t>
      </w:r>
      <w:r w:rsidRPr="0077530D">
        <w:rPr>
          <w:rFonts w:eastAsia="Calibri" w:cs="Arial"/>
        </w:rPr>
        <w:t>de</w:t>
      </w:r>
      <w:r w:rsidRPr="0077530D">
        <w:rPr>
          <w:rFonts w:cs="Arial"/>
        </w:rPr>
        <w:t xml:space="preserve"> </w:t>
      </w:r>
      <w:r w:rsidRPr="0077530D">
        <w:rPr>
          <w:rFonts w:eastAsia="Calibri" w:cs="Arial"/>
        </w:rPr>
        <w:t>Vida</w:t>
      </w:r>
      <w:r w:rsidRPr="0077530D">
        <w:rPr>
          <w:rFonts w:cs="Arial"/>
        </w:rPr>
        <w:t xml:space="preserve"> </w:t>
      </w:r>
      <w:r w:rsidRPr="0077530D">
        <w:rPr>
          <w:rFonts w:eastAsia="Calibri" w:cs="Arial"/>
        </w:rPr>
        <w:t>A</w:t>
      </w:r>
      <w:r w:rsidRPr="0077530D">
        <w:rPr>
          <w:rFonts w:cs="Arial"/>
        </w:rPr>
        <w:t>justados por Discapacidad -AVAD</w:t>
      </w:r>
      <w:r w:rsidR="00230803" w:rsidRPr="0077530D">
        <w:rPr>
          <w:rFonts w:cs="Arial"/>
        </w:rPr>
        <w:t>s</w:t>
      </w:r>
      <w:bookmarkEnd w:id="74"/>
      <w:bookmarkEnd w:id="75"/>
      <w:bookmarkEnd w:id="76"/>
    </w:p>
    <w:p w14:paraId="3E0908DF" w14:textId="00BA480E" w:rsidR="00FA34E2" w:rsidRPr="0077530D" w:rsidRDefault="00FA34E2" w:rsidP="00E83BC5">
      <w:pPr>
        <w:pStyle w:val="ColorfulList-Accent11"/>
        <w:spacing w:before="120" w:after="100" w:afterAutospacing="1" w:line="240" w:lineRule="auto"/>
        <w:ind w:left="0"/>
        <w:jc w:val="both"/>
        <w:rPr>
          <w:rFonts w:eastAsia="Arial" w:cs="Arial"/>
          <w:lang w:val="es-ES"/>
        </w:rPr>
      </w:pPr>
      <w:r w:rsidRPr="0077530D">
        <w:rPr>
          <w:rFonts w:cs="Arial"/>
          <w:lang w:val="es-ES"/>
        </w:rPr>
        <w:t>Los</w:t>
      </w:r>
      <w:r w:rsidR="005B08FD" w:rsidRPr="0077530D">
        <w:rPr>
          <w:rFonts w:eastAsia="Arial" w:cs="Arial"/>
          <w:lang w:val="es-ES"/>
        </w:rPr>
        <w:t xml:space="preserve"> </w:t>
      </w:r>
      <w:r w:rsidRPr="0077530D">
        <w:rPr>
          <w:lang w:val="es-ES"/>
        </w:rPr>
        <w:t>años de vida ajustados por discapacidad</w:t>
      </w:r>
      <w:r w:rsidR="005B08FD" w:rsidRPr="0077530D">
        <w:rPr>
          <w:rFonts w:eastAsia="Arial" w:cs="Arial"/>
          <w:lang w:val="es-ES"/>
        </w:rPr>
        <w:t xml:space="preserve"> (</w:t>
      </w:r>
      <w:r w:rsidR="005B08FD" w:rsidRPr="0077530D">
        <w:rPr>
          <w:lang w:val="es-ES"/>
        </w:rPr>
        <w:t>AVAD</w:t>
      </w:r>
      <w:r w:rsidR="007907B9" w:rsidRPr="0077530D">
        <w:rPr>
          <w:lang w:val="es-ES"/>
        </w:rPr>
        <w:t>s o DALYs</w:t>
      </w:r>
      <w:r w:rsidR="006B19B4" w:rsidRPr="0077530D">
        <w:rPr>
          <w:rFonts w:eastAsia="Arial" w:cs="Arial"/>
          <w:lang w:val="es-ES"/>
        </w:rPr>
        <w:t>,</w:t>
      </w:r>
      <w:r w:rsidR="007907B9" w:rsidRPr="0077530D">
        <w:rPr>
          <w:lang w:val="es-ES"/>
        </w:rPr>
        <w:t xml:space="preserve"> por sus siglas en ing</w:t>
      </w:r>
      <w:r w:rsidR="00FF75D2" w:rsidRPr="0077530D">
        <w:rPr>
          <w:lang w:val="es-ES"/>
        </w:rPr>
        <w:t>l</w:t>
      </w:r>
      <w:r w:rsidR="007907B9" w:rsidRPr="0077530D">
        <w:rPr>
          <w:lang w:val="es-ES"/>
        </w:rPr>
        <w:t>és</w:t>
      </w:r>
      <w:r w:rsidR="00FB0A0B">
        <w:rPr>
          <w:rFonts w:eastAsia="Arial" w:cs="Arial"/>
          <w:lang w:val="es-ES"/>
        </w:rPr>
        <w:t>) </w:t>
      </w:r>
      <w:r w:rsidRPr="0077530D">
        <w:rPr>
          <w:lang w:val="es-ES"/>
        </w:rPr>
        <w:t>son un indicador sintético que combina años de vid</w:t>
      </w:r>
      <w:r w:rsidR="00745172" w:rsidRPr="0077530D">
        <w:rPr>
          <w:lang w:val="es-ES"/>
        </w:rPr>
        <w:t>a perdidos por muerte prematura</w:t>
      </w:r>
      <w:r w:rsidRPr="0077530D">
        <w:rPr>
          <w:lang w:val="es-ES"/>
        </w:rPr>
        <w:t xml:space="preserve"> y </w:t>
      </w:r>
      <w:r w:rsidR="007907B9" w:rsidRPr="0077530D">
        <w:rPr>
          <w:lang w:val="es-ES"/>
        </w:rPr>
        <w:t xml:space="preserve">los </w:t>
      </w:r>
      <w:r w:rsidRPr="0077530D">
        <w:rPr>
          <w:lang w:val="es-ES"/>
        </w:rPr>
        <w:t>años</w:t>
      </w:r>
      <w:r w:rsidR="007907B9" w:rsidRPr="0077530D">
        <w:rPr>
          <w:lang w:val="es-ES"/>
        </w:rPr>
        <w:t xml:space="preserve"> perdidos por </w:t>
      </w:r>
      <w:r w:rsidRPr="0077530D">
        <w:rPr>
          <w:lang w:val="es-ES"/>
        </w:rPr>
        <w:t xml:space="preserve">discapacidad </w:t>
      </w:r>
      <w:r w:rsidR="007907B9" w:rsidRPr="0077530D">
        <w:rPr>
          <w:lang w:val="es-ES"/>
        </w:rPr>
        <w:t>severa</w:t>
      </w:r>
      <w:r w:rsidRPr="0077530D">
        <w:rPr>
          <w:rFonts w:eastAsia="Arial" w:cs="Arial"/>
          <w:lang w:val="es-ES"/>
        </w:rPr>
        <w:t xml:space="preserve">. </w:t>
      </w:r>
      <w:r w:rsidR="007907B9" w:rsidRPr="0077530D">
        <w:rPr>
          <w:lang w:val="es-ES"/>
        </w:rPr>
        <w:t xml:space="preserve">Se espera que las intervenciones en la red de servicios de </w:t>
      </w:r>
      <w:r w:rsidR="00224140" w:rsidRPr="0077530D">
        <w:rPr>
          <w:lang w:val="es-ES"/>
        </w:rPr>
        <w:t>priorizadas por el programa</w:t>
      </w:r>
      <w:r w:rsidR="005938CF" w:rsidRPr="0077530D">
        <w:rPr>
          <w:rFonts w:eastAsia="Arial" w:cs="Arial"/>
          <w:lang w:val="es-ES"/>
        </w:rPr>
        <w:t xml:space="preserve"> </w:t>
      </w:r>
      <w:r w:rsidR="007907B9" w:rsidRPr="0077530D">
        <w:rPr>
          <w:lang w:val="es-ES"/>
        </w:rPr>
        <w:t>contribuyan a una población más saludable y a reducir el número de AVADS perdidos. Existe un sólido trabajo académico para medir los impactos de implementar diferentes líneas de atención de salud en una población en términos de AVADs</w:t>
      </w:r>
      <w:r w:rsidR="007907B9" w:rsidRPr="0077530D">
        <w:rPr>
          <w:rFonts w:eastAsia="Arial" w:cs="Arial"/>
          <w:lang w:val="es-ES"/>
        </w:rPr>
        <w:t xml:space="preserve">. </w:t>
      </w:r>
      <w:r w:rsidRPr="0077530D">
        <w:rPr>
          <w:lang w:val="es-ES"/>
        </w:rPr>
        <w:t xml:space="preserve">La primera vez que se utilizó </w:t>
      </w:r>
      <w:r w:rsidR="007907B9" w:rsidRPr="0077530D">
        <w:rPr>
          <w:lang w:val="es-ES"/>
        </w:rPr>
        <w:t xml:space="preserve">este enfoque </w:t>
      </w:r>
      <w:r w:rsidRPr="0077530D">
        <w:rPr>
          <w:lang w:val="es-ES"/>
        </w:rPr>
        <w:t xml:space="preserve">fue en el Informe de Desarrollo Mundial 1993 del Banco Mundial </w:t>
      </w:r>
      <w:r w:rsidR="0055093D" w:rsidRPr="0077530D">
        <w:fldChar w:fldCharType="begin" w:fldLock="1"/>
      </w:r>
      <w:r w:rsidR="0055093D" w:rsidRPr="0077530D">
        <w:rPr>
          <w:rFonts w:cs="Arial"/>
          <w:lang w:val="es-ES"/>
        </w:rPr>
        <w:instrText>ADDIN CSL_CITATION { "citationItems" : [ { "id" : "ITEM-1", "itemData" : { "abstract" : "This is the sixteenth in the annual series and examines the interplay between human health, health policy and economic development. Because good health increases the economic productivity of individuals and the economic growth rate of countries, investing in health is one means of accelerating development. More important, good health is a goal in itself. During the past forty years life expectancy in the developing world has risen and child mortality has decreased, sometimes dramatically. But progress is only one side of the picture. The toll from childhood and tropical diseases remains high even as new problems - including AIDS and the diseases of aging populations - appear on the scene. And all countries are struggling with the problems of controlling health expenditures and making health care accessible to the broad population. This report examines the controversial questions surrounding health care and health policy. Its findings are based in large part on innovative research, including estimation of the global burden of disease and the cost-effectiveness of interventions. These assessments can help in setting priorities for health spending. The report advocates a threefold approach to health policy for governments in developing countries and in the formerly socialist countries. First, to foster an economic environment that will enable households to improve their own health. Policies for economic growth that ensure income gains for the poor are essential. So, too, is expanded investment in schooling, particulary for girls. Second, redirect government spending away from specialized care and toward such low-cost and highly effective activities such as immunization, programs to combat micronutrient deficiencies, and control and treatment of infectious diseases. By adopting the packages of public health measures and essential clinical care dsecribed in the report, developing countries could reduce their burden of disease by 25 percent. Third, encourage greater diversity and competition in the provision of health services by decentralizing government services, promoting competitive procurement practices, fostering greater involvement by nongovernmental and other private organizations, and regulating insurance markets. These reforms could translate into longer, healthier, and more productive lives for people around the world, and especially for the more than 1 billion poor. As in previous editions, this report includes the World Development Indicators, wh\u2026", "author" : [ { "dropping-particle" : "", "family" : "Berkley", "given" : "Seth", "non-dropping-particle" : "", "parse-names" : false, "suffix" : "" }, { "dropping-particle" : "", "family" : "Murray", "given" : "Christopher J. L.", "non-dropping-particle" : "", "parse-names" : false, "suffix" : "" }, { "dropping-particle" : "", "family" : "Hecht", "given" : "Robert", "non-dropping-particle" : "", "parse-names" : false, "suffix" : "" }, { "dropping-particle" : "", "family" : "Saxenian", "given" : "Helen", "non-dropping-particle" : "", "parse-names" : false, "suffix" : "" }, { "dropping-particle" : "", "family" : "Musgrove", "given" : "Philip", "non-dropping-particle" : "", "parse-names" : false, "suffix" : "" }, { "dropping-particle" : "", "family" : "Tan", "given" : "Jee-Peng", "non-dropping-particle" : "", "parse-names" : false, "suffix" : "" }, { "dropping-particle" : "", "family" : "Bobadilla", "given" : "Jose-Luis", "non-dropping-particle" : "", "parse-names" : false, "suffix" : "" }, { "dropping-particle" : "", "family" : "Hill", "given" : "Kenneth", "non-dropping-particle" : "", "parse-names" : false, "suffix" : "" }, { "dropping-particle" : "", "family" : "Jamison", "given" : "Dean T.", "non-dropping-particle" : "", "parse-names" : false, "suffix" : "" } ], "id" : "ITEM-1", "issued" : { "date-parts" : [ [ "1993", "7", "1" ] ] }, "language" : "es", "page" : "1-351", "title" : "Informe sobre el desarrollo mundial 1993 : investir en salud", "type" : "article-journal" }, "uris" : [ "http://www.mendeley.com/documents/?uuid=aca2a692-f864-422d-882c-49c255a22f2c" ] } ], "mendeley" : { "formattedCitation" : "(Berkley et al. 1993)", "plainTextFormattedCitation" : "(Berkley et al. 1993)", "previouslyFormattedCitation" : "(Berkley et al. 1993)" }, "properties" : { "noteIndex" : 0 }, "schema" : "https://github.com/citation-style-language/schema/raw/master/csl-citation.json" }</w:instrText>
      </w:r>
      <w:r w:rsidR="0055093D" w:rsidRPr="0077530D">
        <w:rPr>
          <w:rFonts w:cs="Arial"/>
          <w:lang w:val="es-ES"/>
        </w:rPr>
        <w:fldChar w:fldCharType="separate"/>
      </w:r>
      <w:r w:rsidR="0055093D" w:rsidRPr="0077530D">
        <w:rPr>
          <w:lang w:val="es-ES"/>
        </w:rPr>
        <w:t>(Berkley et al. 1993)</w:t>
      </w:r>
      <w:r w:rsidR="0055093D" w:rsidRPr="0077530D">
        <w:fldChar w:fldCharType="end"/>
      </w:r>
      <w:r w:rsidR="0055093D" w:rsidRPr="0077530D">
        <w:rPr>
          <w:rFonts w:eastAsia="Arial" w:cs="Arial"/>
          <w:lang w:val="es-ES"/>
        </w:rPr>
        <w:t xml:space="preserve"> </w:t>
      </w:r>
      <w:r w:rsidRPr="0077530D">
        <w:rPr>
          <w:lang w:val="es-ES"/>
        </w:rPr>
        <w:t xml:space="preserve">y en el respectivo libro de referencia </w:t>
      </w:r>
      <w:r w:rsidRPr="0077530D">
        <w:rPr>
          <w:i/>
          <w:lang w:val="es-ES"/>
        </w:rPr>
        <w:t>Disease Control Priorities in Developing</w:t>
      </w:r>
      <w:r w:rsidRPr="0077530D">
        <w:rPr>
          <w:rFonts w:eastAsia="Arial" w:cs="Arial"/>
          <w:lang w:val="es-ES"/>
        </w:rPr>
        <w:t xml:space="preserve"> </w:t>
      </w:r>
      <w:r w:rsidRPr="0077530D">
        <w:rPr>
          <w:i/>
          <w:lang w:val="es-ES"/>
        </w:rPr>
        <w:t xml:space="preserve">Countries </w:t>
      </w:r>
      <w:r w:rsidR="0055093D" w:rsidRPr="0077530D">
        <w:fldChar w:fldCharType="begin" w:fldLock="1"/>
      </w:r>
      <w:r w:rsidR="00D85DA0" w:rsidRPr="0077530D">
        <w:rPr>
          <w:rFonts w:cs="Arial"/>
          <w:i/>
          <w:iCs/>
          <w:lang w:val="es-ES"/>
        </w:rPr>
        <w:instrText>ADDIN CSL_CITATION { "citationItems" : [ { "id" : "ITEM-1", "itemData" : { "PMID" : "21250309", "author" : [ { "dropping-particle" : "", "family" : "Jamison", "given" : "Dean T", "non-dropping-particle" : "", "parse-names" : false, "suffix" : "" }, { "dropping-particle" : "", "family" : "Breman", "given" : "Joel G", "non-dropping-particle" : "", "parse-names" : false, "suffix" : "" }, { "dropping-particle" : "", "family" : "Measham", "given" : "Anthony R", "non-dropping-particle" : "", "parse-names" : false, "suffix" : "" }, { "dropping-particle" : "", "family" : "Alleyne", "given" : "George", "non-dropping-particle" : "", "parse-names" : false, "suffix" : "" }, { "dropping-particle" : "", "family" : "Claeson", "given" : "Mariam", "non-dropping-particle" : "", "parse-names" : false, "suffix" : "" }, { "dropping-particle" : "", "family" : "Evans", "given" : "David B", "non-dropping-particle" : "", "parse-names" : false, "suffix" : "" }, { "dropping-particle" : "", "family" : "Jha", "given" : "Prabhat", "non-dropping-particle" : "", "parse-names" : false, "suffix" : "" }, { "dropping-particle" : "", "family" : "Mills", "given" : "Anne", "non-dropping-particle" : "", "parse-names" : false, "suffix" : "" }, { "dropping-particle" : "", "family" : "Musgrove", "given" : "Philip", "non-dropping-particle" : "", "parse-names" : false, "suffix" : "" } ], "id" : "ITEM-1", "issued" : { "date-parts" : [ [ "2006" ] ] }, "language" : "en", "publisher" : "World Bank", "title" : "Disease Control Priorities in Developing Countries", "type" : "article" }, "uris" : [ "http://www.mendeley.com/documents/?uuid=64a8ed3c-bb59-4fc6-ab56-b821ebef995e" ] } ], "mendeley" : { "formattedCitation" : "(Jamison et al. 2006)", "plainTextFormattedCitation" : "(Jamison et al. 2006)", "previouslyFormattedCitation" : "(Jamison et al. 2006)" }, "properties" : { "noteIndex" : 0 }, "schema" : "https://github.com/citation-style-language/schema/raw/master/csl-citation.json" }</w:instrText>
      </w:r>
      <w:r w:rsidR="0055093D" w:rsidRPr="0077530D">
        <w:rPr>
          <w:rFonts w:cs="Arial"/>
          <w:i/>
          <w:iCs/>
          <w:lang w:val="es-ES"/>
        </w:rPr>
        <w:fldChar w:fldCharType="separate"/>
      </w:r>
      <w:r w:rsidR="0055093D" w:rsidRPr="0077530D">
        <w:rPr>
          <w:lang w:val="es-ES"/>
        </w:rPr>
        <w:t>(Jamison et al. 2006)</w:t>
      </w:r>
      <w:r w:rsidR="0055093D" w:rsidRPr="0077530D">
        <w:fldChar w:fldCharType="end"/>
      </w:r>
      <w:r w:rsidRPr="0077530D">
        <w:rPr>
          <w:rFonts w:cs="Arial"/>
          <w:lang w:val="es-ES"/>
        </w:rPr>
        <w:t xml:space="preserve">. Hoy en día es un indicador ampliamente usado en el ámbito </w:t>
      </w:r>
      <w:r w:rsidR="008F6D7E" w:rsidRPr="0077530D">
        <w:rPr>
          <w:rFonts w:cs="Arial"/>
          <w:lang w:val="es-ES"/>
        </w:rPr>
        <w:t xml:space="preserve">del desarrollo </w:t>
      </w:r>
      <w:r w:rsidRPr="0077530D">
        <w:rPr>
          <w:rFonts w:cs="Arial"/>
          <w:lang w:val="es-ES"/>
        </w:rPr>
        <w:t>internacional para estimar la carga mundial de enfermedad y para estudios comparativos de costo-efectividad. El uso como medida de salud de los AVAD</w:t>
      </w:r>
      <w:r w:rsidR="007907B9" w:rsidRPr="0077530D">
        <w:rPr>
          <w:rFonts w:cs="Arial"/>
          <w:lang w:val="es-ES"/>
        </w:rPr>
        <w:t>s</w:t>
      </w:r>
      <w:r w:rsidRPr="0077530D">
        <w:rPr>
          <w:rFonts w:cs="Arial"/>
          <w:lang w:val="es-ES"/>
        </w:rPr>
        <w:t xml:space="preserve"> permite cuantificar el estado de salud de una población con las siguientes propiedades:</w:t>
      </w:r>
    </w:p>
    <w:p w14:paraId="7BA629DA" w14:textId="77777777" w:rsidR="00FA34E2" w:rsidRPr="0077530D" w:rsidRDefault="00FA34E2" w:rsidP="008A41E6">
      <w:pPr>
        <w:numPr>
          <w:ilvl w:val="0"/>
          <w:numId w:val="4"/>
        </w:numPr>
        <w:spacing w:before="120" w:after="100" w:afterAutospacing="1"/>
        <w:contextualSpacing/>
        <w:jc w:val="both"/>
        <w:rPr>
          <w:rFonts w:ascii="Arial" w:eastAsia="Times New Roman" w:hAnsi="Arial" w:cs="Arial"/>
          <w:sz w:val="22"/>
          <w:szCs w:val="22"/>
          <w:lang w:val="es-ES"/>
        </w:rPr>
      </w:pPr>
      <w:r w:rsidRPr="0077530D">
        <w:rPr>
          <w:rFonts w:ascii="Arial" w:eastAsia="Times New Roman" w:hAnsi="Arial" w:cs="Arial"/>
          <w:sz w:val="22"/>
          <w:szCs w:val="22"/>
          <w:lang w:val="es-ES"/>
        </w:rPr>
        <w:t>Incorporar condiciones no fatales en las evaluaciones de los estados de salud.</w:t>
      </w:r>
    </w:p>
    <w:p w14:paraId="30A07E0B" w14:textId="77777777" w:rsidR="00FA34E2" w:rsidRPr="0077530D" w:rsidRDefault="00FA34E2" w:rsidP="008A41E6">
      <w:pPr>
        <w:numPr>
          <w:ilvl w:val="0"/>
          <w:numId w:val="4"/>
        </w:numPr>
        <w:spacing w:before="120" w:after="100" w:afterAutospacing="1"/>
        <w:contextualSpacing/>
        <w:jc w:val="both"/>
        <w:rPr>
          <w:rFonts w:ascii="Arial" w:eastAsia="Times New Roman" w:hAnsi="Arial" w:cs="Arial"/>
          <w:sz w:val="22"/>
          <w:szCs w:val="22"/>
          <w:lang w:val="es-ES"/>
        </w:rPr>
      </w:pPr>
      <w:r w:rsidRPr="0077530D">
        <w:rPr>
          <w:rFonts w:ascii="Arial" w:eastAsia="Times New Roman" w:hAnsi="Arial" w:cs="Arial"/>
          <w:sz w:val="22"/>
          <w:szCs w:val="22"/>
          <w:lang w:val="es-ES"/>
        </w:rPr>
        <w:t>Obtener estimaciones objetivas y plausibles de las cargas de condiciones y enfermedades particulares.</w:t>
      </w:r>
    </w:p>
    <w:p w14:paraId="18102A90" w14:textId="77777777" w:rsidR="00FA34E2" w:rsidRPr="0077530D" w:rsidRDefault="00FA34E2" w:rsidP="008A41E6">
      <w:pPr>
        <w:numPr>
          <w:ilvl w:val="0"/>
          <w:numId w:val="4"/>
        </w:numPr>
        <w:spacing w:before="120" w:after="100" w:afterAutospacing="1"/>
        <w:contextualSpacing/>
        <w:jc w:val="both"/>
        <w:rPr>
          <w:rFonts w:ascii="Arial" w:eastAsia="Times New Roman" w:hAnsi="Arial" w:cs="Arial"/>
          <w:sz w:val="22"/>
          <w:szCs w:val="22"/>
          <w:lang w:val="es-ES"/>
        </w:rPr>
      </w:pPr>
      <w:r w:rsidRPr="0077530D">
        <w:rPr>
          <w:rFonts w:ascii="Arial" w:eastAsia="Times New Roman" w:hAnsi="Arial" w:cs="Arial"/>
          <w:sz w:val="22"/>
          <w:szCs w:val="22"/>
          <w:lang w:val="es-ES"/>
        </w:rPr>
        <w:t>Medir la carga de enfermedades y da</w:t>
      </w:r>
      <w:r w:rsidRPr="0077530D">
        <w:rPr>
          <w:rFonts w:ascii="Arial" w:hAnsi="Arial" w:cs="Arial"/>
          <w:sz w:val="22"/>
          <w:szCs w:val="22"/>
          <w:lang w:val="es-ES"/>
        </w:rPr>
        <w:t>ños</w:t>
      </w:r>
      <w:r w:rsidRPr="0077530D">
        <w:rPr>
          <w:rFonts w:ascii="Arial" w:eastAsia="Times New Roman" w:hAnsi="Arial" w:cs="Arial"/>
          <w:sz w:val="22"/>
          <w:szCs w:val="22"/>
          <w:lang w:val="es-ES"/>
        </w:rPr>
        <w:t xml:space="preserve"> </w:t>
      </w:r>
      <w:r w:rsidRPr="0077530D">
        <w:rPr>
          <w:rFonts w:ascii="Arial" w:hAnsi="Arial" w:cs="Arial"/>
          <w:sz w:val="22"/>
          <w:szCs w:val="22"/>
          <w:lang w:val="es-ES"/>
        </w:rPr>
        <w:t>físicos</w:t>
      </w:r>
      <w:r w:rsidRPr="0077530D">
        <w:rPr>
          <w:rFonts w:ascii="Arial" w:eastAsia="Times New Roman" w:hAnsi="Arial" w:cs="Arial"/>
          <w:sz w:val="22"/>
          <w:szCs w:val="22"/>
          <w:lang w:val="es-ES"/>
        </w:rPr>
        <w:t xml:space="preserve"> </w:t>
      </w:r>
      <w:r w:rsidRPr="0077530D">
        <w:rPr>
          <w:rFonts w:ascii="Arial" w:hAnsi="Arial" w:cs="Arial"/>
          <w:sz w:val="22"/>
          <w:szCs w:val="22"/>
          <w:lang w:val="es-ES"/>
        </w:rPr>
        <w:t>en</w:t>
      </w:r>
      <w:r w:rsidRPr="0077530D">
        <w:rPr>
          <w:rFonts w:ascii="Arial" w:eastAsia="Times New Roman" w:hAnsi="Arial" w:cs="Arial"/>
          <w:sz w:val="22"/>
          <w:szCs w:val="22"/>
          <w:lang w:val="es-ES"/>
        </w:rPr>
        <w:t xml:space="preserve"> </w:t>
      </w:r>
      <w:r w:rsidRPr="0077530D">
        <w:rPr>
          <w:rFonts w:ascii="Arial" w:hAnsi="Arial" w:cs="Arial"/>
          <w:sz w:val="22"/>
          <w:szCs w:val="22"/>
          <w:lang w:val="es-ES"/>
        </w:rPr>
        <w:t>una</w:t>
      </w:r>
      <w:r w:rsidRPr="0077530D">
        <w:rPr>
          <w:rFonts w:ascii="Arial" w:eastAsia="Times New Roman" w:hAnsi="Arial" w:cs="Arial"/>
          <w:sz w:val="22"/>
          <w:szCs w:val="22"/>
          <w:lang w:val="es-ES"/>
        </w:rPr>
        <w:t xml:space="preserve"> </w:t>
      </w:r>
      <w:r w:rsidRPr="0077530D">
        <w:rPr>
          <w:rFonts w:ascii="Arial" w:hAnsi="Arial" w:cs="Arial"/>
          <w:sz w:val="22"/>
          <w:szCs w:val="22"/>
          <w:lang w:val="es-ES"/>
        </w:rPr>
        <w:t>unidad</w:t>
      </w:r>
      <w:r w:rsidRPr="0077530D">
        <w:rPr>
          <w:rFonts w:ascii="Arial" w:eastAsia="Times New Roman" w:hAnsi="Arial" w:cs="Arial"/>
          <w:sz w:val="22"/>
          <w:szCs w:val="22"/>
          <w:lang w:val="es-ES"/>
        </w:rPr>
        <w:t xml:space="preserve"> </w:t>
      </w:r>
      <w:r w:rsidRPr="0077530D">
        <w:rPr>
          <w:rFonts w:ascii="Arial" w:hAnsi="Arial" w:cs="Arial"/>
          <w:sz w:val="22"/>
          <w:szCs w:val="22"/>
          <w:lang w:val="es-ES"/>
        </w:rPr>
        <w:t>que</w:t>
      </w:r>
      <w:r w:rsidRPr="0077530D">
        <w:rPr>
          <w:rFonts w:ascii="Arial" w:eastAsia="Times New Roman" w:hAnsi="Arial" w:cs="Arial"/>
          <w:sz w:val="22"/>
          <w:szCs w:val="22"/>
          <w:lang w:val="es-ES"/>
        </w:rPr>
        <w:t xml:space="preserve"> </w:t>
      </w:r>
      <w:r w:rsidRPr="0077530D">
        <w:rPr>
          <w:rFonts w:ascii="Arial" w:hAnsi="Arial" w:cs="Arial"/>
          <w:sz w:val="22"/>
          <w:szCs w:val="22"/>
          <w:lang w:val="es-ES"/>
        </w:rPr>
        <w:t>permita</w:t>
      </w:r>
      <w:r w:rsidRPr="0077530D">
        <w:rPr>
          <w:rFonts w:ascii="Arial" w:eastAsia="Times New Roman" w:hAnsi="Arial" w:cs="Arial"/>
          <w:sz w:val="22"/>
          <w:szCs w:val="22"/>
          <w:lang w:val="es-ES"/>
        </w:rPr>
        <w:t xml:space="preserve"> </w:t>
      </w:r>
      <w:r w:rsidRPr="0077530D">
        <w:rPr>
          <w:rFonts w:ascii="Arial" w:hAnsi="Arial" w:cs="Arial"/>
          <w:sz w:val="22"/>
          <w:szCs w:val="22"/>
          <w:lang w:val="es-ES"/>
        </w:rPr>
        <w:t>también</w:t>
      </w:r>
      <w:r w:rsidRPr="0077530D">
        <w:rPr>
          <w:rFonts w:ascii="Arial" w:eastAsia="Times New Roman" w:hAnsi="Arial" w:cs="Arial"/>
          <w:sz w:val="22"/>
          <w:szCs w:val="22"/>
          <w:lang w:val="es-ES"/>
        </w:rPr>
        <w:t xml:space="preserve"> </w:t>
      </w:r>
      <w:r w:rsidRPr="0077530D">
        <w:rPr>
          <w:rFonts w:ascii="Arial" w:hAnsi="Arial" w:cs="Arial"/>
          <w:sz w:val="22"/>
          <w:szCs w:val="22"/>
          <w:lang w:val="es-ES"/>
        </w:rPr>
        <w:t>evaluar</w:t>
      </w:r>
      <w:r w:rsidRPr="0077530D">
        <w:rPr>
          <w:rFonts w:ascii="Arial" w:eastAsia="Times New Roman" w:hAnsi="Arial" w:cs="Arial"/>
          <w:sz w:val="22"/>
          <w:szCs w:val="22"/>
          <w:lang w:val="es-ES"/>
        </w:rPr>
        <w:t xml:space="preserve"> </w:t>
      </w:r>
      <w:r w:rsidRPr="0077530D">
        <w:rPr>
          <w:rFonts w:ascii="Arial" w:hAnsi="Arial" w:cs="Arial"/>
          <w:sz w:val="22"/>
          <w:szCs w:val="22"/>
          <w:lang w:val="es-ES"/>
        </w:rPr>
        <w:t>el</w:t>
      </w:r>
      <w:r w:rsidRPr="0077530D">
        <w:rPr>
          <w:rFonts w:ascii="Arial" w:eastAsia="Times New Roman" w:hAnsi="Arial" w:cs="Arial"/>
          <w:sz w:val="22"/>
          <w:szCs w:val="22"/>
          <w:lang w:val="es-ES"/>
        </w:rPr>
        <w:t xml:space="preserve"> </w:t>
      </w:r>
      <w:r w:rsidRPr="0077530D">
        <w:rPr>
          <w:rFonts w:ascii="Arial" w:hAnsi="Arial" w:cs="Arial"/>
          <w:sz w:val="22"/>
          <w:szCs w:val="22"/>
          <w:lang w:val="es-ES"/>
        </w:rPr>
        <w:t>costo</w:t>
      </w:r>
      <w:r w:rsidRPr="0077530D">
        <w:rPr>
          <w:rFonts w:ascii="Arial" w:eastAsia="Times New Roman" w:hAnsi="Arial" w:cs="Arial"/>
          <w:sz w:val="22"/>
          <w:szCs w:val="22"/>
          <w:lang w:val="es-ES"/>
        </w:rPr>
        <w:t>/</w:t>
      </w:r>
      <w:r w:rsidRPr="0077530D">
        <w:rPr>
          <w:rFonts w:ascii="Arial" w:hAnsi="Arial" w:cs="Arial"/>
          <w:sz w:val="22"/>
          <w:szCs w:val="22"/>
          <w:lang w:val="es-ES"/>
        </w:rPr>
        <w:t>efectividad</w:t>
      </w:r>
      <w:r w:rsidRPr="0077530D">
        <w:rPr>
          <w:rFonts w:ascii="Arial" w:eastAsia="Times New Roman" w:hAnsi="Arial" w:cs="Arial"/>
          <w:sz w:val="22"/>
          <w:szCs w:val="22"/>
          <w:lang w:val="es-ES"/>
        </w:rPr>
        <w:t xml:space="preserve"> </w:t>
      </w:r>
      <w:r w:rsidRPr="0077530D">
        <w:rPr>
          <w:rFonts w:ascii="Arial" w:hAnsi="Arial" w:cs="Arial"/>
          <w:sz w:val="22"/>
          <w:szCs w:val="22"/>
          <w:lang w:val="es-ES"/>
        </w:rPr>
        <w:t>de</w:t>
      </w:r>
      <w:r w:rsidRPr="0077530D">
        <w:rPr>
          <w:rFonts w:ascii="Arial" w:eastAsia="Times New Roman" w:hAnsi="Arial" w:cs="Arial"/>
          <w:sz w:val="22"/>
          <w:szCs w:val="22"/>
          <w:lang w:val="es-ES"/>
        </w:rPr>
        <w:t xml:space="preserve"> </w:t>
      </w:r>
      <w:r w:rsidRPr="0077530D">
        <w:rPr>
          <w:rFonts w:ascii="Arial" w:hAnsi="Arial" w:cs="Arial"/>
          <w:sz w:val="22"/>
          <w:szCs w:val="22"/>
          <w:lang w:val="es-ES"/>
        </w:rPr>
        <w:t>las</w:t>
      </w:r>
      <w:r w:rsidRPr="0077530D">
        <w:rPr>
          <w:rFonts w:ascii="Arial" w:eastAsia="Times New Roman" w:hAnsi="Arial" w:cs="Arial"/>
          <w:sz w:val="22"/>
          <w:szCs w:val="22"/>
          <w:lang w:val="es-ES"/>
        </w:rPr>
        <w:t xml:space="preserve"> </w:t>
      </w:r>
      <w:r w:rsidRPr="0077530D">
        <w:rPr>
          <w:rFonts w:ascii="Arial" w:hAnsi="Arial" w:cs="Arial"/>
          <w:sz w:val="22"/>
          <w:szCs w:val="22"/>
          <w:lang w:val="es-ES"/>
        </w:rPr>
        <w:t>intervenciones</w:t>
      </w:r>
      <w:r w:rsidRPr="0077530D">
        <w:rPr>
          <w:rFonts w:ascii="Arial" w:eastAsia="Times New Roman" w:hAnsi="Arial" w:cs="Arial"/>
          <w:sz w:val="22"/>
          <w:szCs w:val="22"/>
          <w:lang w:val="es-ES"/>
        </w:rPr>
        <w:t xml:space="preserve">, </w:t>
      </w:r>
      <w:r w:rsidRPr="0077530D">
        <w:rPr>
          <w:rFonts w:ascii="Arial" w:hAnsi="Arial" w:cs="Arial"/>
          <w:sz w:val="22"/>
          <w:szCs w:val="22"/>
          <w:lang w:val="es-ES"/>
        </w:rPr>
        <w:t>en</w:t>
      </w:r>
      <w:r w:rsidRPr="0077530D">
        <w:rPr>
          <w:rFonts w:ascii="Arial" w:eastAsia="Times New Roman" w:hAnsi="Arial" w:cs="Arial"/>
          <w:sz w:val="22"/>
          <w:szCs w:val="22"/>
          <w:lang w:val="es-ES"/>
        </w:rPr>
        <w:t xml:space="preserve"> </w:t>
      </w:r>
      <w:r w:rsidRPr="0077530D">
        <w:rPr>
          <w:rFonts w:ascii="Arial" w:hAnsi="Arial" w:cs="Arial"/>
          <w:sz w:val="22"/>
          <w:szCs w:val="22"/>
          <w:lang w:val="es-ES"/>
        </w:rPr>
        <w:t>términos</w:t>
      </w:r>
      <w:r w:rsidRPr="0077530D">
        <w:rPr>
          <w:rFonts w:ascii="Arial" w:eastAsia="Times New Roman" w:hAnsi="Arial" w:cs="Arial"/>
          <w:sz w:val="22"/>
          <w:szCs w:val="22"/>
          <w:lang w:val="es-ES"/>
        </w:rPr>
        <w:t xml:space="preserve"> </w:t>
      </w:r>
      <w:r w:rsidRPr="0077530D">
        <w:rPr>
          <w:rFonts w:ascii="Arial" w:hAnsi="Arial" w:cs="Arial"/>
          <w:sz w:val="22"/>
          <w:szCs w:val="22"/>
          <w:lang w:val="es-ES"/>
        </w:rPr>
        <w:t>de</w:t>
      </w:r>
      <w:r w:rsidRPr="0077530D">
        <w:rPr>
          <w:rFonts w:ascii="Arial" w:eastAsia="Times New Roman" w:hAnsi="Arial" w:cs="Arial"/>
          <w:sz w:val="22"/>
          <w:szCs w:val="22"/>
          <w:lang w:val="es-ES"/>
        </w:rPr>
        <w:t xml:space="preserve"> </w:t>
      </w:r>
      <w:r w:rsidRPr="0077530D">
        <w:rPr>
          <w:rFonts w:ascii="Arial" w:hAnsi="Arial" w:cs="Arial"/>
          <w:sz w:val="22"/>
          <w:szCs w:val="22"/>
          <w:lang w:val="es-ES"/>
        </w:rPr>
        <w:t>costo</w:t>
      </w:r>
      <w:r w:rsidRPr="0077530D">
        <w:rPr>
          <w:rFonts w:ascii="Arial" w:eastAsia="Times New Roman" w:hAnsi="Arial" w:cs="Arial"/>
          <w:sz w:val="22"/>
          <w:szCs w:val="22"/>
          <w:lang w:val="es-ES"/>
        </w:rPr>
        <w:t xml:space="preserve"> </w:t>
      </w:r>
      <w:r w:rsidRPr="0077530D">
        <w:rPr>
          <w:rFonts w:ascii="Arial" w:hAnsi="Arial" w:cs="Arial"/>
          <w:sz w:val="22"/>
          <w:szCs w:val="22"/>
          <w:lang w:val="es-ES"/>
        </w:rPr>
        <w:t>por</w:t>
      </w:r>
      <w:r w:rsidRPr="0077530D">
        <w:rPr>
          <w:rFonts w:ascii="Arial" w:eastAsia="Times New Roman" w:hAnsi="Arial" w:cs="Arial"/>
          <w:sz w:val="22"/>
          <w:szCs w:val="22"/>
          <w:lang w:val="es-ES"/>
        </w:rPr>
        <w:t xml:space="preserve"> </w:t>
      </w:r>
      <w:r w:rsidRPr="0077530D">
        <w:rPr>
          <w:rFonts w:ascii="Arial" w:hAnsi="Arial" w:cs="Arial"/>
          <w:sz w:val="22"/>
          <w:szCs w:val="22"/>
          <w:lang w:val="es-ES"/>
        </w:rPr>
        <w:t>unidad</w:t>
      </w:r>
      <w:r w:rsidRPr="0077530D">
        <w:rPr>
          <w:rFonts w:ascii="Arial" w:eastAsia="Times New Roman" w:hAnsi="Arial" w:cs="Arial"/>
          <w:sz w:val="22"/>
          <w:szCs w:val="22"/>
          <w:lang w:val="es-ES"/>
        </w:rPr>
        <w:t xml:space="preserve"> </w:t>
      </w:r>
      <w:r w:rsidRPr="0077530D">
        <w:rPr>
          <w:rFonts w:ascii="Arial" w:hAnsi="Arial" w:cs="Arial"/>
          <w:sz w:val="22"/>
          <w:szCs w:val="22"/>
          <w:lang w:val="es-ES"/>
        </w:rPr>
        <w:t>de</w:t>
      </w:r>
      <w:r w:rsidRPr="0077530D">
        <w:rPr>
          <w:rFonts w:ascii="Arial" w:eastAsia="Times New Roman" w:hAnsi="Arial" w:cs="Arial"/>
          <w:sz w:val="22"/>
          <w:szCs w:val="22"/>
          <w:lang w:val="es-ES"/>
        </w:rPr>
        <w:t xml:space="preserve"> </w:t>
      </w:r>
      <w:r w:rsidRPr="0077530D">
        <w:rPr>
          <w:rFonts w:ascii="Arial" w:hAnsi="Arial" w:cs="Arial"/>
          <w:sz w:val="22"/>
          <w:szCs w:val="22"/>
          <w:lang w:val="es-ES"/>
        </w:rPr>
        <w:t>carga</w:t>
      </w:r>
      <w:r w:rsidRPr="0077530D">
        <w:rPr>
          <w:rFonts w:ascii="Arial" w:eastAsia="Times New Roman" w:hAnsi="Arial" w:cs="Arial"/>
          <w:sz w:val="22"/>
          <w:szCs w:val="22"/>
          <w:lang w:val="es-ES"/>
        </w:rPr>
        <w:t xml:space="preserve"> </w:t>
      </w:r>
      <w:r w:rsidRPr="0077530D">
        <w:rPr>
          <w:rFonts w:ascii="Arial" w:hAnsi="Arial" w:cs="Arial"/>
          <w:sz w:val="22"/>
          <w:szCs w:val="22"/>
          <w:lang w:val="es-ES"/>
        </w:rPr>
        <w:t>de</w:t>
      </w:r>
      <w:r w:rsidRPr="0077530D">
        <w:rPr>
          <w:rFonts w:ascii="Arial" w:eastAsia="Times New Roman" w:hAnsi="Arial" w:cs="Arial"/>
          <w:sz w:val="22"/>
          <w:szCs w:val="22"/>
          <w:lang w:val="es-ES"/>
        </w:rPr>
        <w:t xml:space="preserve"> </w:t>
      </w:r>
      <w:r w:rsidRPr="0077530D">
        <w:rPr>
          <w:rFonts w:ascii="Arial" w:hAnsi="Arial" w:cs="Arial"/>
          <w:sz w:val="22"/>
          <w:szCs w:val="22"/>
          <w:lang w:val="es-ES"/>
        </w:rPr>
        <w:t>enfermedad</w:t>
      </w:r>
      <w:r w:rsidRPr="0077530D">
        <w:rPr>
          <w:rFonts w:ascii="Arial" w:eastAsia="Times New Roman" w:hAnsi="Arial" w:cs="Arial"/>
          <w:sz w:val="22"/>
          <w:szCs w:val="22"/>
          <w:lang w:val="es-ES"/>
        </w:rPr>
        <w:t xml:space="preserve"> eliminada.</w:t>
      </w:r>
    </w:p>
    <w:p w14:paraId="3F3DA37D" w14:textId="77777777" w:rsidR="00FA34E2" w:rsidRPr="0077530D" w:rsidRDefault="00FA34E2" w:rsidP="001025F1">
      <w:pPr>
        <w:spacing w:before="120" w:after="100" w:afterAutospacing="1"/>
        <w:ind w:left="360"/>
        <w:contextualSpacing/>
        <w:jc w:val="both"/>
        <w:rPr>
          <w:rFonts w:ascii="Arial" w:eastAsia="Times New Roman" w:hAnsi="Arial" w:cs="Arial"/>
          <w:sz w:val="22"/>
          <w:szCs w:val="22"/>
          <w:lang w:val="es-ES"/>
        </w:rPr>
      </w:pPr>
    </w:p>
    <w:p w14:paraId="3AB5CFB2" w14:textId="77777777" w:rsidR="00FA34E2" w:rsidRPr="0077530D" w:rsidRDefault="007907B9" w:rsidP="001025F1">
      <w:pPr>
        <w:spacing w:before="120" w:after="100" w:afterAutospacing="1"/>
        <w:contextualSpacing/>
        <w:jc w:val="both"/>
        <w:rPr>
          <w:rFonts w:ascii="Arial" w:hAnsi="Arial" w:cs="Arial"/>
          <w:sz w:val="22"/>
          <w:szCs w:val="22"/>
          <w:lang w:val="es-ES"/>
        </w:rPr>
      </w:pPr>
      <w:r w:rsidRPr="0077530D">
        <w:rPr>
          <w:rFonts w:ascii="Arial" w:hAnsi="Arial" w:cs="Arial"/>
          <w:sz w:val="22"/>
          <w:szCs w:val="22"/>
          <w:lang w:val="es-ES"/>
        </w:rPr>
        <w:t>L</w:t>
      </w:r>
      <w:r w:rsidR="00FA34E2" w:rsidRPr="0077530D">
        <w:rPr>
          <w:rFonts w:ascii="Arial" w:hAnsi="Arial" w:cs="Arial"/>
          <w:sz w:val="22"/>
          <w:szCs w:val="22"/>
          <w:lang w:val="es-ES"/>
        </w:rPr>
        <w:t xml:space="preserve">os años de vida perdidos por cada muerte </w:t>
      </w:r>
      <w:r w:rsidRPr="0077530D">
        <w:rPr>
          <w:rFonts w:ascii="Arial" w:hAnsi="Arial" w:cs="Arial"/>
          <w:sz w:val="22"/>
          <w:szCs w:val="22"/>
          <w:lang w:val="es-ES"/>
        </w:rPr>
        <w:t xml:space="preserve">prematura </w:t>
      </w:r>
      <w:r w:rsidR="00FA34E2" w:rsidRPr="0077530D">
        <w:rPr>
          <w:rFonts w:ascii="Arial" w:hAnsi="Arial" w:cs="Arial"/>
          <w:sz w:val="22"/>
          <w:szCs w:val="22"/>
          <w:lang w:val="es-ES"/>
        </w:rPr>
        <w:t>se establecen en función de la Esperanza de Vida</w:t>
      </w:r>
      <w:r w:rsidR="001A14D5" w:rsidRPr="0077530D">
        <w:rPr>
          <w:rFonts w:ascii="Arial" w:hAnsi="Arial" w:cs="Arial"/>
          <w:sz w:val="22"/>
          <w:szCs w:val="22"/>
          <w:lang w:val="es-ES"/>
        </w:rPr>
        <w:t xml:space="preserve"> restante</w:t>
      </w:r>
      <w:r w:rsidR="00FA34E2" w:rsidRPr="0077530D">
        <w:rPr>
          <w:rFonts w:ascii="Arial" w:hAnsi="Arial" w:cs="Arial"/>
          <w:sz w:val="22"/>
          <w:szCs w:val="22"/>
          <w:lang w:val="es-ES"/>
        </w:rPr>
        <w:t xml:space="preserve"> a la edad de cada muerte. Un AVAD representa la pérdida de un año que equiv</w:t>
      </w:r>
      <w:r w:rsidRPr="0077530D">
        <w:rPr>
          <w:rFonts w:ascii="Arial" w:hAnsi="Arial" w:cs="Arial"/>
          <w:sz w:val="22"/>
          <w:szCs w:val="22"/>
          <w:lang w:val="es-ES"/>
        </w:rPr>
        <w:t xml:space="preserve">ale a un año </w:t>
      </w:r>
      <w:r w:rsidR="00917F3C" w:rsidRPr="0077530D">
        <w:rPr>
          <w:rFonts w:ascii="Arial" w:hAnsi="Arial" w:cs="Arial"/>
          <w:sz w:val="22"/>
          <w:szCs w:val="22"/>
          <w:lang w:val="es-ES"/>
        </w:rPr>
        <w:t>totalmente</w:t>
      </w:r>
      <w:r w:rsidR="00FA34E2" w:rsidRPr="0077530D">
        <w:rPr>
          <w:rFonts w:ascii="Arial" w:hAnsi="Arial" w:cs="Arial"/>
          <w:sz w:val="22"/>
          <w:szCs w:val="22"/>
          <w:lang w:val="es-ES"/>
        </w:rPr>
        <w:t xml:space="preserve"> saludable. </w:t>
      </w:r>
    </w:p>
    <w:p w14:paraId="6BEDBEF8" w14:textId="77777777" w:rsidR="00FE36C0" w:rsidRPr="0077530D" w:rsidRDefault="00FE36C0" w:rsidP="001025F1">
      <w:pPr>
        <w:spacing w:before="120" w:after="100" w:afterAutospacing="1"/>
        <w:contextualSpacing/>
        <w:jc w:val="both"/>
        <w:rPr>
          <w:rFonts w:ascii="Arial" w:hAnsi="Arial" w:cs="Arial"/>
          <w:sz w:val="22"/>
          <w:szCs w:val="22"/>
          <w:lang w:val="es-ES"/>
        </w:rPr>
      </w:pPr>
    </w:p>
    <w:p w14:paraId="1AC43219" w14:textId="77777777" w:rsidR="00FE36C0" w:rsidRPr="0077530D" w:rsidRDefault="00FE36C0" w:rsidP="008E506C">
      <w:pPr>
        <w:spacing w:before="120" w:after="100" w:afterAutospacing="1"/>
        <w:contextualSpacing/>
        <w:jc w:val="both"/>
        <w:rPr>
          <w:rFonts w:ascii="Arial" w:eastAsia="Arial" w:hAnsi="Arial" w:cs="Arial"/>
          <w:sz w:val="22"/>
          <w:szCs w:val="22"/>
          <w:lang w:val="es-ES"/>
        </w:rPr>
      </w:pPr>
      <w:bookmarkStart w:id="77" w:name="f1"/>
      <w:bookmarkEnd w:id="77"/>
      <w:r w:rsidRPr="0077530D">
        <w:rPr>
          <w:rFonts w:ascii="Arial" w:eastAsia="Arial" w:hAnsi="Arial" w:cs="Arial"/>
          <w:sz w:val="22"/>
          <w:szCs w:val="22"/>
          <w:lang w:val="es-ES"/>
        </w:rPr>
        <w:lastRenderedPageBreak/>
        <w:t>En términos generales los A</w:t>
      </w:r>
      <w:r w:rsidR="005B08FD" w:rsidRPr="0077530D">
        <w:rPr>
          <w:rFonts w:ascii="Arial" w:eastAsia="Arial" w:hAnsi="Arial" w:cs="Arial"/>
          <w:sz w:val="22"/>
          <w:szCs w:val="22"/>
          <w:lang w:val="es-ES"/>
        </w:rPr>
        <w:t>V</w:t>
      </w:r>
      <w:r w:rsidR="00917F3C" w:rsidRPr="0077530D">
        <w:rPr>
          <w:rFonts w:ascii="Arial" w:eastAsia="Arial" w:hAnsi="Arial" w:cs="Arial"/>
          <w:sz w:val="22"/>
          <w:szCs w:val="22"/>
          <w:lang w:val="es-ES"/>
        </w:rPr>
        <w:t>A</w:t>
      </w:r>
      <w:r w:rsidRPr="0077530D">
        <w:rPr>
          <w:rFonts w:ascii="Arial" w:eastAsia="Arial" w:hAnsi="Arial" w:cs="Arial"/>
          <w:sz w:val="22"/>
          <w:szCs w:val="22"/>
          <w:lang w:val="es-ES"/>
        </w:rPr>
        <w:t>D</w:t>
      </w:r>
      <w:r w:rsidR="007907B9" w:rsidRPr="0077530D">
        <w:rPr>
          <w:rFonts w:ascii="Arial" w:eastAsia="Arial" w:hAnsi="Arial" w:cs="Arial"/>
          <w:sz w:val="22"/>
          <w:szCs w:val="22"/>
          <w:lang w:val="es-ES"/>
        </w:rPr>
        <w:t>s</w:t>
      </w:r>
      <w:r w:rsidRPr="0077530D">
        <w:rPr>
          <w:rFonts w:ascii="Arial" w:eastAsia="Arial" w:hAnsi="Arial" w:cs="Arial"/>
          <w:sz w:val="22"/>
          <w:szCs w:val="22"/>
          <w:lang w:val="es-ES"/>
        </w:rPr>
        <w:t xml:space="preserve"> dependen de los siguientes parámetros: AVD: total Años Vividos con Discapacidad. N</w:t>
      </w:r>
      <w:r w:rsidRPr="0077530D">
        <w:rPr>
          <w:rFonts w:ascii="Arial" w:eastAsia="Arial" w:hAnsi="Arial" w:cs="Arial"/>
          <w:sz w:val="22"/>
          <w:szCs w:val="22"/>
          <w:vertAlign w:val="subscript"/>
          <w:lang w:val="es-ES"/>
        </w:rPr>
        <w:t>j</w:t>
      </w:r>
      <w:r w:rsidRPr="0077530D">
        <w:rPr>
          <w:rFonts w:ascii="Arial" w:eastAsia="Arial" w:hAnsi="Arial" w:cs="Arial"/>
          <w:sz w:val="22"/>
          <w:szCs w:val="22"/>
          <w:lang w:val="es-ES"/>
        </w:rPr>
        <w:t>: Población susceptible de enfermar a cada edad (0 - L). I</w:t>
      </w:r>
      <w:r w:rsidRPr="0077530D">
        <w:rPr>
          <w:rFonts w:ascii="Arial" w:eastAsia="Arial" w:hAnsi="Arial" w:cs="Arial"/>
          <w:sz w:val="22"/>
          <w:szCs w:val="22"/>
          <w:vertAlign w:val="subscript"/>
          <w:lang w:val="es-ES"/>
        </w:rPr>
        <w:t>j</w:t>
      </w:r>
      <w:r w:rsidRPr="0077530D">
        <w:rPr>
          <w:rFonts w:ascii="Arial" w:eastAsia="Arial" w:hAnsi="Arial" w:cs="Arial"/>
          <w:sz w:val="22"/>
          <w:szCs w:val="22"/>
          <w:lang w:val="es-ES"/>
        </w:rPr>
        <w:t>: Incidencia de la enfermedad a cada edad (0 - L). T</w:t>
      </w:r>
      <w:r w:rsidRPr="0077530D">
        <w:rPr>
          <w:rFonts w:ascii="Arial" w:eastAsia="Arial" w:hAnsi="Arial" w:cs="Arial"/>
          <w:sz w:val="22"/>
          <w:szCs w:val="22"/>
          <w:vertAlign w:val="subscript"/>
          <w:lang w:val="es-ES"/>
        </w:rPr>
        <w:t>j</w:t>
      </w:r>
      <w:r w:rsidRPr="0077530D">
        <w:rPr>
          <w:rFonts w:ascii="Arial" w:eastAsia="Arial" w:hAnsi="Arial" w:cs="Arial"/>
          <w:sz w:val="22"/>
          <w:szCs w:val="22"/>
          <w:lang w:val="es-ES"/>
        </w:rPr>
        <w:t>: Duración media de la enfermedad desde la edad de inicio (0 - L). D: Valor que pondera la discapacidad entre valores de "0 = salud perfecta" y "1 = máxima discapacidad o equivalente al estado de muerte". El método para establecer las escalas de severidad o ponderación de la discapacidad usada para los AVAD es el de Equivalencia de personas</w:t>
      </w:r>
      <w:r w:rsidR="00BF5924" w:rsidRPr="0077530D">
        <w:rPr>
          <w:rFonts w:ascii="Arial" w:eastAsia="Arial" w:hAnsi="Arial" w:cs="Arial"/>
          <w:sz w:val="22"/>
          <w:szCs w:val="22"/>
          <w:lang w:val="es-ES"/>
        </w:rPr>
        <w:t xml:space="preserve"> </w:t>
      </w:r>
      <w:r w:rsidR="00BF5924" w:rsidRPr="0077530D">
        <w:rPr>
          <w:rFonts w:ascii="Arial" w:hAnsi="Arial" w:cs="Arial"/>
        </w:rPr>
        <w:fldChar w:fldCharType="begin" w:fldLock="1"/>
      </w:r>
      <w:r w:rsidR="00531F9F" w:rsidRPr="0077530D">
        <w:rPr>
          <w:rFonts w:ascii="Arial" w:hAnsi="Arial" w:cs="Arial"/>
          <w:sz w:val="22"/>
          <w:szCs w:val="22"/>
          <w:lang w:val="es-ES"/>
        </w:rPr>
        <w:instrText>ADDIN CSL_CITATION { "citationItems" : [ { "id" : "ITEM-1", "itemData" : { "ISSN" : "0042-9686", "PMID" : "8062403", "abstract" : "Conventional methods for collecting, analysing and disseminating data and information on disability in populations have relied on cross-sectional censuses and surveys which measure prevalence in a given period. While this may be relevant for defining the extent and demographic pattern of disabilities in a population, and thus indicating the need for rehabilitative services, prevention requires detailed information on the underlying diseases and injuries that cause disabilities. The Global Burden of Disease methodology described in this paper provides a mechanism for quantifying the health consequences of the years of life lived with disabilities by first estimating the age-sex-specific incidence rates of underlying conditions, and then mapping these to a single disability index which collectively reflects the probability of progressing to a disability, the duration of life lived with the disability, and the approximate severity of the disability in terms of activity restriction. Detailed estimates of the number of disability-adjusted life years (DALYs) lived are provided in this paper, for eight geographical regions. The results should be useful to those concerned with planning health services for the disabled and, more particularly, with determining policies to prevent the underlying conditions which give rise to serious disabling sequelae.", "author" : [ { "dropping-particle" : "", "family" : "Murray", "given" : "C J", "non-dropping-particle" : "", "parse-names" : false, "suffix" : "" }, { "dropping-particle" : "", "family" : "Lopez", "given" : "A D", "non-dropping-particle" : "", "parse-names" : false, "suffix" : "" } ], "container-title" : "Bulletin of the World Health Organization", "id" : "ITEM-1", "issue" : "3", "issued" : { "date-parts" : [ [ "1994", "1" ] ] }, "page" : "481-94", "title" : "Quantifying disability: data, methods and results.", "type" : "article-journal", "volume" : "72" }, "uris" : [ "http://www.mendeley.com/documents/?uuid=4d26c997-ee43-4358-ad62-eb467cf111a9" ] } ], "mendeley" : { "formattedCitation" : "(C. J. Murray and Lopez 1994)", "manualFormatting" : "(Murray y Lopez 1994)", "plainTextFormattedCitation" : "(C. J. Murray and Lopez 1994)", "previouslyFormattedCitation" : "(C. J. Murray and Lopez 1994)" }, "properties" : { "noteIndex" : 0 }, "schema" : "https://github.com/citation-style-language/schema/raw/master/csl-citation.json" }</w:instrText>
      </w:r>
      <w:r w:rsidR="00BF5924" w:rsidRPr="0077530D">
        <w:rPr>
          <w:rFonts w:ascii="Arial" w:hAnsi="Arial" w:cs="Arial"/>
          <w:sz w:val="22"/>
          <w:szCs w:val="22"/>
          <w:lang w:val="es-ES"/>
        </w:rPr>
        <w:fldChar w:fldCharType="separate"/>
      </w:r>
      <w:r w:rsidR="00BF5924" w:rsidRPr="0077530D">
        <w:rPr>
          <w:rFonts w:ascii="Arial" w:eastAsia="Arial" w:hAnsi="Arial" w:cs="Arial"/>
          <w:sz w:val="22"/>
          <w:szCs w:val="22"/>
          <w:lang w:val="es-ES"/>
        </w:rPr>
        <w:t>(Murray y Lopez 1994)</w:t>
      </w:r>
      <w:r w:rsidR="00BF5924" w:rsidRPr="0077530D">
        <w:rPr>
          <w:rFonts w:ascii="Arial" w:hAnsi="Arial" w:cs="Arial"/>
        </w:rPr>
        <w:fldChar w:fldCharType="end"/>
      </w:r>
      <w:r w:rsidRPr="0077530D">
        <w:rPr>
          <w:rFonts w:ascii="Arial" w:eastAsia="Arial" w:hAnsi="Arial" w:cs="Arial"/>
          <w:sz w:val="22"/>
          <w:szCs w:val="22"/>
          <w:lang w:val="es-ES"/>
        </w:rPr>
        <w:t>.</w:t>
      </w:r>
    </w:p>
    <w:p w14:paraId="73C2A240" w14:textId="77777777" w:rsidR="00FE36C0" w:rsidRPr="0077530D" w:rsidRDefault="00FE36C0" w:rsidP="001025F1">
      <w:pPr>
        <w:spacing w:before="120" w:after="100" w:afterAutospacing="1"/>
        <w:contextualSpacing/>
        <w:jc w:val="both"/>
        <w:rPr>
          <w:rFonts w:ascii="Arial" w:eastAsia="Times New Roman" w:hAnsi="Arial" w:cs="Arial"/>
          <w:sz w:val="22"/>
          <w:szCs w:val="22"/>
          <w:lang w:val="es-ES"/>
        </w:rPr>
      </w:pPr>
    </w:p>
    <w:p w14:paraId="0CD761CC" w14:textId="23D3BCD3" w:rsidR="00FE36C0" w:rsidRPr="0077530D" w:rsidRDefault="00FE36C0" w:rsidP="00DC1B3E">
      <w:pPr>
        <w:spacing w:before="120" w:after="100" w:afterAutospacing="1"/>
        <w:contextualSpacing/>
        <w:jc w:val="both"/>
        <w:rPr>
          <w:rFonts w:ascii="Arial" w:eastAsia="Arial,Times New Roman" w:hAnsi="Arial" w:cs="Arial"/>
          <w:sz w:val="22"/>
          <w:szCs w:val="22"/>
          <w:lang w:val="es-ES"/>
        </w:rPr>
      </w:pPr>
      <w:r w:rsidRPr="0077530D">
        <w:rPr>
          <w:rFonts w:ascii="Arial" w:eastAsia="Arial" w:hAnsi="Arial" w:cs="Arial"/>
          <w:sz w:val="22"/>
          <w:szCs w:val="22"/>
          <w:lang w:val="es-ES"/>
        </w:rPr>
        <w:t>Como discu</w:t>
      </w:r>
      <w:r w:rsidR="005B08FD" w:rsidRPr="0077530D">
        <w:rPr>
          <w:rFonts w:ascii="Arial" w:eastAsia="Arial" w:hAnsi="Arial" w:cs="Arial"/>
          <w:sz w:val="22"/>
          <w:szCs w:val="22"/>
          <w:lang w:val="es-ES"/>
        </w:rPr>
        <w:t xml:space="preserve">ten </w:t>
      </w:r>
      <w:r w:rsidR="00D85DA0" w:rsidRPr="0077530D">
        <w:rPr>
          <w:rFonts w:ascii="Arial" w:hAnsi="Arial" w:cs="Arial"/>
        </w:rPr>
        <w:fldChar w:fldCharType="begin" w:fldLock="1"/>
      </w:r>
      <w:r w:rsidR="00A04E82" w:rsidRPr="0077530D">
        <w:rPr>
          <w:rFonts w:ascii="Arial" w:eastAsia="Times New Roman" w:hAnsi="Arial" w:cs="Arial"/>
          <w:sz w:val="22"/>
          <w:szCs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D85DA0" w:rsidRPr="0077530D">
        <w:rPr>
          <w:rFonts w:ascii="Arial" w:eastAsia="Times New Roman" w:hAnsi="Arial" w:cs="Arial"/>
          <w:sz w:val="22"/>
          <w:szCs w:val="22"/>
          <w:lang w:val="es-ES"/>
        </w:rPr>
        <w:fldChar w:fldCharType="separate"/>
      </w:r>
      <w:r w:rsidR="00D85DA0" w:rsidRPr="0077530D">
        <w:rPr>
          <w:rFonts w:ascii="Arial" w:eastAsia="Arial" w:hAnsi="Arial" w:cs="Arial"/>
          <w:sz w:val="22"/>
          <w:szCs w:val="22"/>
          <w:lang w:val="es-ES"/>
        </w:rPr>
        <w:t>Alvis</w:t>
      </w:r>
      <w:r w:rsidR="00073909" w:rsidRPr="0077530D">
        <w:rPr>
          <w:rFonts w:ascii="Arial" w:eastAsia="Arial" w:hAnsi="Arial" w:cs="Arial"/>
          <w:sz w:val="22"/>
          <w:szCs w:val="22"/>
          <w:lang w:val="es-ES"/>
        </w:rPr>
        <w:t xml:space="preserve"> y </w:t>
      </w:r>
      <w:r w:rsidR="00D85DA0" w:rsidRPr="0077530D">
        <w:rPr>
          <w:rFonts w:ascii="Arial" w:eastAsia="Arial" w:hAnsi="Arial" w:cs="Arial"/>
          <w:sz w:val="22"/>
          <w:szCs w:val="22"/>
          <w:lang w:val="es-ES"/>
        </w:rPr>
        <w:t>Valenzuela (2010)</w:t>
      </w:r>
      <w:r w:rsidR="00D85DA0" w:rsidRPr="0077530D">
        <w:rPr>
          <w:rFonts w:ascii="Arial" w:hAnsi="Arial" w:cs="Arial"/>
        </w:rPr>
        <w:fldChar w:fldCharType="end"/>
      </w:r>
      <w:r w:rsidR="005B08FD" w:rsidRPr="0077530D">
        <w:rPr>
          <w:rFonts w:ascii="Arial" w:eastAsia="Arial,Times New Roman" w:hAnsi="Arial" w:cs="Arial"/>
          <w:sz w:val="22"/>
          <w:szCs w:val="22"/>
          <w:lang w:val="es-ES"/>
        </w:rPr>
        <w:t xml:space="preserve">, </w:t>
      </w:r>
      <w:r w:rsidR="00D85DA0" w:rsidRPr="0077530D">
        <w:rPr>
          <w:rFonts w:ascii="Arial" w:hAnsi="Arial" w:cs="Arial"/>
        </w:rPr>
        <w:fldChar w:fldCharType="begin" w:fldLock="1"/>
      </w:r>
      <w:r w:rsidR="00C55B87" w:rsidRPr="0077530D">
        <w:rPr>
          <w:rFonts w:ascii="Arial" w:eastAsia="Times New Roman" w:hAnsi="Arial" w:cs="Arial"/>
          <w:sz w:val="22"/>
          <w:szCs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"manualFormatting" : "Mathers et al. (2001)", "plainTextFormattedCitation" : "(Mathers et al. 2001)", "previouslyFormattedCitation" : "(Mathers et al. 2001)" }, "properties" : { "noteIndex" : 0 }, "schema" : "https://github.com/citation-style-language/schema/raw/master/csl-citation.json" }</w:instrText>
      </w:r>
      <w:r w:rsidR="00D85DA0" w:rsidRPr="0077530D">
        <w:rPr>
          <w:rFonts w:ascii="Arial" w:eastAsia="Times New Roman" w:hAnsi="Arial" w:cs="Arial"/>
          <w:sz w:val="22"/>
          <w:szCs w:val="22"/>
          <w:lang w:val="es-ES"/>
        </w:rPr>
        <w:fldChar w:fldCharType="separate"/>
      </w:r>
      <w:r w:rsidR="00D85DA0" w:rsidRPr="0077530D">
        <w:rPr>
          <w:rFonts w:ascii="Arial" w:eastAsia="Arial" w:hAnsi="Arial" w:cs="Arial"/>
          <w:sz w:val="22"/>
          <w:szCs w:val="22"/>
          <w:lang w:val="es-ES"/>
        </w:rPr>
        <w:t>Mathers et al. (2001)</w:t>
      </w:r>
      <w:r w:rsidR="00D85DA0" w:rsidRPr="0077530D">
        <w:rPr>
          <w:rFonts w:ascii="Arial" w:hAnsi="Arial" w:cs="Arial"/>
        </w:rPr>
        <w:fldChar w:fldCharType="end"/>
      </w:r>
      <w:r w:rsidR="00D85DA0" w:rsidRPr="0077530D">
        <w:rPr>
          <w:rFonts w:ascii="Arial" w:eastAsia="Arial,Times New Roman" w:hAnsi="Arial" w:cs="Arial"/>
          <w:sz w:val="22"/>
          <w:szCs w:val="22"/>
          <w:lang w:val="es-ES"/>
        </w:rPr>
        <w:t xml:space="preserve"> </w:t>
      </w:r>
      <w:r w:rsidR="00C55B87" w:rsidRPr="0077530D">
        <w:rPr>
          <w:rFonts w:ascii="Arial" w:eastAsia="Arial" w:hAnsi="Arial" w:cs="Arial"/>
          <w:sz w:val="22"/>
          <w:szCs w:val="22"/>
          <w:lang w:val="es-ES"/>
        </w:rPr>
        <w:t xml:space="preserve">y </w:t>
      </w:r>
      <w:r w:rsidR="00C55B87" w:rsidRPr="0077530D">
        <w:rPr>
          <w:rFonts w:ascii="Arial" w:hAnsi="Arial" w:cs="Arial"/>
        </w:rPr>
        <w:fldChar w:fldCharType="begin" w:fldLock="1"/>
      </w:r>
      <w:r w:rsidR="0046041E" w:rsidRPr="0077530D">
        <w:rPr>
          <w:rFonts w:ascii="Arial" w:eastAsia="Times New Roman" w:hAnsi="Arial" w:cs="Arial"/>
          <w:sz w:val="22"/>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"Tan-Torres Edeker et al. (2003)", "plainTextFormattedCitation" : "(Tan-Torres Edejer et al. 2003)", "previouslyFormattedCitation" : "(Tan-Torres Edejer et al. 2003)" }, "properties" : { "noteIndex" : 0 }, "schema" : "https://github.com/citation-style-language/schema/raw/master/csl-citation.json" }</w:instrText>
      </w:r>
      <w:r w:rsidR="00C55B87" w:rsidRPr="0077530D">
        <w:rPr>
          <w:rFonts w:ascii="Arial" w:eastAsia="Times New Roman" w:hAnsi="Arial" w:cs="Arial"/>
          <w:sz w:val="22"/>
          <w:szCs w:val="22"/>
          <w:lang w:val="es-ES"/>
        </w:rPr>
        <w:fldChar w:fldCharType="separate"/>
      </w:r>
      <w:r w:rsidR="00C55B87" w:rsidRPr="0077530D">
        <w:rPr>
          <w:rFonts w:ascii="Arial" w:eastAsia="Arial" w:hAnsi="Arial" w:cs="Arial"/>
          <w:sz w:val="22"/>
          <w:szCs w:val="22"/>
          <w:lang w:val="es-ES"/>
        </w:rPr>
        <w:t>Tan-Torres Edeker et al. (2003)</w:t>
      </w:r>
      <w:r w:rsidR="00C55B87" w:rsidRPr="0077530D">
        <w:rPr>
          <w:rFonts w:ascii="Arial" w:hAnsi="Arial" w:cs="Arial"/>
        </w:rPr>
        <w:fldChar w:fldCharType="end"/>
      </w:r>
      <w:r w:rsidRPr="0077530D">
        <w:rPr>
          <w:rFonts w:ascii="Arial" w:eastAsia="Arial" w:hAnsi="Arial" w:cs="Arial"/>
          <w:sz w:val="22"/>
          <w:szCs w:val="22"/>
          <w:lang w:val="es-ES"/>
        </w:rPr>
        <w:t>, entre muchos otras referencias, los AVAD</w:t>
      </w:r>
      <w:r w:rsidR="000C5214" w:rsidRPr="0077530D">
        <w:rPr>
          <w:rFonts w:ascii="Arial" w:eastAsia="Arial" w:hAnsi="Arial" w:cs="Arial"/>
          <w:sz w:val="22"/>
          <w:szCs w:val="22"/>
          <w:lang w:val="es-ES"/>
        </w:rPr>
        <w:t>s</w:t>
      </w:r>
      <w:r w:rsidRPr="0077530D">
        <w:rPr>
          <w:rFonts w:ascii="Arial" w:eastAsia="Arial" w:hAnsi="Arial" w:cs="Arial"/>
          <w:sz w:val="22"/>
          <w:szCs w:val="22"/>
          <w:lang w:val="es-ES"/>
        </w:rPr>
        <w:t xml:space="preserve"> resumen, mediante estudios de carga de la enfermedad, el impacto de la mortalidad y discapacidad asociada a enfermedades específicas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distintas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comunidades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AVAD</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son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comúnmente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utilizados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como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medidas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resultado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estudios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evaluación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económica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midiendo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el</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impacto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acciones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intervenciones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específicas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para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reve</w:t>
      </w:r>
      <w:r w:rsidR="005B08FD" w:rsidRPr="0077530D">
        <w:rPr>
          <w:rFonts w:ascii="Arial" w:eastAsia="Arial" w:hAnsi="Arial" w:cs="Arial"/>
          <w:sz w:val="22"/>
          <w:szCs w:val="22"/>
          <w:lang w:val="es-ES"/>
        </w:rPr>
        <w:t xml:space="preserve">rtir la carga de la enfermedad. </w:t>
      </w:r>
      <w:r w:rsidRPr="0077530D">
        <w:rPr>
          <w:rFonts w:ascii="Arial" w:eastAsia="Arial" w:hAnsi="Arial" w:cs="Arial"/>
          <w:sz w:val="22"/>
          <w:szCs w:val="22"/>
          <w:lang w:val="es-ES"/>
        </w:rPr>
        <w:t>Su carácter</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genérico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permite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comparar</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el</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impacto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intervenciones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salud</w:t>
      </w:r>
      <w:r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enfocados en atender</w:t>
      </w:r>
      <w:r w:rsidRPr="0077530D">
        <w:rPr>
          <w:rFonts w:ascii="Arial" w:eastAsia="Arial" w:hAnsi="Arial" w:cs="Arial"/>
          <w:sz w:val="22"/>
          <w:szCs w:val="22"/>
          <w:lang w:val="es-ES"/>
        </w:rPr>
        <w:t xml:space="preserve"> diferentes enfermedades.</w:t>
      </w:r>
    </w:p>
    <w:p w14:paraId="0CFFA51A" w14:textId="77777777" w:rsidR="00D536FC" w:rsidRPr="0077530D" w:rsidRDefault="00D536FC" w:rsidP="001025F1">
      <w:pPr>
        <w:spacing w:before="120" w:after="100" w:afterAutospacing="1"/>
        <w:contextualSpacing/>
        <w:jc w:val="both"/>
        <w:rPr>
          <w:rFonts w:ascii="Arial" w:eastAsia="Times New Roman" w:hAnsi="Arial" w:cs="Arial"/>
          <w:sz w:val="22"/>
          <w:szCs w:val="22"/>
          <w:lang w:val="es-ES"/>
        </w:rPr>
      </w:pPr>
    </w:p>
    <w:p w14:paraId="5BD4918B" w14:textId="53FE1413" w:rsidR="00FE36C0" w:rsidRPr="0077530D" w:rsidRDefault="00FE36C0" w:rsidP="00DC1B3E">
      <w:pPr>
        <w:spacing w:before="120" w:after="100" w:afterAutospacing="1"/>
        <w:contextualSpacing/>
        <w:jc w:val="both"/>
        <w:rPr>
          <w:rFonts w:ascii="Arial" w:eastAsia="Arial,Times New Roman" w:hAnsi="Arial" w:cs="Arial"/>
          <w:sz w:val="22"/>
          <w:szCs w:val="22"/>
          <w:lang w:val="es-ES"/>
        </w:rPr>
      </w:pPr>
      <w:r w:rsidRPr="0077530D">
        <w:rPr>
          <w:rFonts w:ascii="Arial" w:eastAsia="Arial" w:hAnsi="Arial" w:cs="Arial"/>
          <w:sz w:val="22"/>
          <w:szCs w:val="22"/>
          <w:lang w:val="es-ES"/>
        </w:rPr>
        <w:t>De acuerdo a la metodología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original</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el</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cálculo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AVADs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requiere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ponderar</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años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vividos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cada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edad</w:t>
      </w:r>
      <w:r w:rsidRPr="0077530D">
        <w:rPr>
          <w:rFonts w:ascii="Arial" w:eastAsia="Arial,Times New Roman" w:hAnsi="Arial" w:cs="Arial"/>
          <w:sz w:val="22"/>
          <w:szCs w:val="22"/>
          <w:lang w:val="es-ES"/>
        </w:rPr>
        <w:t xml:space="preserve"> (</w:t>
      </w:r>
      <w:r w:rsidR="00917F3C" w:rsidRPr="0077530D">
        <w:rPr>
          <w:rFonts w:ascii="Arial" w:hAnsi="Arial" w:cs="Arial"/>
        </w:rPr>
        <w:fldChar w:fldCharType="begin"/>
      </w:r>
      <w:r w:rsidR="00917F3C" w:rsidRPr="0077530D">
        <w:rPr>
          <w:rFonts w:ascii="Arial" w:eastAsia="Times New Roman" w:hAnsi="Arial" w:cs="Arial"/>
          <w:sz w:val="22"/>
          <w:szCs w:val="22"/>
          <w:lang w:val="es-ES"/>
        </w:rPr>
        <w:instrText xml:space="preserve"> REF _Ref296067896 \h </w:instrText>
      </w:r>
      <w:r w:rsidR="000B185D" w:rsidRPr="0077530D">
        <w:rPr>
          <w:rFonts w:ascii="Arial" w:eastAsia="Times New Roman" w:hAnsi="Arial" w:cs="Arial"/>
          <w:sz w:val="22"/>
          <w:szCs w:val="22"/>
          <w:lang w:val="es-ES"/>
        </w:rPr>
        <w:instrText xml:space="preserve"> \* MERGEFORMAT </w:instrText>
      </w:r>
      <w:r w:rsidR="00917F3C" w:rsidRPr="0077530D">
        <w:rPr>
          <w:rFonts w:ascii="Arial" w:hAnsi="Arial" w:cs="Arial"/>
        </w:rPr>
      </w:r>
      <w:r w:rsidR="00917F3C" w:rsidRPr="0077530D">
        <w:rPr>
          <w:rFonts w:ascii="Arial" w:eastAsia="Times New Roman" w:hAnsi="Arial" w:cs="Arial"/>
          <w:sz w:val="22"/>
          <w:szCs w:val="22"/>
          <w:lang w:val="es-ES"/>
        </w:rPr>
        <w:fldChar w:fldCharType="separate"/>
      </w:r>
      <w:r w:rsidR="000A3DCE" w:rsidRPr="0077530D">
        <w:rPr>
          <w:rFonts w:ascii="Arial" w:eastAsia="Arial" w:hAnsi="Arial" w:cs="Arial"/>
          <w:sz w:val="22"/>
          <w:szCs w:val="22"/>
          <w:lang w:val="es-ES"/>
        </w:rPr>
        <w:t>Figura 1</w:t>
      </w:r>
      <w:r w:rsidR="00917F3C" w:rsidRPr="0077530D">
        <w:rPr>
          <w:rFonts w:ascii="Arial" w:hAnsi="Arial" w:cs="Arial"/>
        </w:rPr>
        <w:fldChar w:fldCharType="end"/>
      </w:r>
      <w:r w:rsidRPr="0077530D">
        <w:rPr>
          <w:rFonts w:ascii="Arial" w:eastAsia="Arial" w:hAnsi="Arial" w:cs="Arial"/>
          <w:sz w:val="22"/>
          <w:szCs w:val="22"/>
          <w:lang w:val="es-ES"/>
        </w:rPr>
        <w:t>), lo cual se sustenta por el hecho de que en los años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medios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vida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las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personas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no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sólo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sostienen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económicame</w:t>
      </w:r>
      <w:r w:rsidR="000C5214" w:rsidRPr="0077530D">
        <w:rPr>
          <w:rFonts w:ascii="Arial" w:eastAsia="Arial" w:hAnsi="Arial" w:cs="Arial"/>
          <w:sz w:val="22"/>
          <w:szCs w:val="22"/>
          <w:lang w:val="es-ES"/>
        </w:rPr>
        <w:t>nte a los más</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jóvenes</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y</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adultos</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mayores</w:t>
      </w:r>
      <w:r w:rsidRPr="0077530D">
        <w:rPr>
          <w:rFonts w:ascii="Arial" w:eastAsia="Arial" w:hAnsi="Arial" w:cs="Arial"/>
          <w:sz w:val="22"/>
          <w:szCs w:val="22"/>
          <w:lang w:val="es-ES"/>
        </w:rPr>
        <w:t>, sino que realizan una serie de funciones sociales que repercuten favorablemente en la salud de los individuos de otras edades</w:t>
      </w:r>
      <w:r w:rsidR="000C5214" w:rsidRPr="0077530D">
        <w:rPr>
          <w:rFonts w:ascii="Arial" w:eastAsia="Arial" w:hAnsi="Arial" w:cs="Arial"/>
          <w:sz w:val="22"/>
          <w:szCs w:val="22"/>
          <w:lang w:val="es-ES"/>
        </w:rPr>
        <w:t xml:space="preserve"> (por ejemplo, proveer cuidados a niños</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y</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adultos</w:t>
      </w:r>
      <w:r w:rsidR="000C5214" w:rsidRPr="0077530D">
        <w:rPr>
          <w:rFonts w:ascii="Arial" w:eastAsia="Arial,Times New Roman" w:hAnsi="Arial" w:cs="Arial"/>
          <w:sz w:val="22"/>
          <w:szCs w:val="22"/>
          <w:lang w:val="es-ES"/>
        </w:rPr>
        <w:t xml:space="preserve"> </w:t>
      </w:r>
      <w:r w:rsidR="000C5214" w:rsidRPr="0077530D">
        <w:rPr>
          <w:rFonts w:ascii="Arial" w:eastAsia="Arial" w:hAnsi="Arial" w:cs="Arial"/>
          <w:sz w:val="22"/>
          <w:szCs w:val="22"/>
          <w:lang w:val="es-ES"/>
        </w:rPr>
        <w:t>mayores</w:t>
      </w:r>
      <w:r w:rsidR="000C5214" w:rsidRPr="0077530D">
        <w:rPr>
          <w:rFonts w:ascii="Arial" w:eastAsia="Arial,Times New Roman" w:hAnsi="Arial" w:cs="Arial"/>
          <w:sz w:val="22"/>
          <w:szCs w:val="22"/>
          <w:lang w:val="es-ES"/>
        </w:rPr>
        <w:t>)</w:t>
      </w:r>
      <w:r w:rsidRPr="0077530D">
        <w:rPr>
          <w:rFonts w:ascii="Arial" w:eastAsia="Arial" w:hAnsi="Arial" w:cs="Arial"/>
          <w:sz w:val="22"/>
          <w:szCs w:val="22"/>
          <w:lang w:val="es-ES"/>
        </w:rPr>
        <w:t>. Para una explicación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detallada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sobre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metodología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AVAD</w:t>
      </w:r>
      <w:r w:rsidR="000C5214" w:rsidRPr="0077530D">
        <w:rPr>
          <w:rFonts w:ascii="Arial" w:eastAsia="Arial" w:hAnsi="Arial" w:cs="Arial"/>
          <w:sz w:val="22"/>
          <w:szCs w:val="22"/>
          <w:lang w:val="es-ES"/>
        </w:rPr>
        <w:t>s</w:t>
      </w:r>
      <w:r w:rsidRPr="0077530D">
        <w:rPr>
          <w:rFonts w:ascii="Arial" w:eastAsia="Arial" w:hAnsi="Arial" w:cs="Arial"/>
          <w:sz w:val="22"/>
          <w:szCs w:val="22"/>
          <w:lang w:val="es-ES"/>
        </w:rPr>
        <w:t xml:space="preserve"> se recomienda ver el capítulo 3 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la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Guía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Práctica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para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Estudios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Nacionales</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Carga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Enfermedad</w:t>
      </w:r>
      <w:r w:rsidRPr="0077530D">
        <w:rPr>
          <w:rFonts w:ascii="Arial" w:eastAsia="Arial,Times New Roman" w:hAnsi="Arial" w:cs="Arial"/>
          <w:sz w:val="22"/>
          <w:szCs w:val="22"/>
          <w:lang w:val="es-ES"/>
        </w:rPr>
        <w:t xml:space="preserve"> </w:t>
      </w:r>
      <w:r w:rsidR="0046041E" w:rsidRPr="0077530D">
        <w:rPr>
          <w:rFonts w:ascii="Arial" w:hAnsi="Arial" w:cs="Arial"/>
        </w:rPr>
        <w:fldChar w:fldCharType="begin" w:fldLock="1"/>
      </w:r>
      <w:r w:rsidR="0046041E" w:rsidRPr="0077530D">
        <w:rPr>
          <w:rFonts w:ascii="Arial" w:eastAsia="Times New Roman" w:hAnsi="Arial" w:cs="Arial"/>
          <w:sz w:val="22"/>
          <w:szCs w:val="22"/>
          <w:lang w:val="es-ES"/>
        </w:rPr>
        <w:instrText>ADDIN CSL_CITATION { "citationItems" : [ { "id" : "ITEM-1", "itemData" : { "editor" : [ { "dropping-particle" : "", "family" : "Mathers", "given" : "Colin", "non-dropping-particle" : "", "parse-names" : false, "suffix" : "" }, { "dropping-particle" : "", "family" : "Vos", "given" : "THeo", "non-dropping-particle" : "", "parse-names" : false, "suffix" : "" }, { "dropping-particle" : "", "family" : "Lopez", "given" : "Alan", "non-dropping-particle" : "", "parse-names" : false, "suffix" : "" }, { "dropping-particle" : "", "family" : "Salomon", "given" : "Josh", "non-dropping-particle" : "", "parse-names" : false, "suffix" : "" }, { "dropping-particle" : "", "family" : "Ezzati", "given" : "Majid", "non-dropping-particle" : "", "parse-names" : false, "suffix" : "" } ], "id" : "ITEM-1", "issued" : { "date-parts" : [ [ "2001" ] ] }, "publisher" : "Organizaci\u00f3n Mundial de la Salud", "publisher-place" : "Giinebra, Suiza", "title" : "National Burden of Disease Studies: A Practical Guide. Edition 2.0", "type" : "book" }, "uris" : [ "http://www.mendeley.com/documents/?uuid=93efaa13-0271-4d8d-b569-cd766b3b6008" ] } ], "mendeley" : { "formattedCitation" : "(Mathers et al. 2001)", "plainTextFormattedCitation" : "(Mathers et al. 2001)", "previouslyFormattedCitation" : "(Mathers et al. 2001)" }, "properties" : { "noteIndex" : 0 }, "schema" : "https://github.com/citation-style-language/schema/raw/master/csl-citation.json" }</w:instrText>
      </w:r>
      <w:r w:rsidR="0046041E" w:rsidRPr="0077530D">
        <w:rPr>
          <w:rFonts w:ascii="Arial" w:eastAsia="Times New Roman" w:hAnsi="Arial" w:cs="Arial"/>
          <w:sz w:val="22"/>
          <w:szCs w:val="22"/>
          <w:lang w:val="es-ES"/>
        </w:rPr>
        <w:fldChar w:fldCharType="separate"/>
      </w:r>
      <w:r w:rsidR="0046041E" w:rsidRPr="0077530D">
        <w:rPr>
          <w:rFonts w:ascii="Arial" w:eastAsia="Arial" w:hAnsi="Arial" w:cs="Arial"/>
          <w:sz w:val="22"/>
          <w:szCs w:val="22"/>
          <w:lang w:val="es-ES"/>
        </w:rPr>
        <w:t>(Mathers et al. 2001)</w:t>
      </w:r>
      <w:r w:rsidR="0046041E" w:rsidRPr="0077530D">
        <w:rPr>
          <w:rFonts w:ascii="Arial" w:hAnsi="Arial" w:cs="Arial"/>
        </w:rPr>
        <w:fldChar w:fldCharType="end"/>
      </w:r>
      <w:r w:rsidR="00106632"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así</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como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el</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texto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w:t>
      </w:r>
      <w:r w:rsidRPr="0077530D">
        <w:rPr>
          <w:rFonts w:ascii="Arial" w:eastAsia="Arial,Times New Roman" w:hAnsi="Arial" w:cs="Arial"/>
          <w:sz w:val="22"/>
          <w:szCs w:val="22"/>
          <w:lang w:val="es-ES"/>
        </w:rPr>
        <w:t xml:space="preserve"> </w:t>
      </w:r>
      <w:r w:rsidR="00E73783" w:rsidRPr="0077530D">
        <w:rPr>
          <w:rFonts w:ascii="Arial" w:hAnsi="Arial" w:cs="Arial"/>
        </w:rPr>
        <w:fldChar w:fldCharType="begin" w:fldLock="1"/>
      </w:r>
      <w:r w:rsidR="00180E1B" w:rsidRPr="0077530D">
        <w:rPr>
          <w:rFonts w:ascii="Arial" w:eastAsia="Times New Roman" w:hAnsi="Arial" w:cs="Arial"/>
          <w:sz w:val="22"/>
          <w:szCs w:val="22"/>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E73783" w:rsidRPr="0077530D">
        <w:rPr>
          <w:rFonts w:ascii="Arial" w:eastAsia="Times New Roman" w:hAnsi="Arial" w:cs="Arial"/>
          <w:sz w:val="22"/>
          <w:szCs w:val="22"/>
          <w:lang w:val="es-ES"/>
        </w:rPr>
        <w:fldChar w:fldCharType="separate"/>
      </w:r>
      <w:r w:rsidR="00E73783" w:rsidRPr="0077530D">
        <w:rPr>
          <w:rFonts w:ascii="Arial" w:eastAsia="Arial" w:hAnsi="Arial" w:cs="Arial"/>
          <w:sz w:val="22"/>
          <w:szCs w:val="22"/>
          <w:lang w:val="es-ES"/>
        </w:rPr>
        <w:t>Alvis y Valenzuela (2010)</w:t>
      </w:r>
      <w:r w:rsidR="00E73783" w:rsidRPr="0077530D">
        <w:rPr>
          <w:rFonts w:ascii="Arial" w:hAnsi="Arial" w:cs="Arial"/>
        </w:rPr>
        <w:fldChar w:fldCharType="end"/>
      </w:r>
      <w:r w:rsidR="00E73783"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y para un ejemplo de su aplicación</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detallado</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se</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recomienda</w:t>
      </w:r>
      <w:r w:rsidRPr="0077530D">
        <w:rPr>
          <w:rFonts w:ascii="Arial" w:eastAsia="Arial,Times New Roman" w:hAnsi="Arial" w:cs="Arial"/>
          <w:sz w:val="22"/>
          <w:szCs w:val="22"/>
          <w:lang w:val="es-ES"/>
        </w:rPr>
        <w:t xml:space="preserve"> </w:t>
      </w:r>
      <w:r w:rsidRPr="0077530D">
        <w:rPr>
          <w:rFonts w:ascii="Arial" w:eastAsia="Arial" w:hAnsi="Arial" w:cs="Arial"/>
          <w:sz w:val="22"/>
          <w:szCs w:val="22"/>
          <w:lang w:val="es-ES"/>
        </w:rPr>
        <w:t>revisar</w:t>
      </w:r>
      <w:r w:rsidRPr="0077530D">
        <w:rPr>
          <w:rFonts w:ascii="Arial" w:eastAsia="Arial,Times New Roman" w:hAnsi="Arial" w:cs="Arial"/>
          <w:sz w:val="22"/>
          <w:szCs w:val="22"/>
          <w:lang w:val="es-ES"/>
        </w:rPr>
        <w:t xml:space="preserve"> </w:t>
      </w:r>
      <w:r w:rsidR="0046041E" w:rsidRPr="0077530D">
        <w:rPr>
          <w:rFonts w:ascii="Arial" w:hAnsi="Arial" w:cs="Arial"/>
        </w:rPr>
        <w:fldChar w:fldCharType="begin" w:fldLock="1"/>
      </w:r>
      <w:r w:rsidR="00E73783" w:rsidRPr="0077530D">
        <w:rPr>
          <w:rFonts w:ascii="Arial" w:eastAsia="Times New Roman" w:hAnsi="Arial" w:cs="Arial"/>
          <w:sz w:val="22"/>
          <w:szCs w:val="22"/>
          <w:lang w:val="es-ES"/>
        </w:rPr>
        <w:instrText>ADDIN CSL_CITATION { "citationItems" : [ { "id" : "ITEM-1", "itemData" : { "ISSN" : "0268-1080", "PMID" : "11527874", "abstract" : "Disability adjusted life years (DALYs) are the sum of the present value of future years of lifetime lost through premature mortality, and the present value of years of future lifetime adjusted for the average severity (frequency and intensity) of any mental or physical disability caused by a disease or injury. They have been used as an outcome indicator in micro economic evaluations as well as sectoral prioritization exercises using league tables of cost-effectiveness. However, many of the current analyses are not comparable or transferable because either the assumptions used differ or are unclear, and because results are not presented in a way that allows researchers or policy-makers to re-calculate and re-interpret findings for use in an alternative context. However, at times there have also been miscalculations. This may happen either because evaluators disagree with the assumptions behind DALYs or because the methods of calculation have not been set out clearly. This paper shows how to calculate DALYs for cost-effectiveness analysis using a worked example. It also shows the impact of changing the age weighting and discount rates on estimates of cost-effectiveness, and suggests a set of minimum reporting criteria for using DALYs in cost-effectiveness analysis. Finally, readers are introduced briefly to a selected literature arguing for and against the use of DALYs.", "author" : [ { "dropping-particle" : "", "family" : "Fox-Rushby", "given" : "J A", "non-dropping-particle" : "", "parse-names" : false, "suffix" : "" }, { "dropping-particle" : "", "family" : "Hanson", "given" : "K", "non-dropping-particle" : "", "parse-names" : false, "suffix" : "" } ], "container-title" : "Health policy and planning", "id" : "ITEM-1", "issue" : "3", "issued" : { "date-parts" : [ [ "2001", "9" ] ] }, "page" : "326-31", "title" : "Calculating and presenting disability adjusted life years (DALYs) in cost-effectiveness analysis.", "type" : "article-journal", "volume" : "16" }, "uris" : [ "http://www.mendeley.com/documents/?uuid=4661134f-192c-4cf3-945b-d4be155de855" ] } ], "mendeley" : { "formattedCitation" : "(Fox-Rushby and Hanson 2001)", "manualFormatting" : "Fox-Rushby y Hanson (2001)", "plainTextFormattedCitation" : "(Fox-Rushby and Hanson 2001)", "previouslyFormattedCitation" : "(Fox-Rushby and Hanson 2001)" }, "properties" : { "noteIndex" : 0 }, "schema" : "https://github.com/citation-style-language/schema/raw/master/csl-citation.json" }</w:instrText>
      </w:r>
      <w:r w:rsidR="0046041E" w:rsidRPr="0077530D">
        <w:rPr>
          <w:rFonts w:ascii="Arial" w:eastAsia="Times New Roman" w:hAnsi="Arial" w:cs="Arial"/>
          <w:sz w:val="22"/>
          <w:szCs w:val="22"/>
          <w:lang w:val="es-ES"/>
        </w:rPr>
        <w:fldChar w:fldCharType="separate"/>
      </w:r>
      <w:r w:rsidR="0046041E" w:rsidRPr="0077530D">
        <w:rPr>
          <w:rFonts w:ascii="Arial" w:eastAsia="Arial" w:hAnsi="Arial" w:cs="Arial"/>
          <w:sz w:val="22"/>
          <w:szCs w:val="22"/>
          <w:lang w:val="es-ES"/>
        </w:rPr>
        <w:t>Fox-Rushby y Hanson (2001)</w:t>
      </w:r>
      <w:r w:rsidR="0046041E" w:rsidRPr="0077530D">
        <w:rPr>
          <w:rFonts w:ascii="Arial" w:hAnsi="Arial" w:cs="Arial"/>
        </w:rPr>
        <w:fldChar w:fldCharType="end"/>
      </w:r>
      <w:r w:rsidR="00E73783" w:rsidRPr="0077530D">
        <w:rPr>
          <w:rFonts w:ascii="Arial" w:eastAsia="Arial,Times New Roman" w:hAnsi="Arial" w:cs="Arial"/>
          <w:sz w:val="22"/>
          <w:szCs w:val="22"/>
          <w:lang w:val="es-ES"/>
        </w:rPr>
        <w:t>.</w:t>
      </w:r>
    </w:p>
    <w:p w14:paraId="04E06C46" w14:textId="295FC0BB" w:rsidR="008C30C9" w:rsidRPr="0077530D" w:rsidRDefault="00917F3C" w:rsidP="001A6051">
      <w:pPr>
        <w:pStyle w:val="Caption"/>
      </w:pPr>
      <w:bookmarkStart w:id="78" w:name="_Ref296067896"/>
      <w:r w:rsidRPr="0077530D">
        <w:t xml:space="preserve">Figura </w:t>
      </w:r>
      <w:r w:rsidR="00871BC0" w:rsidRPr="0077530D">
        <w:fldChar w:fldCharType="begin"/>
      </w:r>
      <w:r w:rsidR="00871BC0" w:rsidRPr="0077530D">
        <w:rPr>
          <w:noProof/>
        </w:rPr>
        <w:instrText xml:space="preserve"> SEQ Figura \* ARABIC </w:instrText>
      </w:r>
      <w:r w:rsidR="00871BC0" w:rsidRPr="0077530D">
        <w:rPr>
          <w:noProof/>
        </w:rPr>
        <w:fldChar w:fldCharType="separate"/>
      </w:r>
      <w:r w:rsidR="000A3DCE" w:rsidRPr="0077530D">
        <w:rPr>
          <w:noProof/>
        </w:rPr>
        <w:t>1</w:t>
      </w:r>
      <w:r w:rsidR="00871BC0" w:rsidRPr="0077530D">
        <w:fldChar w:fldCharType="end"/>
      </w:r>
      <w:bookmarkEnd w:id="78"/>
      <w:r w:rsidR="00477FBF" w:rsidRPr="0077530D">
        <w:t xml:space="preserve">. </w:t>
      </w:r>
      <w:r w:rsidR="00FA34E2" w:rsidRPr="0077530D">
        <w:t>Valor relativo de un año de la vida vivido en diversas edades,</w:t>
      </w:r>
      <w:r w:rsidR="00477FBF" w:rsidRPr="0077530D">
        <w:t xml:space="preserve"> según lo ponderado en AVADs</w:t>
      </w:r>
    </w:p>
    <w:p w14:paraId="30A666B0" w14:textId="1A1A3109" w:rsidR="00FA34E2" w:rsidRPr="0077530D" w:rsidRDefault="00216A0C" w:rsidP="00F03806">
      <w:pPr>
        <w:keepNext/>
        <w:spacing w:before="240" w:after="100" w:afterAutospacing="1"/>
        <w:jc w:val="center"/>
        <w:rPr>
          <w:rFonts w:ascii="Arial" w:eastAsia="Arial" w:hAnsi="Arial" w:cs="Arial"/>
          <w:sz w:val="16"/>
          <w:szCs w:val="16"/>
          <w:lang w:val="es-ES"/>
        </w:rPr>
      </w:pPr>
      <w:r w:rsidRPr="0077530D">
        <w:rPr>
          <w:rFonts w:ascii="Arial" w:hAnsi="Arial" w:cs="Arial"/>
          <w:noProof/>
        </w:rPr>
        <w:drawing>
          <wp:anchor distT="0" distB="0" distL="114300" distR="114300" simplePos="0" relativeHeight="251658240" behindDoc="0" locked="0" layoutInCell="1" allowOverlap="1" wp14:anchorId="5F8A929A" wp14:editId="5C1E8128">
            <wp:simplePos x="0" y="0"/>
            <wp:positionH relativeFrom="column">
              <wp:posOffset>1029684</wp:posOffset>
            </wp:positionH>
            <wp:positionV relativeFrom="paragraph">
              <wp:posOffset>145764</wp:posOffset>
            </wp:positionV>
            <wp:extent cx="3526727" cy="2297367"/>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6727" cy="2297367"/>
                    </a:xfrm>
                    <a:prstGeom prst="rect">
                      <a:avLst/>
                    </a:prstGeom>
                    <a:noFill/>
                    <a:ln>
                      <a:noFill/>
                    </a:ln>
                  </pic:spPr>
                </pic:pic>
              </a:graphicData>
            </a:graphic>
            <wp14:sizeRelH relativeFrom="page">
              <wp14:pctWidth>0</wp14:pctWidth>
            </wp14:sizeRelH>
            <wp14:sizeRelV relativeFrom="page">
              <wp14:pctHeight>0</wp14:pctHeight>
            </wp14:sizeRelV>
          </wp:anchor>
        </w:drawing>
      </w:r>
      <w:r w:rsidR="00FA34E2" w:rsidRPr="0077530D">
        <w:rPr>
          <w:rFonts w:ascii="Arial" w:eastAsia="Arial" w:hAnsi="Arial" w:cs="Arial"/>
          <w:sz w:val="16"/>
          <w:szCs w:val="16"/>
          <w:lang w:val="es-ES"/>
        </w:rPr>
        <w:t xml:space="preserve">Fuente: </w:t>
      </w:r>
      <w:bookmarkStart w:id="79" w:name="t1"/>
      <w:bookmarkEnd w:id="79"/>
      <w:r w:rsidR="005F0471" w:rsidRPr="0077530D">
        <w:rPr>
          <w:rFonts w:ascii="Arial" w:hAnsi="Arial" w:cs="Arial"/>
        </w:rPr>
        <w:fldChar w:fldCharType="begin" w:fldLock="1"/>
      </w:r>
      <w:r w:rsidR="00616D26" w:rsidRPr="0077530D">
        <w:rPr>
          <w:rFonts w:ascii="Arial" w:hAnsi="Arial" w:cs="Arial"/>
          <w:sz w:val="16"/>
          <w:szCs w:val="16"/>
          <w:lang w:val="es-ES"/>
        </w:rPr>
        <w:instrText>ADDIN CSL_CITATION { "citationItems" : [ { "id" : "ITEM-1", "itemData" : { "DOI" : "10.4067/S0034-98872010001000005", "ISSN" : "0034-9887", "author" : [ { "dropping-particle" : "", "family" : "Alvis", "given" : "Nelson", "non-dropping-particle" : "", "parse-names" : false, "suffix" : "" }, { "dropping-particle" : "", "family" : "Valenzuela", "given" : "Mar\u00eda Teresa", "non-dropping-particle" : "", "parse-names" : false, "suffix" : "" } ], "container-title" : "Revista m\u00e9dica de Chile", "id" : "ITEM-1", "issued" : { "date-parts" : [ [ "2010", "9" ] ] }, "page" : "83-87", "publisher" : "Sociedad M\u00e9dica de Santiago", "title" : "Los QALYs y DALYs como indicadores sint\u00e9ticos de salud", "type" : "article-journal", "volume" : "138" }, "uris" : [ "http://www.mendeley.com/documents/?uuid=1d14ce35-712c-4909-bd3b-a2eecdfe3e42" ] } ], "mendeley" : { "formattedCitation" : "(Alvis and Valenzuela 2010)", "manualFormatting" : "Alvis y Valenzuela 2010.", "plainTextFormattedCitation" : "(Alvis and Valenzuela 2010)", "previouslyFormattedCitation" : "(Alvis and Valenzuela 2010)" }, "properties" : { "noteIndex" : 0 }, "schema" : "https://github.com/citation-style-language/schema/raw/master/csl-citation.json" }</w:instrText>
      </w:r>
      <w:r w:rsidR="005F0471" w:rsidRPr="0077530D">
        <w:rPr>
          <w:rFonts w:ascii="Arial" w:hAnsi="Arial" w:cs="Arial"/>
          <w:sz w:val="16"/>
          <w:szCs w:val="16"/>
          <w:lang w:val="es-ES"/>
        </w:rPr>
        <w:fldChar w:fldCharType="separate"/>
      </w:r>
      <w:r w:rsidR="005F0471" w:rsidRPr="0077530D">
        <w:rPr>
          <w:rFonts w:ascii="Arial" w:eastAsia="Arial" w:hAnsi="Arial" w:cs="Arial"/>
          <w:sz w:val="16"/>
          <w:szCs w:val="16"/>
          <w:lang w:val="es-ES"/>
        </w:rPr>
        <w:t>Alvis</w:t>
      </w:r>
      <w:r w:rsidR="00CE70F0" w:rsidRPr="0077530D">
        <w:rPr>
          <w:rFonts w:ascii="Arial" w:eastAsia="Arial" w:hAnsi="Arial" w:cs="Arial"/>
          <w:sz w:val="16"/>
          <w:szCs w:val="16"/>
          <w:lang w:val="es-ES"/>
        </w:rPr>
        <w:t xml:space="preserve"> y </w:t>
      </w:r>
      <w:r w:rsidR="005F0471" w:rsidRPr="0077530D">
        <w:rPr>
          <w:rFonts w:ascii="Arial" w:eastAsia="Arial" w:hAnsi="Arial" w:cs="Arial"/>
          <w:sz w:val="16"/>
          <w:szCs w:val="16"/>
          <w:lang w:val="es-ES"/>
        </w:rPr>
        <w:t>Valenzuela 2010.</w:t>
      </w:r>
      <w:r w:rsidR="005F0471" w:rsidRPr="0077530D">
        <w:rPr>
          <w:rFonts w:ascii="Arial" w:hAnsi="Arial" w:cs="Arial"/>
        </w:rPr>
        <w:fldChar w:fldCharType="end"/>
      </w:r>
    </w:p>
    <w:p w14:paraId="6F2B021A" w14:textId="064473AA" w:rsidR="00FA34E2" w:rsidRPr="0077530D" w:rsidRDefault="000C5214" w:rsidP="001025F1">
      <w:pPr>
        <w:pStyle w:val="ColorfulList-Accent11"/>
        <w:spacing w:before="120" w:after="100" w:afterAutospacing="1" w:line="240" w:lineRule="auto"/>
        <w:ind w:left="0"/>
        <w:jc w:val="both"/>
        <w:rPr>
          <w:rFonts w:eastAsia="Arial" w:cs="Arial"/>
          <w:lang w:val="es-ES"/>
        </w:rPr>
      </w:pPr>
      <w:r w:rsidRPr="753C03B8">
        <w:rPr>
          <w:lang w:val="es-ES"/>
        </w:rPr>
        <w:t>En esta evaluación, s</w:t>
      </w:r>
      <w:r w:rsidR="00FE36C0" w:rsidRPr="753C03B8">
        <w:rPr>
          <w:lang w:val="es-ES"/>
        </w:rPr>
        <w:t>e utiliza como fuente para calcular los AVADs las estimaciones disponibles en la literatura internacional. Una de las fuentes utilizadas es el programa CHOICE de la O</w:t>
      </w:r>
      <w:r w:rsidR="00180E1B" w:rsidRPr="753C03B8">
        <w:rPr>
          <w:lang w:val="es-ES"/>
        </w:rPr>
        <w:t xml:space="preserve">rganización Mundial de la Salud </w:t>
      </w:r>
      <w:r w:rsidR="00180E1B" w:rsidRPr="0077530D">
        <w:fldChar w:fldCharType="begin" w:fldLock="1"/>
      </w:r>
      <w:r w:rsidR="00180E1B" w:rsidRPr="0077530D">
        <w:rPr>
          <w:rFonts w:cs="Arial"/>
          <w:lang w:val="es-ES"/>
        </w:rPr>
        <w:instrText>ADDIN CSL_CITATION { "citationItems" : [ { "id" : "ITEM-1", "itemData" : { "author" : [ { "dropping-particle" : "", "family" : "Organizaci\u00f3n Mundial de la Salud", "given" : "", "non-dropping-particle" : "", "parse-names" : false, "suffix" : "" } ], "id" : "ITEM-1", "issued" : { "date-parts" : [ [ "2015" ] ] }, "publisher" : "Organizaci\u00f3n Mundial de la Salud", "publisher-place" : "Ginebra, Suiza", "title" : "Cost effectiveness and strategic planning (WHO-CHOICE)", "type" : "article" }, "uris" : [ "http://www.mendeley.com/documents/?uuid=dd380e87-cfdc-4683-b24b-8c760371b7c2" ] } ], "mendeley" : { "formattedCitation" : "(Organizaci\u00f3n Mundial de la Salud 2015)", "manualFormatting" : "(2015)", "plainTextFormattedCitation" : "(Organizaci\u00f3n Mundial de la Salud 2015)", "previouslyFormattedCitation" : "(Organizaci\u00f3n Mundial de la Salud 2015)" }, "properties" : { "noteIndex" : 0 }, "schema" : "https://github.com/citation-style-language/schema/raw/master/csl-citation.json" }</w:instrText>
      </w:r>
      <w:r w:rsidR="00180E1B" w:rsidRPr="0077530D">
        <w:rPr>
          <w:rFonts w:cs="Arial"/>
          <w:lang w:val="es-ES"/>
        </w:rPr>
        <w:fldChar w:fldCharType="separate"/>
      </w:r>
      <w:r w:rsidR="00180E1B" w:rsidRPr="0077530D">
        <w:rPr>
          <w:lang w:val="es-ES"/>
        </w:rPr>
        <w:t>(2015)</w:t>
      </w:r>
      <w:r w:rsidR="00180E1B" w:rsidRPr="0077530D">
        <w:fldChar w:fldCharType="end"/>
      </w:r>
      <w:r w:rsidR="00FE36C0" w:rsidRPr="753C03B8">
        <w:rPr>
          <w:lang w:val="es-ES"/>
        </w:rPr>
        <w:t xml:space="preserve">, que estima el efecto de la inclusión gradual de intervenciones en un paquete de servicios sobre la incidencia, remisión y mortalidad. En cuanto al grupo de país considerado, utilizados el de “América </w:t>
      </w:r>
      <w:r w:rsidR="00642EF2" w:rsidRPr="753C03B8">
        <w:rPr>
          <w:lang w:val="es-ES"/>
        </w:rPr>
        <w:t>D</w:t>
      </w:r>
      <w:r w:rsidR="00FE36C0" w:rsidRPr="753C03B8">
        <w:rPr>
          <w:lang w:val="es-ES"/>
        </w:rPr>
        <w:t>,” en el cual se encuentra agregada</w:t>
      </w:r>
      <w:r w:rsidR="00917F3C" w:rsidRPr="753C03B8">
        <w:rPr>
          <w:lang w:val="es-ES"/>
        </w:rPr>
        <w:t xml:space="preserve"> la información de </w:t>
      </w:r>
      <w:r w:rsidR="00642EF2" w:rsidRPr="753C03B8">
        <w:rPr>
          <w:lang w:val="es-ES"/>
        </w:rPr>
        <w:t xml:space="preserve">Bolivia, aunque por falta de disponibilidad de esta información para algunas líneas </w:t>
      </w:r>
      <w:r w:rsidR="00642EF2" w:rsidRPr="753C03B8">
        <w:rPr>
          <w:lang w:val="es-ES"/>
        </w:rPr>
        <w:lastRenderedPageBreak/>
        <w:t xml:space="preserve">de cuidado </w:t>
      </w:r>
      <w:r w:rsidR="00F101D8" w:rsidRPr="753C03B8">
        <w:rPr>
          <w:lang w:val="es-ES"/>
        </w:rPr>
        <w:t>fueron utilizados aquellos del grupo “</w:t>
      </w:r>
      <w:r w:rsidR="00601C97" w:rsidRPr="753C03B8">
        <w:rPr>
          <w:lang w:val="es-ES"/>
        </w:rPr>
        <w:t>América</w:t>
      </w:r>
      <w:r w:rsidR="00F101D8" w:rsidRPr="0077530D">
        <w:rPr>
          <w:lang w:val="es-ES"/>
        </w:rPr>
        <w:t xml:space="preserve"> B” donde se encuentran países como Brasil o El Salvador</w:t>
      </w:r>
      <w:r w:rsidR="00BB5693" w:rsidRPr="0077530D">
        <w:rPr>
          <w:rStyle w:val="FootnoteReference"/>
          <w:rFonts w:eastAsia="Arial" w:cs="Arial"/>
          <w:lang w:val="es-ES"/>
        </w:rPr>
        <w:footnoteReference w:id="19"/>
      </w:r>
      <w:r w:rsidR="00FE36C0" w:rsidRPr="753C03B8">
        <w:rPr>
          <w:lang w:val="es-ES"/>
        </w:rPr>
        <w:t xml:space="preserve">. Para otras intervenciones para las que no existe evidencia generada en los países de esta categoría, se utilizó la información para el nivel global. Se toman en cuenta las intervenciones de probada eficacia que serán incorporadas en las líneas de </w:t>
      </w:r>
      <w:r w:rsidR="00D136A9" w:rsidRPr="753C03B8">
        <w:rPr>
          <w:lang w:val="es-ES"/>
        </w:rPr>
        <w:t>atención</w:t>
      </w:r>
      <w:r w:rsidR="00FE36C0" w:rsidRPr="0077530D">
        <w:rPr>
          <w:rFonts w:eastAsia="Arial" w:cs="Arial"/>
          <w:lang w:val="es-ES"/>
        </w:rPr>
        <w:t>.</w:t>
      </w:r>
      <w:r w:rsidR="008417EF" w:rsidRPr="0077530D">
        <w:rPr>
          <w:rFonts w:eastAsia="Arial" w:cs="Arial"/>
          <w:lang w:val="es-ES"/>
        </w:rPr>
        <w:t xml:space="preserve"> </w:t>
      </w:r>
      <w:r w:rsidR="00FE36C0" w:rsidRPr="0077530D">
        <w:rPr>
          <w:lang w:val="es-ES"/>
        </w:rPr>
        <w:t>Los beneficios totales</w:t>
      </w:r>
      <w:r w:rsidR="00D136A9" w:rsidRPr="0077530D">
        <w:rPr>
          <w:lang w:val="es-ES"/>
        </w:rPr>
        <w:t xml:space="preserve"> en AVADs por cada millón de habitantes</w:t>
      </w:r>
      <w:r w:rsidR="00FE36C0" w:rsidRPr="0077530D">
        <w:rPr>
          <w:lang w:val="es-ES"/>
        </w:rPr>
        <w:t xml:space="preserve"> asociados a </w:t>
      </w:r>
      <w:r w:rsidR="00D136A9" w:rsidRPr="0077530D">
        <w:rPr>
          <w:lang w:val="es-ES"/>
        </w:rPr>
        <w:t xml:space="preserve">cada línea de atención incluida </w:t>
      </w:r>
      <w:r w:rsidR="004D4A60" w:rsidRPr="0077530D">
        <w:rPr>
          <w:lang w:val="es-ES"/>
        </w:rPr>
        <w:t xml:space="preserve">en el </w:t>
      </w:r>
      <w:r w:rsidR="00B15C96" w:rsidRPr="0077530D">
        <w:rPr>
          <w:lang w:val="es-ES"/>
        </w:rPr>
        <w:t>p</w:t>
      </w:r>
      <w:r w:rsidR="004D4A60" w:rsidRPr="753C03B8">
        <w:rPr>
          <w:lang w:val="es-ES"/>
        </w:rPr>
        <w:t>rograma</w:t>
      </w:r>
      <w:r w:rsidR="00FE36C0" w:rsidRPr="753C03B8">
        <w:rPr>
          <w:lang w:val="es-ES"/>
        </w:rPr>
        <w:t xml:space="preserve">, se presentan en </w:t>
      </w:r>
      <w:r w:rsidR="00477FBF" w:rsidRPr="753C03B8">
        <w:rPr>
          <w:lang w:val="es-ES"/>
        </w:rPr>
        <w:t xml:space="preserve">la </w:t>
      </w:r>
      <w:r w:rsidR="00477FBF" w:rsidRPr="0077530D">
        <w:fldChar w:fldCharType="begin"/>
      </w:r>
      <w:r w:rsidR="00477FBF" w:rsidRPr="0077530D">
        <w:rPr>
          <w:rFonts w:cs="Arial"/>
          <w:lang w:val="es-ES"/>
        </w:rPr>
        <w:instrText xml:space="preserve"> REF _Ref285380310 \h </w:instrText>
      </w:r>
      <w:r w:rsidR="000B185D" w:rsidRPr="0077530D">
        <w:rPr>
          <w:rFonts w:cs="Arial"/>
          <w:lang w:val="es-ES"/>
        </w:rPr>
        <w:instrText xml:space="preserve"> \* MERGEFORMAT </w:instrText>
      </w:r>
      <w:r w:rsidR="00477FBF" w:rsidRPr="0077530D">
        <w:rPr>
          <w:rFonts w:cs="Arial"/>
          <w:lang w:val="es-ES"/>
        </w:rPr>
        <w:fldChar w:fldCharType="separate"/>
      </w:r>
      <w:r w:rsidR="000A3DCE" w:rsidRPr="0077530D">
        <w:rPr>
          <w:lang w:val="es-ES"/>
        </w:rPr>
        <w:t>Tabla 2</w:t>
      </w:r>
      <w:r w:rsidR="00477FBF" w:rsidRPr="0077530D">
        <w:fldChar w:fldCharType="end"/>
      </w:r>
      <w:r w:rsidR="00D136A9" w:rsidRPr="0077530D">
        <w:rPr>
          <w:rFonts w:eastAsia="Arial" w:cs="Arial"/>
          <w:lang w:val="es-ES"/>
        </w:rPr>
        <w:t>.</w:t>
      </w:r>
      <w:r w:rsidR="00752CC7" w:rsidRPr="0077530D">
        <w:rPr>
          <w:rFonts w:eastAsia="Arial" w:cs="Arial"/>
          <w:lang w:val="es-ES"/>
        </w:rPr>
        <w:t xml:space="preserve"> </w:t>
      </w:r>
    </w:p>
    <w:p w14:paraId="78E47C4A" w14:textId="28B428FD" w:rsidR="00FA34E2" w:rsidRPr="0077530D" w:rsidRDefault="00477FBF" w:rsidP="001A6051">
      <w:pPr>
        <w:pStyle w:val="Caption"/>
        <w:rPr>
          <w:noProof/>
        </w:rPr>
      </w:pPr>
      <w:bookmarkStart w:id="80" w:name="_Ref285380310"/>
      <w:r w:rsidRPr="0077530D">
        <w:t xml:space="preserve">Tabla </w:t>
      </w:r>
      <w:r w:rsidR="00871BC0" w:rsidRPr="0077530D">
        <w:fldChar w:fldCharType="begin"/>
      </w:r>
      <w:r w:rsidR="00871BC0" w:rsidRPr="0077530D">
        <w:rPr>
          <w:noProof/>
        </w:rPr>
        <w:instrText xml:space="preserve"> SEQ Tabla \* ARABIC </w:instrText>
      </w:r>
      <w:r w:rsidR="00871BC0" w:rsidRPr="0077530D">
        <w:rPr>
          <w:noProof/>
        </w:rPr>
        <w:fldChar w:fldCharType="separate"/>
      </w:r>
      <w:r w:rsidR="000A3DCE" w:rsidRPr="0077530D">
        <w:rPr>
          <w:noProof/>
        </w:rPr>
        <w:t>2</w:t>
      </w:r>
      <w:r w:rsidR="00871BC0" w:rsidRPr="0077530D">
        <w:fldChar w:fldCharType="end"/>
      </w:r>
      <w:bookmarkEnd w:id="80"/>
      <w:r w:rsidRPr="0077530D">
        <w:t>.</w:t>
      </w:r>
      <w:r w:rsidR="00FA34E2" w:rsidRPr="0077530D">
        <w:rPr>
          <w:noProof/>
        </w:rPr>
        <w:t xml:space="preserve"> Líneas de cuidado, intervenciones y efectividad en AVADs por millón</w:t>
      </w:r>
    </w:p>
    <w:p w14:paraId="7ACE9E02" w14:textId="3532EEF2" w:rsidR="00AC4D0B" w:rsidRPr="0077530D" w:rsidRDefault="0086147E" w:rsidP="00AC4D0B">
      <w:pPr>
        <w:keepNext/>
        <w:rPr>
          <w:rFonts w:ascii="Arial" w:hAnsi="Arial" w:cs="Arial"/>
          <w:lang w:val="es-ES_tradnl"/>
        </w:rPr>
      </w:pPr>
      <w:r w:rsidRPr="0077530D">
        <w:rPr>
          <w:rFonts w:ascii="Arial" w:hAnsi="Arial" w:cs="Arial"/>
          <w:noProof/>
        </w:rPr>
        <w:drawing>
          <wp:inline distT="0" distB="0" distL="0" distR="0" wp14:anchorId="02767485" wp14:editId="2FF29194">
            <wp:extent cx="5943600" cy="41968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196860"/>
                    </a:xfrm>
                    <a:prstGeom prst="rect">
                      <a:avLst/>
                    </a:prstGeom>
                    <a:noFill/>
                    <a:ln>
                      <a:noFill/>
                    </a:ln>
                  </pic:spPr>
                </pic:pic>
              </a:graphicData>
            </a:graphic>
          </wp:inline>
        </w:drawing>
      </w:r>
    </w:p>
    <w:p w14:paraId="2ECF61A0" w14:textId="3236B714" w:rsidR="00230803" w:rsidRPr="0077530D" w:rsidRDefault="00FA34E2" w:rsidP="00AC4D0B">
      <w:pPr>
        <w:keepNext/>
        <w:autoSpaceDE w:val="0"/>
        <w:autoSpaceDN w:val="0"/>
        <w:adjustRightInd w:val="0"/>
        <w:spacing w:before="120" w:after="100" w:afterAutospacing="1"/>
        <w:jc w:val="both"/>
        <w:rPr>
          <w:rFonts w:ascii="Arial" w:hAnsi="Arial" w:cs="Arial"/>
          <w:sz w:val="16"/>
          <w:szCs w:val="16"/>
          <w:lang w:val="es-ES" w:eastAsia="ko-KR"/>
        </w:rPr>
      </w:pPr>
      <w:r w:rsidRPr="0077530D">
        <w:rPr>
          <w:rFonts w:ascii="Arial" w:hAnsi="Arial" w:cs="Arial"/>
          <w:i/>
          <w:sz w:val="16"/>
          <w:szCs w:val="16"/>
          <w:lang w:val="es-ES" w:eastAsia="ko-KR"/>
        </w:rPr>
        <w:t>Fuente</w:t>
      </w:r>
      <w:r w:rsidRPr="0077530D">
        <w:rPr>
          <w:rFonts w:ascii="Arial" w:hAnsi="Arial" w:cs="Arial"/>
          <w:sz w:val="16"/>
          <w:szCs w:val="16"/>
          <w:lang w:val="es-ES" w:eastAsia="ko-KR"/>
        </w:rPr>
        <w:t xml:space="preserve">: elaboración propia a partir de referencias </w:t>
      </w:r>
      <w:r w:rsidR="00893637" w:rsidRPr="0077530D">
        <w:rPr>
          <w:rFonts w:ascii="Arial" w:hAnsi="Arial" w:cs="Arial"/>
          <w:sz w:val="16"/>
          <w:szCs w:val="16"/>
          <w:lang w:val="es-ES" w:eastAsia="ko-KR"/>
        </w:rPr>
        <w:t>indicadas en la tabla</w:t>
      </w:r>
      <w:r w:rsidR="00AA3F6C" w:rsidRPr="0077530D">
        <w:rPr>
          <w:rFonts w:ascii="Arial" w:hAnsi="Arial" w:cs="Arial"/>
          <w:sz w:val="16"/>
          <w:szCs w:val="16"/>
          <w:lang w:val="es-ES" w:eastAsia="ko-KR"/>
        </w:rPr>
        <w:t xml:space="preserve">; en el caso de WHO-CHOICE se toman como referencia los valores para la región América </w:t>
      </w:r>
      <w:r w:rsidR="00AC4D0B" w:rsidRPr="0077530D">
        <w:rPr>
          <w:rFonts w:ascii="Arial" w:hAnsi="Arial" w:cs="Arial"/>
          <w:sz w:val="16"/>
          <w:szCs w:val="16"/>
          <w:lang w:val="es-ES" w:eastAsia="ko-KR"/>
        </w:rPr>
        <w:t>D</w:t>
      </w:r>
      <w:r w:rsidR="00AA3F6C" w:rsidRPr="0077530D">
        <w:rPr>
          <w:rFonts w:ascii="Arial" w:hAnsi="Arial" w:cs="Arial"/>
          <w:sz w:val="16"/>
          <w:szCs w:val="16"/>
          <w:lang w:val="es-ES" w:eastAsia="ko-KR"/>
        </w:rPr>
        <w:t xml:space="preserve">, que incluye </w:t>
      </w:r>
      <w:r w:rsidR="00AC4D0B" w:rsidRPr="0077530D">
        <w:rPr>
          <w:rFonts w:ascii="Arial" w:hAnsi="Arial" w:cs="Arial"/>
          <w:sz w:val="16"/>
          <w:szCs w:val="16"/>
          <w:lang w:val="es-ES" w:eastAsia="ko-KR"/>
        </w:rPr>
        <w:t>Bolivia, salvo por falta de disponibilidad</w:t>
      </w:r>
      <w:r w:rsidR="00AA3F6C" w:rsidRPr="0077530D">
        <w:rPr>
          <w:rFonts w:ascii="Arial" w:hAnsi="Arial" w:cs="Arial"/>
          <w:sz w:val="16"/>
          <w:szCs w:val="16"/>
          <w:lang w:val="es-ES" w:eastAsia="ko-KR"/>
        </w:rPr>
        <w:t>.</w:t>
      </w:r>
    </w:p>
    <w:p w14:paraId="293DA670" w14:textId="71DF565D" w:rsidR="00751165" w:rsidRPr="0077530D" w:rsidRDefault="00230803" w:rsidP="00202167">
      <w:pPr>
        <w:pStyle w:val="Heading2"/>
        <w:numPr>
          <w:ilvl w:val="0"/>
          <w:numId w:val="5"/>
        </w:numPr>
        <w:rPr>
          <w:rFonts w:cs="Arial"/>
          <w:lang w:eastAsia="ko-KR"/>
        </w:rPr>
      </w:pPr>
      <w:bookmarkStart w:id="81" w:name="_Toc296257188"/>
      <w:bookmarkStart w:id="82" w:name="_Toc517873029"/>
      <w:bookmarkStart w:id="83" w:name="_Toc521590392"/>
      <w:r w:rsidRPr="0077530D">
        <w:rPr>
          <w:rFonts w:cs="Arial"/>
          <w:lang w:eastAsia="ko-KR"/>
        </w:rPr>
        <w:t>Procedimiento para la evaluaci</w:t>
      </w:r>
      <w:r w:rsidRPr="0077530D">
        <w:rPr>
          <w:rFonts w:eastAsia="Calibri" w:cs="Arial"/>
          <w:lang w:eastAsia="ko-KR"/>
        </w:rPr>
        <w:t>ón</w:t>
      </w:r>
      <w:bookmarkEnd w:id="81"/>
      <w:r w:rsidR="009E4400" w:rsidRPr="0077530D">
        <w:rPr>
          <w:rFonts w:cs="Arial"/>
          <w:lang w:eastAsia="ko-KR"/>
        </w:rPr>
        <w:t xml:space="preserve"> econ</w:t>
      </w:r>
      <w:r w:rsidR="009E4400" w:rsidRPr="0077530D">
        <w:rPr>
          <w:rFonts w:eastAsia="Calibri" w:cs="Arial"/>
          <w:lang w:eastAsia="ko-KR"/>
        </w:rPr>
        <w:t>ómica</w:t>
      </w:r>
      <w:r w:rsidR="00752CC7" w:rsidRPr="0077530D">
        <w:rPr>
          <w:rFonts w:cs="Arial"/>
          <w:lang w:eastAsia="ko-KR"/>
        </w:rPr>
        <w:t xml:space="preserve"> </w:t>
      </w:r>
      <w:r w:rsidR="00202167" w:rsidRPr="0077530D">
        <w:rPr>
          <w:rFonts w:cs="Arial"/>
          <w:lang w:eastAsia="ko-KR"/>
        </w:rPr>
        <w:t>del Programa de Mejora en la Accesibilidad de los Servicios de Salud Materna en Bolivia</w:t>
      </w:r>
      <w:bookmarkEnd w:id="82"/>
      <w:bookmarkEnd w:id="83"/>
    </w:p>
    <w:p w14:paraId="3D26EAAF" w14:textId="2D592376" w:rsidR="009738B7" w:rsidRPr="0077530D" w:rsidRDefault="00751165" w:rsidP="0077530D">
      <w:pPr>
        <w:spacing w:before="120" w:after="100" w:afterAutospacing="1"/>
        <w:jc w:val="both"/>
        <w:rPr>
          <w:rFonts w:ascii="Arial" w:eastAsia="Arial" w:hAnsi="Arial" w:cs="Arial"/>
          <w:sz w:val="22"/>
          <w:szCs w:val="22"/>
          <w:lang w:val="es-ES" w:eastAsia="ko-KR"/>
        </w:rPr>
      </w:pPr>
      <w:r w:rsidRPr="0077530D">
        <w:rPr>
          <w:rFonts w:ascii="Arial" w:eastAsia="Arial" w:hAnsi="Arial" w:cs="Arial"/>
          <w:sz w:val="22"/>
          <w:szCs w:val="22"/>
          <w:lang w:val="es-ES" w:eastAsia="ko-KR"/>
        </w:rPr>
        <w:t>E</w:t>
      </w:r>
      <w:r w:rsidR="00364408" w:rsidRPr="0077530D">
        <w:rPr>
          <w:rFonts w:ascii="Arial" w:eastAsia="Arial" w:hAnsi="Arial" w:cs="Arial"/>
          <w:sz w:val="22"/>
          <w:szCs w:val="22"/>
          <w:lang w:val="es-ES" w:eastAsia="ko-KR"/>
        </w:rPr>
        <w:t>n e</w:t>
      </w:r>
      <w:r w:rsidRPr="0077530D">
        <w:rPr>
          <w:rFonts w:ascii="Arial" w:eastAsia="Arial" w:hAnsi="Arial" w:cs="Arial"/>
          <w:sz w:val="22"/>
          <w:szCs w:val="22"/>
          <w:lang w:val="es-ES" w:eastAsia="ko-KR"/>
        </w:rPr>
        <w:t>l análisis</w:t>
      </w:r>
      <w:r w:rsidR="008417EF" w:rsidRPr="0077530D">
        <w:rPr>
          <w:rFonts w:ascii="Arial" w:eastAsia="Arial" w:hAnsi="Arial" w:cs="Arial"/>
          <w:sz w:val="22"/>
          <w:szCs w:val="22"/>
          <w:lang w:val="es-ES" w:eastAsia="ko-KR"/>
        </w:rPr>
        <w:t xml:space="preserve"> económico </w:t>
      </w:r>
      <w:r w:rsidR="00364408" w:rsidRPr="0077530D">
        <w:rPr>
          <w:rFonts w:ascii="Arial" w:eastAsia="Arial" w:hAnsi="Arial" w:cs="Arial"/>
          <w:sz w:val="22"/>
          <w:szCs w:val="22"/>
          <w:lang w:val="es-ES" w:eastAsia="ko-KR"/>
        </w:rPr>
        <w:t xml:space="preserve">del </w:t>
      </w:r>
      <w:r w:rsidR="00B15C96" w:rsidRPr="0077530D">
        <w:rPr>
          <w:rFonts w:ascii="Arial" w:eastAsia="Arial" w:hAnsi="Arial" w:cs="Arial"/>
          <w:sz w:val="22"/>
          <w:szCs w:val="22"/>
          <w:lang w:val="es-ES" w:eastAsia="ko-KR"/>
        </w:rPr>
        <w:t>p</w:t>
      </w:r>
      <w:r w:rsidR="00A84ED8" w:rsidRPr="0077530D">
        <w:rPr>
          <w:rFonts w:ascii="Arial" w:eastAsia="Arial" w:hAnsi="Arial" w:cs="Arial"/>
          <w:sz w:val="22"/>
          <w:szCs w:val="22"/>
          <w:lang w:val="es-ES" w:eastAsia="ko-KR"/>
        </w:rPr>
        <w:t>rograma</w:t>
      </w:r>
      <w:r w:rsidR="00364408" w:rsidRPr="0077530D">
        <w:rPr>
          <w:rFonts w:ascii="Arial" w:eastAsia="Arial" w:hAnsi="Arial" w:cs="Arial"/>
          <w:sz w:val="22"/>
          <w:szCs w:val="22"/>
          <w:lang w:val="es-ES" w:eastAsia="ko-KR"/>
        </w:rPr>
        <w:t xml:space="preserve"> </w:t>
      </w:r>
      <w:r w:rsidR="00FF6EF3" w:rsidRPr="0077530D">
        <w:rPr>
          <w:rFonts w:ascii="Arial" w:eastAsia="Arial" w:hAnsi="Arial" w:cs="Arial"/>
          <w:sz w:val="22"/>
          <w:szCs w:val="22"/>
          <w:lang w:val="es-ES" w:eastAsia="ko-KR"/>
        </w:rPr>
        <w:t>se</w:t>
      </w:r>
      <w:r w:rsidRPr="0077530D">
        <w:rPr>
          <w:rFonts w:ascii="Arial" w:eastAsia="Arial" w:hAnsi="Arial" w:cs="Arial"/>
          <w:sz w:val="22"/>
          <w:szCs w:val="22"/>
          <w:lang w:val="es-ES" w:eastAsia="ko-KR"/>
        </w:rPr>
        <w:t xml:space="preserve"> considerar</w:t>
      </w:r>
      <w:r w:rsidR="00FF6EF3" w:rsidRPr="0077530D">
        <w:rPr>
          <w:rFonts w:ascii="Arial" w:eastAsia="Arial" w:hAnsi="Arial" w:cs="Arial"/>
          <w:sz w:val="22"/>
          <w:szCs w:val="22"/>
          <w:lang w:val="es-ES" w:eastAsia="ko-KR"/>
        </w:rPr>
        <w:t>on</w:t>
      </w:r>
      <w:r w:rsidRPr="0077530D">
        <w:rPr>
          <w:rFonts w:ascii="Arial" w:eastAsia="Arial" w:hAnsi="Arial" w:cs="Arial"/>
          <w:sz w:val="22"/>
          <w:szCs w:val="22"/>
          <w:lang w:val="es-ES" w:eastAsia="ko-KR"/>
        </w:rPr>
        <w:t xml:space="preserve"> l</w:t>
      </w:r>
      <w:r w:rsidR="00025D20" w:rsidRPr="0077530D">
        <w:rPr>
          <w:rFonts w:ascii="Arial" w:eastAsia="Arial" w:hAnsi="Arial" w:cs="Arial"/>
          <w:sz w:val="22"/>
          <w:szCs w:val="22"/>
          <w:lang w:val="es-ES" w:eastAsia="ko-KR"/>
        </w:rPr>
        <w:t>a</w:t>
      </w:r>
      <w:r w:rsidRPr="0077530D">
        <w:rPr>
          <w:rFonts w:ascii="Arial" w:eastAsia="Arial" w:hAnsi="Arial" w:cs="Arial"/>
          <w:sz w:val="22"/>
          <w:szCs w:val="22"/>
          <w:lang w:val="es-ES" w:eastAsia="ko-KR"/>
        </w:rPr>
        <w:t xml:space="preserve">s </w:t>
      </w:r>
      <w:r w:rsidR="00AB1B4F" w:rsidRPr="0077530D">
        <w:rPr>
          <w:rFonts w:ascii="Arial" w:eastAsia="Arial" w:hAnsi="Arial" w:cs="Arial"/>
          <w:sz w:val="22"/>
          <w:szCs w:val="22"/>
          <w:lang w:val="es-ES" w:eastAsia="ko-KR"/>
        </w:rPr>
        <w:t xml:space="preserve">siguientes </w:t>
      </w:r>
      <w:r w:rsidRPr="0077530D">
        <w:rPr>
          <w:rFonts w:ascii="Arial" w:eastAsia="Arial" w:hAnsi="Arial" w:cs="Arial"/>
          <w:sz w:val="22"/>
          <w:szCs w:val="22"/>
          <w:lang w:val="es-ES" w:eastAsia="ko-KR"/>
        </w:rPr>
        <w:t xml:space="preserve">líneas de atención </w:t>
      </w:r>
      <w:r w:rsidR="00EF0C98" w:rsidRPr="0077530D">
        <w:rPr>
          <w:rFonts w:ascii="Arial" w:eastAsia="Arial" w:hAnsi="Arial" w:cs="Arial"/>
          <w:sz w:val="22"/>
          <w:szCs w:val="22"/>
          <w:lang w:val="es-ES" w:eastAsia="ko-KR"/>
        </w:rPr>
        <w:t xml:space="preserve">que atenderán a la población objetivo </w:t>
      </w:r>
      <w:r w:rsidR="00364408" w:rsidRPr="0077530D">
        <w:rPr>
          <w:rFonts w:ascii="Arial" w:eastAsia="Arial" w:hAnsi="Arial" w:cs="Arial"/>
          <w:sz w:val="22"/>
          <w:szCs w:val="22"/>
          <w:lang w:val="es-ES" w:eastAsia="ko-KR"/>
        </w:rPr>
        <w:t>de las redes intervenidas</w:t>
      </w:r>
      <w:r w:rsidR="00B00D2A" w:rsidRPr="0077530D">
        <w:rPr>
          <w:rFonts w:ascii="Arial" w:eastAsia="Arial" w:hAnsi="Arial" w:cs="Arial"/>
          <w:sz w:val="22"/>
          <w:szCs w:val="22"/>
          <w:lang w:val="es-ES" w:eastAsia="ko-KR"/>
        </w:rPr>
        <w:t xml:space="preserve"> </w:t>
      </w:r>
      <w:r w:rsidRPr="0077530D">
        <w:rPr>
          <w:rFonts w:ascii="Arial" w:eastAsia="Arial" w:hAnsi="Arial" w:cs="Arial"/>
          <w:sz w:val="22"/>
          <w:szCs w:val="22"/>
          <w:lang w:val="es-ES" w:eastAsia="ko-KR"/>
        </w:rPr>
        <w:t xml:space="preserve">que se fortalecen con </w:t>
      </w:r>
      <w:r w:rsidR="00AB1B4F" w:rsidRPr="0077530D">
        <w:rPr>
          <w:rFonts w:ascii="Arial" w:eastAsia="Arial" w:hAnsi="Arial" w:cs="Arial"/>
          <w:sz w:val="22"/>
          <w:szCs w:val="22"/>
          <w:lang w:val="es-ES" w:eastAsia="ko-KR"/>
        </w:rPr>
        <w:t xml:space="preserve">las </w:t>
      </w:r>
      <w:r w:rsidRPr="0077530D">
        <w:rPr>
          <w:rFonts w:ascii="Arial" w:eastAsia="Arial" w:hAnsi="Arial" w:cs="Arial"/>
          <w:sz w:val="22"/>
          <w:szCs w:val="22"/>
          <w:lang w:val="es-ES" w:eastAsia="ko-KR"/>
        </w:rPr>
        <w:t>intervenc</w:t>
      </w:r>
      <w:r w:rsidR="00EF0C98" w:rsidRPr="0077530D">
        <w:rPr>
          <w:rFonts w:ascii="Arial" w:eastAsia="Arial" w:hAnsi="Arial" w:cs="Arial"/>
          <w:sz w:val="22"/>
          <w:szCs w:val="22"/>
          <w:lang w:val="es-ES" w:eastAsia="ko-KR"/>
        </w:rPr>
        <w:t>iones</w:t>
      </w:r>
      <w:r w:rsidRPr="0077530D">
        <w:rPr>
          <w:rFonts w:ascii="Arial" w:eastAsia="Arial" w:hAnsi="Arial" w:cs="Arial"/>
          <w:sz w:val="22"/>
          <w:szCs w:val="22"/>
          <w:lang w:val="es-ES" w:eastAsia="ko-KR"/>
        </w:rPr>
        <w:t xml:space="preserve"> </w:t>
      </w:r>
      <w:r w:rsidR="00766E81" w:rsidRPr="0077530D">
        <w:rPr>
          <w:rFonts w:ascii="Arial" w:eastAsia="Arial" w:hAnsi="Arial" w:cs="Arial"/>
          <w:sz w:val="22"/>
          <w:szCs w:val="22"/>
          <w:lang w:val="es-ES" w:eastAsia="ko-KR"/>
        </w:rPr>
        <w:t xml:space="preserve">de </w:t>
      </w:r>
      <w:r w:rsidR="00364408" w:rsidRPr="0077530D">
        <w:rPr>
          <w:rFonts w:ascii="Arial" w:eastAsia="Arial" w:hAnsi="Arial" w:cs="Arial"/>
          <w:sz w:val="22"/>
          <w:szCs w:val="22"/>
          <w:lang w:val="es-ES" w:eastAsia="ko-KR"/>
        </w:rPr>
        <w:t>ampliación</w:t>
      </w:r>
      <w:r w:rsidR="00766E81" w:rsidRPr="0077530D">
        <w:rPr>
          <w:rFonts w:ascii="Arial" w:eastAsia="Arial" w:hAnsi="Arial" w:cs="Arial"/>
          <w:sz w:val="22"/>
          <w:szCs w:val="22"/>
          <w:lang w:val="es-ES" w:eastAsia="ko-KR"/>
        </w:rPr>
        <w:t>, construcción y equipamiento de</w:t>
      </w:r>
      <w:r w:rsidR="00715E7A" w:rsidRPr="0077530D">
        <w:rPr>
          <w:rFonts w:ascii="Arial" w:eastAsia="Arial" w:hAnsi="Arial" w:cs="Arial"/>
          <w:sz w:val="22"/>
          <w:szCs w:val="22"/>
          <w:lang w:val="es-ES" w:eastAsia="ko-KR"/>
        </w:rPr>
        <w:t xml:space="preserve"> hospitales</w:t>
      </w:r>
      <w:r w:rsidR="00364408" w:rsidRPr="0077530D">
        <w:rPr>
          <w:rFonts w:ascii="Arial" w:eastAsia="Arial" w:hAnsi="Arial" w:cs="Arial"/>
          <w:sz w:val="22"/>
          <w:szCs w:val="22"/>
          <w:lang w:val="es-ES" w:eastAsia="ko-KR"/>
        </w:rPr>
        <w:t xml:space="preserve"> de segundo y tercer nivel de atención y</w:t>
      </w:r>
      <w:r w:rsidR="003A606A" w:rsidRPr="0077530D">
        <w:rPr>
          <w:rFonts w:ascii="Arial" w:eastAsia="Arial" w:hAnsi="Arial" w:cs="Arial"/>
          <w:sz w:val="22"/>
          <w:szCs w:val="22"/>
          <w:lang w:val="es-ES" w:eastAsia="ko-KR"/>
        </w:rPr>
        <w:t xml:space="preserve"> </w:t>
      </w:r>
      <w:r w:rsidR="00364408" w:rsidRPr="0077530D">
        <w:rPr>
          <w:rFonts w:ascii="Arial" w:eastAsia="Arial" w:hAnsi="Arial" w:cs="Arial"/>
          <w:sz w:val="22"/>
          <w:szCs w:val="22"/>
          <w:lang w:val="es-ES" w:eastAsia="ko-KR"/>
        </w:rPr>
        <w:t>c</w:t>
      </w:r>
      <w:r w:rsidR="003A606A" w:rsidRPr="0077530D">
        <w:rPr>
          <w:rFonts w:ascii="Arial" w:eastAsia="Arial" w:hAnsi="Arial" w:cs="Arial"/>
          <w:sz w:val="22"/>
          <w:szCs w:val="22"/>
          <w:lang w:val="es-ES" w:eastAsia="ko-KR"/>
        </w:rPr>
        <w:t xml:space="preserve">entros de </w:t>
      </w:r>
      <w:r w:rsidR="00364408" w:rsidRPr="0077530D">
        <w:rPr>
          <w:rFonts w:ascii="Arial" w:eastAsia="Arial" w:hAnsi="Arial" w:cs="Arial"/>
          <w:sz w:val="22"/>
          <w:szCs w:val="22"/>
          <w:lang w:val="es-ES" w:eastAsia="ko-KR"/>
        </w:rPr>
        <w:t>salud</w:t>
      </w:r>
      <w:r w:rsidR="003A606A" w:rsidRPr="0077530D">
        <w:rPr>
          <w:rFonts w:ascii="Arial" w:eastAsia="Arial" w:hAnsi="Arial" w:cs="Arial"/>
          <w:sz w:val="22"/>
          <w:szCs w:val="22"/>
          <w:lang w:val="es-ES" w:eastAsia="ko-KR"/>
        </w:rPr>
        <w:t xml:space="preserve">. </w:t>
      </w:r>
      <w:r w:rsidR="00144E12" w:rsidRPr="0077530D">
        <w:rPr>
          <w:rFonts w:ascii="Arial" w:eastAsia="Arial" w:hAnsi="Arial" w:cs="Arial"/>
          <w:sz w:val="22"/>
          <w:szCs w:val="22"/>
          <w:lang w:val="es-ES" w:eastAsia="ko-KR"/>
        </w:rPr>
        <w:t>La</w:t>
      </w:r>
      <w:r w:rsidR="00506968" w:rsidRPr="0077530D">
        <w:rPr>
          <w:rFonts w:ascii="Arial" w:eastAsia="Arial" w:hAnsi="Arial" w:cs="Arial"/>
          <w:sz w:val="22"/>
          <w:szCs w:val="22"/>
          <w:lang w:val="es-ES" w:eastAsia="ko-KR"/>
        </w:rPr>
        <w:t xml:space="preserve"> Tabla 3</w:t>
      </w:r>
      <w:r w:rsidR="0035539C" w:rsidRPr="0077530D">
        <w:rPr>
          <w:rFonts w:ascii="Arial" w:eastAsia="Arial" w:hAnsi="Arial" w:cs="Arial"/>
          <w:sz w:val="22"/>
          <w:szCs w:val="22"/>
          <w:lang w:val="es-ES" w:eastAsia="ko-KR"/>
        </w:rPr>
        <w:t xml:space="preserve"> indica que líneas de </w:t>
      </w:r>
      <w:r w:rsidR="008417EF" w:rsidRPr="0077530D">
        <w:rPr>
          <w:rFonts w:ascii="Arial" w:eastAsia="Arial" w:hAnsi="Arial" w:cs="Arial"/>
          <w:sz w:val="22"/>
          <w:szCs w:val="22"/>
          <w:lang w:val="es-ES" w:eastAsia="ko-KR"/>
        </w:rPr>
        <w:t>atención</w:t>
      </w:r>
      <w:r w:rsidR="0035539C" w:rsidRPr="0077530D">
        <w:rPr>
          <w:rFonts w:ascii="Arial" w:eastAsia="Arial" w:hAnsi="Arial" w:cs="Arial"/>
          <w:sz w:val="22"/>
          <w:szCs w:val="22"/>
          <w:lang w:val="es-ES" w:eastAsia="ko-KR"/>
        </w:rPr>
        <w:t xml:space="preserve"> están incluidas </w:t>
      </w:r>
      <w:r w:rsidR="00E01503" w:rsidRPr="0077530D">
        <w:rPr>
          <w:rFonts w:ascii="Arial" w:eastAsia="Arial" w:hAnsi="Arial" w:cs="Arial"/>
          <w:sz w:val="22"/>
          <w:szCs w:val="22"/>
          <w:lang w:val="es-ES" w:eastAsia="ko-KR"/>
        </w:rPr>
        <w:t>en la</w:t>
      </w:r>
      <w:r w:rsidR="0035539C" w:rsidRPr="0077530D">
        <w:rPr>
          <w:rFonts w:ascii="Arial" w:eastAsia="Arial" w:hAnsi="Arial" w:cs="Arial"/>
          <w:sz w:val="22"/>
          <w:szCs w:val="22"/>
          <w:lang w:val="es-ES" w:eastAsia="ko-KR"/>
        </w:rPr>
        <w:t xml:space="preserve"> intervención.</w:t>
      </w:r>
    </w:p>
    <w:p w14:paraId="190606CE" w14:textId="4D8E9A8A" w:rsidR="00144E12" w:rsidRPr="0077530D" w:rsidRDefault="00144E12" w:rsidP="001A6051">
      <w:pPr>
        <w:pStyle w:val="Caption"/>
        <w:rPr>
          <w:lang w:eastAsia="ko-KR"/>
        </w:rPr>
      </w:pPr>
      <w:r w:rsidRPr="0077530D">
        <w:rPr>
          <w:lang w:eastAsia="ko-KR"/>
        </w:rPr>
        <w:lastRenderedPageBreak/>
        <w:t xml:space="preserve">Tabla </w:t>
      </w:r>
      <w:r w:rsidRPr="0077530D">
        <w:fldChar w:fldCharType="begin"/>
      </w:r>
      <w:r w:rsidRPr="0077530D">
        <w:rPr>
          <w:lang w:eastAsia="ko-KR"/>
        </w:rPr>
        <w:instrText xml:space="preserve"> SEQ Tabla \* ARABIC </w:instrText>
      </w:r>
      <w:r w:rsidRPr="0077530D">
        <w:fldChar w:fldCharType="separate"/>
      </w:r>
      <w:r w:rsidR="000A3DCE" w:rsidRPr="0077530D">
        <w:rPr>
          <w:noProof/>
          <w:lang w:eastAsia="ko-KR"/>
        </w:rPr>
        <w:t>3</w:t>
      </w:r>
      <w:r w:rsidRPr="0077530D">
        <w:fldChar w:fldCharType="end"/>
      </w:r>
      <w:r w:rsidRPr="0077530D">
        <w:rPr>
          <w:lang w:eastAsia="ko-KR"/>
        </w:rPr>
        <w:t xml:space="preserve">. </w:t>
      </w:r>
      <w:r w:rsidR="00375D15" w:rsidRPr="0077530D">
        <w:rPr>
          <w:lang w:eastAsia="ko-KR"/>
        </w:rPr>
        <w:t>Intervenciones consideradas en el análisis</w:t>
      </w:r>
      <w:r w:rsidR="002F3050" w:rsidRPr="0077530D">
        <w:rPr>
          <w:lang w:eastAsia="ko-KR"/>
        </w:rPr>
        <w:t xml:space="preserve"> </w:t>
      </w:r>
      <w:r w:rsidR="00B02681" w:rsidRPr="0077530D">
        <w:rPr>
          <w:lang w:eastAsia="ko-KR"/>
        </w:rPr>
        <w:t>del Programa de Mejora en la Accesibilidad de los Servicios de Salud Materna en Bolivia</w:t>
      </w:r>
    </w:p>
    <w:p w14:paraId="4D8D5771" w14:textId="4460C0DD" w:rsidR="00E70B07" w:rsidRPr="0077530D" w:rsidRDefault="00821BD9" w:rsidP="00764E56">
      <w:pPr>
        <w:keepNext/>
        <w:autoSpaceDE w:val="0"/>
        <w:autoSpaceDN w:val="0"/>
        <w:adjustRightInd w:val="0"/>
        <w:spacing w:before="120" w:after="100" w:afterAutospacing="1"/>
        <w:jc w:val="both"/>
        <w:rPr>
          <w:rFonts w:ascii="Arial" w:hAnsi="Arial" w:cs="Arial"/>
          <w:i/>
          <w:sz w:val="16"/>
          <w:szCs w:val="16"/>
          <w:lang w:val="es-ES" w:eastAsia="ko-KR"/>
        </w:rPr>
      </w:pPr>
      <w:r w:rsidRPr="0077530D">
        <w:rPr>
          <w:rFonts w:ascii="Arial" w:hAnsi="Arial" w:cs="Arial"/>
          <w:noProof/>
        </w:rPr>
        <w:drawing>
          <wp:inline distT="0" distB="0" distL="0" distR="0" wp14:anchorId="35150C39" wp14:editId="7D82CC13">
            <wp:extent cx="5943600" cy="196229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962293"/>
                    </a:xfrm>
                    <a:prstGeom prst="rect">
                      <a:avLst/>
                    </a:prstGeom>
                    <a:noFill/>
                    <a:ln>
                      <a:noFill/>
                    </a:ln>
                  </pic:spPr>
                </pic:pic>
              </a:graphicData>
            </a:graphic>
          </wp:inline>
        </w:drawing>
      </w:r>
    </w:p>
    <w:p w14:paraId="4EC5E0B2" w14:textId="4A878F32" w:rsidR="00364408" w:rsidRPr="0077530D" w:rsidRDefault="00364408" w:rsidP="00764E56">
      <w:pPr>
        <w:keepNext/>
        <w:autoSpaceDE w:val="0"/>
        <w:autoSpaceDN w:val="0"/>
        <w:adjustRightInd w:val="0"/>
        <w:spacing w:before="120" w:after="100" w:afterAutospacing="1"/>
        <w:jc w:val="both"/>
        <w:rPr>
          <w:rFonts w:ascii="Arial" w:hAnsi="Arial" w:cs="Arial"/>
          <w:sz w:val="16"/>
          <w:szCs w:val="16"/>
          <w:lang w:val="es-ES" w:eastAsia="ko-KR"/>
        </w:rPr>
      </w:pPr>
      <w:r w:rsidRPr="0077530D">
        <w:rPr>
          <w:rFonts w:ascii="Arial" w:hAnsi="Arial" w:cs="Arial"/>
          <w:i/>
          <w:sz w:val="16"/>
          <w:szCs w:val="16"/>
          <w:lang w:val="es-ES" w:eastAsia="ko-KR"/>
        </w:rPr>
        <w:t>Fuente</w:t>
      </w:r>
      <w:r w:rsidRPr="0077530D">
        <w:rPr>
          <w:rFonts w:ascii="Arial" w:hAnsi="Arial" w:cs="Arial"/>
          <w:sz w:val="16"/>
          <w:szCs w:val="16"/>
          <w:lang w:val="es-ES" w:eastAsia="ko-KR"/>
        </w:rPr>
        <w:t>: elaboración propia a partir de referencias indicadas en la tabla; en el caso de WHO-CHOICE se toman como referencia los valores para la región América D, que incluye Bolivia, salvo por falta de disponibilidad.</w:t>
      </w:r>
    </w:p>
    <w:p w14:paraId="64DED8A4" w14:textId="37F9C92F" w:rsidR="007E29C0" w:rsidRPr="0077530D" w:rsidRDefault="00585BD7" w:rsidP="0077530D">
      <w:pPr>
        <w:autoSpaceDE w:val="0"/>
        <w:autoSpaceDN w:val="0"/>
        <w:adjustRightInd w:val="0"/>
        <w:spacing w:before="120" w:after="100" w:afterAutospacing="1"/>
        <w:jc w:val="both"/>
        <w:rPr>
          <w:rFonts w:ascii="Arial" w:eastAsia="Arial" w:hAnsi="Arial" w:cs="Arial"/>
          <w:sz w:val="22"/>
          <w:szCs w:val="22"/>
          <w:lang w:val="es-ES"/>
        </w:rPr>
      </w:pPr>
      <w:r w:rsidRPr="0077530D">
        <w:rPr>
          <w:rFonts w:ascii="Arial" w:eastAsia="Arial" w:hAnsi="Arial" w:cs="Arial"/>
          <w:sz w:val="22"/>
          <w:szCs w:val="22"/>
          <w:lang w:val="es-ES" w:eastAsia="ko-KR"/>
        </w:rPr>
        <w:t xml:space="preserve">El </w:t>
      </w:r>
      <w:r w:rsidR="00B15C96" w:rsidRPr="0077530D">
        <w:rPr>
          <w:rFonts w:ascii="Arial" w:eastAsia="Arial" w:hAnsi="Arial" w:cs="Arial"/>
          <w:sz w:val="22"/>
          <w:szCs w:val="22"/>
          <w:lang w:val="es-ES" w:eastAsia="ko-KR"/>
        </w:rPr>
        <w:t>p</w:t>
      </w:r>
      <w:r w:rsidR="00A84ED8" w:rsidRPr="0077530D">
        <w:rPr>
          <w:rFonts w:ascii="Arial" w:eastAsia="Arial" w:hAnsi="Arial" w:cs="Arial"/>
          <w:sz w:val="22"/>
          <w:szCs w:val="22"/>
          <w:lang w:val="es-ES" w:eastAsia="ko-KR"/>
        </w:rPr>
        <w:t>rograma</w:t>
      </w:r>
      <w:r w:rsidRPr="0077530D">
        <w:rPr>
          <w:rFonts w:ascii="Arial" w:eastAsia="Arial" w:hAnsi="Arial" w:cs="Arial"/>
          <w:sz w:val="22"/>
          <w:szCs w:val="22"/>
          <w:lang w:val="es-ES"/>
        </w:rPr>
        <w:t xml:space="preserve"> </w:t>
      </w:r>
      <w:r w:rsidR="006C27ED" w:rsidRPr="0077530D">
        <w:rPr>
          <w:rFonts w:ascii="Arial" w:eastAsia="Arial" w:hAnsi="Arial" w:cs="Arial"/>
          <w:sz w:val="22"/>
          <w:szCs w:val="22"/>
          <w:lang w:val="es-ES"/>
        </w:rPr>
        <w:t xml:space="preserve">financia los servicios de salud del </w:t>
      </w:r>
      <w:r w:rsidR="007767BC" w:rsidRPr="0077530D">
        <w:rPr>
          <w:rFonts w:ascii="Arial" w:eastAsia="Arial" w:hAnsi="Arial" w:cs="Arial"/>
          <w:sz w:val="22"/>
          <w:szCs w:val="22"/>
          <w:lang w:val="es-ES"/>
        </w:rPr>
        <w:t>sistema público</w:t>
      </w:r>
      <w:r w:rsidR="006C27ED" w:rsidRPr="0077530D">
        <w:rPr>
          <w:rFonts w:ascii="Arial" w:eastAsia="Arial" w:hAnsi="Arial" w:cs="Arial"/>
          <w:sz w:val="22"/>
          <w:szCs w:val="22"/>
          <w:lang w:val="es-ES"/>
        </w:rPr>
        <w:t xml:space="preserve"> </w:t>
      </w:r>
      <w:r w:rsidRPr="0077530D">
        <w:rPr>
          <w:rFonts w:ascii="Arial" w:eastAsia="Arial" w:hAnsi="Arial" w:cs="Arial"/>
          <w:sz w:val="22"/>
          <w:szCs w:val="22"/>
          <w:lang w:val="es-ES"/>
        </w:rPr>
        <w:t xml:space="preserve">en </w:t>
      </w:r>
      <w:r w:rsidR="000F2FF6" w:rsidRPr="0077530D">
        <w:rPr>
          <w:rFonts w:ascii="Arial" w:eastAsia="Arial" w:hAnsi="Arial" w:cs="Arial"/>
          <w:sz w:val="22"/>
          <w:szCs w:val="22"/>
          <w:lang w:val="es-ES"/>
        </w:rPr>
        <w:t>15 redes intervenidas (de un total de 102 redes</w:t>
      </w:r>
      <w:r w:rsidR="00901799" w:rsidRPr="0077530D">
        <w:rPr>
          <w:rFonts w:ascii="Arial" w:eastAsia="Arial" w:hAnsi="Arial" w:cs="Arial"/>
          <w:sz w:val="22"/>
          <w:szCs w:val="22"/>
          <w:lang w:val="es-ES"/>
        </w:rPr>
        <w:t xml:space="preserve"> que está articulado el sistema de salud </w:t>
      </w:r>
      <w:r w:rsidR="00764E56" w:rsidRPr="0077530D">
        <w:rPr>
          <w:rFonts w:ascii="Arial" w:eastAsia="Arial" w:hAnsi="Arial" w:cs="Arial"/>
          <w:sz w:val="22"/>
          <w:szCs w:val="22"/>
          <w:lang w:val="es-ES"/>
        </w:rPr>
        <w:t>de Bolivia</w:t>
      </w:r>
      <w:r w:rsidR="000F2FF6" w:rsidRPr="0077530D">
        <w:rPr>
          <w:rFonts w:ascii="Arial" w:eastAsia="Arial" w:hAnsi="Arial" w:cs="Arial"/>
          <w:sz w:val="22"/>
          <w:szCs w:val="22"/>
          <w:lang w:val="es-ES"/>
        </w:rPr>
        <w:t>)</w:t>
      </w:r>
      <w:r w:rsidR="006C27ED" w:rsidRPr="0077530D">
        <w:rPr>
          <w:rFonts w:ascii="Arial" w:eastAsia="Arial" w:hAnsi="Arial" w:cs="Arial"/>
          <w:sz w:val="22"/>
          <w:szCs w:val="22"/>
          <w:lang w:val="es-ES"/>
        </w:rPr>
        <w:t xml:space="preserve">. </w:t>
      </w:r>
      <w:r w:rsidR="007E29C0" w:rsidRPr="0077530D">
        <w:rPr>
          <w:rFonts w:ascii="Arial" w:eastAsia="Arial" w:hAnsi="Arial" w:cs="Arial"/>
          <w:sz w:val="22"/>
          <w:szCs w:val="22"/>
          <w:lang w:val="es-ES"/>
        </w:rPr>
        <w:t>De acuerdo con el documento de proyecto, la población beneficiaria es de 2.2 millones de habitantes.</w:t>
      </w:r>
    </w:p>
    <w:p w14:paraId="126DEF34" w14:textId="04A7DDEE" w:rsidR="007772F7" w:rsidRPr="0077530D" w:rsidRDefault="00471A8F" w:rsidP="0077530D">
      <w:pPr>
        <w:autoSpaceDE w:val="0"/>
        <w:autoSpaceDN w:val="0"/>
        <w:adjustRightInd w:val="0"/>
        <w:spacing w:before="120" w:after="100" w:afterAutospacing="1"/>
        <w:jc w:val="both"/>
        <w:rPr>
          <w:rFonts w:ascii="Arial" w:eastAsia="Arial" w:hAnsi="Arial" w:cs="Arial"/>
          <w:sz w:val="22"/>
          <w:szCs w:val="22"/>
          <w:lang w:val="es-ES"/>
        </w:rPr>
      </w:pPr>
      <w:r w:rsidRPr="0077530D">
        <w:rPr>
          <w:rFonts w:ascii="Arial" w:eastAsia="Arial" w:hAnsi="Arial" w:cs="Arial"/>
          <w:sz w:val="22"/>
          <w:szCs w:val="22"/>
          <w:lang w:val="es-ES"/>
        </w:rPr>
        <w:t>Para calcular los beneficios</w:t>
      </w:r>
      <w:r w:rsidR="007C5B35" w:rsidRPr="0077530D">
        <w:rPr>
          <w:rFonts w:ascii="Arial" w:eastAsia="Arial" w:hAnsi="Arial" w:cs="Arial"/>
          <w:sz w:val="22"/>
          <w:szCs w:val="22"/>
          <w:lang w:val="es-ES"/>
        </w:rPr>
        <w:t xml:space="preserve"> de</w:t>
      </w:r>
      <w:r w:rsidR="009E2E49" w:rsidRPr="0077530D">
        <w:rPr>
          <w:rFonts w:ascii="Arial" w:eastAsia="Arial" w:hAnsi="Arial" w:cs="Arial"/>
          <w:sz w:val="22"/>
          <w:szCs w:val="22"/>
          <w:lang w:val="es-ES"/>
        </w:rPr>
        <w:t xml:space="preserve"> </w:t>
      </w:r>
      <w:r w:rsidR="00B15C96" w:rsidRPr="0077530D">
        <w:rPr>
          <w:rFonts w:ascii="Arial" w:eastAsia="Arial" w:hAnsi="Arial" w:cs="Arial"/>
          <w:sz w:val="22"/>
          <w:szCs w:val="22"/>
          <w:lang w:val="es-ES"/>
        </w:rPr>
        <w:t>p</w:t>
      </w:r>
      <w:r w:rsidR="00714463" w:rsidRPr="0077530D">
        <w:rPr>
          <w:rFonts w:ascii="Arial" w:eastAsia="Arial" w:hAnsi="Arial" w:cs="Arial"/>
          <w:sz w:val="22"/>
          <w:szCs w:val="22"/>
          <w:lang w:val="es-ES"/>
        </w:rPr>
        <w:t>rograma</w:t>
      </w:r>
      <w:r w:rsidR="009E2E49" w:rsidRPr="0077530D">
        <w:rPr>
          <w:rFonts w:ascii="Arial" w:eastAsia="Arial" w:hAnsi="Arial" w:cs="Arial"/>
          <w:sz w:val="22"/>
          <w:szCs w:val="22"/>
          <w:lang w:val="es-ES"/>
        </w:rPr>
        <w:t xml:space="preserve"> </w:t>
      </w:r>
      <w:r w:rsidR="009E2361" w:rsidRPr="0077530D">
        <w:rPr>
          <w:rFonts w:ascii="Arial" w:eastAsia="Arial" w:hAnsi="Arial" w:cs="Arial"/>
          <w:sz w:val="22"/>
          <w:szCs w:val="22"/>
          <w:lang w:val="es-ES"/>
        </w:rPr>
        <w:t xml:space="preserve">se parte </w:t>
      </w:r>
      <w:r w:rsidR="009738B7" w:rsidRPr="0077530D">
        <w:rPr>
          <w:rFonts w:ascii="Arial" w:eastAsia="Arial" w:hAnsi="Arial" w:cs="Arial"/>
          <w:sz w:val="22"/>
          <w:szCs w:val="22"/>
          <w:lang w:val="es-ES"/>
        </w:rPr>
        <w:t xml:space="preserve">de que una proporción </w:t>
      </w:r>
      <w:r w:rsidR="009E2361" w:rsidRPr="0077530D">
        <w:rPr>
          <w:rFonts w:ascii="Arial" w:eastAsia="Arial" w:hAnsi="Arial" w:cs="Arial"/>
          <w:sz w:val="22"/>
          <w:szCs w:val="22"/>
          <w:lang w:val="es-ES"/>
        </w:rPr>
        <w:t>de la población</w:t>
      </w:r>
      <w:r w:rsidR="009738B7" w:rsidRPr="0077530D">
        <w:rPr>
          <w:rFonts w:ascii="Arial" w:eastAsia="Arial" w:hAnsi="Arial" w:cs="Arial"/>
          <w:sz w:val="22"/>
          <w:szCs w:val="22"/>
          <w:lang w:val="es-ES"/>
        </w:rPr>
        <w:t xml:space="preserve"> objetivo</w:t>
      </w:r>
      <w:r w:rsidR="009E2361" w:rsidRPr="0077530D">
        <w:rPr>
          <w:rFonts w:ascii="Arial" w:eastAsia="Arial" w:hAnsi="Arial" w:cs="Arial"/>
          <w:sz w:val="22"/>
          <w:szCs w:val="22"/>
          <w:lang w:val="es-ES"/>
        </w:rPr>
        <w:t xml:space="preserve"> ya está </w:t>
      </w:r>
      <w:r w:rsidR="00F227E3" w:rsidRPr="0077530D">
        <w:rPr>
          <w:rFonts w:ascii="Arial" w:eastAsia="Arial" w:hAnsi="Arial" w:cs="Arial"/>
          <w:sz w:val="22"/>
          <w:szCs w:val="22"/>
          <w:lang w:val="es-ES"/>
        </w:rPr>
        <w:t xml:space="preserve">efectivamente </w:t>
      </w:r>
      <w:r w:rsidR="009E2361" w:rsidRPr="0077530D">
        <w:rPr>
          <w:rFonts w:ascii="Arial" w:eastAsia="Arial" w:hAnsi="Arial" w:cs="Arial"/>
          <w:sz w:val="22"/>
          <w:szCs w:val="22"/>
          <w:lang w:val="es-ES"/>
        </w:rPr>
        <w:t>cubierta</w:t>
      </w:r>
      <w:r w:rsidR="00714463" w:rsidRPr="0077530D">
        <w:rPr>
          <w:rFonts w:ascii="Arial" w:eastAsia="Arial" w:hAnsi="Arial" w:cs="Arial"/>
          <w:sz w:val="22"/>
          <w:szCs w:val="22"/>
          <w:lang w:val="es-ES"/>
        </w:rPr>
        <w:t xml:space="preserve"> por la estructura de salud disponible</w:t>
      </w:r>
      <w:r w:rsidR="00C8695A" w:rsidRPr="0077530D">
        <w:rPr>
          <w:rFonts w:ascii="Arial" w:eastAsia="Arial" w:hAnsi="Arial" w:cs="Arial"/>
          <w:sz w:val="22"/>
          <w:szCs w:val="22"/>
          <w:lang w:val="es-ES"/>
        </w:rPr>
        <w:t>. E</w:t>
      </w:r>
      <w:r w:rsidR="00F227E3" w:rsidRPr="0077530D">
        <w:rPr>
          <w:rFonts w:ascii="Arial" w:eastAsia="Arial" w:hAnsi="Arial" w:cs="Arial"/>
          <w:sz w:val="22"/>
          <w:szCs w:val="22"/>
          <w:lang w:val="es-ES"/>
        </w:rPr>
        <w:t>s decir que no solo tiene derecho</w:t>
      </w:r>
      <w:r w:rsidR="00C8695A" w:rsidRPr="0077530D">
        <w:rPr>
          <w:rFonts w:ascii="Arial" w:eastAsia="Arial" w:hAnsi="Arial" w:cs="Arial"/>
          <w:sz w:val="22"/>
          <w:szCs w:val="22"/>
          <w:lang w:val="es-ES"/>
        </w:rPr>
        <w:t xml:space="preserve"> a recibir los servicios</w:t>
      </w:r>
      <w:r w:rsidR="00F227E3" w:rsidRPr="0077530D">
        <w:rPr>
          <w:rFonts w:ascii="Arial" w:eastAsia="Arial" w:hAnsi="Arial" w:cs="Arial"/>
          <w:sz w:val="22"/>
          <w:szCs w:val="22"/>
          <w:lang w:val="es-ES"/>
        </w:rPr>
        <w:t xml:space="preserve">, sino que </w:t>
      </w:r>
      <w:r w:rsidR="00B55E1A" w:rsidRPr="0077530D">
        <w:rPr>
          <w:rFonts w:ascii="Arial" w:eastAsia="Arial" w:hAnsi="Arial" w:cs="Arial"/>
          <w:sz w:val="22"/>
          <w:szCs w:val="22"/>
          <w:lang w:val="es-ES"/>
        </w:rPr>
        <w:t>accede</w:t>
      </w:r>
      <w:r w:rsidR="00C8695A" w:rsidRPr="0077530D">
        <w:rPr>
          <w:rFonts w:ascii="Arial" w:eastAsia="Arial" w:hAnsi="Arial" w:cs="Arial"/>
          <w:sz w:val="22"/>
          <w:szCs w:val="22"/>
          <w:lang w:val="es-ES"/>
        </w:rPr>
        <w:t xml:space="preserve"> a ellos.</w:t>
      </w:r>
      <w:r w:rsidR="00F227E3" w:rsidRPr="0077530D">
        <w:rPr>
          <w:rFonts w:ascii="Arial" w:eastAsia="Arial" w:hAnsi="Arial" w:cs="Arial"/>
          <w:sz w:val="22"/>
          <w:szCs w:val="22"/>
          <w:lang w:val="es-ES"/>
        </w:rPr>
        <w:t xml:space="preserve"> </w:t>
      </w:r>
      <w:r w:rsidR="009E2E49" w:rsidRPr="0077530D">
        <w:rPr>
          <w:rFonts w:ascii="Arial" w:eastAsia="Arial" w:hAnsi="Arial" w:cs="Arial"/>
          <w:sz w:val="22"/>
          <w:szCs w:val="22"/>
          <w:lang w:val="es-ES"/>
        </w:rPr>
        <w:t>La</w:t>
      </w:r>
      <w:r w:rsidR="00C8695A" w:rsidRPr="0077530D">
        <w:rPr>
          <w:rFonts w:ascii="Arial" w:eastAsia="Arial" w:hAnsi="Arial" w:cs="Arial"/>
          <w:sz w:val="22"/>
          <w:szCs w:val="22"/>
          <w:lang w:val="es-ES"/>
        </w:rPr>
        <w:t xml:space="preserve"> </w:t>
      </w:r>
      <w:r w:rsidR="002E1A06" w:rsidRPr="0077530D">
        <w:rPr>
          <w:rFonts w:ascii="Arial" w:eastAsia="Arial" w:hAnsi="Arial" w:cs="Arial"/>
          <w:sz w:val="22"/>
          <w:szCs w:val="22"/>
          <w:lang w:val="es-ES"/>
        </w:rPr>
        <w:t>intervención aportará una mayor cobertura</w:t>
      </w:r>
      <w:r w:rsidR="00F227E3" w:rsidRPr="0077530D">
        <w:rPr>
          <w:rFonts w:ascii="Arial" w:eastAsia="Arial" w:hAnsi="Arial" w:cs="Arial"/>
          <w:sz w:val="22"/>
          <w:szCs w:val="22"/>
          <w:lang w:val="es-ES"/>
        </w:rPr>
        <w:t xml:space="preserve"> efectiva</w:t>
      </w:r>
      <w:r w:rsidR="00C8695A" w:rsidRPr="0077530D">
        <w:rPr>
          <w:rFonts w:ascii="Arial" w:eastAsia="Arial" w:hAnsi="Arial" w:cs="Arial"/>
          <w:sz w:val="22"/>
          <w:szCs w:val="22"/>
          <w:lang w:val="es-ES"/>
        </w:rPr>
        <w:t xml:space="preserve"> en </w:t>
      </w:r>
      <w:r w:rsidR="00095510" w:rsidRPr="0077530D">
        <w:rPr>
          <w:rFonts w:ascii="Arial" w:eastAsia="Arial" w:hAnsi="Arial" w:cs="Arial"/>
          <w:sz w:val="22"/>
          <w:szCs w:val="22"/>
          <w:lang w:val="es-ES"/>
        </w:rPr>
        <w:t xml:space="preserve">las </w:t>
      </w:r>
      <w:r w:rsidR="00C8695A" w:rsidRPr="0077530D">
        <w:rPr>
          <w:rFonts w:ascii="Arial" w:eastAsia="Arial" w:hAnsi="Arial" w:cs="Arial"/>
          <w:sz w:val="22"/>
          <w:szCs w:val="22"/>
          <w:lang w:val="es-ES"/>
        </w:rPr>
        <w:t>diferentes líneas de atención</w:t>
      </w:r>
      <w:r w:rsidR="002E1A06" w:rsidRPr="0077530D">
        <w:rPr>
          <w:rFonts w:ascii="Arial" w:eastAsia="Arial" w:hAnsi="Arial" w:cs="Arial"/>
          <w:sz w:val="22"/>
          <w:szCs w:val="22"/>
          <w:lang w:val="es-ES"/>
        </w:rPr>
        <w:t xml:space="preserve">. Se definen </w:t>
      </w:r>
      <w:r w:rsidR="00490D39" w:rsidRPr="0077530D">
        <w:rPr>
          <w:rFonts w:ascii="Arial" w:eastAsia="Arial" w:hAnsi="Arial" w:cs="Arial"/>
          <w:sz w:val="22"/>
          <w:szCs w:val="22"/>
          <w:lang w:val="es-ES"/>
        </w:rPr>
        <w:t>tres escenarios de</w:t>
      </w:r>
      <w:r w:rsidR="009738B7" w:rsidRPr="0077530D">
        <w:rPr>
          <w:rFonts w:ascii="Arial" w:eastAsia="Arial" w:hAnsi="Arial" w:cs="Arial"/>
          <w:sz w:val="22"/>
          <w:szCs w:val="22"/>
          <w:lang w:val="es-ES"/>
        </w:rPr>
        <w:t xml:space="preserve"> efectividad marginal para cada capa</w:t>
      </w:r>
      <w:r w:rsidR="00490D39" w:rsidRPr="0077530D">
        <w:rPr>
          <w:rFonts w:ascii="Arial" w:eastAsia="Arial" w:hAnsi="Arial" w:cs="Arial"/>
          <w:sz w:val="22"/>
          <w:szCs w:val="22"/>
          <w:lang w:val="es-ES"/>
        </w:rPr>
        <w:t xml:space="preserve">. </w:t>
      </w:r>
      <w:r w:rsidR="007772F7" w:rsidRPr="0077530D">
        <w:rPr>
          <w:rFonts w:ascii="Arial" w:eastAsia="Arial" w:hAnsi="Arial" w:cs="Arial"/>
          <w:sz w:val="22"/>
          <w:szCs w:val="22"/>
          <w:lang w:val="es-ES"/>
        </w:rPr>
        <w:t xml:space="preserve">La tabla </w:t>
      </w:r>
      <w:r w:rsidR="00C32E27" w:rsidRPr="0077530D">
        <w:rPr>
          <w:rFonts w:ascii="Arial" w:eastAsia="Arial" w:hAnsi="Arial" w:cs="Arial"/>
          <w:sz w:val="22"/>
          <w:szCs w:val="22"/>
          <w:lang w:val="es-ES"/>
        </w:rPr>
        <w:t>5</w:t>
      </w:r>
      <w:r w:rsidR="0061451B" w:rsidRPr="0077530D">
        <w:rPr>
          <w:rFonts w:ascii="Arial" w:eastAsia="Arial" w:hAnsi="Arial" w:cs="Arial"/>
          <w:sz w:val="22"/>
          <w:szCs w:val="22"/>
          <w:lang w:val="es-ES"/>
        </w:rPr>
        <w:t xml:space="preserve"> </w:t>
      </w:r>
      <w:r w:rsidR="007772F7" w:rsidRPr="0077530D">
        <w:rPr>
          <w:rFonts w:ascii="Arial" w:eastAsia="Arial" w:hAnsi="Arial" w:cs="Arial"/>
          <w:sz w:val="22"/>
          <w:szCs w:val="22"/>
          <w:lang w:val="es-ES"/>
        </w:rPr>
        <w:t>presenta los escenarios de la contribución marginal de las capas de intervención.</w:t>
      </w:r>
      <w:r w:rsidR="00FD369C" w:rsidRPr="0077530D">
        <w:rPr>
          <w:rFonts w:ascii="Arial" w:eastAsia="Arial" w:hAnsi="Arial" w:cs="Arial"/>
          <w:sz w:val="22"/>
          <w:szCs w:val="22"/>
          <w:lang w:val="es-ES"/>
        </w:rPr>
        <w:t xml:space="preserve"> </w:t>
      </w:r>
    </w:p>
    <w:p w14:paraId="1E7E4707" w14:textId="77777777" w:rsidR="003D6CBB" w:rsidRPr="0077530D" w:rsidRDefault="003D6CBB" w:rsidP="003D6CBB">
      <w:pPr>
        <w:spacing w:before="120" w:after="100" w:afterAutospacing="1"/>
        <w:jc w:val="both"/>
        <w:rPr>
          <w:rFonts w:ascii="Arial" w:hAnsi="Arial" w:cs="Arial"/>
          <w:sz w:val="22"/>
          <w:szCs w:val="22"/>
          <w:lang w:val="es-ES"/>
        </w:rPr>
      </w:pPr>
      <w:r w:rsidRPr="0077530D">
        <w:rPr>
          <w:rFonts w:ascii="Arial" w:hAnsi="Arial" w:cs="Arial"/>
          <w:sz w:val="22"/>
          <w:szCs w:val="22"/>
          <w:lang w:val="es-ES"/>
        </w:rPr>
        <w:t>No existe un modelo para estimar con precisión la contribución marginal que</w:t>
      </w:r>
      <w:r w:rsidR="00082BF8" w:rsidRPr="0077530D">
        <w:rPr>
          <w:rFonts w:ascii="Arial" w:hAnsi="Arial" w:cs="Arial"/>
          <w:sz w:val="22"/>
          <w:szCs w:val="22"/>
          <w:lang w:val="es-ES"/>
        </w:rPr>
        <w:t xml:space="preserve"> cada </w:t>
      </w:r>
      <w:r w:rsidRPr="0077530D">
        <w:rPr>
          <w:rFonts w:ascii="Arial" w:hAnsi="Arial" w:cs="Arial"/>
          <w:sz w:val="22"/>
          <w:szCs w:val="22"/>
          <w:lang w:val="es-ES"/>
        </w:rPr>
        <w:t>intervenci</w:t>
      </w:r>
      <w:r w:rsidR="00082BF8" w:rsidRPr="0077530D">
        <w:rPr>
          <w:rFonts w:ascii="Arial" w:hAnsi="Arial" w:cs="Arial"/>
          <w:sz w:val="22"/>
          <w:szCs w:val="22"/>
          <w:lang w:val="es-ES"/>
        </w:rPr>
        <w:t>ón</w:t>
      </w:r>
      <w:r w:rsidRPr="0077530D">
        <w:rPr>
          <w:rFonts w:ascii="Arial" w:hAnsi="Arial" w:cs="Arial"/>
          <w:sz w:val="22"/>
          <w:szCs w:val="22"/>
          <w:lang w:val="es-ES"/>
        </w:rPr>
        <w:t xml:space="preserve"> tendrá a la cobertura efectiva. Sin embargo</w:t>
      </w:r>
      <w:r w:rsidR="00082BF8" w:rsidRPr="0077530D">
        <w:rPr>
          <w:rFonts w:ascii="Arial" w:hAnsi="Arial" w:cs="Arial"/>
          <w:sz w:val="22"/>
          <w:szCs w:val="22"/>
          <w:lang w:val="es-ES"/>
        </w:rPr>
        <w:t>,</w:t>
      </w:r>
      <w:r w:rsidRPr="0077530D">
        <w:rPr>
          <w:rFonts w:ascii="Arial" w:hAnsi="Arial" w:cs="Arial"/>
          <w:sz w:val="22"/>
          <w:szCs w:val="22"/>
          <w:lang w:val="es-ES"/>
        </w:rPr>
        <w:t xml:space="preserve"> es posible identificar los márgenes de mejora en cada intervenci</w:t>
      </w:r>
      <w:r w:rsidR="009C5EF5" w:rsidRPr="0077530D">
        <w:rPr>
          <w:rFonts w:ascii="Arial" w:hAnsi="Arial" w:cs="Arial"/>
          <w:sz w:val="22"/>
          <w:szCs w:val="22"/>
          <w:lang w:val="es-ES"/>
        </w:rPr>
        <w:t>ó</w:t>
      </w:r>
      <w:r w:rsidRPr="0077530D">
        <w:rPr>
          <w:rFonts w:ascii="Arial" w:hAnsi="Arial" w:cs="Arial"/>
          <w:sz w:val="22"/>
          <w:szCs w:val="22"/>
          <w:lang w:val="es-ES"/>
        </w:rPr>
        <w:t xml:space="preserve">n y el análisis de sensibilidad permite analizar varios escenarios plausibles. </w:t>
      </w:r>
    </w:p>
    <w:p w14:paraId="6D77A6AA" w14:textId="6C54157A" w:rsidR="00883309" w:rsidRPr="0077530D" w:rsidRDefault="003D6CBB" w:rsidP="001025F1">
      <w:pPr>
        <w:spacing w:before="120" w:after="100" w:afterAutospacing="1"/>
        <w:jc w:val="both"/>
        <w:rPr>
          <w:rFonts w:ascii="Arial" w:hAnsi="Arial" w:cs="Arial"/>
          <w:sz w:val="22"/>
          <w:szCs w:val="22"/>
          <w:lang w:val="es-ES"/>
        </w:rPr>
      </w:pPr>
      <w:r w:rsidRPr="0077530D">
        <w:rPr>
          <w:rFonts w:ascii="Arial" w:hAnsi="Arial" w:cs="Arial"/>
          <w:sz w:val="22"/>
          <w:szCs w:val="22"/>
          <w:lang w:val="es-ES"/>
        </w:rPr>
        <w:t>Los beneficios a nivel nacional en la cobertura marginal efectiva se justifican por la</w:t>
      </w:r>
      <w:r w:rsidR="00B01D3B" w:rsidRPr="0077530D">
        <w:rPr>
          <w:rFonts w:ascii="Arial" w:hAnsi="Arial" w:cs="Arial"/>
          <w:sz w:val="22"/>
          <w:szCs w:val="22"/>
          <w:lang w:val="es-ES"/>
        </w:rPr>
        <w:t xml:space="preserve"> </w:t>
      </w:r>
      <w:r w:rsidR="00542349" w:rsidRPr="0077530D">
        <w:rPr>
          <w:rFonts w:ascii="Arial" w:hAnsi="Arial" w:cs="Arial"/>
          <w:sz w:val="22"/>
          <w:szCs w:val="22"/>
          <w:lang w:val="es-ES"/>
        </w:rPr>
        <w:t>ampliación</w:t>
      </w:r>
      <w:r w:rsidR="00B01D3B" w:rsidRPr="0077530D">
        <w:rPr>
          <w:rFonts w:ascii="Arial" w:hAnsi="Arial" w:cs="Arial"/>
          <w:sz w:val="22"/>
          <w:szCs w:val="22"/>
          <w:lang w:val="es-ES"/>
        </w:rPr>
        <w:t xml:space="preserve">, construcción y equipamiento </w:t>
      </w:r>
      <w:r w:rsidR="00BC526A" w:rsidRPr="0077530D">
        <w:rPr>
          <w:rFonts w:ascii="Arial" w:hAnsi="Arial" w:cs="Arial"/>
          <w:sz w:val="22"/>
          <w:szCs w:val="22"/>
          <w:lang w:val="es-ES"/>
        </w:rPr>
        <w:t xml:space="preserve">de hospitales </w:t>
      </w:r>
      <w:r w:rsidR="00B01D3B" w:rsidRPr="0077530D">
        <w:rPr>
          <w:rFonts w:ascii="Arial" w:hAnsi="Arial" w:cs="Arial"/>
          <w:sz w:val="22"/>
          <w:szCs w:val="22"/>
          <w:lang w:val="es-ES"/>
        </w:rPr>
        <w:t xml:space="preserve">de segundo y tercer nivel de atención y centros de salud asociados </w:t>
      </w:r>
      <w:r w:rsidRPr="0077530D">
        <w:rPr>
          <w:rFonts w:ascii="Arial" w:hAnsi="Arial" w:cs="Arial"/>
          <w:sz w:val="22"/>
          <w:szCs w:val="22"/>
          <w:lang w:val="es-ES"/>
        </w:rPr>
        <w:t xml:space="preserve">que </w:t>
      </w:r>
      <w:r w:rsidR="008D6A15" w:rsidRPr="0077530D">
        <w:rPr>
          <w:rFonts w:ascii="Arial" w:hAnsi="Arial" w:cs="Arial"/>
          <w:sz w:val="22"/>
          <w:szCs w:val="22"/>
          <w:lang w:val="es-ES"/>
        </w:rPr>
        <w:t>ampliar</w:t>
      </w:r>
      <w:r w:rsidRPr="0077530D">
        <w:rPr>
          <w:rFonts w:ascii="Arial" w:hAnsi="Arial" w:cs="Arial"/>
          <w:sz w:val="22"/>
          <w:szCs w:val="22"/>
          <w:lang w:val="es-ES"/>
        </w:rPr>
        <w:t>á la red de servicios de salud</w:t>
      </w:r>
      <w:r w:rsidR="003A5CD6" w:rsidRPr="0077530D">
        <w:rPr>
          <w:rFonts w:ascii="Arial" w:hAnsi="Arial" w:cs="Arial"/>
          <w:sz w:val="22"/>
          <w:szCs w:val="22"/>
          <w:lang w:val="es-ES"/>
        </w:rPr>
        <w:t>.</w:t>
      </w:r>
      <w:r w:rsidRPr="0077530D">
        <w:rPr>
          <w:rFonts w:ascii="Arial" w:hAnsi="Arial" w:cs="Arial"/>
          <w:sz w:val="22"/>
          <w:szCs w:val="22"/>
          <w:lang w:val="es-ES"/>
        </w:rPr>
        <w:t xml:space="preserve"> Se espera que la mejoras en la cobertura </w:t>
      </w:r>
      <w:r w:rsidR="00B573DB" w:rsidRPr="0077530D">
        <w:rPr>
          <w:rFonts w:ascii="Arial" w:hAnsi="Arial" w:cs="Arial"/>
          <w:sz w:val="22"/>
          <w:szCs w:val="22"/>
          <w:lang w:val="es-ES"/>
        </w:rPr>
        <w:t xml:space="preserve">sean de </w:t>
      </w:r>
      <w:r w:rsidRPr="0077530D">
        <w:rPr>
          <w:rFonts w:ascii="Arial" w:hAnsi="Arial" w:cs="Arial"/>
          <w:sz w:val="22"/>
          <w:szCs w:val="22"/>
          <w:lang w:val="es-ES"/>
        </w:rPr>
        <w:t xml:space="preserve">entre el </w:t>
      </w:r>
      <w:r w:rsidR="006F543B" w:rsidRPr="0077530D">
        <w:rPr>
          <w:rFonts w:ascii="Arial" w:hAnsi="Arial" w:cs="Arial"/>
          <w:sz w:val="22"/>
          <w:szCs w:val="22"/>
          <w:lang w:val="es-ES"/>
        </w:rPr>
        <w:t>8</w:t>
      </w:r>
      <w:r w:rsidRPr="0077530D">
        <w:rPr>
          <w:rFonts w:ascii="Arial" w:hAnsi="Arial" w:cs="Arial"/>
          <w:sz w:val="22"/>
          <w:szCs w:val="22"/>
          <w:lang w:val="es-ES"/>
        </w:rPr>
        <w:t xml:space="preserve">% y el </w:t>
      </w:r>
      <w:r w:rsidR="00AF0436" w:rsidRPr="0077530D">
        <w:rPr>
          <w:rFonts w:ascii="Arial" w:hAnsi="Arial" w:cs="Arial"/>
          <w:sz w:val="22"/>
          <w:szCs w:val="22"/>
          <w:lang w:val="es-ES"/>
        </w:rPr>
        <w:t>1</w:t>
      </w:r>
      <w:r w:rsidR="006F543B" w:rsidRPr="0077530D">
        <w:rPr>
          <w:rFonts w:ascii="Arial" w:hAnsi="Arial" w:cs="Arial"/>
          <w:sz w:val="22"/>
          <w:szCs w:val="22"/>
          <w:lang w:val="es-ES"/>
        </w:rPr>
        <w:t>6</w:t>
      </w:r>
      <w:r w:rsidRPr="0077530D">
        <w:rPr>
          <w:rFonts w:ascii="Arial" w:hAnsi="Arial" w:cs="Arial"/>
          <w:sz w:val="22"/>
          <w:szCs w:val="22"/>
          <w:lang w:val="es-ES"/>
        </w:rPr>
        <w:t>%.</w:t>
      </w:r>
      <w:r w:rsidR="00B573DB" w:rsidRPr="0077530D">
        <w:rPr>
          <w:rFonts w:ascii="Arial" w:hAnsi="Arial" w:cs="Arial"/>
          <w:sz w:val="22"/>
          <w:szCs w:val="22"/>
          <w:lang w:val="es-ES"/>
        </w:rPr>
        <w:t xml:space="preserve"> Las intervenciones aquí incluidas </w:t>
      </w:r>
      <w:r w:rsidR="00112C7F" w:rsidRPr="0077530D">
        <w:rPr>
          <w:rFonts w:ascii="Arial" w:hAnsi="Arial" w:cs="Arial"/>
          <w:sz w:val="22"/>
          <w:szCs w:val="22"/>
          <w:lang w:val="es-ES"/>
        </w:rPr>
        <w:t xml:space="preserve">se consideran </w:t>
      </w:r>
      <w:r w:rsidR="000F50CB" w:rsidRPr="0077530D">
        <w:rPr>
          <w:rFonts w:ascii="Arial" w:hAnsi="Arial" w:cs="Arial"/>
          <w:sz w:val="22"/>
          <w:szCs w:val="22"/>
          <w:lang w:val="es-ES"/>
        </w:rPr>
        <w:t xml:space="preserve">principalmente las inversiones en nuevos servicios, remodelaciones, ampliaciones de los distintos tipos de servicios. </w:t>
      </w:r>
      <w:r w:rsidR="006D5B77" w:rsidRPr="0077530D">
        <w:rPr>
          <w:rFonts w:ascii="Arial" w:hAnsi="Arial" w:cs="Arial"/>
          <w:sz w:val="22"/>
          <w:szCs w:val="22"/>
          <w:lang w:val="es-ES"/>
        </w:rPr>
        <w:t>El</w:t>
      </w:r>
      <w:r w:rsidR="008C5592" w:rsidRPr="0077530D">
        <w:rPr>
          <w:rFonts w:ascii="Arial" w:hAnsi="Arial" w:cs="Arial"/>
          <w:sz w:val="22"/>
          <w:szCs w:val="22"/>
          <w:lang w:val="es-ES"/>
        </w:rPr>
        <w:t xml:space="preserve"> programa interviene </w:t>
      </w:r>
      <w:r w:rsidR="00282812" w:rsidRPr="0077530D">
        <w:rPr>
          <w:rFonts w:ascii="Arial" w:hAnsi="Arial" w:cs="Arial"/>
          <w:sz w:val="22"/>
          <w:szCs w:val="22"/>
          <w:lang w:val="es-ES"/>
        </w:rPr>
        <w:t xml:space="preserve">además </w:t>
      </w:r>
      <w:r w:rsidR="008C5592" w:rsidRPr="0077530D">
        <w:rPr>
          <w:rFonts w:ascii="Arial" w:hAnsi="Arial" w:cs="Arial"/>
          <w:sz w:val="22"/>
          <w:szCs w:val="22"/>
          <w:lang w:val="es-ES"/>
        </w:rPr>
        <w:t xml:space="preserve">en generar mejoras en los sistemas de información, gestión, </w:t>
      </w:r>
      <w:r w:rsidR="00E53758" w:rsidRPr="0077530D">
        <w:rPr>
          <w:rFonts w:ascii="Arial" w:hAnsi="Arial" w:cs="Arial"/>
          <w:sz w:val="22"/>
          <w:szCs w:val="22"/>
          <w:lang w:val="es-ES"/>
        </w:rPr>
        <w:t xml:space="preserve">seguimiento y evaluación entre otros, los cuales potenciaran el </w:t>
      </w:r>
      <w:r w:rsidR="008D216D" w:rsidRPr="0077530D">
        <w:rPr>
          <w:rFonts w:ascii="Arial" w:hAnsi="Arial" w:cs="Arial"/>
          <w:sz w:val="22"/>
          <w:szCs w:val="22"/>
          <w:lang w:val="es-ES"/>
        </w:rPr>
        <w:t>impacto generado por las inversiones en infraestructura</w:t>
      </w:r>
      <w:r w:rsidR="006D5B77" w:rsidRPr="0077530D">
        <w:rPr>
          <w:rFonts w:ascii="Arial" w:hAnsi="Arial" w:cs="Arial"/>
          <w:sz w:val="22"/>
          <w:szCs w:val="22"/>
          <w:lang w:val="es-ES"/>
        </w:rPr>
        <w:t xml:space="preserve"> en el funcionamiento de las redes a nivel nacional</w:t>
      </w:r>
      <w:r w:rsidR="00174034" w:rsidRPr="0077530D">
        <w:rPr>
          <w:rFonts w:ascii="Arial" w:hAnsi="Arial" w:cs="Arial"/>
          <w:sz w:val="22"/>
          <w:szCs w:val="22"/>
          <w:lang w:val="es-ES"/>
        </w:rPr>
        <w:t>. A</w:t>
      </w:r>
      <w:r w:rsidR="006D5B77" w:rsidRPr="0077530D">
        <w:rPr>
          <w:rFonts w:ascii="Arial" w:hAnsi="Arial" w:cs="Arial"/>
          <w:sz w:val="22"/>
          <w:szCs w:val="22"/>
          <w:lang w:val="es-ES"/>
        </w:rPr>
        <w:t xml:space="preserve">demás de afectar positivamente a otras ares de cuidado no incluidas en el análisis. </w:t>
      </w:r>
    </w:p>
    <w:p w14:paraId="2241C0C5" w14:textId="1958D2D9" w:rsidR="00B956BE" w:rsidRPr="0077530D" w:rsidRDefault="00B956BE" w:rsidP="001A6051">
      <w:pPr>
        <w:pStyle w:val="Caption"/>
      </w:pPr>
      <w:bookmarkStart w:id="84" w:name="_Ref296084206"/>
      <w:r w:rsidRPr="0077530D">
        <w:lastRenderedPageBreak/>
        <w:t xml:space="preserve">Tabla </w:t>
      </w:r>
      <w:r w:rsidR="00871BC0" w:rsidRPr="0077530D">
        <w:fldChar w:fldCharType="begin"/>
      </w:r>
      <w:r w:rsidR="00871BC0" w:rsidRPr="0077530D">
        <w:rPr>
          <w:noProof/>
        </w:rPr>
        <w:instrText xml:space="preserve"> SEQ Tabla \* ARABIC </w:instrText>
      </w:r>
      <w:r w:rsidR="00871BC0" w:rsidRPr="0077530D">
        <w:rPr>
          <w:noProof/>
        </w:rPr>
        <w:fldChar w:fldCharType="separate"/>
      </w:r>
      <w:r w:rsidR="000A3DCE" w:rsidRPr="0077530D">
        <w:rPr>
          <w:noProof/>
        </w:rPr>
        <w:t>4</w:t>
      </w:r>
      <w:r w:rsidR="00871BC0" w:rsidRPr="0077530D">
        <w:fldChar w:fldCharType="end"/>
      </w:r>
      <w:bookmarkEnd w:id="84"/>
      <w:r w:rsidR="007772F7" w:rsidRPr="0077530D">
        <w:t>. Escenarios de contribución marginal a la cobertura efectiva de</w:t>
      </w:r>
      <w:r w:rsidR="002D4A7E" w:rsidRPr="0077530D">
        <w:t xml:space="preserve">l servicio público </w:t>
      </w:r>
      <w:r w:rsidR="006E2525" w:rsidRPr="0077530D">
        <w:t>en las redes intervenidas</w:t>
      </w:r>
    </w:p>
    <w:tbl>
      <w:tblPr>
        <w:tblStyle w:val="GridTable5Dark-Accent11"/>
        <w:tblW w:w="0" w:type="auto"/>
        <w:jc w:val="center"/>
        <w:tblLook w:val="04A0" w:firstRow="1" w:lastRow="0" w:firstColumn="1" w:lastColumn="0" w:noHBand="0" w:noVBand="1"/>
      </w:tblPr>
      <w:tblGrid>
        <w:gridCol w:w="1960"/>
        <w:gridCol w:w="3755"/>
      </w:tblGrid>
      <w:tr w:rsidR="00701220" w:rsidRPr="0077530D" w14:paraId="6F18A9D4" w14:textId="77777777" w:rsidTr="0077530D">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F8D0687" w14:textId="77777777" w:rsidR="00701220" w:rsidRPr="0077530D" w:rsidRDefault="00701220" w:rsidP="00791157">
            <w:pPr>
              <w:keepNext/>
              <w:spacing w:after="100" w:afterAutospacing="1"/>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 </w:t>
            </w:r>
          </w:p>
        </w:tc>
        <w:tc>
          <w:tcPr>
            <w:tcW w:w="0" w:type="auto"/>
            <w:hideMark/>
          </w:tcPr>
          <w:p w14:paraId="70405563" w14:textId="2ECED449" w:rsidR="00701220" w:rsidRPr="0077530D" w:rsidRDefault="000246D2" w:rsidP="00791157">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sz w:val="16"/>
                <w:szCs w:val="16"/>
                <w:lang w:val="es-ES_tradnl"/>
              </w:rPr>
              <w:t>Contribución</w:t>
            </w:r>
            <w:r w:rsidR="006E2525" w:rsidRPr="0077530D">
              <w:rPr>
                <w:rFonts w:ascii="Arial" w:eastAsia="Times New Roman" w:hAnsi="Arial" w:cs="Arial"/>
                <w:sz w:val="16"/>
                <w:szCs w:val="16"/>
                <w:lang w:val="es-ES_tradnl"/>
              </w:rPr>
              <w:t xml:space="preserve"> marginal </w:t>
            </w:r>
            <w:r w:rsidRPr="0077530D">
              <w:rPr>
                <w:rFonts w:ascii="Arial" w:eastAsia="Times New Roman" w:hAnsi="Arial" w:cs="Arial"/>
                <w:sz w:val="16"/>
                <w:szCs w:val="16"/>
                <w:lang w:val="es-ES_tradnl"/>
              </w:rPr>
              <w:t>en</w:t>
            </w:r>
            <w:r w:rsidR="006E2525" w:rsidRPr="0077530D">
              <w:rPr>
                <w:rFonts w:ascii="Arial" w:eastAsia="Times New Roman" w:hAnsi="Arial" w:cs="Arial"/>
                <w:sz w:val="16"/>
                <w:szCs w:val="16"/>
                <w:lang w:val="es-ES_tradnl"/>
              </w:rPr>
              <w:t xml:space="preserve"> la cobertura efectiva</w:t>
            </w:r>
          </w:p>
        </w:tc>
      </w:tr>
      <w:tr w:rsidR="00701220" w:rsidRPr="0077530D" w14:paraId="706CED1B" w14:textId="77777777" w:rsidTr="0077530D">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0381564" w14:textId="77777777" w:rsidR="00701220" w:rsidRPr="0077530D" w:rsidRDefault="00701220" w:rsidP="00791157">
            <w:pPr>
              <w:keepNext/>
              <w:spacing w:after="100" w:afterAutospacing="1"/>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Escenario 1: Pesimista</w:t>
            </w:r>
          </w:p>
        </w:tc>
        <w:tc>
          <w:tcPr>
            <w:tcW w:w="0" w:type="auto"/>
            <w:noWrap/>
            <w:vAlign w:val="bottom"/>
            <w:hideMark/>
          </w:tcPr>
          <w:p w14:paraId="22995C0C" w14:textId="4B6FED91" w:rsidR="00701220" w:rsidRPr="0077530D" w:rsidRDefault="004A66D9" w:rsidP="00791157">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rPr>
              <w:t>8</w:t>
            </w:r>
            <w:r w:rsidR="00701220" w:rsidRPr="0077530D">
              <w:rPr>
                <w:rFonts w:ascii="Arial" w:eastAsia="Times New Roman" w:hAnsi="Arial" w:cs="Arial"/>
                <w:color w:val="000000"/>
                <w:sz w:val="16"/>
                <w:szCs w:val="16"/>
              </w:rPr>
              <w:t>%</w:t>
            </w:r>
          </w:p>
        </w:tc>
      </w:tr>
      <w:tr w:rsidR="00701220" w:rsidRPr="0077530D" w14:paraId="42033A19" w14:textId="77777777" w:rsidTr="0077530D">
        <w:trPr>
          <w:trHeight w:val="3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D12038" w14:textId="77777777" w:rsidR="00701220" w:rsidRPr="0077530D" w:rsidRDefault="00701220" w:rsidP="00791157">
            <w:pPr>
              <w:keepNext/>
              <w:spacing w:after="100" w:afterAutospacing="1"/>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Escenario 2: Medio</w:t>
            </w:r>
          </w:p>
        </w:tc>
        <w:tc>
          <w:tcPr>
            <w:tcW w:w="0" w:type="auto"/>
            <w:noWrap/>
            <w:vAlign w:val="bottom"/>
            <w:hideMark/>
          </w:tcPr>
          <w:p w14:paraId="7ACDBE1C" w14:textId="00A95ACB" w:rsidR="00701220" w:rsidRPr="0077530D" w:rsidRDefault="004A66D9" w:rsidP="00791157">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es-ES_tradnl"/>
              </w:rPr>
            </w:pPr>
            <w:r w:rsidRPr="0077530D">
              <w:rPr>
                <w:rFonts w:ascii="Arial" w:eastAsia="Times New Roman" w:hAnsi="Arial" w:cs="Arial"/>
                <w:sz w:val="16"/>
                <w:szCs w:val="16"/>
              </w:rPr>
              <w:t>1</w:t>
            </w:r>
            <w:r w:rsidR="00D805AC" w:rsidRPr="0077530D">
              <w:rPr>
                <w:rFonts w:ascii="Arial" w:eastAsia="Times New Roman" w:hAnsi="Arial" w:cs="Arial"/>
                <w:sz w:val="16"/>
                <w:szCs w:val="16"/>
              </w:rPr>
              <w:t>2</w:t>
            </w:r>
            <w:r w:rsidR="00701220" w:rsidRPr="0077530D">
              <w:rPr>
                <w:rFonts w:ascii="Arial" w:eastAsia="Times New Roman" w:hAnsi="Arial" w:cs="Arial"/>
                <w:sz w:val="16"/>
                <w:szCs w:val="16"/>
              </w:rPr>
              <w:t>%</w:t>
            </w:r>
          </w:p>
        </w:tc>
      </w:tr>
      <w:tr w:rsidR="00701220" w:rsidRPr="0077530D" w14:paraId="43D05DEC" w14:textId="77777777" w:rsidTr="0077530D">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0D8A9BA" w14:textId="77777777" w:rsidR="00701220" w:rsidRPr="0077530D" w:rsidRDefault="00701220" w:rsidP="00791157">
            <w:pPr>
              <w:keepNext/>
              <w:spacing w:after="100" w:afterAutospacing="1"/>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Escenario 3: Optimista</w:t>
            </w:r>
          </w:p>
        </w:tc>
        <w:tc>
          <w:tcPr>
            <w:tcW w:w="0" w:type="auto"/>
            <w:noWrap/>
            <w:vAlign w:val="bottom"/>
            <w:hideMark/>
          </w:tcPr>
          <w:p w14:paraId="62F3F379" w14:textId="1187179C" w:rsidR="00701220" w:rsidRPr="0077530D" w:rsidRDefault="004A66D9" w:rsidP="00791157">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es-ES_tradnl"/>
              </w:rPr>
            </w:pPr>
            <w:r w:rsidRPr="0077530D">
              <w:rPr>
                <w:rFonts w:ascii="Arial" w:eastAsia="Times New Roman" w:hAnsi="Arial" w:cs="Arial"/>
                <w:sz w:val="16"/>
                <w:szCs w:val="16"/>
              </w:rPr>
              <w:t>1</w:t>
            </w:r>
            <w:r w:rsidR="00D805AC" w:rsidRPr="0077530D">
              <w:rPr>
                <w:rFonts w:ascii="Arial" w:eastAsia="Times New Roman" w:hAnsi="Arial" w:cs="Arial"/>
                <w:sz w:val="16"/>
                <w:szCs w:val="16"/>
              </w:rPr>
              <w:t>6</w:t>
            </w:r>
            <w:r w:rsidR="00701220" w:rsidRPr="0077530D">
              <w:rPr>
                <w:rFonts w:ascii="Arial" w:eastAsia="Times New Roman" w:hAnsi="Arial" w:cs="Arial"/>
                <w:sz w:val="16"/>
                <w:szCs w:val="16"/>
              </w:rPr>
              <w:t>%</w:t>
            </w:r>
          </w:p>
        </w:tc>
      </w:tr>
    </w:tbl>
    <w:p w14:paraId="2BAFEEF8" w14:textId="7CC38CAE" w:rsidR="00F7002E" w:rsidRPr="0077530D" w:rsidRDefault="001A6051" w:rsidP="001A6051">
      <w:pPr>
        <w:keepNext/>
        <w:tabs>
          <w:tab w:val="left" w:pos="1890"/>
        </w:tabs>
        <w:spacing w:before="120" w:after="100" w:afterAutospacing="1"/>
        <w:jc w:val="both"/>
        <w:rPr>
          <w:rFonts w:ascii="Arial" w:hAnsi="Arial" w:cs="Arial"/>
          <w:sz w:val="16"/>
          <w:szCs w:val="16"/>
          <w:lang w:val="es-ES"/>
        </w:rPr>
      </w:pPr>
      <w:r w:rsidRPr="0077530D">
        <w:rPr>
          <w:rFonts w:ascii="Arial" w:hAnsi="Arial" w:cs="Arial"/>
          <w:sz w:val="16"/>
          <w:szCs w:val="16"/>
          <w:lang w:val="es-ES"/>
        </w:rPr>
        <w:tab/>
      </w:r>
      <w:r w:rsidR="009A7753" w:rsidRPr="0077530D">
        <w:rPr>
          <w:rFonts w:ascii="Arial" w:hAnsi="Arial" w:cs="Arial"/>
          <w:sz w:val="16"/>
          <w:szCs w:val="16"/>
          <w:lang w:val="es-ES"/>
        </w:rPr>
        <w:t>Fuente: Elaboració</w:t>
      </w:r>
      <w:r w:rsidR="00FB6D56" w:rsidRPr="0077530D">
        <w:rPr>
          <w:rFonts w:ascii="Arial" w:hAnsi="Arial" w:cs="Arial"/>
          <w:sz w:val="16"/>
          <w:szCs w:val="16"/>
          <w:lang w:val="es-ES"/>
        </w:rPr>
        <w:t>n de los autores.</w:t>
      </w:r>
    </w:p>
    <w:p w14:paraId="176F5778" w14:textId="694A8837" w:rsidR="00247BDD" w:rsidRPr="0077530D" w:rsidRDefault="00FA34E2" w:rsidP="001025F1">
      <w:pPr>
        <w:autoSpaceDE w:val="0"/>
        <w:autoSpaceDN w:val="0"/>
        <w:adjustRightInd w:val="0"/>
        <w:spacing w:before="240" w:after="100" w:afterAutospacing="1"/>
        <w:jc w:val="both"/>
        <w:rPr>
          <w:rFonts w:ascii="Arial" w:hAnsi="Arial" w:cs="Arial"/>
          <w:sz w:val="22"/>
          <w:szCs w:val="22"/>
          <w:lang w:val="es-ES"/>
        </w:rPr>
      </w:pPr>
      <w:r w:rsidRPr="0077530D">
        <w:rPr>
          <w:rFonts w:ascii="Arial" w:hAnsi="Arial" w:cs="Arial"/>
          <w:sz w:val="22"/>
          <w:szCs w:val="22"/>
          <w:lang w:val="es-ES"/>
        </w:rPr>
        <w:t>Para asigna</w:t>
      </w:r>
      <w:r w:rsidR="00B4231E" w:rsidRPr="0077530D">
        <w:rPr>
          <w:rFonts w:ascii="Arial" w:hAnsi="Arial" w:cs="Arial"/>
          <w:sz w:val="22"/>
          <w:szCs w:val="22"/>
          <w:lang w:val="es-ES"/>
        </w:rPr>
        <w:t>r un valor monetario a los AVADs obtenidos por todas las intervenciones</w:t>
      </w:r>
      <w:r w:rsidR="00FB6D56" w:rsidRPr="0077530D">
        <w:rPr>
          <w:rFonts w:ascii="Arial" w:hAnsi="Arial" w:cs="Arial"/>
          <w:sz w:val="22"/>
          <w:szCs w:val="22"/>
          <w:lang w:val="es-ES"/>
        </w:rPr>
        <w:t>, se presume que</w:t>
      </w:r>
      <w:r w:rsidRPr="0077530D">
        <w:rPr>
          <w:rFonts w:ascii="Arial" w:hAnsi="Arial" w:cs="Arial"/>
          <w:sz w:val="22"/>
          <w:szCs w:val="22"/>
          <w:lang w:val="es-ES"/>
        </w:rPr>
        <w:t xml:space="preserve"> </w:t>
      </w:r>
      <w:r w:rsidR="00B4231E" w:rsidRPr="0077530D">
        <w:rPr>
          <w:rFonts w:ascii="Arial" w:hAnsi="Arial" w:cs="Arial"/>
          <w:sz w:val="22"/>
          <w:szCs w:val="22"/>
          <w:lang w:val="es-ES"/>
        </w:rPr>
        <w:t>cada AVAD equivale</w:t>
      </w:r>
      <w:r w:rsidRPr="0077530D">
        <w:rPr>
          <w:rFonts w:ascii="Arial" w:hAnsi="Arial" w:cs="Arial"/>
          <w:sz w:val="22"/>
          <w:szCs w:val="22"/>
          <w:lang w:val="es-ES"/>
        </w:rPr>
        <w:t xml:space="preserve"> a u</w:t>
      </w:r>
      <w:r w:rsidR="00B4231E" w:rsidRPr="0077530D">
        <w:rPr>
          <w:rFonts w:ascii="Arial" w:hAnsi="Arial" w:cs="Arial"/>
          <w:sz w:val="22"/>
          <w:szCs w:val="22"/>
          <w:lang w:val="es-ES"/>
        </w:rPr>
        <w:t>n año de productividad plena</w:t>
      </w:r>
      <w:r w:rsidRPr="0077530D">
        <w:rPr>
          <w:rFonts w:ascii="Arial" w:hAnsi="Arial" w:cs="Arial"/>
          <w:sz w:val="22"/>
          <w:szCs w:val="22"/>
          <w:lang w:val="es-ES"/>
        </w:rPr>
        <w:t xml:space="preserve">. </w:t>
      </w:r>
      <w:r w:rsidR="00FB6D56" w:rsidRPr="0077530D">
        <w:rPr>
          <w:rFonts w:ascii="Arial" w:hAnsi="Arial" w:cs="Arial"/>
          <w:sz w:val="22"/>
          <w:szCs w:val="22"/>
          <w:lang w:val="es-ES"/>
        </w:rPr>
        <w:t>Basado en este supuesto el aumento en</w:t>
      </w:r>
      <w:r w:rsidRPr="0077530D">
        <w:rPr>
          <w:rFonts w:ascii="Arial" w:hAnsi="Arial" w:cs="Arial"/>
          <w:sz w:val="22"/>
          <w:szCs w:val="22"/>
          <w:lang w:val="es-ES"/>
        </w:rPr>
        <w:t xml:space="preserve"> productivid</w:t>
      </w:r>
      <w:r w:rsidR="00FB6D56" w:rsidRPr="0077530D">
        <w:rPr>
          <w:rFonts w:ascii="Arial" w:hAnsi="Arial" w:cs="Arial"/>
          <w:sz w:val="22"/>
          <w:szCs w:val="22"/>
          <w:lang w:val="es-ES"/>
        </w:rPr>
        <w:t xml:space="preserve">ad se puede valorar </w:t>
      </w:r>
      <w:r w:rsidR="00E72416" w:rsidRPr="0077530D">
        <w:rPr>
          <w:rFonts w:ascii="Arial" w:hAnsi="Arial" w:cs="Arial"/>
          <w:sz w:val="22"/>
          <w:szCs w:val="22"/>
          <w:lang w:val="es-ES"/>
        </w:rPr>
        <w:t>utilizando</w:t>
      </w:r>
      <w:r w:rsidR="00FB6D56" w:rsidRPr="0077530D">
        <w:rPr>
          <w:rFonts w:ascii="Arial" w:hAnsi="Arial" w:cs="Arial"/>
          <w:sz w:val="22"/>
          <w:szCs w:val="22"/>
          <w:lang w:val="es-ES"/>
        </w:rPr>
        <w:t xml:space="preserve"> el</w:t>
      </w:r>
      <w:r w:rsidRPr="0077530D">
        <w:rPr>
          <w:rFonts w:ascii="Arial" w:hAnsi="Arial" w:cs="Arial"/>
          <w:sz w:val="22"/>
          <w:szCs w:val="22"/>
          <w:lang w:val="es-ES"/>
        </w:rPr>
        <w:t xml:space="preserve"> PIB per cápita </w:t>
      </w:r>
      <w:r w:rsidR="00413005" w:rsidRPr="0077530D">
        <w:rPr>
          <w:rFonts w:ascii="Arial" w:hAnsi="Arial" w:cs="Arial"/>
          <w:sz w:val="22"/>
          <w:szCs w:val="22"/>
          <w:lang w:val="es-ES"/>
        </w:rPr>
        <w:t>en dólares</w:t>
      </w:r>
      <w:r w:rsidR="00F4093B" w:rsidRPr="0077530D">
        <w:rPr>
          <w:rFonts w:ascii="Arial" w:hAnsi="Arial" w:cs="Arial"/>
          <w:sz w:val="22"/>
          <w:szCs w:val="22"/>
          <w:lang w:val="es-ES"/>
        </w:rPr>
        <w:t xml:space="preserve"> corrientes</w:t>
      </w:r>
      <w:r w:rsidR="00413005" w:rsidRPr="0077530D">
        <w:rPr>
          <w:rFonts w:ascii="Arial" w:hAnsi="Arial" w:cs="Arial"/>
          <w:sz w:val="22"/>
          <w:szCs w:val="22"/>
          <w:lang w:val="es-ES"/>
        </w:rPr>
        <w:t xml:space="preserve"> </w:t>
      </w:r>
      <w:r w:rsidR="008336D2" w:rsidRPr="0077530D">
        <w:rPr>
          <w:rFonts w:ascii="Arial" w:hAnsi="Arial" w:cs="Arial"/>
          <w:sz w:val="22"/>
          <w:szCs w:val="22"/>
          <w:lang w:val="es-ES"/>
        </w:rPr>
        <w:t xml:space="preserve">de </w:t>
      </w:r>
      <w:r w:rsidR="0058518F" w:rsidRPr="0077530D">
        <w:rPr>
          <w:rFonts w:ascii="Arial" w:hAnsi="Arial" w:cs="Arial"/>
          <w:sz w:val="22"/>
          <w:szCs w:val="22"/>
          <w:lang w:val="es-ES"/>
        </w:rPr>
        <w:t>Bolivia</w:t>
      </w:r>
      <w:r w:rsidR="00256486" w:rsidRPr="0077530D">
        <w:rPr>
          <w:rFonts w:ascii="Arial" w:hAnsi="Arial" w:cs="Arial"/>
          <w:sz w:val="22"/>
          <w:szCs w:val="22"/>
          <w:lang w:val="es-ES"/>
        </w:rPr>
        <w:t xml:space="preserve"> que de</w:t>
      </w:r>
      <w:r w:rsidR="00C14AF3" w:rsidRPr="0077530D">
        <w:rPr>
          <w:rFonts w:ascii="Arial" w:hAnsi="Arial" w:cs="Arial"/>
          <w:sz w:val="22"/>
          <w:szCs w:val="22"/>
          <w:lang w:val="es-ES"/>
        </w:rPr>
        <w:t xml:space="preserve"> acuerdo a las estimaciones del</w:t>
      </w:r>
      <w:r w:rsidR="008336D2" w:rsidRPr="0077530D">
        <w:rPr>
          <w:rFonts w:ascii="Arial" w:hAnsi="Arial" w:cs="Arial"/>
          <w:sz w:val="22"/>
          <w:szCs w:val="22"/>
          <w:lang w:val="es-ES"/>
        </w:rPr>
        <w:t xml:space="preserve"> </w:t>
      </w:r>
      <w:r w:rsidR="00256486" w:rsidRPr="0077530D">
        <w:rPr>
          <w:rFonts w:ascii="Arial" w:hAnsi="Arial" w:cs="Arial"/>
          <w:i/>
          <w:sz w:val="22"/>
          <w:szCs w:val="22"/>
          <w:lang w:val="es-ES"/>
        </w:rPr>
        <w:t>World Economic Outlook</w:t>
      </w:r>
      <w:r w:rsidR="006341C6" w:rsidRPr="0077530D">
        <w:rPr>
          <w:rFonts w:ascii="Arial" w:hAnsi="Arial" w:cs="Arial"/>
          <w:sz w:val="22"/>
          <w:szCs w:val="22"/>
          <w:lang w:val="es-ES"/>
        </w:rPr>
        <w:t xml:space="preserve"> </w:t>
      </w:r>
      <w:r w:rsidR="00C957B7" w:rsidRPr="0077530D">
        <w:rPr>
          <w:rFonts w:ascii="Arial" w:hAnsi="Arial" w:cs="Arial"/>
          <w:sz w:val="22"/>
          <w:szCs w:val="22"/>
          <w:lang w:val="es-ES"/>
        </w:rPr>
        <w:t>(</w:t>
      </w:r>
      <w:r w:rsidR="00F92346" w:rsidRPr="0077530D">
        <w:rPr>
          <w:rFonts w:ascii="Arial" w:hAnsi="Arial" w:cs="Arial"/>
          <w:sz w:val="22"/>
          <w:szCs w:val="22"/>
          <w:lang w:val="es-ES"/>
        </w:rPr>
        <w:t>actualización de a</w:t>
      </w:r>
      <w:r w:rsidR="00C957B7" w:rsidRPr="0077530D">
        <w:rPr>
          <w:rFonts w:ascii="Arial" w:hAnsi="Arial" w:cs="Arial"/>
          <w:sz w:val="22"/>
          <w:szCs w:val="22"/>
          <w:lang w:val="es-ES"/>
        </w:rPr>
        <w:t>bril</w:t>
      </w:r>
      <w:r w:rsidR="00F92346" w:rsidRPr="0077530D">
        <w:rPr>
          <w:rFonts w:ascii="Arial" w:hAnsi="Arial" w:cs="Arial"/>
          <w:sz w:val="22"/>
          <w:szCs w:val="22"/>
          <w:lang w:val="es-ES"/>
        </w:rPr>
        <w:t xml:space="preserve"> de</w:t>
      </w:r>
      <w:r w:rsidR="00C957B7" w:rsidRPr="0077530D">
        <w:rPr>
          <w:rFonts w:ascii="Arial" w:hAnsi="Arial" w:cs="Arial"/>
          <w:sz w:val="22"/>
          <w:szCs w:val="22"/>
          <w:lang w:val="es-ES"/>
        </w:rPr>
        <w:t xml:space="preserve"> 2018</w:t>
      </w:r>
      <w:r w:rsidR="00FB0A0B">
        <w:rPr>
          <w:rFonts w:ascii="Arial" w:hAnsi="Arial" w:cs="Arial"/>
          <w:sz w:val="22"/>
          <w:szCs w:val="22"/>
          <w:lang w:val="es-ES"/>
        </w:rPr>
        <w:t>) </w:t>
      </w:r>
      <w:r w:rsidR="006341C6" w:rsidRPr="0077530D">
        <w:rPr>
          <w:rFonts w:ascii="Arial" w:hAnsi="Arial" w:cs="Arial"/>
          <w:sz w:val="22"/>
          <w:szCs w:val="22"/>
          <w:lang w:val="es-ES"/>
        </w:rPr>
        <w:t>del Fondo Monetario I</w:t>
      </w:r>
      <w:r w:rsidR="00256486" w:rsidRPr="0077530D">
        <w:rPr>
          <w:rFonts w:ascii="Arial" w:hAnsi="Arial" w:cs="Arial"/>
          <w:sz w:val="22"/>
          <w:szCs w:val="22"/>
          <w:lang w:val="es-ES"/>
        </w:rPr>
        <w:t>nternacional</w:t>
      </w:r>
      <w:r w:rsidR="006341C6" w:rsidRPr="0077530D">
        <w:rPr>
          <w:rFonts w:ascii="Arial" w:hAnsi="Arial" w:cs="Arial"/>
          <w:sz w:val="22"/>
          <w:szCs w:val="22"/>
          <w:lang w:val="es-ES"/>
        </w:rPr>
        <w:t xml:space="preserve"> (FMI</w:t>
      </w:r>
      <w:r w:rsidR="00FB0A0B">
        <w:rPr>
          <w:rFonts w:ascii="Arial" w:hAnsi="Arial" w:cs="Arial"/>
          <w:sz w:val="22"/>
          <w:szCs w:val="22"/>
          <w:lang w:val="es-ES"/>
        </w:rPr>
        <w:t>) </w:t>
      </w:r>
      <w:r w:rsidR="00256486" w:rsidRPr="0077530D">
        <w:rPr>
          <w:rFonts w:ascii="Arial" w:hAnsi="Arial" w:cs="Arial"/>
          <w:sz w:val="22"/>
          <w:szCs w:val="22"/>
          <w:lang w:val="es-ES"/>
        </w:rPr>
        <w:t>que ascenderá</w:t>
      </w:r>
      <w:r w:rsidR="004C3CAF" w:rsidRPr="0077530D">
        <w:rPr>
          <w:rFonts w:ascii="Arial" w:hAnsi="Arial" w:cs="Arial"/>
          <w:sz w:val="22"/>
          <w:szCs w:val="22"/>
          <w:lang w:val="es-ES"/>
        </w:rPr>
        <w:t xml:space="preserve"> a </w:t>
      </w:r>
      <w:r w:rsidR="00277770" w:rsidRPr="0077530D">
        <w:rPr>
          <w:rFonts w:ascii="Arial" w:hAnsi="Arial" w:cs="Arial"/>
          <w:sz w:val="22"/>
          <w:szCs w:val="22"/>
          <w:lang w:val="es-ES"/>
        </w:rPr>
        <w:t xml:space="preserve">3833 </w:t>
      </w:r>
      <w:r w:rsidR="00FA3392" w:rsidRPr="0077530D">
        <w:rPr>
          <w:rFonts w:ascii="Arial" w:hAnsi="Arial" w:cs="Arial"/>
          <w:sz w:val="22"/>
          <w:szCs w:val="22"/>
          <w:lang w:val="es-ES"/>
        </w:rPr>
        <w:t>dólares en 201</w:t>
      </w:r>
      <w:r w:rsidR="0027324D" w:rsidRPr="0077530D">
        <w:rPr>
          <w:rFonts w:ascii="Arial" w:hAnsi="Arial" w:cs="Arial"/>
          <w:sz w:val="22"/>
          <w:szCs w:val="22"/>
          <w:lang w:val="es-ES"/>
        </w:rPr>
        <w:t>9</w:t>
      </w:r>
      <w:r w:rsidRPr="0077530D">
        <w:rPr>
          <w:rFonts w:ascii="Arial" w:hAnsi="Arial" w:cs="Arial"/>
          <w:sz w:val="22"/>
          <w:szCs w:val="22"/>
          <w:lang w:val="es-ES"/>
        </w:rPr>
        <w:t>.</w:t>
      </w:r>
      <w:r w:rsidR="00256486" w:rsidRPr="0077530D">
        <w:rPr>
          <w:rFonts w:ascii="Arial" w:hAnsi="Arial" w:cs="Arial"/>
          <w:sz w:val="22"/>
          <w:szCs w:val="22"/>
          <w:lang w:val="es-ES"/>
        </w:rPr>
        <w:t xml:space="preserve"> Los valores</w:t>
      </w:r>
      <w:r w:rsidR="00BC58C8" w:rsidRPr="0077530D">
        <w:rPr>
          <w:rFonts w:ascii="Arial" w:hAnsi="Arial" w:cs="Arial"/>
          <w:sz w:val="22"/>
          <w:szCs w:val="22"/>
          <w:lang w:val="es-ES"/>
        </w:rPr>
        <w:t xml:space="preserve"> del PIB</w:t>
      </w:r>
      <w:r w:rsidR="00256486" w:rsidRPr="0077530D">
        <w:rPr>
          <w:rFonts w:ascii="Arial" w:hAnsi="Arial" w:cs="Arial"/>
          <w:sz w:val="22"/>
          <w:szCs w:val="22"/>
          <w:lang w:val="es-ES"/>
        </w:rPr>
        <w:t xml:space="preserve"> subsecuentes</w:t>
      </w:r>
      <w:r w:rsidR="00BC58C8" w:rsidRPr="0077530D">
        <w:rPr>
          <w:rFonts w:ascii="Arial" w:hAnsi="Arial" w:cs="Arial"/>
          <w:sz w:val="22"/>
          <w:szCs w:val="22"/>
          <w:lang w:val="es-ES"/>
        </w:rPr>
        <w:t xml:space="preserve"> a 2020 </w:t>
      </w:r>
      <w:r w:rsidR="00256486" w:rsidRPr="0077530D">
        <w:rPr>
          <w:rFonts w:ascii="Arial" w:hAnsi="Arial" w:cs="Arial"/>
          <w:sz w:val="22"/>
          <w:szCs w:val="22"/>
          <w:lang w:val="es-ES"/>
        </w:rPr>
        <w:t xml:space="preserve">se </w:t>
      </w:r>
      <w:r w:rsidR="006341C6" w:rsidRPr="0077530D">
        <w:rPr>
          <w:rFonts w:ascii="Arial" w:hAnsi="Arial" w:cs="Arial"/>
          <w:sz w:val="22"/>
          <w:szCs w:val="22"/>
          <w:lang w:val="es-ES"/>
        </w:rPr>
        <w:t xml:space="preserve">estiman </w:t>
      </w:r>
      <w:r w:rsidR="00E72416" w:rsidRPr="0077530D">
        <w:rPr>
          <w:rFonts w:ascii="Arial" w:hAnsi="Arial" w:cs="Arial"/>
          <w:sz w:val="22"/>
          <w:szCs w:val="22"/>
          <w:lang w:val="es-ES"/>
        </w:rPr>
        <w:t>utilizando</w:t>
      </w:r>
      <w:r w:rsidR="006341C6" w:rsidRPr="0077530D">
        <w:rPr>
          <w:rFonts w:ascii="Arial" w:hAnsi="Arial" w:cs="Arial"/>
          <w:sz w:val="22"/>
          <w:szCs w:val="22"/>
          <w:lang w:val="es-ES"/>
        </w:rPr>
        <w:t xml:space="preserve"> la tasa de crecimiento promedio</w:t>
      </w:r>
      <w:r w:rsidR="00F4093B" w:rsidRPr="0077530D">
        <w:rPr>
          <w:rFonts w:ascii="Arial" w:hAnsi="Arial" w:cs="Arial"/>
          <w:sz w:val="22"/>
          <w:szCs w:val="22"/>
          <w:lang w:val="es-ES"/>
        </w:rPr>
        <w:t xml:space="preserve"> anual</w:t>
      </w:r>
      <w:r w:rsidR="006341C6" w:rsidRPr="0077530D">
        <w:rPr>
          <w:rFonts w:ascii="Arial" w:hAnsi="Arial" w:cs="Arial"/>
          <w:sz w:val="22"/>
          <w:szCs w:val="22"/>
          <w:lang w:val="es-ES"/>
        </w:rPr>
        <w:t xml:space="preserve"> </w:t>
      </w:r>
      <w:r w:rsidR="00927489" w:rsidRPr="0077530D">
        <w:rPr>
          <w:rFonts w:ascii="Arial" w:hAnsi="Arial" w:cs="Arial"/>
          <w:sz w:val="22"/>
          <w:szCs w:val="22"/>
          <w:lang w:val="es-ES"/>
        </w:rPr>
        <w:t xml:space="preserve">a partir de 2020 </w:t>
      </w:r>
      <w:r w:rsidR="00247BDD" w:rsidRPr="0077530D">
        <w:rPr>
          <w:rFonts w:ascii="Arial" w:hAnsi="Arial" w:cs="Arial"/>
          <w:sz w:val="22"/>
          <w:szCs w:val="22"/>
          <w:lang w:val="es-ES"/>
        </w:rPr>
        <w:t>del PIB en precios constantes</w:t>
      </w:r>
      <w:r w:rsidR="0059193B" w:rsidRPr="0077530D">
        <w:rPr>
          <w:rFonts w:ascii="Arial" w:hAnsi="Arial" w:cs="Arial"/>
          <w:sz w:val="22"/>
          <w:szCs w:val="22"/>
          <w:lang w:val="es-ES"/>
        </w:rPr>
        <w:t xml:space="preserve"> (</w:t>
      </w:r>
      <w:r w:rsidR="0014206B" w:rsidRPr="0077530D">
        <w:rPr>
          <w:rFonts w:ascii="Arial" w:hAnsi="Arial" w:cs="Arial"/>
          <w:sz w:val="22"/>
          <w:szCs w:val="22"/>
          <w:lang w:val="es-ES"/>
        </w:rPr>
        <w:t>2</w:t>
      </w:r>
      <w:r w:rsidR="0059193B" w:rsidRPr="0077530D">
        <w:rPr>
          <w:rFonts w:ascii="Arial" w:hAnsi="Arial" w:cs="Arial"/>
          <w:sz w:val="22"/>
          <w:szCs w:val="22"/>
          <w:lang w:val="es-ES"/>
        </w:rPr>
        <w:t>,</w:t>
      </w:r>
      <w:r w:rsidR="00F92346" w:rsidRPr="0077530D">
        <w:rPr>
          <w:rFonts w:ascii="Arial" w:hAnsi="Arial" w:cs="Arial"/>
          <w:sz w:val="22"/>
          <w:szCs w:val="22"/>
          <w:lang w:val="es-ES"/>
        </w:rPr>
        <w:t>0</w:t>
      </w:r>
      <w:r w:rsidR="0014206B" w:rsidRPr="0077530D">
        <w:rPr>
          <w:rFonts w:ascii="Arial" w:hAnsi="Arial" w:cs="Arial"/>
          <w:sz w:val="22"/>
          <w:szCs w:val="22"/>
          <w:lang w:val="es-ES"/>
        </w:rPr>
        <w:t>46</w:t>
      </w:r>
      <w:r w:rsidR="00F4093B" w:rsidRPr="0077530D">
        <w:rPr>
          <w:rFonts w:ascii="Arial" w:hAnsi="Arial" w:cs="Arial"/>
          <w:sz w:val="22"/>
          <w:szCs w:val="22"/>
          <w:lang w:val="es-ES"/>
        </w:rPr>
        <w:t>%</w:t>
      </w:r>
      <w:r w:rsidR="00FB0A0B">
        <w:rPr>
          <w:rFonts w:ascii="Arial" w:hAnsi="Arial" w:cs="Arial"/>
          <w:sz w:val="22"/>
          <w:szCs w:val="22"/>
          <w:lang w:val="es-ES"/>
        </w:rPr>
        <w:t>) </w:t>
      </w:r>
      <w:r w:rsidR="00DF13D6" w:rsidRPr="0077530D">
        <w:rPr>
          <w:rFonts w:ascii="Arial" w:hAnsi="Arial" w:cs="Arial"/>
          <w:sz w:val="22"/>
          <w:szCs w:val="22"/>
          <w:lang w:val="es-ES"/>
        </w:rPr>
        <w:t>de acuerdo con</w:t>
      </w:r>
      <w:r w:rsidR="00BC58C8" w:rsidRPr="0077530D">
        <w:rPr>
          <w:rFonts w:ascii="Arial" w:hAnsi="Arial" w:cs="Arial"/>
          <w:sz w:val="22"/>
          <w:szCs w:val="22"/>
          <w:lang w:val="es-ES"/>
        </w:rPr>
        <w:t xml:space="preserve"> la misma fuente</w:t>
      </w:r>
      <w:r w:rsidR="006341C6" w:rsidRPr="0077530D">
        <w:rPr>
          <w:rFonts w:ascii="Arial" w:hAnsi="Arial" w:cs="Arial"/>
          <w:sz w:val="22"/>
          <w:szCs w:val="22"/>
          <w:lang w:val="es-ES"/>
        </w:rPr>
        <w:t>.</w:t>
      </w:r>
      <w:r w:rsidR="00FB6D56" w:rsidRPr="0077530D">
        <w:rPr>
          <w:rFonts w:ascii="Arial" w:hAnsi="Arial" w:cs="Arial"/>
          <w:sz w:val="22"/>
          <w:szCs w:val="22"/>
          <w:lang w:val="es-ES"/>
        </w:rPr>
        <w:t xml:space="preserve"> </w:t>
      </w:r>
    </w:p>
    <w:p w14:paraId="257B52FD" w14:textId="52AA7538" w:rsidR="00F7002E" w:rsidRPr="0077530D" w:rsidRDefault="00F4093B" w:rsidP="0077530D">
      <w:pPr>
        <w:autoSpaceDE w:val="0"/>
        <w:autoSpaceDN w:val="0"/>
        <w:adjustRightInd w:val="0"/>
        <w:spacing w:before="240" w:after="100" w:afterAutospacing="1"/>
        <w:jc w:val="both"/>
        <w:rPr>
          <w:rFonts w:ascii="Arial" w:eastAsia="Arial" w:hAnsi="Arial" w:cs="Arial"/>
          <w:sz w:val="22"/>
          <w:szCs w:val="22"/>
          <w:lang w:val="es-ES"/>
        </w:rPr>
      </w:pPr>
      <w:r w:rsidRPr="0077530D">
        <w:rPr>
          <w:rFonts w:ascii="Arial" w:eastAsia="Arial" w:hAnsi="Arial" w:cs="Arial"/>
          <w:sz w:val="22"/>
          <w:szCs w:val="22"/>
          <w:lang w:val="es-ES"/>
        </w:rPr>
        <w:t>Se espera que los beneficios de las inversiones empiecen a observarse a partir</w:t>
      </w:r>
      <w:r w:rsidR="00CB4A34" w:rsidRPr="0077530D">
        <w:rPr>
          <w:rFonts w:ascii="Arial" w:eastAsia="Arial" w:hAnsi="Arial" w:cs="Arial"/>
          <w:sz w:val="22"/>
          <w:szCs w:val="22"/>
          <w:lang w:val="es-ES"/>
        </w:rPr>
        <w:t xml:space="preserve"> de </w:t>
      </w:r>
      <w:r w:rsidR="00272F08" w:rsidRPr="0077530D">
        <w:rPr>
          <w:rFonts w:ascii="Arial" w:eastAsia="Arial" w:hAnsi="Arial" w:cs="Arial"/>
          <w:sz w:val="22"/>
          <w:szCs w:val="22"/>
          <w:lang w:val="es-ES"/>
        </w:rPr>
        <w:t>2020</w:t>
      </w:r>
      <w:r w:rsidR="00725697" w:rsidRPr="0077530D">
        <w:rPr>
          <w:rFonts w:ascii="Arial" w:eastAsia="Arial" w:hAnsi="Arial" w:cs="Arial"/>
          <w:sz w:val="22"/>
          <w:szCs w:val="22"/>
          <w:lang w:val="es-ES"/>
        </w:rPr>
        <w:t>, sin embargo</w:t>
      </w:r>
      <w:r w:rsidR="00DF13D6" w:rsidRPr="0077530D">
        <w:rPr>
          <w:rFonts w:ascii="Arial" w:eastAsia="Arial" w:hAnsi="Arial" w:cs="Arial"/>
          <w:sz w:val="22"/>
          <w:szCs w:val="22"/>
          <w:lang w:val="es-ES"/>
        </w:rPr>
        <w:t>,</w:t>
      </w:r>
      <w:r w:rsidR="00725697" w:rsidRPr="0077530D">
        <w:rPr>
          <w:rFonts w:ascii="Arial" w:eastAsia="Arial" w:hAnsi="Arial" w:cs="Arial"/>
          <w:sz w:val="22"/>
          <w:szCs w:val="22"/>
          <w:lang w:val="es-ES"/>
        </w:rPr>
        <w:t xml:space="preserve"> </w:t>
      </w:r>
      <w:r w:rsidR="00F7002E" w:rsidRPr="0077530D">
        <w:rPr>
          <w:rFonts w:ascii="Arial" w:eastAsia="Arial" w:hAnsi="Arial" w:cs="Arial"/>
          <w:sz w:val="22"/>
          <w:szCs w:val="22"/>
          <w:lang w:val="es-ES"/>
        </w:rPr>
        <w:t>se prevé que</w:t>
      </w:r>
      <w:r w:rsidR="00725697" w:rsidRPr="0077530D">
        <w:rPr>
          <w:rFonts w:ascii="Arial" w:eastAsia="Arial" w:hAnsi="Arial" w:cs="Arial"/>
          <w:sz w:val="22"/>
          <w:szCs w:val="22"/>
          <w:lang w:val="es-ES"/>
        </w:rPr>
        <w:t xml:space="preserve"> al inicio</w:t>
      </w:r>
      <w:r w:rsidR="00F7002E" w:rsidRPr="0077530D">
        <w:rPr>
          <w:rFonts w:ascii="Arial" w:eastAsia="Arial" w:hAnsi="Arial" w:cs="Arial"/>
          <w:sz w:val="22"/>
          <w:szCs w:val="22"/>
          <w:lang w:val="es-ES"/>
        </w:rPr>
        <w:t xml:space="preserve"> de la intervención se obtenga un porcentaje muy bajo de los beneficios potenciales y que a medida que se </w:t>
      </w:r>
      <w:r w:rsidR="00725697" w:rsidRPr="0077530D">
        <w:rPr>
          <w:rFonts w:ascii="Arial" w:eastAsia="Arial" w:hAnsi="Arial" w:cs="Arial"/>
          <w:sz w:val="22"/>
          <w:szCs w:val="22"/>
          <w:lang w:val="es-ES"/>
        </w:rPr>
        <w:t>concluyen más obras de</w:t>
      </w:r>
      <w:r w:rsidR="00F7002E" w:rsidRPr="0077530D">
        <w:rPr>
          <w:rFonts w:ascii="Arial" w:eastAsia="Arial" w:hAnsi="Arial" w:cs="Arial"/>
          <w:sz w:val="22"/>
          <w:szCs w:val="22"/>
          <w:lang w:val="es-ES"/>
        </w:rPr>
        <w:t xml:space="preserve"> infraestructura de salud y se internalizan</w:t>
      </w:r>
      <w:r w:rsidR="00725697" w:rsidRPr="0077530D">
        <w:rPr>
          <w:rFonts w:ascii="Arial" w:eastAsia="Arial" w:hAnsi="Arial" w:cs="Arial"/>
          <w:sz w:val="22"/>
          <w:szCs w:val="22"/>
          <w:lang w:val="es-ES"/>
        </w:rPr>
        <w:t xml:space="preserve"> los sistemas de mejora en la gestión</w:t>
      </w:r>
      <w:r w:rsidR="00F7002E" w:rsidRPr="0077530D">
        <w:rPr>
          <w:rFonts w:ascii="Arial" w:eastAsia="Arial" w:hAnsi="Arial" w:cs="Arial"/>
          <w:sz w:val="22"/>
          <w:szCs w:val="22"/>
          <w:lang w:val="es-ES"/>
        </w:rPr>
        <w:t xml:space="preserve"> se obtenga una mayor proporción de los beneficios</w:t>
      </w:r>
      <w:r w:rsidR="00CB4A34" w:rsidRPr="0077530D">
        <w:rPr>
          <w:rFonts w:ascii="Arial" w:eastAsia="Arial" w:hAnsi="Arial" w:cs="Arial"/>
          <w:sz w:val="22"/>
          <w:szCs w:val="22"/>
          <w:lang w:val="es-ES"/>
        </w:rPr>
        <w:t>.</w:t>
      </w:r>
      <w:r w:rsidR="00D41127" w:rsidRPr="0077530D">
        <w:rPr>
          <w:rFonts w:ascii="Arial" w:eastAsia="Arial" w:hAnsi="Arial" w:cs="Arial"/>
          <w:sz w:val="22"/>
          <w:szCs w:val="22"/>
          <w:lang w:val="es-ES"/>
        </w:rPr>
        <w:t xml:space="preserve"> Se utilizan </w:t>
      </w:r>
      <w:r w:rsidR="00F7002E" w:rsidRPr="0077530D">
        <w:rPr>
          <w:rFonts w:ascii="Arial" w:eastAsia="Arial" w:hAnsi="Arial" w:cs="Arial"/>
          <w:sz w:val="22"/>
          <w:szCs w:val="22"/>
          <w:lang w:val="es-ES"/>
        </w:rPr>
        <w:t>3 vectores de gradualidad</w:t>
      </w:r>
      <w:r w:rsidR="00C1787A" w:rsidRPr="0077530D">
        <w:rPr>
          <w:rFonts w:ascii="Arial" w:eastAsia="Arial" w:hAnsi="Arial" w:cs="Arial"/>
          <w:sz w:val="22"/>
          <w:szCs w:val="22"/>
          <w:lang w:val="es-ES"/>
        </w:rPr>
        <w:t xml:space="preserve"> (lento, regular y rápido</w:t>
      </w:r>
      <w:r w:rsidR="00FB0A0B">
        <w:rPr>
          <w:rFonts w:ascii="Arial" w:eastAsia="Arial" w:hAnsi="Arial" w:cs="Arial"/>
          <w:sz w:val="22"/>
          <w:szCs w:val="22"/>
          <w:lang w:val="es-ES"/>
        </w:rPr>
        <w:t>) </w:t>
      </w:r>
      <w:r w:rsidR="00F7002E" w:rsidRPr="0077530D">
        <w:rPr>
          <w:rFonts w:ascii="Arial" w:eastAsia="Arial" w:hAnsi="Arial" w:cs="Arial"/>
          <w:sz w:val="22"/>
          <w:szCs w:val="22"/>
          <w:lang w:val="es-ES"/>
        </w:rPr>
        <w:t>que se representan en la</w:t>
      </w:r>
      <w:r w:rsidR="007F2D30" w:rsidRPr="0077530D">
        <w:rPr>
          <w:rFonts w:ascii="Arial" w:eastAsia="Arial" w:hAnsi="Arial" w:cs="Arial"/>
          <w:sz w:val="22"/>
          <w:szCs w:val="22"/>
          <w:lang w:val="es-ES"/>
        </w:rPr>
        <w:t xml:space="preserve"> </w:t>
      </w:r>
      <w:r w:rsidR="00CC74BF" w:rsidRPr="0077530D">
        <w:rPr>
          <w:rFonts w:ascii="Arial" w:eastAsia="Arial" w:hAnsi="Arial" w:cs="Arial"/>
          <w:sz w:val="22"/>
          <w:szCs w:val="22"/>
          <w:lang w:val="es-ES"/>
        </w:rPr>
        <w:t>Figu</w:t>
      </w:r>
      <w:r w:rsidR="00F7002E" w:rsidRPr="0077530D">
        <w:rPr>
          <w:rFonts w:ascii="Arial" w:eastAsia="Arial" w:hAnsi="Arial" w:cs="Arial"/>
          <w:sz w:val="22"/>
          <w:szCs w:val="22"/>
          <w:lang w:val="es-ES"/>
        </w:rPr>
        <w:t>ra 2. Dado que se prevé que al final del desembolso del préstamo en 202</w:t>
      </w:r>
      <w:r w:rsidR="00822E51" w:rsidRPr="0077530D">
        <w:rPr>
          <w:rFonts w:ascii="Arial" w:eastAsia="Arial" w:hAnsi="Arial" w:cs="Arial"/>
          <w:sz w:val="22"/>
          <w:szCs w:val="22"/>
          <w:lang w:val="es-ES"/>
        </w:rPr>
        <w:t>3</w:t>
      </w:r>
      <w:r w:rsidR="00F7002E" w:rsidRPr="0077530D">
        <w:rPr>
          <w:rFonts w:ascii="Arial" w:eastAsia="Arial" w:hAnsi="Arial" w:cs="Arial"/>
          <w:sz w:val="22"/>
          <w:szCs w:val="22"/>
          <w:lang w:val="es-ES"/>
        </w:rPr>
        <w:t xml:space="preserve"> no se hayan obtenido todos los beneficios de</w:t>
      </w:r>
      <w:r w:rsidR="004D4A60" w:rsidRPr="0077530D">
        <w:rPr>
          <w:rFonts w:ascii="Arial" w:eastAsia="Arial" w:hAnsi="Arial" w:cs="Arial"/>
          <w:sz w:val="22"/>
          <w:szCs w:val="22"/>
          <w:lang w:val="es-ES"/>
        </w:rPr>
        <w:t xml:space="preserve">l </w:t>
      </w:r>
      <w:r w:rsidR="00B15C96" w:rsidRPr="0077530D">
        <w:rPr>
          <w:rFonts w:ascii="Arial" w:eastAsia="Arial" w:hAnsi="Arial" w:cs="Arial"/>
          <w:sz w:val="22"/>
          <w:szCs w:val="22"/>
          <w:lang w:val="es-ES"/>
        </w:rPr>
        <w:t>p</w:t>
      </w:r>
      <w:r w:rsidR="004D4A60" w:rsidRPr="0077530D">
        <w:rPr>
          <w:rFonts w:ascii="Arial" w:eastAsia="Arial" w:hAnsi="Arial" w:cs="Arial"/>
          <w:sz w:val="22"/>
          <w:szCs w:val="22"/>
          <w:lang w:val="es-ES"/>
        </w:rPr>
        <w:t>rograma</w:t>
      </w:r>
      <w:r w:rsidR="00F7002E" w:rsidRPr="0077530D">
        <w:rPr>
          <w:rFonts w:ascii="Arial" w:eastAsia="Arial" w:hAnsi="Arial" w:cs="Arial"/>
          <w:sz w:val="22"/>
          <w:szCs w:val="22"/>
          <w:lang w:val="es-ES"/>
        </w:rPr>
        <w:t>, se realiza un análisis alternativo que comprende de 201</w:t>
      </w:r>
      <w:r w:rsidR="001C4C6D" w:rsidRPr="0077530D">
        <w:rPr>
          <w:rFonts w:ascii="Arial" w:eastAsia="Arial" w:hAnsi="Arial" w:cs="Arial"/>
          <w:sz w:val="22"/>
          <w:szCs w:val="22"/>
          <w:lang w:val="es-ES"/>
        </w:rPr>
        <w:t>8</w:t>
      </w:r>
      <w:r w:rsidR="00F7002E" w:rsidRPr="0077530D">
        <w:rPr>
          <w:rFonts w:ascii="Arial" w:eastAsia="Arial" w:hAnsi="Arial" w:cs="Arial"/>
          <w:sz w:val="22"/>
          <w:szCs w:val="22"/>
          <w:lang w:val="es-ES"/>
        </w:rPr>
        <w:t xml:space="preserve"> a 202</w:t>
      </w:r>
      <w:r w:rsidR="001C4C6D" w:rsidRPr="0077530D">
        <w:rPr>
          <w:rFonts w:ascii="Arial" w:eastAsia="Arial" w:hAnsi="Arial" w:cs="Arial"/>
          <w:sz w:val="22"/>
          <w:szCs w:val="22"/>
          <w:lang w:val="es-ES"/>
        </w:rPr>
        <w:t>8</w:t>
      </w:r>
      <w:r w:rsidR="00F7002E" w:rsidRPr="0077530D">
        <w:rPr>
          <w:rFonts w:ascii="Arial" w:eastAsia="Arial" w:hAnsi="Arial" w:cs="Arial"/>
          <w:sz w:val="22"/>
          <w:szCs w:val="22"/>
          <w:lang w:val="es-ES"/>
        </w:rPr>
        <w:t xml:space="preserve">. </w:t>
      </w:r>
    </w:p>
    <w:p w14:paraId="072B76D3" w14:textId="77898966" w:rsidR="00722247" w:rsidRPr="0077530D" w:rsidRDefault="00D40AF4" w:rsidP="001A6051">
      <w:pPr>
        <w:pStyle w:val="Caption"/>
      </w:pPr>
      <w:r w:rsidRPr="0077530D">
        <w:t xml:space="preserve">Figura </w:t>
      </w:r>
      <w:r w:rsidR="00871BC0" w:rsidRPr="0077530D">
        <w:fldChar w:fldCharType="begin"/>
      </w:r>
      <w:r w:rsidR="00871BC0" w:rsidRPr="0077530D">
        <w:rPr>
          <w:noProof/>
        </w:rPr>
        <w:instrText xml:space="preserve"> SEQ Figura \* ARABIC </w:instrText>
      </w:r>
      <w:r w:rsidR="00871BC0" w:rsidRPr="0077530D">
        <w:rPr>
          <w:noProof/>
        </w:rPr>
        <w:fldChar w:fldCharType="separate"/>
      </w:r>
      <w:r w:rsidR="000A3DCE" w:rsidRPr="0077530D">
        <w:rPr>
          <w:noProof/>
        </w:rPr>
        <w:t>2</w:t>
      </w:r>
      <w:r w:rsidR="00871BC0" w:rsidRPr="0077530D">
        <w:fldChar w:fldCharType="end"/>
      </w:r>
      <w:r w:rsidRPr="0077530D">
        <w:t>.</w:t>
      </w:r>
      <w:r w:rsidR="00722247" w:rsidRPr="0077530D">
        <w:t xml:space="preserve"> Vectores de gradualidad para obtener los beneficios del </w:t>
      </w:r>
      <w:r w:rsidR="00AF08F1" w:rsidRPr="0077530D">
        <w:t>P</w:t>
      </w:r>
      <w:r w:rsidR="00722247" w:rsidRPr="0077530D">
        <w:t>rograma</w:t>
      </w:r>
      <w:r w:rsidR="00F6457A" w:rsidRPr="0077530D">
        <w:t xml:space="preserve"> </w:t>
      </w:r>
      <w:r w:rsidR="00AF08F1" w:rsidRPr="0077530D">
        <w:t>de mejora de accesibilidad a los servicios de salud materna en Bolivia</w:t>
      </w:r>
    </w:p>
    <w:p w14:paraId="3D9133A0" w14:textId="3BBC953E" w:rsidR="00272F08" w:rsidRPr="0077530D" w:rsidRDefault="00704A8C" w:rsidP="007E1AE2">
      <w:pPr>
        <w:keepNext/>
        <w:jc w:val="center"/>
        <w:rPr>
          <w:rFonts w:ascii="Arial" w:hAnsi="Arial" w:cs="Arial"/>
          <w:lang w:val="es-ES"/>
        </w:rPr>
      </w:pPr>
      <w:r w:rsidRPr="0077530D">
        <w:rPr>
          <w:rFonts w:ascii="Arial" w:hAnsi="Arial" w:cs="Arial"/>
          <w:noProof/>
          <w:lang w:val="es-ES"/>
        </w:rPr>
        <w:drawing>
          <wp:inline distT="0" distB="0" distL="0" distR="0" wp14:anchorId="25538BF8" wp14:editId="6F4250CB">
            <wp:extent cx="4068725" cy="1699646"/>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2790" cy="1705521"/>
                    </a:xfrm>
                    <a:prstGeom prst="rect">
                      <a:avLst/>
                    </a:prstGeom>
                    <a:noFill/>
                  </pic:spPr>
                </pic:pic>
              </a:graphicData>
            </a:graphic>
          </wp:inline>
        </w:drawing>
      </w:r>
    </w:p>
    <w:p w14:paraId="50C30615" w14:textId="77777777" w:rsidR="00EE705A" w:rsidRPr="0077530D" w:rsidRDefault="00722247" w:rsidP="007E1AE2">
      <w:pPr>
        <w:keepNext/>
        <w:autoSpaceDE w:val="0"/>
        <w:autoSpaceDN w:val="0"/>
        <w:adjustRightInd w:val="0"/>
        <w:spacing w:before="120" w:after="100" w:afterAutospacing="1"/>
        <w:ind w:left="450"/>
        <w:jc w:val="both"/>
        <w:rPr>
          <w:rFonts w:ascii="Arial" w:hAnsi="Arial" w:cs="Arial"/>
          <w:sz w:val="16"/>
          <w:szCs w:val="16"/>
          <w:lang w:val="es-ES"/>
        </w:rPr>
      </w:pPr>
      <w:r w:rsidRPr="0077530D">
        <w:rPr>
          <w:rFonts w:ascii="Arial" w:hAnsi="Arial" w:cs="Arial"/>
          <w:sz w:val="16"/>
          <w:szCs w:val="16"/>
          <w:lang w:val="es-ES"/>
        </w:rPr>
        <w:t xml:space="preserve">Fuente: Elaboración de los autores. </w:t>
      </w:r>
    </w:p>
    <w:p w14:paraId="64CD224D" w14:textId="5CFD36BF" w:rsidR="00AB0B5B" w:rsidRPr="0077530D" w:rsidRDefault="00722247" w:rsidP="0077530D">
      <w:pPr>
        <w:autoSpaceDE w:val="0"/>
        <w:autoSpaceDN w:val="0"/>
        <w:adjustRightInd w:val="0"/>
        <w:spacing w:before="240" w:after="100" w:afterAutospacing="1"/>
        <w:jc w:val="both"/>
        <w:rPr>
          <w:rFonts w:ascii="Arial" w:eastAsia="Arial" w:hAnsi="Arial" w:cs="Arial"/>
          <w:sz w:val="22"/>
          <w:szCs w:val="22"/>
          <w:highlight w:val="yellow"/>
          <w:lang w:val="es-ES"/>
        </w:rPr>
      </w:pPr>
      <w:r w:rsidRPr="0077530D">
        <w:rPr>
          <w:rFonts w:ascii="Arial" w:eastAsia="Arial" w:hAnsi="Arial" w:cs="Arial"/>
          <w:sz w:val="22"/>
          <w:szCs w:val="22"/>
          <w:lang w:val="es-ES"/>
        </w:rPr>
        <w:t>Aunque se incluyen cuatro escenarios de tasas de descuento</w:t>
      </w:r>
      <w:r w:rsidR="00146EDA" w:rsidRPr="0077530D">
        <w:rPr>
          <w:rStyle w:val="FootnoteReference"/>
          <w:rFonts w:ascii="Arial" w:eastAsia="Arial" w:hAnsi="Arial" w:cs="Arial"/>
          <w:sz w:val="22"/>
          <w:szCs w:val="22"/>
          <w:lang w:val="es-ES"/>
        </w:rPr>
        <w:footnoteReference w:id="20"/>
      </w:r>
      <w:r w:rsidRPr="0077530D">
        <w:rPr>
          <w:rFonts w:ascii="Arial" w:eastAsia="Arial" w:hAnsi="Arial" w:cs="Arial"/>
          <w:sz w:val="22"/>
          <w:szCs w:val="22"/>
          <w:lang w:val="es-ES"/>
        </w:rPr>
        <w:t xml:space="preserve"> para evaluar la relación costo beneficio </w:t>
      </w:r>
      <w:r w:rsidR="00AF08F1" w:rsidRPr="0077530D">
        <w:rPr>
          <w:rFonts w:ascii="Arial" w:eastAsia="Arial" w:hAnsi="Arial" w:cs="Arial"/>
          <w:sz w:val="22"/>
          <w:szCs w:val="22"/>
          <w:lang w:val="es-ES"/>
        </w:rPr>
        <w:t xml:space="preserve">del </w:t>
      </w:r>
      <w:r w:rsidR="00B15C96" w:rsidRPr="0077530D">
        <w:rPr>
          <w:rFonts w:ascii="Arial" w:eastAsia="Arial" w:hAnsi="Arial" w:cs="Arial"/>
          <w:sz w:val="22"/>
          <w:szCs w:val="22"/>
          <w:lang w:val="es-ES"/>
        </w:rPr>
        <w:t>p</w:t>
      </w:r>
      <w:r w:rsidR="00AF08F1" w:rsidRPr="0077530D">
        <w:rPr>
          <w:rFonts w:ascii="Arial" w:eastAsia="Arial" w:hAnsi="Arial" w:cs="Arial"/>
          <w:sz w:val="22"/>
          <w:szCs w:val="22"/>
          <w:lang w:val="es-ES"/>
        </w:rPr>
        <w:t>rograma de mejora de accesibilidad a los servicios de salud materna en Bolivia</w:t>
      </w:r>
      <w:r w:rsidRPr="0077530D">
        <w:rPr>
          <w:rFonts w:ascii="Arial" w:eastAsia="Arial" w:hAnsi="Arial" w:cs="Arial"/>
          <w:sz w:val="22"/>
          <w:szCs w:val="22"/>
          <w:lang w:val="es-ES"/>
        </w:rPr>
        <w:t xml:space="preserve">, </w:t>
      </w:r>
      <w:r w:rsidR="006C0AD0" w:rsidRPr="0077530D">
        <w:rPr>
          <w:rFonts w:ascii="Arial" w:eastAsia="Arial" w:hAnsi="Arial" w:cs="Arial"/>
          <w:sz w:val="22"/>
          <w:szCs w:val="22"/>
          <w:lang w:val="es-ES"/>
        </w:rPr>
        <w:t xml:space="preserve">se favorece utilizar la tasa de 3% que resulta </w:t>
      </w:r>
      <w:r w:rsidRPr="0077530D">
        <w:rPr>
          <w:rFonts w:ascii="Arial" w:eastAsia="Arial" w:hAnsi="Arial" w:cs="Arial"/>
          <w:sz w:val="22"/>
          <w:szCs w:val="22"/>
          <w:lang w:val="es-ES"/>
        </w:rPr>
        <w:t>más adecuada para eva</w:t>
      </w:r>
      <w:r w:rsidR="006C0AD0" w:rsidRPr="0077530D">
        <w:rPr>
          <w:rFonts w:ascii="Arial" w:eastAsia="Arial" w:hAnsi="Arial" w:cs="Arial"/>
          <w:sz w:val="22"/>
          <w:szCs w:val="22"/>
          <w:lang w:val="es-ES"/>
        </w:rPr>
        <w:t xml:space="preserve">luar proyectos sociales que la </w:t>
      </w:r>
      <w:r w:rsidRPr="0077530D">
        <w:rPr>
          <w:rFonts w:ascii="Arial" w:eastAsia="Arial" w:hAnsi="Arial" w:cs="Arial"/>
          <w:sz w:val="22"/>
          <w:szCs w:val="22"/>
          <w:lang w:val="es-ES"/>
        </w:rPr>
        <w:t xml:space="preserve">tasa de 12% que es comúnmente utilizada para evaluar proyectos de infraestructura </w:t>
      </w:r>
      <w:r w:rsidR="007F2D30" w:rsidRPr="0077530D">
        <w:rPr>
          <w:rFonts w:ascii="Arial" w:eastAsia="Arial" w:hAnsi="Arial" w:cs="Arial"/>
          <w:sz w:val="22"/>
          <w:szCs w:val="22"/>
          <w:lang w:val="es-ES"/>
        </w:rPr>
        <w:t>de transporte o</w:t>
      </w:r>
      <w:r w:rsidRPr="0077530D">
        <w:rPr>
          <w:rFonts w:ascii="Arial" w:eastAsia="Arial" w:hAnsi="Arial" w:cs="Arial"/>
          <w:sz w:val="22"/>
          <w:szCs w:val="22"/>
          <w:lang w:val="es-ES"/>
        </w:rPr>
        <w:t xml:space="preserve"> energía.</w:t>
      </w:r>
      <w:r w:rsidR="00AB0B5B" w:rsidRPr="0077530D">
        <w:rPr>
          <w:rFonts w:ascii="Arial" w:eastAsia="Arial" w:hAnsi="Arial" w:cs="Arial"/>
          <w:sz w:val="22"/>
          <w:szCs w:val="22"/>
          <w:lang w:val="es-ES"/>
        </w:rPr>
        <w:t xml:space="preserve"> </w:t>
      </w:r>
      <w:r w:rsidR="00FF628C" w:rsidRPr="0077530D">
        <w:rPr>
          <w:rFonts w:ascii="Arial" w:eastAsia="Arial" w:hAnsi="Arial" w:cs="Arial"/>
          <w:sz w:val="22"/>
          <w:szCs w:val="22"/>
          <w:lang w:val="es-ES"/>
        </w:rPr>
        <w:t>E</w:t>
      </w:r>
      <w:r w:rsidR="00EE705A" w:rsidRPr="0077530D">
        <w:rPr>
          <w:rFonts w:ascii="Arial" w:eastAsia="Arial" w:hAnsi="Arial" w:cs="Arial"/>
          <w:sz w:val="22"/>
          <w:szCs w:val="22"/>
          <w:lang w:val="es-ES"/>
        </w:rPr>
        <w:t xml:space="preserve">xiste </w:t>
      </w:r>
      <w:r w:rsidRPr="0077530D">
        <w:rPr>
          <w:rFonts w:ascii="Arial" w:eastAsia="Arial" w:hAnsi="Arial" w:cs="Arial"/>
          <w:sz w:val="22"/>
          <w:szCs w:val="22"/>
          <w:lang w:val="es-ES"/>
        </w:rPr>
        <w:t xml:space="preserve">una </w:t>
      </w:r>
      <w:r w:rsidR="00EE705A" w:rsidRPr="0077530D">
        <w:rPr>
          <w:rFonts w:ascii="Arial" w:eastAsia="Arial" w:hAnsi="Arial" w:cs="Arial"/>
          <w:sz w:val="22"/>
          <w:szCs w:val="22"/>
          <w:lang w:val="es-ES"/>
        </w:rPr>
        <w:t xml:space="preserve">amplia literatura teórica y empírica que justifica utilizar valores </w:t>
      </w:r>
      <w:r w:rsidR="002A3D8F" w:rsidRPr="0077530D">
        <w:rPr>
          <w:rFonts w:ascii="Arial" w:eastAsia="Arial" w:hAnsi="Arial" w:cs="Arial"/>
          <w:sz w:val="22"/>
          <w:szCs w:val="22"/>
          <w:lang w:val="es-ES"/>
        </w:rPr>
        <w:t xml:space="preserve">relativamente </w:t>
      </w:r>
      <w:r w:rsidR="00AB0B5B" w:rsidRPr="0077530D">
        <w:rPr>
          <w:rFonts w:ascii="Arial" w:eastAsia="Arial" w:hAnsi="Arial" w:cs="Arial"/>
          <w:sz w:val="22"/>
          <w:szCs w:val="22"/>
          <w:lang w:val="es-ES"/>
        </w:rPr>
        <w:t>bajos</w:t>
      </w:r>
      <w:r w:rsidR="00EE705A" w:rsidRPr="0077530D">
        <w:rPr>
          <w:rFonts w:ascii="Arial" w:eastAsia="Arial" w:hAnsi="Arial" w:cs="Arial"/>
          <w:sz w:val="22"/>
          <w:szCs w:val="22"/>
          <w:lang w:val="es-ES"/>
        </w:rPr>
        <w:t xml:space="preserve"> </w:t>
      </w:r>
      <w:r w:rsidR="00FF628C" w:rsidRPr="0077530D">
        <w:rPr>
          <w:rFonts w:ascii="Arial" w:eastAsia="Arial" w:hAnsi="Arial" w:cs="Arial"/>
          <w:sz w:val="22"/>
          <w:szCs w:val="22"/>
          <w:lang w:val="es-ES"/>
        </w:rPr>
        <w:t xml:space="preserve">de la tasa </w:t>
      </w:r>
      <w:r w:rsidR="00EE705A" w:rsidRPr="0077530D">
        <w:rPr>
          <w:rFonts w:ascii="Arial" w:eastAsia="Arial" w:hAnsi="Arial" w:cs="Arial"/>
          <w:sz w:val="22"/>
          <w:szCs w:val="22"/>
          <w:lang w:val="es-ES"/>
        </w:rPr>
        <w:t>para el anális</w:t>
      </w:r>
      <w:r w:rsidR="00AB0B5B" w:rsidRPr="0077530D">
        <w:rPr>
          <w:rFonts w:ascii="Arial" w:eastAsia="Arial" w:hAnsi="Arial" w:cs="Arial"/>
          <w:sz w:val="22"/>
          <w:szCs w:val="22"/>
          <w:lang w:val="es-ES"/>
        </w:rPr>
        <w:t xml:space="preserve">is de proyectos sociales ya que estos proyectos tienen </w:t>
      </w:r>
      <w:r w:rsidR="00EE705A" w:rsidRPr="0077530D">
        <w:rPr>
          <w:rFonts w:ascii="Arial" w:eastAsia="Arial" w:hAnsi="Arial" w:cs="Arial"/>
          <w:sz w:val="22"/>
          <w:szCs w:val="22"/>
          <w:lang w:val="es-ES"/>
        </w:rPr>
        <w:t>importantes externalidades, se realizan en e</w:t>
      </w:r>
      <w:r w:rsidR="00AB0B5B" w:rsidRPr="0077530D">
        <w:rPr>
          <w:rFonts w:ascii="Arial" w:eastAsia="Arial" w:hAnsi="Arial" w:cs="Arial"/>
          <w:sz w:val="22"/>
          <w:szCs w:val="22"/>
          <w:lang w:val="es-ES"/>
        </w:rPr>
        <w:t>l mediano y largo plazo, y</w:t>
      </w:r>
      <w:r w:rsidR="00EE705A" w:rsidRPr="0077530D">
        <w:rPr>
          <w:rFonts w:ascii="Arial" w:eastAsia="Arial" w:hAnsi="Arial" w:cs="Arial"/>
          <w:sz w:val="22"/>
          <w:szCs w:val="22"/>
          <w:lang w:val="es-ES"/>
        </w:rPr>
        <w:t xml:space="preserve"> la monetización de </w:t>
      </w:r>
      <w:r w:rsidR="00EE705A" w:rsidRPr="0077530D">
        <w:rPr>
          <w:rFonts w:ascii="Arial" w:eastAsia="Arial" w:hAnsi="Arial" w:cs="Arial"/>
          <w:sz w:val="22"/>
          <w:szCs w:val="22"/>
          <w:lang w:val="es-ES"/>
        </w:rPr>
        <w:lastRenderedPageBreak/>
        <w:t xml:space="preserve">los beneficios no es tan directa. </w:t>
      </w:r>
      <w:r w:rsidR="00F84D8D" w:rsidRPr="0077530D">
        <w:rPr>
          <w:rFonts w:ascii="Arial" w:eastAsia="Arial" w:hAnsi="Arial" w:cs="Arial"/>
          <w:sz w:val="22"/>
          <w:szCs w:val="22"/>
          <w:lang w:val="es-ES"/>
        </w:rPr>
        <w:t xml:space="preserve">El análisis de </w:t>
      </w:r>
      <w:r w:rsidR="001872C6" w:rsidRPr="0077530D">
        <w:fldChar w:fldCharType="begin" w:fldLock="1"/>
      </w:r>
      <w:r w:rsidR="001872C6" w:rsidRPr="0077530D">
        <w:rPr>
          <w:rFonts w:ascii="Arial" w:hAnsi="Arial" w:cs="Arial"/>
          <w:sz w:val="22"/>
          <w:szCs w:val="22"/>
          <w:lang w:val="es-ES"/>
        </w:rPr>
        <w:instrText>ADDIN CSL_CITATION { "citationItems" : [ { "id" : "ITEM-1", "itemData" : { "author" : [ { "dropping-particle" : "", "family" : "Zhuang", "given" : "J", "non-dropping-particle" : "", "parse-names" : false, "suffix" : "" }, { "dropping-particle" : "", "family" : "Liang", "given" : "Z", "non-dropping-particle" : "", "parse-names" : false, "suffix" : "" }, { "dropping-particle" : "", "family" : "Lin", "given" : "T", "non-dropping-particle" : "", "parse-names" : false, "suffix" : "" }, { "dropping-particle" : "De", "family" : "Guzman", "given" : "F", "non-dropping-particle" : "", "parse-names" : false, "suffix" : "" } ], "id" : "ITEM-1", "issued" : { "date-parts" : [ [ "2007" ] ] }, "title" : "Theory and practice in the choice of social discount rate for cost-benefit analysis: a survey", "type" : "article-journal" }, "uris" : [ "http://www.mendeley.com/documents/?uuid=51604dde-2ed8-495a-9696-b3161bc180f6" ] } ], "mendeley" : { "formattedCitation" : "(Zhuang et al. 2007)", "manualFormatting" : "Zhuang et al. (2007)", "plainTextFormattedCitation" : "(Zhuang et al. 2007)", "previouslyFormattedCitation" : "(Zhuang et al. 2007)"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Zhuang et al. (2007)</w:t>
      </w:r>
      <w:r w:rsidR="001872C6" w:rsidRPr="0077530D">
        <w:fldChar w:fldCharType="end"/>
      </w:r>
      <w:r w:rsidR="001872C6" w:rsidRPr="0077530D">
        <w:rPr>
          <w:rFonts w:ascii="Arial" w:eastAsia="Arial" w:hAnsi="Arial" w:cs="Arial"/>
          <w:sz w:val="22"/>
          <w:szCs w:val="22"/>
          <w:lang w:val="es-ES"/>
        </w:rPr>
        <w:t xml:space="preserve"> </w:t>
      </w:r>
      <w:r w:rsidR="00F84D8D" w:rsidRPr="0077530D">
        <w:rPr>
          <w:rFonts w:ascii="Arial" w:eastAsia="Arial" w:hAnsi="Arial" w:cs="Arial"/>
          <w:sz w:val="22"/>
          <w:szCs w:val="22"/>
          <w:lang w:val="es-ES"/>
        </w:rPr>
        <w:t xml:space="preserve">encuentra que </w:t>
      </w:r>
      <w:r w:rsidR="00FF628C" w:rsidRPr="0077530D">
        <w:rPr>
          <w:rFonts w:ascii="Arial" w:eastAsia="Arial" w:hAnsi="Arial" w:cs="Arial"/>
          <w:sz w:val="22"/>
          <w:szCs w:val="22"/>
          <w:lang w:val="es-ES"/>
        </w:rPr>
        <w:t xml:space="preserve">países desarrollados como Francia, Alemania, Italia y España utilizan tasas entre 3 y 7% para evaluar proyectos sociales mientras que los países en desarrollo optan por tasas entre 8 y 15%. </w:t>
      </w:r>
      <w:r w:rsidR="00F84D8D" w:rsidRPr="0077530D">
        <w:rPr>
          <w:rFonts w:ascii="Arial" w:eastAsia="Arial" w:hAnsi="Arial" w:cs="Arial"/>
          <w:sz w:val="22"/>
          <w:szCs w:val="22"/>
          <w:lang w:val="es-ES"/>
        </w:rPr>
        <w:t xml:space="preserve">El trabajo de </w:t>
      </w:r>
      <w:r w:rsidR="001872C6" w:rsidRPr="0077530D">
        <w:fldChar w:fldCharType="begin" w:fldLock="1"/>
      </w:r>
      <w:r w:rsidR="001872C6" w:rsidRPr="0077530D">
        <w:rPr>
          <w:rFonts w:ascii="Arial" w:hAnsi="Arial" w:cs="Arial"/>
          <w:sz w:val="22"/>
          <w:szCs w:val="22"/>
          <w:lang w:val="es-ES"/>
        </w:rPr>
        <w:instrText>ADDIN CSL_CITATION { "citationItems" : [ { "id" : "ITEM-1", "itemData" : { "DOI" : "10.1596/1813-9450-4639", "author" : [ { "dropping-particle" : "", "family" : "Lopez", "given" : "Humberto", "non-dropping-particle" : "", "parse-names" : false, "suffix" : "" } ], "collection-title" : "Policy Research Working Papers", "id" : "ITEM-1", "issued" : { "date-parts" : [ [ "2008", "6", "12" ] ] }, "language" : "English", "publisher" : "The World Bank", "title" : "The Social Discount Rate: Estimates For Nine Latin American Countries", "type" : "book" }, "uris" : [ "http://www.mendeley.com/documents/?uuid=1c1d3902-07ef-4655-9402-cdac0fbfa4be" ] } ], "mendeley" : { "formattedCitation" : "(Lopez 2008)", "manualFormatting" : "Lopez (2008)", "plainTextFormattedCitation" : "(Lopez 2008)", "previouslyFormattedCitation" : "(Lopez 2008)"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Lopez (2008)</w:t>
      </w:r>
      <w:r w:rsidR="001872C6" w:rsidRPr="0077530D">
        <w:fldChar w:fldCharType="end"/>
      </w:r>
      <w:r w:rsidR="001872C6" w:rsidRPr="0077530D">
        <w:rPr>
          <w:rFonts w:ascii="Arial" w:eastAsia="Arial" w:hAnsi="Arial" w:cs="Arial"/>
          <w:sz w:val="22"/>
          <w:szCs w:val="22"/>
          <w:lang w:val="es-ES"/>
        </w:rPr>
        <w:t xml:space="preserve"> </w:t>
      </w:r>
      <w:r w:rsidR="00F84D8D" w:rsidRPr="0077530D">
        <w:rPr>
          <w:rFonts w:ascii="Arial" w:eastAsia="Arial" w:hAnsi="Arial" w:cs="Arial"/>
          <w:sz w:val="22"/>
          <w:szCs w:val="22"/>
          <w:lang w:val="es-ES"/>
        </w:rPr>
        <w:t xml:space="preserve">que estima </w:t>
      </w:r>
      <w:r w:rsidR="00EE705A" w:rsidRPr="0077530D">
        <w:rPr>
          <w:rFonts w:ascii="Arial" w:eastAsia="Arial" w:hAnsi="Arial" w:cs="Arial"/>
          <w:sz w:val="22"/>
          <w:szCs w:val="22"/>
          <w:lang w:val="es-ES"/>
        </w:rPr>
        <w:t>tasas de descuento para nueve países latinoamericano</w:t>
      </w:r>
      <w:r w:rsidR="00F84D8D" w:rsidRPr="0077530D">
        <w:rPr>
          <w:rFonts w:ascii="Arial" w:eastAsia="Arial" w:hAnsi="Arial" w:cs="Arial"/>
          <w:sz w:val="22"/>
          <w:szCs w:val="22"/>
          <w:lang w:val="es-ES"/>
        </w:rPr>
        <w:t>s indica que la selección de la tasa depende las expectativas de crecimiento. Esto es que ante un escenario de crecimiento económico bajo la tasa de descuento debe situarse entre 3 y 4% mientras que en un escenario de crecimiento acelerado la tasa puede ser de un 5 o hasta 7%. En el caso de Latinoamérica algunos autores han utilizado tasas menores al 12% para</w:t>
      </w:r>
      <w:r w:rsidR="001872C6" w:rsidRPr="0077530D">
        <w:rPr>
          <w:rFonts w:ascii="Arial" w:eastAsia="Arial" w:hAnsi="Arial" w:cs="Arial"/>
          <w:sz w:val="22"/>
          <w:szCs w:val="22"/>
          <w:lang w:val="es-ES"/>
        </w:rPr>
        <w:t xml:space="preserve"> evaluar proyectos. Por ejemplo, </w:t>
      </w:r>
      <w:r w:rsidR="001872C6" w:rsidRPr="0077530D">
        <w:fldChar w:fldCharType="begin" w:fldLock="1"/>
      </w:r>
      <w:r w:rsidR="001872C6" w:rsidRPr="0077530D">
        <w:rPr>
          <w:rFonts w:ascii="Arial" w:hAnsi="Arial" w:cs="Arial"/>
          <w:sz w:val="22"/>
          <w:szCs w:val="22"/>
          <w:lang w:val="es-ES"/>
        </w:rPr>
        <w:instrText>ADDIN CSL_CITATION { "citationItems" : [ { "id" : "ITEM-1", "itemData" : { "author" : [ { "dropping-particle" : "", "family" : "Castillo", "given" : "CP", "non-dropping-particle" : "De", "parse-names" : false, "suffix" : "" }, { "dropping-particle" : "", "family" : "Lema", "given" : "R", "non-dropping-particle" : "", "parse-names" : false, "suffix" : "" } ], "id" : "ITEM-1", "issued" : { "date-parts" : [ [ "1998" ] ] }, "title" : "Economic Analysis of Social Investment Fund Projects: Case Studies and Minimum Requirements Proposal", "type" : "article-journal" }, "uris" : [ "http://www.mendeley.com/documents/?uuid=0e5a3df5-2ed5-414b-8877-801d78ccdf46" ] } ], "mendeley" : { "formattedCitation" : "(De Castillo and Lema 1998)", "manualFormatting" : "De Castillo y Lema (1998)", "plainTextFormattedCitation" : "(De Castillo and Lema 1998)", "previouslyFormattedCitation" : "(De Castillo and Lema 1998)"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De Castillo y Lema (1998)</w:t>
      </w:r>
      <w:r w:rsidR="001872C6" w:rsidRPr="0077530D">
        <w:fldChar w:fldCharType="end"/>
      </w:r>
      <w:r w:rsidR="001872C6" w:rsidRPr="0077530D">
        <w:rPr>
          <w:rFonts w:ascii="Arial" w:eastAsia="Arial" w:hAnsi="Arial" w:cs="Arial"/>
          <w:sz w:val="22"/>
          <w:szCs w:val="22"/>
          <w:lang w:val="es-ES"/>
        </w:rPr>
        <w:t xml:space="preserve"> </w:t>
      </w:r>
      <w:r w:rsidR="00F84D8D" w:rsidRPr="0077530D">
        <w:rPr>
          <w:rFonts w:ascii="Arial" w:eastAsia="Arial" w:hAnsi="Arial" w:cs="Arial"/>
          <w:sz w:val="22"/>
          <w:szCs w:val="22"/>
          <w:lang w:val="es-ES"/>
        </w:rPr>
        <w:t>utilizan</w:t>
      </w:r>
      <w:r w:rsidR="00EE705A" w:rsidRPr="0077530D">
        <w:rPr>
          <w:rFonts w:ascii="Arial" w:eastAsia="Arial" w:hAnsi="Arial" w:cs="Arial"/>
          <w:sz w:val="22"/>
          <w:szCs w:val="22"/>
          <w:lang w:val="es-ES"/>
        </w:rPr>
        <w:t xml:space="preserve"> una tasa de descuento del 8% para analizar económicamente unos fondos soci</w:t>
      </w:r>
      <w:r w:rsidR="00F84D8D" w:rsidRPr="0077530D">
        <w:rPr>
          <w:rFonts w:ascii="Arial" w:eastAsia="Arial" w:hAnsi="Arial" w:cs="Arial"/>
          <w:sz w:val="22"/>
          <w:szCs w:val="22"/>
          <w:lang w:val="es-ES"/>
        </w:rPr>
        <w:t xml:space="preserve">ales de inversión en Bolivia, </w:t>
      </w:r>
      <w:r w:rsidR="00EE705A" w:rsidRPr="0077530D">
        <w:rPr>
          <w:rFonts w:ascii="Arial" w:eastAsia="Arial" w:hAnsi="Arial" w:cs="Arial"/>
          <w:sz w:val="22"/>
          <w:szCs w:val="22"/>
          <w:lang w:val="es-ES"/>
        </w:rPr>
        <w:t>evaluaciones económicas del impacto de proyectos de nutrición en salud y educación usan tasas</w:t>
      </w:r>
      <w:r w:rsidR="001872C6" w:rsidRPr="0077530D">
        <w:rPr>
          <w:rFonts w:ascii="Arial" w:eastAsia="Arial" w:hAnsi="Arial" w:cs="Arial"/>
          <w:sz w:val="22"/>
          <w:szCs w:val="22"/>
          <w:lang w:val="es-ES"/>
        </w:rPr>
        <w:t xml:space="preserve"> de 8% </w:t>
      </w:r>
      <w:r w:rsidR="001872C6" w:rsidRPr="0077530D">
        <w:fldChar w:fldCharType="begin" w:fldLock="1"/>
      </w:r>
      <w:r w:rsidR="001872C6" w:rsidRPr="0077530D">
        <w:rPr>
          <w:rFonts w:ascii="Arial" w:hAnsi="Arial" w:cs="Arial"/>
          <w:sz w:val="22"/>
          <w:szCs w:val="22"/>
          <w:lang w:val="es-ES"/>
        </w:rPr>
        <w:instrText>ADDIN CSL_CITATION { "citationItems" : [ { "id" : "ITEM-1", "itemData" : { "author" : [ { "dropping-particle" : "", "family" : "Martinez", "given" : "R", "non-dropping-particle" : "", "parse-names" : false, "suffix" : "" }, { "dropping-particle" : "", "family" : "Fern\u00e1ndez", "given" : "A", "non-dropping-particle" : "", "parse-names" : false, "suffix" : "" } ], "id" : "ITEM-1", "issued" : { "date-parts" : [ [ "2008" ] ] }, "title" : "The cost of hunger: social and economic impact of child undernutrition in Central America and the Dominican Republic", "type" : "book" }, "uris" : [ "http://www.mendeley.com/documents/?uuid=65013fa7-3187-46ea-9f70-c1a483e6658d" ] } ], "mendeley" : { "formattedCitation" : "(Martinez and Fern\u00e1ndez 2008)", "manualFormatting" : "Martinez y Fern\u00e1ndez (2008)", "plainTextFormattedCitation" : "(Martinez and Fern\u00e1ndez 2008)", "previouslyFormattedCitation" : "(Martinez and Fern\u00e1ndez 2008)"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Martinez y Fernández (2008)</w:t>
      </w:r>
      <w:r w:rsidR="001872C6" w:rsidRPr="0077530D">
        <w:fldChar w:fldCharType="end"/>
      </w:r>
      <w:r w:rsidR="00AC2FC7" w:rsidRPr="0077530D">
        <w:rPr>
          <w:rFonts w:ascii="Arial" w:eastAsia="Arial" w:hAnsi="Arial" w:cs="Arial"/>
          <w:sz w:val="22"/>
          <w:szCs w:val="22"/>
          <w:lang w:val="es-ES"/>
        </w:rPr>
        <w:t xml:space="preserve">, </w:t>
      </w:r>
      <w:r w:rsidR="001872C6" w:rsidRPr="0077530D">
        <w:fldChar w:fldCharType="begin" w:fldLock="1"/>
      </w:r>
      <w:r w:rsidR="001872C6" w:rsidRPr="0077530D">
        <w:rPr>
          <w:rFonts w:ascii="Arial" w:hAnsi="Arial" w:cs="Arial"/>
          <w:sz w:val="22"/>
          <w:szCs w:val="22"/>
          <w:lang w:val="es-ES"/>
        </w:rPr>
        <w:instrText>ADDIN CSL_CITATION { "citationItems" : [ { "id" : "ITEM-1", "itemData" : { "author" : [ { "dropping-particle" : "", "family" : "Heckman", "given" : "James J", "non-dropping-particle" : "", "parse-names" : false, "suffix" : "" }, { "dropping-particle" : "", "family" : "Moon", "given" : "Seong Hyeok", "non-dropping-particle" : "", "parse-names" : false, "suffix" : "" }, { "dropping-particle" : "", "family" : "Pinto", "given" : "Rodrigo", "non-dropping-particle" : "", "parse-names" : false, "suffix" : "" }, { "dropping-particle" : "", "family" : "Savelyev", "given" : "Peter", "non-dropping-particle" : "", "parse-names" : false, "suffix" : "" }, { "dropping-particle" : "", "family" : "Yavitz", "given" : "Adam", "non-dropping-particle" : "", "parse-names" : false, "suffix" : "" } ], "id" : "ITEM-1", "issued" : { "date-parts" : [ [ "2010", "7", "8" ] ] }, "title" : "A New Cost-Benefit and Rate of Return Analysis for the Perry Preschool Program: A Summary", "type" : "article-journal" }, "uris" : [ "http://www.mendeley.com/documents/?uuid=51756460-d664-4e2d-9acf-737c589d02aa" ] } ], "mendeley" : { "formattedCitation" : "(Heckman et al. 2010)", "manualFormatting" : "Heckman et al. (2010)", "plainTextFormattedCitation" : "(Heckman et al. 2010)", "previouslyFormattedCitation" : "(Heckman et al. 2010)"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Heckman et al. (2010)</w:t>
      </w:r>
      <w:r w:rsidR="001872C6" w:rsidRPr="0077530D">
        <w:fldChar w:fldCharType="end"/>
      </w:r>
      <w:r w:rsidR="00EE705A" w:rsidRPr="0077530D">
        <w:rPr>
          <w:rFonts w:ascii="Arial" w:eastAsia="Arial" w:hAnsi="Arial" w:cs="Arial"/>
          <w:sz w:val="22"/>
          <w:szCs w:val="22"/>
          <w:lang w:val="es-ES"/>
        </w:rPr>
        <w:t xml:space="preserve"> utiliza</w:t>
      </w:r>
      <w:r w:rsidR="00AC2FC7" w:rsidRPr="0077530D">
        <w:rPr>
          <w:rFonts w:ascii="Arial" w:eastAsia="Arial" w:hAnsi="Arial" w:cs="Arial"/>
          <w:sz w:val="22"/>
          <w:szCs w:val="22"/>
          <w:lang w:val="es-ES"/>
        </w:rPr>
        <w:t>n</w:t>
      </w:r>
      <w:r w:rsidR="00EE705A" w:rsidRPr="0077530D">
        <w:rPr>
          <w:rFonts w:ascii="Arial" w:eastAsia="Arial" w:hAnsi="Arial" w:cs="Arial"/>
          <w:sz w:val="22"/>
          <w:szCs w:val="22"/>
          <w:lang w:val="es-ES"/>
        </w:rPr>
        <w:t xml:space="preserve"> una tasa de descue</w:t>
      </w:r>
      <w:r w:rsidR="00AC2FC7" w:rsidRPr="0077530D">
        <w:rPr>
          <w:rFonts w:ascii="Arial" w:eastAsia="Arial" w:hAnsi="Arial" w:cs="Arial"/>
          <w:sz w:val="22"/>
          <w:szCs w:val="22"/>
          <w:lang w:val="es-ES"/>
        </w:rPr>
        <w:t xml:space="preserve">nto de entre 3 y 5%, y </w:t>
      </w:r>
      <w:r w:rsidR="001872C6" w:rsidRPr="0077530D">
        <w:fldChar w:fldCharType="begin" w:fldLock="1"/>
      </w:r>
      <w:r w:rsidR="001872C6" w:rsidRPr="0077530D">
        <w:rPr>
          <w:rFonts w:ascii="Arial" w:hAnsi="Arial" w:cs="Arial"/>
          <w:sz w:val="22"/>
          <w:szCs w:val="22"/>
          <w:lang w:val="es-ES"/>
        </w:rPr>
        <w:instrText>ADDIN CSL_CITATION { "citationItems" : [ { "id" : "ITEM-1", "itemData" : { "author" : [ { "dropping-particle" : "", "family" : "Lomborg", "given" : "B", "non-dropping-particle" : "", "parse-names" : false, "suffix" : "" } ], "id" : "ITEM-1", "issued" : { "date-parts" : [ [ "2010" ] ] }, "publisher" : "Cambridge University Press", "publisher-place" : "Cambridge, Reino Unido", "title" : "Latin American Development Priorities: Costs and Benefits", "type" : "book" }, "uris" : [ "http://www.mendeley.com/documents/?uuid=1114e6b8-54cd-4c00-b9ce-ec3194cacac7" ] } ], "mendeley" : { "formattedCitation" : "(Lomborg 2010)", "manualFormatting" : "Lomborg (2010)", "plainTextFormattedCitation" : "(Lomborg 2010)", "previouslyFormattedCitation" : "(Lomborg 2010)"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Lomborg (2010)</w:t>
      </w:r>
      <w:r w:rsidR="001872C6" w:rsidRPr="0077530D">
        <w:fldChar w:fldCharType="end"/>
      </w:r>
      <w:r w:rsidR="009F2F7F" w:rsidRPr="0077530D">
        <w:rPr>
          <w:rFonts w:ascii="Arial" w:eastAsia="Arial" w:hAnsi="Arial" w:cs="Arial"/>
          <w:sz w:val="22"/>
          <w:szCs w:val="22"/>
          <w:lang w:val="es-ES"/>
        </w:rPr>
        <w:t xml:space="preserve"> </w:t>
      </w:r>
      <w:r w:rsidR="00EE705A" w:rsidRPr="0077530D">
        <w:rPr>
          <w:rFonts w:ascii="Arial" w:eastAsia="Arial" w:hAnsi="Arial" w:cs="Arial"/>
          <w:sz w:val="22"/>
          <w:szCs w:val="22"/>
          <w:lang w:val="es-ES"/>
        </w:rPr>
        <w:t xml:space="preserve">usa una tasa de descuento del 3 y del 6% para analizar el costo beneficio en </w:t>
      </w:r>
      <w:r w:rsidR="00AC2FC7" w:rsidRPr="0077530D">
        <w:rPr>
          <w:rFonts w:ascii="Arial" w:eastAsia="Arial" w:hAnsi="Arial" w:cs="Arial"/>
          <w:sz w:val="22"/>
          <w:szCs w:val="22"/>
          <w:lang w:val="es-ES"/>
        </w:rPr>
        <w:t>términos de educación de un Programa de Transferencias Condicionadas</w:t>
      </w:r>
      <w:r w:rsidR="00EE705A" w:rsidRPr="0077530D">
        <w:rPr>
          <w:rFonts w:ascii="Arial" w:eastAsia="Arial" w:hAnsi="Arial" w:cs="Arial"/>
          <w:sz w:val="22"/>
          <w:szCs w:val="22"/>
          <w:lang w:val="es-ES"/>
        </w:rPr>
        <w:t xml:space="preserve"> para el caso de tres países latinoamericanos. </w:t>
      </w:r>
      <w:r w:rsidR="00F84D8D" w:rsidRPr="0077530D">
        <w:rPr>
          <w:rFonts w:ascii="Arial" w:eastAsia="Arial" w:hAnsi="Arial" w:cs="Arial"/>
          <w:sz w:val="22"/>
          <w:szCs w:val="22"/>
          <w:lang w:val="es-ES"/>
        </w:rPr>
        <w:t xml:space="preserve">Finalmente, para proyectos de Salud, la </w:t>
      </w:r>
      <w:r w:rsidR="001872C6" w:rsidRPr="0077530D">
        <w:rPr>
          <w:rFonts w:ascii="Arial" w:eastAsia="Arial" w:hAnsi="Arial" w:cs="Arial"/>
          <w:sz w:val="22"/>
          <w:szCs w:val="22"/>
          <w:lang w:val="es-ES"/>
        </w:rPr>
        <w:t xml:space="preserve">OMS </w:t>
      </w:r>
      <w:r w:rsidR="001872C6" w:rsidRPr="0077530D">
        <w:fldChar w:fldCharType="begin" w:fldLock="1"/>
      </w:r>
      <w:r w:rsidR="001872C6" w:rsidRPr="0077530D">
        <w:rPr>
          <w:rFonts w:ascii="Arial" w:hAnsi="Arial" w:cs="Arial"/>
          <w:sz w:val="22"/>
          <w:szCs w:val="22"/>
          <w:lang w:val="es-ES"/>
        </w:rPr>
        <w:instrText>ADDIN CSL_CITATION { "citationItems" : [ { "id" : "ITEM-1", "itemData" : { "editor" : [ { "dropping-particle" : "", "family" : "Tan-Torres Edejer", "given" : "T", "non-dropping-particle" : "", "parse-names" : false, "suffix" : "" }, { "dropping-particle" : "", "family" : "Baltussen", "given" : "R.", "non-dropping-particle" : "", "parse-names" : false, "suffix" : "" }, { "dropping-particle" : "", "family" : "Adam", "given" : "T", "non-dropping-particle" : "", "parse-names" : false, "suffix" : "" }, { "dropping-particle" : "", "family" : "Hutubessy", "given" : "R", "non-dropping-particle" : "", "parse-names" : false, "suffix" : "" }, { "dropping-particle" : "", "family" : "Acharya", "given" : "A.", "non-dropping-particle" : "", "parse-names" : false, "suffix" : "" }, { "dropping-particle" : "", "family" : "Evans", "given" : "D.B.", "non-dropping-particle" : "", "parse-names" : false, "suffix" : "" }, { "dropping-particle" : "", "family" : "Murray", "given" : "C.J.L.", "non-dropping-particle" : "", "parse-names" : false, "suffix" : "" } ], "id" : "ITEM-1", "issued" : { "date-parts" : [ [ "2003" ] ] }, "publisher" : "Organizaci\u00f3n Mundial de la Salud", "publisher-place" : "Ginebra, Suiza", "title" : "Making Choices in Health:WHO Guide to Cost-Effectiveness Analysis", "type" : "book" }, "uris" : [ "http://www.mendeley.com/documents/?uuid=25a26c8b-dbda-4a68-ae1c-4aef5e08e5d1" ] } ], "mendeley" : { "formattedCitation" : "(Tan-Torres Edejer et al. 2003)", "manualFormatting" : "(en Tan-Torres Edejer et al. 2003)", "plainTextFormattedCitation" : "(Tan-Torres Edejer et al. 2003)", "previouslyFormattedCitation" : "(Tan-Torres Edejer et al. 2003)" }, "properties" : { "noteIndex" : 0 }, "schema" : "https://github.com/citation-style-language/schema/raw/master/csl-citation.json" }</w:instrText>
      </w:r>
      <w:r w:rsidR="001872C6" w:rsidRPr="0077530D">
        <w:rPr>
          <w:rFonts w:ascii="Arial" w:hAnsi="Arial" w:cs="Arial"/>
          <w:sz w:val="22"/>
          <w:szCs w:val="22"/>
          <w:lang w:val="es-ES"/>
        </w:rPr>
        <w:fldChar w:fldCharType="separate"/>
      </w:r>
      <w:r w:rsidR="001872C6" w:rsidRPr="0077530D">
        <w:rPr>
          <w:rFonts w:ascii="Arial" w:eastAsia="Arial" w:hAnsi="Arial" w:cs="Arial"/>
          <w:sz w:val="22"/>
          <w:szCs w:val="22"/>
          <w:lang w:val="es-ES"/>
        </w:rPr>
        <w:t>(en Tan-Torres Edejer et al. 2003)</w:t>
      </w:r>
      <w:r w:rsidR="001872C6" w:rsidRPr="0077530D">
        <w:fldChar w:fldCharType="end"/>
      </w:r>
      <w:r w:rsidR="001872C6" w:rsidRPr="0077530D">
        <w:rPr>
          <w:rFonts w:ascii="Arial" w:eastAsia="Arial" w:hAnsi="Arial" w:cs="Arial"/>
          <w:sz w:val="22"/>
          <w:szCs w:val="22"/>
          <w:lang w:val="es-ES"/>
        </w:rPr>
        <w:t xml:space="preserve"> </w:t>
      </w:r>
      <w:r w:rsidR="00F84D8D" w:rsidRPr="0077530D">
        <w:rPr>
          <w:rFonts w:ascii="Arial" w:eastAsia="Arial" w:hAnsi="Arial" w:cs="Arial"/>
          <w:sz w:val="22"/>
          <w:szCs w:val="22"/>
          <w:lang w:val="es-ES"/>
        </w:rPr>
        <w:t>recomienda usar 3% como tasa de descuento y sugieren que para los análisis de sensibilidad se descuenten los efectos de salud con una tasa del 0% y los costos con una del 6%.</w:t>
      </w:r>
      <w:r w:rsidR="00CB597D" w:rsidRPr="0077530D">
        <w:rPr>
          <w:rStyle w:val="FootnoteReference"/>
          <w:rFonts w:ascii="Arial" w:eastAsia="Arial" w:hAnsi="Arial" w:cs="Arial"/>
          <w:sz w:val="22"/>
          <w:szCs w:val="22"/>
          <w:lang w:val="es-ES"/>
        </w:rPr>
        <w:footnoteReference w:id="21"/>
      </w:r>
    </w:p>
    <w:p w14:paraId="2CA9D989" w14:textId="792A241C" w:rsidR="00FF628C" w:rsidRPr="0077530D" w:rsidRDefault="00FF628C" w:rsidP="001025F1">
      <w:pPr>
        <w:autoSpaceDE w:val="0"/>
        <w:autoSpaceDN w:val="0"/>
        <w:adjustRightInd w:val="0"/>
        <w:spacing w:before="120" w:after="100" w:afterAutospacing="1"/>
        <w:jc w:val="both"/>
        <w:rPr>
          <w:rFonts w:ascii="Arial" w:hAnsi="Arial" w:cs="Arial"/>
          <w:sz w:val="22"/>
          <w:szCs w:val="22"/>
          <w:lang w:val="es-ES"/>
        </w:rPr>
      </w:pPr>
      <w:r w:rsidRPr="0077530D">
        <w:rPr>
          <w:rFonts w:ascii="Arial" w:hAnsi="Arial" w:cs="Arial"/>
          <w:sz w:val="22"/>
          <w:szCs w:val="22"/>
          <w:lang w:val="es-ES"/>
        </w:rPr>
        <w:t>Las ganancias económicas del pro</w:t>
      </w:r>
      <w:r w:rsidR="00557BE5" w:rsidRPr="0077530D">
        <w:rPr>
          <w:rFonts w:ascii="Arial" w:hAnsi="Arial" w:cs="Arial"/>
          <w:sz w:val="22"/>
          <w:szCs w:val="22"/>
          <w:lang w:val="es-ES"/>
        </w:rPr>
        <w:t>grama</w:t>
      </w:r>
      <w:r w:rsidRPr="0077530D">
        <w:rPr>
          <w:rFonts w:ascii="Arial" w:hAnsi="Arial" w:cs="Arial"/>
          <w:sz w:val="22"/>
          <w:szCs w:val="22"/>
          <w:lang w:val="es-ES"/>
        </w:rPr>
        <w:t xml:space="preserve"> están dadas por la combinación de los AVADs obtenidos </w:t>
      </w:r>
      <w:r w:rsidR="00344C86" w:rsidRPr="0077530D">
        <w:rPr>
          <w:rFonts w:ascii="Arial" w:hAnsi="Arial" w:cs="Arial"/>
          <w:sz w:val="22"/>
          <w:szCs w:val="22"/>
          <w:lang w:val="es-ES"/>
        </w:rPr>
        <w:t xml:space="preserve">por las diferentes capas de intervención </w:t>
      </w:r>
      <w:r w:rsidR="008D7DDC" w:rsidRPr="0077530D">
        <w:rPr>
          <w:rFonts w:ascii="Arial" w:hAnsi="Arial" w:cs="Arial"/>
          <w:sz w:val="22"/>
          <w:szCs w:val="22"/>
          <w:lang w:val="es-ES"/>
        </w:rPr>
        <w:t>del Programa de mejora en accesibilidad</w:t>
      </w:r>
      <w:r w:rsidR="00F84D8D" w:rsidRPr="0077530D">
        <w:rPr>
          <w:rFonts w:ascii="Arial" w:hAnsi="Arial" w:cs="Arial"/>
          <w:sz w:val="22"/>
          <w:szCs w:val="22"/>
          <w:lang w:val="es-ES"/>
        </w:rPr>
        <w:t xml:space="preserve"> multiplicados por la productividad de la población</w:t>
      </w:r>
      <w:r w:rsidR="006D7E7E" w:rsidRPr="0077530D">
        <w:rPr>
          <w:rFonts w:ascii="Arial" w:hAnsi="Arial" w:cs="Arial"/>
          <w:sz w:val="22"/>
          <w:szCs w:val="22"/>
          <w:lang w:val="es-ES"/>
        </w:rPr>
        <w:t xml:space="preserve"> (PIB per cápita)</w:t>
      </w:r>
      <w:r w:rsidR="00F84D8D" w:rsidRPr="0077530D">
        <w:rPr>
          <w:rFonts w:ascii="Arial" w:hAnsi="Arial" w:cs="Arial"/>
          <w:sz w:val="22"/>
          <w:szCs w:val="22"/>
          <w:lang w:val="es-ES"/>
        </w:rPr>
        <w:t>. Posteriormente son ajustados por</w:t>
      </w:r>
      <w:r w:rsidR="009F66CE" w:rsidRPr="0077530D">
        <w:rPr>
          <w:rFonts w:ascii="Arial" w:hAnsi="Arial" w:cs="Arial"/>
          <w:sz w:val="22"/>
          <w:szCs w:val="22"/>
          <w:lang w:val="es-ES"/>
        </w:rPr>
        <w:t xml:space="preserve"> la contribución marginal a la cobertura efectiva</w:t>
      </w:r>
      <w:r w:rsidR="006D7E7E" w:rsidRPr="0077530D">
        <w:rPr>
          <w:rFonts w:ascii="Arial" w:hAnsi="Arial" w:cs="Arial"/>
          <w:sz w:val="22"/>
          <w:szCs w:val="22"/>
          <w:lang w:val="es-ES"/>
        </w:rPr>
        <w:t xml:space="preserve"> que se espera de cada capa de intervención</w:t>
      </w:r>
      <w:r w:rsidR="009F66CE" w:rsidRPr="0077530D">
        <w:rPr>
          <w:rFonts w:ascii="Arial" w:hAnsi="Arial" w:cs="Arial"/>
          <w:sz w:val="22"/>
          <w:szCs w:val="22"/>
          <w:lang w:val="es-ES"/>
        </w:rPr>
        <w:t xml:space="preserve"> y por los</w:t>
      </w:r>
      <w:r w:rsidRPr="0077530D">
        <w:rPr>
          <w:rFonts w:ascii="Arial" w:hAnsi="Arial" w:cs="Arial"/>
          <w:sz w:val="22"/>
          <w:szCs w:val="22"/>
          <w:lang w:val="es-ES"/>
        </w:rPr>
        <w:t xml:space="preserve"> vectores</w:t>
      </w:r>
      <w:r w:rsidR="006D7E7E" w:rsidRPr="0077530D">
        <w:rPr>
          <w:rFonts w:ascii="Arial" w:hAnsi="Arial" w:cs="Arial"/>
          <w:sz w:val="22"/>
          <w:szCs w:val="22"/>
          <w:lang w:val="es-ES"/>
        </w:rPr>
        <w:t xml:space="preserve"> de gradualidad que afectan a todas las capas de intervención por igual.</w:t>
      </w:r>
    </w:p>
    <w:p w14:paraId="0B0B3663" w14:textId="3EC32165" w:rsidR="00A66BBC" w:rsidRPr="0077530D" w:rsidRDefault="00A66BBC" w:rsidP="001A6051">
      <w:pPr>
        <w:pStyle w:val="Caption"/>
      </w:pPr>
      <w:bookmarkStart w:id="85" w:name="_Ref296087688"/>
      <w:r w:rsidRPr="0077530D">
        <w:t xml:space="preserve">Tabla </w:t>
      </w:r>
      <w:r w:rsidR="00871BC0" w:rsidRPr="0077530D">
        <w:fldChar w:fldCharType="begin"/>
      </w:r>
      <w:r w:rsidR="00871BC0" w:rsidRPr="0077530D">
        <w:rPr>
          <w:noProof/>
        </w:rPr>
        <w:instrText xml:space="preserve"> SEQ Tabla \* ARABIC </w:instrText>
      </w:r>
      <w:r w:rsidR="00871BC0" w:rsidRPr="0077530D">
        <w:rPr>
          <w:noProof/>
        </w:rPr>
        <w:fldChar w:fldCharType="separate"/>
      </w:r>
      <w:r w:rsidR="000A3DCE" w:rsidRPr="0077530D">
        <w:rPr>
          <w:noProof/>
        </w:rPr>
        <w:t>5</w:t>
      </w:r>
      <w:r w:rsidR="00871BC0" w:rsidRPr="0077530D">
        <w:fldChar w:fldCharType="end"/>
      </w:r>
      <w:bookmarkEnd w:id="85"/>
      <w:r w:rsidRPr="0077530D">
        <w:t xml:space="preserve">. </w:t>
      </w:r>
      <w:r w:rsidR="004268B3" w:rsidRPr="0077530D">
        <w:t>Análisis de sensibilidad</w:t>
      </w:r>
      <w:r w:rsidRPr="0077530D">
        <w:t xml:space="preserve"> de</w:t>
      </w:r>
      <w:r w:rsidR="004268B3" w:rsidRPr="0077530D">
        <w:t xml:space="preserve"> los</w:t>
      </w:r>
      <w:r w:rsidRPr="0077530D">
        <w:t xml:space="preserve"> beneficios </w:t>
      </w:r>
      <w:r w:rsidR="004268B3" w:rsidRPr="0077530D">
        <w:t>en dólares</w:t>
      </w:r>
      <w:r w:rsidR="006E64BD" w:rsidRPr="0077530D">
        <w:t xml:space="preserve">, </w:t>
      </w:r>
      <w:r w:rsidR="00FE15D8" w:rsidRPr="0077530D">
        <w:t xml:space="preserve">periodo </w:t>
      </w:r>
      <w:r w:rsidR="006F4482" w:rsidRPr="0077530D">
        <w:t>201</w:t>
      </w:r>
      <w:r w:rsidR="00EC7AA6" w:rsidRPr="0077530D">
        <w:t>8</w:t>
      </w:r>
      <w:r w:rsidR="006E64BD" w:rsidRPr="0077530D">
        <w:t>-202</w:t>
      </w:r>
      <w:r w:rsidR="00EF27FE" w:rsidRPr="0077530D">
        <w:t>3</w:t>
      </w:r>
    </w:p>
    <w:tbl>
      <w:tblPr>
        <w:tblStyle w:val="GridTable4-Accent11"/>
        <w:tblW w:w="0" w:type="auto"/>
        <w:tblLook w:val="04A0" w:firstRow="1" w:lastRow="0" w:firstColumn="1" w:lastColumn="0" w:noHBand="0" w:noVBand="1"/>
      </w:tblPr>
      <w:tblGrid>
        <w:gridCol w:w="1739"/>
        <w:gridCol w:w="2139"/>
        <w:gridCol w:w="1368"/>
        <w:gridCol w:w="1368"/>
        <w:gridCol w:w="1368"/>
        <w:gridCol w:w="1368"/>
      </w:tblGrid>
      <w:tr w:rsidR="005F6C33" w:rsidRPr="0077530D" w14:paraId="643E195D" w14:textId="77777777" w:rsidTr="0077530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62E11C6" w14:textId="77777777" w:rsidR="005F6C33" w:rsidRPr="0077530D" w:rsidRDefault="005F6C33" w:rsidP="00F54066">
            <w:pPr>
              <w:keepNext/>
              <w:spacing w:after="100" w:afterAutospacing="1"/>
              <w:jc w:val="center"/>
              <w:rPr>
                <w:rFonts w:ascii="Arial" w:eastAsia="Times New Roman" w:hAnsi="Arial" w:cs="Arial"/>
                <w:sz w:val="16"/>
                <w:szCs w:val="16"/>
                <w:lang w:val="es-ES_tradnl"/>
              </w:rPr>
            </w:pPr>
            <w:r w:rsidRPr="0077530D">
              <w:rPr>
                <w:rFonts w:ascii="Arial" w:eastAsia="Times New Roman" w:hAnsi="Arial" w:cs="Arial"/>
                <w:sz w:val="16"/>
                <w:szCs w:val="16"/>
                <w:lang w:val="es-ES_tradnl"/>
              </w:rPr>
              <w:t>Vectores de gradualidad</w:t>
            </w:r>
          </w:p>
        </w:tc>
        <w:tc>
          <w:tcPr>
            <w:tcW w:w="0" w:type="auto"/>
            <w:vAlign w:val="center"/>
            <w:hideMark/>
          </w:tcPr>
          <w:p w14:paraId="106CB911" w14:textId="77777777" w:rsidR="005F6C33" w:rsidRPr="0077530D" w:rsidRDefault="005F6C33" w:rsidP="00F54066">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_tradnl"/>
              </w:rPr>
            </w:pPr>
            <w:r w:rsidRPr="0077530D">
              <w:rPr>
                <w:rFonts w:ascii="Arial" w:eastAsia="Times New Roman" w:hAnsi="Arial" w:cs="Arial"/>
                <w:sz w:val="16"/>
                <w:szCs w:val="16"/>
                <w:lang w:val="es-ES_tradnl"/>
              </w:rPr>
              <w:t>Escenarios de cobertura efectiva</w:t>
            </w:r>
          </w:p>
        </w:tc>
        <w:tc>
          <w:tcPr>
            <w:tcW w:w="0" w:type="auto"/>
            <w:gridSpan w:val="4"/>
            <w:noWrap/>
            <w:vAlign w:val="center"/>
            <w:hideMark/>
          </w:tcPr>
          <w:p w14:paraId="36047660" w14:textId="77777777" w:rsidR="005F6C33" w:rsidRPr="0077530D" w:rsidRDefault="005F6C33" w:rsidP="00F54066">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_tradnl"/>
              </w:rPr>
            </w:pPr>
            <w:r w:rsidRPr="0077530D">
              <w:rPr>
                <w:rFonts w:ascii="Arial" w:eastAsia="Times New Roman" w:hAnsi="Arial" w:cs="Arial"/>
                <w:bCs w:val="0"/>
                <w:sz w:val="16"/>
                <w:szCs w:val="16"/>
                <w:lang w:val="es-ES_tradnl"/>
              </w:rPr>
              <w:t>tasa de descuento</w:t>
            </w:r>
          </w:p>
        </w:tc>
      </w:tr>
      <w:tr w:rsidR="005F6C33" w:rsidRPr="0077530D" w14:paraId="20ACAECE" w14:textId="77777777" w:rsidTr="0077530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D5FF27B" w14:textId="77777777" w:rsidR="005F6C33" w:rsidRPr="0077530D" w:rsidRDefault="005F6C33" w:rsidP="00F54066">
            <w:pPr>
              <w:keepNext/>
              <w:spacing w:after="100" w:afterAutospacing="1"/>
              <w:jc w:val="center"/>
              <w:rPr>
                <w:rFonts w:ascii="Arial" w:eastAsia="Times New Roman" w:hAnsi="Arial" w:cs="Arial"/>
                <w:b w:val="0"/>
                <w:bCs w:val="0"/>
                <w:color w:val="000000"/>
                <w:sz w:val="16"/>
                <w:szCs w:val="16"/>
                <w:lang w:val="es-ES_tradnl"/>
              </w:rPr>
            </w:pPr>
          </w:p>
        </w:tc>
        <w:tc>
          <w:tcPr>
            <w:tcW w:w="0" w:type="auto"/>
            <w:vAlign w:val="center"/>
            <w:hideMark/>
          </w:tcPr>
          <w:p w14:paraId="24E62F87" w14:textId="77777777" w:rsidR="005F6C33" w:rsidRPr="0077530D" w:rsidRDefault="005F6C33" w:rsidP="00F54066">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p>
        </w:tc>
        <w:tc>
          <w:tcPr>
            <w:tcW w:w="0" w:type="auto"/>
            <w:noWrap/>
            <w:vAlign w:val="center"/>
            <w:hideMark/>
          </w:tcPr>
          <w:p w14:paraId="2DBA1587" w14:textId="77777777" w:rsidR="005F6C33" w:rsidRPr="0077530D" w:rsidRDefault="005F6C33" w:rsidP="00F54066">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2%</w:t>
            </w:r>
          </w:p>
        </w:tc>
        <w:tc>
          <w:tcPr>
            <w:tcW w:w="0" w:type="auto"/>
            <w:noWrap/>
            <w:vAlign w:val="center"/>
            <w:hideMark/>
          </w:tcPr>
          <w:p w14:paraId="56D89A75" w14:textId="77777777" w:rsidR="005F6C33" w:rsidRPr="0077530D" w:rsidRDefault="005F6C33" w:rsidP="00F54066">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3%</w:t>
            </w:r>
          </w:p>
        </w:tc>
        <w:tc>
          <w:tcPr>
            <w:tcW w:w="0" w:type="auto"/>
            <w:noWrap/>
            <w:vAlign w:val="center"/>
            <w:hideMark/>
          </w:tcPr>
          <w:p w14:paraId="4EAA601B" w14:textId="77777777" w:rsidR="005F6C33" w:rsidRPr="0077530D" w:rsidRDefault="005F6C33" w:rsidP="00F54066">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6%</w:t>
            </w:r>
          </w:p>
        </w:tc>
        <w:tc>
          <w:tcPr>
            <w:tcW w:w="0" w:type="auto"/>
            <w:noWrap/>
            <w:vAlign w:val="center"/>
            <w:hideMark/>
          </w:tcPr>
          <w:p w14:paraId="7935D155" w14:textId="77777777" w:rsidR="005F6C33" w:rsidRPr="0077530D" w:rsidRDefault="005F6C33" w:rsidP="00F54066">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9%</w:t>
            </w:r>
          </w:p>
        </w:tc>
      </w:tr>
      <w:tr w:rsidR="00CB597D" w:rsidRPr="0077530D" w14:paraId="271BAA98"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1BBAD14E"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Lento</w:t>
            </w:r>
          </w:p>
        </w:tc>
        <w:tc>
          <w:tcPr>
            <w:tcW w:w="0" w:type="auto"/>
            <w:noWrap/>
            <w:vAlign w:val="center"/>
            <w:hideMark/>
          </w:tcPr>
          <w:p w14:paraId="68FC6737"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Pesimista</w:t>
            </w:r>
          </w:p>
        </w:tc>
        <w:tc>
          <w:tcPr>
            <w:tcW w:w="0" w:type="auto"/>
            <w:noWrap/>
            <w:hideMark/>
          </w:tcPr>
          <w:p w14:paraId="36108691" w14:textId="3DD61CE6"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543,684,778</w:t>
            </w:r>
          </w:p>
        </w:tc>
        <w:tc>
          <w:tcPr>
            <w:tcW w:w="0" w:type="auto"/>
            <w:noWrap/>
            <w:hideMark/>
          </w:tcPr>
          <w:p w14:paraId="33073D7F" w14:textId="04B5CD5C"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519,429,159</w:t>
            </w:r>
          </w:p>
        </w:tc>
        <w:tc>
          <w:tcPr>
            <w:tcW w:w="0" w:type="auto"/>
            <w:noWrap/>
            <w:hideMark/>
          </w:tcPr>
          <w:p w14:paraId="37CEFC4A" w14:textId="3DA6E8BF"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451,802,031</w:t>
            </w:r>
          </w:p>
        </w:tc>
        <w:tc>
          <w:tcPr>
            <w:tcW w:w="0" w:type="auto"/>
            <w:noWrap/>
            <w:hideMark/>
          </w:tcPr>
          <w:p w14:paraId="1AB183D8" w14:textId="5C64C93D"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391,400,317</w:t>
            </w:r>
          </w:p>
        </w:tc>
      </w:tr>
      <w:tr w:rsidR="00CB597D" w:rsidRPr="0077530D" w14:paraId="4D516AEF" w14:textId="77777777" w:rsidTr="0077530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6B6C5ABD"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36E1F67A"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Medio</w:t>
            </w:r>
          </w:p>
        </w:tc>
        <w:tc>
          <w:tcPr>
            <w:tcW w:w="0" w:type="auto"/>
            <w:noWrap/>
            <w:hideMark/>
          </w:tcPr>
          <w:p w14:paraId="15B97CDE" w14:textId="21F9D504"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815,527,167</w:t>
            </w:r>
          </w:p>
        </w:tc>
        <w:tc>
          <w:tcPr>
            <w:tcW w:w="0" w:type="auto"/>
            <w:noWrap/>
            <w:hideMark/>
          </w:tcPr>
          <w:p w14:paraId="07F7FC43" w14:textId="7681E96B"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779,143,738</w:t>
            </w:r>
          </w:p>
        </w:tc>
        <w:tc>
          <w:tcPr>
            <w:tcW w:w="0" w:type="auto"/>
            <w:noWrap/>
            <w:hideMark/>
          </w:tcPr>
          <w:p w14:paraId="4F953EE0" w14:textId="0E1F75DD"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677,703,046</w:t>
            </w:r>
          </w:p>
        </w:tc>
        <w:tc>
          <w:tcPr>
            <w:tcW w:w="0" w:type="auto"/>
            <w:noWrap/>
            <w:hideMark/>
          </w:tcPr>
          <w:p w14:paraId="2B99FB7B" w14:textId="61B2627A"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587,100,475</w:t>
            </w:r>
          </w:p>
        </w:tc>
      </w:tr>
      <w:tr w:rsidR="00CB597D" w:rsidRPr="0077530D" w14:paraId="4C3D9A0F" w14:textId="77777777" w:rsidTr="0077530D">
        <w:trPr>
          <w:trHeight w:val="34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47803714"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1CCDD575"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Optimista</w:t>
            </w:r>
          </w:p>
        </w:tc>
        <w:tc>
          <w:tcPr>
            <w:tcW w:w="0" w:type="auto"/>
            <w:noWrap/>
            <w:hideMark/>
          </w:tcPr>
          <w:p w14:paraId="1F829F28" w14:textId="1D3B5B83"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1,087,369,556</w:t>
            </w:r>
          </w:p>
        </w:tc>
        <w:tc>
          <w:tcPr>
            <w:tcW w:w="0" w:type="auto"/>
            <w:noWrap/>
            <w:hideMark/>
          </w:tcPr>
          <w:p w14:paraId="7120771A" w14:textId="705A8DA2"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1,038,858,318</w:t>
            </w:r>
          </w:p>
        </w:tc>
        <w:tc>
          <w:tcPr>
            <w:tcW w:w="0" w:type="auto"/>
            <w:noWrap/>
            <w:hideMark/>
          </w:tcPr>
          <w:p w14:paraId="05861BC8" w14:textId="43D130C8"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903,604,062</w:t>
            </w:r>
          </w:p>
        </w:tc>
        <w:tc>
          <w:tcPr>
            <w:tcW w:w="0" w:type="auto"/>
            <w:noWrap/>
            <w:hideMark/>
          </w:tcPr>
          <w:p w14:paraId="04E47A89" w14:textId="552CAC70"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782,800,634</w:t>
            </w:r>
          </w:p>
        </w:tc>
      </w:tr>
      <w:tr w:rsidR="00CB597D" w:rsidRPr="0077530D" w14:paraId="50188A35" w14:textId="77777777" w:rsidTr="0077530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724C0571"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Regular</w:t>
            </w:r>
          </w:p>
        </w:tc>
        <w:tc>
          <w:tcPr>
            <w:tcW w:w="0" w:type="auto"/>
            <w:noWrap/>
            <w:vAlign w:val="center"/>
            <w:hideMark/>
          </w:tcPr>
          <w:p w14:paraId="6979B1A4"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Pesimista</w:t>
            </w:r>
          </w:p>
        </w:tc>
        <w:tc>
          <w:tcPr>
            <w:tcW w:w="0" w:type="auto"/>
            <w:noWrap/>
            <w:hideMark/>
          </w:tcPr>
          <w:p w14:paraId="7CA0C880" w14:textId="09399BA4"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671,390,596</w:t>
            </w:r>
          </w:p>
        </w:tc>
        <w:tc>
          <w:tcPr>
            <w:tcW w:w="0" w:type="auto"/>
            <w:noWrap/>
            <w:hideMark/>
          </w:tcPr>
          <w:p w14:paraId="3F38D43B" w14:textId="6D1AAE3E"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642,101,422</w:t>
            </w:r>
          </w:p>
        </w:tc>
        <w:tc>
          <w:tcPr>
            <w:tcW w:w="0" w:type="auto"/>
            <w:noWrap/>
            <w:hideMark/>
          </w:tcPr>
          <w:p w14:paraId="0232AD7C" w14:textId="6F756A84"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560,318,175</w:t>
            </w:r>
          </w:p>
        </w:tc>
        <w:tc>
          <w:tcPr>
            <w:tcW w:w="0" w:type="auto"/>
            <w:noWrap/>
            <w:hideMark/>
          </w:tcPr>
          <w:p w14:paraId="6D361D8D" w14:textId="1ABC221D"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487,097,691</w:t>
            </w:r>
          </w:p>
        </w:tc>
      </w:tr>
      <w:tr w:rsidR="00CB597D" w:rsidRPr="0077530D" w14:paraId="0FFA58F1"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587AF7E2" w14:textId="77777777" w:rsidR="00CB597D" w:rsidRPr="0077530D" w:rsidRDefault="00CB597D" w:rsidP="00CB597D">
            <w:pPr>
              <w:keepNext/>
              <w:spacing w:after="100" w:afterAutospacing="1"/>
              <w:jc w:val="center"/>
              <w:rPr>
                <w:rFonts w:ascii="Arial" w:eastAsia="Times New Roman" w:hAnsi="Arial" w:cs="Arial"/>
                <w:b w:val="0"/>
                <w:color w:val="000000"/>
                <w:sz w:val="16"/>
                <w:szCs w:val="16"/>
                <w:lang w:val="es-ES_tradnl"/>
              </w:rPr>
            </w:pPr>
          </w:p>
        </w:tc>
        <w:tc>
          <w:tcPr>
            <w:tcW w:w="0" w:type="auto"/>
            <w:noWrap/>
            <w:vAlign w:val="center"/>
            <w:hideMark/>
          </w:tcPr>
          <w:p w14:paraId="008470C6"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Medio</w:t>
            </w:r>
          </w:p>
        </w:tc>
        <w:tc>
          <w:tcPr>
            <w:tcW w:w="0" w:type="auto"/>
            <w:noWrap/>
            <w:hideMark/>
          </w:tcPr>
          <w:p w14:paraId="73E6FCF8" w14:textId="39FF6571"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1,007,085,894</w:t>
            </w:r>
          </w:p>
        </w:tc>
        <w:tc>
          <w:tcPr>
            <w:tcW w:w="0" w:type="auto"/>
            <w:noWrap/>
            <w:hideMark/>
          </w:tcPr>
          <w:p w14:paraId="7F83BA44" w14:textId="5257D68B"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963,152,134</w:t>
            </w:r>
          </w:p>
        </w:tc>
        <w:tc>
          <w:tcPr>
            <w:tcW w:w="0" w:type="auto"/>
            <w:noWrap/>
            <w:hideMark/>
          </w:tcPr>
          <w:p w14:paraId="7B8DB7F6" w14:textId="21248526"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840,477,263</w:t>
            </w:r>
          </w:p>
        </w:tc>
        <w:tc>
          <w:tcPr>
            <w:tcW w:w="0" w:type="auto"/>
            <w:noWrap/>
            <w:hideMark/>
          </w:tcPr>
          <w:p w14:paraId="06D762EA" w14:textId="63DB0BBB"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730,646,537</w:t>
            </w:r>
          </w:p>
        </w:tc>
      </w:tr>
      <w:tr w:rsidR="00CB597D" w:rsidRPr="0077530D" w14:paraId="42609F29" w14:textId="77777777" w:rsidTr="0077530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1232D64B"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4353AC53"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Optimista</w:t>
            </w:r>
          </w:p>
        </w:tc>
        <w:tc>
          <w:tcPr>
            <w:tcW w:w="0" w:type="auto"/>
            <w:noWrap/>
            <w:hideMark/>
          </w:tcPr>
          <w:p w14:paraId="7C06C504" w14:textId="5ED3311B"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1,342,781,192</w:t>
            </w:r>
          </w:p>
        </w:tc>
        <w:tc>
          <w:tcPr>
            <w:tcW w:w="0" w:type="auto"/>
            <w:noWrap/>
            <w:hideMark/>
          </w:tcPr>
          <w:p w14:paraId="2AC114A1" w14:textId="63E01276"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1,284,202,845</w:t>
            </w:r>
          </w:p>
        </w:tc>
        <w:tc>
          <w:tcPr>
            <w:tcW w:w="0" w:type="auto"/>
            <w:noWrap/>
            <w:hideMark/>
          </w:tcPr>
          <w:p w14:paraId="4C4126CD" w14:textId="468FF9EE"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1,120,636,350</w:t>
            </w:r>
          </w:p>
        </w:tc>
        <w:tc>
          <w:tcPr>
            <w:tcW w:w="0" w:type="auto"/>
            <w:noWrap/>
            <w:hideMark/>
          </w:tcPr>
          <w:p w14:paraId="7A7A56CB" w14:textId="292425A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974,195,383</w:t>
            </w:r>
          </w:p>
        </w:tc>
      </w:tr>
      <w:tr w:rsidR="00CB597D" w:rsidRPr="0077530D" w14:paraId="47167670"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0FC6B3A6"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R</w:t>
            </w:r>
            <w:r w:rsidRPr="0077530D">
              <w:rPr>
                <w:rFonts w:ascii="Arial" w:hAnsi="Arial" w:cs="Arial"/>
                <w:color w:val="000000"/>
                <w:sz w:val="16"/>
                <w:szCs w:val="16"/>
                <w:lang w:val="es-ES_tradnl"/>
              </w:rPr>
              <w:t>ápido</w:t>
            </w:r>
          </w:p>
        </w:tc>
        <w:tc>
          <w:tcPr>
            <w:tcW w:w="0" w:type="auto"/>
            <w:noWrap/>
            <w:vAlign w:val="center"/>
            <w:hideMark/>
          </w:tcPr>
          <w:p w14:paraId="54E6B348"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Pesimista</w:t>
            </w:r>
          </w:p>
        </w:tc>
        <w:tc>
          <w:tcPr>
            <w:tcW w:w="0" w:type="auto"/>
            <w:noWrap/>
            <w:hideMark/>
          </w:tcPr>
          <w:p w14:paraId="3178B20A" w14:textId="2E02E35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1,009,512,960</w:t>
            </w:r>
          </w:p>
        </w:tc>
        <w:tc>
          <w:tcPr>
            <w:tcW w:w="0" w:type="auto"/>
            <w:noWrap/>
            <w:hideMark/>
          </w:tcPr>
          <w:p w14:paraId="7E52FE26" w14:textId="691B6435"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966,415,144</w:t>
            </w:r>
          </w:p>
        </w:tc>
        <w:tc>
          <w:tcPr>
            <w:tcW w:w="0" w:type="auto"/>
            <w:noWrap/>
            <w:hideMark/>
          </w:tcPr>
          <w:p w14:paraId="50ECF3CF" w14:textId="64631E63"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845,891,193</w:t>
            </w:r>
          </w:p>
        </w:tc>
        <w:tc>
          <w:tcPr>
            <w:tcW w:w="0" w:type="auto"/>
            <w:noWrap/>
            <w:hideMark/>
          </w:tcPr>
          <w:p w14:paraId="2D523DB8" w14:textId="7434EE96"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737,724,513</w:t>
            </w:r>
          </w:p>
        </w:tc>
      </w:tr>
      <w:tr w:rsidR="00CB597D" w:rsidRPr="0077530D" w14:paraId="40F2C8D4" w14:textId="77777777" w:rsidTr="0077530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43CA822D"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4AF0C9DF"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Medio</w:t>
            </w:r>
          </w:p>
        </w:tc>
        <w:tc>
          <w:tcPr>
            <w:tcW w:w="0" w:type="auto"/>
            <w:noWrap/>
            <w:hideMark/>
          </w:tcPr>
          <w:p w14:paraId="127D3B78" w14:textId="1E54AF73"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1,514,269,439</w:t>
            </w:r>
          </w:p>
        </w:tc>
        <w:tc>
          <w:tcPr>
            <w:tcW w:w="0" w:type="auto"/>
            <w:noWrap/>
            <w:hideMark/>
          </w:tcPr>
          <w:p w14:paraId="695F1AB2" w14:textId="4D4BE758"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1,449,622,715</w:t>
            </w:r>
          </w:p>
        </w:tc>
        <w:tc>
          <w:tcPr>
            <w:tcW w:w="0" w:type="auto"/>
            <w:noWrap/>
            <w:hideMark/>
          </w:tcPr>
          <w:p w14:paraId="00901009" w14:textId="664541E9"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1,268,836,790</w:t>
            </w:r>
          </w:p>
        </w:tc>
        <w:tc>
          <w:tcPr>
            <w:tcW w:w="0" w:type="auto"/>
            <w:noWrap/>
            <w:hideMark/>
          </w:tcPr>
          <w:p w14:paraId="31C3D5EE" w14:textId="006A12A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1,106,586,770</w:t>
            </w:r>
          </w:p>
        </w:tc>
      </w:tr>
      <w:tr w:rsidR="00CB597D" w:rsidRPr="0077530D" w14:paraId="5B992733"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3D0F494A"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0E7B7CFE"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Optimista</w:t>
            </w:r>
          </w:p>
        </w:tc>
        <w:tc>
          <w:tcPr>
            <w:tcW w:w="0" w:type="auto"/>
            <w:noWrap/>
            <w:hideMark/>
          </w:tcPr>
          <w:p w14:paraId="3276DF56" w14:textId="20DB5DCA"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2,019,025,919</w:t>
            </w:r>
          </w:p>
        </w:tc>
        <w:tc>
          <w:tcPr>
            <w:tcW w:w="0" w:type="auto"/>
            <w:noWrap/>
            <w:hideMark/>
          </w:tcPr>
          <w:p w14:paraId="1562AF86" w14:textId="022EEC7C"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1,932,830,287</w:t>
            </w:r>
          </w:p>
        </w:tc>
        <w:tc>
          <w:tcPr>
            <w:tcW w:w="0" w:type="auto"/>
            <w:noWrap/>
            <w:hideMark/>
          </w:tcPr>
          <w:p w14:paraId="05F473E3" w14:textId="0B60A1EA"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1,691,782,387</w:t>
            </w:r>
          </w:p>
        </w:tc>
        <w:tc>
          <w:tcPr>
            <w:tcW w:w="0" w:type="auto"/>
            <w:noWrap/>
            <w:hideMark/>
          </w:tcPr>
          <w:p w14:paraId="0E0E7487" w14:textId="78F0B0D6"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1,475,449,026</w:t>
            </w:r>
          </w:p>
        </w:tc>
      </w:tr>
    </w:tbl>
    <w:p w14:paraId="1D81A64C" w14:textId="77777777" w:rsidR="005F6C33" w:rsidRPr="0077530D" w:rsidRDefault="005F6C33" w:rsidP="00F54066">
      <w:pPr>
        <w:keepNext/>
        <w:autoSpaceDE w:val="0"/>
        <w:autoSpaceDN w:val="0"/>
        <w:adjustRightInd w:val="0"/>
        <w:spacing w:after="100" w:afterAutospacing="1"/>
        <w:jc w:val="both"/>
        <w:rPr>
          <w:rFonts w:ascii="Arial" w:hAnsi="Arial" w:cs="Arial"/>
          <w:sz w:val="16"/>
          <w:szCs w:val="16"/>
          <w:lang w:val="es-ES"/>
        </w:rPr>
      </w:pPr>
      <w:r w:rsidRPr="0077530D">
        <w:rPr>
          <w:rFonts w:ascii="Arial" w:hAnsi="Arial" w:cs="Arial"/>
          <w:sz w:val="16"/>
          <w:szCs w:val="16"/>
          <w:lang w:val="es-ES"/>
        </w:rPr>
        <w:t>Fuente: Elaboración de los autores.</w:t>
      </w:r>
    </w:p>
    <w:p w14:paraId="7589689D" w14:textId="55B7F217" w:rsidR="00F71289" w:rsidRPr="0077530D" w:rsidRDefault="007657D8" w:rsidP="001025F1">
      <w:pPr>
        <w:autoSpaceDE w:val="0"/>
        <w:autoSpaceDN w:val="0"/>
        <w:adjustRightInd w:val="0"/>
        <w:spacing w:before="120" w:after="100" w:afterAutospacing="1"/>
        <w:jc w:val="both"/>
        <w:rPr>
          <w:rFonts w:ascii="Arial" w:hAnsi="Arial" w:cs="Arial"/>
          <w:sz w:val="22"/>
          <w:szCs w:val="22"/>
          <w:lang w:val="es-ES"/>
        </w:rPr>
      </w:pPr>
      <w:r w:rsidRPr="0077530D">
        <w:rPr>
          <w:rFonts w:ascii="Arial" w:hAnsi="Arial" w:cs="Arial"/>
          <w:sz w:val="22"/>
          <w:szCs w:val="22"/>
          <w:lang w:val="es-ES"/>
        </w:rPr>
        <w:t>Considerando</w:t>
      </w:r>
      <w:r w:rsidR="006F4482" w:rsidRPr="0077530D">
        <w:rPr>
          <w:rFonts w:ascii="Arial" w:hAnsi="Arial" w:cs="Arial"/>
          <w:sz w:val="22"/>
          <w:szCs w:val="22"/>
          <w:lang w:val="es-ES"/>
        </w:rPr>
        <w:t xml:space="preserve"> el escenario más realista; es decir </w:t>
      </w:r>
      <w:r w:rsidR="00257C99" w:rsidRPr="0077530D">
        <w:rPr>
          <w:rFonts w:ascii="Arial" w:hAnsi="Arial" w:cs="Arial"/>
          <w:sz w:val="22"/>
          <w:szCs w:val="22"/>
          <w:lang w:val="es-ES"/>
        </w:rPr>
        <w:t>donde</w:t>
      </w:r>
      <w:r w:rsidR="006F4482" w:rsidRPr="0077530D">
        <w:rPr>
          <w:rFonts w:ascii="Arial" w:hAnsi="Arial" w:cs="Arial"/>
          <w:sz w:val="22"/>
          <w:szCs w:val="22"/>
          <w:lang w:val="es-ES"/>
        </w:rPr>
        <w:t xml:space="preserve"> los beneficios graduales se presentan en forma regular y se alcanza un factor marginal de efectividad medio; los beneficios esperados del proyecto en cinco años ascienden a US$</w:t>
      </w:r>
      <w:r w:rsidR="00CB597D" w:rsidRPr="0077530D">
        <w:rPr>
          <w:rFonts w:ascii="Arial" w:hAnsi="Arial" w:cs="Arial"/>
          <w:sz w:val="22"/>
          <w:szCs w:val="22"/>
          <w:lang w:val="es-ES"/>
        </w:rPr>
        <w:t>963</w:t>
      </w:r>
      <w:r w:rsidR="00545AE2" w:rsidRPr="0077530D">
        <w:rPr>
          <w:rFonts w:ascii="Arial" w:hAnsi="Arial" w:cs="Arial"/>
          <w:sz w:val="22"/>
          <w:szCs w:val="22"/>
          <w:lang w:val="es-ES"/>
        </w:rPr>
        <w:t>,</w:t>
      </w:r>
      <w:r w:rsidR="00CB597D" w:rsidRPr="0077530D">
        <w:rPr>
          <w:rFonts w:ascii="Arial" w:hAnsi="Arial" w:cs="Arial"/>
          <w:sz w:val="22"/>
          <w:szCs w:val="22"/>
          <w:lang w:val="es-ES"/>
        </w:rPr>
        <w:t>152</w:t>
      </w:r>
      <w:r w:rsidR="00545AE2" w:rsidRPr="0077530D">
        <w:rPr>
          <w:rFonts w:ascii="Arial" w:hAnsi="Arial" w:cs="Arial"/>
          <w:sz w:val="22"/>
          <w:szCs w:val="22"/>
          <w:lang w:val="es-ES"/>
        </w:rPr>
        <w:t>,</w:t>
      </w:r>
      <w:r w:rsidR="00CB597D" w:rsidRPr="0077530D">
        <w:rPr>
          <w:rFonts w:ascii="Arial" w:hAnsi="Arial" w:cs="Arial"/>
          <w:sz w:val="22"/>
          <w:szCs w:val="22"/>
          <w:lang w:val="es-ES"/>
        </w:rPr>
        <w:t>13</w:t>
      </w:r>
      <w:r w:rsidR="00545AE2" w:rsidRPr="0077530D">
        <w:rPr>
          <w:rFonts w:ascii="Arial" w:hAnsi="Arial" w:cs="Arial"/>
          <w:sz w:val="22"/>
          <w:szCs w:val="22"/>
          <w:lang w:val="es-ES"/>
        </w:rPr>
        <w:t>4</w:t>
      </w:r>
      <w:r w:rsidR="006F4482" w:rsidRPr="0077530D">
        <w:rPr>
          <w:rFonts w:ascii="Arial" w:hAnsi="Arial" w:cs="Arial"/>
          <w:sz w:val="22"/>
          <w:szCs w:val="22"/>
          <w:lang w:val="es-ES"/>
        </w:rPr>
        <w:t>. El análisis de sensi</w:t>
      </w:r>
      <w:r w:rsidR="00363CDC" w:rsidRPr="0077530D">
        <w:rPr>
          <w:rFonts w:ascii="Arial" w:hAnsi="Arial" w:cs="Arial"/>
          <w:sz w:val="22"/>
          <w:szCs w:val="22"/>
          <w:lang w:val="es-ES"/>
        </w:rPr>
        <w:t xml:space="preserve">bilidad presentado en la Tabla </w:t>
      </w:r>
      <w:r w:rsidR="0034407A" w:rsidRPr="0077530D">
        <w:rPr>
          <w:rFonts w:ascii="Arial" w:hAnsi="Arial" w:cs="Arial"/>
          <w:sz w:val="22"/>
          <w:szCs w:val="22"/>
          <w:lang w:val="es-ES"/>
        </w:rPr>
        <w:t>6</w:t>
      </w:r>
      <w:r w:rsidR="00113B13" w:rsidRPr="0077530D">
        <w:rPr>
          <w:rFonts w:ascii="Arial" w:hAnsi="Arial" w:cs="Arial"/>
          <w:sz w:val="22"/>
          <w:szCs w:val="22"/>
          <w:lang w:val="es-ES"/>
        </w:rPr>
        <w:t xml:space="preserve"> </w:t>
      </w:r>
      <w:r w:rsidR="006F4482" w:rsidRPr="0077530D">
        <w:rPr>
          <w:rFonts w:ascii="Arial" w:hAnsi="Arial" w:cs="Arial"/>
          <w:sz w:val="22"/>
          <w:szCs w:val="22"/>
          <w:lang w:val="es-ES"/>
        </w:rPr>
        <w:t>muestra que los</w:t>
      </w:r>
      <w:r w:rsidR="00363CDC" w:rsidRPr="0077530D">
        <w:rPr>
          <w:rFonts w:ascii="Arial" w:hAnsi="Arial" w:cs="Arial"/>
          <w:sz w:val="22"/>
          <w:szCs w:val="22"/>
          <w:lang w:val="es-ES"/>
        </w:rPr>
        <w:t xml:space="preserve"> beneficios oscilan entre US$ </w:t>
      </w:r>
      <w:r w:rsidR="00CB597D" w:rsidRPr="0077530D">
        <w:rPr>
          <w:rFonts w:ascii="Arial" w:hAnsi="Arial" w:cs="Arial"/>
          <w:sz w:val="22"/>
          <w:szCs w:val="22"/>
          <w:lang w:val="es-ES"/>
        </w:rPr>
        <w:t>391</w:t>
      </w:r>
      <w:r w:rsidR="00407DC6" w:rsidRPr="0077530D">
        <w:rPr>
          <w:rFonts w:ascii="Arial" w:hAnsi="Arial" w:cs="Arial"/>
          <w:sz w:val="22"/>
          <w:szCs w:val="22"/>
          <w:lang w:val="es-ES"/>
        </w:rPr>
        <w:t xml:space="preserve"> </w:t>
      </w:r>
      <w:r w:rsidR="006F4482" w:rsidRPr="0077530D">
        <w:rPr>
          <w:rFonts w:ascii="Arial" w:hAnsi="Arial" w:cs="Arial"/>
          <w:sz w:val="22"/>
          <w:szCs w:val="22"/>
          <w:lang w:val="es-ES"/>
        </w:rPr>
        <w:t xml:space="preserve">millones en los escenarios más </w:t>
      </w:r>
      <w:r w:rsidR="006F4482" w:rsidRPr="0077530D">
        <w:rPr>
          <w:rFonts w:ascii="Arial" w:hAnsi="Arial" w:cs="Arial"/>
          <w:sz w:val="22"/>
          <w:szCs w:val="22"/>
          <w:lang w:val="es-ES"/>
        </w:rPr>
        <w:lastRenderedPageBreak/>
        <w:t xml:space="preserve">negativos y con una </w:t>
      </w:r>
      <w:r w:rsidR="00363CDC" w:rsidRPr="0077530D">
        <w:rPr>
          <w:rFonts w:ascii="Arial" w:hAnsi="Arial" w:cs="Arial"/>
          <w:sz w:val="22"/>
          <w:szCs w:val="22"/>
          <w:lang w:val="es-ES"/>
        </w:rPr>
        <w:t>tasa de descuento de 9% y US$</w:t>
      </w:r>
      <w:r w:rsidR="00CB597D" w:rsidRPr="0077530D">
        <w:rPr>
          <w:rFonts w:ascii="Arial" w:hAnsi="Arial" w:cs="Arial"/>
          <w:sz w:val="22"/>
          <w:szCs w:val="22"/>
          <w:lang w:val="es-ES"/>
        </w:rPr>
        <w:t>2,020</w:t>
      </w:r>
      <w:r w:rsidR="00A615E7" w:rsidRPr="0077530D">
        <w:rPr>
          <w:rFonts w:ascii="Arial" w:hAnsi="Arial" w:cs="Arial"/>
          <w:sz w:val="22"/>
          <w:szCs w:val="22"/>
          <w:lang w:val="es-ES"/>
        </w:rPr>
        <w:t xml:space="preserve"> </w:t>
      </w:r>
      <w:r w:rsidR="006F4482" w:rsidRPr="0077530D">
        <w:rPr>
          <w:rFonts w:ascii="Arial" w:hAnsi="Arial" w:cs="Arial"/>
          <w:sz w:val="22"/>
          <w:szCs w:val="22"/>
          <w:lang w:val="es-ES"/>
        </w:rPr>
        <w:t>millones de dólares en el escenario más optimista con una tasa de descuento de 2%.</w:t>
      </w:r>
    </w:p>
    <w:p w14:paraId="337F4905" w14:textId="74C63471" w:rsidR="006E64BD" w:rsidRPr="0077530D" w:rsidRDefault="006E64BD" w:rsidP="001A6051">
      <w:pPr>
        <w:pStyle w:val="Caption"/>
      </w:pPr>
      <w:r w:rsidRPr="0077530D">
        <w:t xml:space="preserve">Tabla </w:t>
      </w:r>
      <w:r w:rsidR="00871BC0" w:rsidRPr="0077530D">
        <w:fldChar w:fldCharType="begin"/>
      </w:r>
      <w:r w:rsidR="00871BC0" w:rsidRPr="0077530D">
        <w:rPr>
          <w:noProof/>
        </w:rPr>
        <w:instrText xml:space="preserve"> SEQ Tabla \* ARABIC </w:instrText>
      </w:r>
      <w:r w:rsidR="00871BC0" w:rsidRPr="0077530D">
        <w:rPr>
          <w:noProof/>
        </w:rPr>
        <w:fldChar w:fldCharType="separate"/>
      </w:r>
      <w:r w:rsidR="000A3DCE" w:rsidRPr="0077530D">
        <w:rPr>
          <w:noProof/>
        </w:rPr>
        <w:t>6</w:t>
      </w:r>
      <w:r w:rsidR="00871BC0" w:rsidRPr="0077530D">
        <w:fldChar w:fldCharType="end"/>
      </w:r>
      <w:r w:rsidRPr="0077530D">
        <w:t xml:space="preserve">. Análisis de sensibilidad de los beneficios en dólares, </w:t>
      </w:r>
      <w:r w:rsidR="00FE15D8" w:rsidRPr="0077530D">
        <w:t xml:space="preserve">periodo </w:t>
      </w:r>
      <w:r w:rsidR="006F4482" w:rsidRPr="0077530D">
        <w:t>201</w:t>
      </w:r>
      <w:r w:rsidR="00535F74" w:rsidRPr="0077530D">
        <w:t>8</w:t>
      </w:r>
      <w:r w:rsidR="006F4482" w:rsidRPr="0077530D">
        <w:t>-202</w:t>
      </w:r>
      <w:r w:rsidR="00535F74" w:rsidRPr="0077530D">
        <w:t>8</w:t>
      </w:r>
    </w:p>
    <w:tbl>
      <w:tblPr>
        <w:tblStyle w:val="GridTable4-Accent11"/>
        <w:tblW w:w="0" w:type="auto"/>
        <w:tblLook w:val="04A0" w:firstRow="1" w:lastRow="0" w:firstColumn="1" w:lastColumn="0" w:noHBand="0" w:noVBand="1"/>
      </w:tblPr>
      <w:tblGrid>
        <w:gridCol w:w="1739"/>
        <w:gridCol w:w="2139"/>
        <w:gridCol w:w="1368"/>
        <w:gridCol w:w="1368"/>
        <w:gridCol w:w="1368"/>
        <w:gridCol w:w="1368"/>
      </w:tblGrid>
      <w:tr w:rsidR="006E64BD" w:rsidRPr="0077530D" w14:paraId="4219C491" w14:textId="77777777" w:rsidTr="0077530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E48B0C7" w14:textId="77777777" w:rsidR="006E64BD" w:rsidRPr="0077530D" w:rsidRDefault="006E64BD" w:rsidP="00A60333">
            <w:pPr>
              <w:keepNext/>
              <w:spacing w:after="100" w:afterAutospacing="1"/>
              <w:jc w:val="center"/>
              <w:rPr>
                <w:rFonts w:ascii="Arial" w:eastAsia="Times New Roman" w:hAnsi="Arial" w:cs="Arial"/>
                <w:sz w:val="16"/>
                <w:szCs w:val="16"/>
                <w:lang w:val="es-ES_tradnl"/>
              </w:rPr>
            </w:pPr>
            <w:r w:rsidRPr="0077530D">
              <w:rPr>
                <w:rFonts w:ascii="Arial" w:eastAsia="Times New Roman" w:hAnsi="Arial" w:cs="Arial"/>
                <w:sz w:val="16"/>
                <w:szCs w:val="16"/>
                <w:lang w:val="es-ES_tradnl"/>
              </w:rPr>
              <w:t>Vectores de gradualidad</w:t>
            </w:r>
          </w:p>
        </w:tc>
        <w:tc>
          <w:tcPr>
            <w:tcW w:w="0" w:type="auto"/>
            <w:vAlign w:val="center"/>
            <w:hideMark/>
          </w:tcPr>
          <w:p w14:paraId="05B29757" w14:textId="77777777" w:rsidR="006E64BD" w:rsidRPr="0077530D" w:rsidRDefault="006E64BD" w:rsidP="00A60333">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_tradnl"/>
              </w:rPr>
            </w:pPr>
            <w:r w:rsidRPr="0077530D">
              <w:rPr>
                <w:rFonts w:ascii="Arial" w:eastAsia="Times New Roman" w:hAnsi="Arial" w:cs="Arial"/>
                <w:sz w:val="16"/>
                <w:szCs w:val="16"/>
                <w:lang w:val="es-ES_tradnl"/>
              </w:rPr>
              <w:t>Escenarios de cobertura efectiva</w:t>
            </w:r>
          </w:p>
        </w:tc>
        <w:tc>
          <w:tcPr>
            <w:tcW w:w="0" w:type="auto"/>
            <w:gridSpan w:val="4"/>
            <w:noWrap/>
            <w:vAlign w:val="center"/>
            <w:hideMark/>
          </w:tcPr>
          <w:p w14:paraId="2F649E4D" w14:textId="77777777" w:rsidR="006E64BD" w:rsidRPr="0077530D" w:rsidRDefault="006E64BD" w:rsidP="00A60333">
            <w:pPr>
              <w:keepNext/>
              <w:spacing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es-ES_tradnl"/>
              </w:rPr>
            </w:pPr>
            <w:r w:rsidRPr="0077530D">
              <w:rPr>
                <w:rFonts w:ascii="Arial" w:eastAsia="Times New Roman" w:hAnsi="Arial" w:cs="Arial"/>
                <w:bCs w:val="0"/>
                <w:sz w:val="16"/>
                <w:szCs w:val="16"/>
                <w:lang w:val="es-ES_tradnl"/>
              </w:rPr>
              <w:t>tasa de descuento</w:t>
            </w:r>
          </w:p>
        </w:tc>
      </w:tr>
      <w:tr w:rsidR="006E64BD" w:rsidRPr="0077530D" w14:paraId="50394E00" w14:textId="77777777" w:rsidTr="0077530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196CB49" w14:textId="77777777" w:rsidR="006E64BD" w:rsidRPr="0077530D" w:rsidRDefault="006E64BD" w:rsidP="00A60333">
            <w:pPr>
              <w:keepNext/>
              <w:spacing w:after="100" w:afterAutospacing="1"/>
              <w:jc w:val="center"/>
              <w:rPr>
                <w:rFonts w:ascii="Arial" w:eastAsia="Times New Roman" w:hAnsi="Arial" w:cs="Arial"/>
                <w:b w:val="0"/>
                <w:bCs w:val="0"/>
                <w:color w:val="000000"/>
                <w:sz w:val="16"/>
                <w:szCs w:val="16"/>
                <w:lang w:val="es-ES_tradnl"/>
              </w:rPr>
            </w:pPr>
          </w:p>
        </w:tc>
        <w:tc>
          <w:tcPr>
            <w:tcW w:w="0" w:type="auto"/>
            <w:vAlign w:val="center"/>
            <w:hideMark/>
          </w:tcPr>
          <w:p w14:paraId="41019CD7" w14:textId="77777777" w:rsidR="006E64BD" w:rsidRPr="0077530D" w:rsidRDefault="006E64BD" w:rsidP="00A60333">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p>
        </w:tc>
        <w:tc>
          <w:tcPr>
            <w:tcW w:w="0" w:type="auto"/>
            <w:noWrap/>
            <w:vAlign w:val="center"/>
            <w:hideMark/>
          </w:tcPr>
          <w:p w14:paraId="75EABE8A" w14:textId="77777777" w:rsidR="006E64BD" w:rsidRPr="0077530D" w:rsidRDefault="006E64BD" w:rsidP="00A60333">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2%</w:t>
            </w:r>
          </w:p>
        </w:tc>
        <w:tc>
          <w:tcPr>
            <w:tcW w:w="0" w:type="auto"/>
            <w:noWrap/>
            <w:vAlign w:val="center"/>
            <w:hideMark/>
          </w:tcPr>
          <w:p w14:paraId="499CBD8D" w14:textId="77777777" w:rsidR="006E64BD" w:rsidRPr="0077530D" w:rsidRDefault="006E64BD" w:rsidP="00A60333">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3%</w:t>
            </w:r>
          </w:p>
        </w:tc>
        <w:tc>
          <w:tcPr>
            <w:tcW w:w="0" w:type="auto"/>
            <w:noWrap/>
            <w:vAlign w:val="center"/>
            <w:hideMark/>
          </w:tcPr>
          <w:p w14:paraId="1D20A929" w14:textId="77777777" w:rsidR="006E64BD" w:rsidRPr="0077530D" w:rsidRDefault="006E64BD" w:rsidP="00A60333">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6%</w:t>
            </w:r>
          </w:p>
        </w:tc>
        <w:tc>
          <w:tcPr>
            <w:tcW w:w="0" w:type="auto"/>
            <w:noWrap/>
            <w:vAlign w:val="center"/>
            <w:hideMark/>
          </w:tcPr>
          <w:p w14:paraId="090642B2" w14:textId="77777777" w:rsidR="006E64BD" w:rsidRPr="0077530D" w:rsidRDefault="006E64BD" w:rsidP="00A60333">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9%</w:t>
            </w:r>
          </w:p>
        </w:tc>
      </w:tr>
      <w:tr w:rsidR="00CB597D" w:rsidRPr="0077530D" w14:paraId="778A40D0"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41723DB3"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Lento</w:t>
            </w:r>
          </w:p>
        </w:tc>
        <w:tc>
          <w:tcPr>
            <w:tcW w:w="0" w:type="auto"/>
            <w:noWrap/>
            <w:vAlign w:val="center"/>
            <w:hideMark/>
          </w:tcPr>
          <w:p w14:paraId="56B5E4DA"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Pesimista</w:t>
            </w:r>
          </w:p>
        </w:tc>
        <w:tc>
          <w:tcPr>
            <w:tcW w:w="0" w:type="auto"/>
            <w:noWrap/>
            <w:hideMark/>
          </w:tcPr>
          <w:p w14:paraId="1B195D75" w14:textId="1892A06F"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3,684,697,172</w:t>
            </w:r>
          </w:p>
        </w:tc>
        <w:tc>
          <w:tcPr>
            <w:tcW w:w="0" w:type="auto"/>
            <w:noWrap/>
            <w:hideMark/>
          </w:tcPr>
          <w:p w14:paraId="37231850" w14:textId="3DE72628"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3,403,697,016</w:t>
            </w:r>
          </w:p>
        </w:tc>
        <w:tc>
          <w:tcPr>
            <w:tcW w:w="0" w:type="auto"/>
            <w:noWrap/>
            <w:hideMark/>
          </w:tcPr>
          <w:p w14:paraId="5868817D" w14:textId="5A154A98"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2,675,845,863</w:t>
            </w:r>
          </w:p>
        </w:tc>
        <w:tc>
          <w:tcPr>
            <w:tcW w:w="0" w:type="auto"/>
            <w:noWrap/>
            <w:hideMark/>
          </w:tcPr>
          <w:p w14:paraId="3C3C7CBD" w14:textId="6B6D4F08"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2,095,357,671</w:t>
            </w:r>
          </w:p>
        </w:tc>
      </w:tr>
      <w:tr w:rsidR="00CB597D" w:rsidRPr="0077530D" w14:paraId="63EE4D04" w14:textId="77777777" w:rsidTr="0077530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0DE569D2"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35195350"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Medio</w:t>
            </w:r>
          </w:p>
        </w:tc>
        <w:tc>
          <w:tcPr>
            <w:tcW w:w="0" w:type="auto"/>
            <w:noWrap/>
            <w:hideMark/>
          </w:tcPr>
          <w:p w14:paraId="279DFC7B" w14:textId="030C4A4F"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5,527,045,758</w:t>
            </w:r>
          </w:p>
        </w:tc>
        <w:tc>
          <w:tcPr>
            <w:tcW w:w="0" w:type="auto"/>
            <w:noWrap/>
            <w:hideMark/>
          </w:tcPr>
          <w:p w14:paraId="72EBBB0B" w14:textId="44CA6BA2"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5,105,545,524</w:t>
            </w:r>
          </w:p>
        </w:tc>
        <w:tc>
          <w:tcPr>
            <w:tcW w:w="0" w:type="auto"/>
            <w:noWrap/>
            <w:hideMark/>
          </w:tcPr>
          <w:p w14:paraId="58739652" w14:textId="44D78D5F"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4,013,768,795</w:t>
            </w:r>
          </w:p>
        </w:tc>
        <w:tc>
          <w:tcPr>
            <w:tcW w:w="0" w:type="auto"/>
            <w:noWrap/>
            <w:hideMark/>
          </w:tcPr>
          <w:p w14:paraId="655AB568" w14:textId="5E692BE6"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3,143,036,506</w:t>
            </w:r>
          </w:p>
        </w:tc>
      </w:tr>
      <w:tr w:rsidR="00CB597D" w:rsidRPr="0077530D" w14:paraId="74303D4D" w14:textId="77777777" w:rsidTr="0077530D">
        <w:trPr>
          <w:trHeight w:val="34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480D846B"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499DE146"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Optimista</w:t>
            </w:r>
          </w:p>
        </w:tc>
        <w:tc>
          <w:tcPr>
            <w:tcW w:w="0" w:type="auto"/>
            <w:noWrap/>
            <w:hideMark/>
          </w:tcPr>
          <w:p w14:paraId="48D8238E" w14:textId="5C8A1A04"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7,369,394,344</w:t>
            </w:r>
          </w:p>
        </w:tc>
        <w:tc>
          <w:tcPr>
            <w:tcW w:w="0" w:type="auto"/>
            <w:noWrap/>
            <w:hideMark/>
          </w:tcPr>
          <w:p w14:paraId="26D8D25C" w14:textId="73F1E5CB"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6,807,394,032</w:t>
            </w:r>
          </w:p>
        </w:tc>
        <w:tc>
          <w:tcPr>
            <w:tcW w:w="0" w:type="auto"/>
            <w:noWrap/>
            <w:hideMark/>
          </w:tcPr>
          <w:p w14:paraId="670AC9BE" w14:textId="61C09719"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5,351,691,727</w:t>
            </w:r>
          </w:p>
        </w:tc>
        <w:tc>
          <w:tcPr>
            <w:tcW w:w="0" w:type="auto"/>
            <w:noWrap/>
            <w:hideMark/>
          </w:tcPr>
          <w:p w14:paraId="23EA7250" w14:textId="0108846F"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4,190,715,342</w:t>
            </w:r>
          </w:p>
        </w:tc>
      </w:tr>
      <w:tr w:rsidR="00CB597D" w:rsidRPr="0077530D" w14:paraId="43A882BA" w14:textId="77777777" w:rsidTr="0077530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79ACB5CB"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Regular</w:t>
            </w:r>
          </w:p>
        </w:tc>
        <w:tc>
          <w:tcPr>
            <w:tcW w:w="0" w:type="auto"/>
            <w:noWrap/>
            <w:vAlign w:val="center"/>
            <w:hideMark/>
          </w:tcPr>
          <w:p w14:paraId="71C732A4"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Pesimista</w:t>
            </w:r>
          </w:p>
        </w:tc>
        <w:tc>
          <w:tcPr>
            <w:tcW w:w="0" w:type="auto"/>
            <w:noWrap/>
            <w:hideMark/>
          </w:tcPr>
          <w:p w14:paraId="01EEAE33" w14:textId="64E86B65"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3,941,237,288</w:t>
            </w:r>
          </w:p>
        </w:tc>
        <w:tc>
          <w:tcPr>
            <w:tcW w:w="0" w:type="auto"/>
            <w:noWrap/>
            <w:hideMark/>
          </w:tcPr>
          <w:p w14:paraId="3C9D8E4E" w14:textId="432BB6B3"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3,645,075,090</w:t>
            </w:r>
          </w:p>
        </w:tc>
        <w:tc>
          <w:tcPr>
            <w:tcW w:w="0" w:type="auto"/>
            <w:noWrap/>
            <w:hideMark/>
          </w:tcPr>
          <w:p w14:paraId="03690D86" w14:textId="2623571A"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2,876,776,632</w:t>
            </w:r>
          </w:p>
        </w:tc>
        <w:tc>
          <w:tcPr>
            <w:tcW w:w="0" w:type="auto"/>
            <w:noWrap/>
            <w:hideMark/>
          </w:tcPr>
          <w:p w14:paraId="70388739" w14:textId="5BF211AD"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2,262,468,757</w:t>
            </w:r>
          </w:p>
        </w:tc>
      </w:tr>
      <w:tr w:rsidR="00CB597D" w:rsidRPr="0077530D" w14:paraId="1DEF3483"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32ABFE80" w14:textId="77777777" w:rsidR="00CB597D" w:rsidRPr="0077530D" w:rsidRDefault="00CB597D" w:rsidP="00CB597D">
            <w:pPr>
              <w:keepNext/>
              <w:spacing w:after="100" w:afterAutospacing="1"/>
              <w:jc w:val="center"/>
              <w:rPr>
                <w:rFonts w:ascii="Arial" w:eastAsia="Times New Roman" w:hAnsi="Arial" w:cs="Arial"/>
                <w:b w:val="0"/>
                <w:color w:val="000000"/>
                <w:sz w:val="16"/>
                <w:szCs w:val="16"/>
                <w:lang w:val="es-ES_tradnl"/>
              </w:rPr>
            </w:pPr>
          </w:p>
        </w:tc>
        <w:tc>
          <w:tcPr>
            <w:tcW w:w="0" w:type="auto"/>
            <w:noWrap/>
            <w:vAlign w:val="center"/>
            <w:hideMark/>
          </w:tcPr>
          <w:p w14:paraId="0B4F41AE"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Medio</w:t>
            </w:r>
          </w:p>
        </w:tc>
        <w:tc>
          <w:tcPr>
            <w:tcW w:w="0" w:type="auto"/>
            <w:noWrap/>
            <w:hideMark/>
          </w:tcPr>
          <w:p w14:paraId="7A976721" w14:textId="530098CB"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5,911,855,932</w:t>
            </w:r>
          </w:p>
        </w:tc>
        <w:tc>
          <w:tcPr>
            <w:tcW w:w="0" w:type="auto"/>
            <w:noWrap/>
            <w:hideMark/>
          </w:tcPr>
          <w:p w14:paraId="1D5C62AA" w14:textId="6D048FEA"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5,467,612,635</w:t>
            </w:r>
          </w:p>
        </w:tc>
        <w:tc>
          <w:tcPr>
            <w:tcW w:w="0" w:type="auto"/>
            <w:noWrap/>
            <w:hideMark/>
          </w:tcPr>
          <w:p w14:paraId="7C41C907" w14:textId="45831A00"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4,315,164,947</w:t>
            </w:r>
          </w:p>
        </w:tc>
        <w:tc>
          <w:tcPr>
            <w:tcW w:w="0" w:type="auto"/>
            <w:noWrap/>
            <w:hideMark/>
          </w:tcPr>
          <w:p w14:paraId="02CA175E" w14:textId="1D5A0FD2"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3,393,703,135</w:t>
            </w:r>
          </w:p>
        </w:tc>
      </w:tr>
      <w:tr w:rsidR="00CB597D" w:rsidRPr="0077530D" w14:paraId="0678FE83" w14:textId="77777777" w:rsidTr="0077530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7CBE4461"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2A523653"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Optimista</w:t>
            </w:r>
          </w:p>
        </w:tc>
        <w:tc>
          <w:tcPr>
            <w:tcW w:w="0" w:type="auto"/>
            <w:noWrap/>
            <w:hideMark/>
          </w:tcPr>
          <w:p w14:paraId="2EFAD603" w14:textId="43D925EF"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7,882,474,576</w:t>
            </w:r>
          </w:p>
        </w:tc>
        <w:tc>
          <w:tcPr>
            <w:tcW w:w="0" w:type="auto"/>
            <w:noWrap/>
            <w:hideMark/>
          </w:tcPr>
          <w:p w14:paraId="67F0EBFB" w14:textId="65637FFD"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7,290,150,180</w:t>
            </w:r>
          </w:p>
        </w:tc>
        <w:tc>
          <w:tcPr>
            <w:tcW w:w="0" w:type="auto"/>
            <w:noWrap/>
            <w:hideMark/>
          </w:tcPr>
          <w:p w14:paraId="2099F38C" w14:textId="59EEFD12"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5,753,553,263</w:t>
            </w:r>
          </w:p>
        </w:tc>
        <w:tc>
          <w:tcPr>
            <w:tcW w:w="0" w:type="auto"/>
            <w:noWrap/>
            <w:hideMark/>
          </w:tcPr>
          <w:p w14:paraId="4D2102E6" w14:textId="11AE7C9E"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4,524,937,514</w:t>
            </w:r>
          </w:p>
        </w:tc>
      </w:tr>
      <w:tr w:rsidR="00CB597D" w:rsidRPr="0077530D" w14:paraId="33FAF070"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6AC8899B"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R</w:t>
            </w:r>
            <w:r w:rsidRPr="0077530D">
              <w:rPr>
                <w:rFonts w:ascii="Arial" w:hAnsi="Arial" w:cs="Arial"/>
                <w:color w:val="000000"/>
                <w:sz w:val="16"/>
                <w:szCs w:val="16"/>
                <w:lang w:val="es-ES_tradnl"/>
              </w:rPr>
              <w:t>ápido</w:t>
            </w:r>
          </w:p>
        </w:tc>
        <w:tc>
          <w:tcPr>
            <w:tcW w:w="0" w:type="auto"/>
            <w:noWrap/>
            <w:vAlign w:val="center"/>
            <w:hideMark/>
          </w:tcPr>
          <w:p w14:paraId="2A53EAFB"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Pesimista</w:t>
            </w:r>
          </w:p>
        </w:tc>
        <w:tc>
          <w:tcPr>
            <w:tcW w:w="0" w:type="auto"/>
            <w:noWrap/>
            <w:hideMark/>
          </w:tcPr>
          <w:p w14:paraId="706A79C5" w14:textId="15251F91"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4,582,429,330</w:t>
            </w:r>
          </w:p>
        </w:tc>
        <w:tc>
          <w:tcPr>
            <w:tcW w:w="0" w:type="auto"/>
            <w:noWrap/>
            <w:hideMark/>
          </w:tcPr>
          <w:p w14:paraId="3FCE6B8F" w14:textId="385DDAE8"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4,251,889,742</w:t>
            </w:r>
          </w:p>
        </w:tc>
        <w:tc>
          <w:tcPr>
            <w:tcW w:w="0" w:type="auto"/>
            <w:noWrap/>
            <w:hideMark/>
          </w:tcPr>
          <w:p w14:paraId="6D01237D" w14:textId="3D37D529"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3,390,238,419</w:t>
            </w:r>
          </w:p>
        </w:tc>
        <w:tc>
          <w:tcPr>
            <w:tcW w:w="0" w:type="auto"/>
            <w:noWrap/>
            <w:hideMark/>
          </w:tcPr>
          <w:p w14:paraId="5FBB6ABE" w14:textId="75BB0DE6"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2,695,782,164</w:t>
            </w:r>
          </w:p>
        </w:tc>
      </w:tr>
      <w:tr w:rsidR="00CB597D" w:rsidRPr="0077530D" w14:paraId="3F3C6A3D" w14:textId="77777777" w:rsidTr="0077530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3CE6C45E"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7C080F27" w14:textId="7777777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Medio</w:t>
            </w:r>
          </w:p>
        </w:tc>
        <w:tc>
          <w:tcPr>
            <w:tcW w:w="0" w:type="auto"/>
            <w:noWrap/>
            <w:hideMark/>
          </w:tcPr>
          <w:p w14:paraId="5C3A5688" w14:textId="40FBA612"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6,873,643,995</w:t>
            </w:r>
          </w:p>
        </w:tc>
        <w:tc>
          <w:tcPr>
            <w:tcW w:w="0" w:type="auto"/>
            <w:noWrap/>
            <w:hideMark/>
          </w:tcPr>
          <w:p w14:paraId="451699EA" w14:textId="67A3ED4C"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6,377,834,614</w:t>
            </w:r>
          </w:p>
        </w:tc>
        <w:tc>
          <w:tcPr>
            <w:tcW w:w="0" w:type="auto"/>
            <w:noWrap/>
            <w:hideMark/>
          </w:tcPr>
          <w:p w14:paraId="0F1B7F2D" w14:textId="467156E3"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5,085,357,629</w:t>
            </w:r>
          </w:p>
        </w:tc>
        <w:tc>
          <w:tcPr>
            <w:tcW w:w="0" w:type="auto"/>
            <w:noWrap/>
            <w:hideMark/>
          </w:tcPr>
          <w:p w14:paraId="2CEA9AAB" w14:textId="15069417" w:rsidR="00CB597D" w:rsidRPr="0077530D" w:rsidRDefault="00CB597D" w:rsidP="00CB597D">
            <w:pPr>
              <w:keepNext/>
              <w:spacing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4,043,673,247</w:t>
            </w:r>
          </w:p>
        </w:tc>
      </w:tr>
      <w:tr w:rsidR="00CB597D" w:rsidRPr="0077530D" w14:paraId="51CD74DB" w14:textId="77777777" w:rsidTr="0077530D">
        <w:trPr>
          <w:trHeight w:val="320"/>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0BC47104" w14:textId="77777777" w:rsidR="00CB597D" w:rsidRPr="0077530D" w:rsidRDefault="00CB597D" w:rsidP="00CB597D">
            <w:pPr>
              <w:keepNext/>
              <w:spacing w:after="100" w:afterAutospacing="1"/>
              <w:jc w:val="center"/>
              <w:rPr>
                <w:rFonts w:ascii="Arial" w:eastAsia="Times New Roman" w:hAnsi="Arial" w:cs="Arial"/>
                <w:color w:val="000000"/>
                <w:sz w:val="16"/>
                <w:szCs w:val="16"/>
                <w:lang w:val="es-ES_tradnl"/>
              </w:rPr>
            </w:pPr>
          </w:p>
        </w:tc>
        <w:tc>
          <w:tcPr>
            <w:tcW w:w="0" w:type="auto"/>
            <w:noWrap/>
            <w:vAlign w:val="center"/>
            <w:hideMark/>
          </w:tcPr>
          <w:p w14:paraId="0A306B8A" w14:textId="77777777"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s-ES_tradnl"/>
              </w:rPr>
            </w:pPr>
            <w:r w:rsidRPr="0077530D">
              <w:rPr>
                <w:rFonts w:ascii="Arial" w:eastAsia="Times New Roman" w:hAnsi="Arial" w:cs="Arial"/>
                <w:color w:val="000000"/>
                <w:sz w:val="16"/>
                <w:szCs w:val="16"/>
                <w:lang w:val="es-ES_tradnl"/>
              </w:rPr>
              <w:t>Optimista</w:t>
            </w:r>
          </w:p>
        </w:tc>
        <w:tc>
          <w:tcPr>
            <w:tcW w:w="0" w:type="auto"/>
            <w:noWrap/>
            <w:hideMark/>
          </w:tcPr>
          <w:p w14:paraId="7E9A52BD" w14:textId="1F2CFF99"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9,164,858,660</w:t>
            </w:r>
          </w:p>
        </w:tc>
        <w:tc>
          <w:tcPr>
            <w:tcW w:w="0" w:type="auto"/>
            <w:noWrap/>
            <w:hideMark/>
          </w:tcPr>
          <w:p w14:paraId="0165130D" w14:textId="3430289D"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8,503,779,485</w:t>
            </w:r>
          </w:p>
        </w:tc>
        <w:tc>
          <w:tcPr>
            <w:tcW w:w="0" w:type="auto"/>
            <w:noWrap/>
            <w:hideMark/>
          </w:tcPr>
          <w:p w14:paraId="1D988CE7" w14:textId="3C58D26B"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6,780,476,838</w:t>
            </w:r>
          </w:p>
        </w:tc>
        <w:tc>
          <w:tcPr>
            <w:tcW w:w="0" w:type="auto"/>
            <w:noWrap/>
            <w:hideMark/>
          </w:tcPr>
          <w:p w14:paraId="00622FB9" w14:textId="619CEC6A" w:rsidR="00CB597D" w:rsidRPr="0077530D" w:rsidRDefault="00CB597D" w:rsidP="00CB597D">
            <w:pPr>
              <w:keepNext/>
              <w:spacing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6"/>
                <w:lang w:val="es-ES_tradnl"/>
              </w:rPr>
            </w:pPr>
            <w:r w:rsidRPr="0077530D">
              <w:rPr>
                <w:rFonts w:ascii="Arial" w:hAnsi="Arial" w:cs="Arial"/>
                <w:sz w:val="18"/>
              </w:rPr>
              <w:t>5,391,564,329</w:t>
            </w:r>
          </w:p>
        </w:tc>
      </w:tr>
    </w:tbl>
    <w:p w14:paraId="5208D0EF" w14:textId="77777777" w:rsidR="006E64BD" w:rsidRPr="0077530D" w:rsidRDefault="006E64BD" w:rsidP="00A60333">
      <w:pPr>
        <w:keepNext/>
        <w:autoSpaceDE w:val="0"/>
        <w:autoSpaceDN w:val="0"/>
        <w:adjustRightInd w:val="0"/>
        <w:spacing w:after="100" w:afterAutospacing="1"/>
        <w:jc w:val="both"/>
        <w:rPr>
          <w:rFonts w:ascii="Arial" w:hAnsi="Arial" w:cs="Arial"/>
          <w:sz w:val="16"/>
          <w:szCs w:val="16"/>
          <w:lang w:val="es-ES"/>
        </w:rPr>
      </w:pPr>
      <w:r w:rsidRPr="0077530D">
        <w:rPr>
          <w:rFonts w:ascii="Arial" w:hAnsi="Arial" w:cs="Arial"/>
          <w:sz w:val="16"/>
          <w:szCs w:val="16"/>
          <w:lang w:val="es-ES"/>
        </w:rPr>
        <w:t>Fuente: Elaboración de los autores.</w:t>
      </w:r>
    </w:p>
    <w:p w14:paraId="3744496D" w14:textId="1A317735" w:rsidR="006E64BD" w:rsidRPr="0077530D" w:rsidRDefault="00F71289" w:rsidP="001025F1">
      <w:pPr>
        <w:autoSpaceDE w:val="0"/>
        <w:autoSpaceDN w:val="0"/>
        <w:adjustRightInd w:val="0"/>
        <w:spacing w:after="100" w:afterAutospacing="1"/>
        <w:jc w:val="both"/>
        <w:rPr>
          <w:rFonts w:ascii="Arial" w:hAnsi="Arial" w:cs="Arial"/>
          <w:sz w:val="22"/>
          <w:szCs w:val="22"/>
          <w:lang w:val="es-ES"/>
        </w:rPr>
      </w:pPr>
      <w:r w:rsidRPr="0077530D">
        <w:rPr>
          <w:rFonts w:ascii="Arial" w:hAnsi="Arial" w:cs="Arial"/>
          <w:sz w:val="22"/>
          <w:szCs w:val="22"/>
          <w:lang w:val="es-ES"/>
        </w:rPr>
        <w:t>Los diferentes escenarios de beneficios del análisis complementario con un horizonte de diez años se muestran en l</w:t>
      </w:r>
      <w:r w:rsidR="000B0D47" w:rsidRPr="0077530D">
        <w:rPr>
          <w:rFonts w:ascii="Arial" w:hAnsi="Arial" w:cs="Arial"/>
          <w:sz w:val="22"/>
          <w:szCs w:val="22"/>
          <w:lang w:val="es-ES"/>
        </w:rPr>
        <w:t xml:space="preserve">a Tabla </w:t>
      </w:r>
      <w:r w:rsidR="0034407A" w:rsidRPr="0077530D">
        <w:rPr>
          <w:rFonts w:ascii="Arial" w:hAnsi="Arial" w:cs="Arial"/>
          <w:sz w:val="22"/>
          <w:szCs w:val="22"/>
          <w:lang w:val="es-ES"/>
        </w:rPr>
        <w:t>7</w:t>
      </w:r>
      <w:r w:rsidR="000B0D47" w:rsidRPr="0077530D">
        <w:rPr>
          <w:rFonts w:ascii="Arial" w:hAnsi="Arial" w:cs="Arial"/>
          <w:sz w:val="22"/>
          <w:szCs w:val="22"/>
          <w:lang w:val="es-ES"/>
        </w:rPr>
        <w:t xml:space="preserve"> y oscilan entre US$</w:t>
      </w:r>
      <w:r w:rsidR="000E2B9E" w:rsidRPr="0077530D">
        <w:rPr>
          <w:rFonts w:ascii="Arial" w:hAnsi="Arial" w:cs="Arial"/>
          <w:sz w:val="22"/>
          <w:szCs w:val="22"/>
          <w:lang w:val="es-ES"/>
        </w:rPr>
        <w:t>2,095</w:t>
      </w:r>
      <w:r w:rsidR="00CF2EFE" w:rsidRPr="0077530D">
        <w:rPr>
          <w:rFonts w:ascii="Arial" w:hAnsi="Arial" w:cs="Arial"/>
          <w:sz w:val="22"/>
          <w:szCs w:val="22"/>
          <w:lang w:val="es-ES"/>
        </w:rPr>
        <w:t xml:space="preserve"> </w:t>
      </w:r>
      <w:r w:rsidRPr="0077530D">
        <w:rPr>
          <w:rFonts w:ascii="Arial" w:hAnsi="Arial" w:cs="Arial"/>
          <w:sz w:val="22"/>
          <w:szCs w:val="22"/>
          <w:lang w:val="es-ES"/>
        </w:rPr>
        <w:t>y US$</w:t>
      </w:r>
      <w:r w:rsidR="000E2B9E" w:rsidRPr="0077530D">
        <w:rPr>
          <w:rFonts w:ascii="Arial" w:hAnsi="Arial" w:cs="Arial"/>
          <w:sz w:val="22"/>
          <w:szCs w:val="22"/>
          <w:lang w:val="es-ES"/>
        </w:rPr>
        <w:t>9,165</w:t>
      </w:r>
      <w:r w:rsidR="00CF2EFE" w:rsidRPr="0077530D">
        <w:rPr>
          <w:rFonts w:ascii="Arial" w:hAnsi="Arial" w:cs="Arial"/>
          <w:sz w:val="22"/>
          <w:szCs w:val="22"/>
          <w:lang w:val="es-ES"/>
        </w:rPr>
        <w:t xml:space="preserve"> </w:t>
      </w:r>
      <w:r w:rsidRPr="0077530D">
        <w:rPr>
          <w:rFonts w:ascii="Arial" w:hAnsi="Arial" w:cs="Arial"/>
          <w:sz w:val="22"/>
          <w:szCs w:val="22"/>
          <w:lang w:val="es-ES"/>
        </w:rPr>
        <w:t xml:space="preserve">millones. Sin embargo, cabe resaltar que dichos beneficios </w:t>
      </w:r>
      <w:r w:rsidR="000B0D47" w:rsidRPr="0077530D">
        <w:rPr>
          <w:rFonts w:ascii="Arial" w:hAnsi="Arial" w:cs="Arial"/>
          <w:sz w:val="22"/>
          <w:szCs w:val="22"/>
          <w:lang w:val="es-ES"/>
        </w:rPr>
        <w:t>dependen de inversiones adicionales posteriores a</w:t>
      </w:r>
      <w:r w:rsidR="008D7DDC" w:rsidRPr="0077530D">
        <w:rPr>
          <w:rFonts w:ascii="Arial" w:hAnsi="Arial" w:cs="Arial"/>
          <w:sz w:val="22"/>
          <w:szCs w:val="22"/>
          <w:lang w:val="es-ES"/>
        </w:rPr>
        <w:t>l fin del programa</w:t>
      </w:r>
      <w:r w:rsidR="000B0D47" w:rsidRPr="0077530D">
        <w:rPr>
          <w:rFonts w:ascii="Arial" w:hAnsi="Arial" w:cs="Arial"/>
          <w:sz w:val="22"/>
          <w:szCs w:val="22"/>
          <w:lang w:val="es-ES"/>
        </w:rPr>
        <w:t xml:space="preserve">. </w:t>
      </w:r>
    </w:p>
    <w:p w14:paraId="51C1A3F4" w14:textId="77777777" w:rsidR="006D26AB" w:rsidRPr="0077530D" w:rsidRDefault="00AC4BFE" w:rsidP="008A41E6">
      <w:pPr>
        <w:pStyle w:val="Heading2"/>
        <w:numPr>
          <w:ilvl w:val="0"/>
          <w:numId w:val="5"/>
        </w:numPr>
        <w:rPr>
          <w:rFonts w:cs="Arial"/>
        </w:rPr>
      </w:pPr>
      <w:bookmarkStart w:id="86" w:name="_Toc296257189"/>
      <w:bookmarkStart w:id="87" w:name="_Toc517873030"/>
      <w:bookmarkStart w:id="88" w:name="_Toc521590393"/>
      <w:r w:rsidRPr="0077530D">
        <w:rPr>
          <w:rFonts w:cs="Arial"/>
        </w:rPr>
        <w:t>Resultados del a</w:t>
      </w:r>
      <w:r w:rsidR="006D26AB" w:rsidRPr="0077530D">
        <w:rPr>
          <w:rFonts w:cs="Arial"/>
        </w:rPr>
        <w:t>n</w:t>
      </w:r>
      <w:r w:rsidR="006D26AB" w:rsidRPr="0077530D">
        <w:rPr>
          <w:rFonts w:eastAsia="Calibri" w:cs="Arial"/>
        </w:rPr>
        <w:t>álisis</w:t>
      </w:r>
      <w:r w:rsidR="006D26AB" w:rsidRPr="0077530D">
        <w:rPr>
          <w:rFonts w:cs="Arial"/>
        </w:rPr>
        <w:t xml:space="preserve"> </w:t>
      </w:r>
      <w:r w:rsidR="00BC66F4" w:rsidRPr="0077530D">
        <w:rPr>
          <w:rFonts w:eastAsia="Calibri" w:cs="Arial"/>
        </w:rPr>
        <w:t>c</w:t>
      </w:r>
      <w:r w:rsidR="006D26AB" w:rsidRPr="0077530D">
        <w:rPr>
          <w:rFonts w:eastAsia="Calibri" w:cs="Arial"/>
        </w:rPr>
        <w:t>osto</w:t>
      </w:r>
      <w:r w:rsidR="006D26AB" w:rsidRPr="0077530D">
        <w:rPr>
          <w:rFonts w:cs="Arial"/>
        </w:rPr>
        <w:t xml:space="preserve"> – </w:t>
      </w:r>
      <w:r w:rsidR="00BC66F4" w:rsidRPr="0077530D">
        <w:rPr>
          <w:rFonts w:eastAsia="Calibri" w:cs="Arial"/>
        </w:rPr>
        <w:t>b</w:t>
      </w:r>
      <w:r w:rsidR="006D26AB" w:rsidRPr="0077530D">
        <w:rPr>
          <w:rFonts w:eastAsia="Calibri" w:cs="Arial"/>
        </w:rPr>
        <w:t>eneficio</w:t>
      </w:r>
      <w:bookmarkEnd w:id="86"/>
      <w:bookmarkEnd w:id="87"/>
      <w:bookmarkEnd w:id="88"/>
    </w:p>
    <w:p w14:paraId="67D1A10B" w14:textId="74094371" w:rsidR="00671021" w:rsidRPr="0077530D" w:rsidRDefault="006D26AB" w:rsidP="00671021">
      <w:pPr>
        <w:jc w:val="both"/>
        <w:rPr>
          <w:rFonts w:ascii="Arial" w:eastAsia="Times New Roman" w:hAnsi="Arial" w:cs="Arial"/>
          <w:sz w:val="22"/>
          <w:szCs w:val="22"/>
          <w:lang w:val="es-ES"/>
        </w:rPr>
      </w:pPr>
      <w:r w:rsidRPr="0077530D">
        <w:rPr>
          <w:rFonts w:ascii="Arial" w:eastAsia="Times New Roman" w:hAnsi="Arial" w:cs="Arial"/>
          <w:sz w:val="22"/>
          <w:szCs w:val="22"/>
          <w:lang w:val="es-ES"/>
        </w:rPr>
        <w:t>El costo</w:t>
      </w:r>
      <w:r w:rsidR="002B329E" w:rsidRPr="0077530D">
        <w:rPr>
          <w:rFonts w:ascii="Arial" w:eastAsia="Times New Roman" w:hAnsi="Arial" w:cs="Arial"/>
          <w:sz w:val="22"/>
          <w:szCs w:val="22"/>
          <w:lang w:val="es-ES"/>
        </w:rPr>
        <w:t xml:space="preserve"> total</w:t>
      </w:r>
      <w:r w:rsidRPr="0077530D">
        <w:rPr>
          <w:rFonts w:ascii="Arial" w:eastAsia="Times New Roman" w:hAnsi="Arial" w:cs="Arial"/>
          <w:sz w:val="22"/>
          <w:szCs w:val="22"/>
          <w:lang w:val="es-ES"/>
        </w:rPr>
        <w:t xml:space="preserve"> </w:t>
      </w:r>
      <w:r w:rsidR="00D41C4F" w:rsidRPr="0077530D">
        <w:rPr>
          <w:rFonts w:ascii="Arial" w:eastAsia="Times New Roman" w:hAnsi="Arial" w:cs="Arial"/>
          <w:sz w:val="22"/>
          <w:szCs w:val="22"/>
          <w:lang w:val="es-ES"/>
        </w:rPr>
        <w:t xml:space="preserve">de </w:t>
      </w:r>
      <w:r w:rsidR="008D7DDC" w:rsidRPr="0077530D">
        <w:rPr>
          <w:rFonts w:ascii="Arial" w:hAnsi="Arial" w:cs="Arial"/>
          <w:sz w:val="22"/>
          <w:szCs w:val="22"/>
          <w:lang w:val="es-ES"/>
        </w:rPr>
        <w:t>Programa de Mejora en Accesibilidad</w:t>
      </w:r>
      <w:r w:rsidR="00D77718" w:rsidRPr="0077530D">
        <w:rPr>
          <w:rFonts w:ascii="Arial" w:hAnsi="Arial" w:cs="Arial"/>
          <w:sz w:val="22"/>
          <w:szCs w:val="22"/>
          <w:lang w:val="es-ES"/>
        </w:rPr>
        <w:t xml:space="preserve"> a los Servicios de Salud Materna</w:t>
      </w:r>
      <w:r w:rsidR="003A553B" w:rsidRPr="0077530D">
        <w:rPr>
          <w:rFonts w:ascii="Arial" w:eastAsia="Times New Roman" w:hAnsi="Arial" w:cs="Arial"/>
          <w:sz w:val="22"/>
          <w:szCs w:val="22"/>
          <w:lang w:val="es-ES"/>
        </w:rPr>
        <w:t xml:space="preserve"> </w:t>
      </w:r>
      <w:r w:rsidR="008F1413" w:rsidRPr="0077530D">
        <w:rPr>
          <w:rFonts w:ascii="Arial" w:eastAsia="Times New Roman" w:hAnsi="Arial" w:cs="Arial"/>
          <w:sz w:val="22"/>
          <w:szCs w:val="22"/>
          <w:lang w:val="es-ES"/>
        </w:rPr>
        <w:t>asciende a US</w:t>
      </w:r>
      <w:r w:rsidRPr="0077530D">
        <w:rPr>
          <w:rFonts w:ascii="Arial" w:eastAsia="Times New Roman" w:hAnsi="Arial" w:cs="Arial"/>
          <w:sz w:val="22"/>
          <w:szCs w:val="22"/>
          <w:lang w:val="es-ES"/>
        </w:rPr>
        <w:t>$</w:t>
      </w:r>
      <w:r w:rsidR="00744F27" w:rsidRPr="0077530D">
        <w:rPr>
          <w:rFonts w:ascii="Arial" w:eastAsia="Times New Roman" w:hAnsi="Arial" w:cs="Arial"/>
          <w:sz w:val="22"/>
          <w:szCs w:val="22"/>
          <w:lang w:val="es-ES"/>
        </w:rPr>
        <w:t>275</w:t>
      </w:r>
      <w:r w:rsidRPr="0077530D">
        <w:rPr>
          <w:rFonts w:ascii="Arial" w:eastAsia="Times New Roman" w:hAnsi="Arial" w:cs="Arial"/>
          <w:sz w:val="22"/>
          <w:szCs w:val="22"/>
          <w:lang w:val="es-ES"/>
        </w:rPr>
        <w:t xml:space="preserve"> millones</w:t>
      </w:r>
      <w:r w:rsidR="00D41C4F" w:rsidRPr="0077530D">
        <w:rPr>
          <w:rFonts w:ascii="Arial" w:eastAsia="Times New Roman" w:hAnsi="Arial" w:cs="Arial"/>
          <w:sz w:val="22"/>
          <w:szCs w:val="22"/>
          <w:lang w:val="es-ES"/>
        </w:rPr>
        <w:t>.</w:t>
      </w:r>
      <w:r w:rsidR="00840655" w:rsidRPr="0077530D">
        <w:rPr>
          <w:rFonts w:ascii="Arial" w:eastAsia="Times New Roman" w:hAnsi="Arial" w:cs="Arial"/>
          <w:sz w:val="22"/>
          <w:szCs w:val="22"/>
          <w:lang w:val="es-ES"/>
        </w:rPr>
        <w:t xml:space="preserve"> El horizonte temporal del</w:t>
      </w:r>
      <w:r w:rsidRPr="0077530D">
        <w:rPr>
          <w:rFonts w:ascii="Arial" w:eastAsia="Times New Roman" w:hAnsi="Arial" w:cs="Arial"/>
          <w:sz w:val="22"/>
          <w:szCs w:val="22"/>
          <w:lang w:val="es-ES"/>
        </w:rPr>
        <w:t xml:space="preserve"> an</w:t>
      </w:r>
      <w:r w:rsidRPr="0077530D">
        <w:rPr>
          <w:rFonts w:ascii="Arial" w:hAnsi="Arial" w:cs="Arial"/>
          <w:sz w:val="22"/>
          <w:szCs w:val="22"/>
          <w:lang w:val="es-ES"/>
        </w:rPr>
        <w:t>álisis</w:t>
      </w:r>
      <w:r w:rsidR="00840655" w:rsidRPr="0077530D">
        <w:rPr>
          <w:rFonts w:ascii="Arial" w:hAnsi="Arial" w:cs="Arial"/>
          <w:sz w:val="22"/>
          <w:szCs w:val="22"/>
          <w:lang w:val="es-ES"/>
        </w:rPr>
        <w:t xml:space="preserve"> económico comprende</w:t>
      </w:r>
      <w:r w:rsidRPr="0077530D">
        <w:rPr>
          <w:rFonts w:ascii="Arial" w:eastAsia="Times New Roman" w:hAnsi="Arial" w:cs="Arial"/>
          <w:sz w:val="22"/>
          <w:szCs w:val="22"/>
          <w:lang w:val="es-ES"/>
        </w:rPr>
        <w:t xml:space="preserve"> </w:t>
      </w:r>
      <w:r w:rsidR="00B97FAF" w:rsidRPr="0077530D">
        <w:rPr>
          <w:rFonts w:ascii="Arial" w:eastAsia="Times New Roman" w:hAnsi="Arial" w:cs="Arial"/>
          <w:sz w:val="22"/>
          <w:szCs w:val="22"/>
          <w:lang w:val="es-ES"/>
        </w:rPr>
        <w:t>de 201</w:t>
      </w:r>
      <w:r w:rsidR="002B329E" w:rsidRPr="0077530D">
        <w:rPr>
          <w:rFonts w:ascii="Arial" w:eastAsia="Times New Roman" w:hAnsi="Arial" w:cs="Arial"/>
          <w:sz w:val="22"/>
          <w:szCs w:val="22"/>
          <w:lang w:val="es-ES"/>
        </w:rPr>
        <w:t>8</w:t>
      </w:r>
      <w:r w:rsidR="003E0A47" w:rsidRPr="0077530D">
        <w:rPr>
          <w:rFonts w:ascii="Arial" w:eastAsia="Times New Roman" w:hAnsi="Arial" w:cs="Arial"/>
          <w:sz w:val="22"/>
          <w:szCs w:val="22"/>
          <w:lang w:val="es-ES"/>
        </w:rPr>
        <w:t xml:space="preserve"> a 202</w:t>
      </w:r>
      <w:r w:rsidR="002B329E" w:rsidRPr="0077530D">
        <w:rPr>
          <w:rFonts w:ascii="Arial" w:eastAsia="Times New Roman" w:hAnsi="Arial" w:cs="Arial"/>
          <w:sz w:val="22"/>
          <w:szCs w:val="22"/>
          <w:lang w:val="es-ES"/>
        </w:rPr>
        <w:t>3</w:t>
      </w:r>
      <w:r w:rsidR="00AD15AA" w:rsidRPr="0077530D">
        <w:rPr>
          <w:rFonts w:ascii="Arial" w:eastAsia="Times New Roman" w:hAnsi="Arial" w:cs="Arial"/>
          <w:sz w:val="22"/>
          <w:szCs w:val="22"/>
          <w:lang w:val="es-ES"/>
        </w:rPr>
        <w:t xml:space="preserve">. </w:t>
      </w:r>
      <w:r w:rsidR="00671021" w:rsidRPr="0077530D">
        <w:rPr>
          <w:rFonts w:ascii="Arial" w:eastAsia="Times New Roman" w:hAnsi="Arial" w:cs="Arial"/>
          <w:sz w:val="22"/>
          <w:szCs w:val="22"/>
          <w:lang w:val="es-ES"/>
        </w:rPr>
        <w:t xml:space="preserve">Adicionalmente a los costos de </w:t>
      </w:r>
      <w:r w:rsidR="00744F27" w:rsidRPr="0077530D">
        <w:rPr>
          <w:rFonts w:ascii="Arial" w:eastAsia="Times New Roman" w:hAnsi="Arial" w:cs="Arial"/>
          <w:sz w:val="22"/>
          <w:szCs w:val="22"/>
          <w:lang w:val="es-ES"/>
        </w:rPr>
        <w:t>ampliación</w:t>
      </w:r>
      <w:r w:rsidR="00671021" w:rsidRPr="0077530D">
        <w:rPr>
          <w:rFonts w:ascii="Arial" w:eastAsia="Times New Roman" w:hAnsi="Arial" w:cs="Arial"/>
          <w:sz w:val="22"/>
          <w:szCs w:val="22"/>
          <w:lang w:val="es-ES"/>
        </w:rPr>
        <w:t>, construcción</w:t>
      </w:r>
      <w:r w:rsidR="00744F27" w:rsidRPr="0077530D">
        <w:rPr>
          <w:rFonts w:ascii="Arial" w:eastAsia="Times New Roman" w:hAnsi="Arial" w:cs="Arial"/>
          <w:sz w:val="22"/>
          <w:szCs w:val="22"/>
          <w:lang w:val="es-ES"/>
        </w:rPr>
        <w:t xml:space="preserve"> y equipamiento </w:t>
      </w:r>
      <w:r w:rsidR="00671021" w:rsidRPr="0077530D">
        <w:rPr>
          <w:rFonts w:ascii="Arial" w:eastAsia="Times New Roman" w:hAnsi="Arial" w:cs="Arial"/>
          <w:sz w:val="22"/>
          <w:szCs w:val="22"/>
          <w:lang w:val="es-ES"/>
        </w:rPr>
        <w:t>de hospitales</w:t>
      </w:r>
      <w:r w:rsidR="00744F27" w:rsidRPr="0077530D">
        <w:rPr>
          <w:rFonts w:ascii="Arial" w:eastAsia="Times New Roman" w:hAnsi="Arial" w:cs="Arial"/>
          <w:sz w:val="22"/>
          <w:szCs w:val="22"/>
          <w:lang w:val="es-ES"/>
        </w:rPr>
        <w:t xml:space="preserve"> y centros de salud</w:t>
      </w:r>
      <w:r w:rsidR="00671021" w:rsidRPr="0077530D">
        <w:rPr>
          <w:rFonts w:ascii="Arial" w:eastAsia="Times New Roman" w:hAnsi="Arial" w:cs="Arial"/>
          <w:sz w:val="22"/>
          <w:szCs w:val="22"/>
          <w:lang w:val="es-ES"/>
        </w:rPr>
        <w:t xml:space="preserve"> incluidos en el costo total del proyecto se deben incorporar los costos fijos y </w:t>
      </w:r>
      <w:r w:rsidR="00FA10A4" w:rsidRPr="0077530D">
        <w:rPr>
          <w:rFonts w:ascii="Arial" w:eastAsia="Times New Roman" w:hAnsi="Arial" w:cs="Arial"/>
          <w:sz w:val="22"/>
          <w:szCs w:val="22"/>
          <w:lang w:val="es-ES"/>
        </w:rPr>
        <w:t>costos de oportunidad</w:t>
      </w:r>
      <w:r w:rsidR="00671021" w:rsidRPr="0077530D">
        <w:rPr>
          <w:rFonts w:ascii="Arial" w:eastAsia="Times New Roman" w:hAnsi="Arial" w:cs="Arial"/>
          <w:sz w:val="22"/>
          <w:szCs w:val="22"/>
          <w:lang w:val="es-ES"/>
        </w:rPr>
        <w:t xml:space="preserve"> complementarios. Los costos fijos incluyen los costos de operación, personal y administración de los de estos centros de salud y el costo de oportunidad que dependen del impacto que el proyecto tendrá en el </w:t>
      </w:r>
      <w:r w:rsidR="00373CF5" w:rsidRPr="0077530D">
        <w:rPr>
          <w:rFonts w:ascii="Arial" w:eastAsia="Times New Roman" w:hAnsi="Arial" w:cs="Arial"/>
          <w:sz w:val="22"/>
          <w:szCs w:val="22"/>
          <w:lang w:val="es-ES"/>
        </w:rPr>
        <w:t>número</w:t>
      </w:r>
      <w:r w:rsidR="00671021" w:rsidRPr="0077530D">
        <w:rPr>
          <w:rFonts w:ascii="Arial" w:eastAsia="Times New Roman" w:hAnsi="Arial" w:cs="Arial"/>
          <w:sz w:val="22"/>
          <w:szCs w:val="22"/>
          <w:lang w:val="es-ES"/>
        </w:rPr>
        <w:t xml:space="preserve"> de visitas y el costo de viaje incurrido por estos pacientes.</w:t>
      </w:r>
    </w:p>
    <w:p w14:paraId="024B82E8" w14:textId="77777777" w:rsidR="00B72FAC" w:rsidRPr="0077530D" w:rsidRDefault="00B72FAC" w:rsidP="00671021">
      <w:pPr>
        <w:jc w:val="both"/>
        <w:rPr>
          <w:rFonts w:ascii="Arial" w:eastAsia="Times New Roman" w:hAnsi="Arial" w:cs="Arial"/>
          <w:sz w:val="22"/>
          <w:szCs w:val="22"/>
          <w:lang w:val="es-ES"/>
        </w:rPr>
      </w:pPr>
    </w:p>
    <w:p w14:paraId="701C218C" w14:textId="65BD9D1A" w:rsidR="00671021" w:rsidRPr="0077530D" w:rsidRDefault="00B72FAC" w:rsidP="00671021">
      <w:pPr>
        <w:jc w:val="both"/>
        <w:rPr>
          <w:rFonts w:ascii="Arial" w:eastAsia="Times New Roman" w:hAnsi="Arial" w:cs="Arial"/>
          <w:sz w:val="22"/>
          <w:szCs w:val="22"/>
          <w:lang w:val="es-ES"/>
        </w:rPr>
      </w:pPr>
      <w:r w:rsidRPr="0077530D">
        <w:rPr>
          <w:rFonts w:ascii="Arial" w:eastAsia="Times New Roman" w:hAnsi="Arial" w:cs="Arial"/>
          <w:sz w:val="22"/>
          <w:szCs w:val="22"/>
          <w:lang w:val="es-ES"/>
        </w:rPr>
        <w:t>De forma conservadora, p</w:t>
      </w:r>
      <w:r w:rsidR="00671021" w:rsidRPr="0077530D">
        <w:rPr>
          <w:rFonts w:ascii="Arial" w:eastAsia="Times New Roman" w:hAnsi="Arial" w:cs="Arial"/>
          <w:sz w:val="22"/>
          <w:szCs w:val="22"/>
          <w:lang w:val="es-ES"/>
        </w:rPr>
        <w:t xml:space="preserve">ara estimar los costos de operación se tomaron los costos estimados basados en conversaciones con la asesoría técnica para cada tipo de servicio. Los costos </w:t>
      </w:r>
      <w:r w:rsidR="0071117A" w:rsidRPr="0077530D">
        <w:rPr>
          <w:rFonts w:ascii="Arial" w:eastAsia="Times New Roman" w:hAnsi="Arial" w:cs="Arial"/>
          <w:sz w:val="22"/>
          <w:szCs w:val="22"/>
          <w:lang w:val="es-ES"/>
        </w:rPr>
        <w:t>anuales</w:t>
      </w:r>
      <w:r w:rsidR="00671021" w:rsidRPr="0077530D">
        <w:rPr>
          <w:rFonts w:ascii="Arial" w:eastAsia="Times New Roman" w:hAnsi="Arial" w:cs="Arial"/>
          <w:sz w:val="22"/>
          <w:szCs w:val="22"/>
          <w:lang w:val="es-ES"/>
        </w:rPr>
        <w:t xml:space="preserve"> se detallan a continuación: </w:t>
      </w:r>
    </w:p>
    <w:p w14:paraId="023FF00C" w14:textId="77777777" w:rsidR="00671021" w:rsidRPr="0077530D" w:rsidRDefault="00671021" w:rsidP="0077530D">
      <w:pPr>
        <w:shd w:val="clear" w:color="auto" w:fill="FFFFFF" w:themeFill="background1"/>
        <w:jc w:val="both"/>
        <w:rPr>
          <w:rFonts w:ascii="Arial,Arial,Times New Roman" w:eastAsia="Arial,Arial,Times New Roman" w:hAnsi="Arial,Arial,Times New Roman" w:cs="Arial,Arial,Times New Roman"/>
          <w:sz w:val="22"/>
          <w:szCs w:val="22"/>
          <w:lang w:val="es-ES"/>
        </w:rPr>
      </w:pPr>
      <w:r w:rsidRPr="0077530D">
        <w:rPr>
          <w:rFonts w:ascii="Arial,Arial,Times New Roman" w:eastAsia="Arial,Arial,Times New Roman" w:hAnsi="Arial,Arial,Times New Roman" w:cs="Arial,Arial,Times New Roman"/>
          <w:sz w:val="22"/>
          <w:szCs w:val="22"/>
          <w:lang w:val="es-ES"/>
        </w:rPr>
        <w:t xml:space="preserve">  </w:t>
      </w:r>
    </w:p>
    <w:p w14:paraId="4EA413FA" w14:textId="35F1CF01" w:rsidR="00373CF5" w:rsidRPr="0077530D" w:rsidRDefault="00355399" w:rsidP="0077530D">
      <w:pPr>
        <w:shd w:val="clear" w:color="auto" w:fill="FFFFFF" w:themeFill="background1"/>
        <w:spacing w:after="120"/>
        <w:jc w:val="center"/>
        <w:rPr>
          <w:rFonts w:ascii="Arial,Arial,Times New Roman" w:eastAsia="Arial,Arial,Times New Roman" w:hAnsi="Arial,Arial,Times New Roman" w:cs="Arial,Arial,Times New Roman"/>
          <w:b/>
          <w:color w:val="222222"/>
          <w:sz w:val="18"/>
          <w:szCs w:val="18"/>
          <w:lang w:val="es-419" w:eastAsia="pt-BR"/>
        </w:rPr>
      </w:pPr>
      <w:r w:rsidRPr="0077530D">
        <w:rPr>
          <w:rFonts w:ascii="Arial" w:eastAsia="Arial" w:hAnsi="Arial" w:cs="Arial"/>
          <w:b/>
          <w:sz w:val="18"/>
          <w:szCs w:val="18"/>
          <w:lang w:val="es-419"/>
        </w:rPr>
        <w:t xml:space="preserve">Tabla </w:t>
      </w:r>
      <w:r w:rsidRPr="0077530D">
        <w:fldChar w:fldCharType="begin"/>
      </w:r>
      <w:r w:rsidRPr="0077530D">
        <w:rPr>
          <w:rFonts w:ascii="Arial" w:hAnsi="Arial" w:cs="Arial"/>
          <w:b/>
          <w:sz w:val="18"/>
          <w:szCs w:val="18"/>
          <w:lang w:val="es-419"/>
        </w:rPr>
        <w:instrText xml:space="preserve"> SEQ Tabla \* ARABIC </w:instrText>
      </w:r>
      <w:r w:rsidRPr="0077530D">
        <w:rPr>
          <w:rFonts w:ascii="Arial" w:hAnsi="Arial" w:cs="Arial"/>
          <w:b/>
          <w:sz w:val="18"/>
          <w:szCs w:val="18"/>
        </w:rPr>
        <w:fldChar w:fldCharType="separate"/>
      </w:r>
      <w:r w:rsidR="000A3DCE" w:rsidRPr="0077530D">
        <w:rPr>
          <w:rFonts w:ascii="Arial" w:eastAsia="Arial" w:hAnsi="Arial" w:cs="Arial"/>
          <w:b/>
          <w:sz w:val="18"/>
          <w:szCs w:val="18"/>
          <w:lang w:val="es-419"/>
        </w:rPr>
        <w:t>7</w:t>
      </w:r>
      <w:r w:rsidRPr="0077530D">
        <w:fldChar w:fldCharType="end"/>
      </w:r>
      <w:r w:rsidRPr="0077530D">
        <w:rPr>
          <w:rFonts w:ascii="Arial" w:eastAsia="Arial" w:hAnsi="Arial" w:cs="Arial"/>
          <w:b/>
          <w:sz w:val="18"/>
          <w:szCs w:val="18"/>
          <w:lang w:val="es-419"/>
        </w:rPr>
        <w:t>. Costos operativos mensuales</w:t>
      </w:r>
    </w:p>
    <w:tbl>
      <w:tblPr>
        <w:tblW w:w="0" w:type="auto"/>
        <w:jc w:val="center"/>
        <w:shd w:val="clear" w:color="auto" w:fill="FFFFFF"/>
        <w:tblCellMar>
          <w:left w:w="0" w:type="dxa"/>
          <w:right w:w="0" w:type="dxa"/>
        </w:tblCellMar>
        <w:tblLook w:val="04A0" w:firstRow="1" w:lastRow="0" w:firstColumn="1" w:lastColumn="0" w:noHBand="0" w:noVBand="1"/>
      </w:tblPr>
      <w:tblGrid>
        <w:gridCol w:w="2870"/>
        <w:gridCol w:w="2278"/>
      </w:tblGrid>
      <w:tr w:rsidR="00373CF5" w:rsidRPr="0077530D" w14:paraId="14C3F9F8" w14:textId="77777777" w:rsidTr="0077530D">
        <w:trPr>
          <w:jc w:val="center"/>
        </w:trPr>
        <w:tc>
          <w:tcPr>
            <w:tcW w:w="2870" w:type="dxa"/>
            <w:tcBorders>
              <w:top w:val="single" w:sz="8" w:space="0" w:color="4F81BD" w:themeColor="accent1"/>
              <w:left w:val="single" w:sz="8" w:space="0" w:color="4F81BD" w:themeColor="accent1"/>
              <w:bottom w:val="single" w:sz="18" w:space="0" w:color="4F81BD" w:themeColor="accent1"/>
              <w:right w:val="single" w:sz="8" w:space="0" w:color="4F81BD" w:themeColor="accent1"/>
            </w:tcBorders>
            <w:shd w:val="clear" w:color="auto" w:fill="FFFFFF" w:themeFill="background1"/>
            <w:tcMar>
              <w:top w:w="0" w:type="dxa"/>
              <w:left w:w="108" w:type="dxa"/>
              <w:bottom w:w="0" w:type="dxa"/>
              <w:right w:w="108" w:type="dxa"/>
            </w:tcMar>
            <w:hideMark/>
          </w:tcPr>
          <w:p w14:paraId="079F2C6D" w14:textId="53B26DC5" w:rsidR="00373CF5" w:rsidRPr="0077530D" w:rsidRDefault="00AD64BF" w:rsidP="001A6051">
            <w:pPr>
              <w:jc w:val="center"/>
              <w:rPr>
                <w:rFonts w:ascii="Arial" w:eastAsia="Times New Roman" w:hAnsi="Arial" w:cs="Arial"/>
                <w:color w:val="222222"/>
                <w:sz w:val="18"/>
                <w:szCs w:val="18"/>
                <w:lang w:eastAsia="pt-BR"/>
              </w:rPr>
            </w:pPr>
            <w:r w:rsidRPr="0077530D">
              <w:rPr>
                <w:rFonts w:ascii="Arial" w:eastAsia="Times New Roman" w:hAnsi="Arial" w:cs="Arial"/>
                <w:b/>
                <w:bCs/>
                <w:color w:val="222222"/>
                <w:sz w:val="18"/>
                <w:szCs w:val="18"/>
                <w:lang w:eastAsia="pt-BR"/>
              </w:rPr>
              <w:t>Tipo de servicio</w:t>
            </w:r>
          </w:p>
        </w:tc>
        <w:tc>
          <w:tcPr>
            <w:tcW w:w="2278" w:type="dxa"/>
            <w:tcBorders>
              <w:top w:val="single" w:sz="8" w:space="0" w:color="4F81BD" w:themeColor="accent1"/>
              <w:left w:val="nil"/>
              <w:bottom w:val="single" w:sz="18" w:space="0" w:color="4F81BD" w:themeColor="accent1"/>
              <w:right w:val="single" w:sz="8" w:space="0" w:color="4F81BD" w:themeColor="accent1"/>
            </w:tcBorders>
            <w:shd w:val="clear" w:color="auto" w:fill="FFFFFF" w:themeFill="background1"/>
            <w:tcMar>
              <w:top w:w="0" w:type="dxa"/>
              <w:left w:w="108" w:type="dxa"/>
              <w:bottom w:w="0" w:type="dxa"/>
              <w:right w:w="108" w:type="dxa"/>
            </w:tcMar>
            <w:hideMark/>
          </w:tcPr>
          <w:p w14:paraId="0077F378" w14:textId="0D80A7E8" w:rsidR="00373CF5" w:rsidRPr="0077530D" w:rsidRDefault="00355399" w:rsidP="001A6051">
            <w:pPr>
              <w:jc w:val="center"/>
              <w:rPr>
                <w:rFonts w:ascii="Arial" w:eastAsia="Times New Roman" w:hAnsi="Arial" w:cs="Arial"/>
                <w:color w:val="222222"/>
                <w:sz w:val="18"/>
                <w:szCs w:val="18"/>
                <w:lang w:eastAsia="pt-BR"/>
              </w:rPr>
            </w:pPr>
            <w:r w:rsidRPr="0077530D">
              <w:rPr>
                <w:rFonts w:ascii="Arial" w:eastAsia="Times New Roman" w:hAnsi="Arial" w:cs="Arial"/>
                <w:b/>
                <w:bCs/>
                <w:color w:val="222222"/>
                <w:sz w:val="18"/>
                <w:szCs w:val="18"/>
                <w:lang w:eastAsia="pt-BR"/>
              </w:rPr>
              <w:t>Costo</w:t>
            </w:r>
            <w:r w:rsidR="00AD64BF" w:rsidRPr="0077530D">
              <w:rPr>
                <w:rFonts w:ascii="Arial" w:eastAsia="Times New Roman" w:hAnsi="Arial" w:cs="Arial"/>
                <w:b/>
                <w:bCs/>
                <w:color w:val="222222"/>
                <w:sz w:val="18"/>
                <w:szCs w:val="18"/>
                <w:lang w:eastAsia="pt-BR"/>
              </w:rPr>
              <w:t xml:space="preserve"> </w:t>
            </w:r>
            <w:r w:rsidR="00DE6D00" w:rsidRPr="0077530D">
              <w:rPr>
                <w:rFonts w:ascii="Arial" w:eastAsia="Times New Roman" w:hAnsi="Arial" w:cs="Arial"/>
                <w:b/>
                <w:bCs/>
                <w:color w:val="222222"/>
                <w:sz w:val="18"/>
                <w:szCs w:val="18"/>
                <w:lang w:eastAsia="pt-BR"/>
              </w:rPr>
              <w:t>mensual</w:t>
            </w:r>
            <w:r w:rsidR="00A920EA" w:rsidRPr="0077530D">
              <w:rPr>
                <w:rFonts w:ascii="Arial" w:eastAsia="Times New Roman" w:hAnsi="Arial" w:cs="Arial"/>
                <w:b/>
                <w:bCs/>
                <w:color w:val="222222"/>
                <w:sz w:val="18"/>
                <w:szCs w:val="18"/>
                <w:lang w:eastAsia="pt-BR"/>
              </w:rPr>
              <w:t xml:space="preserve"> (US</w:t>
            </w:r>
            <w:r w:rsidR="00AD64BF" w:rsidRPr="0077530D">
              <w:rPr>
                <w:rFonts w:ascii="Arial" w:eastAsia="Times New Roman" w:hAnsi="Arial" w:cs="Arial"/>
                <w:b/>
                <w:bCs/>
                <w:color w:val="222222"/>
                <w:sz w:val="18"/>
                <w:szCs w:val="18"/>
                <w:lang w:eastAsia="pt-BR"/>
              </w:rPr>
              <w:t>$)</w:t>
            </w:r>
          </w:p>
        </w:tc>
      </w:tr>
      <w:tr w:rsidR="00A920EA" w:rsidRPr="0077530D" w14:paraId="2C4EA0AF" w14:textId="77777777" w:rsidTr="0077530D">
        <w:trPr>
          <w:jc w:val="center"/>
        </w:trPr>
        <w:tc>
          <w:tcPr>
            <w:tcW w:w="2870" w:type="dxa"/>
            <w:tcBorders>
              <w:top w:val="nil"/>
              <w:left w:val="single" w:sz="8" w:space="0" w:color="4F81BD" w:themeColor="accent1"/>
              <w:bottom w:val="single" w:sz="8" w:space="0" w:color="4F81BD" w:themeColor="accent1"/>
              <w:right w:val="single" w:sz="8" w:space="0" w:color="4F81BD" w:themeColor="accent1"/>
            </w:tcBorders>
            <w:shd w:val="clear" w:color="auto" w:fill="D3DFEE"/>
            <w:tcMar>
              <w:top w:w="0" w:type="dxa"/>
              <w:left w:w="108" w:type="dxa"/>
              <w:bottom w:w="0" w:type="dxa"/>
              <w:right w:w="108" w:type="dxa"/>
            </w:tcMar>
            <w:vAlign w:val="center"/>
            <w:hideMark/>
          </w:tcPr>
          <w:p w14:paraId="3D595B7D" w14:textId="1B079CEE" w:rsidR="00A920EA" w:rsidRPr="0077530D" w:rsidRDefault="00A920EA" w:rsidP="001A6051">
            <w:pPr>
              <w:jc w:val="center"/>
              <w:rPr>
                <w:rFonts w:ascii="Arial" w:eastAsia="Times New Roman" w:hAnsi="Arial" w:cs="Arial"/>
                <w:color w:val="222222"/>
                <w:sz w:val="18"/>
                <w:szCs w:val="18"/>
                <w:lang w:eastAsia="pt-BR"/>
              </w:rPr>
            </w:pPr>
            <w:r w:rsidRPr="0077530D">
              <w:rPr>
                <w:rFonts w:ascii="Arial" w:eastAsia="Times New Roman" w:hAnsi="Arial" w:cs="Arial"/>
                <w:b/>
                <w:bCs/>
                <w:color w:val="222222"/>
                <w:sz w:val="18"/>
                <w:szCs w:val="18"/>
                <w:lang w:eastAsia="pt-BR"/>
              </w:rPr>
              <w:t>Hospital de Segundo nivel</w:t>
            </w:r>
          </w:p>
        </w:tc>
        <w:tc>
          <w:tcPr>
            <w:tcW w:w="2278" w:type="dxa"/>
            <w:tcBorders>
              <w:top w:val="nil"/>
              <w:left w:val="nil"/>
              <w:bottom w:val="single" w:sz="8" w:space="0" w:color="4F81BD" w:themeColor="accent1"/>
              <w:right w:val="single" w:sz="8" w:space="0" w:color="4F81BD" w:themeColor="accent1"/>
            </w:tcBorders>
            <w:shd w:val="clear" w:color="auto" w:fill="D3DFEE"/>
            <w:tcMar>
              <w:top w:w="0" w:type="dxa"/>
              <w:left w:w="108" w:type="dxa"/>
              <w:bottom w:w="0" w:type="dxa"/>
              <w:right w:w="108" w:type="dxa"/>
            </w:tcMar>
            <w:hideMark/>
          </w:tcPr>
          <w:p w14:paraId="281798D3" w14:textId="2C9363E1" w:rsidR="00A920EA" w:rsidRPr="0077530D" w:rsidRDefault="00A920EA" w:rsidP="001A6051">
            <w:pPr>
              <w:jc w:val="center"/>
              <w:rPr>
                <w:rFonts w:ascii="Arial" w:eastAsia="Times New Roman" w:hAnsi="Arial" w:cs="Arial"/>
                <w:color w:val="222222"/>
                <w:sz w:val="18"/>
                <w:szCs w:val="18"/>
                <w:lang w:eastAsia="pt-BR"/>
              </w:rPr>
            </w:pPr>
            <w:r w:rsidRPr="0077530D">
              <w:rPr>
                <w:rFonts w:ascii="Arial" w:hAnsi="Arial" w:cs="Arial"/>
                <w:sz w:val="18"/>
                <w:szCs w:val="18"/>
              </w:rPr>
              <w:t>US$619,609.81</w:t>
            </w:r>
          </w:p>
        </w:tc>
      </w:tr>
      <w:tr w:rsidR="00A920EA" w:rsidRPr="0077530D" w14:paraId="558D0347" w14:textId="77777777" w:rsidTr="0077530D">
        <w:trPr>
          <w:jc w:val="center"/>
        </w:trPr>
        <w:tc>
          <w:tcPr>
            <w:tcW w:w="2870" w:type="dxa"/>
            <w:tcBorders>
              <w:top w:val="nil"/>
              <w:left w:val="single" w:sz="8" w:space="0" w:color="4F81BD" w:themeColor="accent1"/>
              <w:bottom w:val="single" w:sz="8" w:space="0" w:color="4F81BD" w:themeColor="accent1"/>
              <w:right w:val="single" w:sz="8" w:space="0" w:color="4F81BD" w:themeColor="accent1"/>
            </w:tcBorders>
            <w:shd w:val="clear" w:color="auto" w:fill="FFFFFF" w:themeFill="background1"/>
            <w:tcMar>
              <w:top w:w="0" w:type="dxa"/>
              <w:left w:w="108" w:type="dxa"/>
              <w:bottom w:w="0" w:type="dxa"/>
              <w:right w:w="108" w:type="dxa"/>
            </w:tcMar>
            <w:vAlign w:val="center"/>
            <w:hideMark/>
          </w:tcPr>
          <w:p w14:paraId="5F771EBB" w14:textId="44853ED3" w:rsidR="00A920EA" w:rsidRPr="0077530D" w:rsidRDefault="00A920EA" w:rsidP="001A6051">
            <w:pPr>
              <w:jc w:val="center"/>
              <w:rPr>
                <w:rFonts w:ascii="Arial" w:eastAsia="Times New Roman" w:hAnsi="Arial" w:cs="Arial"/>
                <w:color w:val="222222"/>
                <w:sz w:val="18"/>
                <w:szCs w:val="18"/>
                <w:lang w:eastAsia="pt-BR"/>
              </w:rPr>
            </w:pPr>
            <w:r w:rsidRPr="0077530D">
              <w:rPr>
                <w:rFonts w:ascii="Arial" w:eastAsia="Times New Roman" w:hAnsi="Arial" w:cs="Arial"/>
                <w:b/>
                <w:bCs/>
                <w:color w:val="222222"/>
                <w:sz w:val="18"/>
                <w:szCs w:val="18"/>
                <w:lang w:eastAsia="pt-BR"/>
              </w:rPr>
              <w:t>Hospital de Tercer nivel</w:t>
            </w:r>
          </w:p>
        </w:tc>
        <w:tc>
          <w:tcPr>
            <w:tcW w:w="2278" w:type="dxa"/>
            <w:tcBorders>
              <w:top w:val="nil"/>
              <w:left w:val="nil"/>
              <w:bottom w:val="single" w:sz="8" w:space="0" w:color="4F81BD" w:themeColor="accent1"/>
              <w:right w:val="single" w:sz="8" w:space="0" w:color="4F81BD" w:themeColor="accent1"/>
            </w:tcBorders>
            <w:shd w:val="clear" w:color="auto" w:fill="FFFFFF" w:themeFill="background1"/>
            <w:tcMar>
              <w:top w:w="0" w:type="dxa"/>
              <w:left w:w="108" w:type="dxa"/>
              <w:bottom w:w="0" w:type="dxa"/>
              <w:right w:w="108" w:type="dxa"/>
            </w:tcMar>
            <w:hideMark/>
          </w:tcPr>
          <w:p w14:paraId="77E2DEDF" w14:textId="0F4CBF7F" w:rsidR="00A920EA" w:rsidRPr="0077530D" w:rsidRDefault="00A920EA" w:rsidP="001A6051">
            <w:pPr>
              <w:jc w:val="center"/>
              <w:rPr>
                <w:rFonts w:ascii="Arial" w:eastAsia="Times New Roman" w:hAnsi="Arial" w:cs="Arial"/>
                <w:color w:val="222222"/>
                <w:sz w:val="18"/>
                <w:szCs w:val="18"/>
                <w:lang w:eastAsia="pt-BR"/>
              </w:rPr>
            </w:pPr>
            <w:r w:rsidRPr="0077530D">
              <w:rPr>
                <w:rFonts w:ascii="Arial" w:hAnsi="Arial" w:cs="Arial"/>
                <w:sz w:val="18"/>
                <w:szCs w:val="18"/>
              </w:rPr>
              <w:t>US$321,984.78</w:t>
            </w:r>
          </w:p>
        </w:tc>
      </w:tr>
    </w:tbl>
    <w:p w14:paraId="0AFAD87A" w14:textId="77777777" w:rsidR="002D13AD" w:rsidRPr="0077530D" w:rsidRDefault="002D13AD" w:rsidP="001A6051">
      <w:pPr>
        <w:autoSpaceDE w:val="0"/>
        <w:autoSpaceDN w:val="0"/>
        <w:adjustRightInd w:val="0"/>
        <w:spacing w:before="120"/>
        <w:ind w:left="1440" w:firstLine="720"/>
        <w:jc w:val="both"/>
        <w:rPr>
          <w:rFonts w:ascii="Arial" w:hAnsi="Arial" w:cs="Arial"/>
          <w:sz w:val="16"/>
          <w:szCs w:val="16"/>
          <w:lang w:val="es-ES"/>
        </w:rPr>
      </w:pPr>
      <w:r w:rsidRPr="0077530D">
        <w:rPr>
          <w:rFonts w:ascii="Arial" w:hAnsi="Arial" w:cs="Arial"/>
          <w:sz w:val="16"/>
          <w:szCs w:val="16"/>
          <w:lang w:val="es-ES"/>
        </w:rPr>
        <w:t>Fuente: Elaboración de los autores.</w:t>
      </w:r>
    </w:p>
    <w:p w14:paraId="7C766B0B" w14:textId="1DE7BAF3" w:rsidR="00671021" w:rsidRPr="0077530D" w:rsidRDefault="00373CF5" w:rsidP="0077530D">
      <w:pPr>
        <w:shd w:val="clear" w:color="auto" w:fill="FFFFFF" w:themeFill="background1"/>
        <w:jc w:val="both"/>
        <w:rPr>
          <w:rFonts w:ascii="Arial,Arial,Times New Roman" w:eastAsia="Arial,Arial,Times New Roman" w:hAnsi="Arial,Arial,Times New Roman" w:cs="Arial,Arial,Times New Roman"/>
          <w:color w:val="222222"/>
          <w:sz w:val="18"/>
          <w:szCs w:val="18"/>
          <w:lang w:val="es-419" w:eastAsia="pt-BR"/>
        </w:rPr>
      </w:pPr>
      <w:r w:rsidRPr="0077530D">
        <w:rPr>
          <w:rFonts w:ascii="Arial,Arial,Times New Roman" w:eastAsia="Arial,Arial,Times New Roman" w:hAnsi="Arial,Arial,Times New Roman" w:cs="Arial,Arial,Times New Roman"/>
          <w:color w:val="222222"/>
          <w:sz w:val="19"/>
          <w:szCs w:val="19"/>
          <w:lang w:val="es-419" w:eastAsia="pt-BR"/>
        </w:rPr>
        <w:t> </w:t>
      </w:r>
      <w:r w:rsidR="00671021" w:rsidRPr="0077530D">
        <w:rPr>
          <w:rFonts w:ascii="Arial,Arial,Times New Roman" w:eastAsia="Arial,Arial,Times New Roman" w:hAnsi="Arial,Arial,Times New Roman" w:cs="Arial,Arial,Times New Roman"/>
          <w:color w:val="222222"/>
          <w:sz w:val="18"/>
          <w:szCs w:val="18"/>
          <w:lang w:val="es-419" w:eastAsia="pt-BR"/>
        </w:rPr>
        <w:t> </w:t>
      </w:r>
    </w:p>
    <w:p w14:paraId="65F590BC" w14:textId="65270090" w:rsidR="00671021" w:rsidRPr="0077530D" w:rsidRDefault="00671021" w:rsidP="0079606D">
      <w:pPr>
        <w:jc w:val="both"/>
        <w:rPr>
          <w:rFonts w:ascii="Arial,Arial,Times New Roman" w:eastAsia="Arial,Arial,Times New Roman" w:hAnsi="Arial,Arial,Times New Roman" w:cs="Arial,Arial,Times New Roman"/>
          <w:sz w:val="22"/>
          <w:szCs w:val="22"/>
          <w:lang w:val="es-ES"/>
        </w:rPr>
      </w:pPr>
      <w:r w:rsidRPr="0077530D">
        <w:rPr>
          <w:rFonts w:ascii="Arial" w:eastAsia="Arial" w:hAnsi="Arial" w:cs="Arial"/>
          <w:sz w:val="22"/>
          <w:szCs w:val="22"/>
          <w:lang w:val="es-ES"/>
        </w:rPr>
        <w:t>Solo se consideran los costos operativos para las nuevas construcciones</w:t>
      </w:r>
      <w:r w:rsidR="00B43FB3" w:rsidRPr="0077530D">
        <w:rPr>
          <w:rFonts w:ascii="Arial" w:eastAsia="Arial" w:hAnsi="Arial" w:cs="Arial"/>
          <w:sz w:val="22"/>
          <w:szCs w:val="22"/>
          <w:lang w:val="es-ES"/>
        </w:rPr>
        <w:t xml:space="preserve"> y se supone que en el caso de las ampliaciones o equipamientos solo se considera un aumento de un 10% en  los costos </w:t>
      </w:r>
      <w:r w:rsidRPr="0077530D">
        <w:rPr>
          <w:rFonts w:ascii="Arial" w:eastAsia="Arial" w:hAnsi="Arial" w:cs="Arial"/>
          <w:sz w:val="22"/>
          <w:szCs w:val="22"/>
          <w:lang w:val="es-ES"/>
        </w:rPr>
        <w:t xml:space="preserve">operativos </w:t>
      </w:r>
      <w:r w:rsidR="006D1904" w:rsidRPr="0077530D">
        <w:rPr>
          <w:rFonts w:ascii="Arial" w:eastAsia="Arial" w:hAnsi="Arial" w:cs="Arial"/>
          <w:sz w:val="22"/>
          <w:szCs w:val="22"/>
          <w:lang w:val="es-ES"/>
        </w:rPr>
        <w:t xml:space="preserve">adicionales ya que no se espera un aumento del costo operativo </w:t>
      </w:r>
      <w:r w:rsidRPr="0077530D">
        <w:rPr>
          <w:rFonts w:ascii="Arial" w:eastAsia="Arial" w:hAnsi="Arial" w:cs="Arial"/>
          <w:sz w:val="22"/>
          <w:szCs w:val="22"/>
          <w:lang w:val="es-ES"/>
        </w:rPr>
        <w:t xml:space="preserve">para los </w:t>
      </w:r>
      <w:r w:rsidRPr="0077530D">
        <w:rPr>
          <w:rFonts w:ascii="Arial" w:eastAsia="Arial" w:hAnsi="Arial" w:cs="Arial"/>
          <w:sz w:val="22"/>
          <w:szCs w:val="22"/>
          <w:lang w:val="es-ES"/>
        </w:rPr>
        <w:lastRenderedPageBreak/>
        <w:t xml:space="preserve">servicios existentes. </w:t>
      </w:r>
      <w:r w:rsidR="00EA47B8" w:rsidRPr="0077530D">
        <w:rPr>
          <w:rFonts w:ascii="Arial" w:eastAsia="Arial" w:hAnsi="Arial" w:cs="Arial"/>
          <w:sz w:val="22"/>
          <w:szCs w:val="22"/>
          <w:lang w:val="es-ES"/>
        </w:rPr>
        <w:t>Las nuevas construcciones se harán en el Hospital Pediátrico, Hospital de Segundo Nivel Palos Blancos, Hospital de Segundo Nivel Ixiamas</w:t>
      </w:r>
      <w:r w:rsidR="00EA47B8" w:rsidRPr="0077530D">
        <w:rPr>
          <w:rFonts w:ascii="Arial,Arial,Times New Roman" w:eastAsia="Arial,Arial,Times New Roman" w:hAnsi="Arial,Arial,Times New Roman" w:cs="Arial,Arial,Times New Roman"/>
          <w:sz w:val="22"/>
          <w:szCs w:val="22"/>
          <w:lang w:val="es-ES"/>
        </w:rPr>
        <w:t>,</w:t>
      </w:r>
      <w:r w:rsidR="00EA47B8" w:rsidRPr="0077530D">
        <w:rPr>
          <w:rFonts w:ascii="Arial" w:eastAsia="Arial" w:hAnsi="Arial" w:cs="Arial"/>
          <w:lang w:val="es-419"/>
        </w:rPr>
        <w:t xml:space="preserve"> </w:t>
      </w:r>
      <w:r w:rsidR="00EA47B8" w:rsidRPr="0077530D">
        <w:rPr>
          <w:rFonts w:ascii="Arial" w:eastAsia="Arial" w:hAnsi="Arial" w:cs="Arial"/>
          <w:sz w:val="22"/>
          <w:szCs w:val="22"/>
          <w:lang w:val="es-ES"/>
        </w:rPr>
        <w:t xml:space="preserve">Hospital de Segundo Nivel Camiri, Hospiral de Segundo Nivel San Borja, Hospital Monteagudo San Antonio de los Sauces, Hospital Eduardo Eguía, Hospital San Roque. </w:t>
      </w:r>
      <w:r w:rsidR="002F4C35" w:rsidRPr="0077530D">
        <w:rPr>
          <w:rFonts w:ascii="Arial" w:eastAsia="Arial" w:hAnsi="Arial" w:cs="Arial"/>
          <w:sz w:val="22"/>
          <w:szCs w:val="22"/>
          <w:lang w:val="es-ES"/>
        </w:rPr>
        <w:t>S</w:t>
      </w:r>
      <w:r w:rsidRPr="0077530D">
        <w:rPr>
          <w:rFonts w:ascii="Arial" w:eastAsia="Arial" w:hAnsi="Arial" w:cs="Arial"/>
          <w:sz w:val="22"/>
          <w:szCs w:val="22"/>
          <w:lang w:val="es-ES"/>
        </w:rPr>
        <w:t xml:space="preserve">e asumen </w:t>
      </w:r>
      <w:r w:rsidR="002F4C35" w:rsidRPr="0077530D">
        <w:rPr>
          <w:rFonts w:ascii="Arial" w:eastAsia="Arial" w:hAnsi="Arial" w:cs="Arial"/>
          <w:sz w:val="22"/>
          <w:szCs w:val="22"/>
          <w:lang w:val="es-ES"/>
        </w:rPr>
        <w:t xml:space="preserve">y contabilizan </w:t>
      </w:r>
      <w:r w:rsidRPr="0077530D">
        <w:rPr>
          <w:rFonts w:ascii="Arial" w:eastAsia="Arial" w:hAnsi="Arial" w:cs="Arial"/>
          <w:sz w:val="22"/>
          <w:szCs w:val="22"/>
          <w:lang w:val="es-ES"/>
        </w:rPr>
        <w:t xml:space="preserve">costos operativos </w:t>
      </w:r>
      <w:r w:rsidR="002F4C35" w:rsidRPr="0077530D">
        <w:rPr>
          <w:rFonts w:ascii="Arial" w:eastAsia="Arial" w:hAnsi="Arial" w:cs="Arial"/>
          <w:sz w:val="22"/>
          <w:szCs w:val="22"/>
          <w:lang w:val="es-ES"/>
        </w:rPr>
        <w:t>a partir del</w:t>
      </w:r>
      <w:r w:rsidRPr="0077530D">
        <w:rPr>
          <w:rFonts w:ascii="Arial" w:eastAsia="Arial" w:hAnsi="Arial" w:cs="Arial"/>
          <w:sz w:val="22"/>
          <w:szCs w:val="22"/>
          <w:lang w:val="es-ES"/>
        </w:rPr>
        <w:t xml:space="preserve"> primer año de construcción. El costo operativo estimado </w:t>
      </w:r>
      <w:r w:rsidR="00B646CC" w:rsidRPr="0077530D">
        <w:rPr>
          <w:rFonts w:ascii="Arial" w:eastAsia="Arial" w:hAnsi="Arial" w:cs="Arial"/>
          <w:sz w:val="22"/>
          <w:szCs w:val="22"/>
          <w:lang w:val="es-ES"/>
        </w:rPr>
        <w:t xml:space="preserve">en el periodo del programa </w:t>
      </w:r>
      <w:r w:rsidRPr="0077530D">
        <w:rPr>
          <w:rFonts w:ascii="Arial" w:eastAsia="Arial" w:hAnsi="Arial" w:cs="Arial"/>
          <w:sz w:val="22"/>
          <w:szCs w:val="22"/>
          <w:lang w:val="es-ES"/>
        </w:rPr>
        <w:t>es de alrededor de $</w:t>
      </w:r>
      <w:r w:rsidR="000E2B9E" w:rsidRPr="0077530D">
        <w:rPr>
          <w:rFonts w:ascii="Arial" w:eastAsia="Arial" w:hAnsi="Arial" w:cs="Arial"/>
          <w:sz w:val="22"/>
          <w:szCs w:val="22"/>
          <w:lang w:val="es-ES"/>
        </w:rPr>
        <w:t>64</w:t>
      </w:r>
      <w:r w:rsidRPr="0077530D">
        <w:rPr>
          <w:rFonts w:ascii="Arial" w:eastAsia="Arial" w:hAnsi="Arial" w:cs="Arial"/>
          <w:sz w:val="22"/>
          <w:szCs w:val="22"/>
          <w:lang w:val="es-ES"/>
        </w:rPr>
        <w:t xml:space="preserve"> millones de dólares</w:t>
      </w:r>
      <w:r w:rsidR="000E2B9E" w:rsidRPr="0077530D">
        <w:rPr>
          <w:rFonts w:ascii="Arial" w:eastAsia="Arial" w:hAnsi="Arial" w:cs="Arial"/>
          <w:sz w:val="22"/>
          <w:szCs w:val="22"/>
          <w:lang w:val="es-ES"/>
        </w:rPr>
        <w:t xml:space="preserve"> durante los cinco </w:t>
      </w:r>
      <w:r w:rsidR="00030A5F" w:rsidRPr="0077530D">
        <w:rPr>
          <w:rFonts w:ascii="Arial" w:eastAsia="Arial" w:hAnsi="Arial" w:cs="Arial"/>
          <w:sz w:val="22"/>
          <w:szCs w:val="22"/>
          <w:lang w:val="es-ES"/>
        </w:rPr>
        <w:t>años de ejecución del proyecto</w:t>
      </w:r>
      <w:r w:rsidRPr="0077530D">
        <w:rPr>
          <w:rFonts w:ascii="Arial,Arial,Times New Roman" w:eastAsia="Arial,Arial,Times New Roman" w:hAnsi="Arial,Arial,Times New Roman" w:cs="Arial,Arial,Times New Roman"/>
          <w:sz w:val="22"/>
          <w:szCs w:val="22"/>
          <w:lang w:val="es-ES"/>
        </w:rPr>
        <w:t xml:space="preserve">. </w:t>
      </w:r>
    </w:p>
    <w:p w14:paraId="7333FC80" w14:textId="77777777" w:rsidR="00373CF5" w:rsidRPr="0077530D" w:rsidRDefault="00373CF5" w:rsidP="00671021">
      <w:pPr>
        <w:jc w:val="both"/>
        <w:rPr>
          <w:rFonts w:ascii="Arial" w:eastAsia="Times New Roman" w:hAnsi="Arial" w:cs="Arial"/>
          <w:sz w:val="22"/>
          <w:szCs w:val="22"/>
          <w:lang w:val="es-ES"/>
        </w:rPr>
      </w:pPr>
    </w:p>
    <w:p w14:paraId="18BE735C" w14:textId="65D4613B" w:rsidR="00671021" w:rsidRPr="0077530D" w:rsidRDefault="00671021" w:rsidP="00671021">
      <w:pPr>
        <w:jc w:val="both"/>
        <w:rPr>
          <w:rFonts w:ascii="Arial" w:eastAsia="Times New Roman" w:hAnsi="Arial" w:cs="Arial"/>
          <w:sz w:val="22"/>
          <w:szCs w:val="22"/>
          <w:lang w:val="es-ES_tradnl"/>
        </w:rPr>
      </w:pPr>
      <w:r w:rsidRPr="0077530D">
        <w:rPr>
          <w:rFonts w:ascii="Arial" w:eastAsia="Times New Roman" w:hAnsi="Arial" w:cs="Arial"/>
          <w:sz w:val="22"/>
          <w:szCs w:val="22"/>
          <w:lang w:val="es-ES"/>
        </w:rPr>
        <w:t xml:space="preserve">Por el lado del costo de oportunidad, </w:t>
      </w:r>
      <w:r w:rsidR="0047428C" w:rsidRPr="0077530D">
        <w:rPr>
          <w:rFonts w:ascii="Arial" w:eastAsia="Times New Roman" w:hAnsi="Arial" w:cs="Arial"/>
          <w:sz w:val="22"/>
          <w:szCs w:val="22"/>
          <w:lang w:val="es-ES"/>
        </w:rPr>
        <w:t xml:space="preserve">dado el tipo de intervenciones financiadas por el programa se supone que los pacientes no </w:t>
      </w:r>
      <w:r w:rsidR="003D525D" w:rsidRPr="0077530D">
        <w:rPr>
          <w:rFonts w:ascii="Arial" w:eastAsia="Times New Roman" w:hAnsi="Arial" w:cs="Arial"/>
          <w:sz w:val="22"/>
          <w:szCs w:val="22"/>
          <w:lang w:val="es-ES"/>
        </w:rPr>
        <w:t>están en condi</w:t>
      </w:r>
      <w:r w:rsidR="00D0685F" w:rsidRPr="0077530D">
        <w:rPr>
          <w:rFonts w:ascii="Arial" w:eastAsia="Times New Roman" w:hAnsi="Arial" w:cs="Arial"/>
          <w:sz w:val="22"/>
          <w:szCs w:val="22"/>
          <w:lang w:val="es-ES"/>
        </w:rPr>
        <w:t>ci</w:t>
      </w:r>
      <w:r w:rsidR="003D525D" w:rsidRPr="0077530D">
        <w:rPr>
          <w:rFonts w:ascii="Arial" w:eastAsia="Times New Roman" w:hAnsi="Arial" w:cs="Arial"/>
          <w:sz w:val="22"/>
          <w:szCs w:val="22"/>
          <w:lang w:val="es-ES"/>
        </w:rPr>
        <w:t xml:space="preserve">ones de salud agudas </w:t>
      </w:r>
      <w:r w:rsidR="00D0685F" w:rsidRPr="0077530D">
        <w:rPr>
          <w:rFonts w:ascii="Arial" w:eastAsia="Times New Roman" w:hAnsi="Arial" w:cs="Arial"/>
          <w:sz w:val="22"/>
          <w:szCs w:val="22"/>
          <w:lang w:val="es-ES"/>
        </w:rPr>
        <w:t>para tener que dejar de trabajar</w:t>
      </w:r>
      <w:r w:rsidR="00C97DFB" w:rsidRPr="0077530D">
        <w:rPr>
          <w:rFonts w:ascii="Arial" w:eastAsia="Times New Roman" w:hAnsi="Arial" w:cs="Arial"/>
          <w:sz w:val="22"/>
          <w:szCs w:val="22"/>
          <w:lang w:val="es-ES"/>
        </w:rPr>
        <w:t xml:space="preserve"> y justificar este costo</w:t>
      </w:r>
      <w:r w:rsidR="00D0685F" w:rsidRPr="0077530D">
        <w:rPr>
          <w:rFonts w:ascii="Arial" w:eastAsia="Times New Roman" w:hAnsi="Arial" w:cs="Arial"/>
          <w:sz w:val="22"/>
          <w:szCs w:val="22"/>
          <w:lang w:val="es-ES"/>
        </w:rPr>
        <w:t xml:space="preserve">. </w:t>
      </w:r>
      <w:r w:rsidRPr="0077530D">
        <w:rPr>
          <w:rFonts w:ascii="Arial" w:eastAsia="Times New Roman" w:hAnsi="Arial" w:cs="Arial"/>
          <w:sz w:val="22"/>
          <w:szCs w:val="22"/>
          <w:lang w:val="es-ES"/>
        </w:rPr>
        <w:t xml:space="preserve"> </w:t>
      </w:r>
    </w:p>
    <w:p w14:paraId="0CBB9AD1" w14:textId="2F2AB268" w:rsidR="003277C6" w:rsidRPr="0077530D" w:rsidRDefault="00D41C4F" w:rsidP="001025F1">
      <w:pPr>
        <w:spacing w:before="120" w:after="100" w:afterAutospacing="1"/>
        <w:jc w:val="both"/>
        <w:rPr>
          <w:rFonts w:ascii="Arial" w:eastAsia="Times New Roman" w:hAnsi="Arial" w:cs="Arial"/>
          <w:sz w:val="22"/>
          <w:szCs w:val="22"/>
          <w:lang w:val="es-ES"/>
        </w:rPr>
      </w:pPr>
      <w:r w:rsidRPr="0077530D">
        <w:rPr>
          <w:rFonts w:ascii="Arial" w:eastAsia="Times New Roman" w:hAnsi="Arial" w:cs="Arial"/>
          <w:sz w:val="22"/>
          <w:szCs w:val="22"/>
          <w:lang w:val="es-ES"/>
        </w:rPr>
        <w:t>En el análisis de corto plazo, s</w:t>
      </w:r>
      <w:r w:rsidR="004268B3" w:rsidRPr="0077530D">
        <w:rPr>
          <w:rFonts w:ascii="Arial" w:eastAsia="Times New Roman" w:hAnsi="Arial" w:cs="Arial"/>
          <w:sz w:val="22"/>
          <w:szCs w:val="22"/>
          <w:lang w:val="es-ES"/>
        </w:rPr>
        <w:t>e considera como un escenario realista que se presente un vector de gradualidad regular, un escenario de cobertura efectiva medio y se utiliza una tasa de descuento de 3%. En este escenario,</w:t>
      </w:r>
      <w:r w:rsidR="003277C6" w:rsidRPr="0077530D">
        <w:rPr>
          <w:rFonts w:ascii="Arial" w:eastAsia="Times New Roman" w:hAnsi="Arial" w:cs="Arial"/>
          <w:sz w:val="22"/>
          <w:szCs w:val="22"/>
          <w:lang w:val="es-ES"/>
        </w:rPr>
        <w:t xml:space="preserve"> la raz</w:t>
      </w:r>
      <w:r w:rsidR="003277C6" w:rsidRPr="0077530D">
        <w:rPr>
          <w:rFonts w:ascii="Arial" w:hAnsi="Arial" w:cs="Arial"/>
          <w:sz w:val="22"/>
          <w:szCs w:val="22"/>
          <w:lang w:val="es-ES"/>
        </w:rPr>
        <w:t>ón</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costo</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beneficio</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se</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define</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de</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la</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siguiente</w:t>
      </w:r>
      <w:r w:rsidR="003277C6" w:rsidRPr="0077530D">
        <w:rPr>
          <w:rFonts w:ascii="Arial" w:eastAsia="Times New Roman" w:hAnsi="Arial" w:cs="Arial"/>
          <w:sz w:val="22"/>
          <w:szCs w:val="22"/>
          <w:lang w:val="es-ES"/>
        </w:rPr>
        <w:t xml:space="preserve"> </w:t>
      </w:r>
      <w:r w:rsidR="003277C6" w:rsidRPr="0077530D">
        <w:rPr>
          <w:rFonts w:ascii="Arial" w:hAnsi="Arial" w:cs="Arial"/>
          <w:sz w:val="22"/>
          <w:szCs w:val="22"/>
          <w:lang w:val="es-ES"/>
        </w:rPr>
        <w:t>manera</w:t>
      </w:r>
      <w:r w:rsidR="003277C6" w:rsidRPr="0077530D">
        <w:rPr>
          <w:rFonts w:ascii="Arial" w:eastAsia="Times New Roman" w:hAnsi="Arial" w:cs="Arial"/>
          <w:sz w:val="22"/>
          <w:szCs w:val="22"/>
          <w:lang w:val="es-ES"/>
        </w:rPr>
        <w:t>:</w:t>
      </w:r>
    </w:p>
    <w:p w14:paraId="142EE8DE" w14:textId="490F471C" w:rsidR="003277C6" w:rsidRPr="0077530D" w:rsidRDefault="003277C6" w:rsidP="008A41E6">
      <w:pPr>
        <w:pStyle w:val="ColorfulList-Accent11"/>
        <w:numPr>
          <w:ilvl w:val="0"/>
          <w:numId w:val="2"/>
        </w:numPr>
        <w:spacing w:before="120" w:after="100" w:afterAutospacing="1" w:line="240" w:lineRule="auto"/>
        <w:jc w:val="both"/>
        <w:rPr>
          <w:rFonts w:eastAsia="Times New Roman" w:cs="Arial"/>
          <w:lang w:val="es-ES"/>
        </w:rPr>
      </w:pPr>
      <w:r w:rsidRPr="0077530D">
        <w:rPr>
          <w:rFonts w:eastAsia="Times New Roman" w:cs="Arial"/>
          <w:lang w:val="es-ES"/>
        </w:rPr>
        <w:t>Costo del proyecto</w:t>
      </w:r>
      <w:r w:rsidR="00B9241D" w:rsidRPr="0077530D">
        <w:rPr>
          <w:rFonts w:eastAsia="Times New Roman" w:cs="Arial"/>
          <w:lang w:val="es-ES"/>
        </w:rPr>
        <w:t xml:space="preserve"> </w:t>
      </w:r>
      <w:r w:rsidR="004268B3" w:rsidRPr="0077530D">
        <w:rPr>
          <w:rFonts w:eastAsia="Times New Roman" w:cs="Arial"/>
          <w:lang w:val="es-ES"/>
        </w:rPr>
        <w:t>US</w:t>
      </w:r>
      <w:r w:rsidRPr="0077530D">
        <w:rPr>
          <w:rFonts w:eastAsia="Times New Roman" w:cs="Arial"/>
          <w:lang w:val="es-ES"/>
        </w:rPr>
        <w:t>$</w:t>
      </w:r>
      <w:r w:rsidR="003A553B" w:rsidRPr="0077530D">
        <w:rPr>
          <w:rFonts w:eastAsia="Times New Roman" w:cs="Arial"/>
          <w:lang w:val="es-ES"/>
        </w:rPr>
        <w:t>2</w:t>
      </w:r>
      <w:r w:rsidR="00047843" w:rsidRPr="0077530D">
        <w:rPr>
          <w:rFonts w:eastAsia="Times New Roman" w:cs="Arial"/>
          <w:lang w:val="es-ES"/>
        </w:rPr>
        <w:t>75</w:t>
      </w:r>
      <w:r w:rsidR="00477522" w:rsidRPr="0077530D">
        <w:rPr>
          <w:rFonts w:eastAsia="Times New Roman" w:cs="Arial"/>
          <w:lang w:val="es-ES"/>
        </w:rPr>
        <w:t>,</w:t>
      </w:r>
      <w:r w:rsidR="00B9241D" w:rsidRPr="0077530D">
        <w:rPr>
          <w:rFonts w:eastAsia="Times New Roman" w:cs="Arial"/>
          <w:lang w:val="es-ES"/>
        </w:rPr>
        <w:t>0</w:t>
      </w:r>
      <w:r w:rsidR="004268B3" w:rsidRPr="0077530D">
        <w:rPr>
          <w:rFonts w:eastAsia="Times New Roman" w:cs="Arial"/>
          <w:lang w:val="es-ES"/>
        </w:rPr>
        <w:t>00</w:t>
      </w:r>
      <w:r w:rsidR="00477522" w:rsidRPr="0077530D">
        <w:rPr>
          <w:rFonts w:eastAsia="Times New Roman" w:cs="Arial"/>
          <w:lang w:val="es-ES"/>
        </w:rPr>
        <w:t>,</w:t>
      </w:r>
      <w:r w:rsidR="00735E0F" w:rsidRPr="0077530D">
        <w:rPr>
          <w:rFonts w:eastAsia="Times New Roman" w:cs="Arial"/>
          <w:lang w:val="es-ES"/>
        </w:rPr>
        <w:t>000</w:t>
      </w:r>
    </w:p>
    <w:p w14:paraId="2DA5B1C8" w14:textId="1D42E539" w:rsidR="006F6136" w:rsidRPr="0077530D" w:rsidRDefault="006F6136" w:rsidP="00030A5F">
      <w:pPr>
        <w:pStyle w:val="ColorfulList-Accent11"/>
        <w:numPr>
          <w:ilvl w:val="0"/>
          <w:numId w:val="2"/>
        </w:numPr>
        <w:spacing w:before="120" w:after="100" w:afterAutospacing="1" w:line="240" w:lineRule="auto"/>
        <w:jc w:val="both"/>
        <w:rPr>
          <w:rFonts w:eastAsia="Times New Roman" w:cs="Arial"/>
          <w:lang w:val="es-ES"/>
        </w:rPr>
      </w:pPr>
      <w:r w:rsidRPr="0077530D">
        <w:rPr>
          <w:rFonts w:eastAsia="Times New Roman" w:cs="Arial"/>
          <w:lang w:val="es-ES"/>
        </w:rPr>
        <w:t>Costos complementarios</w:t>
      </w:r>
      <w:r w:rsidR="00477522" w:rsidRPr="0077530D">
        <w:rPr>
          <w:rFonts w:eastAsia="Times New Roman" w:cs="Arial"/>
          <w:lang w:val="es-ES"/>
        </w:rPr>
        <w:t xml:space="preserve">: </w:t>
      </w:r>
      <w:r w:rsidR="00AD3454" w:rsidRPr="0077530D">
        <w:rPr>
          <w:rFonts w:eastAsia="Times New Roman" w:cs="Arial"/>
          <w:lang w:val="es-ES"/>
        </w:rPr>
        <w:t>U</w:t>
      </w:r>
      <w:r w:rsidR="00030A5F" w:rsidRPr="0077530D">
        <w:rPr>
          <w:rFonts w:eastAsia="Times New Roman" w:cs="Arial"/>
          <w:lang w:val="es-ES"/>
        </w:rPr>
        <w:t>S$63,970,348</w:t>
      </w:r>
    </w:p>
    <w:p w14:paraId="66A8552D" w14:textId="2F1B0480" w:rsidR="003277C6" w:rsidRPr="0077530D" w:rsidRDefault="004268B3" w:rsidP="00C117E0">
      <w:pPr>
        <w:pStyle w:val="ColorfulList-Accent11"/>
        <w:numPr>
          <w:ilvl w:val="0"/>
          <w:numId w:val="2"/>
        </w:numPr>
        <w:spacing w:before="120" w:after="100" w:afterAutospacing="1" w:line="240" w:lineRule="auto"/>
        <w:jc w:val="both"/>
        <w:rPr>
          <w:rFonts w:ascii="Arial,Arial,Times New Roman" w:eastAsia="Arial,Arial,Times New Roman" w:hAnsi="Arial,Arial,Times New Roman" w:cs="Arial,Arial,Times New Roman"/>
          <w:lang w:val="es-ES"/>
        </w:rPr>
      </w:pPr>
      <w:r w:rsidRPr="0077530D">
        <w:rPr>
          <w:lang w:val="es-ES"/>
        </w:rPr>
        <w:t xml:space="preserve">Beneficios del proyecto </w:t>
      </w:r>
      <w:r w:rsidR="000C6822" w:rsidRPr="0077530D">
        <w:rPr>
          <w:lang w:val="es-ES"/>
        </w:rPr>
        <w:t>a 202</w:t>
      </w:r>
      <w:r w:rsidR="004E1C90" w:rsidRPr="0077530D">
        <w:rPr>
          <w:lang w:val="es-ES"/>
        </w:rPr>
        <w:t>3</w:t>
      </w:r>
      <w:r w:rsidR="000C6822" w:rsidRPr="0077530D">
        <w:rPr>
          <w:rFonts w:ascii="Arial,Arial,Times New Roman" w:eastAsia="Arial,Arial,Times New Roman" w:hAnsi="Arial,Arial,Times New Roman" w:cs="Arial,Arial,Times New Roman"/>
          <w:lang w:val="es-ES"/>
        </w:rPr>
        <w:t xml:space="preserve"> </w:t>
      </w:r>
      <w:r w:rsidRPr="0077530D">
        <w:rPr>
          <w:lang w:val="es-ES"/>
        </w:rPr>
        <w:t>(tasa 3%</w:t>
      </w:r>
      <w:r w:rsidR="00FB0A0B" w:rsidRPr="0077530D">
        <w:rPr>
          <w:rFonts w:eastAsia="Arial" w:cs="Arial"/>
          <w:lang w:val="es-ES"/>
        </w:rPr>
        <w:t>) </w:t>
      </w:r>
      <w:r w:rsidR="00D41C4F" w:rsidRPr="0077530D">
        <w:rPr>
          <w:lang w:val="es-ES"/>
        </w:rPr>
        <w:t>US$</w:t>
      </w:r>
      <w:r w:rsidR="00477960" w:rsidRPr="0077530D">
        <w:rPr>
          <w:rFonts w:eastAsia="Arial" w:cs="Arial"/>
          <w:lang w:val="es-419"/>
        </w:rPr>
        <w:t xml:space="preserve"> </w:t>
      </w:r>
      <w:r w:rsidR="00030A5F" w:rsidRPr="0077530D">
        <w:rPr>
          <w:lang w:val="es-ES"/>
        </w:rPr>
        <w:t>US$963,152,134</w:t>
      </w:r>
    </w:p>
    <w:p w14:paraId="4A55EE72" w14:textId="78EC217E" w:rsidR="003108ED" w:rsidRPr="0077530D" w:rsidRDefault="003277C6" w:rsidP="00030A5F">
      <w:pPr>
        <w:pStyle w:val="ColorfulList-Accent11"/>
        <w:numPr>
          <w:ilvl w:val="0"/>
          <w:numId w:val="2"/>
        </w:numPr>
        <w:spacing w:before="120" w:after="100" w:afterAutospacing="1" w:line="240" w:lineRule="auto"/>
        <w:jc w:val="both"/>
        <w:rPr>
          <w:rFonts w:ascii="Arial,Arial,Times New Roman" w:eastAsia="Arial,Arial,Times New Roman" w:hAnsi="Arial,Arial,Times New Roman" w:cs="Arial,Arial,Times New Roman"/>
          <w:lang w:val="es-ES"/>
        </w:rPr>
      </w:pPr>
      <w:r w:rsidRPr="0077530D">
        <w:rPr>
          <w:lang w:val="es-ES"/>
        </w:rPr>
        <w:t>B</w:t>
      </w:r>
      <w:r w:rsidR="004C5A71" w:rsidRPr="0077530D">
        <w:rPr>
          <w:lang w:val="es-ES"/>
        </w:rPr>
        <w:t>eneficio neto: US</w:t>
      </w:r>
      <w:r w:rsidR="004268B3" w:rsidRPr="0077530D">
        <w:rPr>
          <w:lang w:val="es-ES"/>
        </w:rPr>
        <w:t>$</w:t>
      </w:r>
      <w:r w:rsidR="00030A5F" w:rsidRPr="0077530D">
        <w:t xml:space="preserve"> 624,181,786</w:t>
      </w:r>
    </w:p>
    <w:p w14:paraId="2A70C147" w14:textId="727C4924" w:rsidR="003277C6" w:rsidRPr="0077530D" w:rsidRDefault="003277C6" w:rsidP="003108ED">
      <w:pPr>
        <w:pStyle w:val="ColorfulList-Accent11"/>
        <w:numPr>
          <w:ilvl w:val="0"/>
          <w:numId w:val="2"/>
        </w:numPr>
        <w:spacing w:before="120" w:after="100" w:afterAutospacing="1" w:line="240" w:lineRule="auto"/>
        <w:jc w:val="both"/>
        <w:rPr>
          <w:rFonts w:eastAsia="Times New Roman" w:cs="Arial"/>
          <w:lang w:val="es-ES"/>
        </w:rPr>
      </w:pPr>
      <w:r w:rsidRPr="0077530D">
        <w:rPr>
          <w:rFonts w:eastAsia="Times New Roman" w:cs="Arial"/>
          <w:lang w:val="es-ES"/>
        </w:rPr>
        <w:t>Raz</w:t>
      </w:r>
      <w:r w:rsidRPr="0077530D">
        <w:rPr>
          <w:rFonts w:cs="Arial"/>
          <w:lang w:val="es-ES"/>
        </w:rPr>
        <w:t>ón</w:t>
      </w:r>
      <w:r w:rsidRPr="0077530D">
        <w:rPr>
          <w:rFonts w:eastAsia="Times New Roman" w:cs="Arial"/>
          <w:lang w:val="es-ES"/>
        </w:rPr>
        <w:t xml:space="preserve"> </w:t>
      </w:r>
      <w:r w:rsidRPr="0077530D">
        <w:rPr>
          <w:rFonts w:cs="Arial"/>
          <w:lang w:val="es-ES"/>
        </w:rPr>
        <w:t>Beneficio</w:t>
      </w:r>
      <w:r w:rsidRPr="0077530D">
        <w:rPr>
          <w:rFonts w:eastAsia="Times New Roman" w:cs="Arial"/>
          <w:lang w:val="es-ES"/>
        </w:rPr>
        <w:t xml:space="preserve"> / </w:t>
      </w:r>
      <w:r w:rsidRPr="0077530D">
        <w:rPr>
          <w:rFonts w:cs="Arial"/>
          <w:lang w:val="es-ES"/>
        </w:rPr>
        <w:t>Costo</w:t>
      </w:r>
      <w:r w:rsidRPr="0077530D">
        <w:rPr>
          <w:rFonts w:eastAsia="Times New Roman" w:cs="Arial"/>
          <w:lang w:val="es-ES"/>
        </w:rPr>
        <w:t xml:space="preserve"> = </w:t>
      </w:r>
      <w:r w:rsidR="00030A5F" w:rsidRPr="0077530D">
        <w:rPr>
          <w:rFonts w:eastAsia="Times New Roman" w:cs="Arial"/>
          <w:lang w:val="es-ES"/>
        </w:rPr>
        <w:t>2.84</w:t>
      </w:r>
    </w:p>
    <w:p w14:paraId="42B38534" w14:textId="3A886B7B" w:rsidR="00970669" w:rsidRPr="0077530D" w:rsidRDefault="00735E0F" w:rsidP="0077530D">
      <w:pPr>
        <w:autoSpaceDE w:val="0"/>
        <w:autoSpaceDN w:val="0"/>
        <w:adjustRightInd w:val="0"/>
        <w:spacing w:before="120" w:after="100" w:afterAutospacing="1"/>
        <w:jc w:val="both"/>
        <w:rPr>
          <w:rFonts w:ascii="Arial,Arial,Times New Roman" w:eastAsia="Arial,Arial,Times New Roman" w:hAnsi="Arial,Arial,Times New Roman" w:cs="Arial,Arial,Times New Roman"/>
          <w:sz w:val="22"/>
          <w:szCs w:val="22"/>
          <w:lang w:val="es-ES"/>
        </w:rPr>
      </w:pPr>
      <w:r w:rsidRPr="0077530D">
        <w:rPr>
          <w:rFonts w:ascii="Arial" w:eastAsia="Arial" w:hAnsi="Arial" w:cs="Arial"/>
          <w:sz w:val="22"/>
          <w:szCs w:val="22"/>
          <w:lang w:val="es-ES"/>
        </w:rPr>
        <w:t>El análisis</w:t>
      </w:r>
      <w:r w:rsidRPr="0077530D">
        <w:rPr>
          <w:rFonts w:ascii="Arial,Arial,Times New Roman" w:eastAsia="Arial,Arial,Times New Roman" w:hAnsi="Arial,Arial,Times New Roman" w:cs="Arial,Arial,Times New Roman"/>
          <w:sz w:val="22"/>
          <w:szCs w:val="22"/>
          <w:lang w:val="es-ES"/>
        </w:rPr>
        <w:t xml:space="preserve"> </w:t>
      </w:r>
      <w:r w:rsidRPr="0077530D">
        <w:rPr>
          <w:rFonts w:ascii="Arial" w:eastAsia="Arial" w:hAnsi="Arial" w:cs="Arial"/>
          <w:sz w:val="22"/>
          <w:szCs w:val="22"/>
          <w:lang w:val="es-ES"/>
        </w:rPr>
        <w:t>de</w:t>
      </w:r>
      <w:r w:rsidRPr="0077530D">
        <w:rPr>
          <w:rFonts w:ascii="Arial,Arial,Times New Roman" w:eastAsia="Arial,Arial,Times New Roman" w:hAnsi="Arial,Arial,Times New Roman" w:cs="Arial,Arial,Times New Roman"/>
          <w:sz w:val="22"/>
          <w:szCs w:val="22"/>
          <w:lang w:val="es-ES"/>
        </w:rPr>
        <w:t xml:space="preserve"> </w:t>
      </w:r>
      <w:r w:rsidRPr="0077530D">
        <w:rPr>
          <w:rFonts w:ascii="Arial" w:eastAsia="Arial" w:hAnsi="Arial" w:cs="Arial"/>
          <w:sz w:val="22"/>
          <w:szCs w:val="22"/>
          <w:lang w:val="es-ES"/>
        </w:rPr>
        <w:t>sensibilidad</w:t>
      </w:r>
      <w:r w:rsidR="004268B3" w:rsidRPr="0077530D">
        <w:rPr>
          <w:rFonts w:ascii="Arial" w:eastAsia="Arial" w:hAnsi="Arial" w:cs="Arial"/>
          <w:sz w:val="22"/>
          <w:szCs w:val="22"/>
          <w:lang w:val="es-ES"/>
        </w:rPr>
        <w:t xml:space="preserve"> de la razón</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costo</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beneficio</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resumido</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en</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la</w:t>
      </w:r>
      <w:r w:rsidR="004268B3" w:rsidRPr="0077530D">
        <w:rPr>
          <w:rFonts w:ascii="Arial,Arial,Times New Roman" w:eastAsia="Arial,Arial,Times New Roman" w:hAnsi="Arial,Arial,Times New Roman" w:cs="Arial,Arial,Times New Roman"/>
          <w:sz w:val="22"/>
          <w:szCs w:val="22"/>
          <w:lang w:val="es-ES"/>
        </w:rPr>
        <w:t xml:space="preserve"> </w:t>
      </w:r>
      <w:r w:rsidR="00757F5E" w:rsidRPr="0077530D">
        <w:rPr>
          <w:rFonts w:ascii="Arial" w:eastAsia="Arial" w:hAnsi="Arial" w:cs="Arial"/>
          <w:sz w:val="22"/>
          <w:szCs w:val="22"/>
          <w:lang w:val="es-ES"/>
        </w:rPr>
        <w:t xml:space="preserve">Tabla </w:t>
      </w:r>
      <w:r w:rsidR="00533BC2" w:rsidRPr="0077530D">
        <w:rPr>
          <w:rFonts w:ascii="Arial" w:eastAsia="Arial" w:hAnsi="Arial" w:cs="Arial"/>
          <w:sz w:val="22"/>
          <w:szCs w:val="22"/>
          <w:lang w:val="es-ES"/>
        </w:rPr>
        <w:t xml:space="preserve">8 </w:t>
      </w:r>
      <w:r w:rsidR="004268B3" w:rsidRPr="0077530D">
        <w:rPr>
          <w:rFonts w:ascii="Arial" w:eastAsia="Arial" w:hAnsi="Arial" w:cs="Arial"/>
          <w:sz w:val="22"/>
          <w:szCs w:val="22"/>
          <w:lang w:val="es-ES"/>
        </w:rPr>
        <w:t xml:space="preserve">muestra que </w:t>
      </w:r>
      <w:r w:rsidR="00A8251B" w:rsidRPr="0077530D">
        <w:rPr>
          <w:rFonts w:ascii="Arial" w:eastAsia="Arial" w:hAnsi="Arial" w:cs="Arial"/>
          <w:sz w:val="22"/>
          <w:szCs w:val="22"/>
          <w:lang w:val="es-ES"/>
        </w:rPr>
        <w:t xml:space="preserve">en </w:t>
      </w:r>
      <w:r w:rsidR="00030A5F" w:rsidRPr="0077530D">
        <w:rPr>
          <w:rFonts w:ascii="Arial" w:eastAsia="Arial" w:hAnsi="Arial" w:cs="Arial"/>
          <w:sz w:val="22"/>
          <w:szCs w:val="22"/>
          <w:lang w:val="es-ES"/>
        </w:rPr>
        <w:t xml:space="preserve">todos los escenarios considerados </w:t>
      </w:r>
      <w:r w:rsidR="004268B3" w:rsidRPr="0077530D">
        <w:rPr>
          <w:rFonts w:ascii="Arial" w:eastAsia="Arial" w:hAnsi="Arial" w:cs="Arial"/>
          <w:sz w:val="22"/>
          <w:szCs w:val="22"/>
          <w:lang w:val="es-ES"/>
        </w:rPr>
        <w:t>los</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beneficios</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del</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proyecto</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son</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mayores</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a</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los</w:t>
      </w:r>
      <w:r w:rsidR="004268B3" w:rsidRPr="0077530D">
        <w:rPr>
          <w:rFonts w:ascii="Arial,Arial,Times New Roman" w:eastAsia="Arial,Arial,Times New Roman" w:hAnsi="Arial,Arial,Times New Roman" w:cs="Arial,Arial,Times New Roman"/>
          <w:sz w:val="22"/>
          <w:szCs w:val="22"/>
          <w:lang w:val="es-ES"/>
        </w:rPr>
        <w:t xml:space="preserve"> </w:t>
      </w:r>
      <w:r w:rsidR="004268B3" w:rsidRPr="0077530D">
        <w:rPr>
          <w:rFonts w:ascii="Arial" w:eastAsia="Arial" w:hAnsi="Arial" w:cs="Arial"/>
          <w:sz w:val="22"/>
          <w:szCs w:val="22"/>
          <w:lang w:val="es-ES"/>
        </w:rPr>
        <w:t>costos</w:t>
      </w:r>
      <w:r w:rsidR="00455583" w:rsidRPr="0077530D">
        <w:rPr>
          <w:rFonts w:ascii="Arial" w:eastAsia="Arial" w:hAnsi="Arial" w:cs="Arial"/>
          <w:sz w:val="22"/>
          <w:szCs w:val="22"/>
          <w:lang w:val="es-ES"/>
        </w:rPr>
        <w:t>.</w:t>
      </w:r>
      <w:r w:rsidR="00D80A9B" w:rsidRPr="0077530D">
        <w:rPr>
          <w:rFonts w:ascii="Arial,Arial,Times New Roman" w:eastAsia="Arial,Arial,Times New Roman" w:hAnsi="Arial,Arial,Times New Roman" w:cs="Arial,Arial,Times New Roman"/>
          <w:sz w:val="22"/>
          <w:szCs w:val="22"/>
          <w:lang w:val="es-ES"/>
        </w:rPr>
        <w:t xml:space="preserve"> </w:t>
      </w:r>
      <w:r w:rsidR="00030A5F" w:rsidRPr="0077530D">
        <w:rPr>
          <w:rFonts w:ascii="Arial" w:eastAsia="Arial" w:hAnsi="Arial" w:cs="Arial"/>
          <w:sz w:val="22"/>
          <w:szCs w:val="22"/>
          <w:lang w:val="es-ES"/>
        </w:rPr>
        <w:t>En caso de utilizar una tasa de descuento de 12%, todos los valores son mayores a uno, excepto el escenario más negativo (vector de gradualidad lento con cobertura efectiva pesimista</w:t>
      </w:r>
      <w:r w:rsidR="00FB0A0B">
        <w:rPr>
          <w:rFonts w:ascii="Arial" w:eastAsia="Arial" w:hAnsi="Arial" w:cs="Arial"/>
          <w:sz w:val="22"/>
          <w:szCs w:val="22"/>
          <w:lang w:val="es-ES"/>
        </w:rPr>
        <w:t>) </w:t>
      </w:r>
      <w:r w:rsidR="00030A5F" w:rsidRPr="0077530D">
        <w:rPr>
          <w:rFonts w:ascii="Arial" w:eastAsia="Arial" w:hAnsi="Arial" w:cs="Arial"/>
          <w:sz w:val="22"/>
          <w:szCs w:val="22"/>
          <w:lang w:val="es-ES"/>
        </w:rPr>
        <w:t>que tiene una razón beneficio – costo de 0.996.</w:t>
      </w:r>
      <w:r w:rsidR="00030A5F" w:rsidRPr="0077530D">
        <w:rPr>
          <w:rStyle w:val="FootnoteReference"/>
          <w:rFonts w:ascii="Arial,Arial,Times New Roman" w:eastAsia="Arial,Arial,Times New Roman" w:hAnsi="Arial,Arial,Times New Roman" w:cs="Arial,Arial,Times New Roman"/>
          <w:sz w:val="22"/>
          <w:szCs w:val="22"/>
          <w:lang w:val="es-ES"/>
        </w:rPr>
        <w:footnoteReference w:id="22"/>
      </w:r>
    </w:p>
    <w:p w14:paraId="7C09EF82" w14:textId="037D771F" w:rsidR="00E0614F" w:rsidRPr="0077530D" w:rsidRDefault="00735E0F" w:rsidP="001A6051">
      <w:pPr>
        <w:pStyle w:val="Caption"/>
      </w:pPr>
      <w:bookmarkStart w:id="89" w:name="_Ref296181059"/>
      <w:r w:rsidRPr="0077530D">
        <w:t xml:space="preserve">Tabla </w:t>
      </w:r>
      <w:r w:rsidR="00871BC0" w:rsidRPr="0077530D">
        <w:fldChar w:fldCharType="begin"/>
      </w:r>
      <w:r w:rsidR="00871BC0" w:rsidRPr="0077530D">
        <w:rPr>
          <w:noProof/>
        </w:rPr>
        <w:instrText xml:space="preserve"> SEQ Tabla \* ARABIC </w:instrText>
      </w:r>
      <w:r w:rsidR="00871BC0" w:rsidRPr="0077530D">
        <w:rPr>
          <w:noProof/>
        </w:rPr>
        <w:fldChar w:fldCharType="separate"/>
      </w:r>
      <w:r w:rsidR="000A3DCE" w:rsidRPr="0077530D">
        <w:rPr>
          <w:noProof/>
        </w:rPr>
        <w:t>8</w:t>
      </w:r>
      <w:r w:rsidR="00871BC0" w:rsidRPr="0077530D">
        <w:fldChar w:fldCharType="end"/>
      </w:r>
      <w:bookmarkEnd w:id="89"/>
      <w:r w:rsidRPr="0077530D">
        <w:t>. Análisis de sensibilidad de la razón beneficio/costo</w:t>
      </w:r>
      <w:r w:rsidR="00EE7DCC" w:rsidRPr="0077530D">
        <w:t xml:space="preserve">, </w:t>
      </w:r>
      <w:r w:rsidR="00467C36" w:rsidRPr="0077530D">
        <w:t xml:space="preserve">periodo </w:t>
      </w:r>
      <w:r w:rsidR="00EE7DCC" w:rsidRPr="0077530D">
        <w:t>201</w:t>
      </w:r>
      <w:r w:rsidR="00924880" w:rsidRPr="0077530D">
        <w:t>8</w:t>
      </w:r>
      <w:r w:rsidR="00EE7DCC" w:rsidRPr="0077530D">
        <w:t>-202</w:t>
      </w:r>
      <w:r w:rsidR="00924880" w:rsidRPr="0077530D">
        <w:t>3</w:t>
      </w:r>
    </w:p>
    <w:tbl>
      <w:tblPr>
        <w:tblW w:w="8020" w:type="dxa"/>
        <w:jc w:val="center"/>
        <w:tblLook w:val="04A0" w:firstRow="1" w:lastRow="0" w:firstColumn="1" w:lastColumn="0" w:noHBand="0" w:noVBand="1"/>
      </w:tblPr>
      <w:tblGrid>
        <w:gridCol w:w="1480"/>
        <w:gridCol w:w="1580"/>
        <w:gridCol w:w="1240"/>
        <w:gridCol w:w="1240"/>
        <w:gridCol w:w="1240"/>
        <w:gridCol w:w="1240"/>
      </w:tblGrid>
      <w:tr w:rsidR="00924880" w:rsidRPr="0077530D" w14:paraId="4B54BFA1" w14:textId="77777777" w:rsidTr="0077530D">
        <w:trPr>
          <w:trHeight w:val="566"/>
          <w:jc w:val="center"/>
        </w:trPr>
        <w:tc>
          <w:tcPr>
            <w:tcW w:w="1480" w:type="dxa"/>
            <w:tcBorders>
              <w:top w:val="single" w:sz="4" w:space="0" w:color="auto"/>
              <w:left w:val="single" w:sz="4" w:space="0" w:color="auto"/>
              <w:bottom w:val="nil"/>
              <w:right w:val="single" w:sz="4" w:space="0" w:color="auto"/>
            </w:tcBorders>
            <w:shd w:val="clear" w:color="auto" w:fill="FFFFFF" w:themeFill="background1"/>
            <w:vAlign w:val="center"/>
            <w:hideMark/>
          </w:tcPr>
          <w:p w14:paraId="24364357"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Vectores de gradualidad</w:t>
            </w:r>
          </w:p>
        </w:tc>
        <w:tc>
          <w:tcPr>
            <w:tcW w:w="1580" w:type="dxa"/>
            <w:tcBorders>
              <w:top w:val="single" w:sz="4" w:space="0" w:color="auto"/>
              <w:left w:val="nil"/>
              <w:bottom w:val="nil"/>
              <w:right w:val="single" w:sz="4" w:space="0" w:color="auto"/>
            </w:tcBorders>
            <w:shd w:val="clear" w:color="auto" w:fill="FFFFFF" w:themeFill="background1"/>
            <w:vAlign w:val="center"/>
            <w:hideMark/>
          </w:tcPr>
          <w:p w14:paraId="50C236D9"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Escenarios de cobertura efectiva</w:t>
            </w:r>
          </w:p>
        </w:tc>
        <w:tc>
          <w:tcPr>
            <w:tcW w:w="4960" w:type="dxa"/>
            <w:gridSpan w:val="4"/>
            <w:tcBorders>
              <w:top w:val="single" w:sz="4" w:space="0" w:color="auto"/>
              <w:left w:val="nil"/>
              <w:bottom w:val="single" w:sz="4" w:space="0" w:color="auto"/>
              <w:right w:val="single" w:sz="4" w:space="0" w:color="000000" w:themeColor="text1"/>
            </w:tcBorders>
            <w:shd w:val="clear" w:color="auto" w:fill="FFFFFF" w:themeFill="background1"/>
            <w:noWrap/>
            <w:vAlign w:val="center"/>
            <w:hideMark/>
          </w:tcPr>
          <w:p w14:paraId="45BEFF4B" w14:textId="77777777" w:rsidR="00924880" w:rsidRPr="0077530D" w:rsidRDefault="00924880" w:rsidP="0095362E">
            <w:pPr>
              <w:keepNext/>
              <w:jc w:val="center"/>
              <w:rPr>
                <w:rFonts w:ascii="Arial" w:eastAsia="Times New Roman" w:hAnsi="Arial" w:cs="Arial"/>
                <w:b/>
                <w:bCs/>
                <w:color w:val="000000"/>
                <w:sz w:val="18"/>
                <w:szCs w:val="18"/>
              </w:rPr>
            </w:pPr>
            <w:r w:rsidRPr="0077530D">
              <w:rPr>
                <w:rFonts w:ascii="Arial" w:eastAsia="Times New Roman" w:hAnsi="Arial" w:cs="Arial"/>
                <w:b/>
                <w:bCs/>
                <w:color w:val="000000"/>
                <w:sz w:val="18"/>
                <w:szCs w:val="18"/>
              </w:rPr>
              <w:t>Tasa de descuento</w:t>
            </w:r>
          </w:p>
        </w:tc>
      </w:tr>
      <w:tr w:rsidR="00924880" w:rsidRPr="0077530D" w14:paraId="70D83784" w14:textId="77777777" w:rsidTr="0077530D">
        <w:trPr>
          <w:trHeight w:val="134"/>
          <w:jc w:val="center"/>
        </w:trPr>
        <w:tc>
          <w:tcPr>
            <w:tcW w:w="1480" w:type="dxa"/>
            <w:tcBorders>
              <w:top w:val="nil"/>
              <w:left w:val="single" w:sz="4" w:space="0" w:color="auto"/>
              <w:bottom w:val="single" w:sz="8" w:space="0" w:color="auto"/>
              <w:right w:val="single" w:sz="4" w:space="0" w:color="auto"/>
            </w:tcBorders>
            <w:shd w:val="clear" w:color="auto" w:fill="FFFFFF" w:themeFill="background1"/>
            <w:vAlign w:val="center"/>
            <w:hideMark/>
          </w:tcPr>
          <w:p w14:paraId="0D486619" w14:textId="77777777" w:rsidR="00924880" w:rsidRPr="0077530D" w:rsidRDefault="00924880" w:rsidP="0095362E">
            <w:pPr>
              <w:keepNext/>
              <w:rPr>
                <w:rFonts w:ascii="Arial" w:eastAsia="Times New Roman" w:hAnsi="Arial" w:cs="Arial"/>
                <w:b/>
                <w:color w:val="000000"/>
                <w:sz w:val="18"/>
                <w:szCs w:val="18"/>
              </w:rPr>
            </w:pPr>
          </w:p>
        </w:tc>
        <w:tc>
          <w:tcPr>
            <w:tcW w:w="1580" w:type="dxa"/>
            <w:tcBorders>
              <w:top w:val="nil"/>
              <w:left w:val="nil"/>
              <w:bottom w:val="single" w:sz="8" w:space="0" w:color="auto"/>
              <w:right w:val="single" w:sz="4" w:space="0" w:color="auto"/>
            </w:tcBorders>
            <w:shd w:val="clear" w:color="auto" w:fill="FFFFFF" w:themeFill="background1"/>
            <w:vAlign w:val="center"/>
            <w:hideMark/>
          </w:tcPr>
          <w:p w14:paraId="2D81820F"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 </w:t>
            </w:r>
          </w:p>
        </w:tc>
        <w:tc>
          <w:tcPr>
            <w:tcW w:w="1240" w:type="dxa"/>
            <w:tcBorders>
              <w:top w:val="nil"/>
              <w:left w:val="nil"/>
              <w:bottom w:val="single" w:sz="8" w:space="0" w:color="auto"/>
              <w:right w:val="single" w:sz="4" w:space="0" w:color="auto"/>
            </w:tcBorders>
            <w:shd w:val="clear" w:color="auto" w:fill="EDEDED"/>
            <w:noWrap/>
            <w:vAlign w:val="center"/>
            <w:hideMark/>
          </w:tcPr>
          <w:p w14:paraId="5C673D08"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2%</w:t>
            </w:r>
          </w:p>
        </w:tc>
        <w:tc>
          <w:tcPr>
            <w:tcW w:w="1240" w:type="dxa"/>
            <w:tcBorders>
              <w:top w:val="nil"/>
              <w:left w:val="nil"/>
              <w:bottom w:val="single" w:sz="8" w:space="0" w:color="auto"/>
              <w:right w:val="single" w:sz="4" w:space="0" w:color="auto"/>
            </w:tcBorders>
            <w:shd w:val="clear" w:color="auto" w:fill="EDEDED"/>
            <w:noWrap/>
            <w:vAlign w:val="center"/>
            <w:hideMark/>
          </w:tcPr>
          <w:p w14:paraId="7F9D55F6"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3%</w:t>
            </w:r>
          </w:p>
        </w:tc>
        <w:tc>
          <w:tcPr>
            <w:tcW w:w="1240" w:type="dxa"/>
            <w:tcBorders>
              <w:top w:val="nil"/>
              <w:left w:val="nil"/>
              <w:bottom w:val="single" w:sz="8" w:space="0" w:color="auto"/>
              <w:right w:val="single" w:sz="4" w:space="0" w:color="auto"/>
            </w:tcBorders>
            <w:shd w:val="clear" w:color="auto" w:fill="EDEDED"/>
            <w:noWrap/>
            <w:vAlign w:val="center"/>
            <w:hideMark/>
          </w:tcPr>
          <w:p w14:paraId="51F7BA73"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6%</w:t>
            </w:r>
          </w:p>
        </w:tc>
        <w:tc>
          <w:tcPr>
            <w:tcW w:w="1240" w:type="dxa"/>
            <w:tcBorders>
              <w:top w:val="nil"/>
              <w:left w:val="nil"/>
              <w:bottom w:val="single" w:sz="8" w:space="0" w:color="auto"/>
              <w:right w:val="single" w:sz="4" w:space="0" w:color="auto"/>
            </w:tcBorders>
            <w:shd w:val="clear" w:color="auto" w:fill="EDEDED"/>
            <w:noWrap/>
            <w:vAlign w:val="center"/>
            <w:hideMark/>
          </w:tcPr>
          <w:p w14:paraId="27B89FD3" w14:textId="77777777" w:rsidR="00924880" w:rsidRPr="0077530D" w:rsidRDefault="00924880" w:rsidP="0095362E">
            <w:pPr>
              <w:keepNext/>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9%</w:t>
            </w:r>
          </w:p>
        </w:tc>
      </w:tr>
      <w:tr w:rsidR="00030A5F" w:rsidRPr="0077530D" w14:paraId="013066BA"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31D6C94D"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Lento</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17F55CAD"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Pesimista</w:t>
            </w:r>
          </w:p>
        </w:tc>
        <w:tc>
          <w:tcPr>
            <w:tcW w:w="1240" w:type="dxa"/>
            <w:tcBorders>
              <w:top w:val="single" w:sz="8" w:space="0" w:color="auto"/>
              <w:left w:val="single" w:sz="4" w:space="0" w:color="auto"/>
              <w:bottom w:val="single" w:sz="4" w:space="0" w:color="auto"/>
              <w:right w:val="single" w:sz="4" w:space="0" w:color="auto"/>
            </w:tcBorders>
            <w:shd w:val="clear" w:color="auto" w:fill="EAF1DD" w:themeFill="accent3" w:themeFillTint="33"/>
            <w:noWrap/>
            <w:hideMark/>
          </w:tcPr>
          <w:p w14:paraId="3AF11A30" w14:textId="3402C9BF"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1.60</w:t>
            </w:r>
          </w:p>
        </w:tc>
        <w:tc>
          <w:tcPr>
            <w:tcW w:w="1240" w:type="dxa"/>
            <w:tcBorders>
              <w:top w:val="single" w:sz="8" w:space="0" w:color="auto"/>
              <w:left w:val="single" w:sz="4" w:space="0" w:color="auto"/>
              <w:bottom w:val="single" w:sz="4" w:space="0" w:color="auto"/>
              <w:right w:val="single" w:sz="4" w:space="0" w:color="auto"/>
            </w:tcBorders>
            <w:shd w:val="clear" w:color="auto" w:fill="EAF1DD" w:themeFill="accent3" w:themeFillTint="33"/>
            <w:noWrap/>
            <w:hideMark/>
          </w:tcPr>
          <w:p w14:paraId="4E8665E6" w14:textId="7D102479"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1.53</w:t>
            </w:r>
          </w:p>
        </w:tc>
        <w:tc>
          <w:tcPr>
            <w:tcW w:w="1240" w:type="dxa"/>
            <w:tcBorders>
              <w:top w:val="single" w:sz="8" w:space="0" w:color="auto"/>
              <w:left w:val="single" w:sz="4" w:space="0" w:color="auto"/>
              <w:bottom w:val="single" w:sz="4" w:space="0" w:color="auto"/>
              <w:right w:val="single" w:sz="4" w:space="0" w:color="auto"/>
            </w:tcBorders>
            <w:shd w:val="clear" w:color="auto" w:fill="EAF1DD" w:themeFill="accent3" w:themeFillTint="33"/>
            <w:noWrap/>
            <w:hideMark/>
          </w:tcPr>
          <w:p w14:paraId="150006D1" w14:textId="097B5994" w:rsidR="00030A5F" w:rsidRPr="0077530D" w:rsidRDefault="00030A5F" w:rsidP="00030A5F">
            <w:pPr>
              <w:keepNext/>
              <w:jc w:val="center"/>
              <w:rPr>
                <w:rFonts w:ascii="Arial" w:hAnsi="Arial" w:cs="Arial"/>
                <w:sz w:val="18"/>
                <w:szCs w:val="18"/>
              </w:rPr>
            </w:pPr>
            <w:r w:rsidRPr="0077530D">
              <w:rPr>
                <w:rFonts w:ascii="Arial" w:hAnsi="Arial" w:cs="Arial"/>
                <w:sz w:val="18"/>
                <w:szCs w:val="18"/>
              </w:rPr>
              <w:t>1.33</w:t>
            </w:r>
          </w:p>
        </w:tc>
        <w:tc>
          <w:tcPr>
            <w:tcW w:w="1240" w:type="dxa"/>
            <w:tcBorders>
              <w:top w:val="single" w:sz="8" w:space="0" w:color="auto"/>
              <w:left w:val="single" w:sz="4" w:space="0" w:color="auto"/>
              <w:bottom w:val="single" w:sz="4" w:space="0" w:color="auto"/>
              <w:right w:val="single" w:sz="4" w:space="0" w:color="auto"/>
            </w:tcBorders>
            <w:shd w:val="clear" w:color="auto" w:fill="EAF1DD" w:themeFill="accent3" w:themeFillTint="33"/>
            <w:noWrap/>
            <w:hideMark/>
          </w:tcPr>
          <w:p w14:paraId="3D1246BC" w14:textId="0D87BC45" w:rsidR="00030A5F" w:rsidRPr="0077530D" w:rsidRDefault="00030A5F" w:rsidP="00030A5F">
            <w:pPr>
              <w:keepNext/>
              <w:jc w:val="center"/>
              <w:rPr>
                <w:rFonts w:ascii="Arial" w:hAnsi="Arial" w:cs="Arial"/>
                <w:sz w:val="18"/>
                <w:szCs w:val="18"/>
              </w:rPr>
            </w:pPr>
            <w:r w:rsidRPr="0077530D">
              <w:rPr>
                <w:rFonts w:ascii="Arial" w:hAnsi="Arial" w:cs="Arial"/>
                <w:sz w:val="18"/>
                <w:szCs w:val="18"/>
              </w:rPr>
              <w:t>1.15</w:t>
            </w:r>
          </w:p>
        </w:tc>
      </w:tr>
      <w:tr w:rsidR="00030A5F" w:rsidRPr="0077530D" w14:paraId="0D6B4F80"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38E1AB89"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447E88ED"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Medio</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4557CF74" w14:textId="75ABB790"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2.41</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54BE696F" w14:textId="4C2B85F9"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2.30</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27DFAE6D" w14:textId="1C455D9E" w:rsidR="00030A5F" w:rsidRPr="0077530D" w:rsidRDefault="00030A5F" w:rsidP="00030A5F">
            <w:pPr>
              <w:keepNext/>
              <w:jc w:val="center"/>
              <w:rPr>
                <w:rFonts w:ascii="Arial" w:hAnsi="Arial" w:cs="Arial"/>
                <w:sz w:val="18"/>
                <w:szCs w:val="18"/>
              </w:rPr>
            </w:pPr>
            <w:r w:rsidRPr="0077530D">
              <w:rPr>
                <w:rFonts w:ascii="Arial" w:hAnsi="Arial" w:cs="Arial"/>
                <w:sz w:val="18"/>
                <w:szCs w:val="18"/>
              </w:rPr>
              <w:t>2.00</w:t>
            </w:r>
          </w:p>
        </w:tc>
        <w:tc>
          <w:tcPr>
            <w:tcW w:w="124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4B33630A" w14:textId="2803B0B7" w:rsidR="00030A5F" w:rsidRPr="0077530D" w:rsidRDefault="00030A5F" w:rsidP="00030A5F">
            <w:pPr>
              <w:keepNext/>
              <w:jc w:val="center"/>
              <w:rPr>
                <w:rFonts w:ascii="Arial" w:hAnsi="Arial" w:cs="Arial"/>
                <w:sz w:val="18"/>
                <w:szCs w:val="18"/>
              </w:rPr>
            </w:pPr>
            <w:r w:rsidRPr="0077530D">
              <w:rPr>
                <w:rFonts w:ascii="Arial" w:hAnsi="Arial" w:cs="Arial"/>
                <w:sz w:val="18"/>
                <w:szCs w:val="18"/>
              </w:rPr>
              <w:t>1.73</w:t>
            </w:r>
          </w:p>
        </w:tc>
      </w:tr>
      <w:tr w:rsidR="00030A5F" w:rsidRPr="0077530D" w14:paraId="5F475654" w14:textId="77777777" w:rsidTr="0077530D">
        <w:trPr>
          <w:trHeight w:val="330"/>
          <w:jc w:val="center"/>
        </w:trPr>
        <w:tc>
          <w:tcPr>
            <w:tcW w:w="1480" w:type="dxa"/>
            <w:tcBorders>
              <w:top w:val="nil"/>
              <w:left w:val="single" w:sz="4" w:space="0" w:color="auto"/>
              <w:bottom w:val="single" w:sz="8" w:space="0" w:color="auto"/>
              <w:right w:val="single" w:sz="4" w:space="0" w:color="auto"/>
            </w:tcBorders>
            <w:shd w:val="clear" w:color="auto" w:fill="FFFFFF" w:themeFill="background1"/>
            <w:noWrap/>
            <w:vAlign w:val="center"/>
            <w:hideMark/>
          </w:tcPr>
          <w:p w14:paraId="68D5A54F"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8" w:space="0" w:color="auto"/>
              <w:right w:val="single" w:sz="4" w:space="0" w:color="auto"/>
            </w:tcBorders>
            <w:shd w:val="clear" w:color="auto" w:fill="FFFFFF" w:themeFill="background1"/>
            <w:noWrap/>
            <w:vAlign w:val="center"/>
            <w:hideMark/>
          </w:tcPr>
          <w:p w14:paraId="6733B04C"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Optimista</w:t>
            </w:r>
          </w:p>
        </w:tc>
        <w:tc>
          <w:tcPr>
            <w:tcW w:w="1240" w:type="dxa"/>
            <w:tcBorders>
              <w:top w:val="single" w:sz="4" w:space="0" w:color="auto"/>
              <w:left w:val="single" w:sz="4" w:space="0" w:color="auto"/>
              <w:bottom w:val="single" w:sz="8" w:space="0" w:color="auto"/>
              <w:right w:val="single" w:sz="4" w:space="0" w:color="auto"/>
            </w:tcBorders>
            <w:shd w:val="clear" w:color="auto" w:fill="EAF1DD" w:themeFill="accent3" w:themeFillTint="33"/>
            <w:noWrap/>
            <w:hideMark/>
          </w:tcPr>
          <w:p w14:paraId="44FF4354" w14:textId="62450F63"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3.21</w:t>
            </w:r>
          </w:p>
        </w:tc>
        <w:tc>
          <w:tcPr>
            <w:tcW w:w="1240" w:type="dxa"/>
            <w:tcBorders>
              <w:top w:val="single" w:sz="4" w:space="0" w:color="auto"/>
              <w:left w:val="single" w:sz="4" w:space="0" w:color="auto"/>
              <w:bottom w:val="single" w:sz="8" w:space="0" w:color="auto"/>
              <w:right w:val="single" w:sz="4" w:space="0" w:color="auto"/>
            </w:tcBorders>
            <w:shd w:val="clear" w:color="auto" w:fill="EAF1DD" w:themeFill="accent3" w:themeFillTint="33"/>
            <w:noWrap/>
            <w:hideMark/>
          </w:tcPr>
          <w:p w14:paraId="0FC6C0B0" w14:textId="6A00B6A5"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3.06</w:t>
            </w:r>
          </w:p>
        </w:tc>
        <w:tc>
          <w:tcPr>
            <w:tcW w:w="1240" w:type="dxa"/>
            <w:tcBorders>
              <w:top w:val="single" w:sz="4" w:space="0" w:color="auto"/>
              <w:left w:val="single" w:sz="4" w:space="0" w:color="auto"/>
              <w:bottom w:val="single" w:sz="8" w:space="0" w:color="auto"/>
              <w:right w:val="single" w:sz="4" w:space="0" w:color="auto"/>
            </w:tcBorders>
            <w:shd w:val="clear" w:color="auto" w:fill="EAF1DD" w:themeFill="accent3" w:themeFillTint="33"/>
            <w:noWrap/>
            <w:hideMark/>
          </w:tcPr>
          <w:p w14:paraId="56DAEB3D" w14:textId="1BCE7AEF" w:rsidR="00030A5F" w:rsidRPr="0077530D" w:rsidRDefault="00030A5F" w:rsidP="00030A5F">
            <w:pPr>
              <w:keepNext/>
              <w:jc w:val="center"/>
              <w:rPr>
                <w:rFonts w:ascii="Arial" w:hAnsi="Arial" w:cs="Arial"/>
                <w:sz w:val="18"/>
                <w:szCs w:val="18"/>
              </w:rPr>
            </w:pPr>
            <w:r w:rsidRPr="0077530D">
              <w:rPr>
                <w:rFonts w:ascii="Arial" w:hAnsi="Arial" w:cs="Arial"/>
                <w:sz w:val="18"/>
                <w:szCs w:val="18"/>
              </w:rPr>
              <w:t>2.67</w:t>
            </w:r>
          </w:p>
        </w:tc>
        <w:tc>
          <w:tcPr>
            <w:tcW w:w="1240" w:type="dxa"/>
            <w:tcBorders>
              <w:top w:val="single" w:sz="4" w:space="0" w:color="auto"/>
              <w:left w:val="single" w:sz="4" w:space="0" w:color="auto"/>
              <w:bottom w:val="single" w:sz="8" w:space="0" w:color="auto"/>
              <w:right w:val="single" w:sz="4" w:space="0" w:color="auto"/>
            </w:tcBorders>
            <w:shd w:val="clear" w:color="auto" w:fill="EAF1DD" w:themeFill="accent3" w:themeFillTint="33"/>
            <w:noWrap/>
            <w:hideMark/>
          </w:tcPr>
          <w:p w14:paraId="277F720E" w14:textId="7F3A4332" w:rsidR="00030A5F" w:rsidRPr="0077530D" w:rsidRDefault="00030A5F" w:rsidP="00030A5F">
            <w:pPr>
              <w:keepNext/>
              <w:jc w:val="center"/>
              <w:rPr>
                <w:rFonts w:ascii="Arial" w:hAnsi="Arial" w:cs="Arial"/>
                <w:sz w:val="18"/>
                <w:szCs w:val="18"/>
              </w:rPr>
            </w:pPr>
            <w:r w:rsidRPr="0077530D">
              <w:rPr>
                <w:rFonts w:ascii="Arial" w:hAnsi="Arial" w:cs="Arial"/>
                <w:sz w:val="18"/>
                <w:szCs w:val="18"/>
              </w:rPr>
              <w:t>2.31</w:t>
            </w:r>
          </w:p>
        </w:tc>
      </w:tr>
      <w:tr w:rsidR="00030A5F" w:rsidRPr="0077530D" w14:paraId="4E947EB0"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4EC7CD26"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Regular</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62161593"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Pesimista</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0446A264" w14:textId="601A789E"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1.98</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24D07EB7" w14:textId="6CCAA18D"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1.89</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6D9A08A5" w14:textId="2864A41C" w:rsidR="00030A5F" w:rsidRPr="0077530D" w:rsidRDefault="00030A5F" w:rsidP="00030A5F">
            <w:pPr>
              <w:keepNext/>
              <w:jc w:val="center"/>
              <w:rPr>
                <w:rFonts w:ascii="Arial" w:hAnsi="Arial" w:cs="Arial"/>
                <w:sz w:val="18"/>
                <w:szCs w:val="18"/>
              </w:rPr>
            </w:pPr>
            <w:r w:rsidRPr="0077530D">
              <w:rPr>
                <w:rFonts w:ascii="Arial" w:hAnsi="Arial" w:cs="Arial"/>
                <w:sz w:val="18"/>
                <w:szCs w:val="18"/>
              </w:rPr>
              <w:t>1.65</w:t>
            </w:r>
          </w:p>
        </w:tc>
        <w:tc>
          <w:tcPr>
            <w:tcW w:w="1240" w:type="dxa"/>
            <w:tcBorders>
              <w:top w:val="single" w:sz="8" w:space="0" w:color="auto"/>
              <w:left w:val="single" w:sz="4" w:space="0" w:color="auto"/>
              <w:bottom w:val="single" w:sz="4" w:space="0" w:color="auto"/>
              <w:right w:val="single" w:sz="4" w:space="0" w:color="auto"/>
            </w:tcBorders>
            <w:shd w:val="clear" w:color="auto" w:fill="EAF1DD" w:themeFill="accent3" w:themeFillTint="33"/>
            <w:noWrap/>
            <w:hideMark/>
          </w:tcPr>
          <w:p w14:paraId="494A9DCC" w14:textId="52CFC1EF" w:rsidR="00030A5F" w:rsidRPr="0077530D" w:rsidRDefault="00030A5F" w:rsidP="00030A5F">
            <w:pPr>
              <w:keepNext/>
              <w:jc w:val="center"/>
              <w:rPr>
                <w:rFonts w:ascii="Arial" w:hAnsi="Arial" w:cs="Arial"/>
                <w:sz w:val="18"/>
                <w:szCs w:val="18"/>
              </w:rPr>
            </w:pPr>
            <w:r w:rsidRPr="0077530D">
              <w:rPr>
                <w:rFonts w:ascii="Arial" w:hAnsi="Arial" w:cs="Arial"/>
                <w:sz w:val="18"/>
                <w:szCs w:val="18"/>
              </w:rPr>
              <w:t>1.44</w:t>
            </w:r>
          </w:p>
        </w:tc>
      </w:tr>
      <w:tr w:rsidR="00030A5F" w:rsidRPr="0077530D" w14:paraId="1EAA9258"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31CD0F23"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22CA8C75"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Medio</w:t>
            </w:r>
          </w:p>
        </w:tc>
        <w:tc>
          <w:tcPr>
            <w:tcW w:w="124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4F7B16B5" w14:textId="198383C1"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2.97</w:t>
            </w:r>
          </w:p>
        </w:tc>
        <w:tc>
          <w:tcPr>
            <w:tcW w:w="124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4022EC0E" w14:textId="0422AD0A"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2.84</w:t>
            </w:r>
          </w:p>
        </w:tc>
        <w:tc>
          <w:tcPr>
            <w:tcW w:w="124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16C6A7CF" w14:textId="773FBA05" w:rsidR="00030A5F" w:rsidRPr="0077530D" w:rsidRDefault="00030A5F" w:rsidP="00030A5F">
            <w:pPr>
              <w:keepNext/>
              <w:jc w:val="center"/>
              <w:rPr>
                <w:rFonts w:ascii="Arial" w:hAnsi="Arial" w:cs="Arial"/>
                <w:sz w:val="18"/>
                <w:szCs w:val="18"/>
              </w:rPr>
            </w:pPr>
            <w:r w:rsidRPr="0077530D">
              <w:rPr>
                <w:rFonts w:ascii="Arial" w:hAnsi="Arial" w:cs="Arial"/>
                <w:sz w:val="18"/>
                <w:szCs w:val="18"/>
              </w:rPr>
              <w:t>2.48</w:t>
            </w:r>
          </w:p>
        </w:tc>
        <w:tc>
          <w:tcPr>
            <w:tcW w:w="124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5E20780E" w14:textId="6DCA716B" w:rsidR="00030A5F" w:rsidRPr="0077530D" w:rsidRDefault="00030A5F" w:rsidP="00030A5F">
            <w:pPr>
              <w:keepNext/>
              <w:jc w:val="center"/>
              <w:rPr>
                <w:rFonts w:ascii="Arial" w:hAnsi="Arial" w:cs="Arial"/>
                <w:sz w:val="18"/>
                <w:szCs w:val="18"/>
              </w:rPr>
            </w:pPr>
            <w:r w:rsidRPr="0077530D">
              <w:rPr>
                <w:rFonts w:ascii="Arial" w:hAnsi="Arial" w:cs="Arial"/>
                <w:sz w:val="18"/>
                <w:szCs w:val="18"/>
              </w:rPr>
              <w:t>2.16</w:t>
            </w:r>
          </w:p>
        </w:tc>
      </w:tr>
      <w:tr w:rsidR="00030A5F" w:rsidRPr="0077530D" w14:paraId="715C953B" w14:textId="77777777" w:rsidTr="0077530D">
        <w:trPr>
          <w:trHeight w:val="330"/>
          <w:jc w:val="center"/>
        </w:trPr>
        <w:tc>
          <w:tcPr>
            <w:tcW w:w="1480" w:type="dxa"/>
            <w:tcBorders>
              <w:top w:val="nil"/>
              <w:left w:val="single" w:sz="4" w:space="0" w:color="auto"/>
              <w:bottom w:val="single" w:sz="8" w:space="0" w:color="auto"/>
              <w:right w:val="single" w:sz="4" w:space="0" w:color="auto"/>
            </w:tcBorders>
            <w:shd w:val="clear" w:color="auto" w:fill="FFFFFF" w:themeFill="background1"/>
            <w:noWrap/>
            <w:vAlign w:val="center"/>
            <w:hideMark/>
          </w:tcPr>
          <w:p w14:paraId="10BD0AF8"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8" w:space="0" w:color="auto"/>
              <w:right w:val="single" w:sz="4" w:space="0" w:color="auto"/>
            </w:tcBorders>
            <w:shd w:val="clear" w:color="auto" w:fill="FFFFFF" w:themeFill="background1"/>
            <w:noWrap/>
            <w:vAlign w:val="center"/>
            <w:hideMark/>
          </w:tcPr>
          <w:p w14:paraId="3F5A8D22"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Optimista</w:t>
            </w:r>
          </w:p>
        </w:tc>
        <w:tc>
          <w:tcPr>
            <w:tcW w:w="1240" w:type="dxa"/>
            <w:tcBorders>
              <w:top w:val="nil"/>
              <w:left w:val="single" w:sz="4" w:space="0" w:color="auto"/>
              <w:bottom w:val="single" w:sz="8" w:space="0" w:color="auto"/>
              <w:right w:val="single" w:sz="4" w:space="0" w:color="auto"/>
            </w:tcBorders>
            <w:shd w:val="clear" w:color="auto" w:fill="EAF1DD" w:themeFill="accent3" w:themeFillTint="33"/>
            <w:noWrap/>
            <w:hideMark/>
          </w:tcPr>
          <w:p w14:paraId="0FE51E4E" w14:textId="3B8B51A6"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3.96</w:t>
            </w:r>
          </w:p>
        </w:tc>
        <w:tc>
          <w:tcPr>
            <w:tcW w:w="1240" w:type="dxa"/>
            <w:tcBorders>
              <w:top w:val="nil"/>
              <w:left w:val="single" w:sz="4" w:space="0" w:color="auto"/>
              <w:bottom w:val="single" w:sz="8" w:space="0" w:color="auto"/>
              <w:right w:val="single" w:sz="4" w:space="0" w:color="auto"/>
            </w:tcBorders>
            <w:shd w:val="clear" w:color="auto" w:fill="EAF1DD" w:themeFill="accent3" w:themeFillTint="33"/>
            <w:noWrap/>
            <w:hideMark/>
          </w:tcPr>
          <w:p w14:paraId="63C85EB7" w14:textId="1A36B7C4"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3.79</w:t>
            </w:r>
          </w:p>
        </w:tc>
        <w:tc>
          <w:tcPr>
            <w:tcW w:w="1240" w:type="dxa"/>
            <w:tcBorders>
              <w:top w:val="nil"/>
              <w:left w:val="single" w:sz="4" w:space="0" w:color="auto"/>
              <w:bottom w:val="single" w:sz="8" w:space="0" w:color="auto"/>
              <w:right w:val="single" w:sz="4" w:space="0" w:color="auto"/>
            </w:tcBorders>
            <w:shd w:val="clear" w:color="auto" w:fill="EAF1DD" w:themeFill="accent3" w:themeFillTint="33"/>
            <w:noWrap/>
            <w:hideMark/>
          </w:tcPr>
          <w:p w14:paraId="18E67E28" w14:textId="3B1ADEA9" w:rsidR="00030A5F" w:rsidRPr="0077530D" w:rsidRDefault="00030A5F" w:rsidP="00030A5F">
            <w:pPr>
              <w:keepNext/>
              <w:jc w:val="center"/>
              <w:rPr>
                <w:rFonts w:ascii="Arial" w:hAnsi="Arial" w:cs="Arial"/>
                <w:sz w:val="18"/>
                <w:szCs w:val="18"/>
              </w:rPr>
            </w:pPr>
            <w:r w:rsidRPr="0077530D">
              <w:rPr>
                <w:rFonts w:ascii="Arial" w:hAnsi="Arial" w:cs="Arial"/>
                <w:sz w:val="18"/>
                <w:szCs w:val="18"/>
              </w:rPr>
              <w:t>3.31</w:t>
            </w:r>
          </w:p>
        </w:tc>
        <w:tc>
          <w:tcPr>
            <w:tcW w:w="1240" w:type="dxa"/>
            <w:tcBorders>
              <w:top w:val="nil"/>
              <w:left w:val="single" w:sz="4" w:space="0" w:color="auto"/>
              <w:bottom w:val="single" w:sz="8" w:space="0" w:color="auto"/>
              <w:right w:val="single" w:sz="4" w:space="0" w:color="auto"/>
            </w:tcBorders>
            <w:shd w:val="clear" w:color="auto" w:fill="EAF1DD" w:themeFill="accent3" w:themeFillTint="33"/>
            <w:noWrap/>
            <w:hideMark/>
          </w:tcPr>
          <w:p w14:paraId="5D8278AE" w14:textId="00840EC9" w:rsidR="00030A5F" w:rsidRPr="0077530D" w:rsidRDefault="00030A5F" w:rsidP="00030A5F">
            <w:pPr>
              <w:keepNext/>
              <w:jc w:val="center"/>
              <w:rPr>
                <w:rFonts w:ascii="Arial" w:hAnsi="Arial" w:cs="Arial"/>
                <w:sz w:val="18"/>
                <w:szCs w:val="18"/>
              </w:rPr>
            </w:pPr>
            <w:r w:rsidRPr="0077530D">
              <w:rPr>
                <w:rFonts w:ascii="Arial" w:hAnsi="Arial" w:cs="Arial"/>
                <w:sz w:val="18"/>
                <w:szCs w:val="18"/>
              </w:rPr>
              <w:t>2.87</w:t>
            </w:r>
          </w:p>
        </w:tc>
      </w:tr>
      <w:tr w:rsidR="00030A5F" w:rsidRPr="0077530D" w14:paraId="351C87AD"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07D5F977"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Rápido</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36CFF59D"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Pesimista</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630E6864" w14:textId="2DED55A8"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2.98</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3AC7B4CC" w14:textId="4A523D5A"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2.85</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1A6FC23D" w14:textId="7455F6CE" w:rsidR="00030A5F" w:rsidRPr="0077530D" w:rsidRDefault="00030A5F" w:rsidP="00030A5F">
            <w:pPr>
              <w:keepNext/>
              <w:jc w:val="center"/>
              <w:rPr>
                <w:rFonts w:ascii="Arial" w:hAnsi="Arial" w:cs="Arial"/>
                <w:sz w:val="18"/>
                <w:szCs w:val="18"/>
              </w:rPr>
            </w:pPr>
            <w:r w:rsidRPr="0077530D">
              <w:rPr>
                <w:rFonts w:ascii="Arial" w:hAnsi="Arial" w:cs="Arial"/>
                <w:sz w:val="18"/>
                <w:szCs w:val="18"/>
              </w:rPr>
              <w:t>2.50</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4C7B669E" w14:textId="53A4EC48" w:rsidR="00030A5F" w:rsidRPr="0077530D" w:rsidRDefault="00030A5F" w:rsidP="00030A5F">
            <w:pPr>
              <w:keepNext/>
              <w:jc w:val="center"/>
              <w:rPr>
                <w:rFonts w:ascii="Arial" w:hAnsi="Arial" w:cs="Arial"/>
                <w:sz w:val="18"/>
                <w:szCs w:val="18"/>
              </w:rPr>
            </w:pPr>
            <w:r w:rsidRPr="0077530D">
              <w:rPr>
                <w:rFonts w:ascii="Arial" w:hAnsi="Arial" w:cs="Arial"/>
                <w:sz w:val="18"/>
                <w:szCs w:val="18"/>
              </w:rPr>
              <w:t>2.18</w:t>
            </w:r>
          </w:p>
        </w:tc>
      </w:tr>
      <w:tr w:rsidR="00030A5F" w:rsidRPr="0077530D" w14:paraId="58C0FB54"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228DCE3E"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352DE48F"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Medio</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3CA61917" w14:textId="773EB09C"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4.47</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4B1D6AB6" w14:textId="12525B37"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4.28</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42939C69" w14:textId="250D1B03" w:rsidR="00030A5F" w:rsidRPr="0077530D" w:rsidRDefault="00030A5F" w:rsidP="00030A5F">
            <w:pPr>
              <w:keepNext/>
              <w:jc w:val="center"/>
              <w:rPr>
                <w:rFonts w:ascii="Arial" w:hAnsi="Arial" w:cs="Arial"/>
                <w:sz w:val="18"/>
                <w:szCs w:val="18"/>
              </w:rPr>
            </w:pPr>
            <w:r w:rsidRPr="0077530D">
              <w:rPr>
                <w:rFonts w:ascii="Arial" w:hAnsi="Arial" w:cs="Arial"/>
                <w:sz w:val="18"/>
                <w:szCs w:val="18"/>
              </w:rPr>
              <w:t>3.74</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33E44F3F" w14:textId="4C5C069F" w:rsidR="00030A5F" w:rsidRPr="0077530D" w:rsidRDefault="00030A5F" w:rsidP="00030A5F">
            <w:pPr>
              <w:keepNext/>
              <w:jc w:val="center"/>
              <w:rPr>
                <w:rFonts w:ascii="Arial" w:hAnsi="Arial" w:cs="Arial"/>
                <w:sz w:val="18"/>
                <w:szCs w:val="18"/>
              </w:rPr>
            </w:pPr>
            <w:r w:rsidRPr="0077530D">
              <w:rPr>
                <w:rFonts w:ascii="Arial" w:hAnsi="Arial" w:cs="Arial"/>
                <w:sz w:val="18"/>
                <w:szCs w:val="18"/>
              </w:rPr>
              <w:t>3.26</w:t>
            </w:r>
          </w:p>
        </w:tc>
      </w:tr>
      <w:tr w:rsidR="00030A5F" w:rsidRPr="0077530D" w14:paraId="7BBF7D5C" w14:textId="77777777" w:rsidTr="0077530D">
        <w:trPr>
          <w:trHeight w:val="315"/>
          <w:jc w:val="center"/>
        </w:trPr>
        <w:tc>
          <w:tcPr>
            <w:tcW w:w="1480"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E769E61" w14:textId="77777777" w:rsidR="00030A5F" w:rsidRPr="0077530D" w:rsidRDefault="00030A5F" w:rsidP="00030A5F">
            <w:pPr>
              <w:keepNext/>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27A6D96A" w14:textId="77777777" w:rsidR="00030A5F" w:rsidRPr="0077530D" w:rsidRDefault="00030A5F" w:rsidP="00030A5F">
            <w:pPr>
              <w:keepNext/>
              <w:rPr>
                <w:rFonts w:ascii="Arial" w:eastAsia="Times New Roman" w:hAnsi="Arial" w:cs="Arial"/>
                <w:color w:val="000000"/>
                <w:sz w:val="18"/>
                <w:szCs w:val="18"/>
              </w:rPr>
            </w:pPr>
            <w:r w:rsidRPr="0077530D">
              <w:rPr>
                <w:rFonts w:ascii="Arial" w:eastAsia="Times New Roman" w:hAnsi="Arial" w:cs="Arial"/>
                <w:color w:val="000000"/>
                <w:sz w:val="18"/>
                <w:szCs w:val="18"/>
              </w:rPr>
              <w:t>Optimista</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46EF79D2" w14:textId="4A23B0FB"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5.96</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6C213D9C" w14:textId="56D76746"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5.70</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52457F15" w14:textId="7B97C0DA"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4.99</w:t>
            </w:r>
          </w:p>
        </w:tc>
        <w:tc>
          <w:tcPr>
            <w:tcW w:w="1240" w:type="dxa"/>
            <w:tcBorders>
              <w:top w:val="nil"/>
              <w:left w:val="single" w:sz="4" w:space="0" w:color="auto"/>
              <w:bottom w:val="single" w:sz="4" w:space="0" w:color="auto"/>
              <w:right w:val="single" w:sz="4" w:space="0" w:color="auto"/>
            </w:tcBorders>
            <w:shd w:val="clear" w:color="auto" w:fill="EAF1DD" w:themeFill="accent3" w:themeFillTint="33"/>
            <w:noWrap/>
            <w:hideMark/>
          </w:tcPr>
          <w:p w14:paraId="4F293ABE" w14:textId="14150427"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4.35</w:t>
            </w:r>
          </w:p>
        </w:tc>
      </w:tr>
    </w:tbl>
    <w:p w14:paraId="7C3939AA" w14:textId="77777777" w:rsidR="00E96BF7" w:rsidRPr="0077530D" w:rsidRDefault="00E96BF7" w:rsidP="001A6051">
      <w:pPr>
        <w:keepNext/>
        <w:autoSpaceDE w:val="0"/>
        <w:autoSpaceDN w:val="0"/>
        <w:adjustRightInd w:val="0"/>
        <w:spacing w:before="120"/>
        <w:ind w:left="547" w:firstLine="274"/>
        <w:jc w:val="both"/>
        <w:rPr>
          <w:rFonts w:ascii="Arial" w:hAnsi="Arial" w:cs="Arial"/>
          <w:sz w:val="16"/>
          <w:szCs w:val="16"/>
          <w:lang w:val="es-ES"/>
        </w:rPr>
      </w:pPr>
      <w:r w:rsidRPr="0077530D">
        <w:rPr>
          <w:rFonts w:ascii="Arial" w:hAnsi="Arial" w:cs="Arial"/>
          <w:sz w:val="16"/>
          <w:szCs w:val="16"/>
          <w:lang w:val="es-ES"/>
        </w:rPr>
        <w:t>Nota: En verde se resaltan los valores positivos de la razón beneficio/costo.</w:t>
      </w:r>
    </w:p>
    <w:p w14:paraId="3A6629B7" w14:textId="77777777" w:rsidR="00E96BF7" w:rsidRPr="0077530D" w:rsidRDefault="00E96BF7" w:rsidP="001A6051">
      <w:pPr>
        <w:autoSpaceDE w:val="0"/>
        <w:autoSpaceDN w:val="0"/>
        <w:adjustRightInd w:val="0"/>
        <w:spacing w:before="120"/>
        <w:ind w:left="547" w:firstLine="274"/>
        <w:jc w:val="both"/>
        <w:rPr>
          <w:rFonts w:ascii="Arial" w:hAnsi="Arial" w:cs="Arial"/>
          <w:sz w:val="16"/>
          <w:szCs w:val="16"/>
          <w:lang w:val="es-ES"/>
        </w:rPr>
      </w:pPr>
      <w:r w:rsidRPr="0077530D">
        <w:rPr>
          <w:rFonts w:ascii="Arial" w:hAnsi="Arial" w:cs="Arial"/>
          <w:sz w:val="16"/>
          <w:szCs w:val="16"/>
          <w:lang w:val="es-ES"/>
        </w:rPr>
        <w:t>Fuente: Elaboración de los autores.</w:t>
      </w:r>
    </w:p>
    <w:p w14:paraId="7C5B2E2A" w14:textId="77777777" w:rsidR="00E96BF7" w:rsidRPr="0077530D" w:rsidRDefault="00E96BF7" w:rsidP="00E96BF7">
      <w:pPr>
        <w:autoSpaceDE w:val="0"/>
        <w:autoSpaceDN w:val="0"/>
        <w:adjustRightInd w:val="0"/>
        <w:jc w:val="both"/>
        <w:rPr>
          <w:rFonts w:ascii="Arial" w:hAnsi="Arial" w:cs="Arial"/>
          <w:sz w:val="16"/>
          <w:szCs w:val="16"/>
          <w:lang w:val="es-ES"/>
        </w:rPr>
      </w:pPr>
    </w:p>
    <w:p w14:paraId="5106F58C" w14:textId="6B626374" w:rsidR="00EE7DCC" w:rsidRPr="0077530D" w:rsidRDefault="00AD15AA" w:rsidP="0077530D">
      <w:pPr>
        <w:spacing w:after="100" w:afterAutospacing="1"/>
        <w:jc w:val="both"/>
        <w:rPr>
          <w:rFonts w:ascii="Arial" w:eastAsia="Arial" w:hAnsi="Arial" w:cs="Arial"/>
          <w:sz w:val="22"/>
          <w:szCs w:val="22"/>
          <w:lang w:val="es-ES"/>
        </w:rPr>
      </w:pPr>
      <w:r w:rsidRPr="0077530D">
        <w:rPr>
          <w:rFonts w:ascii="Arial" w:eastAsia="Arial" w:hAnsi="Arial" w:cs="Arial"/>
          <w:sz w:val="22"/>
          <w:szCs w:val="22"/>
          <w:lang w:val="es-ES"/>
        </w:rPr>
        <w:t>Se presentan también los resultados del análisis alternativo donde se considera un escenario más amplio que comprende 201</w:t>
      </w:r>
      <w:r w:rsidR="00455583" w:rsidRPr="0077530D">
        <w:rPr>
          <w:rFonts w:ascii="Arial" w:eastAsia="Arial" w:hAnsi="Arial" w:cs="Arial"/>
          <w:sz w:val="22"/>
          <w:szCs w:val="22"/>
          <w:lang w:val="es-ES"/>
        </w:rPr>
        <w:t>8</w:t>
      </w:r>
      <w:r w:rsidRPr="0077530D">
        <w:rPr>
          <w:rFonts w:ascii="Arial" w:eastAsia="Arial" w:hAnsi="Arial" w:cs="Arial"/>
          <w:sz w:val="22"/>
          <w:szCs w:val="22"/>
          <w:lang w:val="es-ES"/>
        </w:rPr>
        <w:t xml:space="preserve"> a 202</w:t>
      </w:r>
      <w:r w:rsidR="00455583" w:rsidRPr="0077530D">
        <w:rPr>
          <w:rFonts w:ascii="Arial" w:eastAsia="Arial" w:hAnsi="Arial" w:cs="Arial"/>
          <w:sz w:val="22"/>
          <w:szCs w:val="22"/>
          <w:lang w:val="es-ES"/>
        </w:rPr>
        <w:t>8</w:t>
      </w:r>
      <w:r w:rsidRPr="0077530D">
        <w:rPr>
          <w:rFonts w:ascii="Arial" w:eastAsia="Arial" w:hAnsi="Arial" w:cs="Arial"/>
          <w:sz w:val="22"/>
          <w:szCs w:val="22"/>
          <w:lang w:val="es-ES"/>
        </w:rPr>
        <w:t xml:space="preserve">. El anterior análisis permite reconocer que los </w:t>
      </w:r>
      <w:r w:rsidRPr="0077530D">
        <w:rPr>
          <w:rFonts w:ascii="Arial" w:eastAsia="Arial" w:hAnsi="Arial" w:cs="Arial"/>
          <w:sz w:val="22"/>
          <w:szCs w:val="22"/>
          <w:lang w:val="es-ES"/>
        </w:rPr>
        <w:lastRenderedPageBreak/>
        <w:t>beneficios de la intervención toman tiempo en observarse completamente. Sin embargo, una vez que se concluye el periodo de desembolso también se deben realizar inversiones adicionales para mantener los servicios de</w:t>
      </w:r>
      <w:r w:rsidR="00B15C96" w:rsidRPr="0077530D">
        <w:rPr>
          <w:rFonts w:ascii="Arial" w:eastAsia="Arial" w:hAnsi="Arial" w:cs="Arial"/>
          <w:sz w:val="22"/>
          <w:szCs w:val="22"/>
          <w:lang w:val="es-ES"/>
        </w:rPr>
        <w:t>l</w:t>
      </w:r>
      <w:r w:rsidR="00455583" w:rsidRPr="0077530D">
        <w:rPr>
          <w:rFonts w:ascii="Arial,Arial,Times New Roman" w:eastAsia="Arial,Arial,Times New Roman" w:hAnsi="Arial,Arial,Times New Roman" w:cs="Arial,Arial,Times New Roman"/>
          <w:sz w:val="22"/>
          <w:szCs w:val="22"/>
          <w:lang w:val="es-ES"/>
        </w:rPr>
        <w:t xml:space="preserve"> </w:t>
      </w:r>
      <w:r w:rsidR="00B15C96" w:rsidRPr="0077530D">
        <w:rPr>
          <w:rFonts w:ascii="Arial" w:eastAsia="Arial" w:hAnsi="Arial" w:cs="Arial"/>
          <w:sz w:val="22"/>
          <w:szCs w:val="22"/>
          <w:lang w:val="es-ES"/>
        </w:rPr>
        <w:t>p</w:t>
      </w:r>
      <w:r w:rsidR="00075F1D" w:rsidRPr="0077530D">
        <w:rPr>
          <w:rFonts w:ascii="Arial" w:eastAsia="Arial" w:hAnsi="Arial" w:cs="Arial"/>
          <w:sz w:val="22"/>
          <w:szCs w:val="22"/>
          <w:lang w:val="es-ES"/>
        </w:rPr>
        <w:t>rograma</w:t>
      </w:r>
      <w:r w:rsidRPr="0077530D">
        <w:rPr>
          <w:rFonts w:ascii="Arial" w:eastAsia="Arial" w:hAnsi="Arial" w:cs="Arial"/>
          <w:sz w:val="22"/>
          <w:szCs w:val="22"/>
          <w:lang w:val="es-ES"/>
        </w:rPr>
        <w:t xml:space="preserve">. Por ejemplo, costos de mantenimiento hospitalario, recursos humanos e insumos. En este análisis se estima que el </w:t>
      </w:r>
      <w:r w:rsidR="00075F1D" w:rsidRPr="0077530D">
        <w:rPr>
          <w:rFonts w:ascii="Arial" w:eastAsia="Arial" w:hAnsi="Arial" w:cs="Arial"/>
          <w:sz w:val="22"/>
          <w:szCs w:val="22"/>
          <w:lang w:val="es-ES"/>
        </w:rPr>
        <w:t>Ministerio de Salud de Bolivia</w:t>
      </w:r>
      <w:r w:rsidR="00B75263" w:rsidRPr="0077530D">
        <w:rPr>
          <w:rFonts w:ascii="Arial,Arial,Times New Roman" w:eastAsia="Arial,Arial,Times New Roman" w:hAnsi="Arial,Arial,Times New Roman" w:cs="Arial,Arial,Times New Roman"/>
          <w:sz w:val="22"/>
          <w:szCs w:val="22"/>
          <w:lang w:val="es-ES"/>
        </w:rPr>
        <w:t xml:space="preserve"> </w:t>
      </w:r>
      <w:r w:rsidRPr="0077530D">
        <w:rPr>
          <w:rFonts w:ascii="Arial" w:eastAsia="Arial" w:hAnsi="Arial" w:cs="Arial"/>
          <w:sz w:val="22"/>
          <w:szCs w:val="22"/>
          <w:lang w:val="es-ES"/>
        </w:rPr>
        <w:t xml:space="preserve">debería asumir un costo de </w:t>
      </w:r>
      <w:r w:rsidR="003F4284" w:rsidRPr="0077530D">
        <w:rPr>
          <w:rFonts w:ascii="Arial" w:eastAsia="Arial" w:hAnsi="Arial" w:cs="Arial"/>
          <w:sz w:val="22"/>
          <w:szCs w:val="22"/>
          <w:lang w:val="es-ES"/>
        </w:rPr>
        <w:t>US$</w:t>
      </w:r>
      <w:r w:rsidR="007F4F0A" w:rsidRPr="0077530D">
        <w:rPr>
          <w:rFonts w:ascii="Arial" w:eastAsia="Arial" w:hAnsi="Arial" w:cs="Arial"/>
          <w:sz w:val="22"/>
          <w:szCs w:val="22"/>
          <w:lang w:val="es-ES"/>
        </w:rPr>
        <w:t>35</w:t>
      </w:r>
      <w:r w:rsidR="0017442A" w:rsidRPr="0077530D">
        <w:rPr>
          <w:rFonts w:ascii="Arial,Arial,Times New Roman" w:eastAsia="Arial,Arial,Times New Roman" w:hAnsi="Arial,Arial,Times New Roman" w:cs="Arial,Arial,Times New Roman"/>
          <w:sz w:val="22"/>
          <w:szCs w:val="22"/>
          <w:lang w:val="es-ES"/>
        </w:rPr>
        <w:t xml:space="preserve"> </w:t>
      </w:r>
      <w:r w:rsidRPr="0077530D">
        <w:rPr>
          <w:rFonts w:ascii="Arial" w:eastAsia="Arial" w:hAnsi="Arial" w:cs="Arial"/>
          <w:sz w:val="22"/>
          <w:szCs w:val="22"/>
          <w:lang w:val="es-ES"/>
        </w:rPr>
        <w:t>millones anuales a partir de 202</w:t>
      </w:r>
      <w:r w:rsidR="0017442A" w:rsidRPr="0077530D">
        <w:rPr>
          <w:rFonts w:ascii="Arial" w:eastAsia="Arial" w:hAnsi="Arial" w:cs="Arial"/>
          <w:sz w:val="22"/>
          <w:szCs w:val="22"/>
          <w:lang w:val="es-ES"/>
        </w:rPr>
        <w:t>4</w:t>
      </w:r>
      <w:r w:rsidRPr="0077530D">
        <w:rPr>
          <w:rFonts w:ascii="Arial" w:eastAsia="Arial" w:hAnsi="Arial" w:cs="Arial"/>
          <w:sz w:val="22"/>
          <w:szCs w:val="22"/>
          <w:lang w:val="es-ES"/>
        </w:rPr>
        <w:t xml:space="preserve"> para apalancar los beneficios. </w:t>
      </w:r>
      <w:r w:rsidR="00EE7DCC" w:rsidRPr="0077530D">
        <w:rPr>
          <w:rFonts w:ascii="Arial" w:eastAsia="Arial" w:hAnsi="Arial" w:cs="Arial"/>
          <w:sz w:val="22"/>
          <w:szCs w:val="22"/>
          <w:lang w:val="es-ES"/>
        </w:rPr>
        <w:t>Los result</w:t>
      </w:r>
      <w:r w:rsidR="000D3544" w:rsidRPr="0077530D">
        <w:rPr>
          <w:rFonts w:ascii="Arial" w:eastAsia="Arial" w:hAnsi="Arial" w:cs="Arial"/>
          <w:sz w:val="22"/>
          <w:szCs w:val="22"/>
          <w:lang w:val="es-ES"/>
        </w:rPr>
        <w:t xml:space="preserve">ados de la tabla </w:t>
      </w:r>
      <w:r w:rsidR="007416D4" w:rsidRPr="0077530D">
        <w:rPr>
          <w:rFonts w:ascii="Arial" w:eastAsia="Arial" w:hAnsi="Arial" w:cs="Arial"/>
          <w:sz w:val="22"/>
          <w:szCs w:val="22"/>
          <w:lang w:val="es-ES"/>
        </w:rPr>
        <w:t xml:space="preserve">8 </w:t>
      </w:r>
      <w:r w:rsidRPr="0077530D">
        <w:rPr>
          <w:rFonts w:ascii="Arial" w:eastAsia="Arial" w:hAnsi="Arial" w:cs="Arial"/>
          <w:sz w:val="22"/>
          <w:szCs w:val="22"/>
          <w:lang w:val="es-ES"/>
        </w:rPr>
        <w:t xml:space="preserve">muestran que los beneficios siempre exceden a los costos aún en el escenario más lento y el vector de gradualidad más lento. El escenario más probable es que se presenta un escenario de cobertura </w:t>
      </w:r>
      <w:r w:rsidR="00AA2E61" w:rsidRPr="0077530D">
        <w:rPr>
          <w:rFonts w:ascii="Arial" w:eastAsia="Arial" w:hAnsi="Arial" w:cs="Arial"/>
          <w:sz w:val="22"/>
          <w:szCs w:val="22"/>
          <w:lang w:val="es-ES"/>
        </w:rPr>
        <w:t xml:space="preserve">medio </w:t>
      </w:r>
      <w:r w:rsidRPr="0077530D">
        <w:rPr>
          <w:rFonts w:ascii="Arial" w:eastAsia="Arial" w:hAnsi="Arial" w:cs="Arial"/>
          <w:sz w:val="22"/>
          <w:szCs w:val="22"/>
          <w:lang w:val="es-ES"/>
        </w:rPr>
        <w:t xml:space="preserve">y un vector de gradualidad regular con lo que se obtendría una razón de </w:t>
      </w:r>
      <w:r w:rsidR="00030A5F" w:rsidRPr="0077530D">
        <w:rPr>
          <w:rFonts w:ascii="Arial" w:eastAsia="Arial" w:hAnsi="Arial" w:cs="Arial"/>
          <w:sz w:val="22"/>
          <w:szCs w:val="22"/>
          <w:lang w:val="es-ES"/>
        </w:rPr>
        <w:t>9.93</w:t>
      </w:r>
      <w:r w:rsidRPr="0077530D">
        <w:rPr>
          <w:rFonts w:ascii="Arial" w:eastAsia="Arial" w:hAnsi="Arial" w:cs="Arial"/>
          <w:sz w:val="22"/>
          <w:szCs w:val="22"/>
          <w:lang w:val="es-ES"/>
        </w:rPr>
        <w:t>.</w:t>
      </w:r>
      <w:r w:rsidR="00030A5F" w:rsidRPr="0077530D">
        <w:rPr>
          <w:rFonts w:ascii="Arial" w:eastAsia="Arial" w:hAnsi="Arial" w:cs="Arial"/>
          <w:sz w:val="22"/>
          <w:szCs w:val="22"/>
          <w:lang w:val="es-ES"/>
        </w:rPr>
        <w:t xml:space="preserve"> En este caso, utilizar una tasa de descuento de 12% resultaría en una razón de 4.83 en el escenario medio y de 2.97 en el escenario más pesimista.</w:t>
      </w:r>
    </w:p>
    <w:p w14:paraId="1306D21B" w14:textId="4052BFEE" w:rsidR="00EE7DCC" w:rsidRPr="0077530D" w:rsidRDefault="00EE7DCC" w:rsidP="001A6051">
      <w:pPr>
        <w:pStyle w:val="Caption"/>
      </w:pPr>
      <w:r w:rsidRPr="0077530D">
        <w:t xml:space="preserve">Tabla </w:t>
      </w:r>
      <w:r w:rsidR="00871BC0" w:rsidRPr="0077530D">
        <w:fldChar w:fldCharType="begin"/>
      </w:r>
      <w:r w:rsidR="00871BC0" w:rsidRPr="0077530D">
        <w:rPr>
          <w:noProof/>
        </w:rPr>
        <w:instrText xml:space="preserve"> SEQ Tabla \* ARABIC </w:instrText>
      </w:r>
      <w:r w:rsidR="00871BC0" w:rsidRPr="0077530D">
        <w:rPr>
          <w:noProof/>
        </w:rPr>
        <w:fldChar w:fldCharType="separate"/>
      </w:r>
      <w:r w:rsidR="000A3DCE" w:rsidRPr="0077530D">
        <w:rPr>
          <w:noProof/>
        </w:rPr>
        <w:t>9</w:t>
      </w:r>
      <w:r w:rsidR="00871BC0" w:rsidRPr="0077530D">
        <w:fldChar w:fldCharType="end"/>
      </w:r>
      <w:r w:rsidRPr="0077530D">
        <w:t>. Análisis de sensibilidad de la razón beneficio/costo</w:t>
      </w:r>
      <w:r w:rsidR="00644731" w:rsidRPr="0077530D">
        <w:t xml:space="preserve">, </w:t>
      </w:r>
      <w:r w:rsidR="00302C75" w:rsidRPr="0077530D">
        <w:t xml:space="preserve">periodo </w:t>
      </w:r>
      <w:r w:rsidR="00644731" w:rsidRPr="0077530D">
        <w:t>2018-2028</w:t>
      </w:r>
    </w:p>
    <w:tbl>
      <w:tblPr>
        <w:tblW w:w="8020" w:type="dxa"/>
        <w:jc w:val="center"/>
        <w:tblLook w:val="04A0" w:firstRow="1" w:lastRow="0" w:firstColumn="1" w:lastColumn="0" w:noHBand="0" w:noVBand="1"/>
      </w:tblPr>
      <w:tblGrid>
        <w:gridCol w:w="1480"/>
        <w:gridCol w:w="1580"/>
        <w:gridCol w:w="1386"/>
        <w:gridCol w:w="1386"/>
        <w:gridCol w:w="1094"/>
        <w:gridCol w:w="1094"/>
      </w:tblGrid>
      <w:tr w:rsidR="00644731" w:rsidRPr="0077530D" w14:paraId="029B6920" w14:textId="77777777" w:rsidTr="0077530D">
        <w:trPr>
          <w:trHeight w:val="287"/>
          <w:jc w:val="center"/>
        </w:trPr>
        <w:tc>
          <w:tcPr>
            <w:tcW w:w="1480"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07B70BE9" w14:textId="77777777" w:rsidR="00644731" w:rsidRPr="0077530D" w:rsidRDefault="00644731" w:rsidP="00644731">
            <w:pPr>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Vectores de gradualidad</w:t>
            </w:r>
          </w:p>
        </w:tc>
        <w:tc>
          <w:tcPr>
            <w:tcW w:w="1580" w:type="dxa"/>
            <w:vMerge w:val="restart"/>
            <w:tcBorders>
              <w:top w:val="single" w:sz="4" w:space="0" w:color="auto"/>
              <w:left w:val="nil"/>
              <w:right w:val="single" w:sz="4" w:space="0" w:color="auto"/>
            </w:tcBorders>
            <w:shd w:val="clear" w:color="auto" w:fill="FFFFFF" w:themeFill="background1"/>
            <w:vAlign w:val="center"/>
            <w:hideMark/>
          </w:tcPr>
          <w:p w14:paraId="1450A2AB" w14:textId="77777777" w:rsidR="00644731" w:rsidRPr="0077530D" w:rsidRDefault="00644731" w:rsidP="00644731">
            <w:pPr>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Escenarios de cobertura efectiva</w:t>
            </w:r>
          </w:p>
        </w:tc>
        <w:tc>
          <w:tcPr>
            <w:tcW w:w="4960" w:type="dxa"/>
            <w:gridSpan w:val="4"/>
            <w:tcBorders>
              <w:top w:val="single" w:sz="4" w:space="0" w:color="auto"/>
              <w:left w:val="nil"/>
              <w:bottom w:val="single" w:sz="4" w:space="0" w:color="auto"/>
              <w:right w:val="single" w:sz="4" w:space="0" w:color="000000" w:themeColor="text1"/>
            </w:tcBorders>
            <w:shd w:val="clear" w:color="auto" w:fill="FFFFFF" w:themeFill="background1"/>
            <w:noWrap/>
            <w:vAlign w:val="center"/>
            <w:hideMark/>
          </w:tcPr>
          <w:p w14:paraId="747D365C" w14:textId="77777777" w:rsidR="00644731" w:rsidRPr="0077530D" w:rsidRDefault="00644731" w:rsidP="00644731">
            <w:pPr>
              <w:jc w:val="center"/>
              <w:rPr>
                <w:rFonts w:ascii="Arial" w:eastAsia="Times New Roman" w:hAnsi="Arial" w:cs="Arial"/>
                <w:b/>
                <w:bCs/>
                <w:color w:val="000000"/>
                <w:sz w:val="18"/>
                <w:szCs w:val="18"/>
              </w:rPr>
            </w:pPr>
            <w:r w:rsidRPr="0077530D">
              <w:rPr>
                <w:rFonts w:ascii="Arial" w:eastAsia="Times New Roman" w:hAnsi="Arial" w:cs="Arial"/>
                <w:b/>
                <w:bCs/>
                <w:color w:val="000000"/>
                <w:sz w:val="18"/>
                <w:szCs w:val="18"/>
              </w:rPr>
              <w:t>Tasa de descuento</w:t>
            </w:r>
          </w:p>
        </w:tc>
      </w:tr>
      <w:tr w:rsidR="00644731" w:rsidRPr="0077530D" w14:paraId="40DA966E" w14:textId="77777777" w:rsidTr="0077530D">
        <w:trPr>
          <w:trHeight w:val="330"/>
          <w:jc w:val="center"/>
        </w:trPr>
        <w:tc>
          <w:tcPr>
            <w:tcW w:w="1480" w:type="dxa"/>
            <w:vMerge/>
            <w:tcBorders>
              <w:left w:val="single" w:sz="4" w:space="0" w:color="auto"/>
              <w:bottom w:val="single" w:sz="8" w:space="0" w:color="auto"/>
              <w:right w:val="single" w:sz="4" w:space="0" w:color="auto"/>
            </w:tcBorders>
            <w:shd w:val="clear" w:color="000000" w:fill="FFFFFF"/>
            <w:vAlign w:val="center"/>
            <w:hideMark/>
          </w:tcPr>
          <w:p w14:paraId="1F1CB44A" w14:textId="77777777" w:rsidR="00644731" w:rsidRPr="0077530D" w:rsidRDefault="00644731" w:rsidP="00644731">
            <w:pPr>
              <w:jc w:val="center"/>
              <w:rPr>
                <w:rFonts w:ascii="Arial" w:eastAsia="Times New Roman" w:hAnsi="Arial" w:cs="Arial"/>
                <w:b/>
                <w:color w:val="000000"/>
                <w:sz w:val="18"/>
                <w:szCs w:val="18"/>
              </w:rPr>
            </w:pPr>
          </w:p>
        </w:tc>
        <w:tc>
          <w:tcPr>
            <w:tcW w:w="1580" w:type="dxa"/>
            <w:vMerge/>
            <w:tcBorders>
              <w:left w:val="nil"/>
              <w:bottom w:val="single" w:sz="8" w:space="0" w:color="auto"/>
              <w:right w:val="single" w:sz="4" w:space="0" w:color="auto"/>
            </w:tcBorders>
            <w:shd w:val="clear" w:color="000000" w:fill="FFFFFF"/>
            <w:vAlign w:val="center"/>
            <w:hideMark/>
          </w:tcPr>
          <w:p w14:paraId="2B3D2F30" w14:textId="77777777" w:rsidR="00644731" w:rsidRPr="0077530D" w:rsidRDefault="00644731" w:rsidP="00644731">
            <w:pPr>
              <w:rPr>
                <w:rFonts w:ascii="Arial" w:eastAsia="Times New Roman" w:hAnsi="Arial" w:cs="Arial"/>
                <w:b/>
                <w:color w:val="000000"/>
                <w:sz w:val="18"/>
                <w:szCs w:val="18"/>
              </w:rPr>
            </w:pPr>
          </w:p>
        </w:tc>
        <w:tc>
          <w:tcPr>
            <w:tcW w:w="1386" w:type="dxa"/>
            <w:tcBorders>
              <w:top w:val="nil"/>
              <w:left w:val="nil"/>
              <w:bottom w:val="single" w:sz="8" w:space="0" w:color="auto"/>
              <w:right w:val="single" w:sz="4" w:space="0" w:color="auto"/>
            </w:tcBorders>
            <w:shd w:val="clear" w:color="auto" w:fill="EDEDED"/>
            <w:noWrap/>
            <w:vAlign w:val="center"/>
            <w:hideMark/>
          </w:tcPr>
          <w:p w14:paraId="654806AC" w14:textId="77777777" w:rsidR="00644731" w:rsidRPr="0077530D" w:rsidRDefault="00644731" w:rsidP="00644731">
            <w:pPr>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2%</w:t>
            </w:r>
          </w:p>
        </w:tc>
        <w:tc>
          <w:tcPr>
            <w:tcW w:w="1386" w:type="dxa"/>
            <w:tcBorders>
              <w:top w:val="nil"/>
              <w:left w:val="nil"/>
              <w:bottom w:val="single" w:sz="8" w:space="0" w:color="auto"/>
              <w:right w:val="single" w:sz="4" w:space="0" w:color="auto"/>
            </w:tcBorders>
            <w:shd w:val="clear" w:color="auto" w:fill="EDEDED"/>
            <w:noWrap/>
            <w:vAlign w:val="center"/>
            <w:hideMark/>
          </w:tcPr>
          <w:p w14:paraId="1734E435" w14:textId="77777777" w:rsidR="00644731" w:rsidRPr="0077530D" w:rsidRDefault="00644731" w:rsidP="00644731">
            <w:pPr>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3%</w:t>
            </w:r>
          </w:p>
        </w:tc>
        <w:tc>
          <w:tcPr>
            <w:tcW w:w="1094" w:type="dxa"/>
            <w:tcBorders>
              <w:top w:val="nil"/>
              <w:left w:val="nil"/>
              <w:bottom w:val="single" w:sz="8" w:space="0" w:color="auto"/>
              <w:right w:val="single" w:sz="4" w:space="0" w:color="auto"/>
            </w:tcBorders>
            <w:shd w:val="clear" w:color="auto" w:fill="EDEDED"/>
            <w:noWrap/>
            <w:vAlign w:val="center"/>
            <w:hideMark/>
          </w:tcPr>
          <w:p w14:paraId="6323720F" w14:textId="77777777" w:rsidR="00644731" w:rsidRPr="0077530D" w:rsidRDefault="00644731" w:rsidP="00644731">
            <w:pPr>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6%</w:t>
            </w:r>
          </w:p>
        </w:tc>
        <w:tc>
          <w:tcPr>
            <w:tcW w:w="1094" w:type="dxa"/>
            <w:tcBorders>
              <w:top w:val="nil"/>
              <w:left w:val="nil"/>
              <w:bottom w:val="single" w:sz="8" w:space="0" w:color="auto"/>
              <w:right w:val="single" w:sz="4" w:space="0" w:color="auto"/>
            </w:tcBorders>
            <w:shd w:val="clear" w:color="auto" w:fill="EDEDED"/>
            <w:noWrap/>
            <w:vAlign w:val="center"/>
            <w:hideMark/>
          </w:tcPr>
          <w:p w14:paraId="61DB9B1D" w14:textId="77777777" w:rsidR="00644731" w:rsidRPr="0077530D" w:rsidRDefault="00644731" w:rsidP="00644731">
            <w:pPr>
              <w:jc w:val="center"/>
              <w:rPr>
                <w:rFonts w:ascii="Arial" w:eastAsia="Times New Roman" w:hAnsi="Arial" w:cs="Arial"/>
                <w:b/>
                <w:color w:val="000000"/>
                <w:sz w:val="18"/>
                <w:szCs w:val="18"/>
              </w:rPr>
            </w:pPr>
            <w:r w:rsidRPr="0077530D">
              <w:rPr>
                <w:rFonts w:ascii="Arial" w:eastAsia="Times New Roman" w:hAnsi="Arial" w:cs="Arial"/>
                <w:b/>
                <w:color w:val="000000"/>
                <w:sz w:val="18"/>
                <w:szCs w:val="18"/>
              </w:rPr>
              <w:t>9%</w:t>
            </w:r>
          </w:p>
        </w:tc>
      </w:tr>
      <w:tr w:rsidR="00030A5F" w:rsidRPr="0077530D" w14:paraId="0DFE39AD"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1CC9CD35"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Lento</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04D23C87"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Pesimista</w:t>
            </w:r>
          </w:p>
        </w:tc>
        <w:tc>
          <w:tcPr>
            <w:tcW w:w="1386" w:type="dxa"/>
            <w:tcBorders>
              <w:top w:val="nil"/>
              <w:left w:val="single" w:sz="4" w:space="0" w:color="auto"/>
              <w:bottom w:val="single" w:sz="4" w:space="0" w:color="auto"/>
              <w:right w:val="single" w:sz="4" w:space="0" w:color="auto"/>
            </w:tcBorders>
            <w:shd w:val="clear" w:color="auto" w:fill="C6E0B4"/>
            <w:noWrap/>
            <w:hideMark/>
          </w:tcPr>
          <w:p w14:paraId="1068CB75" w14:textId="5D5CAD6A"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6.69</w:t>
            </w:r>
          </w:p>
        </w:tc>
        <w:tc>
          <w:tcPr>
            <w:tcW w:w="1386" w:type="dxa"/>
            <w:tcBorders>
              <w:top w:val="nil"/>
              <w:left w:val="single" w:sz="4" w:space="0" w:color="auto"/>
              <w:bottom w:val="single" w:sz="4" w:space="0" w:color="auto"/>
              <w:right w:val="single" w:sz="4" w:space="0" w:color="auto"/>
            </w:tcBorders>
            <w:shd w:val="clear" w:color="auto" w:fill="C6E0B4"/>
            <w:noWrap/>
            <w:hideMark/>
          </w:tcPr>
          <w:p w14:paraId="1F51F4C3" w14:textId="07A409D7"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6.18</w:t>
            </w:r>
          </w:p>
        </w:tc>
        <w:tc>
          <w:tcPr>
            <w:tcW w:w="1094" w:type="dxa"/>
            <w:tcBorders>
              <w:top w:val="nil"/>
              <w:left w:val="single" w:sz="4" w:space="0" w:color="auto"/>
              <w:bottom w:val="single" w:sz="4" w:space="0" w:color="auto"/>
              <w:right w:val="single" w:sz="4" w:space="0" w:color="auto"/>
            </w:tcBorders>
            <w:shd w:val="clear" w:color="auto" w:fill="C6E0B4"/>
            <w:noWrap/>
            <w:hideMark/>
          </w:tcPr>
          <w:p w14:paraId="2627AB97" w14:textId="77592F34"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4.86</w:t>
            </w:r>
          </w:p>
        </w:tc>
        <w:tc>
          <w:tcPr>
            <w:tcW w:w="1094" w:type="dxa"/>
            <w:tcBorders>
              <w:top w:val="nil"/>
              <w:left w:val="single" w:sz="4" w:space="0" w:color="auto"/>
              <w:bottom w:val="single" w:sz="4" w:space="0" w:color="auto"/>
              <w:right w:val="single" w:sz="4" w:space="0" w:color="auto"/>
            </w:tcBorders>
            <w:shd w:val="clear" w:color="auto" w:fill="C6E0B4"/>
            <w:noWrap/>
            <w:hideMark/>
          </w:tcPr>
          <w:p w14:paraId="5AEE9606" w14:textId="22A790DA"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3.80</w:t>
            </w:r>
          </w:p>
        </w:tc>
      </w:tr>
      <w:tr w:rsidR="00030A5F" w:rsidRPr="0077530D" w14:paraId="498278A5"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6CF75EFD"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6903F224"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Medio</w:t>
            </w:r>
          </w:p>
        </w:tc>
        <w:tc>
          <w:tcPr>
            <w:tcW w:w="1386" w:type="dxa"/>
            <w:tcBorders>
              <w:top w:val="nil"/>
              <w:left w:val="single" w:sz="4" w:space="0" w:color="auto"/>
              <w:bottom w:val="single" w:sz="4" w:space="0" w:color="auto"/>
              <w:right w:val="single" w:sz="4" w:space="0" w:color="auto"/>
            </w:tcBorders>
            <w:shd w:val="clear" w:color="auto" w:fill="C6E0B4"/>
            <w:noWrap/>
            <w:hideMark/>
          </w:tcPr>
          <w:p w14:paraId="576D2E03" w14:textId="16EDAF2D"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10.03</w:t>
            </w:r>
          </w:p>
        </w:tc>
        <w:tc>
          <w:tcPr>
            <w:tcW w:w="1386" w:type="dxa"/>
            <w:tcBorders>
              <w:top w:val="nil"/>
              <w:left w:val="single" w:sz="4" w:space="0" w:color="auto"/>
              <w:bottom w:val="single" w:sz="4" w:space="0" w:color="auto"/>
              <w:right w:val="single" w:sz="4" w:space="0" w:color="auto"/>
            </w:tcBorders>
            <w:shd w:val="clear" w:color="auto" w:fill="C6E0B4"/>
            <w:noWrap/>
            <w:hideMark/>
          </w:tcPr>
          <w:p w14:paraId="128B0840" w14:textId="63B397B4"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9.27</w:t>
            </w:r>
          </w:p>
        </w:tc>
        <w:tc>
          <w:tcPr>
            <w:tcW w:w="1094" w:type="dxa"/>
            <w:tcBorders>
              <w:top w:val="nil"/>
              <w:left w:val="single" w:sz="4" w:space="0" w:color="auto"/>
              <w:bottom w:val="single" w:sz="4" w:space="0" w:color="auto"/>
              <w:right w:val="single" w:sz="4" w:space="0" w:color="auto"/>
            </w:tcBorders>
            <w:shd w:val="clear" w:color="auto" w:fill="C6E0B4"/>
            <w:noWrap/>
            <w:hideMark/>
          </w:tcPr>
          <w:p w14:paraId="7AC84CF3" w14:textId="6EB141AC"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7.29</w:t>
            </w:r>
          </w:p>
        </w:tc>
        <w:tc>
          <w:tcPr>
            <w:tcW w:w="1094" w:type="dxa"/>
            <w:tcBorders>
              <w:top w:val="nil"/>
              <w:left w:val="single" w:sz="4" w:space="0" w:color="auto"/>
              <w:bottom w:val="single" w:sz="4" w:space="0" w:color="auto"/>
              <w:right w:val="single" w:sz="4" w:space="0" w:color="auto"/>
            </w:tcBorders>
            <w:shd w:val="clear" w:color="auto" w:fill="C6E0B4"/>
            <w:noWrap/>
            <w:hideMark/>
          </w:tcPr>
          <w:p w14:paraId="713CEDFA" w14:textId="7E966B02"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5.71</w:t>
            </w:r>
          </w:p>
        </w:tc>
      </w:tr>
      <w:tr w:rsidR="00030A5F" w:rsidRPr="0077530D" w14:paraId="2511D80C" w14:textId="77777777" w:rsidTr="0077530D">
        <w:trPr>
          <w:trHeight w:val="330"/>
          <w:jc w:val="center"/>
        </w:trPr>
        <w:tc>
          <w:tcPr>
            <w:tcW w:w="1480" w:type="dxa"/>
            <w:tcBorders>
              <w:top w:val="nil"/>
              <w:left w:val="single" w:sz="4" w:space="0" w:color="auto"/>
              <w:bottom w:val="single" w:sz="8" w:space="0" w:color="auto"/>
              <w:right w:val="single" w:sz="4" w:space="0" w:color="auto"/>
            </w:tcBorders>
            <w:shd w:val="clear" w:color="auto" w:fill="FFFFFF" w:themeFill="background1"/>
            <w:noWrap/>
            <w:vAlign w:val="center"/>
            <w:hideMark/>
          </w:tcPr>
          <w:p w14:paraId="2D5B3047"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8" w:space="0" w:color="auto"/>
              <w:right w:val="single" w:sz="4" w:space="0" w:color="auto"/>
            </w:tcBorders>
            <w:shd w:val="clear" w:color="auto" w:fill="FFFFFF" w:themeFill="background1"/>
            <w:noWrap/>
            <w:vAlign w:val="center"/>
            <w:hideMark/>
          </w:tcPr>
          <w:p w14:paraId="1E57E192"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Optimista</w:t>
            </w:r>
          </w:p>
        </w:tc>
        <w:tc>
          <w:tcPr>
            <w:tcW w:w="1386" w:type="dxa"/>
            <w:tcBorders>
              <w:top w:val="single" w:sz="4" w:space="0" w:color="auto"/>
              <w:left w:val="single" w:sz="4" w:space="0" w:color="auto"/>
              <w:bottom w:val="single" w:sz="8" w:space="0" w:color="auto"/>
              <w:right w:val="single" w:sz="4" w:space="0" w:color="auto"/>
            </w:tcBorders>
            <w:shd w:val="clear" w:color="auto" w:fill="C6E0B4"/>
            <w:noWrap/>
            <w:hideMark/>
          </w:tcPr>
          <w:p w14:paraId="2C756659" w14:textId="2EFE7448"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13.38</w:t>
            </w:r>
          </w:p>
        </w:tc>
        <w:tc>
          <w:tcPr>
            <w:tcW w:w="1386" w:type="dxa"/>
            <w:tcBorders>
              <w:top w:val="single" w:sz="4" w:space="0" w:color="auto"/>
              <w:left w:val="single" w:sz="4" w:space="0" w:color="auto"/>
              <w:bottom w:val="single" w:sz="8" w:space="0" w:color="auto"/>
              <w:right w:val="single" w:sz="4" w:space="0" w:color="auto"/>
            </w:tcBorders>
            <w:shd w:val="clear" w:color="auto" w:fill="C6E0B4"/>
            <w:noWrap/>
            <w:hideMark/>
          </w:tcPr>
          <w:p w14:paraId="2EE422AC" w14:textId="3E5D81DE"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12.36</w:t>
            </w:r>
          </w:p>
        </w:tc>
        <w:tc>
          <w:tcPr>
            <w:tcW w:w="1094" w:type="dxa"/>
            <w:tcBorders>
              <w:top w:val="single" w:sz="4" w:space="0" w:color="auto"/>
              <w:left w:val="single" w:sz="4" w:space="0" w:color="auto"/>
              <w:bottom w:val="single" w:sz="8" w:space="0" w:color="auto"/>
              <w:right w:val="single" w:sz="4" w:space="0" w:color="auto"/>
            </w:tcBorders>
            <w:shd w:val="clear" w:color="auto" w:fill="C6E0B4"/>
            <w:noWrap/>
            <w:hideMark/>
          </w:tcPr>
          <w:p w14:paraId="0112FF1F" w14:textId="100D5254"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9.72</w:t>
            </w:r>
          </w:p>
        </w:tc>
        <w:tc>
          <w:tcPr>
            <w:tcW w:w="1094" w:type="dxa"/>
            <w:tcBorders>
              <w:top w:val="single" w:sz="4" w:space="0" w:color="auto"/>
              <w:left w:val="single" w:sz="4" w:space="0" w:color="auto"/>
              <w:bottom w:val="single" w:sz="8" w:space="0" w:color="auto"/>
              <w:right w:val="single" w:sz="4" w:space="0" w:color="auto"/>
            </w:tcBorders>
            <w:shd w:val="clear" w:color="auto" w:fill="C6E0B4"/>
            <w:noWrap/>
            <w:hideMark/>
          </w:tcPr>
          <w:p w14:paraId="50D20B8C" w14:textId="54E3EA2A"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7.61</w:t>
            </w:r>
          </w:p>
        </w:tc>
      </w:tr>
      <w:tr w:rsidR="00030A5F" w:rsidRPr="0077530D" w14:paraId="7A2ECD42"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389A0FAA"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Regular</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0957B54B"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Pesimista</w:t>
            </w:r>
          </w:p>
        </w:tc>
        <w:tc>
          <w:tcPr>
            <w:tcW w:w="1386" w:type="dxa"/>
            <w:tcBorders>
              <w:top w:val="nil"/>
              <w:left w:val="single" w:sz="4" w:space="0" w:color="auto"/>
              <w:bottom w:val="single" w:sz="4" w:space="0" w:color="auto"/>
              <w:right w:val="single" w:sz="4" w:space="0" w:color="auto"/>
            </w:tcBorders>
            <w:shd w:val="clear" w:color="auto" w:fill="C6E0B4"/>
            <w:noWrap/>
            <w:hideMark/>
          </w:tcPr>
          <w:p w14:paraId="04D2AB22" w14:textId="4BA49FD2"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7.16</w:t>
            </w:r>
          </w:p>
        </w:tc>
        <w:tc>
          <w:tcPr>
            <w:tcW w:w="1386" w:type="dxa"/>
            <w:tcBorders>
              <w:top w:val="nil"/>
              <w:left w:val="single" w:sz="4" w:space="0" w:color="auto"/>
              <w:bottom w:val="single" w:sz="4" w:space="0" w:color="auto"/>
              <w:right w:val="single" w:sz="4" w:space="0" w:color="auto"/>
            </w:tcBorders>
            <w:shd w:val="clear" w:color="auto" w:fill="C6E0B4"/>
            <w:noWrap/>
            <w:hideMark/>
          </w:tcPr>
          <w:p w14:paraId="20FBE343" w14:textId="1BBF32E3"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6.62</w:t>
            </w:r>
          </w:p>
        </w:tc>
        <w:tc>
          <w:tcPr>
            <w:tcW w:w="1094" w:type="dxa"/>
            <w:tcBorders>
              <w:top w:val="nil"/>
              <w:left w:val="single" w:sz="4" w:space="0" w:color="auto"/>
              <w:bottom w:val="single" w:sz="4" w:space="0" w:color="auto"/>
              <w:right w:val="single" w:sz="4" w:space="0" w:color="auto"/>
            </w:tcBorders>
            <w:shd w:val="clear" w:color="auto" w:fill="C6E0B4"/>
            <w:noWrap/>
            <w:hideMark/>
          </w:tcPr>
          <w:p w14:paraId="7A4A45BF" w14:textId="2DFBF6F1"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5.22</w:t>
            </w:r>
          </w:p>
        </w:tc>
        <w:tc>
          <w:tcPr>
            <w:tcW w:w="1094" w:type="dxa"/>
            <w:tcBorders>
              <w:top w:val="nil"/>
              <w:left w:val="single" w:sz="4" w:space="0" w:color="auto"/>
              <w:bottom w:val="single" w:sz="4" w:space="0" w:color="auto"/>
              <w:right w:val="single" w:sz="4" w:space="0" w:color="auto"/>
            </w:tcBorders>
            <w:shd w:val="clear" w:color="auto" w:fill="C6E0B4"/>
            <w:noWrap/>
            <w:hideMark/>
          </w:tcPr>
          <w:p w14:paraId="0E62AA60" w14:textId="687500D8"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4.11</w:t>
            </w:r>
          </w:p>
        </w:tc>
      </w:tr>
      <w:tr w:rsidR="00030A5F" w:rsidRPr="0077530D" w14:paraId="7A75EB21" w14:textId="77777777" w:rsidTr="0077530D">
        <w:trPr>
          <w:trHeight w:val="315"/>
          <w:jc w:val="center"/>
        </w:trPr>
        <w:tc>
          <w:tcPr>
            <w:tcW w:w="1480" w:type="dxa"/>
            <w:tcBorders>
              <w:top w:val="nil"/>
              <w:left w:val="single" w:sz="4" w:space="0" w:color="auto"/>
              <w:bottom w:val="nil"/>
              <w:right w:val="single" w:sz="4" w:space="0" w:color="auto"/>
            </w:tcBorders>
            <w:shd w:val="clear" w:color="auto" w:fill="FFFFFF" w:themeFill="background1"/>
            <w:noWrap/>
            <w:vAlign w:val="center"/>
            <w:hideMark/>
          </w:tcPr>
          <w:p w14:paraId="70855981"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46C7A5DF"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Medio</w:t>
            </w:r>
          </w:p>
        </w:tc>
        <w:tc>
          <w:tcPr>
            <w:tcW w:w="1386" w:type="dxa"/>
            <w:tcBorders>
              <w:top w:val="single" w:sz="4" w:space="0" w:color="auto"/>
              <w:left w:val="single" w:sz="4" w:space="0" w:color="auto"/>
              <w:bottom w:val="single" w:sz="4" w:space="0" w:color="auto"/>
              <w:right w:val="single" w:sz="4" w:space="0" w:color="auto"/>
            </w:tcBorders>
            <w:shd w:val="clear" w:color="auto" w:fill="C6E0B4"/>
            <w:noWrap/>
            <w:hideMark/>
          </w:tcPr>
          <w:p w14:paraId="74332729" w14:textId="1A5ECA93"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10.73</w:t>
            </w:r>
          </w:p>
        </w:tc>
        <w:tc>
          <w:tcPr>
            <w:tcW w:w="1386" w:type="dxa"/>
            <w:tcBorders>
              <w:top w:val="single" w:sz="4" w:space="0" w:color="auto"/>
              <w:left w:val="single" w:sz="4" w:space="0" w:color="auto"/>
              <w:bottom w:val="single" w:sz="4" w:space="0" w:color="auto"/>
              <w:right w:val="single" w:sz="4" w:space="0" w:color="auto"/>
            </w:tcBorders>
            <w:shd w:val="clear" w:color="auto" w:fill="C6E0B4"/>
            <w:noWrap/>
            <w:hideMark/>
          </w:tcPr>
          <w:p w14:paraId="69725736" w14:textId="05B7213D"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9.93</w:t>
            </w:r>
          </w:p>
        </w:tc>
        <w:tc>
          <w:tcPr>
            <w:tcW w:w="1094" w:type="dxa"/>
            <w:tcBorders>
              <w:top w:val="single" w:sz="4" w:space="0" w:color="auto"/>
              <w:left w:val="single" w:sz="4" w:space="0" w:color="auto"/>
              <w:bottom w:val="single" w:sz="4" w:space="0" w:color="auto"/>
              <w:right w:val="single" w:sz="4" w:space="0" w:color="auto"/>
            </w:tcBorders>
            <w:shd w:val="clear" w:color="auto" w:fill="C6E0B4"/>
            <w:noWrap/>
            <w:hideMark/>
          </w:tcPr>
          <w:p w14:paraId="6288B49E" w14:textId="007773A1"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7.83</w:t>
            </w:r>
          </w:p>
        </w:tc>
        <w:tc>
          <w:tcPr>
            <w:tcW w:w="1094" w:type="dxa"/>
            <w:tcBorders>
              <w:top w:val="single" w:sz="4" w:space="0" w:color="auto"/>
              <w:left w:val="single" w:sz="4" w:space="0" w:color="auto"/>
              <w:bottom w:val="single" w:sz="4" w:space="0" w:color="auto"/>
              <w:right w:val="single" w:sz="4" w:space="0" w:color="auto"/>
            </w:tcBorders>
            <w:shd w:val="clear" w:color="auto" w:fill="C6E0B4"/>
            <w:noWrap/>
            <w:hideMark/>
          </w:tcPr>
          <w:p w14:paraId="3185F0DC" w14:textId="4B60B2B6"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6.16</w:t>
            </w:r>
          </w:p>
        </w:tc>
      </w:tr>
      <w:tr w:rsidR="00030A5F" w:rsidRPr="0077530D" w14:paraId="602B80A0" w14:textId="77777777" w:rsidTr="0077530D">
        <w:trPr>
          <w:trHeight w:val="330"/>
          <w:jc w:val="center"/>
        </w:trPr>
        <w:tc>
          <w:tcPr>
            <w:tcW w:w="1480" w:type="dxa"/>
            <w:tcBorders>
              <w:top w:val="nil"/>
              <w:left w:val="single" w:sz="4" w:space="0" w:color="auto"/>
              <w:bottom w:val="single" w:sz="8" w:space="0" w:color="auto"/>
              <w:right w:val="single" w:sz="4" w:space="0" w:color="auto"/>
            </w:tcBorders>
            <w:shd w:val="clear" w:color="auto" w:fill="FFFFFF" w:themeFill="background1"/>
            <w:noWrap/>
            <w:vAlign w:val="center"/>
            <w:hideMark/>
          </w:tcPr>
          <w:p w14:paraId="18CA4E92"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8" w:space="0" w:color="auto"/>
              <w:right w:val="single" w:sz="4" w:space="0" w:color="auto"/>
            </w:tcBorders>
            <w:shd w:val="clear" w:color="auto" w:fill="FFFFFF" w:themeFill="background1"/>
            <w:noWrap/>
            <w:vAlign w:val="center"/>
            <w:hideMark/>
          </w:tcPr>
          <w:p w14:paraId="2434FB00"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Optimista</w:t>
            </w:r>
          </w:p>
        </w:tc>
        <w:tc>
          <w:tcPr>
            <w:tcW w:w="1386" w:type="dxa"/>
            <w:tcBorders>
              <w:top w:val="nil"/>
              <w:left w:val="single" w:sz="4" w:space="0" w:color="auto"/>
              <w:bottom w:val="single" w:sz="8" w:space="0" w:color="auto"/>
              <w:right w:val="single" w:sz="4" w:space="0" w:color="auto"/>
            </w:tcBorders>
            <w:shd w:val="clear" w:color="auto" w:fill="C6E0B4"/>
            <w:noWrap/>
            <w:hideMark/>
          </w:tcPr>
          <w:p w14:paraId="1F8DFF2D" w14:textId="4E48800D"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14.31</w:t>
            </w:r>
          </w:p>
        </w:tc>
        <w:tc>
          <w:tcPr>
            <w:tcW w:w="1386" w:type="dxa"/>
            <w:tcBorders>
              <w:top w:val="nil"/>
              <w:left w:val="single" w:sz="4" w:space="0" w:color="auto"/>
              <w:bottom w:val="single" w:sz="8" w:space="0" w:color="auto"/>
              <w:right w:val="single" w:sz="4" w:space="0" w:color="auto"/>
            </w:tcBorders>
            <w:shd w:val="clear" w:color="auto" w:fill="C6E0B4"/>
            <w:noWrap/>
            <w:hideMark/>
          </w:tcPr>
          <w:p w14:paraId="25832276" w14:textId="1DF7F058"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13.23</w:t>
            </w:r>
          </w:p>
        </w:tc>
        <w:tc>
          <w:tcPr>
            <w:tcW w:w="1094" w:type="dxa"/>
            <w:tcBorders>
              <w:top w:val="nil"/>
              <w:left w:val="single" w:sz="4" w:space="0" w:color="auto"/>
              <w:bottom w:val="single" w:sz="8" w:space="0" w:color="auto"/>
              <w:right w:val="single" w:sz="4" w:space="0" w:color="auto"/>
            </w:tcBorders>
            <w:shd w:val="clear" w:color="auto" w:fill="C6E0B4"/>
            <w:noWrap/>
            <w:hideMark/>
          </w:tcPr>
          <w:p w14:paraId="32CDDCCA" w14:textId="6E9173E7"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10.45</w:t>
            </w:r>
          </w:p>
        </w:tc>
        <w:tc>
          <w:tcPr>
            <w:tcW w:w="1094" w:type="dxa"/>
            <w:tcBorders>
              <w:top w:val="nil"/>
              <w:left w:val="single" w:sz="4" w:space="0" w:color="auto"/>
              <w:bottom w:val="single" w:sz="8" w:space="0" w:color="auto"/>
              <w:right w:val="single" w:sz="4" w:space="0" w:color="auto"/>
            </w:tcBorders>
            <w:shd w:val="clear" w:color="auto" w:fill="C6E0B4"/>
            <w:noWrap/>
            <w:hideMark/>
          </w:tcPr>
          <w:p w14:paraId="1E9BF5A5" w14:textId="0AE693B5"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8.21</w:t>
            </w:r>
          </w:p>
        </w:tc>
      </w:tr>
      <w:tr w:rsidR="00030A5F" w:rsidRPr="0077530D" w14:paraId="3CF7455E" w14:textId="77777777" w:rsidTr="0077530D">
        <w:trPr>
          <w:trHeight w:val="315"/>
          <w:jc w:val="center"/>
        </w:trPr>
        <w:tc>
          <w:tcPr>
            <w:tcW w:w="1480" w:type="dxa"/>
            <w:tcBorders>
              <w:top w:val="single" w:sz="8" w:space="0" w:color="auto"/>
              <w:left w:val="single" w:sz="4" w:space="0" w:color="auto"/>
              <w:bottom w:val="nil"/>
              <w:right w:val="single" w:sz="4" w:space="0" w:color="auto"/>
            </w:tcBorders>
            <w:shd w:val="clear" w:color="auto" w:fill="FFFFFF" w:themeFill="background1"/>
            <w:noWrap/>
            <w:vAlign w:val="center"/>
            <w:hideMark/>
          </w:tcPr>
          <w:p w14:paraId="7FF2511D"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Rápido</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0E1EC152"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Pesimista</w:t>
            </w:r>
          </w:p>
        </w:tc>
        <w:tc>
          <w:tcPr>
            <w:tcW w:w="1386" w:type="dxa"/>
            <w:tcBorders>
              <w:top w:val="nil"/>
              <w:left w:val="single" w:sz="4" w:space="0" w:color="auto"/>
              <w:bottom w:val="single" w:sz="4" w:space="0" w:color="auto"/>
              <w:right w:val="single" w:sz="4" w:space="0" w:color="auto"/>
            </w:tcBorders>
            <w:shd w:val="clear" w:color="auto" w:fill="C6E0B4"/>
            <w:noWrap/>
            <w:hideMark/>
          </w:tcPr>
          <w:p w14:paraId="4CEB1CF6" w14:textId="5713EAC1"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8.32</w:t>
            </w:r>
          </w:p>
        </w:tc>
        <w:tc>
          <w:tcPr>
            <w:tcW w:w="1386" w:type="dxa"/>
            <w:tcBorders>
              <w:top w:val="nil"/>
              <w:left w:val="single" w:sz="4" w:space="0" w:color="auto"/>
              <w:bottom w:val="single" w:sz="4" w:space="0" w:color="auto"/>
              <w:right w:val="single" w:sz="4" w:space="0" w:color="auto"/>
            </w:tcBorders>
            <w:shd w:val="clear" w:color="auto" w:fill="C6E0B4"/>
            <w:noWrap/>
            <w:hideMark/>
          </w:tcPr>
          <w:p w14:paraId="72C2EFB7" w14:textId="54EC8E37"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7.72</w:t>
            </w:r>
          </w:p>
        </w:tc>
        <w:tc>
          <w:tcPr>
            <w:tcW w:w="1094" w:type="dxa"/>
            <w:tcBorders>
              <w:top w:val="nil"/>
              <w:left w:val="single" w:sz="4" w:space="0" w:color="auto"/>
              <w:bottom w:val="single" w:sz="4" w:space="0" w:color="auto"/>
              <w:right w:val="single" w:sz="4" w:space="0" w:color="auto"/>
            </w:tcBorders>
            <w:shd w:val="clear" w:color="auto" w:fill="C6E0B4"/>
            <w:noWrap/>
            <w:hideMark/>
          </w:tcPr>
          <w:p w14:paraId="3B734454" w14:textId="5C1291F2"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6.15</w:t>
            </w:r>
          </w:p>
        </w:tc>
        <w:tc>
          <w:tcPr>
            <w:tcW w:w="1094" w:type="dxa"/>
            <w:tcBorders>
              <w:top w:val="nil"/>
              <w:left w:val="single" w:sz="4" w:space="0" w:color="auto"/>
              <w:bottom w:val="single" w:sz="4" w:space="0" w:color="auto"/>
              <w:right w:val="single" w:sz="4" w:space="0" w:color="auto"/>
            </w:tcBorders>
            <w:shd w:val="clear" w:color="auto" w:fill="C6E0B4"/>
            <w:noWrap/>
            <w:hideMark/>
          </w:tcPr>
          <w:p w14:paraId="5011264D" w14:textId="76856D8C"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4.89</w:t>
            </w:r>
          </w:p>
        </w:tc>
      </w:tr>
      <w:tr w:rsidR="00030A5F" w:rsidRPr="0077530D" w14:paraId="6ED36F22" w14:textId="77777777" w:rsidTr="0077530D">
        <w:trPr>
          <w:trHeight w:val="315"/>
          <w:jc w:val="center"/>
        </w:trPr>
        <w:tc>
          <w:tcPr>
            <w:tcW w:w="1480" w:type="dxa"/>
            <w:tcBorders>
              <w:top w:val="nil"/>
              <w:left w:val="single" w:sz="4" w:space="0" w:color="auto"/>
              <w:bottom w:val="single" w:sz="8" w:space="0" w:color="auto"/>
              <w:right w:val="single" w:sz="4" w:space="0" w:color="auto"/>
            </w:tcBorders>
            <w:shd w:val="clear" w:color="auto" w:fill="FFFFFF" w:themeFill="background1"/>
            <w:noWrap/>
            <w:vAlign w:val="center"/>
            <w:hideMark/>
          </w:tcPr>
          <w:p w14:paraId="752D087A" w14:textId="77777777" w:rsidR="00030A5F" w:rsidRPr="0077530D" w:rsidRDefault="00030A5F" w:rsidP="00030A5F">
            <w:pPr>
              <w:jc w:val="center"/>
              <w:rPr>
                <w:rFonts w:ascii="Arial" w:eastAsia="Times New Roman" w:hAnsi="Arial" w:cs="Arial"/>
                <w:color w:val="000000"/>
                <w:sz w:val="18"/>
                <w:szCs w:val="18"/>
              </w:rPr>
            </w:pPr>
            <w:r w:rsidRPr="0077530D">
              <w:rPr>
                <w:rFonts w:ascii="Arial" w:eastAsia="Times New Roman" w:hAnsi="Arial" w:cs="Arial"/>
                <w:color w:val="000000"/>
                <w:sz w:val="18"/>
                <w:szCs w:val="18"/>
              </w:rPr>
              <w:t> </w:t>
            </w:r>
          </w:p>
        </w:tc>
        <w:tc>
          <w:tcPr>
            <w:tcW w:w="1580" w:type="dxa"/>
            <w:tcBorders>
              <w:top w:val="nil"/>
              <w:left w:val="nil"/>
              <w:bottom w:val="single" w:sz="4" w:space="0" w:color="auto"/>
              <w:right w:val="single" w:sz="4" w:space="0" w:color="auto"/>
            </w:tcBorders>
            <w:shd w:val="clear" w:color="auto" w:fill="FFFFFF" w:themeFill="background1"/>
            <w:noWrap/>
            <w:vAlign w:val="center"/>
            <w:hideMark/>
          </w:tcPr>
          <w:p w14:paraId="5BAB2EA6" w14:textId="77777777" w:rsidR="00030A5F" w:rsidRPr="0077530D" w:rsidRDefault="00030A5F" w:rsidP="00030A5F">
            <w:pPr>
              <w:rPr>
                <w:rFonts w:ascii="Arial" w:eastAsia="Times New Roman" w:hAnsi="Arial" w:cs="Arial"/>
                <w:color w:val="000000"/>
                <w:sz w:val="18"/>
                <w:szCs w:val="18"/>
              </w:rPr>
            </w:pPr>
            <w:r w:rsidRPr="0077530D">
              <w:rPr>
                <w:rFonts w:ascii="Arial" w:eastAsia="Times New Roman" w:hAnsi="Arial" w:cs="Arial"/>
                <w:color w:val="000000"/>
                <w:sz w:val="18"/>
                <w:szCs w:val="18"/>
              </w:rPr>
              <w:t>Medio</w:t>
            </w:r>
          </w:p>
        </w:tc>
        <w:tc>
          <w:tcPr>
            <w:tcW w:w="1386" w:type="dxa"/>
            <w:tcBorders>
              <w:top w:val="nil"/>
              <w:left w:val="single" w:sz="4" w:space="0" w:color="auto"/>
              <w:bottom w:val="single" w:sz="4" w:space="0" w:color="auto"/>
              <w:right w:val="single" w:sz="4" w:space="0" w:color="auto"/>
            </w:tcBorders>
            <w:shd w:val="clear" w:color="auto" w:fill="C6E0B4"/>
            <w:noWrap/>
            <w:hideMark/>
          </w:tcPr>
          <w:p w14:paraId="512979BC" w14:textId="63FC261C"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12.48</w:t>
            </w:r>
          </w:p>
        </w:tc>
        <w:tc>
          <w:tcPr>
            <w:tcW w:w="1386" w:type="dxa"/>
            <w:tcBorders>
              <w:top w:val="nil"/>
              <w:left w:val="single" w:sz="4" w:space="0" w:color="auto"/>
              <w:bottom w:val="single" w:sz="4" w:space="0" w:color="auto"/>
              <w:right w:val="single" w:sz="4" w:space="0" w:color="auto"/>
            </w:tcBorders>
            <w:shd w:val="clear" w:color="auto" w:fill="C6E0B4"/>
            <w:noWrap/>
            <w:hideMark/>
          </w:tcPr>
          <w:p w14:paraId="3F2FFC8F" w14:textId="7B5EF323"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11.58</w:t>
            </w:r>
          </w:p>
        </w:tc>
        <w:tc>
          <w:tcPr>
            <w:tcW w:w="1094" w:type="dxa"/>
            <w:tcBorders>
              <w:top w:val="nil"/>
              <w:left w:val="single" w:sz="4" w:space="0" w:color="auto"/>
              <w:bottom w:val="single" w:sz="4" w:space="0" w:color="auto"/>
              <w:right w:val="single" w:sz="4" w:space="0" w:color="auto"/>
            </w:tcBorders>
            <w:shd w:val="clear" w:color="auto" w:fill="C6E0B4"/>
            <w:noWrap/>
            <w:hideMark/>
          </w:tcPr>
          <w:p w14:paraId="2EF8DCEE" w14:textId="69DB9B69"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9.23</w:t>
            </w:r>
          </w:p>
        </w:tc>
        <w:tc>
          <w:tcPr>
            <w:tcW w:w="1094" w:type="dxa"/>
            <w:tcBorders>
              <w:top w:val="nil"/>
              <w:left w:val="single" w:sz="4" w:space="0" w:color="auto"/>
              <w:bottom w:val="single" w:sz="4" w:space="0" w:color="auto"/>
              <w:right w:val="single" w:sz="4" w:space="0" w:color="auto"/>
            </w:tcBorders>
            <w:shd w:val="clear" w:color="auto" w:fill="C6E0B4"/>
            <w:noWrap/>
            <w:hideMark/>
          </w:tcPr>
          <w:p w14:paraId="1C406E48" w14:textId="17F5B90E" w:rsidR="00030A5F" w:rsidRPr="0077530D" w:rsidRDefault="00030A5F" w:rsidP="00030A5F">
            <w:pPr>
              <w:keepNext/>
              <w:jc w:val="center"/>
              <w:rPr>
                <w:rFonts w:ascii="Arial" w:eastAsia="Times New Roman" w:hAnsi="Arial" w:cs="Arial"/>
                <w:color w:val="000000"/>
                <w:sz w:val="18"/>
                <w:szCs w:val="18"/>
              </w:rPr>
            </w:pPr>
            <w:r w:rsidRPr="0077530D">
              <w:rPr>
                <w:rFonts w:ascii="Arial" w:hAnsi="Arial" w:cs="Arial"/>
                <w:sz w:val="18"/>
                <w:szCs w:val="18"/>
              </w:rPr>
              <w:t>7.34</w:t>
            </w:r>
          </w:p>
        </w:tc>
      </w:tr>
    </w:tbl>
    <w:p w14:paraId="405B6749" w14:textId="77777777" w:rsidR="00E96BF7" w:rsidRPr="0077530D" w:rsidRDefault="00E96BF7" w:rsidP="001A6051">
      <w:pPr>
        <w:autoSpaceDE w:val="0"/>
        <w:autoSpaceDN w:val="0"/>
        <w:adjustRightInd w:val="0"/>
        <w:spacing w:before="120"/>
        <w:ind w:left="720"/>
        <w:jc w:val="both"/>
        <w:rPr>
          <w:rFonts w:ascii="Arial" w:hAnsi="Arial" w:cs="Arial"/>
          <w:sz w:val="16"/>
          <w:szCs w:val="16"/>
          <w:lang w:val="es-ES"/>
        </w:rPr>
      </w:pPr>
      <w:r w:rsidRPr="0077530D">
        <w:rPr>
          <w:rFonts w:ascii="Arial" w:hAnsi="Arial" w:cs="Arial"/>
          <w:sz w:val="16"/>
          <w:szCs w:val="16"/>
          <w:lang w:val="es-ES"/>
        </w:rPr>
        <w:t>Nota: En verde se resaltan los valores positivos de la razón beneficio/costo.</w:t>
      </w:r>
    </w:p>
    <w:p w14:paraId="0D961FC8" w14:textId="77777777" w:rsidR="00E96BF7" w:rsidRPr="0077530D" w:rsidRDefault="00E96BF7" w:rsidP="001A6051">
      <w:pPr>
        <w:autoSpaceDE w:val="0"/>
        <w:autoSpaceDN w:val="0"/>
        <w:adjustRightInd w:val="0"/>
        <w:ind w:left="720"/>
        <w:jc w:val="both"/>
        <w:rPr>
          <w:rFonts w:ascii="Arial" w:hAnsi="Arial" w:cs="Arial"/>
          <w:sz w:val="16"/>
          <w:szCs w:val="16"/>
          <w:lang w:val="es-ES"/>
        </w:rPr>
      </w:pPr>
      <w:r w:rsidRPr="0077530D">
        <w:rPr>
          <w:rFonts w:ascii="Arial" w:hAnsi="Arial" w:cs="Arial"/>
          <w:sz w:val="16"/>
          <w:szCs w:val="16"/>
          <w:lang w:val="es-ES"/>
        </w:rPr>
        <w:t>Fuente: Elaboración de los autores.</w:t>
      </w:r>
    </w:p>
    <w:p w14:paraId="534E0157" w14:textId="77777777" w:rsidR="00EE7DCC" w:rsidRPr="0077530D" w:rsidRDefault="00EE7DCC" w:rsidP="001A6051">
      <w:pPr>
        <w:spacing w:after="100" w:afterAutospacing="1"/>
        <w:ind w:left="720"/>
        <w:rPr>
          <w:rFonts w:ascii="Arial" w:hAnsi="Arial" w:cs="Arial"/>
          <w:sz w:val="22"/>
          <w:szCs w:val="22"/>
          <w:lang w:val="es-ES"/>
        </w:rPr>
      </w:pPr>
    </w:p>
    <w:p w14:paraId="72963D98" w14:textId="0B484238" w:rsidR="005F7D1E" w:rsidRPr="0077530D" w:rsidRDefault="00550A78" w:rsidP="001025F1">
      <w:pPr>
        <w:spacing w:after="100" w:afterAutospacing="1"/>
        <w:jc w:val="both"/>
        <w:rPr>
          <w:rFonts w:ascii="Arial" w:hAnsi="Arial" w:cs="Arial"/>
          <w:sz w:val="22"/>
          <w:szCs w:val="22"/>
          <w:lang w:val="es-ES"/>
        </w:rPr>
      </w:pPr>
      <w:r w:rsidRPr="0077530D">
        <w:rPr>
          <w:rFonts w:ascii="Arial" w:hAnsi="Arial" w:cs="Arial"/>
          <w:sz w:val="22"/>
          <w:szCs w:val="22"/>
          <w:lang w:val="es-ES"/>
        </w:rPr>
        <w:t>Finalmente, si bien el proyecto no plantea como método de eval</w:t>
      </w:r>
      <w:r w:rsidR="00156550" w:rsidRPr="0077530D">
        <w:rPr>
          <w:rFonts w:ascii="Arial" w:hAnsi="Arial" w:cs="Arial"/>
          <w:sz w:val="22"/>
          <w:szCs w:val="22"/>
          <w:lang w:val="es-ES"/>
        </w:rPr>
        <w:t xml:space="preserve">uación un </w:t>
      </w:r>
      <w:r w:rsidR="00080942" w:rsidRPr="0077530D">
        <w:rPr>
          <w:rFonts w:ascii="Arial" w:hAnsi="Arial" w:cs="Arial"/>
          <w:sz w:val="22"/>
          <w:szCs w:val="22"/>
          <w:lang w:val="es-ES"/>
        </w:rPr>
        <w:t xml:space="preserve">análisis económico </w:t>
      </w:r>
      <w:r w:rsidR="0017442A" w:rsidRPr="0077530D">
        <w:rPr>
          <w:rFonts w:ascii="Arial" w:hAnsi="Arial" w:cs="Arial"/>
          <w:sz w:val="22"/>
          <w:szCs w:val="22"/>
          <w:lang w:val="es-ES"/>
        </w:rPr>
        <w:t>ex</w:t>
      </w:r>
      <w:r w:rsidR="007416D4" w:rsidRPr="0077530D">
        <w:rPr>
          <w:rFonts w:ascii="Arial" w:hAnsi="Arial" w:cs="Arial"/>
          <w:sz w:val="22"/>
          <w:szCs w:val="22"/>
          <w:lang w:val="es-ES"/>
        </w:rPr>
        <w:t>-</w:t>
      </w:r>
      <w:r w:rsidRPr="0077530D">
        <w:rPr>
          <w:rFonts w:ascii="Arial" w:hAnsi="Arial" w:cs="Arial"/>
          <w:sz w:val="22"/>
          <w:szCs w:val="22"/>
          <w:lang w:val="es-ES"/>
        </w:rPr>
        <w:t xml:space="preserve">post, los indicadores de impacto y resultados </w:t>
      </w:r>
      <w:r w:rsidR="00FE5921" w:rsidRPr="0077530D">
        <w:rPr>
          <w:rFonts w:ascii="Arial" w:hAnsi="Arial" w:cs="Arial"/>
          <w:sz w:val="22"/>
          <w:szCs w:val="22"/>
          <w:lang w:val="es-ES"/>
        </w:rPr>
        <w:t>esperados</w:t>
      </w:r>
      <w:r w:rsidRPr="0077530D">
        <w:rPr>
          <w:rFonts w:ascii="Arial" w:hAnsi="Arial" w:cs="Arial"/>
          <w:sz w:val="22"/>
          <w:szCs w:val="22"/>
          <w:lang w:val="es-ES"/>
        </w:rPr>
        <w:t xml:space="preserve"> incluidos en la matriz de resultados</w:t>
      </w:r>
      <w:r w:rsidR="00FE5921" w:rsidRPr="0077530D">
        <w:rPr>
          <w:rFonts w:ascii="Arial" w:hAnsi="Arial" w:cs="Arial"/>
          <w:sz w:val="22"/>
          <w:szCs w:val="22"/>
          <w:lang w:val="es-ES"/>
        </w:rPr>
        <w:t xml:space="preserve"> del proyecto</w:t>
      </w:r>
      <w:r w:rsidRPr="0077530D">
        <w:rPr>
          <w:rFonts w:ascii="Arial" w:hAnsi="Arial" w:cs="Arial"/>
          <w:sz w:val="22"/>
          <w:szCs w:val="22"/>
          <w:lang w:val="es-ES"/>
        </w:rPr>
        <w:t xml:space="preserve"> son consistente</w:t>
      </w:r>
      <w:r w:rsidR="00FE5921" w:rsidRPr="0077530D">
        <w:rPr>
          <w:rFonts w:ascii="Arial" w:hAnsi="Arial" w:cs="Arial"/>
          <w:sz w:val="22"/>
          <w:szCs w:val="22"/>
          <w:lang w:val="es-ES"/>
        </w:rPr>
        <w:t xml:space="preserve">s con los </w:t>
      </w:r>
      <w:r w:rsidR="005F7D1E" w:rsidRPr="0077530D">
        <w:rPr>
          <w:rFonts w:ascii="Arial" w:hAnsi="Arial" w:cs="Arial"/>
          <w:sz w:val="22"/>
          <w:szCs w:val="22"/>
          <w:lang w:val="es-ES"/>
        </w:rPr>
        <w:t>beneficios</w:t>
      </w:r>
      <w:r w:rsidR="00FE5921" w:rsidRPr="0077530D">
        <w:rPr>
          <w:rFonts w:ascii="Arial" w:hAnsi="Arial" w:cs="Arial"/>
          <w:sz w:val="22"/>
          <w:szCs w:val="22"/>
          <w:lang w:val="es-ES"/>
        </w:rPr>
        <w:t xml:space="preserve"> esperados</w:t>
      </w:r>
      <w:r w:rsidRPr="0077530D">
        <w:rPr>
          <w:rFonts w:ascii="Arial" w:hAnsi="Arial" w:cs="Arial"/>
          <w:sz w:val="22"/>
          <w:szCs w:val="22"/>
          <w:lang w:val="es-ES"/>
        </w:rPr>
        <w:t xml:space="preserve"> </w:t>
      </w:r>
      <w:r w:rsidR="005F7D1E" w:rsidRPr="0077530D">
        <w:rPr>
          <w:rFonts w:ascii="Arial" w:hAnsi="Arial" w:cs="Arial"/>
          <w:sz w:val="22"/>
          <w:szCs w:val="22"/>
          <w:lang w:val="es-ES"/>
        </w:rPr>
        <w:t>de este</w:t>
      </w:r>
      <w:r w:rsidR="00FE5921" w:rsidRPr="0077530D">
        <w:rPr>
          <w:rFonts w:ascii="Arial" w:hAnsi="Arial" w:cs="Arial"/>
          <w:sz w:val="22"/>
          <w:szCs w:val="22"/>
          <w:lang w:val="es-ES"/>
        </w:rPr>
        <w:t xml:space="preserve"> análisis económico. </w:t>
      </w:r>
    </w:p>
    <w:p w14:paraId="08C5EC01" w14:textId="056D30F0" w:rsidR="003D4FA3" w:rsidRPr="0077530D" w:rsidRDefault="003D4FA3" w:rsidP="003D4FA3">
      <w:pPr>
        <w:spacing w:after="100" w:afterAutospacing="1"/>
        <w:jc w:val="both"/>
        <w:rPr>
          <w:rFonts w:ascii="Arial" w:hAnsi="Arial" w:cs="Arial"/>
          <w:sz w:val="22"/>
          <w:szCs w:val="22"/>
          <w:lang w:val="es-ES"/>
        </w:rPr>
      </w:pPr>
      <w:bookmarkStart w:id="90" w:name="_Toc296257192"/>
      <w:r w:rsidRPr="0077530D">
        <w:rPr>
          <w:rFonts w:ascii="Arial" w:hAnsi="Arial" w:cs="Arial"/>
          <w:sz w:val="22"/>
          <w:szCs w:val="22"/>
          <w:lang w:val="es-ES"/>
        </w:rPr>
        <w:t>Específicamente, los indicadores de impacto planteados en el proyecto coinciden con los resultados esperados, expresados en AVADs, del fortalecimiento de algunas de las principales líneas de cuidado de eficiencia probada que se fortalecen con la intervención.</w:t>
      </w:r>
    </w:p>
    <w:p w14:paraId="38643D62" w14:textId="48A2BA83" w:rsidR="002664C1" w:rsidRPr="0077530D" w:rsidRDefault="002664C1" w:rsidP="003C4212">
      <w:pPr>
        <w:pStyle w:val="ListParagraph"/>
        <w:numPr>
          <w:ilvl w:val="0"/>
          <w:numId w:val="9"/>
        </w:numPr>
        <w:jc w:val="both"/>
        <w:rPr>
          <w:rFonts w:ascii="Arial" w:hAnsi="Arial" w:cs="Arial"/>
          <w:lang w:val="es-ES"/>
        </w:rPr>
      </w:pPr>
      <w:r w:rsidRPr="0077530D">
        <w:rPr>
          <w:rFonts w:ascii="Arial" w:hAnsi="Arial" w:cs="Arial"/>
          <w:lang w:val="es-ES"/>
        </w:rPr>
        <w:t>Raz</w:t>
      </w:r>
      <w:r w:rsidR="003C4212" w:rsidRPr="0077530D">
        <w:rPr>
          <w:rFonts w:ascii="Arial" w:hAnsi="Arial" w:cs="Arial"/>
          <w:lang w:val="es-ES"/>
        </w:rPr>
        <w:t>ón</w:t>
      </w:r>
      <w:r w:rsidRPr="0077530D">
        <w:rPr>
          <w:rFonts w:ascii="Arial" w:hAnsi="Arial" w:cs="Arial"/>
          <w:lang w:val="es-ES"/>
        </w:rPr>
        <w:t xml:space="preserve"> de mortalidad materna en el país</w:t>
      </w:r>
      <w:r w:rsidRPr="0077530D">
        <w:rPr>
          <w:rFonts w:ascii="Arial" w:hAnsi="Arial" w:cs="Arial"/>
          <w:lang w:val="es-ES"/>
        </w:rPr>
        <w:cr/>
      </w:r>
    </w:p>
    <w:p w14:paraId="6EF443D9" w14:textId="55AA254A" w:rsidR="007C3A8B" w:rsidRPr="0077530D" w:rsidRDefault="002664C1" w:rsidP="003C4212">
      <w:pPr>
        <w:pStyle w:val="ListParagraph"/>
        <w:numPr>
          <w:ilvl w:val="0"/>
          <w:numId w:val="9"/>
        </w:numPr>
        <w:jc w:val="both"/>
        <w:rPr>
          <w:rFonts w:ascii="Arial" w:hAnsi="Arial" w:cs="Arial"/>
          <w:lang w:val="es-ES"/>
        </w:rPr>
      </w:pPr>
      <w:r w:rsidRPr="0077530D">
        <w:rPr>
          <w:rFonts w:ascii="Arial" w:hAnsi="Arial" w:cs="Arial"/>
          <w:lang w:val="es-ES"/>
        </w:rPr>
        <w:t>Tasa de mortalidad neonatal en el país</w:t>
      </w:r>
    </w:p>
    <w:p w14:paraId="20C42A5D" w14:textId="388E4D81" w:rsidR="00B700A0" w:rsidRPr="00FB0A0B" w:rsidRDefault="003D4FA3" w:rsidP="0077530D">
      <w:pPr>
        <w:spacing w:after="100" w:afterAutospacing="1"/>
        <w:jc w:val="both"/>
        <w:rPr>
          <w:rFonts w:ascii="Arial" w:eastAsia="Arial" w:hAnsi="Arial" w:cs="Arial"/>
          <w:lang w:val="es-ES"/>
          <w:rPrChange w:id="91" w:author="Aguilar Blandon, Maria Alejandra" w:date="2018-08-09T15:06:00Z">
            <w:rPr>
              <w:rFonts w:ascii="Arial" w:hAnsi="Arial" w:cs="Arial"/>
              <w:lang w:val="es-ES"/>
            </w:rPr>
          </w:rPrChange>
        </w:rPr>
      </w:pPr>
      <w:r w:rsidRPr="7C974D7A">
        <w:rPr>
          <w:rFonts w:ascii="Arial" w:eastAsia="Arial" w:hAnsi="Arial" w:cs="Arial"/>
          <w:lang w:val="es-ES"/>
          <w:rPrChange w:id="92" w:author="Aguilar Blandon, Maria Alejandra" w:date="2018-08-09T15:06:00Z">
            <w:rPr>
              <w:rFonts w:ascii="Arial" w:hAnsi="Arial" w:cs="Arial"/>
              <w:lang w:val="es-ES"/>
            </w:rPr>
          </w:rPrChange>
        </w:rPr>
        <w:t>Por otro lado</w:t>
      </w:r>
      <w:r w:rsidR="00B4475F" w:rsidRPr="7C974D7A">
        <w:rPr>
          <w:rFonts w:ascii="Arial" w:eastAsia="Arial" w:hAnsi="Arial" w:cs="Arial"/>
          <w:lang w:val="es-ES"/>
          <w:rPrChange w:id="93" w:author="Aguilar Blandon, Maria Alejandra" w:date="2018-08-09T15:06:00Z">
            <w:rPr>
              <w:rFonts w:ascii="Arial" w:hAnsi="Arial" w:cs="Arial"/>
              <w:lang w:val="es-ES"/>
            </w:rPr>
          </w:rPrChange>
        </w:rPr>
        <w:t>,</w:t>
      </w:r>
      <w:r w:rsidRPr="7C974D7A">
        <w:rPr>
          <w:rFonts w:ascii="Arial" w:eastAsia="Arial" w:hAnsi="Arial" w:cs="Arial"/>
          <w:lang w:val="es-ES"/>
          <w:rPrChange w:id="94" w:author="Aguilar Blandon, Maria Alejandra" w:date="2018-08-09T15:06:00Z">
            <w:rPr>
              <w:rFonts w:ascii="Arial" w:hAnsi="Arial" w:cs="Arial"/>
              <w:lang w:val="es-ES"/>
            </w:rPr>
          </w:rPrChange>
        </w:rPr>
        <w:t xml:space="preserve"> </w:t>
      </w:r>
      <w:r w:rsidR="00B4475F" w:rsidRPr="7C974D7A">
        <w:rPr>
          <w:rFonts w:ascii="Arial" w:eastAsia="Arial" w:hAnsi="Arial" w:cs="Arial"/>
          <w:lang w:val="es-ES"/>
          <w:rPrChange w:id="95" w:author="Aguilar Blandon, Maria Alejandra" w:date="2018-08-09T15:06:00Z">
            <w:rPr>
              <w:rFonts w:ascii="Arial" w:hAnsi="Arial" w:cs="Arial"/>
              <w:lang w:val="es-ES"/>
            </w:rPr>
          </w:rPrChange>
        </w:rPr>
        <w:t>la consecución de los indicadores de resultados esperados coincide</w:t>
      </w:r>
      <w:r w:rsidRPr="7C974D7A">
        <w:rPr>
          <w:rFonts w:ascii="Arial" w:eastAsia="Arial" w:hAnsi="Arial" w:cs="Arial"/>
          <w:lang w:val="es-ES"/>
          <w:rPrChange w:id="96" w:author="Aguilar Blandon, Maria Alejandra" w:date="2018-08-09T15:06:00Z">
            <w:rPr>
              <w:rFonts w:ascii="Arial" w:hAnsi="Arial" w:cs="Arial"/>
              <w:lang w:val="es-ES"/>
            </w:rPr>
          </w:rPrChange>
        </w:rPr>
        <w:t xml:space="preserve"> con los resultados esperados de implementación adecuada de las diferentes intervenci</w:t>
      </w:r>
      <w:r w:rsidR="00D41B88" w:rsidRPr="7C974D7A">
        <w:rPr>
          <w:rFonts w:ascii="Arial" w:eastAsia="Arial" w:hAnsi="Arial" w:cs="Arial"/>
          <w:lang w:val="es-ES"/>
          <w:rPrChange w:id="97" w:author="Aguilar Blandon, Maria Alejandra" w:date="2018-08-09T15:06:00Z">
            <w:rPr>
              <w:rFonts w:ascii="Arial" w:hAnsi="Arial" w:cs="Arial"/>
              <w:lang w:val="es-ES"/>
            </w:rPr>
          </w:rPrChange>
        </w:rPr>
        <w:t>o</w:t>
      </w:r>
      <w:r w:rsidRPr="7C974D7A">
        <w:rPr>
          <w:rFonts w:ascii="Arial" w:eastAsia="Arial" w:hAnsi="Arial" w:cs="Arial"/>
          <w:lang w:val="es-ES"/>
          <w:rPrChange w:id="98" w:author="Aguilar Blandon, Maria Alejandra" w:date="2018-08-09T15:06:00Z">
            <w:rPr>
              <w:rFonts w:ascii="Arial" w:hAnsi="Arial" w:cs="Arial"/>
              <w:lang w:val="es-ES"/>
            </w:rPr>
          </w:rPrChange>
        </w:rPr>
        <w:t>n</w:t>
      </w:r>
      <w:r w:rsidR="00D41B88" w:rsidRPr="7C974D7A">
        <w:rPr>
          <w:rFonts w:ascii="Arial" w:eastAsia="Arial" w:hAnsi="Arial" w:cs="Arial"/>
          <w:lang w:val="es-ES"/>
          <w:rPrChange w:id="99" w:author="Aguilar Blandon, Maria Alejandra" w:date="2018-08-09T15:06:00Z">
            <w:rPr>
              <w:rFonts w:ascii="Arial" w:hAnsi="Arial" w:cs="Arial"/>
              <w:lang w:val="es-ES"/>
            </w:rPr>
          </w:rPrChange>
        </w:rPr>
        <w:t>es</w:t>
      </w:r>
      <w:r w:rsidRPr="7C974D7A">
        <w:rPr>
          <w:rFonts w:ascii="Arial" w:eastAsia="Arial" w:hAnsi="Arial" w:cs="Arial"/>
          <w:lang w:val="es-ES"/>
          <w:rPrChange w:id="100" w:author="Aguilar Blandon, Maria Alejandra" w:date="2018-08-09T15:06:00Z">
            <w:rPr>
              <w:rFonts w:ascii="Arial" w:hAnsi="Arial" w:cs="Arial"/>
              <w:lang w:val="es-ES"/>
            </w:rPr>
          </w:rPrChange>
        </w:rPr>
        <w:t xml:space="preserve"> consideradas en este análisis. Los indicadores de resultados esperados se relacionan con la obtención de mayor cobertura y mayor calidad de los servicios de salud </w:t>
      </w:r>
      <w:r w:rsidR="003C4212" w:rsidRPr="7C974D7A">
        <w:rPr>
          <w:rFonts w:ascii="Arial" w:eastAsia="Arial" w:hAnsi="Arial" w:cs="Arial"/>
          <w:lang w:val="es-ES"/>
          <w:rPrChange w:id="101" w:author="Aguilar Blandon, Maria Alejandra" w:date="2018-08-09T15:06:00Z">
            <w:rPr>
              <w:rFonts w:ascii="Arial" w:hAnsi="Arial" w:cs="Arial"/>
              <w:lang w:val="es-ES"/>
            </w:rPr>
          </w:rPrChange>
        </w:rPr>
        <w:t xml:space="preserve">materno-infantiles </w:t>
      </w:r>
      <w:r w:rsidRPr="7C974D7A">
        <w:rPr>
          <w:rFonts w:ascii="Arial" w:eastAsia="Arial" w:hAnsi="Arial" w:cs="Arial"/>
          <w:lang w:val="es-ES"/>
          <w:rPrChange w:id="102" w:author="Aguilar Blandon, Maria Alejandra" w:date="2018-08-09T15:06:00Z">
            <w:rPr>
              <w:rFonts w:ascii="Arial" w:hAnsi="Arial" w:cs="Arial"/>
              <w:lang w:val="es-ES"/>
            </w:rPr>
          </w:rPrChange>
        </w:rPr>
        <w:t xml:space="preserve">ofrecidos por los </w:t>
      </w:r>
      <w:r w:rsidR="003C4212" w:rsidRPr="7C974D7A">
        <w:rPr>
          <w:rFonts w:ascii="Arial" w:eastAsia="Arial" w:hAnsi="Arial" w:cs="Arial"/>
          <w:lang w:val="es-ES"/>
          <w:rPrChange w:id="103" w:author="Aguilar Blandon, Maria Alejandra" w:date="2018-08-09T15:06:00Z">
            <w:rPr>
              <w:rFonts w:ascii="Arial" w:hAnsi="Arial" w:cs="Arial"/>
              <w:lang w:val="es-ES"/>
            </w:rPr>
          </w:rPrChange>
        </w:rPr>
        <w:t>hospitales y centros intervenidos</w:t>
      </w:r>
      <w:r w:rsidRPr="7C974D7A">
        <w:rPr>
          <w:rFonts w:ascii="Arial" w:eastAsia="Arial" w:hAnsi="Arial" w:cs="Arial"/>
          <w:lang w:val="es-ES"/>
          <w:rPrChange w:id="104" w:author="Aguilar Blandon, Maria Alejandra" w:date="2018-08-09T15:06:00Z">
            <w:rPr>
              <w:rFonts w:ascii="Arial" w:hAnsi="Arial" w:cs="Arial"/>
              <w:lang w:val="es-ES"/>
            </w:rPr>
          </w:rPrChange>
        </w:rPr>
        <w:t xml:space="preserve"> de la</w:t>
      </w:r>
      <w:r w:rsidR="003C4212" w:rsidRPr="7C974D7A">
        <w:rPr>
          <w:rFonts w:ascii="Arial" w:eastAsia="Arial" w:hAnsi="Arial" w:cs="Arial"/>
          <w:lang w:val="es-ES"/>
          <w:rPrChange w:id="105" w:author="Aguilar Blandon, Maria Alejandra" w:date="2018-08-09T15:06:00Z">
            <w:rPr>
              <w:rFonts w:ascii="Arial" w:hAnsi="Arial" w:cs="Arial"/>
              <w:lang w:val="es-ES"/>
            </w:rPr>
          </w:rPrChange>
        </w:rPr>
        <w:t>s</w:t>
      </w:r>
      <w:r w:rsidRPr="7C974D7A">
        <w:rPr>
          <w:rFonts w:ascii="Arial" w:eastAsia="Arial" w:hAnsi="Arial" w:cs="Arial"/>
          <w:lang w:val="es-ES"/>
          <w:rPrChange w:id="106" w:author="Aguilar Blandon, Maria Alejandra" w:date="2018-08-09T15:06:00Z">
            <w:rPr>
              <w:rFonts w:ascii="Arial" w:hAnsi="Arial" w:cs="Arial"/>
              <w:lang w:val="es-ES"/>
            </w:rPr>
          </w:rPrChange>
        </w:rPr>
        <w:t xml:space="preserve"> red</w:t>
      </w:r>
      <w:r w:rsidR="003C4212" w:rsidRPr="7C974D7A">
        <w:rPr>
          <w:rFonts w:ascii="Arial" w:eastAsia="Arial" w:hAnsi="Arial" w:cs="Arial"/>
          <w:lang w:val="es-ES"/>
          <w:rPrChange w:id="107" w:author="Aguilar Blandon, Maria Alejandra" w:date="2018-08-09T15:06:00Z">
            <w:rPr>
              <w:rFonts w:ascii="Arial" w:hAnsi="Arial" w:cs="Arial"/>
              <w:lang w:val="es-ES"/>
            </w:rPr>
          </w:rPrChange>
        </w:rPr>
        <w:t>es intervenidas por el programa</w:t>
      </w:r>
      <w:r w:rsidR="00B4475F" w:rsidRPr="7C974D7A">
        <w:rPr>
          <w:rFonts w:ascii="Arial" w:eastAsia="Arial" w:hAnsi="Arial" w:cs="Arial"/>
          <w:lang w:val="es-ES"/>
          <w:rPrChange w:id="108" w:author="Aguilar Blandon, Maria Alejandra" w:date="2018-08-09T15:06:00Z">
            <w:rPr>
              <w:rFonts w:ascii="Arial" w:hAnsi="Arial" w:cs="Arial"/>
              <w:lang w:val="es-ES"/>
            </w:rPr>
          </w:rPrChange>
        </w:rPr>
        <w:t>,</w:t>
      </w:r>
      <w:r w:rsidR="00FC78A1" w:rsidRPr="7C974D7A">
        <w:rPr>
          <w:rFonts w:ascii="Arial" w:eastAsia="Arial" w:hAnsi="Arial" w:cs="Arial"/>
          <w:lang w:val="es-ES"/>
          <w:rPrChange w:id="109" w:author="Aguilar Blandon, Maria Alejandra" w:date="2018-08-09T15:06:00Z">
            <w:rPr>
              <w:rFonts w:ascii="Arial" w:hAnsi="Arial" w:cs="Arial"/>
              <w:lang w:val="es-ES"/>
            </w:rPr>
          </w:rPrChange>
        </w:rPr>
        <w:t xml:space="preserve"> es decir el aumento marginal de la cobertura efectiva</w:t>
      </w:r>
      <w:r w:rsidRPr="7C974D7A">
        <w:rPr>
          <w:rFonts w:ascii="Arial" w:eastAsia="Arial" w:hAnsi="Arial" w:cs="Arial"/>
          <w:lang w:val="es-ES"/>
          <w:rPrChange w:id="110" w:author="Aguilar Blandon, Maria Alejandra" w:date="2018-08-09T15:06:00Z">
            <w:rPr>
              <w:rFonts w:ascii="Arial" w:hAnsi="Arial" w:cs="Arial"/>
              <w:lang w:val="es-ES"/>
            </w:rPr>
          </w:rPrChange>
        </w:rPr>
        <w:t xml:space="preserve">. </w:t>
      </w:r>
      <w:r w:rsidR="008A1DD3" w:rsidRPr="7C974D7A">
        <w:rPr>
          <w:rFonts w:ascii="Arial" w:eastAsia="Arial" w:hAnsi="Arial" w:cs="Arial"/>
          <w:lang w:val="es-ES"/>
          <w:rPrChange w:id="111" w:author="Aguilar Blandon, Maria Alejandra" w:date="2018-08-09T15:06:00Z">
            <w:rPr>
              <w:rFonts w:ascii="Arial" w:hAnsi="Arial" w:cs="Arial"/>
              <w:lang w:val="es-ES"/>
            </w:rPr>
          </w:rPrChange>
        </w:rPr>
        <w:t xml:space="preserve">A </w:t>
      </w:r>
      <w:r w:rsidR="00AC4A17" w:rsidRPr="7C974D7A">
        <w:rPr>
          <w:rFonts w:ascii="Arial" w:eastAsia="Arial" w:hAnsi="Arial" w:cs="Arial"/>
          <w:lang w:val="es-ES"/>
          <w:rPrChange w:id="112" w:author="Aguilar Blandon, Maria Alejandra" w:date="2018-08-09T15:06:00Z">
            <w:rPr>
              <w:rFonts w:ascii="Arial" w:hAnsi="Arial" w:cs="Arial"/>
              <w:lang w:val="es-ES"/>
            </w:rPr>
          </w:rPrChange>
        </w:rPr>
        <w:t>continuación,</w:t>
      </w:r>
      <w:r w:rsidR="008A1DD3" w:rsidRPr="7C974D7A">
        <w:rPr>
          <w:rFonts w:ascii="Arial" w:eastAsia="Arial" w:hAnsi="Arial" w:cs="Arial"/>
          <w:lang w:val="es-ES"/>
          <w:rPrChange w:id="113" w:author="Aguilar Blandon, Maria Alejandra" w:date="2018-08-09T15:06:00Z">
            <w:rPr>
              <w:rFonts w:ascii="Arial" w:hAnsi="Arial" w:cs="Arial"/>
              <w:lang w:val="es-ES"/>
            </w:rPr>
          </w:rPrChange>
        </w:rPr>
        <w:t xml:space="preserve"> se presenta la tabla con los resultados esperados del </w:t>
      </w:r>
      <w:r w:rsidR="0077796B" w:rsidRPr="0077530D">
        <w:rPr>
          <w:rFonts w:ascii="Arial" w:hAnsi="Arial" w:cs="Arial"/>
          <w:lang w:val="es-ES"/>
        </w:rPr>
        <w:t>pro</w:t>
      </w:r>
      <w:r w:rsidR="0077796B" w:rsidRPr="0077530D">
        <w:rPr>
          <w:rFonts w:ascii="Arial" w:hAnsi="Arial" w:cs="Arial"/>
          <w:lang w:val="es-ES"/>
        </w:rPr>
        <w:t>grama</w:t>
      </w:r>
      <w:r w:rsidR="008A1DD3" w:rsidRPr="0077530D">
        <w:rPr>
          <w:rFonts w:ascii="Arial" w:hAnsi="Arial" w:cs="Arial"/>
          <w:lang w:val="es-ES"/>
        </w:rPr>
        <w:t xml:space="preserve">. </w:t>
      </w:r>
    </w:p>
    <w:p w14:paraId="0F72C014" w14:textId="534C9C2D" w:rsidR="008A1DD3" w:rsidRPr="0077530D" w:rsidRDefault="008A1DD3" w:rsidP="0020433F">
      <w:pPr>
        <w:spacing w:before="120" w:after="120"/>
        <w:jc w:val="center"/>
        <w:textAlignment w:val="baseline"/>
        <w:rPr>
          <w:rFonts w:ascii="Arial" w:eastAsia="Times New Roman" w:hAnsi="Arial" w:cs="Arial"/>
          <w:b/>
          <w:bCs/>
          <w:smallCaps/>
          <w:color w:val="000000"/>
          <w:sz w:val="20"/>
          <w:szCs w:val="20"/>
          <w:lang w:val="es-MX"/>
        </w:rPr>
      </w:pPr>
      <w:r w:rsidRPr="0077530D">
        <w:rPr>
          <w:rFonts w:ascii="Arial" w:eastAsia="Times New Roman" w:hAnsi="Arial" w:cs="Arial"/>
          <w:b/>
          <w:bCs/>
          <w:smallCaps/>
          <w:color w:val="000000"/>
          <w:sz w:val="20"/>
          <w:szCs w:val="20"/>
          <w:lang w:val="es-MX"/>
        </w:rPr>
        <w:lastRenderedPageBreak/>
        <w:t>Resultados Esperados</w:t>
      </w:r>
    </w:p>
    <w:tbl>
      <w:tblPr>
        <w:tblW w:w="9810" w:type="dxa"/>
        <w:tblInd w:w="-10" w:type="dxa"/>
        <w:tblLook w:val="04A0" w:firstRow="1" w:lastRow="0" w:firstColumn="1" w:lastColumn="0" w:noHBand="0" w:noVBand="1"/>
        <w:tblPrChange w:id="114" w:author="Aguilar Blandon, Maria Alejandra" w:date="2018-08-09T15:06:00Z">
          <w:tblPr>
            <w:tblW w:w="9810" w:type="dxa"/>
            <w:tblInd w:w="-10" w:type="dxa"/>
            <w:tblLook w:val="04A0" w:firstRow="1" w:lastRow="0" w:firstColumn="1" w:lastColumn="0" w:noHBand="0" w:noVBand="1"/>
          </w:tblPr>
        </w:tblPrChange>
      </w:tblPr>
      <w:tblGrid>
        <w:gridCol w:w="2588"/>
        <w:gridCol w:w="1077"/>
        <w:gridCol w:w="1207"/>
        <w:gridCol w:w="6"/>
        <w:gridCol w:w="697"/>
        <w:gridCol w:w="703"/>
        <w:gridCol w:w="504"/>
        <w:gridCol w:w="8"/>
        <w:gridCol w:w="695"/>
        <w:gridCol w:w="703"/>
        <w:gridCol w:w="444"/>
        <w:gridCol w:w="703"/>
        <w:gridCol w:w="1506"/>
        <w:gridCol w:w="5"/>
        <w:tblGridChange w:id="115">
          <w:tblGrid>
            <w:gridCol w:w="2588"/>
            <w:gridCol w:w="1077"/>
            <w:gridCol w:w="1207"/>
            <w:gridCol w:w="6"/>
            <w:gridCol w:w="697"/>
            <w:gridCol w:w="703"/>
            <w:gridCol w:w="504"/>
            <w:gridCol w:w="8"/>
            <w:gridCol w:w="695"/>
            <w:gridCol w:w="703"/>
            <w:gridCol w:w="444"/>
            <w:gridCol w:w="703"/>
            <w:gridCol w:w="1506"/>
            <w:gridCol w:w="5"/>
          </w:tblGrid>
        </w:tblGridChange>
      </w:tblGrid>
      <w:tr w:rsidR="005C43D2" w:rsidRPr="0077530D" w14:paraId="5FDD7FF1" w14:textId="77777777" w:rsidTr="71FBF423">
        <w:trPr>
          <w:gridAfter w:val="1"/>
          <w:trHeight w:val="209"/>
          <w:tblHeader/>
          <w:trPrChange w:id="116" w:author="Aguilar Blandon, Maria Alejandra" w:date="2018-08-09T15:06:00Z">
            <w:trPr>
              <w:gridAfter w:val="1"/>
              <w:trHeight w:val="209"/>
              <w:tblHeader/>
            </w:trPr>
          </w:trPrChange>
        </w:trPr>
        <w:tc>
          <w:tcPr>
            <w:tcW w:w="9810" w:type="dxa"/>
            <w:gridSpan w:val="13"/>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Change w:id="117" w:author="Aguilar Blandon, Maria Alejandra" w:date="2018-08-09T15:06:00Z">
              <w:tcPr>
                <w:tcW w:w="9810" w:type="dxa"/>
                <w:gridSpan w:val="13"/>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tcPrChange>
          </w:tcPr>
          <w:p w14:paraId="560383A0" w14:textId="77777777" w:rsidR="005C43D2" w:rsidRPr="0077530D" w:rsidRDefault="005C43D2" w:rsidP="00327CE0">
            <w:pPr>
              <w:jc w:val="center"/>
              <w:rPr>
                <w:rFonts w:ascii="Arial" w:eastAsia="Times New Roman" w:hAnsi="Arial" w:cs="Arial"/>
                <w:b/>
                <w:bCs/>
                <w:color w:val="000000"/>
                <w:sz w:val="18"/>
                <w:szCs w:val="18"/>
              </w:rPr>
            </w:pPr>
            <w:r w:rsidRPr="0077530D">
              <w:rPr>
                <w:rFonts w:ascii="Arial" w:eastAsia="Times New Roman" w:hAnsi="Arial" w:cs="Arial"/>
                <w:b/>
                <w:bCs/>
                <w:color w:val="000000"/>
                <w:sz w:val="18"/>
                <w:szCs w:val="18"/>
                <w:lang w:val="es-PY"/>
              </w:rPr>
              <w:t>RESULTADOS</w:t>
            </w:r>
          </w:p>
        </w:tc>
      </w:tr>
      <w:tr w:rsidR="00C612F9" w:rsidRPr="0077530D" w14:paraId="2EC14F23" w14:textId="77777777" w:rsidTr="71FBF423">
        <w:trPr>
          <w:gridAfter w:val="1"/>
          <w:trHeight w:val="209"/>
          <w:tblHeader/>
        </w:trPr>
        <w:tc>
          <w:tcPr>
            <w:tcW w:w="1557"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F82333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Indicadores</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0F2B53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Unidad de medida</w:t>
            </w:r>
          </w:p>
        </w:tc>
        <w:tc>
          <w:tcPr>
            <w:tcW w:w="1910" w:type="dxa"/>
            <w:gridSpan w:val="3"/>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0A1E033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Línea de Base</w:t>
            </w:r>
          </w:p>
        </w:tc>
        <w:tc>
          <w:tcPr>
            <w:tcW w:w="1910" w:type="dxa"/>
            <w:gridSpan w:val="4"/>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C6D92A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Meta Final</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2A08D7A"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Fuente / Medio de Verificación</w:t>
            </w:r>
          </w:p>
        </w:tc>
        <w:tc>
          <w:tcPr>
            <w:tcW w:w="2209" w:type="dxa"/>
            <w:gridSpan w:val="2"/>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7460559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Observaciones</w:t>
            </w:r>
          </w:p>
        </w:tc>
      </w:tr>
      <w:tr w:rsidR="00C612F9" w:rsidRPr="0077530D" w14:paraId="71973919" w14:textId="77777777" w:rsidTr="71FBF423">
        <w:trPr>
          <w:gridAfter w:val="1"/>
          <w:trHeight w:val="384"/>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4905C928" w14:textId="77777777" w:rsidR="005C43D2" w:rsidRPr="0077530D" w:rsidRDefault="005C43D2" w:rsidP="00327CE0">
            <w:pPr>
              <w:rPr>
                <w:rFonts w:ascii="Arial" w:eastAsia="Times New Roman" w:hAnsi="Arial" w:cs="Arial"/>
                <w:color w:val="000000"/>
                <w:sz w:val="18"/>
                <w:szCs w:val="18"/>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14:paraId="7E02DC65" w14:textId="77777777" w:rsidR="005C43D2" w:rsidRPr="0077530D" w:rsidRDefault="005C43D2" w:rsidP="00327CE0">
            <w:pPr>
              <w:rPr>
                <w:rFonts w:ascii="Arial" w:eastAsia="Times New Roman" w:hAnsi="Arial" w:cs="Arial"/>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4ECDF8D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Valor</w:t>
            </w:r>
          </w:p>
        </w:tc>
        <w:tc>
          <w:tcPr>
            <w:tcW w:w="703"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4ED11EF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Año</w:t>
            </w:r>
          </w:p>
        </w:tc>
        <w:tc>
          <w:tcPr>
            <w:tcW w:w="1207"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9D93B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Valor</w:t>
            </w:r>
          </w:p>
        </w:tc>
        <w:tc>
          <w:tcPr>
            <w:tcW w:w="703"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0337BC5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Año</w:t>
            </w: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0C419460"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
          <w:p w14:paraId="4AE5EBE3" w14:textId="77777777" w:rsidR="005C43D2" w:rsidRPr="0077530D" w:rsidRDefault="005C43D2" w:rsidP="00327CE0">
            <w:pPr>
              <w:rPr>
                <w:rFonts w:ascii="Arial" w:eastAsia="Times New Roman" w:hAnsi="Arial" w:cs="Arial"/>
                <w:color w:val="000000"/>
                <w:sz w:val="18"/>
                <w:szCs w:val="18"/>
              </w:rPr>
            </w:pPr>
          </w:p>
        </w:tc>
      </w:tr>
      <w:tr w:rsidR="005C43D2" w:rsidRPr="0077530D" w14:paraId="43D73A33" w14:textId="77777777" w:rsidTr="71FBF423">
        <w:trPr>
          <w:gridAfter w:val="1"/>
          <w:trHeight w:val="349"/>
          <w:trPrChange w:id="118" w:author="Aguilar Blandon, Maria Alejandra" w:date="2018-08-09T15:06:00Z">
            <w:trPr>
              <w:gridAfter w:val="1"/>
              <w:trHeight w:val="349"/>
            </w:trPr>
          </w:trPrChange>
        </w:trPr>
        <w:tc>
          <w:tcPr>
            <w:tcW w:w="9810"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Change w:id="119" w:author="Aguilar Blandon, Maria Alejandra" w:date="2018-08-09T15:06:00Z">
              <w:tcPr>
                <w:tcW w:w="9810"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tcPrChange>
          </w:tcPr>
          <w:p w14:paraId="5176563D" w14:textId="50DF3426" w:rsidR="005C43D2" w:rsidRPr="0077530D" w:rsidRDefault="005C43D2" w:rsidP="00327CE0">
            <w:pPr>
              <w:jc w:val="center"/>
              <w:rPr>
                <w:rFonts w:ascii="Arial" w:eastAsia="Times New Roman" w:hAnsi="Arial" w:cs="Arial"/>
                <w:color w:val="000000"/>
                <w:sz w:val="18"/>
                <w:szCs w:val="18"/>
                <w:lang w:val="es-AR"/>
              </w:rPr>
            </w:pPr>
            <w:bookmarkStart w:id="120" w:name="RANGE!A4"/>
            <w:r w:rsidRPr="0077530D">
              <w:rPr>
                <w:rFonts w:ascii="Arial" w:eastAsia="Times New Roman" w:hAnsi="Arial" w:cs="Arial"/>
                <w:color w:val="000000"/>
                <w:sz w:val="18"/>
                <w:szCs w:val="18"/>
                <w:lang w:val="es-PY"/>
              </w:rPr>
              <w:t xml:space="preserve">R1: Calidad y Accesibilidad de los cuidados obstétricos, neonatales y de la Planificación Familiar, incrementada </w:t>
            </w:r>
            <w:bookmarkEnd w:id="120"/>
          </w:p>
        </w:tc>
      </w:tr>
      <w:tr w:rsidR="00D4539B" w:rsidRPr="0077530D" w14:paraId="5B289CD6" w14:textId="77777777" w:rsidTr="71FBF423">
        <w:trPr>
          <w:gridAfter w:val="1"/>
          <w:trHeight w:val="477"/>
          <w:trPrChange w:id="121" w:author="Aguilar Blandon, Maria Alejandra" w:date="2018-08-09T15:06:00Z">
            <w:trPr>
              <w:gridAfter w:val="1"/>
              <w:trHeight w:val="477"/>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22"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2E0A0C7" w14:textId="77777777" w:rsidR="005C43D2" w:rsidRPr="0077530D" w:rsidRDefault="005C43D2" w:rsidP="00327CE0">
            <w:pPr>
              <w:rPr>
                <w:rFonts w:ascii="Arial" w:eastAsia="Times New Roman" w:hAnsi="Arial" w:cs="Arial"/>
                <w:color w:val="000000"/>
                <w:sz w:val="18"/>
                <w:szCs w:val="18"/>
                <w:lang w:val="es-AR"/>
              </w:rPr>
            </w:pPr>
            <w:bookmarkStart w:id="123" w:name="RANGE!A5"/>
            <w:bookmarkStart w:id="124" w:name="_Hlk517371484" w:colFirst="1" w:colLast="7"/>
            <w:r w:rsidRPr="0077530D">
              <w:rPr>
                <w:rFonts w:ascii="Arial" w:eastAsia="Times New Roman" w:hAnsi="Arial" w:cs="Arial"/>
                <w:color w:val="000000"/>
                <w:sz w:val="18"/>
                <w:szCs w:val="18"/>
                <w:lang w:val="es-PY"/>
              </w:rPr>
              <w:t>I1. Partos atendidos en establecimientos de salud</w:t>
            </w:r>
            <w:bookmarkEnd w:id="123"/>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25"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E84BB7F"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26"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519E2B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71,44%</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27"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D1C19D7"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28"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A183B53"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85%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29"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EA8C07C"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30"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AED2D03"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31"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7E4AF5F"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4582123B" w14:textId="77777777" w:rsidTr="0077530D">
        <w:trPr>
          <w:trHeight w:val="407"/>
        </w:trPr>
        <w:tc>
          <w:tcPr>
            <w:tcW w:w="1557" w:type="dxa"/>
            <w:tcBorders>
              <w:top w:val="single" w:sz="4" w:space="0" w:color="auto"/>
              <w:left w:val="single" w:sz="4" w:space="0" w:color="auto"/>
              <w:bottom w:val="single" w:sz="4" w:space="0" w:color="auto"/>
              <w:right w:val="single" w:sz="4" w:space="0" w:color="auto"/>
            </w:tcBorders>
            <w:vAlign w:val="center"/>
            <w:hideMark/>
          </w:tcPr>
          <w:p w14:paraId="4015A8F7" w14:textId="77777777" w:rsidR="005C43D2" w:rsidRPr="0077530D" w:rsidRDefault="005C43D2" w:rsidP="00327CE0">
            <w:pPr>
              <w:rPr>
                <w:rFonts w:ascii="Arial" w:eastAsia="Times New Roman" w:hAnsi="Arial" w:cs="Arial"/>
                <w:color w:val="000000"/>
                <w:sz w:val="18"/>
                <w:szCs w:val="18"/>
                <w:lang w:val="es-AR"/>
              </w:rPr>
            </w:pPr>
          </w:p>
        </w:tc>
        <w:tc>
          <w:tcPr>
            <w:tcW w:w="1077" w:type="dxa"/>
            <w:tcBorders>
              <w:top w:val="single" w:sz="4" w:space="0" w:color="auto"/>
              <w:left w:val="single" w:sz="4" w:space="0" w:color="auto"/>
              <w:bottom w:val="single" w:sz="4" w:space="0" w:color="auto"/>
              <w:right w:val="single" w:sz="4" w:space="0" w:color="auto"/>
            </w:tcBorders>
            <w:vAlign w:val="center"/>
            <w:hideMark/>
          </w:tcPr>
          <w:p w14:paraId="19FFE2CD" w14:textId="77777777" w:rsidR="005C43D2" w:rsidRPr="0077530D" w:rsidRDefault="005C43D2" w:rsidP="00327CE0">
            <w:pPr>
              <w:rPr>
                <w:rFonts w:ascii="Arial" w:eastAsia="Times New Roman" w:hAnsi="Arial" w:cs="Arial"/>
                <w:color w:val="000000"/>
                <w:sz w:val="18"/>
                <w:szCs w:val="18"/>
                <w:lang w:val="es-AR"/>
              </w:rPr>
            </w:pPr>
          </w:p>
        </w:tc>
        <w:tc>
          <w:tcPr>
            <w:tcW w:w="1207" w:type="dxa"/>
            <w:gridSpan w:val="3"/>
            <w:tcBorders>
              <w:top w:val="single" w:sz="4" w:space="0" w:color="auto"/>
              <w:left w:val="single" w:sz="4" w:space="0" w:color="auto"/>
              <w:bottom w:val="single" w:sz="4" w:space="0" w:color="auto"/>
              <w:right w:val="single" w:sz="4" w:space="0" w:color="auto"/>
            </w:tcBorders>
            <w:vAlign w:val="center"/>
            <w:hideMark/>
          </w:tcPr>
          <w:p w14:paraId="08AC8880" w14:textId="77777777" w:rsidR="005C43D2" w:rsidRPr="0077530D" w:rsidRDefault="005C43D2" w:rsidP="00327CE0">
            <w:pPr>
              <w:rPr>
                <w:rFonts w:ascii="Arial" w:eastAsia="Times New Roman" w:hAnsi="Arial" w:cs="Arial"/>
                <w:color w:val="000000"/>
                <w:sz w:val="18"/>
                <w:szCs w:val="18"/>
                <w:lang w:val="es-AR"/>
              </w:rPr>
            </w:pPr>
          </w:p>
        </w:tc>
        <w:tc>
          <w:tcPr>
            <w:tcW w:w="703" w:type="dxa"/>
            <w:tcBorders>
              <w:top w:val="single" w:sz="4" w:space="0" w:color="auto"/>
              <w:left w:val="single" w:sz="4" w:space="0" w:color="auto"/>
              <w:bottom w:val="single" w:sz="4" w:space="0" w:color="auto"/>
              <w:right w:val="single" w:sz="4" w:space="0" w:color="auto"/>
            </w:tcBorders>
            <w:vAlign w:val="center"/>
            <w:hideMark/>
          </w:tcPr>
          <w:p w14:paraId="5DFD488D" w14:textId="77777777" w:rsidR="005C43D2" w:rsidRPr="0077530D" w:rsidRDefault="005C43D2" w:rsidP="00327CE0">
            <w:pPr>
              <w:rPr>
                <w:rFonts w:ascii="Arial" w:eastAsia="Times New Roman" w:hAnsi="Arial" w:cs="Arial"/>
                <w:color w:val="000000"/>
                <w:sz w:val="18"/>
                <w:szCs w:val="18"/>
                <w:lang w:val="es-AR"/>
              </w:rPr>
            </w:pPr>
          </w:p>
        </w:tc>
        <w:tc>
          <w:tcPr>
            <w:tcW w:w="1207" w:type="dxa"/>
            <w:gridSpan w:val="3"/>
            <w:tcBorders>
              <w:top w:val="single" w:sz="4" w:space="0" w:color="auto"/>
              <w:left w:val="single" w:sz="4" w:space="0" w:color="auto"/>
              <w:bottom w:val="single" w:sz="4" w:space="0" w:color="auto"/>
              <w:right w:val="single" w:sz="4" w:space="0" w:color="auto"/>
            </w:tcBorders>
            <w:vAlign w:val="center"/>
            <w:hideMark/>
          </w:tcPr>
          <w:p w14:paraId="58D52FF3" w14:textId="77777777" w:rsidR="005C43D2" w:rsidRPr="0077530D" w:rsidRDefault="005C43D2" w:rsidP="00327CE0">
            <w:pPr>
              <w:rPr>
                <w:rFonts w:ascii="Arial" w:eastAsia="Times New Roman" w:hAnsi="Arial" w:cs="Arial"/>
                <w:color w:val="000000"/>
                <w:sz w:val="18"/>
                <w:szCs w:val="18"/>
                <w:lang w:val="es-AR"/>
              </w:rPr>
            </w:pPr>
          </w:p>
        </w:tc>
        <w:tc>
          <w:tcPr>
            <w:tcW w:w="703" w:type="dxa"/>
            <w:tcBorders>
              <w:top w:val="single" w:sz="4" w:space="0" w:color="auto"/>
              <w:left w:val="single" w:sz="4" w:space="0" w:color="auto"/>
              <w:bottom w:val="single" w:sz="4" w:space="0" w:color="auto"/>
              <w:right w:val="single" w:sz="4" w:space="0" w:color="auto"/>
            </w:tcBorders>
            <w:vAlign w:val="center"/>
            <w:hideMark/>
          </w:tcPr>
          <w:p w14:paraId="059D583F" w14:textId="77777777" w:rsidR="005C43D2" w:rsidRPr="0077530D" w:rsidRDefault="005C43D2" w:rsidP="00327CE0">
            <w:pPr>
              <w:rPr>
                <w:rFonts w:ascii="Arial" w:eastAsia="Times New Roman" w:hAnsi="Arial" w:cs="Arial"/>
                <w:color w:val="000000"/>
                <w:sz w:val="18"/>
                <w:szCs w:val="18"/>
                <w:lang w:val="es-AR"/>
              </w:rPr>
            </w:pPr>
          </w:p>
        </w:tc>
        <w:tc>
          <w:tcPr>
            <w:tcW w:w="1147" w:type="dxa"/>
            <w:gridSpan w:val="2"/>
            <w:tcBorders>
              <w:top w:val="single" w:sz="4" w:space="0" w:color="auto"/>
              <w:left w:val="single" w:sz="4" w:space="0" w:color="auto"/>
              <w:bottom w:val="single" w:sz="4" w:space="0" w:color="auto"/>
              <w:right w:val="single" w:sz="4" w:space="0" w:color="auto"/>
            </w:tcBorders>
            <w:vAlign w:val="center"/>
            <w:hideMark/>
          </w:tcPr>
          <w:p w14:paraId="004F09A2" w14:textId="77777777" w:rsidR="005C43D2" w:rsidRPr="0077530D" w:rsidRDefault="005C43D2" w:rsidP="00327CE0">
            <w:pPr>
              <w:rPr>
                <w:rFonts w:ascii="Arial" w:eastAsia="Times New Roman" w:hAnsi="Arial" w:cs="Arial"/>
                <w:color w:val="000000"/>
                <w:sz w:val="18"/>
                <w:szCs w:val="18"/>
                <w:lang w:val="es-AR"/>
              </w:rPr>
            </w:pPr>
          </w:p>
        </w:tc>
        <w:tc>
          <w:tcPr>
            <w:tcW w:w="2209" w:type="dxa"/>
            <w:gridSpan w:val="2"/>
            <w:tcBorders>
              <w:top w:val="single" w:sz="4" w:space="0" w:color="auto"/>
              <w:left w:val="single" w:sz="4" w:space="0" w:color="auto"/>
              <w:bottom w:val="single" w:sz="4" w:space="0" w:color="auto"/>
              <w:right w:val="single" w:sz="4" w:space="0" w:color="auto"/>
            </w:tcBorders>
            <w:vAlign w:val="center"/>
            <w:hideMark/>
          </w:tcPr>
          <w:p w14:paraId="73314DC9" w14:textId="77777777" w:rsidR="005C43D2" w:rsidRPr="0077530D" w:rsidRDefault="005C43D2" w:rsidP="00327CE0">
            <w:pPr>
              <w:rPr>
                <w:rFonts w:ascii="Arial" w:eastAsia="Times New Roman" w:hAnsi="Arial" w:cs="Arial"/>
                <w:color w:val="000000"/>
                <w:sz w:val="18"/>
                <w:szCs w:val="18"/>
                <w:lang w:val="es-AR"/>
              </w:rPr>
            </w:pPr>
          </w:p>
        </w:tc>
      </w:tr>
      <w:tr w:rsidR="00D4539B" w:rsidRPr="0077530D" w14:paraId="6C925974" w14:textId="77777777" w:rsidTr="71FBF423">
        <w:trPr>
          <w:gridAfter w:val="1"/>
          <w:trHeight w:val="780"/>
          <w:trPrChange w:id="132" w:author="Aguilar Blandon, Maria Alejandra" w:date="2018-08-09T15:06:00Z">
            <w:trPr>
              <w:gridAfter w:val="1"/>
              <w:trHeight w:val="780"/>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33"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A022D30"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I2. Partos atendidos en hospital/centro integral de salud</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34"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08C566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35"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2DC016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53,07%</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36"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D2E2DDA"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37"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FA1B37A"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63%</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38"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96F1A6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39"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654950B"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40"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5E6A69B"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26B62D0C" w14:textId="77777777" w:rsidTr="71FBF423">
        <w:trPr>
          <w:gridAfter w:val="1"/>
          <w:trHeight w:val="943"/>
          <w:trPrChange w:id="141" w:author="Aguilar Blandon, Maria Alejandra" w:date="2018-08-09T15:06:00Z">
            <w:trPr>
              <w:gridAfter w:val="1"/>
              <w:trHeight w:val="943"/>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42"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57EAC7A"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I3. Mujeres embarazadas que reciben atención prenatal antes de la semana 20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43"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7ABAF8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44"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07A3E9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89,06%</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45"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CBEF6B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46"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50B097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94%</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47"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376265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48"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6A8CB6B"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49"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490811E"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374522D0" w14:textId="77777777" w:rsidTr="71FBF423">
        <w:trPr>
          <w:gridAfter w:val="1"/>
          <w:trHeight w:val="757"/>
          <w:trPrChange w:id="150" w:author="Aguilar Blandon, Maria Alejandra" w:date="2018-08-09T15:06:00Z">
            <w:trPr>
              <w:gridAfter w:val="1"/>
              <w:trHeight w:val="757"/>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51"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5EAF456"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I4. Mujeres que reciben al menos 4 controles obstétricos</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52"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1AC4BF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53"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9EA98C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73,18%</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54"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7F3A23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55"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8A22FD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85%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56"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111C5C9"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57"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1DD8DD4"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58"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B96E7BE"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79F469F6" w14:textId="77777777" w:rsidTr="71FBF423">
        <w:trPr>
          <w:gridAfter w:val="1"/>
          <w:trHeight w:val="757"/>
          <w:trPrChange w:id="159" w:author="Aguilar Blandon, Maria Alejandra" w:date="2018-08-09T15:06:00Z">
            <w:trPr>
              <w:gridAfter w:val="1"/>
              <w:trHeight w:val="757"/>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60"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25567A4"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I5. Recién nacidos que reciben atención posnatal antes de las 48 horas</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61"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175F5D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62"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565FFB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65,28%</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63"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51006E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64"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2E62D6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75%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65"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367AB13"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66"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B1A9A4C"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67"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69E1766"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74744F1B" w14:textId="77777777" w:rsidTr="71FBF423">
        <w:trPr>
          <w:gridAfter w:val="1"/>
          <w:trHeight w:val="943"/>
          <w:trPrChange w:id="168" w:author="Aguilar Blandon, Maria Alejandra" w:date="2018-08-09T15:06:00Z">
            <w:trPr>
              <w:gridAfter w:val="1"/>
              <w:trHeight w:val="943"/>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69"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091EE44" w14:textId="46402B26" w:rsidR="005C43D2" w:rsidRPr="00EE3A9A" w:rsidRDefault="005C43D2" w:rsidP="00327CE0">
            <w:pPr>
              <w:rPr>
                <w:rFonts w:ascii="Arial,Times New Roman" w:eastAsia="Arial,Times New Roman" w:hAnsi="Arial,Times New Roman" w:cs="Arial,Times New Roman"/>
                <w:color w:val="000000"/>
                <w:sz w:val="18"/>
                <w:szCs w:val="18"/>
                <w:lang w:val="es-AR"/>
                <w:rPrChange w:id="170" w:author="Aguilar Blandon, Maria Alejandra" w:date="2018-08-09T15:06:00Z">
                  <w:rPr>
                    <w:rFonts w:ascii="Arial" w:eastAsia="Times New Roman" w:hAnsi="Arial" w:cs="Arial"/>
                    <w:color w:val="000000"/>
                    <w:sz w:val="18"/>
                    <w:szCs w:val="18"/>
                    <w:lang w:val="es-AR"/>
                  </w:rPr>
                </w:rPrChange>
              </w:rPr>
            </w:pPr>
            <w:r w:rsidRPr="7C974D7A">
              <w:rPr>
                <w:rFonts w:ascii="Arial" w:eastAsia="Arial" w:hAnsi="Arial" w:cs="Arial"/>
                <w:color w:val="000000"/>
                <w:sz w:val="18"/>
                <w:szCs w:val="18"/>
                <w:lang w:val="es-PY"/>
                <w:rPrChange w:id="171" w:author="Aguilar Blandon, Maria Alejandra" w:date="2018-08-09T15:06:00Z">
                  <w:rPr>
                    <w:rFonts w:ascii="Arial" w:eastAsia="Times New Roman" w:hAnsi="Arial" w:cs="Arial"/>
                    <w:color w:val="000000"/>
                    <w:sz w:val="18"/>
                    <w:szCs w:val="18"/>
                    <w:lang w:val="es-PY"/>
                  </w:rPr>
                </w:rPrChange>
              </w:rPr>
              <w:t>I6. Mujeres en edad fértil que utilizan métodos modernos de Planificación Familiar (PF</w:t>
            </w:r>
            <w:r w:rsidR="00FB0A0B" w:rsidRPr="0077530D">
              <w:rPr>
                <w:rFonts w:ascii="Arial" w:eastAsia="Times New Roman" w:hAnsi="Arial" w:cs="Arial"/>
                <w:color w:val="000000"/>
                <w:sz w:val="18"/>
                <w:szCs w:val="18"/>
                <w:lang w:val="es-PY"/>
              </w:rPr>
              <w:t>)</w:t>
            </w:r>
            <w:r w:rsidR="00FB0A0B" w:rsidRPr="7C974D7A">
              <w:rPr>
                <w:rFonts w:ascii="Arial,Times New Roman" w:eastAsia="Arial,Times New Roman" w:hAnsi="Arial,Times New Roman" w:cs="Arial,Times New Roman"/>
                <w:color w:val="000000"/>
                <w:sz w:val="18"/>
                <w:szCs w:val="18"/>
                <w:lang w:val="es-PY"/>
                <w:rPrChange w:id="172" w:author="Aguilar Blandon, Maria Alejandra" w:date="2018-08-09T15:06:00Z">
                  <w:rPr>
                    <w:rFonts w:ascii="Arial" w:eastAsia="Times New Roman" w:hAnsi="Arial" w:cs="Arial"/>
                    <w:color w:val="000000"/>
                    <w:sz w:val="18"/>
                    <w:szCs w:val="18"/>
                    <w:lang w:val="es-PY"/>
                  </w:rPr>
                </w:rPrChange>
              </w:rPr>
              <w:t> </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73"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96E6FC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74"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CC24323"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42,21%</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75"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396718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76"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D8D28E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55%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77"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B66BA8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78"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F0E7EA5"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79"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A1D6339"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130DFB03" w14:textId="77777777" w:rsidTr="71FBF423">
        <w:trPr>
          <w:gridAfter w:val="1"/>
          <w:trHeight w:val="757"/>
          <w:trPrChange w:id="180" w:author="Aguilar Blandon, Maria Alejandra" w:date="2018-08-09T15:06:00Z">
            <w:trPr>
              <w:gridAfter w:val="1"/>
              <w:trHeight w:val="757"/>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81"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D0BB100"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I7. Embarazadas desnutridas</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82"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4921FF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83"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4E063AC"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7,37%</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84"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F5CB8BF"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85"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328232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5,5%</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86"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5D91F47"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87"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591C2BB"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88"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3E854E7"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4879FB76" w14:textId="77777777" w:rsidTr="71FBF423">
        <w:trPr>
          <w:gridAfter w:val="1"/>
          <w:trHeight w:val="757"/>
          <w:trPrChange w:id="189" w:author="Aguilar Blandon, Maria Alejandra" w:date="2018-08-09T15:06:00Z">
            <w:trPr>
              <w:gridAfter w:val="1"/>
              <w:trHeight w:val="757"/>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90"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A635472"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I8. Prevalencia de bajo peso a nacer</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91"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FAB4F49"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Tasa</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192"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A0D945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27,41</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93"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6017C8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94"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213A24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18%</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95"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645906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96"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5C2917F"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197"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4547E31"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9 redes de salud priorizadas para el año 2017 (información SNIS-VE cerrada)</w:t>
            </w:r>
          </w:p>
        </w:tc>
      </w:tr>
      <w:tr w:rsidR="00D4539B" w:rsidRPr="0077530D" w14:paraId="11CD0ABE" w14:textId="77777777" w:rsidTr="71FBF423">
        <w:trPr>
          <w:gridAfter w:val="1"/>
          <w:trHeight w:val="745"/>
          <w:trPrChange w:id="198" w:author="Aguilar Blandon, Maria Alejandra" w:date="2018-08-09T15:06:00Z">
            <w:trPr>
              <w:gridAfter w:val="1"/>
              <w:trHeight w:val="745"/>
            </w:trPr>
          </w:trPrChange>
        </w:trPr>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199" w:author="Aguilar Blandon, Maria Alejandra" w:date="2018-08-09T15:06:00Z">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0AB0B9A8" w14:textId="26C4301E" w:rsidR="005C43D2" w:rsidRPr="00EE3A9A" w:rsidRDefault="005C43D2" w:rsidP="00327CE0">
            <w:pPr>
              <w:rPr>
                <w:rFonts w:ascii="Arial,Times New Roman" w:eastAsia="Arial,Times New Roman" w:hAnsi="Arial,Times New Roman" w:cs="Arial,Times New Roman"/>
                <w:color w:val="000000"/>
                <w:sz w:val="18"/>
                <w:szCs w:val="18"/>
                <w:lang w:val="es-AR"/>
                <w:rPrChange w:id="200" w:author="Aguilar Blandon, Maria Alejandra" w:date="2018-08-09T15:06:00Z">
                  <w:rPr>
                    <w:rFonts w:ascii="Arial" w:eastAsia="Times New Roman" w:hAnsi="Arial" w:cs="Arial"/>
                    <w:color w:val="000000"/>
                    <w:sz w:val="18"/>
                    <w:szCs w:val="18"/>
                    <w:lang w:val="es-AR"/>
                  </w:rPr>
                </w:rPrChange>
              </w:rPr>
            </w:pPr>
            <w:r w:rsidRPr="7C974D7A">
              <w:rPr>
                <w:rFonts w:ascii="Arial" w:eastAsia="Arial" w:hAnsi="Arial" w:cs="Arial"/>
                <w:color w:val="000000"/>
                <w:sz w:val="18"/>
                <w:szCs w:val="18"/>
                <w:lang w:val="es-PY"/>
                <w:rPrChange w:id="201" w:author="Aguilar Blandon, Maria Alejandra" w:date="2018-08-09T15:06:00Z">
                  <w:rPr>
                    <w:rFonts w:ascii="Arial" w:eastAsia="Times New Roman" w:hAnsi="Arial" w:cs="Arial"/>
                    <w:color w:val="000000"/>
                    <w:sz w:val="18"/>
                    <w:szCs w:val="18"/>
                    <w:lang w:val="es-PY"/>
                  </w:rPr>
                </w:rPrChange>
              </w:rPr>
              <w:t>I9. Frecuentación hospitalaria (internamiento</w:t>
            </w:r>
            <w:r w:rsidR="00FB0A0B" w:rsidRPr="0077530D">
              <w:rPr>
                <w:rFonts w:ascii="Arial" w:eastAsia="Times New Roman" w:hAnsi="Arial" w:cs="Arial"/>
                <w:color w:val="000000"/>
                <w:sz w:val="18"/>
                <w:szCs w:val="18"/>
                <w:lang w:val="es-PY"/>
              </w:rPr>
              <w:t>)</w:t>
            </w:r>
            <w:r w:rsidR="00FB0A0B" w:rsidRPr="7C974D7A">
              <w:rPr>
                <w:rFonts w:ascii="Arial,Times New Roman" w:eastAsia="Arial,Times New Roman" w:hAnsi="Arial,Times New Roman" w:cs="Arial,Times New Roman"/>
                <w:color w:val="000000"/>
                <w:sz w:val="18"/>
                <w:szCs w:val="18"/>
                <w:lang w:val="es-PY"/>
                <w:rPrChange w:id="202" w:author="Aguilar Blandon, Maria Alejandra" w:date="2018-08-09T15:06:00Z">
                  <w:rPr>
                    <w:rFonts w:ascii="Arial" w:eastAsia="Times New Roman" w:hAnsi="Arial" w:cs="Arial"/>
                    <w:color w:val="000000"/>
                    <w:sz w:val="18"/>
                    <w:szCs w:val="18"/>
                    <w:lang w:val="es-PY"/>
                  </w:rPr>
                </w:rPrChange>
              </w:rPr>
              <w:t> </w:t>
            </w:r>
            <w:r w:rsidRPr="7C974D7A">
              <w:rPr>
                <w:rFonts w:ascii="Arial" w:eastAsia="Arial" w:hAnsi="Arial" w:cs="Arial"/>
                <w:color w:val="000000"/>
                <w:sz w:val="18"/>
                <w:szCs w:val="18"/>
                <w:lang w:val="es-PY"/>
                <w:rPrChange w:id="203" w:author="Aguilar Blandon, Maria Alejandra" w:date="2018-08-09T15:06:00Z">
                  <w:rPr>
                    <w:rFonts w:ascii="Arial" w:eastAsia="Times New Roman" w:hAnsi="Arial" w:cs="Arial"/>
                    <w:color w:val="000000"/>
                    <w:sz w:val="18"/>
                    <w:szCs w:val="18"/>
                    <w:lang w:val="es-PY"/>
                  </w:rPr>
                </w:rPrChange>
              </w:rPr>
              <w:t>(desagregado entre hombres y mujeres)</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04" w:author="Aguilar Blandon, Maria Alejandra" w:date="2018-08-09T15:06:00Z">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8CF291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Tasa</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05"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E672C2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99,22 mujeres x 1000 Hbts</w:t>
            </w:r>
          </w:p>
        </w:tc>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06" w:author="Aguilar Blandon, Maria Alejandra" w:date="2018-08-09T15:06:00Z">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7155F6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07"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9F9FC3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125 mujeres x 1000 Hbts</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08"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64D7EE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09" w:author="Aguilar Blandon, Maria Alejandra" w:date="2018-08-09T15:06:00Z">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60960B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10" w:author="Aguilar Blandon, Maria Alejandra" w:date="2018-08-09T15:06:00Z">
              <w:tcPr>
                <w:tcW w:w="22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0D04AA9"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En los 9 Hospitales priorizados</w:t>
            </w:r>
          </w:p>
        </w:tc>
      </w:tr>
      <w:tr w:rsidR="00D4539B" w:rsidRPr="0077530D" w14:paraId="093E6378" w14:textId="77777777" w:rsidTr="71FBF423">
        <w:trPr>
          <w:gridAfter w:val="1"/>
          <w:trHeight w:val="197"/>
          <w:trPrChange w:id="211" w:author="Aguilar Blandon, Maria Alejandra" w:date="2018-08-09T15:06:00Z">
            <w:trPr>
              <w:gridAfter w:val="1"/>
              <w:trHeight w:val="197"/>
            </w:trPr>
          </w:trPrChange>
        </w:trPr>
        <w:tc>
          <w:tcPr>
            <w:tcW w:w="1557" w:type="dxa"/>
            <w:vMerge/>
            <w:tcBorders>
              <w:top w:val="single" w:sz="4" w:space="0" w:color="auto"/>
              <w:left w:val="single" w:sz="4" w:space="0" w:color="auto"/>
              <w:bottom w:val="single" w:sz="4" w:space="0" w:color="auto"/>
              <w:right w:val="single" w:sz="4" w:space="0" w:color="auto"/>
            </w:tcBorders>
            <w:vAlign w:val="center"/>
            <w:hideMark/>
            <w:tcPrChange w:id="212" w:author="Aguilar Blandon, Maria Alejandra" w:date="2018-08-09T15:06:00Z">
              <w:tcPr>
                <w:tcW w:w="1557" w:type="dxa"/>
                <w:vMerge/>
                <w:tcBorders>
                  <w:top w:val="single" w:sz="4" w:space="0" w:color="auto"/>
                  <w:left w:val="single" w:sz="4" w:space="0" w:color="auto"/>
                  <w:bottom w:val="single" w:sz="4" w:space="0" w:color="auto"/>
                  <w:right w:val="single" w:sz="4" w:space="0" w:color="auto"/>
                </w:tcBorders>
                <w:vAlign w:val="center"/>
                <w:hideMark/>
              </w:tcPr>
            </w:tcPrChange>
          </w:tcPr>
          <w:p w14:paraId="0221CA3B" w14:textId="77777777" w:rsidR="005C43D2" w:rsidRPr="0077530D" w:rsidRDefault="005C43D2" w:rsidP="00327CE0">
            <w:pPr>
              <w:rPr>
                <w:rFonts w:ascii="Arial" w:eastAsia="Times New Roman" w:hAnsi="Arial" w:cs="Arial"/>
                <w:color w:val="000000"/>
                <w:sz w:val="18"/>
                <w:szCs w:val="18"/>
              </w:rPr>
            </w:pPr>
          </w:p>
        </w:tc>
        <w:tc>
          <w:tcPr>
            <w:tcW w:w="1077" w:type="dxa"/>
            <w:vMerge/>
            <w:tcBorders>
              <w:top w:val="single" w:sz="4" w:space="0" w:color="auto"/>
              <w:left w:val="single" w:sz="4" w:space="0" w:color="auto"/>
              <w:bottom w:val="single" w:sz="4" w:space="0" w:color="auto"/>
              <w:right w:val="single" w:sz="4" w:space="0" w:color="auto"/>
            </w:tcBorders>
            <w:vAlign w:val="center"/>
            <w:hideMark/>
            <w:tcPrChange w:id="213" w:author="Aguilar Blandon, Maria Alejandra" w:date="2018-08-09T15:06:00Z">
              <w:tcPr>
                <w:tcW w:w="1077" w:type="dxa"/>
                <w:vMerge/>
                <w:tcBorders>
                  <w:top w:val="single" w:sz="4" w:space="0" w:color="auto"/>
                  <w:left w:val="single" w:sz="4" w:space="0" w:color="auto"/>
                  <w:bottom w:val="single" w:sz="4" w:space="0" w:color="auto"/>
                  <w:right w:val="single" w:sz="4" w:space="0" w:color="auto"/>
                </w:tcBorders>
                <w:vAlign w:val="center"/>
                <w:hideMark/>
              </w:tcPr>
            </w:tcPrChange>
          </w:tcPr>
          <w:p w14:paraId="6557FD8B" w14:textId="77777777" w:rsidR="005C43D2" w:rsidRPr="0077530D" w:rsidRDefault="005C43D2" w:rsidP="00327CE0">
            <w:pPr>
              <w:rPr>
                <w:rFonts w:ascii="Arial" w:eastAsia="Times New Roman" w:hAnsi="Arial" w:cs="Arial"/>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14"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BA69B9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 </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Change w:id="215" w:author="Aguilar Blandon, Maria Alejandra" w:date="2018-08-09T15:06:00Z">
              <w:tcPr>
                <w:tcW w:w="70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1AC7F8C" w14:textId="77777777" w:rsidR="005C43D2" w:rsidRPr="0077530D" w:rsidRDefault="005C43D2" w:rsidP="00327CE0">
            <w:pPr>
              <w:rPr>
                <w:rFonts w:ascii="Arial" w:eastAsia="Times New Roman" w:hAnsi="Arial" w:cs="Arial"/>
                <w:color w:val="000000"/>
                <w:sz w:val="18"/>
                <w:szCs w:val="18"/>
              </w:rPr>
            </w:pP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16"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1A5E99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 </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17"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4FFF80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 </w:t>
            </w: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Change w:id="218" w:author="Aguilar Blandon, Maria Alejandra" w:date="2018-08-09T15:06:00Z">
              <w:tcPr>
                <w:tcW w:w="1147"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ADA6BFA"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Change w:id="219" w:author="Aguilar Blandon, Maria Alejandra" w:date="2018-08-09T15:06:00Z">
              <w:tcPr>
                <w:tcW w:w="220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86D03F9" w14:textId="77777777" w:rsidR="005C43D2" w:rsidRPr="0077530D" w:rsidRDefault="005C43D2" w:rsidP="00327CE0">
            <w:pPr>
              <w:rPr>
                <w:rFonts w:ascii="Arial" w:eastAsia="Times New Roman" w:hAnsi="Arial" w:cs="Arial"/>
                <w:color w:val="000000"/>
                <w:sz w:val="18"/>
                <w:szCs w:val="18"/>
              </w:rPr>
            </w:pPr>
          </w:p>
        </w:tc>
      </w:tr>
      <w:tr w:rsidR="00D4539B" w:rsidRPr="0077530D" w14:paraId="56BAC592" w14:textId="77777777" w:rsidTr="71FBF423">
        <w:trPr>
          <w:gridAfter w:val="1"/>
          <w:trHeight w:val="757"/>
          <w:trPrChange w:id="220" w:author="Aguilar Blandon, Maria Alejandra" w:date="2018-08-09T15:06:00Z">
            <w:trPr>
              <w:gridAfter w:val="1"/>
              <w:trHeight w:val="757"/>
            </w:trPr>
          </w:trPrChange>
        </w:trPr>
        <w:tc>
          <w:tcPr>
            <w:tcW w:w="1557" w:type="dxa"/>
            <w:vMerge/>
            <w:tcBorders>
              <w:top w:val="single" w:sz="4" w:space="0" w:color="auto"/>
              <w:left w:val="single" w:sz="4" w:space="0" w:color="auto"/>
              <w:bottom w:val="single" w:sz="4" w:space="0" w:color="auto"/>
              <w:right w:val="single" w:sz="4" w:space="0" w:color="auto"/>
            </w:tcBorders>
            <w:vAlign w:val="center"/>
            <w:hideMark/>
            <w:tcPrChange w:id="221" w:author="Aguilar Blandon, Maria Alejandra" w:date="2018-08-09T15:06:00Z">
              <w:tcPr>
                <w:tcW w:w="1557" w:type="dxa"/>
                <w:vMerge/>
                <w:tcBorders>
                  <w:top w:val="single" w:sz="4" w:space="0" w:color="auto"/>
                  <w:left w:val="single" w:sz="4" w:space="0" w:color="auto"/>
                  <w:bottom w:val="single" w:sz="4" w:space="0" w:color="auto"/>
                  <w:right w:val="single" w:sz="4" w:space="0" w:color="auto"/>
                </w:tcBorders>
                <w:vAlign w:val="center"/>
                <w:hideMark/>
              </w:tcPr>
            </w:tcPrChange>
          </w:tcPr>
          <w:p w14:paraId="397A9762" w14:textId="77777777" w:rsidR="005C43D2" w:rsidRPr="0077530D" w:rsidRDefault="005C43D2" w:rsidP="00327CE0">
            <w:pPr>
              <w:rPr>
                <w:rFonts w:ascii="Arial" w:eastAsia="Times New Roman" w:hAnsi="Arial" w:cs="Arial"/>
                <w:color w:val="000000"/>
                <w:sz w:val="18"/>
                <w:szCs w:val="18"/>
              </w:rPr>
            </w:pPr>
          </w:p>
        </w:tc>
        <w:tc>
          <w:tcPr>
            <w:tcW w:w="1077" w:type="dxa"/>
            <w:vMerge/>
            <w:tcBorders>
              <w:top w:val="single" w:sz="4" w:space="0" w:color="auto"/>
              <w:left w:val="single" w:sz="4" w:space="0" w:color="auto"/>
              <w:bottom w:val="single" w:sz="4" w:space="0" w:color="auto"/>
              <w:right w:val="single" w:sz="4" w:space="0" w:color="auto"/>
            </w:tcBorders>
            <w:vAlign w:val="center"/>
            <w:hideMark/>
            <w:tcPrChange w:id="222" w:author="Aguilar Blandon, Maria Alejandra" w:date="2018-08-09T15:06:00Z">
              <w:tcPr>
                <w:tcW w:w="1077" w:type="dxa"/>
                <w:vMerge/>
                <w:tcBorders>
                  <w:top w:val="single" w:sz="4" w:space="0" w:color="auto"/>
                  <w:left w:val="single" w:sz="4" w:space="0" w:color="auto"/>
                  <w:bottom w:val="single" w:sz="4" w:space="0" w:color="auto"/>
                  <w:right w:val="single" w:sz="4" w:space="0" w:color="auto"/>
                </w:tcBorders>
                <w:vAlign w:val="center"/>
                <w:hideMark/>
              </w:tcPr>
            </w:tcPrChange>
          </w:tcPr>
          <w:p w14:paraId="2F0E6B8F" w14:textId="77777777" w:rsidR="005C43D2" w:rsidRPr="0077530D" w:rsidRDefault="005C43D2" w:rsidP="00327CE0">
            <w:pPr>
              <w:rPr>
                <w:rFonts w:ascii="Arial" w:eastAsia="Times New Roman" w:hAnsi="Arial" w:cs="Arial"/>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23"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741287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41.98 varones x 1000 Hbts</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Change w:id="224" w:author="Aguilar Blandon, Maria Alejandra" w:date="2018-08-09T15:06:00Z">
              <w:tcPr>
                <w:tcW w:w="70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9B92235" w14:textId="77777777" w:rsidR="005C43D2" w:rsidRPr="0077530D" w:rsidRDefault="005C43D2" w:rsidP="00327CE0">
            <w:pPr>
              <w:rPr>
                <w:rFonts w:ascii="Arial" w:eastAsia="Times New Roman" w:hAnsi="Arial" w:cs="Arial"/>
                <w:color w:val="000000"/>
                <w:sz w:val="18"/>
                <w:szCs w:val="18"/>
              </w:rPr>
            </w:pP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25"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E623D1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65 varones x 1000 Hbts</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26" w:author="Aguilar Blandon, Maria Alejandra" w:date="2018-08-09T15:06:00Z">
              <w:tcPr>
                <w:tcW w:w="7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9CDB21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Change w:id="227" w:author="Aguilar Blandon, Maria Alejandra" w:date="2018-08-09T15:06:00Z">
              <w:tcPr>
                <w:tcW w:w="1147"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335A19A"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Change w:id="228" w:author="Aguilar Blandon, Maria Alejandra" w:date="2018-08-09T15:06:00Z">
              <w:tcPr>
                <w:tcW w:w="220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B855FD8" w14:textId="77777777" w:rsidR="005C43D2" w:rsidRPr="0077530D" w:rsidRDefault="005C43D2" w:rsidP="00327CE0">
            <w:pPr>
              <w:rPr>
                <w:rFonts w:ascii="Arial" w:eastAsia="Times New Roman" w:hAnsi="Arial" w:cs="Arial"/>
                <w:color w:val="000000"/>
                <w:sz w:val="18"/>
                <w:szCs w:val="18"/>
              </w:rPr>
            </w:pPr>
          </w:p>
        </w:tc>
      </w:tr>
      <w:tr w:rsidR="00D4539B" w:rsidRPr="0077530D" w14:paraId="35CAFF41" w14:textId="77777777" w:rsidTr="71FBF423">
        <w:trPr>
          <w:gridAfter w:val="1"/>
          <w:trHeight w:val="745"/>
          <w:trPrChange w:id="229" w:author="Aguilar Blandon, Maria Alejandra" w:date="2018-08-09T15:06:00Z">
            <w:trPr>
              <w:gridAfter w:val="1"/>
              <w:trHeight w:val="745"/>
            </w:trPr>
          </w:trPrChange>
        </w:trPr>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30" w:author="Aguilar Blandon, Maria Alejandra" w:date="2018-08-09T15:06:00Z">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63A65A7" w14:textId="4F76A42C" w:rsidR="005C43D2" w:rsidRPr="00EE3A9A" w:rsidRDefault="005C43D2" w:rsidP="00327CE0">
            <w:pPr>
              <w:rPr>
                <w:rFonts w:ascii="Arial,Times New Roman" w:eastAsia="Arial,Times New Roman" w:hAnsi="Arial,Times New Roman" w:cs="Arial,Times New Roman"/>
                <w:color w:val="000000"/>
                <w:sz w:val="18"/>
                <w:szCs w:val="18"/>
                <w:lang w:val="es-AR"/>
                <w:rPrChange w:id="231" w:author="Aguilar Blandon, Maria Alejandra" w:date="2018-08-09T15:06:00Z">
                  <w:rPr>
                    <w:rFonts w:ascii="Arial" w:eastAsia="Times New Roman" w:hAnsi="Arial" w:cs="Arial"/>
                    <w:color w:val="000000"/>
                    <w:sz w:val="18"/>
                    <w:szCs w:val="18"/>
                    <w:lang w:val="es-AR"/>
                  </w:rPr>
                </w:rPrChange>
              </w:rPr>
            </w:pPr>
            <w:r w:rsidRPr="7C974D7A">
              <w:rPr>
                <w:rFonts w:ascii="Arial" w:eastAsia="Arial" w:hAnsi="Arial" w:cs="Arial"/>
                <w:color w:val="000000"/>
                <w:sz w:val="18"/>
                <w:szCs w:val="18"/>
                <w:lang w:val="es-PY"/>
                <w:rPrChange w:id="232" w:author="Aguilar Blandon, Maria Alejandra" w:date="2018-08-09T15:06:00Z">
                  <w:rPr>
                    <w:rFonts w:ascii="Arial" w:eastAsia="Times New Roman" w:hAnsi="Arial" w:cs="Arial"/>
                    <w:color w:val="000000"/>
                    <w:sz w:val="18"/>
                    <w:szCs w:val="18"/>
                    <w:lang w:val="es-PY"/>
                  </w:rPr>
                </w:rPrChange>
              </w:rPr>
              <w:t>I10. Frecuentación hospitalaria (consultas</w:t>
            </w:r>
            <w:r w:rsidR="00FB0A0B" w:rsidRPr="0077530D">
              <w:rPr>
                <w:rFonts w:ascii="Arial" w:eastAsia="Times New Roman" w:hAnsi="Arial" w:cs="Arial"/>
                <w:color w:val="000000"/>
                <w:sz w:val="18"/>
                <w:szCs w:val="18"/>
                <w:lang w:val="es-PY"/>
              </w:rPr>
              <w:t>)</w:t>
            </w:r>
            <w:r w:rsidR="00FB0A0B" w:rsidRPr="7C974D7A">
              <w:rPr>
                <w:rFonts w:ascii="Arial,Times New Roman" w:eastAsia="Arial,Times New Roman" w:hAnsi="Arial,Times New Roman" w:cs="Arial,Times New Roman"/>
                <w:color w:val="000000"/>
                <w:sz w:val="18"/>
                <w:szCs w:val="18"/>
                <w:lang w:val="es-PY"/>
                <w:rPrChange w:id="233" w:author="Aguilar Blandon, Maria Alejandra" w:date="2018-08-09T15:06:00Z">
                  <w:rPr>
                    <w:rFonts w:ascii="Arial" w:eastAsia="Times New Roman" w:hAnsi="Arial" w:cs="Arial"/>
                    <w:color w:val="000000"/>
                    <w:sz w:val="18"/>
                    <w:szCs w:val="18"/>
                    <w:lang w:val="es-PY"/>
                  </w:rPr>
                </w:rPrChange>
              </w:rPr>
              <w:t> </w:t>
            </w:r>
            <w:r w:rsidRPr="7C974D7A">
              <w:rPr>
                <w:rFonts w:ascii="Arial" w:eastAsia="Arial" w:hAnsi="Arial" w:cs="Arial"/>
                <w:color w:val="000000"/>
                <w:sz w:val="18"/>
                <w:szCs w:val="18"/>
                <w:lang w:val="es-PY"/>
                <w:rPrChange w:id="234" w:author="Aguilar Blandon, Maria Alejandra" w:date="2018-08-09T15:06:00Z">
                  <w:rPr>
                    <w:rFonts w:ascii="Arial" w:eastAsia="Times New Roman" w:hAnsi="Arial" w:cs="Arial"/>
                    <w:color w:val="000000"/>
                    <w:sz w:val="18"/>
                    <w:szCs w:val="18"/>
                    <w:lang w:val="es-PY"/>
                  </w:rPr>
                </w:rPrChange>
              </w:rPr>
              <w:t>(desagregado entre hombres y mujeres)</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35" w:author="Aguilar Blandon, Maria Alejandra" w:date="2018-08-09T15:06:00Z">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95A9BE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Tasa</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36"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41C87EC"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781,63 mujeres x 1000 Hbts</w:t>
            </w:r>
          </w:p>
        </w:tc>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37" w:author="Aguilar Blandon, Maria Alejandra" w:date="2018-08-09T15:06:00Z">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59744C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38"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7352F5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900 mujeres x 1000 Hbts</w:t>
            </w:r>
          </w:p>
        </w:tc>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39" w:author="Aguilar Blandon, Maria Alejandra" w:date="2018-08-09T15:06:00Z">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E65581E"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40" w:author="Aguilar Blandon, Maria Alejandra" w:date="2018-08-09T15:06:00Z">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10F2765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Change w:id="241" w:author="Aguilar Blandon, Maria Alejandra" w:date="2018-08-09T15:06:00Z">
              <w:tcPr>
                <w:tcW w:w="22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0B3337C"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En los 9 Hospitales priorizados</w:t>
            </w:r>
          </w:p>
        </w:tc>
      </w:tr>
      <w:tr w:rsidR="00D4539B" w:rsidRPr="0077530D" w14:paraId="7C8B03F0" w14:textId="77777777" w:rsidTr="71FBF423">
        <w:trPr>
          <w:gridAfter w:val="1"/>
          <w:trHeight w:val="197"/>
          <w:trPrChange w:id="242" w:author="Aguilar Blandon, Maria Alejandra" w:date="2018-08-09T15:06:00Z">
            <w:trPr>
              <w:gridAfter w:val="1"/>
              <w:trHeight w:val="197"/>
            </w:trPr>
          </w:trPrChange>
        </w:trPr>
        <w:tc>
          <w:tcPr>
            <w:tcW w:w="1557" w:type="dxa"/>
            <w:vMerge/>
            <w:tcBorders>
              <w:top w:val="single" w:sz="4" w:space="0" w:color="auto"/>
              <w:left w:val="single" w:sz="4" w:space="0" w:color="auto"/>
              <w:bottom w:val="single" w:sz="4" w:space="0" w:color="auto"/>
              <w:right w:val="single" w:sz="4" w:space="0" w:color="auto"/>
            </w:tcBorders>
            <w:vAlign w:val="center"/>
            <w:hideMark/>
            <w:tcPrChange w:id="243" w:author="Aguilar Blandon, Maria Alejandra" w:date="2018-08-09T15:06:00Z">
              <w:tcPr>
                <w:tcW w:w="1557" w:type="dxa"/>
                <w:vMerge/>
                <w:tcBorders>
                  <w:top w:val="single" w:sz="4" w:space="0" w:color="auto"/>
                  <w:left w:val="single" w:sz="4" w:space="0" w:color="auto"/>
                  <w:bottom w:val="single" w:sz="4" w:space="0" w:color="auto"/>
                  <w:right w:val="single" w:sz="4" w:space="0" w:color="auto"/>
                </w:tcBorders>
                <w:vAlign w:val="center"/>
                <w:hideMark/>
              </w:tcPr>
            </w:tcPrChange>
          </w:tcPr>
          <w:p w14:paraId="47AF26F9" w14:textId="77777777" w:rsidR="005C43D2" w:rsidRPr="0077530D" w:rsidRDefault="005C43D2" w:rsidP="00327CE0">
            <w:pPr>
              <w:rPr>
                <w:rFonts w:ascii="Arial" w:eastAsia="Times New Roman" w:hAnsi="Arial" w:cs="Arial"/>
                <w:color w:val="000000"/>
                <w:sz w:val="18"/>
                <w:szCs w:val="18"/>
              </w:rPr>
            </w:pPr>
          </w:p>
        </w:tc>
        <w:tc>
          <w:tcPr>
            <w:tcW w:w="1077" w:type="dxa"/>
            <w:vMerge/>
            <w:tcBorders>
              <w:top w:val="single" w:sz="4" w:space="0" w:color="auto"/>
              <w:left w:val="single" w:sz="4" w:space="0" w:color="auto"/>
              <w:bottom w:val="single" w:sz="4" w:space="0" w:color="auto"/>
              <w:right w:val="single" w:sz="4" w:space="0" w:color="auto"/>
            </w:tcBorders>
            <w:vAlign w:val="center"/>
            <w:hideMark/>
            <w:tcPrChange w:id="244" w:author="Aguilar Blandon, Maria Alejandra" w:date="2018-08-09T15:06:00Z">
              <w:tcPr>
                <w:tcW w:w="1077" w:type="dxa"/>
                <w:vMerge/>
                <w:tcBorders>
                  <w:top w:val="single" w:sz="4" w:space="0" w:color="auto"/>
                  <w:left w:val="single" w:sz="4" w:space="0" w:color="auto"/>
                  <w:bottom w:val="single" w:sz="4" w:space="0" w:color="auto"/>
                  <w:right w:val="single" w:sz="4" w:space="0" w:color="auto"/>
                </w:tcBorders>
                <w:vAlign w:val="center"/>
                <w:hideMark/>
              </w:tcPr>
            </w:tcPrChange>
          </w:tcPr>
          <w:p w14:paraId="2576E770" w14:textId="77777777" w:rsidR="005C43D2" w:rsidRPr="0077530D" w:rsidRDefault="005C43D2" w:rsidP="00327CE0">
            <w:pPr>
              <w:rPr>
                <w:rFonts w:ascii="Arial" w:eastAsia="Times New Roman" w:hAnsi="Arial" w:cs="Arial"/>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45"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D998A6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 </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Change w:id="246" w:author="Aguilar Blandon, Maria Alejandra" w:date="2018-08-09T15:06:00Z">
              <w:tcPr>
                <w:tcW w:w="70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65E8B25" w14:textId="77777777" w:rsidR="005C43D2" w:rsidRPr="0077530D" w:rsidRDefault="005C43D2" w:rsidP="00327CE0">
            <w:pPr>
              <w:rPr>
                <w:rFonts w:ascii="Arial" w:eastAsia="Times New Roman" w:hAnsi="Arial" w:cs="Arial"/>
                <w:color w:val="000000"/>
                <w:sz w:val="18"/>
                <w:szCs w:val="18"/>
              </w:rPr>
            </w:pP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47"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40CF77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 </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Change w:id="248" w:author="Aguilar Blandon, Maria Alejandra" w:date="2018-08-09T15:06:00Z">
              <w:tcPr>
                <w:tcW w:w="70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07E4EB9" w14:textId="77777777" w:rsidR="005C43D2" w:rsidRPr="0077530D" w:rsidRDefault="005C43D2" w:rsidP="00327CE0">
            <w:pPr>
              <w:rPr>
                <w:rFonts w:ascii="Arial" w:eastAsia="Times New Roman" w:hAnsi="Arial" w:cs="Arial"/>
                <w:color w:val="000000"/>
                <w:sz w:val="18"/>
                <w:szCs w:val="18"/>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Change w:id="249" w:author="Aguilar Blandon, Maria Alejandra" w:date="2018-08-09T15:06:00Z">
              <w:tcPr>
                <w:tcW w:w="1147"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89ED56A"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Change w:id="250" w:author="Aguilar Blandon, Maria Alejandra" w:date="2018-08-09T15:06:00Z">
              <w:tcPr>
                <w:tcW w:w="220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06E24EA" w14:textId="77777777" w:rsidR="005C43D2" w:rsidRPr="0077530D" w:rsidRDefault="005C43D2" w:rsidP="00327CE0">
            <w:pPr>
              <w:rPr>
                <w:rFonts w:ascii="Arial" w:eastAsia="Times New Roman" w:hAnsi="Arial" w:cs="Arial"/>
                <w:color w:val="000000"/>
                <w:sz w:val="18"/>
                <w:szCs w:val="18"/>
              </w:rPr>
            </w:pPr>
          </w:p>
        </w:tc>
      </w:tr>
      <w:tr w:rsidR="00D4539B" w:rsidRPr="0077530D" w14:paraId="148505E8" w14:textId="77777777" w:rsidTr="71FBF423">
        <w:trPr>
          <w:gridAfter w:val="1"/>
          <w:trHeight w:val="757"/>
          <w:trPrChange w:id="251" w:author="Aguilar Blandon, Maria Alejandra" w:date="2018-08-09T15:06:00Z">
            <w:trPr>
              <w:gridAfter w:val="1"/>
              <w:trHeight w:val="757"/>
            </w:trPr>
          </w:trPrChange>
        </w:trPr>
        <w:tc>
          <w:tcPr>
            <w:tcW w:w="1557" w:type="dxa"/>
            <w:vMerge/>
            <w:tcBorders>
              <w:top w:val="single" w:sz="4" w:space="0" w:color="auto"/>
              <w:left w:val="single" w:sz="4" w:space="0" w:color="auto"/>
              <w:bottom w:val="single" w:sz="4" w:space="0" w:color="auto"/>
              <w:right w:val="single" w:sz="4" w:space="0" w:color="auto"/>
            </w:tcBorders>
            <w:vAlign w:val="center"/>
            <w:hideMark/>
            <w:tcPrChange w:id="252" w:author="Aguilar Blandon, Maria Alejandra" w:date="2018-08-09T15:06:00Z">
              <w:tcPr>
                <w:tcW w:w="1557" w:type="dxa"/>
                <w:vMerge/>
                <w:tcBorders>
                  <w:top w:val="single" w:sz="4" w:space="0" w:color="auto"/>
                  <w:left w:val="single" w:sz="4" w:space="0" w:color="auto"/>
                  <w:bottom w:val="single" w:sz="4" w:space="0" w:color="auto"/>
                  <w:right w:val="single" w:sz="4" w:space="0" w:color="auto"/>
                </w:tcBorders>
                <w:vAlign w:val="center"/>
                <w:hideMark/>
              </w:tcPr>
            </w:tcPrChange>
          </w:tcPr>
          <w:p w14:paraId="7C2313B5" w14:textId="77777777" w:rsidR="005C43D2" w:rsidRPr="0077530D" w:rsidRDefault="005C43D2" w:rsidP="00327CE0">
            <w:pPr>
              <w:rPr>
                <w:rFonts w:ascii="Arial" w:eastAsia="Times New Roman" w:hAnsi="Arial" w:cs="Arial"/>
                <w:color w:val="000000"/>
                <w:sz w:val="18"/>
                <w:szCs w:val="18"/>
              </w:rPr>
            </w:pPr>
          </w:p>
        </w:tc>
        <w:tc>
          <w:tcPr>
            <w:tcW w:w="1077" w:type="dxa"/>
            <w:vMerge/>
            <w:tcBorders>
              <w:top w:val="single" w:sz="4" w:space="0" w:color="auto"/>
              <w:left w:val="single" w:sz="4" w:space="0" w:color="auto"/>
              <w:bottom w:val="single" w:sz="4" w:space="0" w:color="auto"/>
              <w:right w:val="single" w:sz="4" w:space="0" w:color="auto"/>
            </w:tcBorders>
            <w:vAlign w:val="center"/>
            <w:hideMark/>
            <w:tcPrChange w:id="253" w:author="Aguilar Blandon, Maria Alejandra" w:date="2018-08-09T15:06:00Z">
              <w:tcPr>
                <w:tcW w:w="1077" w:type="dxa"/>
                <w:vMerge/>
                <w:tcBorders>
                  <w:top w:val="single" w:sz="4" w:space="0" w:color="auto"/>
                  <w:left w:val="single" w:sz="4" w:space="0" w:color="auto"/>
                  <w:bottom w:val="single" w:sz="4" w:space="0" w:color="auto"/>
                  <w:right w:val="single" w:sz="4" w:space="0" w:color="auto"/>
                </w:tcBorders>
                <w:vAlign w:val="center"/>
                <w:hideMark/>
              </w:tcPr>
            </w:tcPrChange>
          </w:tcPr>
          <w:p w14:paraId="68B7FAF7" w14:textId="77777777" w:rsidR="005C43D2" w:rsidRPr="0077530D" w:rsidRDefault="005C43D2" w:rsidP="00327CE0">
            <w:pPr>
              <w:rPr>
                <w:rFonts w:ascii="Arial" w:eastAsia="Times New Roman" w:hAnsi="Arial" w:cs="Arial"/>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54" w:author="Aguilar Blandon, Maria Alejandra" w:date="2018-08-09T15:06:00Z">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523CB7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562,79 varones x 1000 Hbts</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Change w:id="255" w:author="Aguilar Blandon, Maria Alejandra" w:date="2018-08-09T15:06:00Z">
              <w:tcPr>
                <w:tcW w:w="70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9409599" w14:textId="77777777" w:rsidR="005C43D2" w:rsidRPr="0077530D" w:rsidRDefault="005C43D2" w:rsidP="00327CE0">
            <w:pPr>
              <w:rPr>
                <w:rFonts w:ascii="Arial" w:eastAsia="Times New Roman" w:hAnsi="Arial" w:cs="Arial"/>
                <w:color w:val="000000"/>
                <w:sz w:val="18"/>
                <w:szCs w:val="18"/>
              </w:rPr>
            </w:pP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Change w:id="256" w:author="Aguilar Blandon, Maria Alejandra" w:date="2018-08-09T15:06:00Z">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DB80FFC"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650 varones x 1000 Hbts</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Change w:id="257" w:author="Aguilar Blandon, Maria Alejandra" w:date="2018-08-09T15:06:00Z">
              <w:tcPr>
                <w:tcW w:w="70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94A04B2" w14:textId="77777777" w:rsidR="005C43D2" w:rsidRPr="0077530D" w:rsidRDefault="005C43D2" w:rsidP="00327CE0">
            <w:pPr>
              <w:rPr>
                <w:rFonts w:ascii="Arial" w:eastAsia="Times New Roman" w:hAnsi="Arial" w:cs="Arial"/>
                <w:color w:val="000000"/>
                <w:sz w:val="18"/>
                <w:szCs w:val="18"/>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Change w:id="258" w:author="Aguilar Blandon, Maria Alejandra" w:date="2018-08-09T15:06:00Z">
              <w:tcPr>
                <w:tcW w:w="1147"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7A30BD1"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Change w:id="259" w:author="Aguilar Blandon, Maria Alejandra" w:date="2018-08-09T15:06:00Z">
              <w:tcPr>
                <w:tcW w:w="220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508FAAA" w14:textId="77777777" w:rsidR="005C43D2" w:rsidRPr="0077530D" w:rsidRDefault="005C43D2" w:rsidP="00327CE0">
            <w:pPr>
              <w:rPr>
                <w:rFonts w:ascii="Arial" w:eastAsia="Times New Roman" w:hAnsi="Arial" w:cs="Arial"/>
                <w:color w:val="000000"/>
                <w:sz w:val="18"/>
                <w:szCs w:val="18"/>
              </w:rPr>
            </w:pPr>
          </w:p>
        </w:tc>
      </w:tr>
      <w:tr w:rsidR="00D4539B" w:rsidRPr="0077530D" w14:paraId="1A3F4131" w14:textId="2E7CC4FF" w:rsidTr="71FBF423">
        <w:trPr>
          <w:gridAfter w:val="1"/>
          <w:trHeight w:val="244"/>
          <w:trPrChange w:id="260" w:author="Aguilar Blandon, Maria Alejandra" w:date="2018-08-09T15:06:00Z">
            <w:trPr>
              <w:gridAfter w:val="1"/>
              <w:trHeight w:val="244"/>
            </w:trPr>
          </w:trPrChange>
        </w:trPr>
        <w:tc>
          <w:tcPr>
            <w:tcW w:w="1557" w:type="dxa"/>
            <w:tcBorders>
              <w:top w:val="single" w:sz="4" w:space="0" w:color="auto"/>
              <w:left w:val="single" w:sz="4" w:space="0" w:color="auto"/>
              <w:bottom w:val="single" w:sz="4" w:space="0" w:color="auto"/>
              <w:right w:val="single" w:sz="4" w:space="0" w:color="auto"/>
            </w:tcBorders>
            <w:shd w:val="clear" w:color="auto" w:fill="auto"/>
            <w:noWrap/>
            <w:tcPrChange w:id="261"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auto"/>
                <w:noWrap/>
              </w:tcPr>
            </w:tcPrChange>
          </w:tcPr>
          <w:p w14:paraId="0B4EE4EF" w14:textId="77777777" w:rsidR="00D4539B" w:rsidRPr="0077530D" w:rsidRDefault="00D4539B" w:rsidP="00D4539B">
            <w:pPr>
              <w:spacing w:before="20" w:after="20"/>
              <w:rPr>
                <w:rFonts w:ascii="Arial" w:hAnsi="Arial" w:cs="Arial"/>
                <w:color w:val="000000"/>
                <w:sz w:val="18"/>
                <w:szCs w:val="18"/>
                <w:lang w:val="es-ES_tradnl"/>
              </w:rPr>
            </w:pPr>
            <w:r w:rsidRPr="0077530D">
              <w:rPr>
                <w:rFonts w:ascii="Arial" w:hAnsi="Arial" w:cs="Arial"/>
                <w:color w:val="000000"/>
                <w:sz w:val="18"/>
                <w:szCs w:val="18"/>
                <w:lang w:val="es-ES_tradnl"/>
              </w:rPr>
              <w:t xml:space="preserve">I11. Egresos hospitalarios </w:t>
            </w:r>
          </w:p>
          <w:p w14:paraId="0644D8D6" w14:textId="6CB15F7E"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color w:val="000000"/>
                <w:sz w:val="18"/>
                <w:szCs w:val="18"/>
                <w:lang w:val="es-ES_tradnl"/>
              </w:rPr>
              <w:t>(beneficiarios que reciben servicios de salud).</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Change w:id="262" w:author="Aguilar Blandon, Maria Alejandra" w:date="2018-08-09T15:06:00Z">
              <w:tcPr>
                <w:tcW w:w="1077"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7214AE8" w14:textId="6BA9473A"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color w:val="000000"/>
                <w:sz w:val="18"/>
                <w:szCs w:val="18"/>
              </w:rPr>
              <w:t>Personas</w:t>
            </w:r>
          </w:p>
        </w:tc>
        <w:tc>
          <w:tcPr>
            <w:tcW w:w="1213" w:type="dxa"/>
            <w:gridSpan w:val="2"/>
            <w:tcBorders>
              <w:top w:val="single" w:sz="4" w:space="0" w:color="auto"/>
              <w:left w:val="single" w:sz="4" w:space="0" w:color="auto"/>
              <w:bottom w:val="single" w:sz="4" w:space="0" w:color="auto"/>
              <w:right w:val="single" w:sz="4" w:space="0" w:color="auto"/>
            </w:tcBorders>
            <w:shd w:val="clear" w:color="auto" w:fill="auto"/>
            <w:vAlign w:val="center"/>
            <w:tcPrChange w:id="263" w:author="Aguilar Blandon, Maria Alejandra" w:date="2018-08-09T15:06:00Z">
              <w:tcPr>
                <w:tcW w:w="1213"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1E6FFC" w14:textId="77777777" w:rsidR="00D4539B" w:rsidRPr="0077530D" w:rsidRDefault="00D4539B" w:rsidP="00D4539B">
            <w:pPr>
              <w:spacing w:before="20" w:after="20"/>
              <w:jc w:val="center"/>
              <w:rPr>
                <w:rFonts w:ascii="Arial" w:hAnsi="Arial" w:cs="Arial"/>
                <w:sz w:val="18"/>
                <w:szCs w:val="18"/>
              </w:rPr>
            </w:pPr>
            <w:r w:rsidRPr="0077530D">
              <w:rPr>
                <w:rFonts w:ascii="Arial" w:hAnsi="Arial" w:cs="Arial"/>
                <w:sz w:val="18"/>
                <w:szCs w:val="18"/>
              </w:rPr>
              <w:t>14.453 mujeres</w:t>
            </w:r>
          </w:p>
          <w:p w14:paraId="22BAF063" w14:textId="77777777" w:rsidR="00D4539B" w:rsidRPr="0077530D" w:rsidRDefault="00D4539B" w:rsidP="00D4539B">
            <w:pPr>
              <w:spacing w:before="20" w:after="20"/>
              <w:jc w:val="center"/>
              <w:rPr>
                <w:rFonts w:ascii="Arial" w:hAnsi="Arial" w:cs="Arial"/>
                <w:sz w:val="18"/>
                <w:szCs w:val="18"/>
              </w:rPr>
            </w:pPr>
          </w:p>
          <w:p w14:paraId="7ECE8AB4" w14:textId="78A4D7A2"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sz w:val="18"/>
                <w:szCs w:val="18"/>
              </w:rPr>
              <w:t>6.115 varones</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Change w:id="264" w:author="Aguilar Blandon, Maria Alejandra" w:date="2018-08-09T15:06:00Z">
              <w:tcPr>
                <w:tcW w:w="697"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8B837D1" w14:textId="66F1619A"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sz w:val="18"/>
                <w:szCs w:val="18"/>
              </w:rPr>
              <w:t>2017</w:t>
            </w:r>
          </w:p>
        </w:tc>
        <w:tc>
          <w:tcPr>
            <w:tcW w:w="1215" w:type="dxa"/>
            <w:gridSpan w:val="3"/>
            <w:tcBorders>
              <w:top w:val="single" w:sz="4" w:space="0" w:color="auto"/>
              <w:left w:val="single" w:sz="4" w:space="0" w:color="auto"/>
              <w:bottom w:val="single" w:sz="4" w:space="0" w:color="auto"/>
              <w:right w:val="single" w:sz="4" w:space="0" w:color="auto"/>
            </w:tcBorders>
            <w:shd w:val="clear" w:color="auto" w:fill="auto"/>
            <w:vAlign w:val="center"/>
            <w:tcPrChange w:id="265" w:author="Aguilar Blandon, Maria Alejandra" w:date="2018-08-09T15:06:00Z">
              <w:tcPr>
                <w:tcW w:w="1215"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53A459C" w14:textId="77777777" w:rsidR="00D4539B" w:rsidRPr="0077530D" w:rsidRDefault="00D4539B" w:rsidP="00D4539B">
            <w:pPr>
              <w:spacing w:before="20" w:after="20"/>
              <w:jc w:val="center"/>
              <w:rPr>
                <w:rFonts w:ascii="Arial" w:hAnsi="Arial" w:cs="Arial"/>
                <w:sz w:val="18"/>
                <w:szCs w:val="18"/>
              </w:rPr>
            </w:pPr>
            <w:r w:rsidRPr="0077530D">
              <w:rPr>
                <w:rFonts w:ascii="Arial" w:hAnsi="Arial" w:cs="Arial"/>
                <w:sz w:val="18"/>
                <w:szCs w:val="18"/>
              </w:rPr>
              <w:t>18.789 mujeres</w:t>
            </w:r>
          </w:p>
          <w:p w14:paraId="2409A648" w14:textId="378D4465"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sz w:val="18"/>
                <w:szCs w:val="18"/>
              </w:rPr>
              <w:t>7.950 varones</w:t>
            </w:r>
          </w:p>
        </w:tc>
        <w:tc>
          <w:tcPr>
            <w:tcW w:w="695" w:type="dxa"/>
            <w:tcBorders>
              <w:top w:val="single" w:sz="4" w:space="0" w:color="auto"/>
              <w:left w:val="single" w:sz="4" w:space="0" w:color="auto"/>
              <w:bottom w:val="single" w:sz="4" w:space="0" w:color="auto"/>
              <w:right w:val="single" w:sz="4" w:space="0" w:color="auto"/>
            </w:tcBorders>
            <w:shd w:val="clear" w:color="auto" w:fill="auto"/>
            <w:vAlign w:val="center"/>
            <w:tcPrChange w:id="266" w:author="Aguilar Blandon, Maria Alejandra" w:date="2018-08-09T15:06:00Z">
              <w:tcPr>
                <w:tcW w:w="695"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A48CFBF" w14:textId="41859E8C"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sz w:val="18"/>
                <w:szCs w:val="18"/>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tcPrChange w:id="267" w:author="Aguilar Blandon, Maria Alejandra" w:date="2018-08-09T15:06:00Z">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6010C8C" w14:textId="3E20421E" w:rsidR="00D4539B" w:rsidRPr="0077530D" w:rsidRDefault="00D4539B" w:rsidP="00D4539B">
            <w:pPr>
              <w:jc w:val="center"/>
              <w:rPr>
                <w:rFonts w:ascii="Arial" w:eastAsia="Times New Roman" w:hAnsi="Arial" w:cs="Arial"/>
                <w:color w:val="000000"/>
                <w:sz w:val="18"/>
                <w:szCs w:val="18"/>
                <w:lang w:val="es-PY"/>
              </w:rPr>
            </w:pPr>
            <w:r w:rsidRPr="0077530D">
              <w:rPr>
                <w:rFonts w:ascii="Arial" w:hAnsi="Arial" w:cs="Arial"/>
                <w:sz w:val="18"/>
                <w:szCs w:val="18"/>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tcPrChange w:id="268" w:author="Aguilar Blandon, Maria Alejandra" w:date="2018-08-09T15:06:00Z">
              <w:tcPr>
                <w:tcW w:w="2209"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69549E5" w14:textId="77777777" w:rsidR="00D4539B" w:rsidRPr="0077530D" w:rsidRDefault="00D4539B" w:rsidP="00D4539B">
            <w:pPr>
              <w:spacing w:before="20" w:after="20"/>
              <w:rPr>
                <w:rFonts w:ascii="Arial" w:hAnsi="Arial" w:cs="Arial"/>
                <w:color w:val="000000"/>
                <w:sz w:val="18"/>
                <w:szCs w:val="18"/>
                <w:lang w:val="es-ES_tradnl"/>
              </w:rPr>
            </w:pPr>
            <w:r w:rsidRPr="0077530D">
              <w:rPr>
                <w:rFonts w:ascii="Arial" w:hAnsi="Arial" w:cs="Arial"/>
                <w:color w:val="000000"/>
                <w:sz w:val="18"/>
                <w:szCs w:val="18"/>
                <w:lang w:val="es-ES_tradnl"/>
              </w:rPr>
              <w:t xml:space="preserve">En los 9 hospitales 2º nivel priorizados </w:t>
            </w:r>
          </w:p>
          <w:p w14:paraId="039E2C5A" w14:textId="0E896A1C" w:rsidR="00D4539B" w:rsidRPr="0077530D" w:rsidRDefault="00D4539B" w:rsidP="00D4539B">
            <w:pPr>
              <w:jc w:val="center"/>
              <w:rPr>
                <w:rFonts w:ascii="Arial" w:eastAsia="Times New Roman" w:hAnsi="Arial" w:cs="Arial"/>
                <w:color w:val="000000"/>
                <w:sz w:val="18"/>
                <w:szCs w:val="18"/>
                <w:lang w:val="es-PY"/>
              </w:rPr>
            </w:pPr>
          </w:p>
        </w:tc>
      </w:tr>
      <w:bookmarkEnd w:id="124"/>
      <w:tr w:rsidR="00D4539B" w:rsidRPr="0077530D" w14:paraId="12EF0F41" w14:textId="30671900" w:rsidTr="71FBF423">
        <w:trPr>
          <w:gridAfter w:val="1"/>
          <w:trHeight w:val="244"/>
          <w:trPrChange w:id="269" w:author="Aguilar Blandon, Maria Alejandra" w:date="2018-08-09T15:06:00Z">
            <w:trPr>
              <w:gridAfter w:val="1"/>
              <w:trHeight w:val="244"/>
            </w:trPr>
          </w:trPrChange>
        </w:trPr>
        <w:tc>
          <w:tcPr>
            <w:tcW w:w="1557" w:type="dxa"/>
            <w:tcBorders>
              <w:top w:val="single" w:sz="4" w:space="0" w:color="auto"/>
              <w:left w:val="single" w:sz="4" w:space="0" w:color="auto"/>
              <w:bottom w:val="single" w:sz="4" w:space="0" w:color="auto"/>
              <w:right w:val="single" w:sz="4" w:space="0" w:color="auto"/>
            </w:tcBorders>
            <w:shd w:val="clear" w:color="auto" w:fill="DCE6F1"/>
            <w:noWrap/>
            <w:vAlign w:val="center"/>
            <w:hideMark/>
            <w:tcPrChange w:id="270" w:author="Aguilar Blandon, Maria Alejandra" w:date="2018-08-09T15:06:00Z">
              <w:tcPr>
                <w:tcW w:w="1557" w:type="dxa"/>
                <w:tcBorders>
                  <w:top w:val="single" w:sz="4" w:space="0" w:color="auto"/>
                  <w:left w:val="single" w:sz="4" w:space="0" w:color="auto"/>
                  <w:bottom w:val="single" w:sz="4" w:space="0" w:color="auto"/>
                  <w:right w:val="single" w:sz="4" w:space="0" w:color="auto"/>
                </w:tcBorders>
                <w:shd w:val="clear" w:color="auto" w:fill="DCE6F1"/>
                <w:noWrap/>
                <w:vAlign w:val="center"/>
                <w:hideMark/>
              </w:tcPr>
            </w:tcPrChange>
          </w:tcPr>
          <w:p w14:paraId="4E4046F5" w14:textId="3120A7B6" w:rsidR="00D4539B" w:rsidRPr="0077530D" w:rsidRDefault="00D4539B" w:rsidP="00D4539B">
            <w:pPr>
              <w:jc w:val="center"/>
              <w:rPr>
                <w:rFonts w:ascii="Arial" w:eastAsia="Times New Roman" w:hAnsi="Arial" w:cs="Arial"/>
                <w:color w:val="000000"/>
                <w:sz w:val="18"/>
                <w:szCs w:val="18"/>
                <w:lang w:val="es-AR"/>
              </w:rPr>
            </w:pPr>
          </w:p>
        </w:tc>
        <w:tc>
          <w:tcPr>
            <w:tcW w:w="8253" w:type="dxa"/>
            <w:gridSpan w:val="12"/>
            <w:tcBorders>
              <w:top w:val="single" w:sz="4" w:space="0" w:color="auto"/>
              <w:left w:val="single" w:sz="4" w:space="0" w:color="auto"/>
              <w:bottom w:val="single" w:sz="4" w:space="0" w:color="auto"/>
              <w:right w:val="single" w:sz="4" w:space="0" w:color="auto"/>
            </w:tcBorders>
            <w:shd w:val="clear" w:color="auto" w:fill="DCE6F1"/>
            <w:vAlign w:val="center"/>
            <w:tcPrChange w:id="271" w:author="Aguilar Blandon, Maria Alejandra" w:date="2018-08-09T15:06:00Z">
              <w:tcPr>
                <w:tcW w:w="8253" w:type="dxa"/>
                <w:gridSpan w:val="12"/>
                <w:tcBorders>
                  <w:top w:val="single" w:sz="4" w:space="0" w:color="auto"/>
                  <w:left w:val="single" w:sz="4" w:space="0" w:color="auto"/>
                  <w:bottom w:val="single" w:sz="4" w:space="0" w:color="auto"/>
                  <w:right w:val="single" w:sz="4" w:space="0" w:color="auto"/>
                </w:tcBorders>
                <w:shd w:val="clear" w:color="auto" w:fill="DCE6F1"/>
                <w:vAlign w:val="center"/>
              </w:tcPr>
            </w:tcPrChange>
          </w:tcPr>
          <w:p w14:paraId="7E36D7AF" w14:textId="0186F2E3" w:rsidR="00D4539B" w:rsidRPr="0077530D" w:rsidRDefault="00D4539B" w:rsidP="00327CE0">
            <w:pPr>
              <w:jc w:val="cente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R2: Capacidad resolutiva de la red de servicios de salud, incrementada</w:t>
            </w:r>
          </w:p>
        </w:tc>
      </w:tr>
      <w:tr w:rsidR="00C612F9" w:rsidRPr="0077530D" w14:paraId="31BD4077" w14:textId="77777777" w:rsidTr="71FBF423">
        <w:trPr>
          <w:gridAfter w:val="1"/>
          <w:trHeight w:val="804"/>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28F9D1"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I1. Tasa de mortalidad neonatal hospitalaria temprana en el municipio de El Alto</w:t>
            </w:r>
          </w:p>
        </w:tc>
        <w:tc>
          <w:tcPr>
            <w:tcW w:w="1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04B28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Tasa</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419239"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1,91 x 1000 nv</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9382D9"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0FBF7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1,30 X 1000 NV</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31CD3F"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9B8B27"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3649E3"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el municipio de El Alto</w:t>
            </w:r>
          </w:p>
        </w:tc>
      </w:tr>
      <w:tr w:rsidR="00EE3A9A" w:rsidRPr="0077530D" w14:paraId="6529B8B2" w14:textId="77777777" w:rsidTr="71FBF423">
        <w:trPr>
          <w:gridAfter w:val="1"/>
          <w:trHeight w:val="1422"/>
        </w:trPr>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5ED525" w14:textId="15850B72" w:rsidR="005C43D2" w:rsidRPr="00EE3A9A" w:rsidRDefault="005C43D2" w:rsidP="00327CE0">
            <w:pPr>
              <w:rPr>
                <w:rFonts w:ascii="Arial,Times New Roman" w:eastAsia="Arial,Times New Roman" w:hAnsi="Arial,Times New Roman" w:cs="Arial,Times New Roman"/>
                <w:color w:val="000000"/>
                <w:sz w:val="18"/>
                <w:szCs w:val="18"/>
                <w:rPrChange w:id="272" w:author="Aguilar Blandon, Maria Alejandra" w:date="2018-08-09T15:06:00Z">
                  <w:rPr>
                    <w:rFonts w:ascii="Arial" w:eastAsia="Times New Roman" w:hAnsi="Arial" w:cs="Arial"/>
                    <w:color w:val="000000"/>
                    <w:sz w:val="18"/>
                    <w:szCs w:val="18"/>
                  </w:rPr>
                </w:rPrChange>
              </w:rPr>
            </w:pPr>
            <w:r w:rsidRPr="7C974D7A">
              <w:rPr>
                <w:rFonts w:ascii="Arial" w:eastAsia="Arial" w:hAnsi="Arial" w:cs="Arial"/>
                <w:color w:val="000000"/>
                <w:sz w:val="18"/>
                <w:szCs w:val="18"/>
                <w:lang w:val="es-PY"/>
                <w:rPrChange w:id="273" w:author="Aguilar Blandon, Maria Alejandra" w:date="2018-08-09T15:06:00Z">
                  <w:rPr>
                    <w:rFonts w:ascii="Arial" w:eastAsia="Times New Roman" w:hAnsi="Arial" w:cs="Arial"/>
                    <w:color w:val="000000"/>
                    <w:sz w:val="18"/>
                    <w:szCs w:val="18"/>
                    <w:lang w:val="es-PY"/>
                  </w:rPr>
                </w:rPrChange>
              </w:rPr>
              <w:t>I2. Referencias hospitalarias recibidas AJO (Adecuada – Justificada – Oportuna</w:t>
            </w:r>
            <w:r w:rsidR="00FB0A0B" w:rsidRPr="0077530D">
              <w:rPr>
                <w:rFonts w:ascii="Arial" w:eastAsia="Times New Roman" w:hAnsi="Arial" w:cs="Arial"/>
                <w:color w:val="000000"/>
                <w:sz w:val="18"/>
                <w:szCs w:val="18"/>
                <w:lang w:val="es-PY"/>
              </w:rPr>
              <w:t>)</w:t>
            </w:r>
            <w:r w:rsidR="00FB0A0B" w:rsidRPr="7C974D7A">
              <w:rPr>
                <w:rFonts w:ascii="Arial,Times New Roman" w:eastAsia="Arial,Times New Roman" w:hAnsi="Arial,Times New Roman" w:cs="Arial,Times New Roman"/>
                <w:color w:val="000000"/>
                <w:sz w:val="18"/>
                <w:szCs w:val="18"/>
                <w:lang w:val="es-PY"/>
                <w:rPrChange w:id="274" w:author="Aguilar Blandon, Maria Alejandra" w:date="2018-08-09T15:06:00Z">
                  <w:rPr>
                    <w:rFonts w:ascii="Arial" w:eastAsia="Times New Roman" w:hAnsi="Arial" w:cs="Arial"/>
                    <w:color w:val="000000"/>
                    <w:sz w:val="18"/>
                    <w:szCs w:val="18"/>
                    <w:lang w:val="es-PY"/>
                  </w:rPr>
                </w:rPrChange>
              </w:rPr>
              <w:t>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23C3F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Porcentaje</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216DD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Adecuadas: 26%</w:t>
            </w:r>
          </w:p>
        </w:tc>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7F90C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2018</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E2A4B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Adecuadas: 51%</w:t>
            </w:r>
          </w:p>
        </w:tc>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D6130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54B9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SIRECO</w:t>
            </w:r>
          </w:p>
        </w:tc>
        <w:tc>
          <w:tcPr>
            <w:tcW w:w="2209"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50A07D"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En las redes de salud priorizadas. La línea de base determinada a partir de las redes Los Andes y Potosí (sistema SIRECO)</w:t>
            </w:r>
          </w:p>
        </w:tc>
      </w:tr>
      <w:tr w:rsidR="00C612F9" w:rsidRPr="0077530D" w14:paraId="425892CB" w14:textId="77777777" w:rsidTr="71FBF423">
        <w:trPr>
          <w:gridAfter w:val="1"/>
          <w:trHeight w:val="372"/>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0C9F63FA" w14:textId="77777777" w:rsidR="005C43D2" w:rsidRPr="0077530D" w:rsidRDefault="005C43D2" w:rsidP="00327CE0">
            <w:pPr>
              <w:rPr>
                <w:rFonts w:ascii="Arial" w:eastAsia="Times New Roman" w:hAnsi="Arial" w:cs="Arial"/>
                <w:color w:val="000000"/>
                <w:sz w:val="18"/>
                <w:szCs w:val="18"/>
                <w:lang w:val="es-AR"/>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14:paraId="59CB2318" w14:textId="77777777" w:rsidR="005C43D2" w:rsidRPr="0077530D" w:rsidRDefault="005C43D2" w:rsidP="00327CE0">
            <w:pPr>
              <w:rPr>
                <w:rFonts w:ascii="Arial" w:eastAsia="Times New Roman" w:hAnsi="Arial" w:cs="Arial"/>
                <w:color w:val="000000"/>
                <w:sz w:val="18"/>
                <w:szCs w:val="18"/>
                <w:lang w:val="es-AR"/>
              </w:rPr>
            </w:pP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0E2F2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Justificadas: 35%</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
          <w:p w14:paraId="7834BAEB" w14:textId="77777777" w:rsidR="005C43D2" w:rsidRPr="0077530D" w:rsidRDefault="005C43D2" w:rsidP="00327CE0">
            <w:pPr>
              <w:rPr>
                <w:rFonts w:ascii="Arial" w:eastAsia="Times New Roman" w:hAnsi="Arial" w:cs="Arial"/>
                <w:color w:val="000000"/>
                <w:sz w:val="18"/>
                <w:szCs w:val="18"/>
              </w:rPr>
            </w:pP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F3C6F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Justificadas: 51%</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
          <w:p w14:paraId="3824429A" w14:textId="77777777" w:rsidR="005C43D2" w:rsidRPr="0077530D" w:rsidRDefault="005C43D2" w:rsidP="00327CE0">
            <w:pPr>
              <w:rPr>
                <w:rFonts w:ascii="Arial" w:eastAsia="Times New Roman" w:hAnsi="Arial" w:cs="Arial"/>
                <w:color w:val="000000"/>
                <w:sz w:val="18"/>
                <w:szCs w:val="18"/>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621BDE1E"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
          <w:p w14:paraId="62250C5F" w14:textId="77777777" w:rsidR="005C43D2" w:rsidRPr="0077530D" w:rsidRDefault="005C43D2" w:rsidP="00327CE0">
            <w:pPr>
              <w:rPr>
                <w:rFonts w:ascii="Arial" w:eastAsia="Times New Roman" w:hAnsi="Arial" w:cs="Arial"/>
                <w:color w:val="000000"/>
                <w:sz w:val="18"/>
                <w:szCs w:val="18"/>
              </w:rPr>
            </w:pPr>
          </w:p>
        </w:tc>
      </w:tr>
      <w:tr w:rsidR="00C612F9" w:rsidRPr="0077530D" w14:paraId="78A2C4AC" w14:textId="77777777" w:rsidTr="71FBF423">
        <w:trPr>
          <w:gridAfter w:val="1"/>
          <w:trHeight w:val="384"/>
        </w:trPr>
        <w:tc>
          <w:tcPr>
            <w:tcW w:w="1557" w:type="dxa"/>
            <w:vMerge/>
            <w:tcBorders>
              <w:top w:val="single" w:sz="4" w:space="0" w:color="auto"/>
              <w:left w:val="single" w:sz="4" w:space="0" w:color="auto"/>
              <w:bottom w:val="single" w:sz="4" w:space="0" w:color="auto"/>
              <w:right w:val="single" w:sz="4" w:space="0" w:color="auto"/>
            </w:tcBorders>
            <w:vAlign w:val="center"/>
            <w:hideMark/>
          </w:tcPr>
          <w:p w14:paraId="5B04605E" w14:textId="77777777" w:rsidR="005C43D2" w:rsidRPr="0077530D" w:rsidRDefault="005C43D2" w:rsidP="00327CE0">
            <w:pPr>
              <w:rPr>
                <w:rFonts w:ascii="Arial" w:eastAsia="Times New Roman" w:hAnsi="Arial" w:cs="Arial"/>
                <w:color w:val="000000"/>
                <w:sz w:val="18"/>
                <w:szCs w:val="18"/>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14:paraId="51F1E232" w14:textId="77777777" w:rsidR="005C43D2" w:rsidRPr="0077530D" w:rsidRDefault="005C43D2" w:rsidP="00327CE0">
            <w:pPr>
              <w:rPr>
                <w:rFonts w:ascii="Arial" w:eastAsia="Times New Roman" w:hAnsi="Arial" w:cs="Arial"/>
                <w:color w:val="000000"/>
                <w:sz w:val="18"/>
                <w:szCs w:val="18"/>
              </w:rPr>
            </w:pP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7F6F2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Oportunas: 29%</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
          <w:p w14:paraId="7ED826F2" w14:textId="77777777" w:rsidR="005C43D2" w:rsidRPr="0077530D" w:rsidRDefault="005C43D2" w:rsidP="00327CE0">
            <w:pPr>
              <w:rPr>
                <w:rFonts w:ascii="Arial" w:eastAsia="Times New Roman" w:hAnsi="Arial" w:cs="Arial"/>
                <w:color w:val="000000"/>
                <w:sz w:val="18"/>
                <w:szCs w:val="18"/>
              </w:rPr>
            </w:pP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5B14D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Oportunas: 51%</w:t>
            </w:r>
          </w:p>
        </w:tc>
        <w:tc>
          <w:tcPr>
            <w:tcW w:w="703" w:type="dxa"/>
            <w:gridSpan w:val="2"/>
            <w:vMerge/>
            <w:tcBorders>
              <w:top w:val="single" w:sz="4" w:space="0" w:color="auto"/>
              <w:left w:val="single" w:sz="4" w:space="0" w:color="auto"/>
              <w:bottom w:val="single" w:sz="4" w:space="0" w:color="auto"/>
              <w:right w:val="single" w:sz="4" w:space="0" w:color="auto"/>
            </w:tcBorders>
            <w:vAlign w:val="center"/>
            <w:hideMark/>
          </w:tcPr>
          <w:p w14:paraId="523A55FD" w14:textId="77777777" w:rsidR="005C43D2" w:rsidRPr="0077530D" w:rsidRDefault="005C43D2" w:rsidP="00327CE0">
            <w:pPr>
              <w:rPr>
                <w:rFonts w:ascii="Arial" w:eastAsia="Times New Roman" w:hAnsi="Arial" w:cs="Arial"/>
                <w:color w:val="000000"/>
                <w:sz w:val="18"/>
                <w:szCs w:val="18"/>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2301B05D" w14:textId="77777777" w:rsidR="005C43D2" w:rsidRPr="0077530D" w:rsidRDefault="005C43D2" w:rsidP="00327CE0">
            <w:pPr>
              <w:rPr>
                <w:rFonts w:ascii="Arial" w:eastAsia="Times New Roman" w:hAnsi="Arial" w:cs="Arial"/>
                <w:color w:val="000000"/>
                <w:sz w:val="18"/>
                <w:szCs w:val="18"/>
              </w:rPr>
            </w:pPr>
          </w:p>
        </w:tc>
        <w:tc>
          <w:tcPr>
            <w:tcW w:w="2209" w:type="dxa"/>
            <w:gridSpan w:val="2"/>
            <w:vMerge/>
            <w:tcBorders>
              <w:top w:val="single" w:sz="4" w:space="0" w:color="auto"/>
              <w:left w:val="single" w:sz="4" w:space="0" w:color="auto"/>
              <w:bottom w:val="single" w:sz="4" w:space="0" w:color="auto"/>
              <w:right w:val="single" w:sz="4" w:space="0" w:color="auto"/>
            </w:tcBorders>
            <w:vAlign w:val="center"/>
            <w:hideMark/>
          </w:tcPr>
          <w:p w14:paraId="12D7B761" w14:textId="77777777" w:rsidR="005C43D2" w:rsidRPr="0077530D" w:rsidRDefault="005C43D2" w:rsidP="00327CE0">
            <w:pPr>
              <w:rPr>
                <w:rFonts w:ascii="Arial" w:eastAsia="Times New Roman" w:hAnsi="Arial" w:cs="Arial"/>
                <w:color w:val="000000"/>
                <w:sz w:val="18"/>
                <w:szCs w:val="18"/>
              </w:rPr>
            </w:pPr>
          </w:p>
        </w:tc>
      </w:tr>
      <w:tr w:rsidR="005C43D2" w:rsidRPr="0077530D" w14:paraId="595775B7" w14:textId="77777777" w:rsidTr="71FBF423">
        <w:trPr>
          <w:gridAfter w:val="1"/>
          <w:trHeight w:val="209"/>
          <w:trPrChange w:id="275" w:author="Aguilar Blandon, Maria Alejandra" w:date="2018-08-09T15:06:00Z">
            <w:trPr>
              <w:gridAfter w:val="1"/>
              <w:trHeight w:val="209"/>
            </w:trPr>
          </w:trPrChange>
        </w:trPr>
        <w:tc>
          <w:tcPr>
            <w:tcW w:w="9810" w:type="dxa"/>
            <w:gridSpan w:val="13"/>
            <w:tcBorders>
              <w:top w:val="single" w:sz="4" w:space="0" w:color="auto"/>
              <w:left w:val="single" w:sz="4" w:space="0" w:color="auto"/>
              <w:bottom w:val="single" w:sz="4" w:space="0" w:color="auto"/>
              <w:right w:val="single" w:sz="4" w:space="0" w:color="auto"/>
            </w:tcBorders>
            <w:shd w:val="clear" w:color="auto" w:fill="DCE6F1"/>
            <w:noWrap/>
            <w:vAlign w:val="center"/>
            <w:hideMark/>
            <w:tcPrChange w:id="276" w:author="Aguilar Blandon, Maria Alejandra" w:date="2018-08-09T15:06:00Z">
              <w:tcPr>
                <w:tcW w:w="9810" w:type="dxa"/>
                <w:gridSpan w:val="13"/>
                <w:tcBorders>
                  <w:top w:val="single" w:sz="4" w:space="0" w:color="auto"/>
                  <w:left w:val="single" w:sz="4" w:space="0" w:color="auto"/>
                  <w:bottom w:val="single" w:sz="4" w:space="0" w:color="auto"/>
                  <w:right w:val="single" w:sz="4" w:space="0" w:color="auto"/>
                </w:tcBorders>
                <w:shd w:val="clear" w:color="auto" w:fill="DCE6F1"/>
                <w:noWrap/>
                <w:vAlign w:val="center"/>
                <w:hideMark/>
              </w:tcPr>
            </w:tcPrChange>
          </w:tcPr>
          <w:p w14:paraId="176002C8" w14:textId="77777777" w:rsidR="005C43D2" w:rsidRPr="0077530D" w:rsidRDefault="005C43D2" w:rsidP="00327CE0">
            <w:pPr>
              <w:jc w:val="cente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R3: Capacidad de gestión y eficiencia de las redes y establecimientos de salud, incrementadas</w:t>
            </w:r>
          </w:p>
        </w:tc>
      </w:tr>
      <w:tr w:rsidR="00C612F9" w:rsidRPr="0077530D" w14:paraId="63FB8629" w14:textId="77777777" w:rsidTr="71FBF423">
        <w:trPr>
          <w:gridAfter w:val="1"/>
          <w:trHeight w:val="605"/>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4BDD21"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I1. Estancia media en los hospitales de 2do nivel intervenidos</w:t>
            </w:r>
          </w:p>
        </w:tc>
        <w:tc>
          <w:tcPr>
            <w:tcW w:w="1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6EE0D3"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Días</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B3F470"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3,5</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B55B3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78D70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3,1</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DDC1B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5C8C3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7B65C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En los 9 Hospitales priorizados</w:t>
            </w:r>
          </w:p>
        </w:tc>
      </w:tr>
      <w:tr w:rsidR="00C612F9" w:rsidRPr="0077530D" w14:paraId="2DB5B13C" w14:textId="77777777" w:rsidTr="71FBF423">
        <w:trPr>
          <w:gridAfter w:val="1"/>
          <w:trHeight w:val="407"/>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56C60F"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I2. Egresos por cama</w:t>
            </w:r>
          </w:p>
        </w:tc>
        <w:tc>
          <w:tcPr>
            <w:tcW w:w="1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F90E4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Número</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A4C787"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72,1</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875FE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7632C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85</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86AF53"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00AB04"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AD843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En los 9 Hospitales priorizados</w:t>
            </w:r>
          </w:p>
        </w:tc>
      </w:tr>
      <w:tr w:rsidR="00C612F9" w:rsidRPr="0077530D" w14:paraId="70121E62" w14:textId="77777777" w:rsidTr="71FBF423">
        <w:trPr>
          <w:gridAfter w:val="1"/>
          <w:trHeight w:val="407"/>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5D0551" w14:textId="77777777" w:rsidR="005C43D2" w:rsidRPr="0077530D" w:rsidRDefault="005C43D2" w:rsidP="00327CE0">
            <w:pPr>
              <w:rPr>
                <w:rFonts w:ascii="Arial" w:eastAsia="Times New Roman" w:hAnsi="Arial" w:cs="Arial"/>
                <w:color w:val="000000"/>
                <w:sz w:val="18"/>
                <w:szCs w:val="18"/>
              </w:rPr>
            </w:pPr>
            <w:r w:rsidRPr="0077530D">
              <w:rPr>
                <w:rFonts w:ascii="Arial" w:eastAsia="Times New Roman" w:hAnsi="Arial" w:cs="Arial"/>
                <w:color w:val="000000"/>
                <w:sz w:val="18"/>
                <w:szCs w:val="18"/>
                <w:lang w:val="es-BO"/>
              </w:rPr>
              <w:t>I3. Ocupación de camas</w:t>
            </w:r>
          </w:p>
        </w:tc>
        <w:tc>
          <w:tcPr>
            <w:tcW w:w="1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A1C8F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BO"/>
              </w:rPr>
              <w:t>Porcentaje</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A6C18E"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52,61%</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5C5606"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5D24AE"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75%</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5514D5"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CFF4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A92C37"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En los 9 Hospitales priorizados</w:t>
            </w:r>
          </w:p>
        </w:tc>
      </w:tr>
      <w:tr w:rsidR="00C612F9" w:rsidRPr="0077530D" w14:paraId="79FE45E9" w14:textId="77777777" w:rsidTr="71FBF423">
        <w:trPr>
          <w:gridAfter w:val="1"/>
          <w:trHeight w:val="1200"/>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247EBB" w14:textId="2C14D7A0" w:rsidR="005C43D2" w:rsidRPr="00EE3A9A" w:rsidRDefault="005C43D2" w:rsidP="00327CE0">
            <w:pPr>
              <w:rPr>
                <w:rFonts w:ascii="Arial,Times New Roman" w:eastAsia="Arial,Times New Roman" w:hAnsi="Arial,Times New Roman" w:cs="Arial,Times New Roman"/>
                <w:color w:val="000000"/>
                <w:sz w:val="18"/>
                <w:szCs w:val="18"/>
                <w:rPrChange w:id="277" w:author="Aguilar Blandon, Maria Alejandra" w:date="2018-08-09T15:06:00Z">
                  <w:rPr>
                    <w:rFonts w:ascii="Arial" w:eastAsia="Times New Roman" w:hAnsi="Arial" w:cs="Arial"/>
                    <w:color w:val="000000"/>
                    <w:sz w:val="18"/>
                    <w:szCs w:val="18"/>
                  </w:rPr>
                </w:rPrChange>
              </w:rPr>
            </w:pPr>
            <w:r w:rsidRPr="7C974D7A">
              <w:rPr>
                <w:rFonts w:ascii="Arial" w:eastAsia="Arial" w:hAnsi="Arial" w:cs="Arial"/>
                <w:color w:val="000000"/>
                <w:sz w:val="18"/>
                <w:szCs w:val="18"/>
                <w:lang w:val="es-PY"/>
                <w:rPrChange w:id="278" w:author="Aguilar Blandon, Maria Alejandra" w:date="2018-08-09T15:06:00Z">
                  <w:rPr>
                    <w:rFonts w:ascii="Arial" w:eastAsia="Times New Roman" w:hAnsi="Arial" w:cs="Arial"/>
                    <w:color w:val="000000"/>
                    <w:sz w:val="18"/>
                    <w:szCs w:val="18"/>
                    <w:lang w:val="es-PY"/>
                  </w:rPr>
                </w:rPrChange>
              </w:rPr>
              <w:t>I4. Unidad Ponderada de Asistencia (UPA</w:t>
            </w:r>
            <w:r w:rsidR="00FB0A0B" w:rsidRPr="0077530D">
              <w:rPr>
                <w:rFonts w:ascii="Arial" w:eastAsia="Times New Roman" w:hAnsi="Arial" w:cs="Arial"/>
                <w:color w:val="000000"/>
                <w:sz w:val="18"/>
                <w:szCs w:val="18"/>
                <w:lang w:val="es-PY"/>
              </w:rPr>
              <w:t>)</w:t>
            </w:r>
            <w:r w:rsidR="00FB0A0B" w:rsidRPr="7C974D7A">
              <w:rPr>
                <w:rFonts w:ascii="Arial,Times New Roman" w:eastAsia="Arial,Times New Roman" w:hAnsi="Arial,Times New Roman" w:cs="Arial,Times New Roman"/>
                <w:color w:val="000000"/>
                <w:sz w:val="18"/>
                <w:szCs w:val="18"/>
                <w:lang w:val="es-PY"/>
                <w:rPrChange w:id="279" w:author="Aguilar Blandon, Maria Alejandra" w:date="2018-08-09T15:06:00Z">
                  <w:rPr>
                    <w:rFonts w:ascii="Arial" w:eastAsia="Times New Roman" w:hAnsi="Arial" w:cs="Arial"/>
                    <w:color w:val="000000"/>
                    <w:sz w:val="18"/>
                    <w:szCs w:val="18"/>
                    <w:lang w:val="es-PY"/>
                  </w:rPr>
                </w:rPrChange>
              </w:rPr>
              <w:t> </w:t>
            </w:r>
            <w:r w:rsidRPr="7C974D7A">
              <w:rPr>
                <w:rFonts w:ascii="Arial" w:eastAsia="Arial" w:hAnsi="Arial" w:cs="Arial"/>
                <w:color w:val="000000"/>
                <w:sz w:val="18"/>
                <w:szCs w:val="18"/>
                <w:lang w:val="es-PY"/>
                <w:rPrChange w:id="280" w:author="Aguilar Blandon, Maria Alejandra" w:date="2018-08-09T15:06:00Z">
                  <w:rPr>
                    <w:rFonts w:ascii="Arial" w:eastAsia="Times New Roman" w:hAnsi="Arial" w:cs="Arial"/>
                    <w:color w:val="000000"/>
                    <w:sz w:val="18"/>
                    <w:szCs w:val="18"/>
                    <w:lang w:val="es-PY"/>
                  </w:rPr>
                </w:rPrChange>
              </w:rPr>
              <w:t>producidas por personal asistencial en hospitales de 2do nivel intervenidos</w:t>
            </w:r>
          </w:p>
        </w:tc>
        <w:tc>
          <w:tcPr>
            <w:tcW w:w="1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1E796A"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Número</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24BB2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865,75</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2D1B1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7428BB"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975,0</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4B4157"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pt-BR"/>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164AF2"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46036D"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En los 9 Hospitales priorizados</w:t>
            </w:r>
          </w:p>
        </w:tc>
      </w:tr>
      <w:tr w:rsidR="00C612F9" w:rsidRPr="0077530D" w14:paraId="53F64EF5" w14:textId="77777777" w:rsidTr="71FBF423">
        <w:trPr>
          <w:gridAfter w:val="1"/>
          <w:trHeight w:val="605"/>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CCE944" w14:textId="77777777" w:rsidR="005C43D2" w:rsidRPr="0077530D" w:rsidRDefault="005C43D2" w:rsidP="00327CE0">
            <w:pPr>
              <w:rPr>
                <w:rFonts w:ascii="Arial" w:eastAsia="Times New Roman" w:hAnsi="Arial" w:cs="Arial"/>
                <w:color w:val="000000"/>
                <w:sz w:val="18"/>
                <w:szCs w:val="18"/>
                <w:lang w:val="es-AR"/>
              </w:rPr>
            </w:pPr>
            <w:r w:rsidRPr="0077530D">
              <w:rPr>
                <w:rFonts w:ascii="Arial" w:eastAsia="Times New Roman" w:hAnsi="Arial" w:cs="Arial"/>
                <w:color w:val="000000"/>
                <w:sz w:val="18"/>
                <w:szCs w:val="18"/>
                <w:lang w:val="es-PY"/>
              </w:rPr>
              <w:t>I5. Costo de la UPA en hospitales de 2do nivel intervenidos</w:t>
            </w:r>
          </w:p>
        </w:tc>
        <w:tc>
          <w:tcPr>
            <w:tcW w:w="1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1DA5A8"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ES_tradnl"/>
              </w:rPr>
              <w:t>Bolivianos /UPA</w:t>
            </w:r>
          </w:p>
        </w:tc>
        <w:tc>
          <w:tcPr>
            <w:tcW w:w="1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68CA3E"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ES_tradnl"/>
              </w:rPr>
              <w:t>481,28</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236671"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ES_tradnl"/>
              </w:rPr>
              <w:t>2017</w:t>
            </w:r>
          </w:p>
        </w:tc>
        <w:tc>
          <w:tcPr>
            <w:tcW w:w="1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1DE68C"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ES_tradnl"/>
              </w:rPr>
              <w:t>460,0</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227F79"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ES_tradnl"/>
              </w:rPr>
              <w:t>2023</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810D0A"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SNIS-VE</w:t>
            </w:r>
          </w:p>
        </w:tc>
        <w:tc>
          <w:tcPr>
            <w:tcW w:w="22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DE086F" w14:textId="77777777" w:rsidR="005C43D2" w:rsidRPr="0077530D" w:rsidRDefault="005C43D2" w:rsidP="00327CE0">
            <w:pPr>
              <w:jc w:val="center"/>
              <w:rPr>
                <w:rFonts w:ascii="Arial" w:eastAsia="Times New Roman" w:hAnsi="Arial" w:cs="Arial"/>
                <w:color w:val="000000"/>
                <w:sz w:val="18"/>
                <w:szCs w:val="18"/>
              </w:rPr>
            </w:pPr>
            <w:r w:rsidRPr="0077530D">
              <w:rPr>
                <w:rFonts w:ascii="Arial" w:eastAsia="Times New Roman" w:hAnsi="Arial" w:cs="Arial"/>
                <w:color w:val="000000"/>
                <w:sz w:val="18"/>
                <w:szCs w:val="18"/>
                <w:lang w:val="es-PY"/>
              </w:rPr>
              <w:t xml:space="preserve">En los 9 Hospitales priorizados </w:t>
            </w:r>
          </w:p>
        </w:tc>
      </w:tr>
    </w:tbl>
    <w:p w14:paraId="2B3FF588" w14:textId="77777777" w:rsidR="005C43D2" w:rsidRPr="0077530D" w:rsidRDefault="005C43D2" w:rsidP="005C43D2">
      <w:pPr>
        <w:rPr>
          <w:rFonts w:ascii="Arial" w:hAnsi="Arial" w:cs="Arial"/>
        </w:rPr>
      </w:pPr>
    </w:p>
    <w:p w14:paraId="3D1052CC" w14:textId="703DE4CD" w:rsidR="0093274D" w:rsidRPr="0077530D" w:rsidRDefault="0093274D">
      <w:pPr>
        <w:rPr>
          <w:rFonts w:ascii="Arial" w:eastAsia="Times New Roman" w:hAnsi="Arial" w:cs="Arial"/>
          <w:b/>
          <w:bCs/>
          <w:smallCaps/>
          <w:color w:val="000000"/>
          <w:sz w:val="20"/>
          <w:szCs w:val="20"/>
          <w:lang w:val="es-MX"/>
        </w:rPr>
      </w:pPr>
      <w:r w:rsidRPr="0077530D">
        <w:rPr>
          <w:rFonts w:ascii="Arial" w:eastAsia="Times New Roman" w:hAnsi="Arial" w:cs="Arial"/>
          <w:b/>
          <w:bCs/>
          <w:smallCaps/>
          <w:color w:val="000000"/>
          <w:sz w:val="20"/>
          <w:szCs w:val="20"/>
          <w:lang w:val="es-MX"/>
        </w:rPr>
        <w:br w:type="page"/>
      </w:r>
    </w:p>
    <w:p w14:paraId="4F5E1A93" w14:textId="77777777" w:rsidR="0023039F" w:rsidRPr="0077530D" w:rsidRDefault="002F18E8" w:rsidP="00216A0C">
      <w:pPr>
        <w:pStyle w:val="Heading1"/>
      </w:pPr>
      <w:bookmarkStart w:id="281" w:name="_Toc517873031"/>
      <w:bookmarkStart w:id="282" w:name="_Toc521590394"/>
      <w:r w:rsidRPr="0077530D">
        <w:lastRenderedPageBreak/>
        <w:t>Referencias</w:t>
      </w:r>
      <w:bookmarkEnd w:id="90"/>
      <w:bookmarkEnd w:id="281"/>
      <w:bookmarkEnd w:id="282"/>
      <w:r w:rsidRPr="0077530D">
        <w:t xml:space="preserve"> </w:t>
      </w:r>
    </w:p>
    <w:p w14:paraId="682E56D6" w14:textId="77777777" w:rsidR="00FD5CE1" w:rsidRPr="0077530D" w:rsidRDefault="001872C6" w:rsidP="00A241AD">
      <w:pPr>
        <w:pStyle w:val="NormalWeb"/>
        <w:spacing w:before="120" w:beforeAutospacing="0" w:after="120" w:afterAutospacing="0"/>
        <w:ind w:left="475" w:hanging="475"/>
        <w:divId w:val="136842363"/>
        <w:rPr>
          <w:rFonts w:ascii="Arial" w:eastAsiaTheme="minorEastAsia" w:hAnsi="Arial" w:cs="Arial"/>
          <w:noProof/>
          <w:sz w:val="20"/>
          <w:szCs w:val="20"/>
          <w:lang w:val="es-ES_tradnl"/>
        </w:rPr>
      </w:pPr>
      <w:r w:rsidRPr="0077530D">
        <w:rPr>
          <w:rFonts w:ascii="Arial" w:hAnsi="Arial" w:cs="Arial"/>
          <w:sz w:val="20"/>
          <w:szCs w:val="20"/>
          <w:lang w:val="es-ES"/>
        </w:rPr>
        <w:fldChar w:fldCharType="begin" w:fldLock="1"/>
      </w:r>
      <w:r w:rsidRPr="0077530D">
        <w:rPr>
          <w:rFonts w:ascii="Arial" w:hAnsi="Arial" w:cs="Arial"/>
          <w:sz w:val="20"/>
          <w:szCs w:val="20"/>
          <w:lang w:val="es-ES"/>
        </w:rPr>
        <w:instrText xml:space="preserve">ADDIN Mendeley Bibliography CSL_BIBLIOGRAPHY </w:instrText>
      </w:r>
      <w:r w:rsidRPr="0077530D">
        <w:rPr>
          <w:rFonts w:ascii="Arial" w:hAnsi="Arial" w:cs="Arial"/>
          <w:sz w:val="20"/>
          <w:szCs w:val="20"/>
          <w:lang w:val="es-ES"/>
        </w:rPr>
        <w:fldChar w:fldCharType="separate"/>
      </w:r>
      <w:r w:rsidR="00FD5CE1" w:rsidRPr="0077530D">
        <w:rPr>
          <w:rFonts w:ascii="Arial" w:hAnsi="Arial" w:cs="Arial"/>
          <w:noProof/>
          <w:sz w:val="20"/>
          <w:szCs w:val="20"/>
          <w:lang w:val="es-ES_tradnl"/>
        </w:rPr>
        <w:t xml:space="preserve">Alvis, Nelson, y María Teresa Valenzuela. 2010. “Los QALYs Y DALYs Como Indicadores Sintéticos de Salud.” </w:t>
      </w:r>
      <w:r w:rsidR="00FD5CE1" w:rsidRPr="0077530D">
        <w:rPr>
          <w:rFonts w:ascii="Arial" w:hAnsi="Arial" w:cs="Arial"/>
          <w:i/>
          <w:iCs/>
          <w:noProof/>
          <w:sz w:val="20"/>
          <w:szCs w:val="20"/>
          <w:lang w:val="es-ES_tradnl"/>
        </w:rPr>
        <w:t>Revista Médica de Chile</w:t>
      </w:r>
      <w:r w:rsidR="00FD5CE1" w:rsidRPr="0077530D">
        <w:rPr>
          <w:rFonts w:ascii="Arial" w:hAnsi="Arial" w:cs="Arial"/>
          <w:noProof/>
          <w:sz w:val="20"/>
          <w:szCs w:val="20"/>
          <w:lang w:val="es-ES_tradnl"/>
        </w:rPr>
        <w:t xml:space="preserve"> 138 (September). Sociedad Médica de Santiago: 83–87. doi:10.4067/S0034-98872010001000005.</w:t>
      </w:r>
    </w:p>
    <w:p w14:paraId="54C63CFD"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lang w:val="es-ES_tradnl"/>
        </w:rPr>
        <w:t>Berkley, Seth, Christopher J. L. Murray, Robert Hecht, Helen Saxenian, Philip Musgrove, Jee-Peng Tan, Jose-Luis Bobadilla, Kenneth Hill, y Dean T. Jamison. 1993. “Informe sobre el desarrollo mundial 1993 : investir en salud,” July, 1–351. http://documentos.bancomundial.org/curated/es/1993/07/12711504/world-development-report-1993-investing-health-informe-sobre-el-desarrollo-mundial-1993-investir-en-salud.</w:t>
      </w:r>
    </w:p>
    <w:p w14:paraId="541E894E"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lang w:val="es-ES_tradnl"/>
        </w:rPr>
        <w:t xml:space="preserve">Bobadilla, J L, P Cowley, P Musgrove, y H Saxenian. </w:t>
      </w:r>
      <w:r w:rsidRPr="0077530D">
        <w:rPr>
          <w:rFonts w:ascii="Arial" w:hAnsi="Arial" w:cs="Arial"/>
          <w:noProof/>
          <w:sz w:val="20"/>
          <w:szCs w:val="20"/>
        </w:rPr>
        <w:t xml:space="preserve">1994. “Design, Content y Financing of an Essential National Package of Health Services.” </w:t>
      </w:r>
      <w:r w:rsidRPr="0077530D">
        <w:rPr>
          <w:rFonts w:ascii="Arial" w:hAnsi="Arial" w:cs="Arial"/>
          <w:i/>
          <w:iCs/>
          <w:noProof/>
          <w:sz w:val="20"/>
          <w:szCs w:val="20"/>
        </w:rPr>
        <w:t>Bulletin of the World Health Organization</w:t>
      </w:r>
      <w:r w:rsidRPr="0077530D">
        <w:rPr>
          <w:rFonts w:ascii="Arial" w:hAnsi="Arial" w:cs="Arial"/>
          <w:noProof/>
          <w:sz w:val="20"/>
          <w:szCs w:val="20"/>
        </w:rPr>
        <w:t xml:space="preserve"> 72 (4): 653–62. http://www.pubmedcentral.nih.gov/articlerender.fcgi?artid=2486601&amp;tool=pmcentrez&amp;rendertype=abstract.</w:t>
      </w:r>
    </w:p>
    <w:p w14:paraId="3286558C"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lang w:val="fr-FR"/>
        </w:rPr>
        <w:t xml:space="preserve">Cecchini, M, F Sassi, y JA Lauer. </w:t>
      </w:r>
      <w:r w:rsidRPr="0077530D">
        <w:rPr>
          <w:rFonts w:ascii="Arial" w:hAnsi="Arial" w:cs="Arial"/>
          <w:noProof/>
          <w:sz w:val="20"/>
          <w:szCs w:val="20"/>
        </w:rPr>
        <w:t xml:space="preserve">2010. “Tackling of Unhealthy Diets, Physical Inactivity, y Obesity: Health Effects y Cost-Effectiveness.” </w:t>
      </w:r>
      <w:r w:rsidRPr="0077530D">
        <w:rPr>
          <w:rFonts w:ascii="Arial" w:hAnsi="Arial" w:cs="Arial"/>
          <w:i/>
          <w:iCs/>
          <w:noProof/>
          <w:sz w:val="20"/>
          <w:szCs w:val="20"/>
        </w:rPr>
        <w:t>The Lancet</w:t>
      </w:r>
      <w:r w:rsidRPr="0077530D">
        <w:rPr>
          <w:rFonts w:ascii="Arial" w:hAnsi="Arial" w:cs="Arial"/>
          <w:noProof/>
          <w:sz w:val="20"/>
          <w:szCs w:val="20"/>
        </w:rPr>
        <w:t>. http://www.sciencedirect.com/science/article/pii/S0140673610615140.</w:t>
      </w:r>
    </w:p>
    <w:p w14:paraId="668C9806"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De Castillo, CP, y R Lema. 1998. “Economic Analysis of Social Investment Fund Projects: Case Studies y Minimum Requirements Proposal.” http://siteresources.worldbank.org/INTCDD/Resources/EACAS.pdf.</w:t>
      </w:r>
    </w:p>
    <w:p w14:paraId="3AB118EA" w14:textId="2398CAEB"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Fox-Rushby, J A, y K Hanson. 2001. “Calculating y Presenting Disability Adjusted Life Years (DALYs</w:t>
      </w:r>
      <w:r w:rsidR="00FB0A0B">
        <w:rPr>
          <w:rFonts w:ascii="Arial" w:hAnsi="Arial" w:cs="Arial"/>
          <w:noProof/>
          <w:sz w:val="20"/>
          <w:szCs w:val="20"/>
        </w:rPr>
        <w:t>) </w:t>
      </w:r>
      <w:r w:rsidRPr="0077530D">
        <w:rPr>
          <w:rFonts w:ascii="Arial" w:hAnsi="Arial" w:cs="Arial"/>
          <w:noProof/>
          <w:sz w:val="20"/>
          <w:szCs w:val="20"/>
        </w:rPr>
        <w:t xml:space="preserve">in Cost-Effectiveness Analysis.” </w:t>
      </w:r>
      <w:r w:rsidRPr="0077530D">
        <w:rPr>
          <w:rFonts w:ascii="Arial" w:hAnsi="Arial" w:cs="Arial"/>
          <w:i/>
          <w:iCs/>
          <w:noProof/>
          <w:sz w:val="20"/>
          <w:szCs w:val="20"/>
        </w:rPr>
        <w:t>Health Policy y Planning</w:t>
      </w:r>
      <w:r w:rsidRPr="0077530D">
        <w:rPr>
          <w:rFonts w:ascii="Arial" w:hAnsi="Arial" w:cs="Arial"/>
          <w:noProof/>
          <w:sz w:val="20"/>
          <w:szCs w:val="20"/>
        </w:rPr>
        <w:t xml:space="preserve"> 16 (3): 326–31. http://www.ncbi.nlm.nih.gov/pubmed/11527874.</w:t>
      </w:r>
    </w:p>
    <w:p w14:paraId="371590B7"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 xml:space="preserve">Guanais, Frederico, y James Macinko. “Primary Care y Avoidable Hospitalizations: Evidence from Brazil.” </w:t>
      </w:r>
      <w:r w:rsidRPr="0077530D">
        <w:rPr>
          <w:rFonts w:ascii="Arial" w:hAnsi="Arial" w:cs="Arial"/>
          <w:i/>
          <w:iCs/>
          <w:noProof/>
          <w:sz w:val="20"/>
          <w:szCs w:val="20"/>
        </w:rPr>
        <w:t>The Journal of Ambulatory Care Management</w:t>
      </w:r>
      <w:r w:rsidRPr="0077530D">
        <w:rPr>
          <w:rFonts w:ascii="Arial" w:hAnsi="Arial" w:cs="Arial"/>
          <w:noProof/>
          <w:sz w:val="20"/>
          <w:szCs w:val="20"/>
        </w:rPr>
        <w:t xml:space="preserve"> 32 (2): 115–22. doi:10.1097/JAC.0b013e31819942e51.</w:t>
      </w:r>
    </w:p>
    <w:p w14:paraId="515D8FCD"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Heckman, James J, Seong Hyeok Moon, Rodrigo Pinto, Peter Savelyev, y Adam Yavitz. 2010. “A New Cost-Benefit y Rate of Return Analysis for the Perry Preschool Program: A Summary,” July. http://www.nber.org/papers/w16180.</w:t>
      </w:r>
    </w:p>
    <w:p w14:paraId="0D6284B7"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 xml:space="preserve">Herrera, R, CM Orantes, y M Almaguer. 2014. “Características Clínicas de La Enfermedad Renal Crónica de Causas No Tradicionales En Las Comunidades Agrícolas Salvadoreñas.” </w:t>
      </w:r>
      <w:r w:rsidRPr="0077530D">
        <w:rPr>
          <w:rFonts w:ascii="Arial" w:hAnsi="Arial" w:cs="Arial"/>
          <w:i/>
          <w:iCs/>
          <w:noProof/>
          <w:sz w:val="20"/>
          <w:szCs w:val="20"/>
        </w:rPr>
        <w:t>Medicc Review</w:t>
      </w:r>
      <w:r w:rsidRPr="0077530D">
        <w:rPr>
          <w:rFonts w:ascii="Arial" w:hAnsi="Arial" w:cs="Arial"/>
          <w:noProof/>
          <w:sz w:val="20"/>
          <w:szCs w:val="20"/>
        </w:rPr>
        <w:t xml:space="preserve"> 16 (2). http://www.medicc.org/mediccreview/articles/mr_353_es.pdf.</w:t>
      </w:r>
    </w:p>
    <w:p w14:paraId="178A20C6"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Jamison, Dean T, Joel G Breman, Anthony R Measham, George Alleyne, Mariam Claeson, David B Evans, Prabhat Jha, Anne Mills, y Philip Musgrove. 2006. “Disease Control Priorities in Developing Countries.” World Bank. http://www.ncbi.nlm.nih.gov/books/NBK11728/.</w:t>
      </w:r>
    </w:p>
    <w:p w14:paraId="2917F990"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rPr>
        <w:t xml:space="preserve">Lomborg, B. 2010. </w:t>
      </w:r>
      <w:r w:rsidRPr="0077530D">
        <w:rPr>
          <w:rFonts w:ascii="Arial" w:hAnsi="Arial" w:cs="Arial"/>
          <w:i/>
          <w:iCs/>
          <w:noProof/>
          <w:sz w:val="20"/>
          <w:szCs w:val="20"/>
        </w:rPr>
        <w:t>Latin American Development Priorities: Costs y Benefits</w:t>
      </w:r>
      <w:r w:rsidRPr="0077530D">
        <w:rPr>
          <w:rFonts w:ascii="Arial" w:hAnsi="Arial" w:cs="Arial"/>
          <w:noProof/>
          <w:sz w:val="20"/>
          <w:szCs w:val="20"/>
        </w:rPr>
        <w:t xml:space="preserve">. </w:t>
      </w:r>
      <w:r w:rsidRPr="0077530D">
        <w:rPr>
          <w:rFonts w:ascii="Arial" w:hAnsi="Arial" w:cs="Arial"/>
          <w:noProof/>
          <w:sz w:val="20"/>
          <w:szCs w:val="20"/>
          <w:lang w:val="es-ES_tradnl"/>
        </w:rPr>
        <w:t>Cambridge, Reino Unido: Cambridge University Press. https://books.google.com/books?hl=en&amp;lr=&amp;id=O5V7K2n-ZJoC&amp;oi=fnd&amp;pg=PR5&amp;dq=Latin+American+Development+Priorities:+Costs+y+Benefits&amp;ots=vnG-qCOlbp&amp;sig=vP8HN44kpmIQa4p-kMllDudsV7s.</w:t>
      </w:r>
    </w:p>
    <w:p w14:paraId="17CDD48B"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 xml:space="preserve">Lopez, Humberto. 2008. </w:t>
      </w:r>
      <w:r w:rsidRPr="0077530D">
        <w:rPr>
          <w:rFonts w:ascii="Arial" w:hAnsi="Arial" w:cs="Arial"/>
          <w:i/>
          <w:iCs/>
          <w:noProof/>
          <w:sz w:val="20"/>
          <w:szCs w:val="20"/>
        </w:rPr>
        <w:t>The Social Discount Rate: Estimates For Nine Latin American Countries</w:t>
      </w:r>
      <w:r w:rsidRPr="0077530D">
        <w:rPr>
          <w:rFonts w:ascii="Arial" w:hAnsi="Arial" w:cs="Arial"/>
          <w:noProof/>
          <w:sz w:val="20"/>
          <w:szCs w:val="20"/>
        </w:rPr>
        <w:t>. Policy Research Working Papers. The World Bank. doi:10.1596/1813-9450-4639.</w:t>
      </w:r>
    </w:p>
    <w:p w14:paraId="4E5F9A0F"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 xml:space="preserve">Macinko, James, Veneza B de Oliveira, Maria A Turci, Frederico C Guanais, Palmira F Bonolo, y Maria F Lima-Costa. 2011. “The Influence of Primary Care y Hospital Supply on Ambulatory Care-Sensitive Hospitalizations among Adults in Brazil, 1999-2007.” </w:t>
      </w:r>
      <w:r w:rsidRPr="0077530D">
        <w:rPr>
          <w:rFonts w:ascii="Arial" w:hAnsi="Arial" w:cs="Arial"/>
          <w:i/>
          <w:iCs/>
          <w:noProof/>
          <w:sz w:val="20"/>
          <w:szCs w:val="20"/>
        </w:rPr>
        <w:t>American Journal of Public Health</w:t>
      </w:r>
      <w:r w:rsidRPr="0077530D">
        <w:rPr>
          <w:rFonts w:ascii="Arial" w:hAnsi="Arial" w:cs="Arial"/>
          <w:noProof/>
          <w:sz w:val="20"/>
          <w:szCs w:val="20"/>
        </w:rPr>
        <w:t xml:space="preserve"> 101 (10): 1963–70. doi:10.2105/AJPH.2010.198887.</w:t>
      </w:r>
    </w:p>
    <w:p w14:paraId="44A608D1"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t xml:space="preserve">Macinko, James, y Matthew Harris. 2015. “Brazil’s Family Health Strategy — Delivering Community-Based Primary Care in a Universal Health System.” </w:t>
      </w:r>
      <w:r w:rsidRPr="0077530D">
        <w:rPr>
          <w:rFonts w:ascii="Arial" w:hAnsi="Arial" w:cs="Arial"/>
          <w:i/>
          <w:iCs/>
          <w:noProof/>
          <w:sz w:val="20"/>
          <w:szCs w:val="20"/>
        </w:rPr>
        <w:t>The New Engly Journal of Medicine</w:t>
      </w:r>
      <w:r w:rsidRPr="0077530D">
        <w:rPr>
          <w:rFonts w:ascii="Arial" w:hAnsi="Arial" w:cs="Arial"/>
          <w:noProof/>
          <w:sz w:val="20"/>
          <w:szCs w:val="20"/>
        </w:rPr>
        <w:t xml:space="preserve"> 372 (23): 2177–81. doi:10.1056/NEJMp1501140.</w:t>
      </w:r>
    </w:p>
    <w:p w14:paraId="30AD0BD3"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rPr>
        <w:lastRenderedPageBreak/>
        <w:t xml:space="preserve">Martinez, R, y A Fernández. 2008. </w:t>
      </w:r>
      <w:r w:rsidRPr="0077530D">
        <w:rPr>
          <w:rFonts w:ascii="Arial" w:hAnsi="Arial" w:cs="Arial"/>
          <w:i/>
          <w:iCs/>
          <w:noProof/>
          <w:sz w:val="20"/>
          <w:szCs w:val="20"/>
        </w:rPr>
        <w:t>The Cost of Hunger: Social y Economic Impact of Child Undernutrition in Central America y the Dominican Republic</w:t>
      </w:r>
      <w:r w:rsidRPr="0077530D">
        <w:rPr>
          <w:rFonts w:ascii="Arial" w:hAnsi="Arial" w:cs="Arial"/>
          <w:noProof/>
          <w:sz w:val="20"/>
          <w:szCs w:val="20"/>
        </w:rPr>
        <w:t>. http://gommes.net/wergosum/wp-content/uploads/2012/07/2008_cost-of-hunger_wfp.pdf.</w:t>
      </w:r>
    </w:p>
    <w:p w14:paraId="79AB6595"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rPr>
        <w:t xml:space="preserve">Mathers, Colin, Theo Vos, Alan Lopez, Josh Salomon, y Majid Ezzati, eds. 2001. </w:t>
      </w:r>
      <w:r w:rsidRPr="0077530D">
        <w:rPr>
          <w:rFonts w:ascii="Arial" w:hAnsi="Arial" w:cs="Arial"/>
          <w:i/>
          <w:iCs/>
          <w:noProof/>
          <w:sz w:val="20"/>
          <w:szCs w:val="20"/>
          <w:lang w:val="es-ES_tradnl"/>
        </w:rPr>
        <w:t>National Burden of Disease Studies: A Practical Guide. Edition 2.0</w:t>
      </w:r>
      <w:r w:rsidRPr="0077530D">
        <w:rPr>
          <w:rFonts w:ascii="Arial" w:hAnsi="Arial" w:cs="Arial"/>
          <w:noProof/>
          <w:sz w:val="20"/>
          <w:szCs w:val="20"/>
          <w:lang w:val="es-ES_tradnl"/>
        </w:rPr>
        <w:t>. Giinebra, Suiza: Organización Mundial de la Salud.</w:t>
      </w:r>
    </w:p>
    <w:p w14:paraId="3F64ED5B"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lang w:val="es-ES_tradnl"/>
        </w:rPr>
        <w:t xml:space="preserve">Ministerio de Economia de El Salvador, DIGESTYC, UNFPA, CELADE. 2014. </w:t>
      </w:r>
      <w:r w:rsidRPr="0077530D">
        <w:rPr>
          <w:rFonts w:ascii="Arial" w:hAnsi="Arial" w:cs="Arial"/>
          <w:i/>
          <w:iCs/>
          <w:noProof/>
          <w:sz w:val="20"/>
          <w:szCs w:val="20"/>
          <w:lang w:val="es-ES_tradnl"/>
        </w:rPr>
        <w:t>El Salvador: Estimaciones Y Proyecciones de Población Nacional 2005-2050 Departamental 2005-2025</w:t>
      </w:r>
      <w:r w:rsidRPr="0077530D">
        <w:rPr>
          <w:rFonts w:ascii="Arial" w:hAnsi="Arial" w:cs="Arial"/>
          <w:noProof/>
          <w:sz w:val="20"/>
          <w:szCs w:val="20"/>
          <w:lang w:val="es-ES_tradnl"/>
        </w:rPr>
        <w:t>. San Salvador, El Salvador. http://www.digestyc.gob.sv/index.php/novedades/avisos/540-el-salvador-estimaciones-y-proyecciones-de-poblacion.html.</w:t>
      </w:r>
    </w:p>
    <w:p w14:paraId="1DF28903"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lang w:val="es-ES_tradnl"/>
        </w:rPr>
        <w:t xml:space="preserve">Ministerio de Economía de El Salvador, DIGESTYC, UNFPA, CELADE. 2014. </w:t>
      </w:r>
      <w:r w:rsidRPr="0077530D">
        <w:rPr>
          <w:rFonts w:ascii="Arial" w:hAnsi="Arial" w:cs="Arial"/>
          <w:i/>
          <w:iCs/>
          <w:noProof/>
          <w:sz w:val="20"/>
          <w:szCs w:val="20"/>
          <w:lang w:val="es-ES_tradnl"/>
        </w:rPr>
        <w:t>El Salvador: Estimaciones Y Proyecciones de Población Municipal 2005-2025</w:t>
      </w:r>
      <w:r w:rsidRPr="0077530D">
        <w:rPr>
          <w:rFonts w:ascii="Arial" w:hAnsi="Arial" w:cs="Arial"/>
          <w:noProof/>
          <w:sz w:val="20"/>
          <w:szCs w:val="20"/>
          <w:lang w:val="es-ES_tradnl"/>
        </w:rPr>
        <w:t>. San Salvador, El Salvador.</w:t>
      </w:r>
    </w:p>
    <w:p w14:paraId="7C7F0078"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lang w:val="es-ES_tradnl"/>
        </w:rPr>
        <w:t xml:space="preserve">Murray, C J, y A D Lopez. </w:t>
      </w:r>
      <w:r w:rsidRPr="0077530D">
        <w:rPr>
          <w:rFonts w:ascii="Arial" w:hAnsi="Arial" w:cs="Arial"/>
          <w:noProof/>
          <w:sz w:val="20"/>
          <w:szCs w:val="20"/>
        </w:rPr>
        <w:t xml:space="preserve">1994. “Quantifying Disability: Data, Methods y Results.” </w:t>
      </w:r>
      <w:r w:rsidRPr="0077530D">
        <w:rPr>
          <w:rFonts w:ascii="Arial" w:hAnsi="Arial" w:cs="Arial"/>
          <w:i/>
          <w:iCs/>
          <w:noProof/>
          <w:sz w:val="20"/>
          <w:szCs w:val="20"/>
        </w:rPr>
        <w:t>Bulletin of the World Health Organization</w:t>
      </w:r>
      <w:r w:rsidRPr="0077530D">
        <w:rPr>
          <w:rFonts w:ascii="Arial" w:hAnsi="Arial" w:cs="Arial"/>
          <w:noProof/>
          <w:sz w:val="20"/>
          <w:szCs w:val="20"/>
        </w:rPr>
        <w:t xml:space="preserve"> 72 (3): 481–94. http://www.pubmedcentral.nih.gov/articlerender.fcgi?artid=2486704&amp;tool=pmcentrez&amp;rendertype=abstract.</w:t>
      </w:r>
    </w:p>
    <w:p w14:paraId="2F41E744"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pt-BR"/>
        </w:rPr>
      </w:pPr>
      <w:r w:rsidRPr="0077530D">
        <w:rPr>
          <w:rFonts w:ascii="Arial" w:hAnsi="Arial" w:cs="Arial"/>
          <w:noProof/>
          <w:sz w:val="20"/>
          <w:szCs w:val="20"/>
        </w:rPr>
        <w:t xml:space="preserve">Murray, Christopher J L, Jeremy A Lauer, Raymond C W Hutubessy, Louis Niessen, Niels Tomijima, Anthony Rodgers, Carlene M M Lawes, y David B Evans. 2003. “Effectiveness y Costs of Interventions to Lower Systolic Blood Pressure y Cholesterol: A Global y Regional Analysis on Reduction of Cardiovascular-Disease Risk.” </w:t>
      </w:r>
      <w:r w:rsidRPr="0077530D">
        <w:rPr>
          <w:rFonts w:ascii="Arial" w:hAnsi="Arial" w:cs="Arial"/>
          <w:i/>
          <w:iCs/>
          <w:noProof/>
          <w:sz w:val="20"/>
          <w:szCs w:val="20"/>
          <w:lang w:val="pt-BR"/>
        </w:rPr>
        <w:t>Lancet</w:t>
      </w:r>
      <w:r w:rsidRPr="0077530D">
        <w:rPr>
          <w:rFonts w:ascii="Arial" w:hAnsi="Arial" w:cs="Arial"/>
          <w:noProof/>
          <w:sz w:val="20"/>
          <w:szCs w:val="20"/>
          <w:lang w:val="pt-BR"/>
        </w:rPr>
        <w:t xml:space="preserve"> 361 (9359): 717–25. doi:10.1016/S0140-6736(03)12655-4.</w:t>
      </w:r>
    </w:p>
    <w:p w14:paraId="0E51F64B"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lang w:val="pt-BR"/>
        </w:rPr>
        <w:t xml:space="preserve">Orantes, CM, R Herrera, y M Almaguer. </w:t>
      </w:r>
      <w:r w:rsidRPr="0077530D">
        <w:rPr>
          <w:rFonts w:ascii="Arial" w:hAnsi="Arial" w:cs="Arial"/>
          <w:noProof/>
          <w:sz w:val="20"/>
          <w:szCs w:val="20"/>
          <w:lang w:val="es-ES_tradnl"/>
        </w:rPr>
        <w:t xml:space="preserve">2014. “Epidemiología de La Enfermedad Renal Crónica En Los Adultos de Las Comunidades Agrícolas Salvadoreñas.” </w:t>
      </w:r>
      <w:r w:rsidRPr="0077530D">
        <w:rPr>
          <w:rFonts w:ascii="Arial" w:hAnsi="Arial" w:cs="Arial"/>
          <w:i/>
          <w:iCs/>
          <w:noProof/>
          <w:sz w:val="20"/>
          <w:szCs w:val="20"/>
        </w:rPr>
        <w:t>Medicc Review</w:t>
      </w:r>
      <w:r w:rsidRPr="0077530D">
        <w:rPr>
          <w:rFonts w:ascii="Arial" w:hAnsi="Arial" w:cs="Arial"/>
          <w:noProof/>
          <w:sz w:val="20"/>
          <w:szCs w:val="20"/>
        </w:rPr>
        <w:t xml:space="preserve"> 16 (2). http://www.medicc.org/mediccreview/pdf.php?lang=es&amp;id=351.</w:t>
      </w:r>
    </w:p>
    <w:p w14:paraId="796265DF"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lang w:val="es-ES_tradnl"/>
        </w:rPr>
        <w:t xml:space="preserve">Organización Mundial de la Salud. </w:t>
      </w:r>
      <w:r w:rsidRPr="0077530D">
        <w:rPr>
          <w:rFonts w:ascii="Arial" w:hAnsi="Arial" w:cs="Arial"/>
          <w:noProof/>
          <w:sz w:val="20"/>
          <w:szCs w:val="20"/>
        </w:rPr>
        <w:t xml:space="preserve">2015. “Cost Effectiveness y Strategic Planning (WHO-CHOICE).” </w:t>
      </w:r>
      <w:r w:rsidRPr="0077530D">
        <w:rPr>
          <w:rFonts w:ascii="Arial" w:hAnsi="Arial" w:cs="Arial"/>
          <w:noProof/>
          <w:sz w:val="20"/>
          <w:szCs w:val="20"/>
          <w:lang w:val="es-ES_tradnl"/>
        </w:rPr>
        <w:t>Ginebra, Suiza: Organización Mundial de la Salud. http://www.who.int/choice/costs/CER_thresholds/en/.</w:t>
      </w:r>
    </w:p>
    <w:p w14:paraId="4EEB18EB" w14:textId="0EE58CF2"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lang w:val="pt-BR"/>
        </w:rPr>
        <w:t xml:space="preserve">Salomon, Joshua A, Natalie Carvalho, Cristina Gutiérrez-Delgado, Ricardo Orozco, Anna Mancuso, Daniel R Hogan, Diana Lee, et al. 2012. </w:t>
      </w:r>
      <w:r w:rsidRPr="0077530D">
        <w:rPr>
          <w:rFonts w:ascii="Arial" w:hAnsi="Arial" w:cs="Arial"/>
          <w:noProof/>
          <w:sz w:val="20"/>
          <w:szCs w:val="20"/>
        </w:rPr>
        <w:t xml:space="preserve">“Intervention Strategies to Reduce the Burden of Non-Communicable Diseases in Mexico: Cost Effectiveness Analysis.” </w:t>
      </w:r>
      <w:r w:rsidRPr="0077530D">
        <w:rPr>
          <w:rFonts w:ascii="Arial" w:hAnsi="Arial" w:cs="Arial"/>
          <w:i/>
          <w:iCs/>
          <w:noProof/>
          <w:sz w:val="20"/>
          <w:szCs w:val="20"/>
        </w:rPr>
        <w:t>BMJ (Clinical Research Ed.</w:t>
      </w:r>
      <w:r w:rsidR="00FB0A0B">
        <w:rPr>
          <w:rFonts w:ascii="Arial" w:hAnsi="Arial" w:cs="Arial"/>
          <w:i/>
          <w:iCs/>
          <w:noProof/>
          <w:sz w:val="20"/>
          <w:szCs w:val="20"/>
        </w:rPr>
        <w:t>) </w:t>
      </w:r>
      <w:r w:rsidRPr="0077530D">
        <w:rPr>
          <w:rFonts w:ascii="Arial" w:hAnsi="Arial" w:cs="Arial"/>
          <w:noProof/>
          <w:sz w:val="20"/>
          <w:szCs w:val="20"/>
        </w:rPr>
        <w:t>344 (mar02_1): e355. doi:10.1136/bmj.e355.</w:t>
      </w:r>
    </w:p>
    <w:p w14:paraId="2C27C16B"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lang w:val="es-ES_tradnl"/>
        </w:rPr>
      </w:pPr>
      <w:r w:rsidRPr="0077530D">
        <w:rPr>
          <w:rFonts w:ascii="Arial" w:hAnsi="Arial" w:cs="Arial"/>
          <w:noProof/>
          <w:sz w:val="20"/>
          <w:szCs w:val="20"/>
        </w:rPr>
        <w:t xml:space="preserve">Tan-Torres Edejer, T, R. Baltussen, T Adam, R Hutubessy, A. Acharya, D.B. Evans, y C.J.L. Murray, eds. 2003. </w:t>
      </w:r>
      <w:r w:rsidRPr="0077530D">
        <w:rPr>
          <w:rFonts w:ascii="Arial" w:hAnsi="Arial" w:cs="Arial"/>
          <w:i/>
          <w:iCs/>
          <w:noProof/>
          <w:sz w:val="20"/>
          <w:szCs w:val="20"/>
        </w:rPr>
        <w:t>Making Choices in Health:WHO Guide to Cost-Effectiveness Analysis</w:t>
      </w:r>
      <w:r w:rsidRPr="0077530D">
        <w:rPr>
          <w:rFonts w:ascii="Arial" w:hAnsi="Arial" w:cs="Arial"/>
          <w:noProof/>
          <w:sz w:val="20"/>
          <w:szCs w:val="20"/>
        </w:rPr>
        <w:t xml:space="preserve">. </w:t>
      </w:r>
      <w:r w:rsidRPr="0077530D">
        <w:rPr>
          <w:rFonts w:ascii="Arial" w:hAnsi="Arial" w:cs="Arial"/>
          <w:noProof/>
          <w:sz w:val="20"/>
          <w:szCs w:val="20"/>
          <w:lang w:val="es-ES_tradnl"/>
        </w:rPr>
        <w:t>Ginebra, Suiza: Organización Mundial de la Salud.</w:t>
      </w:r>
    </w:p>
    <w:p w14:paraId="0C33FBBE" w14:textId="77777777" w:rsidR="00FD5CE1" w:rsidRPr="0077530D" w:rsidRDefault="00FD5CE1" w:rsidP="00A241AD">
      <w:pPr>
        <w:pStyle w:val="NormalWeb"/>
        <w:spacing w:before="120" w:beforeAutospacing="0" w:after="120" w:afterAutospacing="0"/>
        <w:ind w:left="475" w:hanging="475"/>
        <w:divId w:val="136842363"/>
        <w:rPr>
          <w:rFonts w:ascii="Arial" w:hAnsi="Arial" w:cs="Arial"/>
          <w:noProof/>
          <w:sz w:val="20"/>
          <w:szCs w:val="20"/>
        </w:rPr>
      </w:pPr>
      <w:r w:rsidRPr="0077530D">
        <w:rPr>
          <w:rFonts w:ascii="Arial" w:hAnsi="Arial" w:cs="Arial"/>
          <w:noProof/>
          <w:sz w:val="20"/>
          <w:szCs w:val="20"/>
          <w:lang w:val="es-ES_tradnl"/>
        </w:rPr>
        <w:t xml:space="preserve">Zhuang, J, Z Liang, T Lin, y F De Guzman. </w:t>
      </w:r>
      <w:r w:rsidRPr="0077530D">
        <w:rPr>
          <w:rFonts w:ascii="Arial" w:hAnsi="Arial" w:cs="Arial"/>
          <w:noProof/>
          <w:sz w:val="20"/>
          <w:szCs w:val="20"/>
        </w:rPr>
        <w:t>2007. “Theory y Practice in the Choice of Social Discount Rate for Cost-Benefit Analysis: A Survey.” https://adb-test.atmire.com/hyle/11540/1853.</w:t>
      </w:r>
    </w:p>
    <w:p w14:paraId="414D61A5" w14:textId="77777777" w:rsidR="00857FE0" w:rsidRPr="0077530D" w:rsidRDefault="001872C6" w:rsidP="00A241AD">
      <w:pPr>
        <w:pStyle w:val="NormalWeb"/>
        <w:spacing w:before="120" w:beforeAutospacing="0" w:after="120" w:afterAutospacing="0"/>
        <w:ind w:left="475" w:hanging="475"/>
        <w:divId w:val="1804535920"/>
        <w:rPr>
          <w:rFonts w:ascii="Arial" w:hAnsi="Arial" w:cs="Arial"/>
          <w:sz w:val="20"/>
          <w:szCs w:val="20"/>
        </w:rPr>
      </w:pPr>
      <w:r w:rsidRPr="0077530D">
        <w:rPr>
          <w:rFonts w:ascii="Arial" w:hAnsi="Arial" w:cs="Arial"/>
          <w:sz w:val="20"/>
          <w:szCs w:val="20"/>
          <w:lang w:val="es-ES"/>
        </w:rPr>
        <w:fldChar w:fldCharType="end"/>
      </w:r>
      <w:r w:rsidR="00D80A9B" w:rsidRPr="0077530D">
        <w:rPr>
          <w:rFonts w:ascii="Arial" w:hAnsi="Arial" w:cs="Arial"/>
          <w:sz w:val="20"/>
          <w:szCs w:val="20"/>
        </w:rPr>
        <w:t xml:space="preserve"> </w:t>
      </w:r>
    </w:p>
    <w:sectPr w:rsidR="00857FE0" w:rsidRPr="0077530D" w:rsidSect="00AE5F64">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9E81A" w14:textId="77777777" w:rsidR="00C3008E" w:rsidRDefault="00C3008E" w:rsidP="008C5F59">
      <w:r>
        <w:separator/>
      </w:r>
    </w:p>
  </w:endnote>
  <w:endnote w:type="continuationSeparator" w:id="0">
    <w:p w14:paraId="3ADC620E" w14:textId="77777777" w:rsidR="00C3008E" w:rsidRDefault="00C3008E" w:rsidP="008C5F59">
      <w:r>
        <w:continuationSeparator/>
      </w:r>
    </w:p>
  </w:endnote>
  <w:endnote w:type="continuationNotice" w:id="1">
    <w:p w14:paraId="2E7D6DD6" w14:textId="77777777" w:rsidR="00A84ED8" w:rsidRDefault="00A84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Bitstream Vera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Arial,Cambria">
    <w:altName w:val="Arial"/>
    <w:panose1 w:val="00000000000000000000"/>
    <w:charset w:val="00"/>
    <w:family w:val="roman"/>
    <w:notTrueType/>
    <w:pitch w:val="default"/>
  </w:font>
  <w:font w:name="Arial,Times New Roman">
    <w:altName w:val="Arial"/>
    <w:panose1 w:val="00000000000000000000"/>
    <w:charset w:val="00"/>
    <w:family w:val="roman"/>
    <w:notTrueType/>
    <w:pitch w:val="default"/>
  </w:font>
  <w:font w:name="Arial,Arial,Times New Roman">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4816" w14:textId="77777777" w:rsidR="000A3DCE" w:rsidRDefault="000A3D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8294F" w14:textId="77777777" w:rsidR="000A3DCE" w:rsidRDefault="000A3D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08524" w14:textId="77777777" w:rsidR="000A3DCE" w:rsidRDefault="000A3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BA88F" w14:textId="77777777" w:rsidR="00C3008E" w:rsidRDefault="00C3008E" w:rsidP="008C5F59">
      <w:r>
        <w:separator/>
      </w:r>
    </w:p>
  </w:footnote>
  <w:footnote w:type="continuationSeparator" w:id="0">
    <w:p w14:paraId="30C4EA2F" w14:textId="77777777" w:rsidR="00C3008E" w:rsidRDefault="00C3008E" w:rsidP="008C5F59">
      <w:r>
        <w:continuationSeparator/>
      </w:r>
    </w:p>
  </w:footnote>
  <w:footnote w:type="continuationNotice" w:id="1">
    <w:p w14:paraId="272C4A58" w14:textId="77777777" w:rsidR="00A84ED8" w:rsidRDefault="00A84ED8"/>
  </w:footnote>
  <w:footnote w:id="2">
    <w:p w14:paraId="165E62FA" w14:textId="77777777" w:rsidR="000A3DCE" w:rsidRPr="0077530D" w:rsidRDefault="000A3DCE" w:rsidP="008E506C">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lang w:val="es-ES"/>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Esta sección presenta los antecedentes y descripción del programa, y está basada en el documento de propuesta de préstamo. Por tanto, puede si el lector ya revisó la propuesta de préstamo, puede pasar a la sección II.</w:t>
      </w:r>
    </w:p>
  </w:footnote>
  <w:footnote w:id="3">
    <w:p w14:paraId="2B1FB729" w14:textId="71E8B1AC" w:rsidR="000A3DCE" w:rsidRPr="0077530D" w:rsidRDefault="000A3DCE" w:rsidP="00F03806">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008C34BE" w:rsidRPr="0077530D">
        <w:rPr>
          <w:rFonts w:ascii="Arial" w:hAnsi="Arial" w:cs="Arial"/>
          <w:sz w:val="18"/>
          <w:szCs w:val="18"/>
          <w:lang w:val="es-ES_tradnl"/>
        </w:rPr>
        <w:tab/>
      </w:r>
      <w:r w:rsidRPr="0077530D">
        <w:rPr>
          <w:rFonts w:ascii="Arial" w:eastAsia="Arial" w:hAnsi="Arial" w:cs="Arial"/>
          <w:sz w:val="18"/>
          <w:szCs w:val="18"/>
          <w:lang w:val="es-ES"/>
        </w:rPr>
        <w:t>Bolivia dejó de reportar casos en 2002, después de la muerte de una niña de 8 años en Achacachi (La Paz) y tras diez años de silencio epidemiológico se obtuvo la certificación.</w:t>
      </w:r>
    </w:p>
  </w:footnote>
  <w:footnote w:id="4">
    <w:p w14:paraId="7AC26D5E" w14:textId="06F512A4" w:rsidR="000A3DCE" w:rsidRPr="0077530D" w:rsidRDefault="000A3DCE" w:rsidP="006B07A4">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008C34BE" w:rsidRPr="0077530D">
        <w:rPr>
          <w:rFonts w:ascii="Arial" w:hAnsi="Arial" w:cs="Arial"/>
          <w:sz w:val="18"/>
          <w:szCs w:val="18"/>
          <w:lang w:val="es-ES_tradnl"/>
        </w:rPr>
        <w:tab/>
      </w:r>
      <w:r w:rsidRPr="0077530D">
        <w:rPr>
          <w:rFonts w:ascii="Arial" w:eastAsia="Arial" w:hAnsi="Arial" w:cs="Arial"/>
          <w:sz w:val="18"/>
          <w:szCs w:val="18"/>
          <w:lang w:val="es-ES"/>
        </w:rPr>
        <w:t>El último reporte en el país fue en 2016, obteniendo la certificación en 2015.</w:t>
      </w:r>
    </w:p>
  </w:footnote>
  <w:footnote w:id="5">
    <w:p w14:paraId="0FEAA850" w14:textId="02D8DA80" w:rsidR="000A3DCE" w:rsidRPr="0077530D" w:rsidRDefault="000A3DCE" w:rsidP="006B07A4">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008C34BE" w:rsidRPr="0077530D">
        <w:rPr>
          <w:rFonts w:ascii="Arial" w:hAnsi="Arial" w:cs="Arial"/>
          <w:sz w:val="18"/>
          <w:szCs w:val="18"/>
          <w:lang w:val="es-ES_tradnl"/>
        </w:rPr>
        <w:tab/>
      </w:r>
      <w:r w:rsidRPr="0077530D">
        <w:rPr>
          <w:rFonts w:ascii="Arial" w:eastAsia="Arial" w:hAnsi="Arial" w:cs="Arial"/>
          <w:sz w:val="18"/>
          <w:szCs w:val="18"/>
          <w:lang w:val="es-ES"/>
        </w:rPr>
        <w:t>Estudio Nacional de Mortalidad Materna. Ministerio de Salud, 2016.</w:t>
      </w:r>
    </w:p>
  </w:footnote>
  <w:footnote w:id="6">
    <w:p w14:paraId="3847AD99" w14:textId="144C8996" w:rsidR="000A3DCE" w:rsidRPr="0077530D" w:rsidRDefault="000A3DCE" w:rsidP="006B07A4">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Encuesta Nacional de Demografía y Salud (ENDSA) respectivamente 2008 y 2016 (INE).</w:t>
      </w:r>
    </w:p>
  </w:footnote>
  <w:footnote w:id="7">
    <w:p w14:paraId="30DBAAB0" w14:textId="57470360" w:rsidR="000A3DCE" w:rsidRPr="0077530D" w:rsidRDefault="000A3DCE" w:rsidP="00B50B76">
      <w:pPr>
        <w:pStyle w:val="FootnoteText"/>
        <w:spacing w:after="0"/>
        <w:ind w:left="360" w:hanging="360"/>
        <w:rPr>
          <w:rFonts w:ascii="Arial" w:eastAsia="Arial" w:hAnsi="Arial" w:cs="Arial"/>
          <w:sz w:val="18"/>
          <w:szCs w:val="18"/>
          <w:lang w:val="es-ES"/>
        </w:rPr>
      </w:pPr>
      <w:r w:rsidRPr="0077530D">
        <w:rPr>
          <w:rStyle w:val="footnotemark"/>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 xml:space="preserve">Con un promedio de 70,7 años, Bolivia es el país de Latinoamérica con una menor esperanza de vida promedio (OMS, 2016). </w:t>
      </w:r>
    </w:p>
  </w:footnote>
  <w:footnote w:id="8">
    <w:p w14:paraId="762FEF30" w14:textId="2D1256DA" w:rsidR="000A3DCE" w:rsidRPr="0077530D" w:rsidRDefault="000A3DCE" w:rsidP="00460D82">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 xml:space="preserve">Los indicadores regionales para esperanza de vida al nacer son 75,8 años; de razón de mortalidad materna 68; y de mortalidad infantil 16,1 (OMS, 2016). </w:t>
      </w:r>
    </w:p>
  </w:footnote>
  <w:footnote w:id="9">
    <w:p w14:paraId="27F7E8B2" w14:textId="339AB0FA" w:rsidR="000A3DCE" w:rsidRPr="0077530D" w:rsidRDefault="000A3DCE" w:rsidP="00460D82">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Julien Roger Dupuy. Examen del gasto público en salud (La Paz, 2016).</w:t>
      </w:r>
    </w:p>
  </w:footnote>
  <w:footnote w:id="10">
    <w:p w14:paraId="6CA6A9A3" w14:textId="5084411C" w:rsidR="000A3DCE" w:rsidRPr="0077530D" w:rsidRDefault="000A3DCE" w:rsidP="00B228C5">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Existen tres niveles de gestión: nivel central, con un rol normativa y responsable del cuarto nivel de tención (Institutos Especializados); nivel departamental, responsable del tercer nivel de atención; y nivel municipal, responsable del primer y segundo nivel de atención.</w:t>
      </w:r>
    </w:p>
  </w:footnote>
  <w:footnote w:id="11">
    <w:p w14:paraId="50C6BC2A" w14:textId="7CC2A449" w:rsidR="000A3DCE" w:rsidRPr="0077530D" w:rsidRDefault="000A3DCE" w:rsidP="00B228C5">
      <w:pPr>
        <w:pStyle w:val="FootnoteText"/>
        <w:spacing w:after="0"/>
        <w:ind w:left="360" w:hanging="360"/>
        <w:rPr>
          <w:rFonts w:ascii="Arial" w:eastAsia="Arial" w:hAnsi="Arial" w:cs="Arial"/>
          <w:sz w:val="18"/>
          <w:szCs w:val="18"/>
        </w:rPr>
      </w:pPr>
      <w:r w:rsidRPr="0077530D">
        <w:rPr>
          <w:rStyle w:val="FootnoteReference"/>
          <w:rFonts w:ascii="Arial" w:eastAsia="Arial" w:hAnsi="Arial" w:cs="Arial"/>
          <w:sz w:val="18"/>
          <w:szCs w:val="18"/>
        </w:rPr>
        <w:footnoteRef/>
      </w:r>
      <w:r w:rsidRPr="0077530D">
        <w:rPr>
          <w:rFonts w:ascii="Arial" w:eastAsia="Arial" w:hAnsi="Arial" w:cs="Arial"/>
          <w:sz w:val="18"/>
          <w:szCs w:val="18"/>
        </w:rPr>
        <w:t xml:space="preserve"> </w:t>
      </w:r>
      <w:r w:rsidRPr="0077530D">
        <w:rPr>
          <w:rFonts w:ascii="Arial" w:hAnsi="Arial" w:cs="Arial"/>
          <w:sz w:val="18"/>
          <w:szCs w:val="18"/>
        </w:rPr>
        <w:tab/>
      </w:r>
      <w:r w:rsidRPr="0077530D">
        <w:rPr>
          <w:rFonts w:ascii="Arial" w:eastAsia="Arial" w:hAnsi="Arial" w:cs="Arial"/>
          <w:i/>
          <w:sz w:val="18"/>
          <w:szCs w:val="18"/>
        </w:rPr>
        <w:t xml:space="preserve">Health Core Indicators. Health Information Platform for the Americas </w:t>
      </w:r>
      <w:r w:rsidRPr="0077530D">
        <w:rPr>
          <w:rFonts w:ascii="Arial" w:eastAsia="Arial" w:hAnsi="Arial" w:cs="Arial"/>
          <w:sz w:val="18"/>
          <w:szCs w:val="18"/>
        </w:rPr>
        <w:t>(2017).</w:t>
      </w:r>
    </w:p>
  </w:footnote>
  <w:footnote w:id="12">
    <w:p w14:paraId="732D6B1A" w14:textId="522591E9" w:rsidR="000A3DCE" w:rsidRPr="0077530D" w:rsidRDefault="000A3DCE" w:rsidP="00557BE5">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 xml:space="preserve">Según el censo de población y vivienda 2012, sólo el 40% de las mujeres de 15 y más años pertenece a alguna nación o pueblo indígena. </w:t>
      </w:r>
    </w:p>
  </w:footnote>
  <w:footnote w:id="13">
    <w:p w14:paraId="59058FA1" w14:textId="77777777" w:rsidR="000A3DCE" w:rsidRPr="0077530D" w:rsidRDefault="000A3DCE" w:rsidP="00557BE5">
      <w:pPr>
        <w:pStyle w:val="FootnoteText"/>
        <w:tabs>
          <w:tab w:val="left" w:pos="360"/>
        </w:tabs>
        <w:spacing w:after="0"/>
        <w:ind w:left="360" w:hanging="360"/>
        <w:rPr>
          <w:rFonts w:ascii="Arial" w:eastAsia="Arial" w:hAnsi="Arial" w:cs="Arial"/>
          <w:sz w:val="18"/>
          <w:szCs w:val="18"/>
          <w:lang w:val="es-ES"/>
        </w:rPr>
      </w:pPr>
      <w:r w:rsidRPr="0077530D">
        <w:rPr>
          <w:rFonts w:ascii="Arial" w:eastAsia="Arial" w:hAnsi="Arial" w:cs="Arial"/>
          <w:sz w:val="18"/>
          <w:szCs w:val="18"/>
          <w:lang w:val="es-ES"/>
        </w:rPr>
        <w:t xml:space="preserve"> </w:t>
      </w:r>
      <w:r w:rsidRPr="0077530D">
        <w:rPr>
          <w:rStyle w:val="FootnoteReference"/>
          <w:rFonts w:ascii="Arial" w:eastAsia="Arial" w:hAnsi="Arial" w:cs="Arial"/>
          <w:sz w:val="18"/>
          <w:szCs w:val="18"/>
          <w:lang w:val="es-ES"/>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Una vez se hayan realizado los estudios de pre-inversión y se conozcan con exactitud los presupuestos requeridos para la inversión, podría haber variaciones respecto a esta propuesta tentativa inicial.</w:t>
      </w:r>
    </w:p>
  </w:footnote>
  <w:footnote w:id="14">
    <w:p w14:paraId="4563FCC3" w14:textId="77777777" w:rsidR="000A3DCE" w:rsidRPr="0077530D" w:rsidRDefault="000A3DCE" w:rsidP="00557BE5">
      <w:pPr>
        <w:pStyle w:val="FootnoteText"/>
        <w:tabs>
          <w:tab w:val="left" w:pos="360"/>
        </w:tabs>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lang w:val="es-ES"/>
        </w:rPr>
        <w:footnoteRef/>
      </w:r>
      <w:r w:rsidRPr="0077530D">
        <w:rPr>
          <w:rFonts w:ascii="Arial" w:hAnsi="Arial" w:cs="Arial"/>
          <w:sz w:val="18"/>
          <w:szCs w:val="18"/>
          <w:lang w:val="es-ES_tradnl"/>
        </w:rPr>
        <w:tab/>
      </w:r>
      <w:r w:rsidRPr="0077530D">
        <w:rPr>
          <w:rFonts w:ascii="Arial" w:eastAsia="Arial" w:hAnsi="Arial" w:cs="Arial"/>
          <w:sz w:val="18"/>
          <w:szCs w:val="18"/>
          <w:lang w:val="es-ES"/>
        </w:rPr>
        <w:t xml:space="preserve">Se han priorizado redes de salud en los departamentos con mayores mortalidades maternas y neonatales y con limitaciones en la accesibilidad, bien por corresponder a áreas periféricas del país o por encontrarse en entornos geográficos aislados (como el Chapare o el Gran Chaco). </w:t>
      </w:r>
    </w:p>
  </w:footnote>
  <w:footnote w:id="15">
    <w:p w14:paraId="27E4A68C" w14:textId="6ED015EA" w:rsidR="000A3DCE" w:rsidRPr="0077530D" w:rsidRDefault="000A3DCE" w:rsidP="001E1EC3">
      <w:pPr>
        <w:pStyle w:val="FootnoteText"/>
        <w:tabs>
          <w:tab w:val="left" w:pos="360"/>
        </w:tabs>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008C34BE" w:rsidRPr="0077530D">
        <w:rPr>
          <w:rFonts w:ascii="Arial" w:hAnsi="Arial" w:cs="Arial"/>
          <w:sz w:val="18"/>
          <w:szCs w:val="18"/>
          <w:lang w:val="es-ES_tradnl"/>
        </w:rPr>
        <w:tab/>
      </w:r>
      <w:r w:rsidRPr="0077530D">
        <w:rPr>
          <w:rFonts w:ascii="Arial" w:eastAsia="Arial" w:hAnsi="Arial" w:cs="Arial"/>
          <w:sz w:val="18"/>
          <w:szCs w:val="18"/>
          <w:lang w:val="es-ES"/>
        </w:rPr>
        <w:t>Se propone una evaluación de indicadores intermedios (acceso/ utilización) y finales (morbi-mortalidad materno infantil) utilizando una estrategia de diferencias en diferencias con datos de panel, comparando los cambios en resultados en las redes de salud intervenidas con un grupo de redes no intervenidas. La viabilidad de la evaluación dependerá críticamente de la disponibilidad de información de registros administrativos y fuentes secundarias que permitan levantar los indicadores de interés con suficiente granularidad como para vincular con la población cubierta por redes tratamiento y control.</w:t>
      </w:r>
    </w:p>
  </w:footnote>
  <w:footnote w:id="16">
    <w:p w14:paraId="3F2B6804" w14:textId="35BB52F9" w:rsidR="000A3DCE" w:rsidRPr="0077530D" w:rsidRDefault="000A3DCE" w:rsidP="0077530D">
      <w:pPr>
        <w:shd w:val="clear" w:color="auto" w:fill="FFFFFF" w:themeFill="background1"/>
        <w:ind w:left="360" w:hanging="360"/>
        <w:jc w:val="both"/>
        <w:outlineLvl w:val="0"/>
        <w:rPr>
          <w:rFonts w:ascii="Arial" w:eastAsia="Arial" w:hAnsi="Arial" w:cs="Arial"/>
          <w:b/>
          <w:color w:val="000000" w:themeColor="text1"/>
          <w:sz w:val="18"/>
          <w:szCs w:val="18"/>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419"/>
        </w:rPr>
        <w:t xml:space="preserve"> </w:t>
      </w:r>
      <w:r w:rsidRPr="0077530D">
        <w:rPr>
          <w:rFonts w:ascii="Arial" w:hAnsi="Arial" w:cs="Arial"/>
          <w:sz w:val="18"/>
          <w:szCs w:val="18"/>
          <w:lang w:val="es-419"/>
        </w:rPr>
        <w:tab/>
      </w:r>
      <w:hyperlink r:id="rId1" w:history="1">
        <w:r w:rsidRPr="0077530D">
          <w:rPr>
            <w:rFonts w:ascii="Arial" w:eastAsia="Arial" w:hAnsi="Arial" w:cs="Arial"/>
            <w:color w:val="000000"/>
            <w:kern w:val="36"/>
            <w:sz w:val="18"/>
            <w:szCs w:val="18"/>
            <w:lang w:val="es-419"/>
          </w:rPr>
          <w:t>Hernandez B</w:t>
        </w:r>
      </w:hyperlink>
      <w:r w:rsidRPr="0077530D">
        <w:rPr>
          <w:rFonts w:ascii="Arial" w:eastAsia="Arial" w:hAnsi="Arial" w:cs="Arial"/>
          <w:color w:val="000000"/>
          <w:kern w:val="36"/>
          <w:sz w:val="18"/>
          <w:szCs w:val="18"/>
          <w:lang w:val="es-419"/>
        </w:rPr>
        <w:t>, </w:t>
      </w:r>
      <w:hyperlink r:id="rId2" w:history="1">
        <w:r w:rsidRPr="0077530D">
          <w:rPr>
            <w:rFonts w:ascii="Arial" w:eastAsia="Arial" w:hAnsi="Arial" w:cs="Arial"/>
            <w:color w:val="000000"/>
            <w:kern w:val="36"/>
            <w:sz w:val="18"/>
            <w:szCs w:val="18"/>
            <w:lang w:val="es-419"/>
          </w:rPr>
          <w:t>Colombara DV</w:t>
        </w:r>
      </w:hyperlink>
      <w:r w:rsidRPr="0077530D">
        <w:rPr>
          <w:rFonts w:ascii="Arial" w:eastAsia="Arial" w:hAnsi="Arial" w:cs="Arial"/>
          <w:color w:val="000000"/>
          <w:kern w:val="36"/>
          <w:sz w:val="18"/>
          <w:szCs w:val="18"/>
          <w:lang w:val="es-419"/>
        </w:rPr>
        <w:t>, </w:t>
      </w:r>
      <w:hyperlink r:id="rId3" w:history="1">
        <w:r w:rsidRPr="0077530D">
          <w:rPr>
            <w:rFonts w:ascii="Arial" w:eastAsia="Arial" w:hAnsi="Arial" w:cs="Arial"/>
            <w:color w:val="000000"/>
            <w:kern w:val="36"/>
            <w:sz w:val="18"/>
            <w:szCs w:val="18"/>
            <w:lang w:val="es-419"/>
          </w:rPr>
          <w:t>Gagnier MC</w:t>
        </w:r>
      </w:hyperlink>
      <w:r w:rsidRPr="0077530D">
        <w:rPr>
          <w:rFonts w:ascii="Arial" w:eastAsia="Arial" w:hAnsi="Arial" w:cs="Arial"/>
          <w:color w:val="000000"/>
          <w:kern w:val="36"/>
          <w:sz w:val="18"/>
          <w:szCs w:val="18"/>
          <w:lang w:val="es-419"/>
        </w:rPr>
        <w:t>, </w:t>
      </w:r>
      <w:hyperlink r:id="rId4" w:history="1">
        <w:r w:rsidRPr="0077530D">
          <w:rPr>
            <w:rFonts w:ascii="Arial" w:eastAsia="Arial" w:hAnsi="Arial" w:cs="Arial"/>
            <w:color w:val="000000"/>
            <w:kern w:val="36"/>
            <w:sz w:val="18"/>
            <w:szCs w:val="18"/>
            <w:lang w:val="es-419"/>
          </w:rPr>
          <w:t>Desai SS</w:t>
        </w:r>
      </w:hyperlink>
      <w:r w:rsidRPr="0077530D">
        <w:rPr>
          <w:rFonts w:ascii="Arial" w:eastAsia="Arial" w:hAnsi="Arial" w:cs="Arial"/>
          <w:color w:val="000000"/>
          <w:kern w:val="36"/>
          <w:sz w:val="18"/>
          <w:szCs w:val="18"/>
          <w:lang w:val="es-419"/>
        </w:rPr>
        <w:t>, </w:t>
      </w:r>
      <w:hyperlink r:id="rId5" w:history="1">
        <w:r w:rsidRPr="0077530D">
          <w:rPr>
            <w:rFonts w:ascii="Arial" w:eastAsia="Arial" w:hAnsi="Arial" w:cs="Arial"/>
            <w:color w:val="000000"/>
            <w:kern w:val="36"/>
            <w:sz w:val="18"/>
            <w:szCs w:val="18"/>
            <w:lang w:val="es-419"/>
          </w:rPr>
          <w:t>Haakenstad A</w:t>
        </w:r>
      </w:hyperlink>
      <w:r w:rsidRPr="0077530D">
        <w:rPr>
          <w:rFonts w:ascii="Arial" w:eastAsia="Arial" w:hAnsi="Arial" w:cs="Arial"/>
          <w:color w:val="000000"/>
          <w:kern w:val="36"/>
          <w:sz w:val="18"/>
          <w:szCs w:val="18"/>
          <w:lang w:val="es-419"/>
        </w:rPr>
        <w:t>, </w:t>
      </w:r>
      <w:hyperlink r:id="rId6" w:history="1">
        <w:r w:rsidRPr="0077530D">
          <w:rPr>
            <w:rFonts w:ascii="Arial" w:eastAsia="Arial" w:hAnsi="Arial" w:cs="Arial"/>
            <w:color w:val="000000"/>
            <w:kern w:val="36"/>
            <w:sz w:val="18"/>
            <w:szCs w:val="18"/>
            <w:lang w:val="es-419"/>
          </w:rPr>
          <w:t>Johanns C</w:t>
        </w:r>
      </w:hyperlink>
      <w:r w:rsidRPr="0077530D">
        <w:rPr>
          <w:rFonts w:ascii="Arial" w:eastAsia="Arial" w:hAnsi="Arial" w:cs="Arial"/>
          <w:color w:val="000000"/>
          <w:kern w:val="36"/>
          <w:sz w:val="18"/>
          <w:szCs w:val="18"/>
          <w:lang w:val="es-419"/>
        </w:rPr>
        <w:t>, </w:t>
      </w:r>
      <w:hyperlink r:id="rId7" w:history="1">
        <w:r w:rsidRPr="0077530D">
          <w:rPr>
            <w:rFonts w:ascii="Arial" w:eastAsia="Arial" w:hAnsi="Arial" w:cs="Arial"/>
            <w:color w:val="000000"/>
            <w:kern w:val="36"/>
            <w:sz w:val="18"/>
            <w:szCs w:val="18"/>
            <w:lang w:val="es-419"/>
          </w:rPr>
          <w:t>McNellan CR</w:t>
        </w:r>
      </w:hyperlink>
      <w:r w:rsidRPr="0077530D">
        <w:rPr>
          <w:rFonts w:ascii="Arial" w:eastAsia="Arial" w:hAnsi="Arial" w:cs="Arial"/>
          <w:color w:val="000000"/>
          <w:kern w:val="36"/>
          <w:sz w:val="18"/>
          <w:szCs w:val="18"/>
          <w:lang w:val="es-419"/>
        </w:rPr>
        <w:t>, </w:t>
      </w:r>
      <w:hyperlink r:id="rId8" w:history="1">
        <w:r w:rsidRPr="0077530D">
          <w:rPr>
            <w:rFonts w:ascii="Arial" w:eastAsia="Arial" w:hAnsi="Arial" w:cs="Arial"/>
            <w:color w:val="000000"/>
            <w:kern w:val="36"/>
            <w:sz w:val="18"/>
            <w:szCs w:val="18"/>
            <w:lang w:val="es-419"/>
          </w:rPr>
          <w:t>Nelson J</w:t>
        </w:r>
      </w:hyperlink>
      <w:r w:rsidRPr="0077530D">
        <w:rPr>
          <w:rFonts w:ascii="Arial" w:eastAsia="Arial" w:hAnsi="Arial" w:cs="Arial"/>
          <w:color w:val="000000"/>
          <w:kern w:val="36"/>
          <w:sz w:val="18"/>
          <w:szCs w:val="18"/>
          <w:lang w:val="es-419"/>
        </w:rPr>
        <w:t>, </w:t>
      </w:r>
      <w:hyperlink r:id="rId9" w:history="1">
        <w:r w:rsidRPr="0077530D">
          <w:rPr>
            <w:rFonts w:ascii="Arial" w:eastAsia="Arial" w:hAnsi="Arial" w:cs="Arial"/>
            <w:color w:val="000000"/>
            <w:kern w:val="36"/>
            <w:sz w:val="18"/>
            <w:szCs w:val="18"/>
            <w:lang w:val="es-419"/>
          </w:rPr>
          <w:t>Palmisano EB</w:t>
        </w:r>
      </w:hyperlink>
      <w:r w:rsidRPr="0077530D">
        <w:rPr>
          <w:rFonts w:ascii="Arial" w:eastAsia="Arial" w:hAnsi="Arial" w:cs="Arial"/>
          <w:color w:val="000000"/>
          <w:kern w:val="36"/>
          <w:sz w:val="18"/>
          <w:szCs w:val="18"/>
          <w:lang w:val="es-419"/>
        </w:rPr>
        <w:t>, </w:t>
      </w:r>
      <w:hyperlink r:id="rId10" w:history="1">
        <w:r w:rsidRPr="0077530D">
          <w:rPr>
            <w:rFonts w:ascii="Arial" w:eastAsia="Arial" w:hAnsi="Arial" w:cs="Arial"/>
            <w:color w:val="000000"/>
            <w:kern w:val="36"/>
            <w:sz w:val="18"/>
            <w:szCs w:val="18"/>
            <w:lang w:val="es-419"/>
          </w:rPr>
          <w:t>Ríos-Zertuche D</w:t>
        </w:r>
      </w:hyperlink>
      <w:r w:rsidRPr="0077530D">
        <w:rPr>
          <w:rFonts w:ascii="Arial" w:eastAsia="Arial" w:hAnsi="Arial" w:cs="Arial"/>
          <w:color w:val="000000"/>
          <w:kern w:val="36"/>
          <w:sz w:val="18"/>
          <w:szCs w:val="18"/>
          <w:lang w:val="es-419"/>
        </w:rPr>
        <w:t>, </w:t>
      </w:r>
      <w:hyperlink r:id="rId11" w:history="1">
        <w:r w:rsidRPr="0077530D">
          <w:rPr>
            <w:rFonts w:ascii="Arial" w:eastAsia="Arial" w:hAnsi="Arial" w:cs="Arial"/>
            <w:color w:val="000000"/>
            <w:kern w:val="36"/>
            <w:sz w:val="18"/>
            <w:szCs w:val="18"/>
            <w:lang w:val="es-419"/>
          </w:rPr>
          <w:t>Schaefer A</w:t>
        </w:r>
      </w:hyperlink>
      <w:r w:rsidRPr="0077530D">
        <w:rPr>
          <w:rFonts w:ascii="Arial" w:eastAsia="Arial" w:hAnsi="Arial" w:cs="Arial"/>
          <w:color w:val="000000"/>
          <w:kern w:val="36"/>
          <w:sz w:val="18"/>
          <w:szCs w:val="18"/>
          <w:lang w:val="es-419"/>
        </w:rPr>
        <w:t>, </w:t>
      </w:r>
      <w:hyperlink r:id="rId12" w:history="1">
        <w:r w:rsidRPr="0077530D">
          <w:rPr>
            <w:rFonts w:ascii="Arial" w:eastAsia="Arial" w:hAnsi="Arial" w:cs="Arial"/>
            <w:color w:val="000000"/>
            <w:kern w:val="36"/>
            <w:sz w:val="18"/>
            <w:szCs w:val="18"/>
            <w:lang w:val="es-419"/>
          </w:rPr>
          <w:t>Zúñiga-Brenes P</w:t>
        </w:r>
      </w:hyperlink>
      <w:r w:rsidRPr="0077530D">
        <w:rPr>
          <w:rFonts w:ascii="Arial" w:eastAsia="Arial" w:hAnsi="Arial" w:cs="Arial"/>
          <w:color w:val="000000"/>
          <w:kern w:val="36"/>
          <w:sz w:val="18"/>
          <w:szCs w:val="18"/>
          <w:lang w:val="es-419"/>
        </w:rPr>
        <w:t>, </w:t>
      </w:r>
      <w:hyperlink r:id="rId13" w:history="1">
        <w:r w:rsidRPr="0077530D">
          <w:rPr>
            <w:rFonts w:ascii="Arial" w:eastAsia="Arial" w:hAnsi="Arial" w:cs="Arial"/>
            <w:color w:val="000000"/>
            <w:kern w:val="36"/>
            <w:sz w:val="18"/>
            <w:szCs w:val="18"/>
            <w:lang w:val="es-419"/>
          </w:rPr>
          <w:t>Iriarte E</w:t>
        </w:r>
      </w:hyperlink>
      <w:r w:rsidRPr="0077530D">
        <w:rPr>
          <w:rFonts w:ascii="Arial" w:eastAsia="Arial" w:hAnsi="Arial" w:cs="Arial"/>
          <w:color w:val="000000"/>
          <w:kern w:val="36"/>
          <w:sz w:val="18"/>
          <w:szCs w:val="18"/>
          <w:lang w:val="es-419"/>
        </w:rPr>
        <w:t>, </w:t>
      </w:r>
      <w:hyperlink r:id="rId14" w:history="1">
        <w:r w:rsidRPr="0077530D">
          <w:rPr>
            <w:rFonts w:ascii="Arial" w:eastAsia="Arial" w:hAnsi="Arial" w:cs="Arial"/>
            <w:color w:val="000000"/>
            <w:kern w:val="36"/>
            <w:sz w:val="18"/>
            <w:szCs w:val="18"/>
            <w:lang w:val="es-419"/>
          </w:rPr>
          <w:t>Mokdad AH</w:t>
        </w:r>
      </w:hyperlink>
      <w:r w:rsidRPr="0077530D">
        <w:rPr>
          <w:rFonts w:ascii="Arial" w:eastAsia="Arial" w:hAnsi="Arial" w:cs="Arial"/>
          <w:color w:val="000000"/>
          <w:kern w:val="36"/>
          <w:sz w:val="18"/>
          <w:szCs w:val="18"/>
          <w:lang w:val="es-419"/>
        </w:rPr>
        <w:t xml:space="preserve">. </w:t>
      </w:r>
      <w:r w:rsidRPr="0077530D">
        <w:rPr>
          <w:rFonts w:ascii="Arial" w:eastAsia="Arial" w:hAnsi="Arial" w:cs="Arial"/>
          <w:color w:val="000000"/>
          <w:kern w:val="36"/>
          <w:sz w:val="18"/>
          <w:szCs w:val="18"/>
        </w:rPr>
        <w:t xml:space="preserve">Barriers and facilitators for institutional delivery among poor Mesoamerican women: a cross-sectional study. </w:t>
      </w:r>
      <w:hyperlink r:id="rId15" w:tooltip="Health policy and planning." w:history="1">
        <w:r w:rsidRPr="0077530D">
          <w:rPr>
            <w:rFonts w:ascii="Arial" w:eastAsia="Arial" w:hAnsi="Arial" w:cs="Arial"/>
            <w:color w:val="000000"/>
            <w:kern w:val="36"/>
            <w:sz w:val="18"/>
            <w:szCs w:val="18"/>
          </w:rPr>
          <w:t>Health Policy Plan.</w:t>
        </w:r>
      </w:hyperlink>
      <w:r w:rsidRPr="0077530D">
        <w:rPr>
          <w:rFonts w:ascii="Arial" w:eastAsia="Arial" w:hAnsi="Arial" w:cs="Arial"/>
          <w:color w:val="000000"/>
          <w:kern w:val="36"/>
          <w:sz w:val="18"/>
          <w:szCs w:val="18"/>
        </w:rPr>
        <w:t> 2017 Jul 1;32(6):769-780. doi: 10.1093/heapol/cz.</w:t>
      </w:r>
    </w:p>
  </w:footnote>
  <w:footnote w:id="17">
    <w:p w14:paraId="7F423811" w14:textId="6E6AE4DC" w:rsidR="000A3DCE" w:rsidRPr="0077530D" w:rsidRDefault="000A3DCE" w:rsidP="001E1EC3">
      <w:pPr>
        <w:pStyle w:val="FootnoteText"/>
        <w:spacing w:after="0"/>
        <w:ind w:left="360" w:hanging="360"/>
        <w:rPr>
          <w:rFonts w:ascii="Arial" w:eastAsia="Arial" w:hAnsi="Arial" w:cs="Arial"/>
          <w:sz w:val="18"/>
          <w:szCs w:val="18"/>
        </w:rPr>
      </w:pPr>
      <w:r w:rsidRPr="0077530D">
        <w:rPr>
          <w:rStyle w:val="FootnoteReference"/>
          <w:rFonts w:ascii="Arial" w:eastAsia="Arial" w:hAnsi="Arial" w:cs="Arial"/>
          <w:sz w:val="18"/>
          <w:szCs w:val="18"/>
        </w:rPr>
        <w:footnoteRef/>
      </w:r>
      <w:r w:rsidRPr="0077530D">
        <w:rPr>
          <w:rFonts w:ascii="Arial" w:eastAsia="Arial" w:hAnsi="Arial" w:cs="Arial"/>
          <w:sz w:val="18"/>
          <w:szCs w:val="18"/>
        </w:rPr>
        <w:t xml:space="preserve"> </w:t>
      </w:r>
      <w:r w:rsidRPr="0077530D">
        <w:rPr>
          <w:rFonts w:ascii="Arial" w:hAnsi="Arial" w:cs="Arial"/>
          <w:sz w:val="18"/>
          <w:szCs w:val="18"/>
        </w:rPr>
        <w:tab/>
      </w:r>
      <w:r w:rsidRPr="0077530D">
        <w:rPr>
          <w:rFonts w:ascii="Arial" w:eastAsia="Arial" w:hAnsi="Arial" w:cs="Arial"/>
          <w:sz w:val="18"/>
          <w:szCs w:val="18"/>
        </w:rPr>
        <w:t>Mbizvo MT, Say L. Global progress and potentially effective policy response to reduce maternal mortality.</w:t>
      </w:r>
    </w:p>
  </w:footnote>
  <w:footnote w:id="18">
    <w:p w14:paraId="2A6DE37B" w14:textId="15DAB3ED" w:rsidR="000A3DCE" w:rsidRPr="0077530D" w:rsidRDefault="000A3DCE" w:rsidP="00DC1B3E">
      <w:pPr>
        <w:pStyle w:val="FootnoteText"/>
        <w:spacing w:after="0"/>
        <w:ind w:left="360" w:hanging="360"/>
        <w:rPr>
          <w:rFonts w:ascii="Arial" w:eastAsia="Arial" w:hAnsi="Arial" w:cs="Arial"/>
          <w:sz w:val="18"/>
          <w:szCs w:val="18"/>
        </w:rPr>
      </w:pPr>
      <w:r w:rsidRPr="0077530D">
        <w:rPr>
          <w:rStyle w:val="FootnoteReference"/>
          <w:rFonts w:ascii="Arial" w:eastAsia="Arial" w:hAnsi="Arial" w:cs="Arial"/>
          <w:sz w:val="18"/>
          <w:szCs w:val="18"/>
        </w:rPr>
        <w:footnoteRef/>
      </w:r>
      <w:r w:rsidRPr="0077530D">
        <w:rPr>
          <w:rFonts w:ascii="Arial" w:eastAsia="Arial" w:hAnsi="Arial" w:cs="Arial"/>
          <w:sz w:val="18"/>
          <w:szCs w:val="18"/>
        </w:rPr>
        <w:t xml:space="preserve"> </w:t>
      </w:r>
      <w:r w:rsidRPr="0077530D">
        <w:rPr>
          <w:rFonts w:ascii="Arial" w:hAnsi="Arial" w:cs="Arial"/>
          <w:sz w:val="18"/>
          <w:szCs w:val="18"/>
        </w:rPr>
        <w:tab/>
      </w:r>
      <w:r w:rsidRPr="0077530D">
        <w:rPr>
          <w:rFonts w:ascii="Arial" w:eastAsia="Arial" w:hAnsi="Arial" w:cs="Arial"/>
          <w:sz w:val="18"/>
          <w:szCs w:val="18"/>
        </w:rPr>
        <w:t xml:space="preserve">De Bernis L. Maternal mortality in developing countries: What strategies to adopt? Med Trop. Mars </w:t>
      </w:r>
      <w:r w:rsidRPr="0077530D">
        <w:rPr>
          <w:rFonts w:ascii="Arial" w:eastAsia="Arial" w:hAnsi="Arial" w:cs="Arial"/>
          <w:color w:val="000000"/>
          <w:sz w:val="18"/>
          <w:szCs w:val="18"/>
          <w:shd w:val="clear" w:color="auto" w:fill="FFFFFF"/>
        </w:rPr>
        <w:t>2003;63(4-5):391-9.</w:t>
      </w:r>
      <w:r w:rsidRPr="0077530D">
        <w:rPr>
          <w:rFonts w:ascii="Arial" w:eastAsia="Arial" w:hAnsi="Arial" w:cs="Arial"/>
          <w:sz w:val="18"/>
          <w:szCs w:val="18"/>
        </w:rPr>
        <w:t xml:space="preserve"> </w:t>
      </w:r>
    </w:p>
  </w:footnote>
  <w:footnote w:id="19">
    <w:p w14:paraId="117AC92D" w14:textId="58B483C6" w:rsidR="000A3DCE" w:rsidRPr="0077530D" w:rsidRDefault="000A3DCE" w:rsidP="00C153D0">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419"/>
        </w:rPr>
        <w:t>En</w:t>
      </w:r>
      <w:r w:rsidRPr="0077530D">
        <w:rPr>
          <w:rFonts w:ascii="Arial" w:eastAsia="Arial" w:hAnsi="Arial" w:cs="Arial"/>
          <w:sz w:val="18"/>
          <w:szCs w:val="18"/>
          <w:lang w:val="es-ES"/>
        </w:rPr>
        <w:t xml:space="preserve"> la página de WHO-Choice se definen regiones de acuerdo a perfil epidemiológico y de salud, y Bolivia es parte de la región América D. No existen valores individuales para Bolivia. Ver </w:t>
      </w:r>
      <w:hyperlink r:id="rId16" w:history="1">
        <w:r w:rsidRPr="0077530D">
          <w:rPr>
            <w:rStyle w:val="Hyperlink"/>
            <w:rFonts w:ascii="Arial" w:eastAsia="Arial" w:hAnsi="Arial" w:cs="Arial"/>
            <w:sz w:val="18"/>
            <w:szCs w:val="18"/>
            <w:lang w:val="es-ES"/>
          </w:rPr>
          <w:t>http://www.who.int/choice/demography/american_region/en/</w:t>
        </w:r>
      </w:hyperlink>
    </w:p>
  </w:footnote>
  <w:footnote w:id="20">
    <w:p w14:paraId="5164FE9F" w14:textId="610E0405" w:rsidR="000A3DCE" w:rsidRPr="0077530D" w:rsidRDefault="000A3DCE" w:rsidP="00F03806">
      <w:pPr>
        <w:pStyle w:val="FootnoteText"/>
        <w:spacing w:after="0"/>
        <w:ind w:left="360" w:hanging="360"/>
        <w:rPr>
          <w:rFonts w:ascii="Arial" w:eastAsia="Arial" w:hAnsi="Arial" w:cs="Arial"/>
          <w:sz w:val="18"/>
          <w:szCs w:val="18"/>
          <w:lang w:val="es-ES"/>
        </w:rPr>
      </w:pPr>
      <w:r w:rsidRPr="0077530D">
        <w:rPr>
          <w:rStyle w:val="FootnoteReference"/>
          <w:rFonts w:ascii="Arial" w:eastAsia="Arial" w:hAnsi="Arial" w:cs="Arial"/>
          <w:sz w:val="18"/>
          <w:szCs w:val="18"/>
          <w:lang w:val="es-ES"/>
        </w:rPr>
        <w:footnoteRef/>
      </w:r>
      <w:r w:rsidRPr="0077530D">
        <w:rPr>
          <w:rFonts w:ascii="Arial" w:eastAsia="Arial" w:hAnsi="Arial" w:cs="Arial"/>
          <w:sz w:val="18"/>
          <w:szCs w:val="18"/>
          <w:lang w:val="es-ES"/>
        </w:rPr>
        <w:t xml:space="preserve"> </w:t>
      </w:r>
      <w:r w:rsidRPr="0077530D">
        <w:rPr>
          <w:rFonts w:ascii="Arial" w:hAnsi="Arial" w:cs="Arial"/>
          <w:sz w:val="18"/>
          <w:szCs w:val="18"/>
          <w:lang w:val="es-ES_tradnl"/>
        </w:rPr>
        <w:tab/>
      </w:r>
      <w:r w:rsidRPr="0077530D">
        <w:rPr>
          <w:rFonts w:ascii="Arial" w:eastAsia="Arial" w:hAnsi="Arial" w:cs="Arial"/>
          <w:sz w:val="18"/>
          <w:szCs w:val="18"/>
          <w:lang w:val="es-ES"/>
        </w:rPr>
        <w:t>En el análisis económico se consideran también escenarios con tasas de 2%, 6% y 9%.</w:t>
      </w:r>
    </w:p>
  </w:footnote>
  <w:footnote w:id="21">
    <w:p w14:paraId="1101EE9E" w14:textId="17DB9144" w:rsidR="000A3DCE" w:rsidRPr="0077530D" w:rsidRDefault="000A3DCE" w:rsidP="008C34BE">
      <w:pPr>
        <w:pStyle w:val="FootnoteText"/>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008C34BE" w:rsidRPr="0077530D">
        <w:rPr>
          <w:rFonts w:ascii="Arial" w:hAnsi="Arial" w:cs="Arial"/>
          <w:sz w:val="18"/>
          <w:szCs w:val="18"/>
          <w:lang w:val="es-ES_tradnl"/>
        </w:rPr>
        <w:tab/>
      </w:r>
      <w:r w:rsidRPr="0077530D">
        <w:rPr>
          <w:rFonts w:ascii="Arial" w:eastAsia="Arial" w:hAnsi="Arial" w:cs="Arial"/>
          <w:sz w:val="18"/>
          <w:szCs w:val="18"/>
          <w:lang w:val="es-ES"/>
        </w:rPr>
        <w:t>Más adelante, con fines ilustrativos, se presentan los resultados asumiendo una tasa de descuento de 12%.</w:t>
      </w:r>
    </w:p>
  </w:footnote>
  <w:footnote w:id="22">
    <w:p w14:paraId="23AE31B5" w14:textId="5D60AE79" w:rsidR="000A3DCE" w:rsidRPr="0077530D" w:rsidRDefault="000A3DCE" w:rsidP="008C34BE">
      <w:pPr>
        <w:pStyle w:val="FootnoteText"/>
        <w:ind w:left="360" w:hanging="360"/>
        <w:rPr>
          <w:rFonts w:ascii="Arial" w:eastAsia="Arial" w:hAnsi="Arial" w:cs="Arial"/>
          <w:sz w:val="18"/>
          <w:szCs w:val="18"/>
          <w:lang w:val="es-ES"/>
        </w:rPr>
      </w:pPr>
      <w:r w:rsidRPr="0077530D">
        <w:rPr>
          <w:rStyle w:val="FootnoteReference"/>
          <w:rFonts w:ascii="Arial" w:eastAsia="Arial" w:hAnsi="Arial" w:cs="Arial"/>
          <w:sz w:val="18"/>
          <w:szCs w:val="18"/>
        </w:rPr>
        <w:footnoteRef/>
      </w:r>
      <w:r w:rsidRPr="0077530D">
        <w:rPr>
          <w:rFonts w:ascii="Arial" w:eastAsia="Arial" w:hAnsi="Arial" w:cs="Arial"/>
          <w:sz w:val="18"/>
          <w:szCs w:val="18"/>
          <w:lang w:val="es-ES"/>
        </w:rPr>
        <w:t xml:space="preserve"> </w:t>
      </w:r>
      <w:r w:rsidR="008C34BE" w:rsidRPr="0077530D">
        <w:rPr>
          <w:rFonts w:ascii="Arial" w:hAnsi="Arial" w:cs="Arial"/>
          <w:sz w:val="18"/>
          <w:szCs w:val="18"/>
          <w:lang w:val="es-ES_tradnl"/>
        </w:rPr>
        <w:tab/>
      </w:r>
      <w:r w:rsidRPr="0077530D">
        <w:rPr>
          <w:rFonts w:ascii="Arial" w:eastAsia="Arial" w:hAnsi="Arial" w:cs="Arial"/>
          <w:sz w:val="18"/>
          <w:szCs w:val="18"/>
          <w:lang w:val="es-ES"/>
        </w:rPr>
        <w:t>En este caso, el valor de referencia (escenario medio de gradualidad y cobertura efectiva) sería de 1.87.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8A15C" w14:textId="02218805" w:rsidR="000A3DCE" w:rsidRPr="006F6F71" w:rsidRDefault="000A3DCE" w:rsidP="0085279F">
    <w:pPr>
      <w:tabs>
        <w:tab w:val="center" w:pos="4680"/>
        <w:tab w:val="right" w:pos="9360"/>
      </w:tabs>
      <w:jc w:val="right"/>
      <w:rPr>
        <w:rFonts w:ascii="Arial" w:hAnsi="Arial" w:cs="Arial"/>
        <w:sz w:val="18"/>
        <w:szCs w:val="18"/>
        <w:lang w:val="es-ES"/>
      </w:rPr>
    </w:pPr>
    <w:r w:rsidRPr="006F6F71">
      <w:rPr>
        <w:rFonts w:ascii="Arial" w:hAnsi="Arial" w:cs="Arial"/>
        <w:sz w:val="18"/>
        <w:szCs w:val="18"/>
        <w:lang w:val="es-ES"/>
      </w:rPr>
      <w:t>EEO #1-B</w:t>
    </w:r>
    <w:r>
      <w:rPr>
        <w:rFonts w:ascii="Arial" w:hAnsi="Arial" w:cs="Arial"/>
        <w:sz w:val="18"/>
        <w:szCs w:val="18"/>
        <w:lang w:val="es-ES"/>
      </w:rPr>
      <w:t>O</w:t>
    </w:r>
    <w:r w:rsidRPr="006F6F71">
      <w:rPr>
        <w:rFonts w:ascii="Arial" w:hAnsi="Arial" w:cs="Arial"/>
        <w:sz w:val="18"/>
        <w:szCs w:val="18"/>
        <w:lang w:val="es-ES"/>
      </w:rPr>
      <w:t>-L1</w:t>
    </w:r>
    <w:r>
      <w:rPr>
        <w:rFonts w:ascii="Arial" w:hAnsi="Arial" w:cs="Arial"/>
        <w:sz w:val="18"/>
        <w:szCs w:val="18"/>
        <w:lang w:val="es-ES"/>
      </w:rPr>
      <w:t>198</w:t>
    </w:r>
  </w:p>
  <w:p w14:paraId="2E52FD45" w14:textId="03B29A00" w:rsidR="000A3DCE" w:rsidRPr="0077530D" w:rsidRDefault="000A3DCE" w:rsidP="0085279F">
    <w:pPr>
      <w:tabs>
        <w:tab w:val="center" w:pos="4680"/>
        <w:tab w:val="right" w:pos="9360"/>
      </w:tabs>
      <w:jc w:val="right"/>
      <w:rPr>
        <w:rFonts w:ascii="Arial" w:eastAsia="Arial" w:hAnsi="Arial" w:cs="Arial"/>
        <w:lang w:val="es-ES"/>
      </w:rPr>
    </w:pPr>
    <w:r w:rsidRPr="0077530D">
      <w:rPr>
        <w:rFonts w:ascii="Arial" w:eastAsia="Arial" w:hAnsi="Arial" w:cs="Arial"/>
        <w:sz w:val="18"/>
        <w:szCs w:val="18"/>
        <w:lang w:val="es-ES"/>
      </w:rPr>
      <w:t xml:space="preserve">Página </w:t>
    </w:r>
    <w:r w:rsidRPr="0077530D">
      <w:rPr>
        <w:rFonts w:ascii="Arial" w:eastAsia="Arial" w:hAnsi="Arial" w:cs="Arial"/>
        <w:sz w:val="18"/>
        <w:szCs w:val="18"/>
        <w:lang w:val="es-ES"/>
      </w:rPr>
      <w:fldChar w:fldCharType="begin"/>
    </w:r>
    <w:r w:rsidRPr="006F6F71">
      <w:rPr>
        <w:rFonts w:ascii="Arial" w:hAnsi="Arial" w:cs="Arial"/>
        <w:bCs/>
        <w:sz w:val="18"/>
        <w:szCs w:val="18"/>
        <w:lang w:val="es-ES"/>
      </w:rPr>
      <w:instrText xml:space="preserve"> PAGE </w:instrText>
    </w:r>
    <w:r w:rsidRPr="006F6F71">
      <w:rPr>
        <w:rFonts w:ascii="Arial" w:hAnsi="Arial" w:cs="Arial"/>
        <w:bCs/>
        <w:sz w:val="18"/>
        <w:szCs w:val="18"/>
        <w:lang w:val="es-ES"/>
      </w:rPr>
      <w:fldChar w:fldCharType="separate"/>
    </w:r>
    <w:r w:rsidRPr="0077530D">
      <w:rPr>
        <w:rFonts w:ascii="Arial" w:eastAsia="Arial" w:hAnsi="Arial" w:cs="Arial"/>
        <w:sz w:val="18"/>
        <w:szCs w:val="18"/>
        <w:lang w:val="es-ES"/>
      </w:rPr>
      <w:t>0</w:t>
    </w:r>
    <w:r w:rsidRPr="0077530D">
      <w:rPr>
        <w:rFonts w:ascii="Arial" w:eastAsia="Arial" w:hAnsi="Arial" w:cs="Arial"/>
        <w:sz w:val="18"/>
        <w:szCs w:val="18"/>
        <w:lang w:val="es-ES"/>
      </w:rPr>
      <w:fldChar w:fldCharType="end"/>
    </w:r>
    <w:r w:rsidRPr="0077530D">
      <w:rPr>
        <w:rFonts w:ascii="Arial" w:eastAsia="Arial" w:hAnsi="Arial" w:cs="Arial"/>
        <w:sz w:val="18"/>
        <w:szCs w:val="18"/>
        <w:lang w:val="es-ES"/>
      </w:rPr>
      <w:t xml:space="preserve"> de 22</w:t>
    </w:r>
  </w:p>
  <w:p w14:paraId="40CB1868" w14:textId="77777777" w:rsidR="000A3DCE" w:rsidRPr="006F6F71" w:rsidRDefault="000A3DCE" w:rsidP="006236FA">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3E637" w14:textId="7FFE8AEF" w:rsidR="000A3DCE" w:rsidRPr="00C23C79" w:rsidRDefault="000A3DCE" w:rsidP="0085279F">
    <w:pPr>
      <w:tabs>
        <w:tab w:val="center" w:pos="4680"/>
        <w:tab w:val="right" w:pos="9360"/>
      </w:tabs>
      <w:rPr>
        <w:rFonts w:ascii="Arial" w:hAnsi="Arial" w:cs="Arial"/>
        <w:sz w:val="18"/>
        <w:szCs w:val="18"/>
        <w:lang w:val="es-ES"/>
      </w:rPr>
    </w:pPr>
    <w:r w:rsidRPr="00C23C79">
      <w:rPr>
        <w:rFonts w:ascii="Arial" w:hAnsi="Arial" w:cs="Arial"/>
        <w:sz w:val="18"/>
        <w:szCs w:val="18"/>
        <w:lang w:val="es-ES"/>
      </w:rPr>
      <w:t>EEO #1-B</w:t>
    </w:r>
    <w:r>
      <w:rPr>
        <w:rFonts w:ascii="Arial" w:hAnsi="Arial" w:cs="Arial"/>
        <w:sz w:val="18"/>
        <w:szCs w:val="18"/>
        <w:lang w:val="es-ES"/>
      </w:rPr>
      <w:t>O</w:t>
    </w:r>
    <w:r w:rsidRPr="00C23C79">
      <w:rPr>
        <w:rFonts w:ascii="Arial" w:hAnsi="Arial" w:cs="Arial"/>
        <w:sz w:val="18"/>
        <w:szCs w:val="18"/>
        <w:lang w:val="es-ES"/>
      </w:rPr>
      <w:t>-L</w:t>
    </w:r>
    <w:r>
      <w:rPr>
        <w:rFonts w:ascii="Arial" w:hAnsi="Arial" w:cs="Arial"/>
        <w:sz w:val="18"/>
        <w:szCs w:val="18"/>
        <w:lang w:val="es-ES"/>
      </w:rPr>
      <w:t>1198</w:t>
    </w:r>
  </w:p>
  <w:p w14:paraId="3EA3B914" w14:textId="7427F09E" w:rsidR="000A3DCE" w:rsidRPr="0077530D" w:rsidRDefault="000A3DCE" w:rsidP="0085279F">
    <w:pPr>
      <w:tabs>
        <w:tab w:val="center" w:pos="4680"/>
        <w:tab w:val="right" w:pos="9360"/>
      </w:tabs>
      <w:rPr>
        <w:rFonts w:ascii="Arial" w:eastAsia="Arial" w:hAnsi="Arial" w:cs="Arial"/>
        <w:lang w:val="es-ES"/>
      </w:rPr>
    </w:pPr>
    <w:r w:rsidRPr="0077530D">
      <w:rPr>
        <w:rFonts w:ascii="Arial" w:eastAsia="Arial" w:hAnsi="Arial" w:cs="Arial"/>
        <w:sz w:val="18"/>
        <w:szCs w:val="18"/>
        <w:lang w:val="es-ES"/>
      </w:rPr>
      <w:t xml:space="preserve">Página </w:t>
    </w:r>
    <w:r w:rsidRPr="0077530D">
      <w:rPr>
        <w:rFonts w:ascii="Arial" w:eastAsia="Arial" w:hAnsi="Arial" w:cs="Arial"/>
        <w:sz w:val="18"/>
        <w:szCs w:val="18"/>
        <w:lang w:val="es-ES"/>
      </w:rPr>
      <w:fldChar w:fldCharType="begin"/>
    </w:r>
    <w:r w:rsidRPr="00C23C79">
      <w:rPr>
        <w:rFonts w:ascii="Arial" w:hAnsi="Arial" w:cs="Arial"/>
        <w:bCs/>
        <w:sz w:val="18"/>
        <w:szCs w:val="18"/>
        <w:lang w:val="es-ES"/>
      </w:rPr>
      <w:instrText xml:space="preserve"> PAGE </w:instrText>
    </w:r>
    <w:r w:rsidRPr="00C23C79">
      <w:rPr>
        <w:rFonts w:ascii="Arial" w:hAnsi="Arial" w:cs="Arial"/>
        <w:bCs/>
        <w:sz w:val="18"/>
        <w:szCs w:val="18"/>
        <w:lang w:val="es-ES"/>
      </w:rPr>
      <w:fldChar w:fldCharType="separate"/>
    </w:r>
    <w:r w:rsidRPr="0077530D">
      <w:rPr>
        <w:rFonts w:ascii="Arial" w:eastAsia="Arial" w:hAnsi="Arial" w:cs="Arial"/>
        <w:sz w:val="18"/>
        <w:szCs w:val="18"/>
        <w:lang w:val="es-ES"/>
      </w:rPr>
      <w:t>21</w:t>
    </w:r>
    <w:r w:rsidRPr="0077530D">
      <w:rPr>
        <w:rFonts w:ascii="Arial" w:eastAsia="Arial" w:hAnsi="Arial" w:cs="Arial"/>
        <w:sz w:val="18"/>
        <w:szCs w:val="18"/>
        <w:lang w:val="es-ES"/>
      </w:rPr>
      <w:fldChar w:fldCharType="end"/>
    </w:r>
    <w:r w:rsidRPr="0077530D">
      <w:rPr>
        <w:rFonts w:ascii="Arial" w:eastAsia="Arial" w:hAnsi="Arial" w:cs="Arial"/>
        <w:sz w:val="18"/>
        <w:szCs w:val="18"/>
        <w:lang w:val="es-ES"/>
      </w:rPr>
      <w:t xml:space="preserve"> de 22</w:t>
    </w:r>
  </w:p>
  <w:p w14:paraId="29FFF9BA" w14:textId="77777777" w:rsidR="000A3DCE" w:rsidRPr="005867C5" w:rsidRDefault="000A3DCE">
    <w:pPr>
      <w:pStyle w:val="Heade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AAB17" w14:textId="77777777" w:rsidR="000A3DCE" w:rsidRDefault="000A3D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46A81"/>
    <w:multiLevelType w:val="multilevel"/>
    <w:tmpl w:val="3304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D50E5B"/>
    <w:multiLevelType w:val="hybridMultilevel"/>
    <w:tmpl w:val="977ACCE6"/>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EC5FD8"/>
    <w:multiLevelType w:val="hybridMultilevel"/>
    <w:tmpl w:val="539E3326"/>
    <w:lvl w:ilvl="0" w:tplc="C65E7B94">
      <w:start w:val="1"/>
      <w:numFmt w:val="decimal"/>
      <w:lvlText w:val="%1."/>
      <w:lvlJc w:val="left"/>
      <w:pPr>
        <w:ind w:left="180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5D93B5B"/>
    <w:multiLevelType w:val="hybridMultilevel"/>
    <w:tmpl w:val="84E82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23E70"/>
    <w:multiLevelType w:val="hybridMultilevel"/>
    <w:tmpl w:val="2610B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D357B"/>
    <w:multiLevelType w:val="multilevel"/>
    <w:tmpl w:val="9D2C3E18"/>
    <w:lvl w:ilvl="0">
      <w:start w:val="1"/>
      <w:numFmt w:val="decimal"/>
      <w:pStyle w:val="Chapter"/>
      <w:lvlText w:val="%1"/>
      <w:lvlJc w:val="left"/>
      <w:pPr>
        <w:ind w:left="792" w:hanging="432"/>
      </w:pPr>
    </w:lvl>
    <w:lvl w:ilvl="1">
      <w:start w:val="1"/>
      <w:numFmt w:val="decimal"/>
      <w:lvlText w:val="%1.%2"/>
      <w:lvlJc w:val="left"/>
      <w:pPr>
        <w:ind w:left="936" w:hanging="576"/>
      </w:pPr>
    </w:lvl>
    <w:lvl w:ilvl="2">
      <w:start w:val="1"/>
      <w:numFmt w:val="decimal"/>
      <w:pStyle w:val="Heading3"/>
      <w:lvlText w:val="%1.%2.%3"/>
      <w:lvlJc w:val="left"/>
      <w:pPr>
        <w:ind w:left="108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368" w:hanging="1008"/>
      </w:pPr>
    </w:lvl>
    <w:lvl w:ilvl="5">
      <w:start w:val="1"/>
      <w:numFmt w:val="decimal"/>
      <w:pStyle w:val="Heading6"/>
      <w:lvlText w:val="%1.%2.%3.%4.%5.%6"/>
      <w:lvlJc w:val="left"/>
      <w:pPr>
        <w:ind w:left="1512" w:hanging="1152"/>
      </w:pPr>
    </w:lvl>
    <w:lvl w:ilvl="6">
      <w:start w:val="1"/>
      <w:numFmt w:val="decimal"/>
      <w:pStyle w:val="Heading7"/>
      <w:lvlText w:val="%1.%2.%3.%4.%5.%6.%7"/>
      <w:lvlJc w:val="left"/>
      <w:pPr>
        <w:ind w:left="1656" w:hanging="1296"/>
      </w:pPr>
    </w:lvl>
    <w:lvl w:ilvl="7">
      <w:start w:val="1"/>
      <w:numFmt w:val="decimal"/>
      <w:pStyle w:val="Heading8"/>
      <w:lvlText w:val="%1.%2.%3.%4.%5.%6.%7.%8"/>
      <w:lvlJc w:val="left"/>
      <w:pPr>
        <w:ind w:left="1800" w:hanging="1440"/>
      </w:pPr>
    </w:lvl>
    <w:lvl w:ilvl="8">
      <w:start w:val="1"/>
      <w:numFmt w:val="decimal"/>
      <w:pStyle w:val="Heading9"/>
      <w:lvlText w:val="%1.%2.%3.%4.%5.%6.%7.%8.%9"/>
      <w:lvlJc w:val="left"/>
      <w:pPr>
        <w:ind w:left="1944" w:hanging="1584"/>
      </w:pPr>
    </w:lvl>
  </w:abstractNum>
  <w:abstractNum w:abstractNumId="6"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7" w15:restartNumberingAfterBreak="0">
    <w:nsid w:val="57FC335B"/>
    <w:multiLevelType w:val="hybridMultilevel"/>
    <w:tmpl w:val="940C3CDC"/>
    <w:lvl w:ilvl="0" w:tplc="0EF6758A">
      <w:start w:val="3"/>
      <w:numFmt w:val="upperRoman"/>
      <w:pStyle w:val="FirstHeading"/>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3B37CBC"/>
    <w:multiLevelType w:val="hybridMultilevel"/>
    <w:tmpl w:val="FDAEA540"/>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0"/>
  </w:num>
  <w:num w:numId="5">
    <w:abstractNumId w:val="1"/>
  </w:num>
  <w:num w:numId="6">
    <w:abstractNumId w:val="4"/>
  </w:num>
  <w:num w:numId="7">
    <w:abstractNumId w:val="2"/>
  </w:num>
  <w:num w:numId="8">
    <w:abstractNumId w:val="6"/>
  </w:num>
  <w:num w:numId="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guilar Blandon, Maria Alejandra">
    <w15:presenceInfo w15:providerId="AD" w15:userId="S-1-5-21-3560232635-1406422398-2702866923-9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0"/>
  <w:activeWritingStyle w:appName="MSWord" w:lang="pt-BR" w:vendorID="64" w:dllVersion="6" w:nlCheck="1" w:checkStyle="0"/>
  <w:activeWritingStyle w:appName="MSWord" w:lang="fr-F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pt-BR" w:vendorID="64" w:dllVersion="0" w:nlCheck="1" w:checkStyle="0"/>
  <w:activeWritingStyle w:appName="MSWord" w:lang="en-US" w:vendorID="64" w:dllVersion="0" w:nlCheck="1" w:checkStyle="0"/>
  <w:activeWritingStyle w:appName="MSWord" w:lang="es-419" w:vendorID="64" w:dllVersion="0" w:nlCheck="1" w:checkStyle="0"/>
  <w:activeWritingStyle w:appName="MSWord" w:lang="es-MX" w:vendorID="64" w:dllVersion="0" w:nlCheck="1" w:checkStyle="0"/>
  <w:activeWritingStyle w:appName="MSWord" w:lang="es-BO" w:vendorID="64" w:dllVersion="0" w:nlCheck="1" w:checkStyle="0"/>
  <w:activeWritingStyle w:appName="MSWord" w:lang="es-PY" w:vendorID="64" w:dllVersion="0" w:nlCheck="1" w:checkStyle="0"/>
  <w:activeWritingStyle w:appName="MSWord" w:lang="es-AR" w:vendorID="64" w:dllVersion="0" w:nlCheck="1" w:checkStyle="0"/>
  <w:revisionView w:markup="0"/>
  <w:defaultTabStop w:val="720"/>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73A"/>
    <w:rsid w:val="00004084"/>
    <w:rsid w:val="00004955"/>
    <w:rsid w:val="0000599D"/>
    <w:rsid w:val="000079AE"/>
    <w:rsid w:val="0001287B"/>
    <w:rsid w:val="00012D5B"/>
    <w:rsid w:val="00013136"/>
    <w:rsid w:val="0001452A"/>
    <w:rsid w:val="0001476A"/>
    <w:rsid w:val="00015A49"/>
    <w:rsid w:val="00015AFD"/>
    <w:rsid w:val="0001650F"/>
    <w:rsid w:val="00016B52"/>
    <w:rsid w:val="00017AE2"/>
    <w:rsid w:val="00021A59"/>
    <w:rsid w:val="00022199"/>
    <w:rsid w:val="0002223B"/>
    <w:rsid w:val="00022513"/>
    <w:rsid w:val="00023BDF"/>
    <w:rsid w:val="00023C22"/>
    <w:rsid w:val="00023F9D"/>
    <w:rsid w:val="000246D2"/>
    <w:rsid w:val="00025D20"/>
    <w:rsid w:val="00027F3F"/>
    <w:rsid w:val="00030A5F"/>
    <w:rsid w:val="000328BD"/>
    <w:rsid w:val="00032B9D"/>
    <w:rsid w:val="00032CBC"/>
    <w:rsid w:val="00033C52"/>
    <w:rsid w:val="000341D8"/>
    <w:rsid w:val="00040B47"/>
    <w:rsid w:val="00044786"/>
    <w:rsid w:val="00047843"/>
    <w:rsid w:val="0005030D"/>
    <w:rsid w:val="000510F8"/>
    <w:rsid w:val="000514B2"/>
    <w:rsid w:val="00052B4D"/>
    <w:rsid w:val="00052C5F"/>
    <w:rsid w:val="00055CEA"/>
    <w:rsid w:val="00060364"/>
    <w:rsid w:val="000604AF"/>
    <w:rsid w:val="000617C0"/>
    <w:rsid w:val="00061F96"/>
    <w:rsid w:val="00062421"/>
    <w:rsid w:val="00064AF1"/>
    <w:rsid w:val="00064E15"/>
    <w:rsid w:val="00064FE0"/>
    <w:rsid w:val="00067A82"/>
    <w:rsid w:val="00071025"/>
    <w:rsid w:val="0007199C"/>
    <w:rsid w:val="00072110"/>
    <w:rsid w:val="0007336C"/>
    <w:rsid w:val="00073909"/>
    <w:rsid w:val="00073F1F"/>
    <w:rsid w:val="000747C7"/>
    <w:rsid w:val="00074FFB"/>
    <w:rsid w:val="000752E3"/>
    <w:rsid w:val="00075F1D"/>
    <w:rsid w:val="00076CA3"/>
    <w:rsid w:val="00077F07"/>
    <w:rsid w:val="000801E2"/>
    <w:rsid w:val="00080206"/>
    <w:rsid w:val="00080942"/>
    <w:rsid w:val="00081FA3"/>
    <w:rsid w:val="00082150"/>
    <w:rsid w:val="00082752"/>
    <w:rsid w:val="00082792"/>
    <w:rsid w:val="00082BF8"/>
    <w:rsid w:val="0008605A"/>
    <w:rsid w:val="00087620"/>
    <w:rsid w:val="00091508"/>
    <w:rsid w:val="00092158"/>
    <w:rsid w:val="0009265E"/>
    <w:rsid w:val="000942A6"/>
    <w:rsid w:val="00094F25"/>
    <w:rsid w:val="00095510"/>
    <w:rsid w:val="0009694F"/>
    <w:rsid w:val="00096A1C"/>
    <w:rsid w:val="000979F8"/>
    <w:rsid w:val="00097FAF"/>
    <w:rsid w:val="000A0162"/>
    <w:rsid w:val="000A1E8A"/>
    <w:rsid w:val="000A2E23"/>
    <w:rsid w:val="000A39C3"/>
    <w:rsid w:val="000A3DCE"/>
    <w:rsid w:val="000A4088"/>
    <w:rsid w:val="000A586A"/>
    <w:rsid w:val="000B04C6"/>
    <w:rsid w:val="000B0D47"/>
    <w:rsid w:val="000B185D"/>
    <w:rsid w:val="000B1AAA"/>
    <w:rsid w:val="000B40F8"/>
    <w:rsid w:val="000B4134"/>
    <w:rsid w:val="000B4450"/>
    <w:rsid w:val="000B5002"/>
    <w:rsid w:val="000B5EFA"/>
    <w:rsid w:val="000B756B"/>
    <w:rsid w:val="000B7AEA"/>
    <w:rsid w:val="000B7C26"/>
    <w:rsid w:val="000C0A86"/>
    <w:rsid w:val="000C0C4C"/>
    <w:rsid w:val="000C4331"/>
    <w:rsid w:val="000C4E2A"/>
    <w:rsid w:val="000C5214"/>
    <w:rsid w:val="000C6144"/>
    <w:rsid w:val="000C6822"/>
    <w:rsid w:val="000C7603"/>
    <w:rsid w:val="000C7EE2"/>
    <w:rsid w:val="000D1BF4"/>
    <w:rsid w:val="000D2A58"/>
    <w:rsid w:val="000D3544"/>
    <w:rsid w:val="000D3F77"/>
    <w:rsid w:val="000D4047"/>
    <w:rsid w:val="000D5695"/>
    <w:rsid w:val="000D5964"/>
    <w:rsid w:val="000D6636"/>
    <w:rsid w:val="000D7D85"/>
    <w:rsid w:val="000E0DF0"/>
    <w:rsid w:val="000E1523"/>
    <w:rsid w:val="000E1E96"/>
    <w:rsid w:val="000E2612"/>
    <w:rsid w:val="000E2B9E"/>
    <w:rsid w:val="000E4FFF"/>
    <w:rsid w:val="000E7905"/>
    <w:rsid w:val="000F0892"/>
    <w:rsid w:val="000F0B06"/>
    <w:rsid w:val="000F0BF3"/>
    <w:rsid w:val="000F1A9A"/>
    <w:rsid w:val="000F1E11"/>
    <w:rsid w:val="000F2FF6"/>
    <w:rsid w:val="000F50CB"/>
    <w:rsid w:val="000F57AB"/>
    <w:rsid w:val="000F77DB"/>
    <w:rsid w:val="000F7B09"/>
    <w:rsid w:val="001006F5"/>
    <w:rsid w:val="00101868"/>
    <w:rsid w:val="001025F1"/>
    <w:rsid w:val="0010281C"/>
    <w:rsid w:val="00103108"/>
    <w:rsid w:val="001039FA"/>
    <w:rsid w:val="00104D90"/>
    <w:rsid w:val="00105BE7"/>
    <w:rsid w:val="00105DB2"/>
    <w:rsid w:val="00106632"/>
    <w:rsid w:val="001102CE"/>
    <w:rsid w:val="00112220"/>
    <w:rsid w:val="00112BB6"/>
    <w:rsid w:val="00112C7F"/>
    <w:rsid w:val="00112CDB"/>
    <w:rsid w:val="00112D72"/>
    <w:rsid w:val="00113B13"/>
    <w:rsid w:val="001143BC"/>
    <w:rsid w:val="00114E8C"/>
    <w:rsid w:val="00117EDF"/>
    <w:rsid w:val="00121F11"/>
    <w:rsid w:val="00122C90"/>
    <w:rsid w:val="00123FB4"/>
    <w:rsid w:val="0012478C"/>
    <w:rsid w:val="0012522D"/>
    <w:rsid w:val="001260E5"/>
    <w:rsid w:val="0013035D"/>
    <w:rsid w:val="0013052C"/>
    <w:rsid w:val="00132DDD"/>
    <w:rsid w:val="00134C50"/>
    <w:rsid w:val="00135A24"/>
    <w:rsid w:val="0013630C"/>
    <w:rsid w:val="00137C48"/>
    <w:rsid w:val="001417A3"/>
    <w:rsid w:val="0014206B"/>
    <w:rsid w:val="00143114"/>
    <w:rsid w:val="001433E1"/>
    <w:rsid w:val="00144E12"/>
    <w:rsid w:val="00145812"/>
    <w:rsid w:val="00146EDA"/>
    <w:rsid w:val="00147541"/>
    <w:rsid w:val="001475C6"/>
    <w:rsid w:val="00147D89"/>
    <w:rsid w:val="00150DAE"/>
    <w:rsid w:val="00152817"/>
    <w:rsid w:val="001528BB"/>
    <w:rsid w:val="00154AEA"/>
    <w:rsid w:val="00155C84"/>
    <w:rsid w:val="00156550"/>
    <w:rsid w:val="00156A0F"/>
    <w:rsid w:val="00157A57"/>
    <w:rsid w:val="00160ACA"/>
    <w:rsid w:val="001613E5"/>
    <w:rsid w:val="001615C5"/>
    <w:rsid w:val="00163912"/>
    <w:rsid w:val="00164032"/>
    <w:rsid w:val="0016489A"/>
    <w:rsid w:val="0016610C"/>
    <w:rsid w:val="00167C96"/>
    <w:rsid w:val="00172048"/>
    <w:rsid w:val="00174034"/>
    <w:rsid w:val="0017442A"/>
    <w:rsid w:val="001753FD"/>
    <w:rsid w:val="001773E6"/>
    <w:rsid w:val="00180E1B"/>
    <w:rsid w:val="001827A5"/>
    <w:rsid w:val="00183612"/>
    <w:rsid w:val="00184B58"/>
    <w:rsid w:val="00185D8A"/>
    <w:rsid w:val="001872C6"/>
    <w:rsid w:val="00187A17"/>
    <w:rsid w:val="001917AD"/>
    <w:rsid w:val="00192973"/>
    <w:rsid w:val="00195B30"/>
    <w:rsid w:val="00196F11"/>
    <w:rsid w:val="001A03DE"/>
    <w:rsid w:val="001A0F2B"/>
    <w:rsid w:val="001A14D5"/>
    <w:rsid w:val="001A2298"/>
    <w:rsid w:val="001A38E1"/>
    <w:rsid w:val="001A498E"/>
    <w:rsid w:val="001A6051"/>
    <w:rsid w:val="001B29B3"/>
    <w:rsid w:val="001B329F"/>
    <w:rsid w:val="001B59A8"/>
    <w:rsid w:val="001C13B7"/>
    <w:rsid w:val="001C1D23"/>
    <w:rsid w:val="001C215A"/>
    <w:rsid w:val="001C33DF"/>
    <w:rsid w:val="001C3614"/>
    <w:rsid w:val="001C4C6D"/>
    <w:rsid w:val="001C5A77"/>
    <w:rsid w:val="001C5F4D"/>
    <w:rsid w:val="001C6A0D"/>
    <w:rsid w:val="001C7C90"/>
    <w:rsid w:val="001D0D21"/>
    <w:rsid w:val="001D24C2"/>
    <w:rsid w:val="001D259D"/>
    <w:rsid w:val="001D3A8A"/>
    <w:rsid w:val="001D3E27"/>
    <w:rsid w:val="001D69B2"/>
    <w:rsid w:val="001D6EF3"/>
    <w:rsid w:val="001E079D"/>
    <w:rsid w:val="001E0B3E"/>
    <w:rsid w:val="001E141D"/>
    <w:rsid w:val="001E1549"/>
    <w:rsid w:val="001E1EC3"/>
    <w:rsid w:val="001E32A9"/>
    <w:rsid w:val="001E3EF5"/>
    <w:rsid w:val="001E41F1"/>
    <w:rsid w:val="001E57DE"/>
    <w:rsid w:val="001E6996"/>
    <w:rsid w:val="001F0EB0"/>
    <w:rsid w:val="001F1F36"/>
    <w:rsid w:val="001F225B"/>
    <w:rsid w:val="001F3D07"/>
    <w:rsid w:val="001F4011"/>
    <w:rsid w:val="001F4601"/>
    <w:rsid w:val="001F5709"/>
    <w:rsid w:val="001F6C62"/>
    <w:rsid w:val="001F7C33"/>
    <w:rsid w:val="001F7EDD"/>
    <w:rsid w:val="00202167"/>
    <w:rsid w:val="002023B1"/>
    <w:rsid w:val="0020433F"/>
    <w:rsid w:val="00204D48"/>
    <w:rsid w:val="00205B46"/>
    <w:rsid w:val="00206155"/>
    <w:rsid w:val="002061E5"/>
    <w:rsid w:val="0020662B"/>
    <w:rsid w:val="00206E88"/>
    <w:rsid w:val="002079F9"/>
    <w:rsid w:val="00207DFC"/>
    <w:rsid w:val="00210037"/>
    <w:rsid w:val="002100D8"/>
    <w:rsid w:val="00210577"/>
    <w:rsid w:val="00210F9D"/>
    <w:rsid w:val="00211047"/>
    <w:rsid w:val="002110BB"/>
    <w:rsid w:val="00211DD7"/>
    <w:rsid w:val="00212114"/>
    <w:rsid w:val="00212248"/>
    <w:rsid w:val="002126E1"/>
    <w:rsid w:val="00213045"/>
    <w:rsid w:val="00213E17"/>
    <w:rsid w:val="00216A0C"/>
    <w:rsid w:val="00217E6C"/>
    <w:rsid w:val="00220ABD"/>
    <w:rsid w:val="0022134A"/>
    <w:rsid w:val="00222E65"/>
    <w:rsid w:val="002230DE"/>
    <w:rsid w:val="00224140"/>
    <w:rsid w:val="00225595"/>
    <w:rsid w:val="00225D8B"/>
    <w:rsid w:val="00226885"/>
    <w:rsid w:val="00227714"/>
    <w:rsid w:val="00227AD6"/>
    <w:rsid w:val="00230259"/>
    <w:rsid w:val="0023039F"/>
    <w:rsid w:val="00230803"/>
    <w:rsid w:val="0023202F"/>
    <w:rsid w:val="00233A90"/>
    <w:rsid w:val="002356B7"/>
    <w:rsid w:val="00235A6F"/>
    <w:rsid w:val="002369A3"/>
    <w:rsid w:val="00236E76"/>
    <w:rsid w:val="00241C50"/>
    <w:rsid w:val="00241F1D"/>
    <w:rsid w:val="00242569"/>
    <w:rsid w:val="00243AEB"/>
    <w:rsid w:val="00247A82"/>
    <w:rsid w:val="00247BDD"/>
    <w:rsid w:val="00247E67"/>
    <w:rsid w:val="00251135"/>
    <w:rsid w:val="00252296"/>
    <w:rsid w:val="002543EF"/>
    <w:rsid w:val="00255476"/>
    <w:rsid w:val="00255C3E"/>
    <w:rsid w:val="00256486"/>
    <w:rsid w:val="00257C99"/>
    <w:rsid w:val="002637C7"/>
    <w:rsid w:val="002638B0"/>
    <w:rsid w:val="00263ACD"/>
    <w:rsid w:val="002645E5"/>
    <w:rsid w:val="002664C1"/>
    <w:rsid w:val="002678E9"/>
    <w:rsid w:val="002707EA"/>
    <w:rsid w:val="00271979"/>
    <w:rsid w:val="00272889"/>
    <w:rsid w:val="00272F08"/>
    <w:rsid w:val="0027324D"/>
    <w:rsid w:val="00273AEF"/>
    <w:rsid w:val="00277770"/>
    <w:rsid w:val="00280DAE"/>
    <w:rsid w:val="0028258E"/>
    <w:rsid w:val="00282812"/>
    <w:rsid w:val="002833BC"/>
    <w:rsid w:val="00283471"/>
    <w:rsid w:val="00283D68"/>
    <w:rsid w:val="0028469E"/>
    <w:rsid w:val="002854D9"/>
    <w:rsid w:val="00285DE0"/>
    <w:rsid w:val="00286022"/>
    <w:rsid w:val="002867CB"/>
    <w:rsid w:val="00290681"/>
    <w:rsid w:val="002932A3"/>
    <w:rsid w:val="00293F7D"/>
    <w:rsid w:val="00294242"/>
    <w:rsid w:val="00294CE5"/>
    <w:rsid w:val="0029666A"/>
    <w:rsid w:val="00297E57"/>
    <w:rsid w:val="002A0C0B"/>
    <w:rsid w:val="002A0D18"/>
    <w:rsid w:val="002A19CB"/>
    <w:rsid w:val="002A3D8F"/>
    <w:rsid w:val="002A5305"/>
    <w:rsid w:val="002A67A0"/>
    <w:rsid w:val="002A68EC"/>
    <w:rsid w:val="002A6A5A"/>
    <w:rsid w:val="002A7CC7"/>
    <w:rsid w:val="002B0DC8"/>
    <w:rsid w:val="002B1B9F"/>
    <w:rsid w:val="002B1C3A"/>
    <w:rsid w:val="002B2C88"/>
    <w:rsid w:val="002B318F"/>
    <w:rsid w:val="002B329E"/>
    <w:rsid w:val="002B34F5"/>
    <w:rsid w:val="002B4406"/>
    <w:rsid w:val="002B4DC1"/>
    <w:rsid w:val="002B5444"/>
    <w:rsid w:val="002B639C"/>
    <w:rsid w:val="002C1B81"/>
    <w:rsid w:val="002C1D6A"/>
    <w:rsid w:val="002C4941"/>
    <w:rsid w:val="002C6C41"/>
    <w:rsid w:val="002C7513"/>
    <w:rsid w:val="002C7737"/>
    <w:rsid w:val="002D09CA"/>
    <w:rsid w:val="002D13AD"/>
    <w:rsid w:val="002D4A7E"/>
    <w:rsid w:val="002D682B"/>
    <w:rsid w:val="002E195F"/>
    <w:rsid w:val="002E1A06"/>
    <w:rsid w:val="002E20A7"/>
    <w:rsid w:val="002E2768"/>
    <w:rsid w:val="002E3843"/>
    <w:rsid w:val="002E6A25"/>
    <w:rsid w:val="002F04AD"/>
    <w:rsid w:val="002F18E8"/>
    <w:rsid w:val="002F3050"/>
    <w:rsid w:val="002F4C35"/>
    <w:rsid w:val="002F5DFF"/>
    <w:rsid w:val="002F5E0E"/>
    <w:rsid w:val="002F6236"/>
    <w:rsid w:val="002F645C"/>
    <w:rsid w:val="002F7D31"/>
    <w:rsid w:val="00300506"/>
    <w:rsid w:val="00300A52"/>
    <w:rsid w:val="003011A5"/>
    <w:rsid w:val="00302C75"/>
    <w:rsid w:val="00304542"/>
    <w:rsid w:val="003046EC"/>
    <w:rsid w:val="0031029F"/>
    <w:rsid w:val="003108ED"/>
    <w:rsid w:val="00310C63"/>
    <w:rsid w:val="00311359"/>
    <w:rsid w:val="003115D3"/>
    <w:rsid w:val="0031237D"/>
    <w:rsid w:val="00313575"/>
    <w:rsid w:val="0031488C"/>
    <w:rsid w:val="00314A92"/>
    <w:rsid w:val="00317989"/>
    <w:rsid w:val="00320429"/>
    <w:rsid w:val="00320CD5"/>
    <w:rsid w:val="003216BF"/>
    <w:rsid w:val="003239A5"/>
    <w:rsid w:val="00324C9C"/>
    <w:rsid w:val="00324D3F"/>
    <w:rsid w:val="00326700"/>
    <w:rsid w:val="003277C6"/>
    <w:rsid w:val="00327CE0"/>
    <w:rsid w:val="003311D2"/>
    <w:rsid w:val="00332E49"/>
    <w:rsid w:val="00333674"/>
    <w:rsid w:val="00333B54"/>
    <w:rsid w:val="003343A8"/>
    <w:rsid w:val="00334E1D"/>
    <w:rsid w:val="003350FF"/>
    <w:rsid w:val="0033584B"/>
    <w:rsid w:val="00336DBA"/>
    <w:rsid w:val="00337974"/>
    <w:rsid w:val="0034407A"/>
    <w:rsid w:val="00344C86"/>
    <w:rsid w:val="0034537D"/>
    <w:rsid w:val="00345E67"/>
    <w:rsid w:val="00346ADB"/>
    <w:rsid w:val="00346F65"/>
    <w:rsid w:val="00351E02"/>
    <w:rsid w:val="00352AD6"/>
    <w:rsid w:val="00352EAB"/>
    <w:rsid w:val="00353BD9"/>
    <w:rsid w:val="00354F8E"/>
    <w:rsid w:val="00355399"/>
    <w:rsid w:val="0035539C"/>
    <w:rsid w:val="00355D57"/>
    <w:rsid w:val="00356A6F"/>
    <w:rsid w:val="0035784B"/>
    <w:rsid w:val="00360348"/>
    <w:rsid w:val="003613F1"/>
    <w:rsid w:val="00361A79"/>
    <w:rsid w:val="00363146"/>
    <w:rsid w:val="00363CDC"/>
    <w:rsid w:val="00364408"/>
    <w:rsid w:val="0036549C"/>
    <w:rsid w:val="00365708"/>
    <w:rsid w:val="00367757"/>
    <w:rsid w:val="00370C0A"/>
    <w:rsid w:val="003721C3"/>
    <w:rsid w:val="00372324"/>
    <w:rsid w:val="00372DCE"/>
    <w:rsid w:val="00372F68"/>
    <w:rsid w:val="00373CF5"/>
    <w:rsid w:val="003748F1"/>
    <w:rsid w:val="0037539F"/>
    <w:rsid w:val="00375C16"/>
    <w:rsid w:val="00375D15"/>
    <w:rsid w:val="00376551"/>
    <w:rsid w:val="00377031"/>
    <w:rsid w:val="00382FE2"/>
    <w:rsid w:val="00383CC8"/>
    <w:rsid w:val="003843FE"/>
    <w:rsid w:val="00387162"/>
    <w:rsid w:val="00387C2D"/>
    <w:rsid w:val="0039053E"/>
    <w:rsid w:val="003915D4"/>
    <w:rsid w:val="00391E2A"/>
    <w:rsid w:val="003926B3"/>
    <w:rsid w:val="00392CEF"/>
    <w:rsid w:val="0039357C"/>
    <w:rsid w:val="00394BDB"/>
    <w:rsid w:val="00395E0C"/>
    <w:rsid w:val="00396335"/>
    <w:rsid w:val="0039667A"/>
    <w:rsid w:val="003A01EC"/>
    <w:rsid w:val="003A0546"/>
    <w:rsid w:val="003A163D"/>
    <w:rsid w:val="003A24D2"/>
    <w:rsid w:val="003A39B0"/>
    <w:rsid w:val="003A3AF0"/>
    <w:rsid w:val="003A3C29"/>
    <w:rsid w:val="003A472F"/>
    <w:rsid w:val="003A553B"/>
    <w:rsid w:val="003A5A63"/>
    <w:rsid w:val="003A5CD6"/>
    <w:rsid w:val="003A606A"/>
    <w:rsid w:val="003A652C"/>
    <w:rsid w:val="003A797E"/>
    <w:rsid w:val="003B122D"/>
    <w:rsid w:val="003B348E"/>
    <w:rsid w:val="003B3575"/>
    <w:rsid w:val="003B3C71"/>
    <w:rsid w:val="003B4FFC"/>
    <w:rsid w:val="003B5589"/>
    <w:rsid w:val="003B7893"/>
    <w:rsid w:val="003C0AC1"/>
    <w:rsid w:val="003C4212"/>
    <w:rsid w:val="003C4814"/>
    <w:rsid w:val="003C61E7"/>
    <w:rsid w:val="003C70F6"/>
    <w:rsid w:val="003D1D10"/>
    <w:rsid w:val="003D4D08"/>
    <w:rsid w:val="003D4FA3"/>
    <w:rsid w:val="003D525D"/>
    <w:rsid w:val="003D5EAC"/>
    <w:rsid w:val="003D6CBB"/>
    <w:rsid w:val="003D78FD"/>
    <w:rsid w:val="003E0A47"/>
    <w:rsid w:val="003E2EBE"/>
    <w:rsid w:val="003E313F"/>
    <w:rsid w:val="003E4588"/>
    <w:rsid w:val="003E7559"/>
    <w:rsid w:val="003F101A"/>
    <w:rsid w:val="003F1F67"/>
    <w:rsid w:val="003F309D"/>
    <w:rsid w:val="003F4284"/>
    <w:rsid w:val="003F46C3"/>
    <w:rsid w:val="003F4AC6"/>
    <w:rsid w:val="003F4F84"/>
    <w:rsid w:val="003F5306"/>
    <w:rsid w:val="003F68E1"/>
    <w:rsid w:val="003F6C93"/>
    <w:rsid w:val="003F6D30"/>
    <w:rsid w:val="004023A1"/>
    <w:rsid w:val="00404B23"/>
    <w:rsid w:val="004050D3"/>
    <w:rsid w:val="00407DC6"/>
    <w:rsid w:val="004102BD"/>
    <w:rsid w:val="00411BB6"/>
    <w:rsid w:val="00412926"/>
    <w:rsid w:val="00412CF8"/>
    <w:rsid w:val="00413005"/>
    <w:rsid w:val="0041368D"/>
    <w:rsid w:val="004142DC"/>
    <w:rsid w:val="0041711E"/>
    <w:rsid w:val="004174BF"/>
    <w:rsid w:val="00420EA0"/>
    <w:rsid w:val="00421791"/>
    <w:rsid w:val="004218C6"/>
    <w:rsid w:val="004249A2"/>
    <w:rsid w:val="004252B5"/>
    <w:rsid w:val="004254B4"/>
    <w:rsid w:val="004262CA"/>
    <w:rsid w:val="004263CC"/>
    <w:rsid w:val="004268B3"/>
    <w:rsid w:val="00426C68"/>
    <w:rsid w:val="0043034A"/>
    <w:rsid w:val="00433517"/>
    <w:rsid w:val="00433B42"/>
    <w:rsid w:val="00434592"/>
    <w:rsid w:val="004350D0"/>
    <w:rsid w:val="0043621C"/>
    <w:rsid w:val="0043790F"/>
    <w:rsid w:val="004417DA"/>
    <w:rsid w:val="00442106"/>
    <w:rsid w:val="00444031"/>
    <w:rsid w:val="004449CD"/>
    <w:rsid w:val="0044751B"/>
    <w:rsid w:val="00447671"/>
    <w:rsid w:val="00447D90"/>
    <w:rsid w:val="00451890"/>
    <w:rsid w:val="00455583"/>
    <w:rsid w:val="0045731B"/>
    <w:rsid w:val="00460109"/>
    <w:rsid w:val="0046041E"/>
    <w:rsid w:val="0046066A"/>
    <w:rsid w:val="004609DD"/>
    <w:rsid w:val="00460D82"/>
    <w:rsid w:val="00461FD7"/>
    <w:rsid w:val="00462822"/>
    <w:rsid w:val="00462BF2"/>
    <w:rsid w:val="0046348C"/>
    <w:rsid w:val="00463755"/>
    <w:rsid w:val="004637DC"/>
    <w:rsid w:val="00463EAF"/>
    <w:rsid w:val="00464690"/>
    <w:rsid w:val="004653C3"/>
    <w:rsid w:val="00466FE8"/>
    <w:rsid w:val="004674DD"/>
    <w:rsid w:val="00467C36"/>
    <w:rsid w:val="0047142F"/>
    <w:rsid w:val="00471A8F"/>
    <w:rsid w:val="00472B16"/>
    <w:rsid w:val="00473DF0"/>
    <w:rsid w:val="0047428C"/>
    <w:rsid w:val="00475166"/>
    <w:rsid w:val="00477522"/>
    <w:rsid w:val="004778C0"/>
    <w:rsid w:val="00477960"/>
    <w:rsid w:val="00477FBF"/>
    <w:rsid w:val="00480FD7"/>
    <w:rsid w:val="00481A9A"/>
    <w:rsid w:val="00484B73"/>
    <w:rsid w:val="0048546F"/>
    <w:rsid w:val="00485D33"/>
    <w:rsid w:val="0048658B"/>
    <w:rsid w:val="004901CE"/>
    <w:rsid w:val="004907DE"/>
    <w:rsid w:val="00490D39"/>
    <w:rsid w:val="00490F2C"/>
    <w:rsid w:val="004921FF"/>
    <w:rsid w:val="00492945"/>
    <w:rsid w:val="00492D9F"/>
    <w:rsid w:val="004934CA"/>
    <w:rsid w:val="00494659"/>
    <w:rsid w:val="00494AC5"/>
    <w:rsid w:val="00494AF6"/>
    <w:rsid w:val="004963FD"/>
    <w:rsid w:val="004A271E"/>
    <w:rsid w:val="004A4053"/>
    <w:rsid w:val="004A4937"/>
    <w:rsid w:val="004A5255"/>
    <w:rsid w:val="004A552C"/>
    <w:rsid w:val="004A59CA"/>
    <w:rsid w:val="004A66D9"/>
    <w:rsid w:val="004A6898"/>
    <w:rsid w:val="004A6B46"/>
    <w:rsid w:val="004B0BCD"/>
    <w:rsid w:val="004B0FBD"/>
    <w:rsid w:val="004B1B82"/>
    <w:rsid w:val="004B2772"/>
    <w:rsid w:val="004B42EE"/>
    <w:rsid w:val="004B6D25"/>
    <w:rsid w:val="004C1405"/>
    <w:rsid w:val="004C3730"/>
    <w:rsid w:val="004C3CAF"/>
    <w:rsid w:val="004C472F"/>
    <w:rsid w:val="004C5824"/>
    <w:rsid w:val="004C5A71"/>
    <w:rsid w:val="004C62E5"/>
    <w:rsid w:val="004C7AE7"/>
    <w:rsid w:val="004D1576"/>
    <w:rsid w:val="004D327F"/>
    <w:rsid w:val="004D4A60"/>
    <w:rsid w:val="004D5DD2"/>
    <w:rsid w:val="004D76DB"/>
    <w:rsid w:val="004D7B94"/>
    <w:rsid w:val="004E1156"/>
    <w:rsid w:val="004E1C90"/>
    <w:rsid w:val="004E2392"/>
    <w:rsid w:val="004E272B"/>
    <w:rsid w:val="004E2CE4"/>
    <w:rsid w:val="004E3CA9"/>
    <w:rsid w:val="004E5AE0"/>
    <w:rsid w:val="004E62C3"/>
    <w:rsid w:val="004F0601"/>
    <w:rsid w:val="004F0747"/>
    <w:rsid w:val="004F0ABC"/>
    <w:rsid w:val="004F0EBE"/>
    <w:rsid w:val="004F242C"/>
    <w:rsid w:val="004F27D7"/>
    <w:rsid w:val="004F3CE7"/>
    <w:rsid w:val="004F3E3E"/>
    <w:rsid w:val="004F49D5"/>
    <w:rsid w:val="004F537E"/>
    <w:rsid w:val="004F6D1E"/>
    <w:rsid w:val="004F7237"/>
    <w:rsid w:val="004F7BA1"/>
    <w:rsid w:val="005005F9"/>
    <w:rsid w:val="0050227A"/>
    <w:rsid w:val="00503130"/>
    <w:rsid w:val="00506968"/>
    <w:rsid w:val="00506FF0"/>
    <w:rsid w:val="00507625"/>
    <w:rsid w:val="00510000"/>
    <w:rsid w:val="00511364"/>
    <w:rsid w:val="00512105"/>
    <w:rsid w:val="00513EFF"/>
    <w:rsid w:val="00514ED5"/>
    <w:rsid w:val="0051626A"/>
    <w:rsid w:val="00516CA1"/>
    <w:rsid w:val="00517D69"/>
    <w:rsid w:val="00520132"/>
    <w:rsid w:val="00522A67"/>
    <w:rsid w:val="00524F9B"/>
    <w:rsid w:val="00525373"/>
    <w:rsid w:val="0052631D"/>
    <w:rsid w:val="005272B3"/>
    <w:rsid w:val="005273FD"/>
    <w:rsid w:val="0052774A"/>
    <w:rsid w:val="00530838"/>
    <w:rsid w:val="00531F9F"/>
    <w:rsid w:val="005322D4"/>
    <w:rsid w:val="00533BC2"/>
    <w:rsid w:val="00535F74"/>
    <w:rsid w:val="00535FF9"/>
    <w:rsid w:val="00541479"/>
    <w:rsid w:val="00542349"/>
    <w:rsid w:val="00543B60"/>
    <w:rsid w:val="0054535D"/>
    <w:rsid w:val="005457A6"/>
    <w:rsid w:val="00545AE2"/>
    <w:rsid w:val="00545C03"/>
    <w:rsid w:val="0054617D"/>
    <w:rsid w:val="005470EE"/>
    <w:rsid w:val="00547A75"/>
    <w:rsid w:val="0055093D"/>
    <w:rsid w:val="00550A78"/>
    <w:rsid w:val="00551296"/>
    <w:rsid w:val="0055226A"/>
    <w:rsid w:val="0055328C"/>
    <w:rsid w:val="005565E2"/>
    <w:rsid w:val="005569E5"/>
    <w:rsid w:val="005576B9"/>
    <w:rsid w:val="00557BE5"/>
    <w:rsid w:val="00563F35"/>
    <w:rsid w:val="00564521"/>
    <w:rsid w:val="0056518D"/>
    <w:rsid w:val="00567F63"/>
    <w:rsid w:val="00572DBD"/>
    <w:rsid w:val="00572F08"/>
    <w:rsid w:val="0057378F"/>
    <w:rsid w:val="00573D36"/>
    <w:rsid w:val="0057512A"/>
    <w:rsid w:val="00577181"/>
    <w:rsid w:val="005774FC"/>
    <w:rsid w:val="00580DEE"/>
    <w:rsid w:val="00582B00"/>
    <w:rsid w:val="00583A5C"/>
    <w:rsid w:val="00584DF5"/>
    <w:rsid w:val="00584F88"/>
    <w:rsid w:val="0058518F"/>
    <w:rsid w:val="00585BD7"/>
    <w:rsid w:val="00586729"/>
    <w:rsid w:val="005867C5"/>
    <w:rsid w:val="005874F8"/>
    <w:rsid w:val="00590F3F"/>
    <w:rsid w:val="005912A8"/>
    <w:rsid w:val="005913D1"/>
    <w:rsid w:val="00591670"/>
    <w:rsid w:val="0059186D"/>
    <w:rsid w:val="0059193B"/>
    <w:rsid w:val="00592A32"/>
    <w:rsid w:val="00592F85"/>
    <w:rsid w:val="00593654"/>
    <w:rsid w:val="005938CF"/>
    <w:rsid w:val="00594342"/>
    <w:rsid w:val="005949C1"/>
    <w:rsid w:val="00595FED"/>
    <w:rsid w:val="00597513"/>
    <w:rsid w:val="005976C7"/>
    <w:rsid w:val="005A17D5"/>
    <w:rsid w:val="005A1890"/>
    <w:rsid w:val="005A3C43"/>
    <w:rsid w:val="005A5C01"/>
    <w:rsid w:val="005A64C9"/>
    <w:rsid w:val="005B08FD"/>
    <w:rsid w:val="005B3E7C"/>
    <w:rsid w:val="005B5E1E"/>
    <w:rsid w:val="005B72B4"/>
    <w:rsid w:val="005C0317"/>
    <w:rsid w:val="005C1B5B"/>
    <w:rsid w:val="005C21D6"/>
    <w:rsid w:val="005C2599"/>
    <w:rsid w:val="005C2676"/>
    <w:rsid w:val="005C4334"/>
    <w:rsid w:val="005C43D2"/>
    <w:rsid w:val="005C4887"/>
    <w:rsid w:val="005C4A5D"/>
    <w:rsid w:val="005C55D4"/>
    <w:rsid w:val="005C620B"/>
    <w:rsid w:val="005C665C"/>
    <w:rsid w:val="005C7F32"/>
    <w:rsid w:val="005D00D4"/>
    <w:rsid w:val="005D1E19"/>
    <w:rsid w:val="005D498F"/>
    <w:rsid w:val="005D61E0"/>
    <w:rsid w:val="005E0320"/>
    <w:rsid w:val="005E4432"/>
    <w:rsid w:val="005E58BF"/>
    <w:rsid w:val="005F0471"/>
    <w:rsid w:val="005F09CD"/>
    <w:rsid w:val="005F100D"/>
    <w:rsid w:val="005F4F6A"/>
    <w:rsid w:val="005F5261"/>
    <w:rsid w:val="005F6825"/>
    <w:rsid w:val="005F691A"/>
    <w:rsid w:val="005F6C33"/>
    <w:rsid w:val="005F7D1E"/>
    <w:rsid w:val="006016B5"/>
    <w:rsid w:val="00601C97"/>
    <w:rsid w:val="00602115"/>
    <w:rsid w:val="00602250"/>
    <w:rsid w:val="00602690"/>
    <w:rsid w:val="0060449F"/>
    <w:rsid w:val="0060692F"/>
    <w:rsid w:val="006108CF"/>
    <w:rsid w:val="006129C2"/>
    <w:rsid w:val="006141BB"/>
    <w:rsid w:val="0061451B"/>
    <w:rsid w:val="00614577"/>
    <w:rsid w:val="00615DE3"/>
    <w:rsid w:val="00616D26"/>
    <w:rsid w:val="00620CD0"/>
    <w:rsid w:val="00620E0A"/>
    <w:rsid w:val="00620E72"/>
    <w:rsid w:val="00621279"/>
    <w:rsid w:val="006212FE"/>
    <w:rsid w:val="00621787"/>
    <w:rsid w:val="006231E2"/>
    <w:rsid w:val="006236FA"/>
    <w:rsid w:val="00624039"/>
    <w:rsid w:val="00624264"/>
    <w:rsid w:val="00625580"/>
    <w:rsid w:val="006255E8"/>
    <w:rsid w:val="0062575A"/>
    <w:rsid w:val="00625A77"/>
    <w:rsid w:val="00630B18"/>
    <w:rsid w:val="006310AF"/>
    <w:rsid w:val="006311E9"/>
    <w:rsid w:val="0063194D"/>
    <w:rsid w:val="00632642"/>
    <w:rsid w:val="006330EA"/>
    <w:rsid w:val="00634066"/>
    <w:rsid w:val="006340AF"/>
    <w:rsid w:val="006341C6"/>
    <w:rsid w:val="00634724"/>
    <w:rsid w:val="006350F0"/>
    <w:rsid w:val="00635CD9"/>
    <w:rsid w:val="0064190F"/>
    <w:rsid w:val="00642AB8"/>
    <w:rsid w:val="00642C73"/>
    <w:rsid w:val="00642DA6"/>
    <w:rsid w:val="00642EF2"/>
    <w:rsid w:val="00642FAE"/>
    <w:rsid w:val="00644593"/>
    <w:rsid w:val="00644731"/>
    <w:rsid w:val="00645416"/>
    <w:rsid w:val="0065188D"/>
    <w:rsid w:val="0065290E"/>
    <w:rsid w:val="006567B9"/>
    <w:rsid w:val="00656CDC"/>
    <w:rsid w:val="006573B6"/>
    <w:rsid w:val="00657543"/>
    <w:rsid w:val="00661091"/>
    <w:rsid w:val="00661D77"/>
    <w:rsid w:val="00662C5A"/>
    <w:rsid w:val="006639DD"/>
    <w:rsid w:val="00664A32"/>
    <w:rsid w:val="00666126"/>
    <w:rsid w:val="0066759E"/>
    <w:rsid w:val="00671021"/>
    <w:rsid w:val="00671AEE"/>
    <w:rsid w:val="006732B3"/>
    <w:rsid w:val="00673773"/>
    <w:rsid w:val="00673CC0"/>
    <w:rsid w:val="00674D01"/>
    <w:rsid w:val="00677095"/>
    <w:rsid w:val="00680292"/>
    <w:rsid w:val="00682C68"/>
    <w:rsid w:val="00687A65"/>
    <w:rsid w:val="006902E7"/>
    <w:rsid w:val="00692F44"/>
    <w:rsid w:val="00694BCF"/>
    <w:rsid w:val="00694E9C"/>
    <w:rsid w:val="006954E4"/>
    <w:rsid w:val="006961E0"/>
    <w:rsid w:val="00696FB9"/>
    <w:rsid w:val="006970B6"/>
    <w:rsid w:val="00697C9D"/>
    <w:rsid w:val="006A1D98"/>
    <w:rsid w:val="006A4084"/>
    <w:rsid w:val="006A40C3"/>
    <w:rsid w:val="006A4D06"/>
    <w:rsid w:val="006A6BC2"/>
    <w:rsid w:val="006A7A67"/>
    <w:rsid w:val="006B07A4"/>
    <w:rsid w:val="006B0FD4"/>
    <w:rsid w:val="006B19B4"/>
    <w:rsid w:val="006B2202"/>
    <w:rsid w:val="006B2EE2"/>
    <w:rsid w:val="006B33C4"/>
    <w:rsid w:val="006B3B39"/>
    <w:rsid w:val="006B505E"/>
    <w:rsid w:val="006B76B7"/>
    <w:rsid w:val="006C0AD0"/>
    <w:rsid w:val="006C221B"/>
    <w:rsid w:val="006C27ED"/>
    <w:rsid w:val="006C28AC"/>
    <w:rsid w:val="006C35E8"/>
    <w:rsid w:val="006C3932"/>
    <w:rsid w:val="006C5500"/>
    <w:rsid w:val="006C73D9"/>
    <w:rsid w:val="006C7A12"/>
    <w:rsid w:val="006D0CB3"/>
    <w:rsid w:val="006D1904"/>
    <w:rsid w:val="006D25A0"/>
    <w:rsid w:val="006D26AB"/>
    <w:rsid w:val="006D2FB5"/>
    <w:rsid w:val="006D3F3A"/>
    <w:rsid w:val="006D5561"/>
    <w:rsid w:val="006D5B77"/>
    <w:rsid w:val="006D5D4A"/>
    <w:rsid w:val="006D63AA"/>
    <w:rsid w:val="006D69C1"/>
    <w:rsid w:val="006D73FC"/>
    <w:rsid w:val="006D76C9"/>
    <w:rsid w:val="006D7E11"/>
    <w:rsid w:val="006D7E7E"/>
    <w:rsid w:val="006E03D2"/>
    <w:rsid w:val="006E0E90"/>
    <w:rsid w:val="006E2525"/>
    <w:rsid w:val="006E44B1"/>
    <w:rsid w:val="006E5AC7"/>
    <w:rsid w:val="006E64BD"/>
    <w:rsid w:val="006E6798"/>
    <w:rsid w:val="006F2356"/>
    <w:rsid w:val="006F4482"/>
    <w:rsid w:val="006F540A"/>
    <w:rsid w:val="006F543B"/>
    <w:rsid w:val="006F6136"/>
    <w:rsid w:val="006F6F71"/>
    <w:rsid w:val="00700731"/>
    <w:rsid w:val="00700E4E"/>
    <w:rsid w:val="00701220"/>
    <w:rsid w:val="0070150A"/>
    <w:rsid w:val="00701977"/>
    <w:rsid w:val="007027CA"/>
    <w:rsid w:val="00704015"/>
    <w:rsid w:val="00704042"/>
    <w:rsid w:val="00704A8C"/>
    <w:rsid w:val="00704C4D"/>
    <w:rsid w:val="00704D1E"/>
    <w:rsid w:val="00705365"/>
    <w:rsid w:val="00707CA1"/>
    <w:rsid w:val="0071117A"/>
    <w:rsid w:val="00711845"/>
    <w:rsid w:val="0071194E"/>
    <w:rsid w:val="0071353F"/>
    <w:rsid w:val="00714463"/>
    <w:rsid w:val="00715D06"/>
    <w:rsid w:val="00715E7A"/>
    <w:rsid w:val="00716015"/>
    <w:rsid w:val="007161E3"/>
    <w:rsid w:val="007175E4"/>
    <w:rsid w:val="00720991"/>
    <w:rsid w:val="00720DBA"/>
    <w:rsid w:val="0072193A"/>
    <w:rsid w:val="00722247"/>
    <w:rsid w:val="0072236F"/>
    <w:rsid w:val="0072278F"/>
    <w:rsid w:val="00724F45"/>
    <w:rsid w:val="00725697"/>
    <w:rsid w:val="007307E3"/>
    <w:rsid w:val="007318F0"/>
    <w:rsid w:val="007328D7"/>
    <w:rsid w:val="007344C7"/>
    <w:rsid w:val="0073461D"/>
    <w:rsid w:val="007346F4"/>
    <w:rsid w:val="00734B50"/>
    <w:rsid w:val="00735E0F"/>
    <w:rsid w:val="00736E8A"/>
    <w:rsid w:val="00740026"/>
    <w:rsid w:val="007416D4"/>
    <w:rsid w:val="0074186F"/>
    <w:rsid w:val="00741C2E"/>
    <w:rsid w:val="007446B6"/>
    <w:rsid w:val="00744F27"/>
    <w:rsid w:val="00745172"/>
    <w:rsid w:val="00745195"/>
    <w:rsid w:val="00751165"/>
    <w:rsid w:val="00751A3C"/>
    <w:rsid w:val="0075241E"/>
    <w:rsid w:val="007526B5"/>
    <w:rsid w:val="00752CC7"/>
    <w:rsid w:val="0075391F"/>
    <w:rsid w:val="00754521"/>
    <w:rsid w:val="00754F8F"/>
    <w:rsid w:val="00755038"/>
    <w:rsid w:val="0075544E"/>
    <w:rsid w:val="0075717A"/>
    <w:rsid w:val="00757F5E"/>
    <w:rsid w:val="0076057E"/>
    <w:rsid w:val="00763381"/>
    <w:rsid w:val="0076398A"/>
    <w:rsid w:val="00764E56"/>
    <w:rsid w:val="00764FBE"/>
    <w:rsid w:val="007657D8"/>
    <w:rsid w:val="0076612F"/>
    <w:rsid w:val="007666C0"/>
    <w:rsid w:val="00766E81"/>
    <w:rsid w:val="007671E8"/>
    <w:rsid w:val="00767ECB"/>
    <w:rsid w:val="00770501"/>
    <w:rsid w:val="0077530D"/>
    <w:rsid w:val="007756AB"/>
    <w:rsid w:val="007767BC"/>
    <w:rsid w:val="007772F7"/>
    <w:rsid w:val="0077796B"/>
    <w:rsid w:val="00777EA7"/>
    <w:rsid w:val="00780F65"/>
    <w:rsid w:val="00781F9F"/>
    <w:rsid w:val="0078406E"/>
    <w:rsid w:val="00785BB8"/>
    <w:rsid w:val="00785DEB"/>
    <w:rsid w:val="00786CC6"/>
    <w:rsid w:val="00787A99"/>
    <w:rsid w:val="007907B9"/>
    <w:rsid w:val="00791157"/>
    <w:rsid w:val="00794613"/>
    <w:rsid w:val="0079606D"/>
    <w:rsid w:val="00796C3D"/>
    <w:rsid w:val="00796E98"/>
    <w:rsid w:val="007A05B2"/>
    <w:rsid w:val="007A09BF"/>
    <w:rsid w:val="007A2FAB"/>
    <w:rsid w:val="007A7846"/>
    <w:rsid w:val="007A7C8B"/>
    <w:rsid w:val="007B09C6"/>
    <w:rsid w:val="007B28D9"/>
    <w:rsid w:val="007B33BE"/>
    <w:rsid w:val="007B42F7"/>
    <w:rsid w:val="007B5053"/>
    <w:rsid w:val="007B584B"/>
    <w:rsid w:val="007B7213"/>
    <w:rsid w:val="007B76F5"/>
    <w:rsid w:val="007B7847"/>
    <w:rsid w:val="007C1007"/>
    <w:rsid w:val="007C133B"/>
    <w:rsid w:val="007C1DAD"/>
    <w:rsid w:val="007C23C6"/>
    <w:rsid w:val="007C3A8B"/>
    <w:rsid w:val="007C5236"/>
    <w:rsid w:val="007C5B35"/>
    <w:rsid w:val="007C5C62"/>
    <w:rsid w:val="007C6890"/>
    <w:rsid w:val="007C6AD3"/>
    <w:rsid w:val="007D11C6"/>
    <w:rsid w:val="007D2563"/>
    <w:rsid w:val="007D2C10"/>
    <w:rsid w:val="007D53FF"/>
    <w:rsid w:val="007D57B6"/>
    <w:rsid w:val="007D5A43"/>
    <w:rsid w:val="007D7496"/>
    <w:rsid w:val="007E0007"/>
    <w:rsid w:val="007E0765"/>
    <w:rsid w:val="007E0F88"/>
    <w:rsid w:val="007E1665"/>
    <w:rsid w:val="007E1AE2"/>
    <w:rsid w:val="007E29C0"/>
    <w:rsid w:val="007E2A60"/>
    <w:rsid w:val="007E3DB8"/>
    <w:rsid w:val="007E5973"/>
    <w:rsid w:val="007F1132"/>
    <w:rsid w:val="007F1405"/>
    <w:rsid w:val="007F2D30"/>
    <w:rsid w:val="007F333C"/>
    <w:rsid w:val="007F36D1"/>
    <w:rsid w:val="007F3BCD"/>
    <w:rsid w:val="007F4F0A"/>
    <w:rsid w:val="007F5205"/>
    <w:rsid w:val="007F7950"/>
    <w:rsid w:val="007F7E9C"/>
    <w:rsid w:val="00800286"/>
    <w:rsid w:val="00800447"/>
    <w:rsid w:val="008017BE"/>
    <w:rsid w:val="00802302"/>
    <w:rsid w:val="00805ED8"/>
    <w:rsid w:val="0080647D"/>
    <w:rsid w:val="008064AF"/>
    <w:rsid w:val="00807151"/>
    <w:rsid w:val="008078D6"/>
    <w:rsid w:val="008110B8"/>
    <w:rsid w:val="0081335E"/>
    <w:rsid w:val="0081454E"/>
    <w:rsid w:val="00821BD9"/>
    <w:rsid w:val="00822E51"/>
    <w:rsid w:val="00823B3D"/>
    <w:rsid w:val="00823CB2"/>
    <w:rsid w:val="008242ED"/>
    <w:rsid w:val="00824835"/>
    <w:rsid w:val="00825035"/>
    <w:rsid w:val="00825AD2"/>
    <w:rsid w:val="0082660D"/>
    <w:rsid w:val="00826A7D"/>
    <w:rsid w:val="00826BD8"/>
    <w:rsid w:val="00826C8F"/>
    <w:rsid w:val="00832C9A"/>
    <w:rsid w:val="008332A1"/>
    <w:rsid w:val="008332CB"/>
    <w:rsid w:val="008336D2"/>
    <w:rsid w:val="00834299"/>
    <w:rsid w:val="0083518F"/>
    <w:rsid w:val="008365BF"/>
    <w:rsid w:val="00840655"/>
    <w:rsid w:val="00841672"/>
    <w:rsid w:val="0084172B"/>
    <w:rsid w:val="008417EF"/>
    <w:rsid w:val="00847640"/>
    <w:rsid w:val="008478BA"/>
    <w:rsid w:val="00847A80"/>
    <w:rsid w:val="0085192E"/>
    <w:rsid w:val="008526E5"/>
    <w:rsid w:val="0085279F"/>
    <w:rsid w:val="00852D12"/>
    <w:rsid w:val="00852F78"/>
    <w:rsid w:val="0085516E"/>
    <w:rsid w:val="0085564F"/>
    <w:rsid w:val="00855D2E"/>
    <w:rsid w:val="00856EEE"/>
    <w:rsid w:val="008576DE"/>
    <w:rsid w:val="00857BD6"/>
    <w:rsid w:val="00857FE0"/>
    <w:rsid w:val="00860D38"/>
    <w:rsid w:val="0086147E"/>
    <w:rsid w:val="00861625"/>
    <w:rsid w:val="0086296B"/>
    <w:rsid w:val="0086531F"/>
    <w:rsid w:val="008653EC"/>
    <w:rsid w:val="008654A4"/>
    <w:rsid w:val="00865FCC"/>
    <w:rsid w:val="00866A9B"/>
    <w:rsid w:val="00866E15"/>
    <w:rsid w:val="00871649"/>
    <w:rsid w:val="00871BC0"/>
    <w:rsid w:val="00872BA6"/>
    <w:rsid w:val="008747F9"/>
    <w:rsid w:val="00875956"/>
    <w:rsid w:val="0088018B"/>
    <w:rsid w:val="008807A6"/>
    <w:rsid w:val="00881924"/>
    <w:rsid w:val="00883309"/>
    <w:rsid w:val="00883722"/>
    <w:rsid w:val="0088415C"/>
    <w:rsid w:val="008859BA"/>
    <w:rsid w:val="008866EB"/>
    <w:rsid w:val="008911AE"/>
    <w:rsid w:val="00891547"/>
    <w:rsid w:val="00893362"/>
    <w:rsid w:val="00893637"/>
    <w:rsid w:val="0089398D"/>
    <w:rsid w:val="00893DDF"/>
    <w:rsid w:val="00895AB6"/>
    <w:rsid w:val="008973E0"/>
    <w:rsid w:val="008A0644"/>
    <w:rsid w:val="008A14AC"/>
    <w:rsid w:val="008A175E"/>
    <w:rsid w:val="008A1DD3"/>
    <w:rsid w:val="008A33FF"/>
    <w:rsid w:val="008A3EE8"/>
    <w:rsid w:val="008A41E6"/>
    <w:rsid w:val="008A53DA"/>
    <w:rsid w:val="008A5813"/>
    <w:rsid w:val="008A62FE"/>
    <w:rsid w:val="008A64AA"/>
    <w:rsid w:val="008A6740"/>
    <w:rsid w:val="008B086A"/>
    <w:rsid w:val="008B0C5E"/>
    <w:rsid w:val="008B1714"/>
    <w:rsid w:val="008B9B19"/>
    <w:rsid w:val="008C00CB"/>
    <w:rsid w:val="008C1994"/>
    <w:rsid w:val="008C1D52"/>
    <w:rsid w:val="008C30C9"/>
    <w:rsid w:val="008C34BE"/>
    <w:rsid w:val="008C5287"/>
    <w:rsid w:val="008C5592"/>
    <w:rsid w:val="008C5F59"/>
    <w:rsid w:val="008C6312"/>
    <w:rsid w:val="008C6703"/>
    <w:rsid w:val="008C6F70"/>
    <w:rsid w:val="008C7390"/>
    <w:rsid w:val="008D216D"/>
    <w:rsid w:val="008D5D3B"/>
    <w:rsid w:val="008D65CA"/>
    <w:rsid w:val="008D69CD"/>
    <w:rsid w:val="008D6A15"/>
    <w:rsid w:val="008D7BA2"/>
    <w:rsid w:val="008D7DDC"/>
    <w:rsid w:val="008D7FD6"/>
    <w:rsid w:val="008E0EB2"/>
    <w:rsid w:val="008E11A2"/>
    <w:rsid w:val="008E198D"/>
    <w:rsid w:val="008E2A4E"/>
    <w:rsid w:val="008E2A53"/>
    <w:rsid w:val="008E506C"/>
    <w:rsid w:val="008E58B5"/>
    <w:rsid w:val="008E6F85"/>
    <w:rsid w:val="008E7041"/>
    <w:rsid w:val="008E7147"/>
    <w:rsid w:val="008F0474"/>
    <w:rsid w:val="008F1413"/>
    <w:rsid w:val="008F32CF"/>
    <w:rsid w:val="008F38B8"/>
    <w:rsid w:val="008F6C16"/>
    <w:rsid w:val="008F6D7E"/>
    <w:rsid w:val="008F7EE5"/>
    <w:rsid w:val="00900687"/>
    <w:rsid w:val="0090178C"/>
    <w:rsid w:val="00901799"/>
    <w:rsid w:val="00901D27"/>
    <w:rsid w:val="00907A67"/>
    <w:rsid w:val="0091048E"/>
    <w:rsid w:val="00911582"/>
    <w:rsid w:val="0091422B"/>
    <w:rsid w:val="00914E00"/>
    <w:rsid w:val="00917F3C"/>
    <w:rsid w:val="0092025E"/>
    <w:rsid w:val="0092096A"/>
    <w:rsid w:val="0092237A"/>
    <w:rsid w:val="0092425E"/>
    <w:rsid w:val="00924518"/>
    <w:rsid w:val="00924880"/>
    <w:rsid w:val="00924DF5"/>
    <w:rsid w:val="00924EEC"/>
    <w:rsid w:val="0092525A"/>
    <w:rsid w:val="00925274"/>
    <w:rsid w:val="00925B8F"/>
    <w:rsid w:val="00925C3F"/>
    <w:rsid w:val="009264A5"/>
    <w:rsid w:val="00927489"/>
    <w:rsid w:val="0092786A"/>
    <w:rsid w:val="009308AF"/>
    <w:rsid w:val="00931FC5"/>
    <w:rsid w:val="009320D7"/>
    <w:rsid w:val="0093274D"/>
    <w:rsid w:val="009328DB"/>
    <w:rsid w:val="00932EE3"/>
    <w:rsid w:val="009335E7"/>
    <w:rsid w:val="0093476D"/>
    <w:rsid w:val="00937C94"/>
    <w:rsid w:val="00937D0C"/>
    <w:rsid w:val="00937DFE"/>
    <w:rsid w:val="009403DD"/>
    <w:rsid w:val="00940453"/>
    <w:rsid w:val="00940A39"/>
    <w:rsid w:val="009436C1"/>
    <w:rsid w:val="009457FE"/>
    <w:rsid w:val="00946106"/>
    <w:rsid w:val="009468D7"/>
    <w:rsid w:val="00947622"/>
    <w:rsid w:val="00950180"/>
    <w:rsid w:val="00950CF7"/>
    <w:rsid w:val="0095362E"/>
    <w:rsid w:val="00953DD7"/>
    <w:rsid w:val="009547D1"/>
    <w:rsid w:val="00954FF8"/>
    <w:rsid w:val="00956396"/>
    <w:rsid w:val="00957344"/>
    <w:rsid w:val="009575A6"/>
    <w:rsid w:val="00961F0F"/>
    <w:rsid w:val="009624C7"/>
    <w:rsid w:val="009634DB"/>
    <w:rsid w:val="009650F7"/>
    <w:rsid w:val="00965B64"/>
    <w:rsid w:val="00965DEF"/>
    <w:rsid w:val="009660A1"/>
    <w:rsid w:val="0096646F"/>
    <w:rsid w:val="00967A68"/>
    <w:rsid w:val="00967BBB"/>
    <w:rsid w:val="00970669"/>
    <w:rsid w:val="00971404"/>
    <w:rsid w:val="0097208B"/>
    <w:rsid w:val="009726B2"/>
    <w:rsid w:val="009738B7"/>
    <w:rsid w:val="00976524"/>
    <w:rsid w:val="009765F4"/>
    <w:rsid w:val="009773AC"/>
    <w:rsid w:val="00977FC1"/>
    <w:rsid w:val="0098242D"/>
    <w:rsid w:val="00983915"/>
    <w:rsid w:val="00983B2D"/>
    <w:rsid w:val="0098403B"/>
    <w:rsid w:val="00984227"/>
    <w:rsid w:val="00984AB6"/>
    <w:rsid w:val="00984AD7"/>
    <w:rsid w:val="00985D9A"/>
    <w:rsid w:val="009916BB"/>
    <w:rsid w:val="00991D53"/>
    <w:rsid w:val="009926BB"/>
    <w:rsid w:val="00993C9A"/>
    <w:rsid w:val="00993F3B"/>
    <w:rsid w:val="00994644"/>
    <w:rsid w:val="00994CEA"/>
    <w:rsid w:val="0099553A"/>
    <w:rsid w:val="009A11FE"/>
    <w:rsid w:val="009A140E"/>
    <w:rsid w:val="009A1649"/>
    <w:rsid w:val="009A2135"/>
    <w:rsid w:val="009A4B7C"/>
    <w:rsid w:val="009A4BC9"/>
    <w:rsid w:val="009A5D17"/>
    <w:rsid w:val="009A63DA"/>
    <w:rsid w:val="009A7589"/>
    <w:rsid w:val="009A7753"/>
    <w:rsid w:val="009A7F1B"/>
    <w:rsid w:val="009B028E"/>
    <w:rsid w:val="009B0E84"/>
    <w:rsid w:val="009B305D"/>
    <w:rsid w:val="009B43D3"/>
    <w:rsid w:val="009B5793"/>
    <w:rsid w:val="009B603B"/>
    <w:rsid w:val="009B628E"/>
    <w:rsid w:val="009B6FE6"/>
    <w:rsid w:val="009B7935"/>
    <w:rsid w:val="009C5EF5"/>
    <w:rsid w:val="009C6EBC"/>
    <w:rsid w:val="009D0341"/>
    <w:rsid w:val="009D0806"/>
    <w:rsid w:val="009D1D0B"/>
    <w:rsid w:val="009D23F4"/>
    <w:rsid w:val="009D3489"/>
    <w:rsid w:val="009D34F1"/>
    <w:rsid w:val="009D3753"/>
    <w:rsid w:val="009D3BB2"/>
    <w:rsid w:val="009D4A17"/>
    <w:rsid w:val="009D57BC"/>
    <w:rsid w:val="009E1265"/>
    <w:rsid w:val="009E2361"/>
    <w:rsid w:val="009E256D"/>
    <w:rsid w:val="009E2E49"/>
    <w:rsid w:val="009E4400"/>
    <w:rsid w:val="009E476F"/>
    <w:rsid w:val="009E4DDC"/>
    <w:rsid w:val="009E5208"/>
    <w:rsid w:val="009E602F"/>
    <w:rsid w:val="009E708D"/>
    <w:rsid w:val="009F1919"/>
    <w:rsid w:val="009F1FBC"/>
    <w:rsid w:val="009F2F7F"/>
    <w:rsid w:val="009F36CE"/>
    <w:rsid w:val="009F4164"/>
    <w:rsid w:val="009F667F"/>
    <w:rsid w:val="009F66CE"/>
    <w:rsid w:val="009F6DF0"/>
    <w:rsid w:val="009F7AF6"/>
    <w:rsid w:val="00A030D8"/>
    <w:rsid w:val="00A03D34"/>
    <w:rsid w:val="00A04E82"/>
    <w:rsid w:val="00A06792"/>
    <w:rsid w:val="00A15950"/>
    <w:rsid w:val="00A16281"/>
    <w:rsid w:val="00A20606"/>
    <w:rsid w:val="00A219C9"/>
    <w:rsid w:val="00A22743"/>
    <w:rsid w:val="00A241AD"/>
    <w:rsid w:val="00A277EA"/>
    <w:rsid w:val="00A279BD"/>
    <w:rsid w:val="00A279FE"/>
    <w:rsid w:val="00A27BB4"/>
    <w:rsid w:val="00A307A9"/>
    <w:rsid w:val="00A32405"/>
    <w:rsid w:val="00A36FA7"/>
    <w:rsid w:val="00A409B5"/>
    <w:rsid w:val="00A41BD5"/>
    <w:rsid w:val="00A41F48"/>
    <w:rsid w:val="00A437CC"/>
    <w:rsid w:val="00A45779"/>
    <w:rsid w:val="00A45B91"/>
    <w:rsid w:val="00A4731E"/>
    <w:rsid w:val="00A519EA"/>
    <w:rsid w:val="00A530AF"/>
    <w:rsid w:val="00A5384E"/>
    <w:rsid w:val="00A54191"/>
    <w:rsid w:val="00A54A61"/>
    <w:rsid w:val="00A54BAE"/>
    <w:rsid w:val="00A54FFD"/>
    <w:rsid w:val="00A56C99"/>
    <w:rsid w:val="00A60333"/>
    <w:rsid w:val="00A615E7"/>
    <w:rsid w:val="00A616A5"/>
    <w:rsid w:val="00A61B0E"/>
    <w:rsid w:val="00A623A9"/>
    <w:rsid w:val="00A6356D"/>
    <w:rsid w:val="00A63D86"/>
    <w:rsid w:val="00A66628"/>
    <w:rsid w:val="00A66BBC"/>
    <w:rsid w:val="00A719A7"/>
    <w:rsid w:val="00A727CA"/>
    <w:rsid w:val="00A72BBE"/>
    <w:rsid w:val="00A730F2"/>
    <w:rsid w:val="00A73B1F"/>
    <w:rsid w:val="00A73BC7"/>
    <w:rsid w:val="00A779A7"/>
    <w:rsid w:val="00A81718"/>
    <w:rsid w:val="00A8251B"/>
    <w:rsid w:val="00A834F0"/>
    <w:rsid w:val="00A84ED8"/>
    <w:rsid w:val="00A8524F"/>
    <w:rsid w:val="00A86CF2"/>
    <w:rsid w:val="00A87B65"/>
    <w:rsid w:val="00A9020A"/>
    <w:rsid w:val="00A920EA"/>
    <w:rsid w:val="00A94107"/>
    <w:rsid w:val="00A95A22"/>
    <w:rsid w:val="00A9620D"/>
    <w:rsid w:val="00A963B2"/>
    <w:rsid w:val="00AA2E61"/>
    <w:rsid w:val="00AA3C84"/>
    <w:rsid w:val="00AA3F6C"/>
    <w:rsid w:val="00AA4788"/>
    <w:rsid w:val="00AA7A02"/>
    <w:rsid w:val="00AA7F2E"/>
    <w:rsid w:val="00AB03EC"/>
    <w:rsid w:val="00AB0B5B"/>
    <w:rsid w:val="00AB1B4F"/>
    <w:rsid w:val="00AB2636"/>
    <w:rsid w:val="00AB28C6"/>
    <w:rsid w:val="00AB2FC5"/>
    <w:rsid w:val="00AB4ABA"/>
    <w:rsid w:val="00AB4B01"/>
    <w:rsid w:val="00AB57E7"/>
    <w:rsid w:val="00AC0A5F"/>
    <w:rsid w:val="00AC2FC7"/>
    <w:rsid w:val="00AC32AC"/>
    <w:rsid w:val="00AC34E6"/>
    <w:rsid w:val="00AC4A17"/>
    <w:rsid w:val="00AC4BFE"/>
    <w:rsid w:val="00AC4D0B"/>
    <w:rsid w:val="00AD15AA"/>
    <w:rsid w:val="00AD2274"/>
    <w:rsid w:val="00AD24AF"/>
    <w:rsid w:val="00AD2B33"/>
    <w:rsid w:val="00AD3454"/>
    <w:rsid w:val="00AD392B"/>
    <w:rsid w:val="00AD3E67"/>
    <w:rsid w:val="00AD45CB"/>
    <w:rsid w:val="00AD465D"/>
    <w:rsid w:val="00AD5687"/>
    <w:rsid w:val="00AD628B"/>
    <w:rsid w:val="00AD64BF"/>
    <w:rsid w:val="00AD709D"/>
    <w:rsid w:val="00AD759B"/>
    <w:rsid w:val="00AE1603"/>
    <w:rsid w:val="00AE2B56"/>
    <w:rsid w:val="00AE2C0C"/>
    <w:rsid w:val="00AE2D8D"/>
    <w:rsid w:val="00AE3243"/>
    <w:rsid w:val="00AE3830"/>
    <w:rsid w:val="00AE5F64"/>
    <w:rsid w:val="00AE6DF0"/>
    <w:rsid w:val="00AE7C46"/>
    <w:rsid w:val="00AF01C9"/>
    <w:rsid w:val="00AF0436"/>
    <w:rsid w:val="00AF07E7"/>
    <w:rsid w:val="00AF08F1"/>
    <w:rsid w:val="00AF219E"/>
    <w:rsid w:val="00AF25AF"/>
    <w:rsid w:val="00AF3368"/>
    <w:rsid w:val="00AF3E97"/>
    <w:rsid w:val="00AF402F"/>
    <w:rsid w:val="00AF4629"/>
    <w:rsid w:val="00AF4D78"/>
    <w:rsid w:val="00AF5D48"/>
    <w:rsid w:val="00AF6028"/>
    <w:rsid w:val="00AF676E"/>
    <w:rsid w:val="00B00D2A"/>
    <w:rsid w:val="00B016C7"/>
    <w:rsid w:val="00B01D3B"/>
    <w:rsid w:val="00B01F53"/>
    <w:rsid w:val="00B02681"/>
    <w:rsid w:val="00B03941"/>
    <w:rsid w:val="00B0547E"/>
    <w:rsid w:val="00B07F7F"/>
    <w:rsid w:val="00B132AE"/>
    <w:rsid w:val="00B1473F"/>
    <w:rsid w:val="00B15C96"/>
    <w:rsid w:val="00B15CCA"/>
    <w:rsid w:val="00B16C3B"/>
    <w:rsid w:val="00B17E5B"/>
    <w:rsid w:val="00B20830"/>
    <w:rsid w:val="00B21837"/>
    <w:rsid w:val="00B228C5"/>
    <w:rsid w:val="00B2357F"/>
    <w:rsid w:val="00B23B89"/>
    <w:rsid w:val="00B25581"/>
    <w:rsid w:val="00B25986"/>
    <w:rsid w:val="00B26D57"/>
    <w:rsid w:val="00B27F52"/>
    <w:rsid w:val="00B326C4"/>
    <w:rsid w:val="00B337AA"/>
    <w:rsid w:val="00B342DF"/>
    <w:rsid w:val="00B34B75"/>
    <w:rsid w:val="00B351AE"/>
    <w:rsid w:val="00B35E49"/>
    <w:rsid w:val="00B36CCB"/>
    <w:rsid w:val="00B37706"/>
    <w:rsid w:val="00B40503"/>
    <w:rsid w:val="00B40615"/>
    <w:rsid w:val="00B40E46"/>
    <w:rsid w:val="00B4231E"/>
    <w:rsid w:val="00B4362E"/>
    <w:rsid w:val="00B438AD"/>
    <w:rsid w:val="00B43FB3"/>
    <w:rsid w:val="00B4424B"/>
    <w:rsid w:val="00B4475F"/>
    <w:rsid w:val="00B4650B"/>
    <w:rsid w:val="00B4708A"/>
    <w:rsid w:val="00B50B76"/>
    <w:rsid w:val="00B51CE0"/>
    <w:rsid w:val="00B548AE"/>
    <w:rsid w:val="00B55A51"/>
    <w:rsid w:val="00B55C66"/>
    <w:rsid w:val="00B55E1A"/>
    <w:rsid w:val="00B573DB"/>
    <w:rsid w:val="00B60DCD"/>
    <w:rsid w:val="00B614AF"/>
    <w:rsid w:val="00B62217"/>
    <w:rsid w:val="00B628C7"/>
    <w:rsid w:val="00B62BBC"/>
    <w:rsid w:val="00B62E93"/>
    <w:rsid w:val="00B646CC"/>
    <w:rsid w:val="00B64746"/>
    <w:rsid w:val="00B64CE9"/>
    <w:rsid w:val="00B700A0"/>
    <w:rsid w:val="00B70A10"/>
    <w:rsid w:val="00B70E76"/>
    <w:rsid w:val="00B71159"/>
    <w:rsid w:val="00B72FAC"/>
    <w:rsid w:val="00B7479E"/>
    <w:rsid w:val="00B74BE9"/>
    <w:rsid w:val="00B75263"/>
    <w:rsid w:val="00B77E63"/>
    <w:rsid w:val="00B82011"/>
    <w:rsid w:val="00B820CC"/>
    <w:rsid w:val="00B827A1"/>
    <w:rsid w:val="00B82AC4"/>
    <w:rsid w:val="00B8393C"/>
    <w:rsid w:val="00B8463D"/>
    <w:rsid w:val="00B85DEA"/>
    <w:rsid w:val="00B86365"/>
    <w:rsid w:val="00B902AA"/>
    <w:rsid w:val="00B9241D"/>
    <w:rsid w:val="00B92E70"/>
    <w:rsid w:val="00B93284"/>
    <w:rsid w:val="00B94448"/>
    <w:rsid w:val="00B956BE"/>
    <w:rsid w:val="00B95EDE"/>
    <w:rsid w:val="00B9637B"/>
    <w:rsid w:val="00B96596"/>
    <w:rsid w:val="00B97FAF"/>
    <w:rsid w:val="00BA261E"/>
    <w:rsid w:val="00BA279E"/>
    <w:rsid w:val="00BA44B8"/>
    <w:rsid w:val="00BA525D"/>
    <w:rsid w:val="00BB3145"/>
    <w:rsid w:val="00BB436F"/>
    <w:rsid w:val="00BB5693"/>
    <w:rsid w:val="00BB7511"/>
    <w:rsid w:val="00BB7E9E"/>
    <w:rsid w:val="00BC176B"/>
    <w:rsid w:val="00BC2101"/>
    <w:rsid w:val="00BC23E1"/>
    <w:rsid w:val="00BC2B68"/>
    <w:rsid w:val="00BC526A"/>
    <w:rsid w:val="00BC540A"/>
    <w:rsid w:val="00BC58C8"/>
    <w:rsid w:val="00BC5B71"/>
    <w:rsid w:val="00BC66F4"/>
    <w:rsid w:val="00BC6C05"/>
    <w:rsid w:val="00BD00F5"/>
    <w:rsid w:val="00BD02FB"/>
    <w:rsid w:val="00BD0BF4"/>
    <w:rsid w:val="00BD0CA6"/>
    <w:rsid w:val="00BD0F36"/>
    <w:rsid w:val="00BD0F5C"/>
    <w:rsid w:val="00BD388A"/>
    <w:rsid w:val="00BD3D2C"/>
    <w:rsid w:val="00BD3F23"/>
    <w:rsid w:val="00BD5ED0"/>
    <w:rsid w:val="00BD6135"/>
    <w:rsid w:val="00BD749B"/>
    <w:rsid w:val="00BD74CC"/>
    <w:rsid w:val="00BE17F4"/>
    <w:rsid w:val="00BE1B87"/>
    <w:rsid w:val="00BE2F16"/>
    <w:rsid w:val="00BE313B"/>
    <w:rsid w:val="00BE400D"/>
    <w:rsid w:val="00BE404D"/>
    <w:rsid w:val="00BE5192"/>
    <w:rsid w:val="00BE5536"/>
    <w:rsid w:val="00BE5DE9"/>
    <w:rsid w:val="00BE679C"/>
    <w:rsid w:val="00BE77A0"/>
    <w:rsid w:val="00BE7830"/>
    <w:rsid w:val="00BF07D1"/>
    <w:rsid w:val="00BF0E83"/>
    <w:rsid w:val="00BF3DBC"/>
    <w:rsid w:val="00BF3DE3"/>
    <w:rsid w:val="00BF55AD"/>
    <w:rsid w:val="00BF5924"/>
    <w:rsid w:val="00BF6DD9"/>
    <w:rsid w:val="00C01D9C"/>
    <w:rsid w:val="00C021DB"/>
    <w:rsid w:val="00C02D3A"/>
    <w:rsid w:val="00C03040"/>
    <w:rsid w:val="00C05D0E"/>
    <w:rsid w:val="00C10735"/>
    <w:rsid w:val="00C117E0"/>
    <w:rsid w:val="00C11E6A"/>
    <w:rsid w:val="00C124BF"/>
    <w:rsid w:val="00C12739"/>
    <w:rsid w:val="00C130CB"/>
    <w:rsid w:val="00C13F8F"/>
    <w:rsid w:val="00C14699"/>
    <w:rsid w:val="00C14AF3"/>
    <w:rsid w:val="00C153D0"/>
    <w:rsid w:val="00C172FB"/>
    <w:rsid w:val="00C1787A"/>
    <w:rsid w:val="00C20229"/>
    <w:rsid w:val="00C20719"/>
    <w:rsid w:val="00C214E1"/>
    <w:rsid w:val="00C21546"/>
    <w:rsid w:val="00C215F1"/>
    <w:rsid w:val="00C23B2D"/>
    <w:rsid w:val="00C23C79"/>
    <w:rsid w:val="00C24C49"/>
    <w:rsid w:val="00C250E1"/>
    <w:rsid w:val="00C25C1D"/>
    <w:rsid w:val="00C3008E"/>
    <w:rsid w:val="00C32101"/>
    <w:rsid w:val="00C32E27"/>
    <w:rsid w:val="00C33537"/>
    <w:rsid w:val="00C33764"/>
    <w:rsid w:val="00C34AAC"/>
    <w:rsid w:val="00C34E08"/>
    <w:rsid w:val="00C36580"/>
    <w:rsid w:val="00C416FD"/>
    <w:rsid w:val="00C461D3"/>
    <w:rsid w:val="00C506D2"/>
    <w:rsid w:val="00C538BA"/>
    <w:rsid w:val="00C54840"/>
    <w:rsid w:val="00C558DB"/>
    <w:rsid w:val="00C55B87"/>
    <w:rsid w:val="00C57061"/>
    <w:rsid w:val="00C60B98"/>
    <w:rsid w:val="00C612F9"/>
    <w:rsid w:val="00C61957"/>
    <w:rsid w:val="00C6208A"/>
    <w:rsid w:val="00C621B9"/>
    <w:rsid w:val="00C62C5F"/>
    <w:rsid w:val="00C63F38"/>
    <w:rsid w:val="00C641B8"/>
    <w:rsid w:val="00C64414"/>
    <w:rsid w:val="00C672B9"/>
    <w:rsid w:val="00C672D2"/>
    <w:rsid w:val="00C67474"/>
    <w:rsid w:val="00C676BF"/>
    <w:rsid w:val="00C74449"/>
    <w:rsid w:val="00C755DA"/>
    <w:rsid w:val="00C8131C"/>
    <w:rsid w:val="00C843E4"/>
    <w:rsid w:val="00C84F48"/>
    <w:rsid w:val="00C850BF"/>
    <w:rsid w:val="00C867C6"/>
    <w:rsid w:val="00C8695A"/>
    <w:rsid w:val="00C87780"/>
    <w:rsid w:val="00C908CA"/>
    <w:rsid w:val="00C91F6B"/>
    <w:rsid w:val="00C93E8C"/>
    <w:rsid w:val="00C94B0D"/>
    <w:rsid w:val="00C957B7"/>
    <w:rsid w:val="00C958A2"/>
    <w:rsid w:val="00C95981"/>
    <w:rsid w:val="00C97DFB"/>
    <w:rsid w:val="00CA011D"/>
    <w:rsid w:val="00CA0B6C"/>
    <w:rsid w:val="00CA0DE1"/>
    <w:rsid w:val="00CA13B4"/>
    <w:rsid w:val="00CA26AD"/>
    <w:rsid w:val="00CA488A"/>
    <w:rsid w:val="00CA659E"/>
    <w:rsid w:val="00CB03D6"/>
    <w:rsid w:val="00CB21E4"/>
    <w:rsid w:val="00CB431D"/>
    <w:rsid w:val="00CB490E"/>
    <w:rsid w:val="00CB4A34"/>
    <w:rsid w:val="00CB597D"/>
    <w:rsid w:val="00CB5F49"/>
    <w:rsid w:val="00CB635D"/>
    <w:rsid w:val="00CB715B"/>
    <w:rsid w:val="00CC04CE"/>
    <w:rsid w:val="00CC1419"/>
    <w:rsid w:val="00CC6F3E"/>
    <w:rsid w:val="00CC74BF"/>
    <w:rsid w:val="00CC7A8F"/>
    <w:rsid w:val="00CD0736"/>
    <w:rsid w:val="00CD23DD"/>
    <w:rsid w:val="00CD2442"/>
    <w:rsid w:val="00CD26D7"/>
    <w:rsid w:val="00CD308E"/>
    <w:rsid w:val="00CD36C8"/>
    <w:rsid w:val="00CD3C21"/>
    <w:rsid w:val="00CD3F09"/>
    <w:rsid w:val="00CD7894"/>
    <w:rsid w:val="00CE16D7"/>
    <w:rsid w:val="00CE27CA"/>
    <w:rsid w:val="00CE3C89"/>
    <w:rsid w:val="00CE48B6"/>
    <w:rsid w:val="00CE573A"/>
    <w:rsid w:val="00CE70F0"/>
    <w:rsid w:val="00CE730F"/>
    <w:rsid w:val="00CE747B"/>
    <w:rsid w:val="00CE7574"/>
    <w:rsid w:val="00CF16B9"/>
    <w:rsid w:val="00CF2E16"/>
    <w:rsid w:val="00CF2EFE"/>
    <w:rsid w:val="00CF3DDE"/>
    <w:rsid w:val="00CF520B"/>
    <w:rsid w:val="00CF5CB0"/>
    <w:rsid w:val="00CF5DC6"/>
    <w:rsid w:val="00CF6EB7"/>
    <w:rsid w:val="00CF7686"/>
    <w:rsid w:val="00D00280"/>
    <w:rsid w:val="00D00E99"/>
    <w:rsid w:val="00D00F80"/>
    <w:rsid w:val="00D0597E"/>
    <w:rsid w:val="00D05D38"/>
    <w:rsid w:val="00D05D5B"/>
    <w:rsid w:val="00D0685F"/>
    <w:rsid w:val="00D10ED4"/>
    <w:rsid w:val="00D12478"/>
    <w:rsid w:val="00D136A9"/>
    <w:rsid w:val="00D14B35"/>
    <w:rsid w:val="00D14B91"/>
    <w:rsid w:val="00D15A45"/>
    <w:rsid w:val="00D164AD"/>
    <w:rsid w:val="00D17345"/>
    <w:rsid w:val="00D21C1E"/>
    <w:rsid w:val="00D21CF3"/>
    <w:rsid w:val="00D22451"/>
    <w:rsid w:val="00D22F24"/>
    <w:rsid w:val="00D2379A"/>
    <w:rsid w:val="00D25C1B"/>
    <w:rsid w:val="00D25E35"/>
    <w:rsid w:val="00D30B0D"/>
    <w:rsid w:val="00D30B53"/>
    <w:rsid w:val="00D30BD7"/>
    <w:rsid w:val="00D30DAC"/>
    <w:rsid w:val="00D329E8"/>
    <w:rsid w:val="00D342E8"/>
    <w:rsid w:val="00D34D5F"/>
    <w:rsid w:val="00D356E0"/>
    <w:rsid w:val="00D35DC2"/>
    <w:rsid w:val="00D3685E"/>
    <w:rsid w:val="00D40AF4"/>
    <w:rsid w:val="00D41098"/>
    <w:rsid w:val="00D41127"/>
    <w:rsid w:val="00D411E7"/>
    <w:rsid w:val="00D41B88"/>
    <w:rsid w:val="00D41C4F"/>
    <w:rsid w:val="00D42DCB"/>
    <w:rsid w:val="00D43F4D"/>
    <w:rsid w:val="00D441A6"/>
    <w:rsid w:val="00D4539B"/>
    <w:rsid w:val="00D46D5D"/>
    <w:rsid w:val="00D46DA4"/>
    <w:rsid w:val="00D50710"/>
    <w:rsid w:val="00D52AE5"/>
    <w:rsid w:val="00D536FC"/>
    <w:rsid w:val="00D54451"/>
    <w:rsid w:val="00D547F5"/>
    <w:rsid w:val="00D548AD"/>
    <w:rsid w:val="00D559C3"/>
    <w:rsid w:val="00D6075E"/>
    <w:rsid w:val="00D60E01"/>
    <w:rsid w:val="00D60F4F"/>
    <w:rsid w:val="00D620C1"/>
    <w:rsid w:val="00D63309"/>
    <w:rsid w:val="00D657B0"/>
    <w:rsid w:val="00D65939"/>
    <w:rsid w:val="00D659BA"/>
    <w:rsid w:val="00D65C61"/>
    <w:rsid w:val="00D67AB8"/>
    <w:rsid w:val="00D705CB"/>
    <w:rsid w:val="00D70C02"/>
    <w:rsid w:val="00D70CF4"/>
    <w:rsid w:val="00D71B5C"/>
    <w:rsid w:val="00D7336B"/>
    <w:rsid w:val="00D74F9D"/>
    <w:rsid w:val="00D7561A"/>
    <w:rsid w:val="00D75F52"/>
    <w:rsid w:val="00D76E26"/>
    <w:rsid w:val="00D77718"/>
    <w:rsid w:val="00D80471"/>
    <w:rsid w:val="00D805AC"/>
    <w:rsid w:val="00D80A9B"/>
    <w:rsid w:val="00D82DCD"/>
    <w:rsid w:val="00D83B5B"/>
    <w:rsid w:val="00D846CF"/>
    <w:rsid w:val="00D84DB5"/>
    <w:rsid w:val="00D85A6A"/>
    <w:rsid w:val="00D85DA0"/>
    <w:rsid w:val="00D86085"/>
    <w:rsid w:val="00D872D1"/>
    <w:rsid w:val="00D874A4"/>
    <w:rsid w:val="00D92464"/>
    <w:rsid w:val="00D929D8"/>
    <w:rsid w:val="00D936C5"/>
    <w:rsid w:val="00D948A9"/>
    <w:rsid w:val="00D96A92"/>
    <w:rsid w:val="00D97F48"/>
    <w:rsid w:val="00DA05BA"/>
    <w:rsid w:val="00DA0A8E"/>
    <w:rsid w:val="00DA0C0D"/>
    <w:rsid w:val="00DA1C01"/>
    <w:rsid w:val="00DA23EC"/>
    <w:rsid w:val="00DA37BC"/>
    <w:rsid w:val="00DA3C95"/>
    <w:rsid w:val="00DA5753"/>
    <w:rsid w:val="00DA62E2"/>
    <w:rsid w:val="00DA6EF4"/>
    <w:rsid w:val="00DA74EA"/>
    <w:rsid w:val="00DB0645"/>
    <w:rsid w:val="00DB0A2F"/>
    <w:rsid w:val="00DB1154"/>
    <w:rsid w:val="00DB345C"/>
    <w:rsid w:val="00DC0A5C"/>
    <w:rsid w:val="00DC0DDD"/>
    <w:rsid w:val="00DC0EC6"/>
    <w:rsid w:val="00DC1214"/>
    <w:rsid w:val="00DC1B3E"/>
    <w:rsid w:val="00DC4412"/>
    <w:rsid w:val="00DC5CEB"/>
    <w:rsid w:val="00DC61EC"/>
    <w:rsid w:val="00DD0006"/>
    <w:rsid w:val="00DD03A9"/>
    <w:rsid w:val="00DD0436"/>
    <w:rsid w:val="00DD12E9"/>
    <w:rsid w:val="00DD4BF0"/>
    <w:rsid w:val="00DD4DB8"/>
    <w:rsid w:val="00DD5D68"/>
    <w:rsid w:val="00DD65DC"/>
    <w:rsid w:val="00DE1568"/>
    <w:rsid w:val="00DE1D97"/>
    <w:rsid w:val="00DE37EB"/>
    <w:rsid w:val="00DE6CE4"/>
    <w:rsid w:val="00DE6D00"/>
    <w:rsid w:val="00DE719C"/>
    <w:rsid w:val="00DE734D"/>
    <w:rsid w:val="00DE784D"/>
    <w:rsid w:val="00DF13D6"/>
    <w:rsid w:val="00DF2367"/>
    <w:rsid w:val="00DF2C24"/>
    <w:rsid w:val="00DF3770"/>
    <w:rsid w:val="00DF5C00"/>
    <w:rsid w:val="00E005CE"/>
    <w:rsid w:val="00E00E3F"/>
    <w:rsid w:val="00E011BE"/>
    <w:rsid w:val="00E01503"/>
    <w:rsid w:val="00E017D2"/>
    <w:rsid w:val="00E040FE"/>
    <w:rsid w:val="00E0530D"/>
    <w:rsid w:val="00E054B4"/>
    <w:rsid w:val="00E05AF6"/>
    <w:rsid w:val="00E05C97"/>
    <w:rsid w:val="00E05CDB"/>
    <w:rsid w:val="00E0614F"/>
    <w:rsid w:val="00E07299"/>
    <w:rsid w:val="00E12586"/>
    <w:rsid w:val="00E12E68"/>
    <w:rsid w:val="00E149FB"/>
    <w:rsid w:val="00E151B6"/>
    <w:rsid w:val="00E17189"/>
    <w:rsid w:val="00E20796"/>
    <w:rsid w:val="00E212FC"/>
    <w:rsid w:val="00E222BE"/>
    <w:rsid w:val="00E240CC"/>
    <w:rsid w:val="00E24193"/>
    <w:rsid w:val="00E24D8C"/>
    <w:rsid w:val="00E265F9"/>
    <w:rsid w:val="00E26B4E"/>
    <w:rsid w:val="00E27911"/>
    <w:rsid w:val="00E30037"/>
    <w:rsid w:val="00E30D3F"/>
    <w:rsid w:val="00E30FC4"/>
    <w:rsid w:val="00E32822"/>
    <w:rsid w:val="00E330A7"/>
    <w:rsid w:val="00E3375C"/>
    <w:rsid w:val="00E348B0"/>
    <w:rsid w:val="00E36F4F"/>
    <w:rsid w:val="00E375F2"/>
    <w:rsid w:val="00E40E02"/>
    <w:rsid w:val="00E41BEA"/>
    <w:rsid w:val="00E426CC"/>
    <w:rsid w:val="00E4284D"/>
    <w:rsid w:val="00E429F9"/>
    <w:rsid w:val="00E42D50"/>
    <w:rsid w:val="00E436CE"/>
    <w:rsid w:val="00E44038"/>
    <w:rsid w:val="00E443FE"/>
    <w:rsid w:val="00E45EDC"/>
    <w:rsid w:val="00E46334"/>
    <w:rsid w:val="00E468A0"/>
    <w:rsid w:val="00E46DAE"/>
    <w:rsid w:val="00E5091E"/>
    <w:rsid w:val="00E51881"/>
    <w:rsid w:val="00E51C7B"/>
    <w:rsid w:val="00E5236D"/>
    <w:rsid w:val="00E52F7F"/>
    <w:rsid w:val="00E53758"/>
    <w:rsid w:val="00E56A80"/>
    <w:rsid w:val="00E638BA"/>
    <w:rsid w:val="00E6525E"/>
    <w:rsid w:val="00E6546E"/>
    <w:rsid w:val="00E67055"/>
    <w:rsid w:val="00E702A3"/>
    <w:rsid w:val="00E703D1"/>
    <w:rsid w:val="00E70B07"/>
    <w:rsid w:val="00E72416"/>
    <w:rsid w:val="00E73783"/>
    <w:rsid w:val="00E74C3F"/>
    <w:rsid w:val="00E74EB1"/>
    <w:rsid w:val="00E750B1"/>
    <w:rsid w:val="00E75F26"/>
    <w:rsid w:val="00E76753"/>
    <w:rsid w:val="00E80138"/>
    <w:rsid w:val="00E808AB"/>
    <w:rsid w:val="00E80D9B"/>
    <w:rsid w:val="00E818B2"/>
    <w:rsid w:val="00E83913"/>
    <w:rsid w:val="00E83BC5"/>
    <w:rsid w:val="00E83D31"/>
    <w:rsid w:val="00E83DBC"/>
    <w:rsid w:val="00E841E2"/>
    <w:rsid w:val="00E84948"/>
    <w:rsid w:val="00E85FE4"/>
    <w:rsid w:val="00E905E4"/>
    <w:rsid w:val="00E91CFA"/>
    <w:rsid w:val="00E9238D"/>
    <w:rsid w:val="00E92D6E"/>
    <w:rsid w:val="00E94A5D"/>
    <w:rsid w:val="00E95875"/>
    <w:rsid w:val="00E95B43"/>
    <w:rsid w:val="00E96BF7"/>
    <w:rsid w:val="00E970DC"/>
    <w:rsid w:val="00EA0184"/>
    <w:rsid w:val="00EA1765"/>
    <w:rsid w:val="00EA21A6"/>
    <w:rsid w:val="00EA37C1"/>
    <w:rsid w:val="00EA3CD8"/>
    <w:rsid w:val="00EA47B8"/>
    <w:rsid w:val="00EA4B9E"/>
    <w:rsid w:val="00EA54EF"/>
    <w:rsid w:val="00EA561A"/>
    <w:rsid w:val="00EA5A5E"/>
    <w:rsid w:val="00EA5CA5"/>
    <w:rsid w:val="00EA7EBA"/>
    <w:rsid w:val="00EB1DB6"/>
    <w:rsid w:val="00EB393D"/>
    <w:rsid w:val="00EB3BDB"/>
    <w:rsid w:val="00EB3C9B"/>
    <w:rsid w:val="00EB40E6"/>
    <w:rsid w:val="00EC04EC"/>
    <w:rsid w:val="00EC0792"/>
    <w:rsid w:val="00EC464E"/>
    <w:rsid w:val="00EC4C78"/>
    <w:rsid w:val="00EC4DA9"/>
    <w:rsid w:val="00EC6030"/>
    <w:rsid w:val="00EC6FA5"/>
    <w:rsid w:val="00EC72F6"/>
    <w:rsid w:val="00EC7AA6"/>
    <w:rsid w:val="00ED0111"/>
    <w:rsid w:val="00ED0677"/>
    <w:rsid w:val="00ED3918"/>
    <w:rsid w:val="00ED4CDA"/>
    <w:rsid w:val="00ED5A45"/>
    <w:rsid w:val="00ED6E5F"/>
    <w:rsid w:val="00ED7C17"/>
    <w:rsid w:val="00EE0369"/>
    <w:rsid w:val="00EE2ACC"/>
    <w:rsid w:val="00EE2AD4"/>
    <w:rsid w:val="00EE3A9A"/>
    <w:rsid w:val="00EE3E3F"/>
    <w:rsid w:val="00EE55E0"/>
    <w:rsid w:val="00EE5E56"/>
    <w:rsid w:val="00EE5FD0"/>
    <w:rsid w:val="00EE6E08"/>
    <w:rsid w:val="00EE705A"/>
    <w:rsid w:val="00EE7220"/>
    <w:rsid w:val="00EE7737"/>
    <w:rsid w:val="00EE7DCC"/>
    <w:rsid w:val="00EF0C98"/>
    <w:rsid w:val="00EF1D87"/>
    <w:rsid w:val="00EF27FE"/>
    <w:rsid w:val="00EF339B"/>
    <w:rsid w:val="00EF4081"/>
    <w:rsid w:val="00EF62FA"/>
    <w:rsid w:val="00F000F0"/>
    <w:rsid w:val="00F004B8"/>
    <w:rsid w:val="00F01C28"/>
    <w:rsid w:val="00F03806"/>
    <w:rsid w:val="00F04874"/>
    <w:rsid w:val="00F061B0"/>
    <w:rsid w:val="00F068FB"/>
    <w:rsid w:val="00F06C1B"/>
    <w:rsid w:val="00F070C6"/>
    <w:rsid w:val="00F101D8"/>
    <w:rsid w:val="00F1374B"/>
    <w:rsid w:val="00F15B67"/>
    <w:rsid w:val="00F16A57"/>
    <w:rsid w:val="00F211CD"/>
    <w:rsid w:val="00F227E3"/>
    <w:rsid w:val="00F23687"/>
    <w:rsid w:val="00F255A9"/>
    <w:rsid w:val="00F258A2"/>
    <w:rsid w:val="00F2634D"/>
    <w:rsid w:val="00F26631"/>
    <w:rsid w:val="00F26AB4"/>
    <w:rsid w:val="00F27DD5"/>
    <w:rsid w:val="00F3042E"/>
    <w:rsid w:val="00F30797"/>
    <w:rsid w:val="00F30FA0"/>
    <w:rsid w:val="00F31E77"/>
    <w:rsid w:val="00F328C4"/>
    <w:rsid w:val="00F33A38"/>
    <w:rsid w:val="00F366F0"/>
    <w:rsid w:val="00F368ED"/>
    <w:rsid w:val="00F37149"/>
    <w:rsid w:val="00F37896"/>
    <w:rsid w:val="00F4093B"/>
    <w:rsid w:val="00F40C20"/>
    <w:rsid w:val="00F411D3"/>
    <w:rsid w:val="00F416FB"/>
    <w:rsid w:val="00F4182F"/>
    <w:rsid w:val="00F439A3"/>
    <w:rsid w:val="00F47F62"/>
    <w:rsid w:val="00F5159A"/>
    <w:rsid w:val="00F52B3E"/>
    <w:rsid w:val="00F531EA"/>
    <w:rsid w:val="00F54066"/>
    <w:rsid w:val="00F54122"/>
    <w:rsid w:val="00F54774"/>
    <w:rsid w:val="00F54BDF"/>
    <w:rsid w:val="00F54D68"/>
    <w:rsid w:val="00F57DA8"/>
    <w:rsid w:val="00F62EC2"/>
    <w:rsid w:val="00F6457A"/>
    <w:rsid w:val="00F648BD"/>
    <w:rsid w:val="00F64D23"/>
    <w:rsid w:val="00F65AAA"/>
    <w:rsid w:val="00F66054"/>
    <w:rsid w:val="00F661C7"/>
    <w:rsid w:val="00F6660A"/>
    <w:rsid w:val="00F66DD2"/>
    <w:rsid w:val="00F7002E"/>
    <w:rsid w:val="00F707B0"/>
    <w:rsid w:val="00F70B04"/>
    <w:rsid w:val="00F71289"/>
    <w:rsid w:val="00F74366"/>
    <w:rsid w:val="00F74E7C"/>
    <w:rsid w:val="00F75D82"/>
    <w:rsid w:val="00F76AF0"/>
    <w:rsid w:val="00F76E03"/>
    <w:rsid w:val="00F76F7F"/>
    <w:rsid w:val="00F77241"/>
    <w:rsid w:val="00F7732F"/>
    <w:rsid w:val="00F77ECB"/>
    <w:rsid w:val="00F8108A"/>
    <w:rsid w:val="00F8116A"/>
    <w:rsid w:val="00F822AD"/>
    <w:rsid w:val="00F82D73"/>
    <w:rsid w:val="00F84BE4"/>
    <w:rsid w:val="00F84D8D"/>
    <w:rsid w:val="00F87DC0"/>
    <w:rsid w:val="00F90126"/>
    <w:rsid w:val="00F902DF"/>
    <w:rsid w:val="00F9106E"/>
    <w:rsid w:val="00F92029"/>
    <w:rsid w:val="00F92346"/>
    <w:rsid w:val="00F92AC7"/>
    <w:rsid w:val="00F92FDE"/>
    <w:rsid w:val="00F955D3"/>
    <w:rsid w:val="00F9565F"/>
    <w:rsid w:val="00F9772F"/>
    <w:rsid w:val="00F97BAB"/>
    <w:rsid w:val="00FA0C26"/>
    <w:rsid w:val="00FA10A4"/>
    <w:rsid w:val="00FA1401"/>
    <w:rsid w:val="00FA1B3C"/>
    <w:rsid w:val="00FA2331"/>
    <w:rsid w:val="00FA3392"/>
    <w:rsid w:val="00FA34E2"/>
    <w:rsid w:val="00FA3F8E"/>
    <w:rsid w:val="00FA5CA4"/>
    <w:rsid w:val="00FA672D"/>
    <w:rsid w:val="00FA78A5"/>
    <w:rsid w:val="00FB0A0B"/>
    <w:rsid w:val="00FB21ED"/>
    <w:rsid w:val="00FB26A8"/>
    <w:rsid w:val="00FB4850"/>
    <w:rsid w:val="00FB5898"/>
    <w:rsid w:val="00FB5F3F"/>
    <w:rsid w:val="00FB6D56"/>
    <w:rsid w:val="00FB6F63"/>
    <w:rsid w:val="00FC0990"/>
    <w:rsid w:val="00FC2B5D"/>
    <w:rsid w:val="00FC2D1F"/>
    <w:rsid w:val="00FC32CB"/>
    <w:rsid w:val="00FC3670"/>
    <w:rsid w:val="00FC6CC5"/>
    <w:rsid w:val="00FC7161"/>
    <w:rsid w:val="00FC74EA"/>
    <w:rsid w:val="00FC78A1"/>
    <w:rsid w:val="00FD01B7"/>
    <w:rsid w:val="00FD0865"/>
    <w:rsid w:val="00FD15EB"/>
    <w:rsid w:val="00FD30F3"/>
    <w:rsid w:val="00FD369C"/>
    <w:rsid w:val="00FD38D3"/>
    <w:rsid w:val="00FD4DD3"/>
    <w:rsid w:val="00FD53FF"/>
    <w:rsid w:val="00FD5CE1"/>
    <w:rsid w:val="00FD659A"/>
    <w:rsid w:val="00FD6F53"/>
    <w:rsid w:val="00FD7A49"/>
    <w:rsid w:val="00FE02C5"/>
    <w:rsid w:val="00FE15D8"/>
    <w:rsid w:val="00FE17B5"/>
    <w:rsid w:val="00FE1803"/>
    <w:rsid w:val="00FE1B56"/>
    <w:rsid w:val="00FE26CF"/>
    <w:rsid w:val="00FE36C0"/>
    <w:rsid w:val="00FE3B86"/>
    <w:rsid w:val="00FE4F77"/>
    <w:rsid w:val="00FE5921"/>
    <w:rsid w:val="00FE5A50"/>
    <w:rsid w:val="00FF38C1"/>
    <w:rsid w:val="00FF58A7"/>
    <w:rsid w:val="00FF5D1C"/>
    <w:rsid w:val="00FF628C"/>
    <w:rsid w:val="00FF6EF3"/>
    <w:rsid w:val="00FF75D2"/>
    <w:rsid w:val="00FF7C4D"/>
    <w:rsid w:val="05011FC1"/>
    <w:rsid w:val="0C743E10"/>
    <w:rsid w:val="14586BA0"/>
    <w:rsid w:val="18758F56"/>
    <w:rsid w:val="23E40A14"/>
    <w:rsid w:val="271EF3D6"/>
    <w:rsid w:val="2AEC923A"/>
    <w:rsid w:val="2D01546E"/>
    <w:rsid w:val="33972D8A"/>
    <w:rsid w:val="3A26D762"/>
    <w:rsid w:val="3A31152B"/>
    <w:rsid w:val="472F45DA"/>
    <w:rsid w:val="496A897B"/>
    <w:rsid w:val="56B4504F"/>
    <w:rsid w:val="5E4B0FE3"/>
    <w:rsid w:val="627F23F1"/>
    <w:rsid w:val="62D97D21"/>
    <w:rsid w:val="680E23BF"/>
    <w:rsid w:val="6A25D3C1"/>
    <w:rsid w:val="6BD67566"/>
    <w:rsid w:val="71FBF423"/>
    <w:rsid w:val="753C03B8"/>
    <w:rsid w:val="7C974D7A"/>
    <w:rsid w:val="7F70B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6B2FB6F"/>
  <w15:docId w15:val="{12F511F2-000A-45A1-AAEE-86A2BAFD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5DEA"/>
    <w:rPr>
      <w:rFonts w:ascii="Times New Roman" w:hAnsi="Times New Roman"/>
      <w:sz w:val="24"/>
      <w:szCs w:val="24"/>
    </w:rPr>
  </w:style>
  <w:style w:type="paragraph" w:styleId="Heading1">
    <w:name w:val="heading 1"/>
    <w:aliases w:val="Heading 1.I"/>
    <w:basedOn w:val="Normal"/>
    <w:next w:val="Normal"/>
    <w:link w:val="Heading1Char"/>
    <w:autoRedefine/>
    <w:uiPriority w:val="9"/>
    <w:qFormat/>
    <w:rsid w:val="00216A0C"/>
    <w:pPr>
      <w:keepNext/>
      <w:keepLines/>
      <w:tabs>
        <w:tab w:val="left" w:pos="450"/>
      </w:tabs>
      <w:spacing w:after="100" w:afterAutospacing="1"/>
      <w:outlineLvl w:val="0"/>
    </w:pPr>
    <w:rPr>
      <w:rFonts w:ascii="Arial" w:eastAsia="Times New Roman" w:hAnsi="Arial" w:cs="Arial"/>
      <w:b/>
      <w:bCs/>
      <w:sz w:val="22"/>
      <w:szCs w:val="28"/>
      <w:lang w:val="es-ES_tradnl"/>
    </w:rPr>
  </w:style>
  <w:style w:type="paragraph" w:styleId="Heading2">
    <w:name w:val="heading 2"/>
    <w:basedOn w:val="Normal"/>
    <w:next w:val="Normal"/>
    <w:link w:val="Heading2Char"/>
    <w:autoRedefine/>
    <w:uiPriority w:val="9"/>
    <w:qFormat/>
    <w:rsid w:val="007B7847"/>
    <w:pPr>
      <w:keepNext/>
      <w:keepLines/>
      <w:spacing w:before="240" w:after="100" w:afterAutospacing="1"/>
      <w:ind w:left="360"/>
      <w:jc w:val="both"/>
      <w:outlineLvl w:val="1"/>
    </w:pPr>
    <w:rPr>
      <w:rFonts w:ascii="Arial" w:eastAsia="Times New Roman" w:hAnsi="Arial"/>
      <w:b/>
      <w:bCs/>
      <w:sz w:val="22"/>
      <w:szCs w:val="22"/>
      <w:lang w:val="es-ES"/>
    </w:rPr>
  </w:style>
  <w:style w:type="paragraph" w:styleId="Heading3">
    <w:name w:val="heading 3"/>
    <w:basedOn w:val="Normal"/>
    <w:next w:val="Normal"/>
    <w:link w:val="Heading3Char"/>
    <w:uiPriority w:val="9"/>
    <w:qFormat/>
    <w:rsid w:val="00AA7F2E"/>
    <w:pPr>
      <w:keepNext/>
      <w:keepLines/>
      <w:numPr>
        <w:ilvl w:val="2"/>
        <w:numId w:val="3"/>
      </w:numPr>
      <w:spacing w:before="200" w:line="259" w:lineRule="auto"/>
      <w:outlineLvl w:val="2"/>
    </w:pPr>
    <w:rPr>
      <w:rFonts w:ascii="Calibri Light" w:eastAsia="Times New Roman" w:hAnsi="Calibri Light"/>
      <w:b/>
      <w:bCs/>
      <w:color w:val="5B9BD5"/>
      <w:sz w:val="22"/>
      <w:szCs w:val="22"/>
    </w:rPr>
  </w:style>
  <w:style w:type="paragraph" w:styleId="Heading4">
    <w:name w:val="heading 4"/>
    <w:aliases w:val="Heading 4.a"/>
    <w:basedOn w:val="Normal"/>
    <w:next w:val="Normal"/>
    <w:link w:val="Heading4Char"/>
    <w:uiPriority w:val="9"/>
    <w:qFormat/>
    <w:rsid w:val="00AA7F2E"/>
    <w:pPr>
      <w:keepNext/>
      <w:keepLines/>
      <w:numPr>
        <w:ilvl w:val="3"/>
        <w:numId w:val="3"/>
      </w:numPr>
      <w:spacing w:before="200" w:line="259" w:lineRule="auto"/>
      <w:outlineLvl w:val="3"/>
    </w:pPr>
    <w:rPr>
      <w:rFonts w:ascii="Calibri Light" w:eastAsia="Times New Roman" w:hAnsi="Calibri Light"/>
      <w:b/>
      <w:bCs/>
      <w:i/>
      <w:iCs/>
      <w:color w:val="5B9BD5"/>
      <w:sz w:val="22"/>
      <w:szCs w:val="22"/>
    </w:rPr>
  </w:style>
  <w:style w:type="paragraph" w:styleId="Heading5">
    <w:name w:val="heading 5"/>
    <w:aliases w:val="Heading 5.(i)"/>
    <w:basedOn w:val="Normal"/>
    <w:link w:val="Heading5Char"/>
    <w:qFormat/>
    <w:rsid w:val="00AA7F2E"/>
    <w:pPr>
      <w:numPr>
        <w:ilvl w:val="4"/>
        <w:numId w:val="3"/>
      </w:numPr>
      <w:spacing w:before="100" w:beforeAutospacing="1" w:after="100" w:afterAutospacing="1"/>
      <w:outlineLvl w:val="4"/>
    </w:pPr>
    <w:rPr>
      <w:rFonts w:eastAsia="Times New Roman"/>
      <w:b/>
      <w:bCs/>
      <w:sz w:val="20"/>
      <w:szCs w:val="20"/>
    </w:rPr>
  </w:style>
  <w:style w:type="paragraph" w:styleId="Heading6">
    <w:name w:val="heading 6"/>
    <w:basedOn w:val="Normal"/>
    <w:next w:val="Normal"/>
    <w:link w:val="Heading6Char"/>
    <w:qFormat/>
    <w:rsid w:val="00AA7F2E"/>
    <w:pPr>
      <w:keepNext/>
      <w:keepLines/>
      <w:numPr>
        <w:ilvl w:val="5"/>
        <w:numId w:val="3"/>
      </w:numPr>
      <w:spacing w:before="200" w:line="259" w:lineRule="auto"/>
      <w:outlineLvl w:val="5"/>
    </w:pPr>
    <w:rPr>
      <w:rFonts w:ascii="Calibri Light" w:eastAsia="Times New Roman" w:hAnsi="Calibri Light"/>
      <w:i/>
      <w:iCs/>
      <w:color w:val="1F4D78"/>
      <w:sz w:val="22"/>
      <w:szCs w:val="22"/>
    </w:rPr>
  </w:style>
  <w:style w:type="paragraph" w:styleId="Heading7">
    <w:name w:val="heading 7"/>
    <w:basedOn w:val="Normal"/>
    <w:next w:val="Normal"/>
    <w:link w:val="Heading7Char"/>
    <w:qFormat/>
    <w:rsid w:val="00AA7F2E"/>
    <w:pPr>
      <w:keepNext/>
      <w:keepLines/>
      <w:numPr>
        <w:ilvl w:val="6"/>
        <w:numId w:val="3"/>
      </w:numPr>
      <w:spacing w:before="200" w:line="259" w:lineRule="auto"/>
      <w:outlineLvl w:val="6"/>
    </w:pPr>
    <w:rPr>
      <w:rFonts w:ascii="Calibri Light" w:eastAsia="Times New Roman" w:hAnsi="Calibri Light"/>
      <w:i/>
      <w:iCs/>
      <w:color w:val="404040"/>
      <w:sz w:val="22"/>
      <w:szCs w:val="22"/>
    </w:rPr>
  </w:style>
  <w:style w:type="paragraph" w:styleId="Heading8">
    <w:name w:val="heading 8"/>
    <w:basedOn w:val="Normal"/>
    <w:next w:val="Normal"/>
    <w:link w:val="Heading8Char"/>
    <w:qFormat/>
    <w:rsid w:val="00AA7F2E"/>
    <w:pPr>
      <w:keepNext/>
      <w:keepLines/>
      <w:numPr>
        <w:ilvl w:val="7"/>
        <w:numId w:val="3"/>
      </w:numPr>
      <w:spacing w:before="200" w:line="259" w:lineRule="auto"/>
      <w:outlineLvl w:val="7"/>
    </w:pPr>
    <w:rPr>
      <w:rFonts w:ascii="Calibri Light" w:eastAsia="Times New Roman" w:hAnsi="Calibri Light"/>
      <w:color w:val="404040"/>
      <w:sz w:val="20"/>
      <w:szCs w:val="20"/>
    </w:rPr>
  </w:style>
  <w:style w:type="paragraph" w:styleId="Heading9">
    <w:name w:val="heading 9"/>
    <w:basedOn w:val="Normal"/>
    <w:next w:val="Normal"/>
    <w:link w:val="Heading9Char"/>
    <w:qFormat/>
    <w:rsid w:val="00AA7F2E"/>
    <w:pPr>
      <w:keepNext/>
      <w:keepLines/>
      <w:numPr>
        <w:ilvl w:val="8"/>
        <w:numId w:val="3"/>
      </w:numPr>
      <w:spacing w:before="200" w:line="259" w:lineRule="auto"/>
      <w:outlineLvl w:val="8"/>
    </w:pPr>
    <w:rPr>
      <w:rFonts w:ascii="Calibri Light" w:eastAsia="Times New Roma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Heading 5.(i) Char"/>
    <w:link w:val="Heading5"/>
    <w:rsid w:val="00AA7F2E"/>
    <w:rPr>
      <w:rFonts w:ascii="Times New Roman" w:eastAsia="Times New Roman" w:hAnsi="Times New Roman"/>
      <w:b/>
      <w:bCs/>
    </w:rPr>
  </w:style>
  <w:style w:type="paragraph" w:styleId="NormalWeb">
    <w:name w:val="Normal (Web)"/>
    <w:basedOn w:val="Normal"/>
    <w:uiPriority w:val="99"/>
    <w:unhideWhenUsed/>
    <w:rsid w:val="00CE573A"/>
    <w:pPr>
      <w:spacing w:before="100" w:beforeAutospacing="1" w:after="100" w:afterAutospacing="1"/>
    </w:pPr>
    <w:rPr>
      <w:rFonts w:eastAsia="Times New Roman"/>
      <w:sz w:val="22"/>
    </w:rPr>
  </w:style>
  <w:style w:type="table" w:styleId="TableGrid">
    <w:name w:val="Table Grid"/>
    <w:basedOn w:val="TableNormal"/>
    <w:uiPriority w:val="39"/>
    <w:rsid w:val="00E80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CD3F09"/>
    <w:rPr>
      <w:i/>
      <w:iCs/>
    </w:rPr>
  </w:style>
  <w:style w:type="character" w:customStyle="1" w:styleId="apple-converted-space">
    <w:name w:val="apple-converted-space"/>
    <w:basedOn w:val="DefaultParagraphFont"/>
    <w:rsid w:val="00CD3F09"/>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f"/>
    <w:basedOn w:val="Normal"/>
    <w:link w:val="FootnoteTextChar"/>
    <w:uiPriority w:val="99"/>
    <w:unhideWhenUsed/>
    <w:qFormat/>
    <w:rsid w:val="008C5F59"/>
    <w:pPr>
      <w:keepNext/>
      <w:keepLines/>
      <w:spacing w:after="120"/>
      <w:ind w:left="288" w:hanging="288"/>
      <w:jc w:val="both"/>
    </w:pPr>
    <w:rPr>
      <w:spacing w:val="-3"/>
      <w:sz w:val="20"/>
      <w:szCs w:val="20"/>
    </w:rPr>
  </w:style>
  <w:style w:type="character" w:customStyle="1" w:styleId="FootnoteTextChar">
    <w:name w:val="Footnote Text Char"/>
    <w:aliases w:val="fn Char,Texto nota pie IIRSA Char,footnote Char,foottextfra Char,F Char,Texto nota pie Car Car Char,Car Char,Car3 Car Car Char,Car3 Car Char,Car3 Car Car Car Car Car Car Car Car Car Car Char,ft Char,Style 25 Char,Texto de rodapé Char"/>
    <w:link w:val="FootnoteText"/>
    <w:uiPriority w:val="99"/>
    <w:rsid w:val="008C5F59"/>
    <w:rPr>
      <w:rFonts w:ascii="Times New Roman" w:hAnsi="Times New Roman" w:cs="Times New Roman"/>
      <w:spacing w:val="-3"/>
      <w:sz w:val="20"/>
      <w:szCs w:val="20"/>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Body Text 2 Char1"/>
    <w:uiPriority w:val="99"/>
    <w:unhideWhenUsed/>
    <w:qFormat/>
    <w:rsid w:val="008C5F59"/>
    <w:rPr>
      <w:vertAlign w:val="superscript"/>
    </w:rPr>
  </w:style>
  <w:style w:type="character" w:styleId="Hyperlink">
    <w:name w:val="Hyperlink"/>
    <w:uiPriority w:val="99"/>
    <w:unhideWhenUsed/>
    <w:rsid w:val="002B1B9F"/>
    <w:rPr>
      <w:color w:val="0000FF"/>
      <w:u w:val="single"/>
    </w:rPr>
  </w:style>
  <w:style w:type="paragraph" w:styleId="BalloonText">
    <w:name w:val="Balloon Text"/>
    <w:basedOn w:val="Normal"/>
    <w:link w:val="BalloonTextChar"/>
    <w:uiPriority w:val="99"/>
    <w:semiHidden/>
    <w:unhideWhenUsed/>
    <w:rsid w:val="00353BD9"/>
    <w:rPr>
      <w:rFonts w:ascii="Tahoma" w:hAnsi="Tahoma" w:cs="Tahoma"/>
      <w:sz w:val="16"/>
      <w:szCs w:val="16"/>
    </w:rPr>
  </w:style>
  <w:style w:type="character" w:customStyle="1" w:styleId="BalloonTextChar">
    <w:name w:val="Balloon Text Char"/>
    <w:link w:val="BalloonText"/>
    <w:uiPriority w:val="99"/>
    <w:semiHidden/>
    <w:rsid w:val="00353BD9"/>
    <w:rPr>
      <w:rFonts w:ascii="Tahoma" w:hAnsi="Tahoma" w:cs="Tahoma"/>
      <w:sz w:val="16"/>
      <w:szCs w:val="16"/>
    </w:rPr>
  </w:style>
  <w:style w:type="paragraph" w:customStyle="1" w:styleId="ColorfulList-Accent11">
    <w:name w:val="Colorful List - Accent 11"/>
    <w:basedOn w:val="Normal"/>
    <w:link w:val="ColorfulList-Accent1Char1"/>
    <w:uiPriority w:val="34"/>
    <w:qFormat/>
    <w:rsid w:val="00353BD9"/>
    <w:pPr>
      <w:spacing w:after="160" w:line="259" w:lineRule="auto"/>
      <w:ind w:left="720"/>
      <w:contextualSpacing/>
    </w:pPr>
    <w:rPr>
      <w:rFonts w:ascii="Arial" w:hAnsi="Arial"/>
      <w:sz w:val="22"/>
      <w:szCs w:val="22"/>
    </w:rPr>
  </w:style>
  <w:style w:type="paragraph" w:styleId="Title">
    <w:name w:val="Title"/>
    <w:basedOn w:val="Normal"/>
    <w:link w:val="TitleChar"/>
    <w:qFormat/>
    <w:rsid w:val="00FD15EB"/>
    <w:pPr>
      <w:tabs>
        <w:tab w:val="left" w:pos="1440"/>
        <w:tab w:val="left" w:pos="3060"/>
      </w:tabs>
      <w:jc w:val="center"/>
      <w:outlineLvl w:val="0"/>
    </w:pPr>
    <w:rPr>
      <w:rFonts w:eastAsia="Times New Roman"/>
      <w:sz w:val="22"/>
      <w:szCs w:val="20"/>
    </w:rPr>
  </w:style>
  <w:style w:type="character" w:customStyle="1" w:styleId="TitleChar">
    <w:name w:val="Title Char"/>
    <w:link w:val="Title"/>
    <w:rsid w:val="00FD15EB"/>
    <w:rPr>
      <w:rFonts w:ascii="Times New Roman" w:eastAsia="Times New Roman" w:hAnsi="Times New Roman" w:cs="Times New Roman"/>
      <w:sz w:val="24"/>
      <w:szCs w:val="20"/>
    </w:rPr>
  </w:style>
  <w:style w:type="paragraph" w:customStyle="1" w:styleId="Newpage">
    <w:name w:val="Newpage"/>
    <w:basedOn w:val="Normal"/>
    <w:rsid w:val="00FD15EB"/>
    <w:pPr>
      <w:tabs>
        <w:tab w:val="left" w:pos="1440"/>
        <w:tab w:val="left" w:pos="3060"/>
      </w:tabs>
      <w:jc w:val="center"/>
    </w:pPr>
    <w:rPr>
      <w:rFonts w:eastAsia="Times New Roman" w:cs="Arial"/>
      <w:b/>
      <w:smallCaps/>
      <w:sz w:val="22"/>
      <w:szCs w:val="20"/>
    </w:rPr>
  </w:style>
  <w:style w:type="paragraph" w:customStyle="1" w:styleId="Listavistosa-nfasis11">
    <w:name w:val="Lista vistosa - Énfasis 11"/>
    <w:basedOn w:val="Normal"/>
    <w:link w:val="Listavistosa-nfasis1Car"/>
    <w:uiPriority w:val="34"/>
    <w:qFormat/>
    <w:rsid w:val="00A437CC"/>
    <w:pPr>
      <w:ind w:left="720"/>
      <w:contextualSpacing/>
    </w:pPr>
    <w:rPr>
      <w:rFonts w:ascii="Calibri" w:hAnsi="Calibri"/>
      <w:sz w:val="22"/>
      <w:szCs w:val="22"/>
      <w:lang w:val="es-ES_tradnl"/>
    </w:rPr>
  </w:style>
  <w:style w:type="character" w:customStyle="1" w:styleId="Listavistosa-nfasis1Car">
    <w:name w:val="Lista vistosa - Énfasis 1 Car"/>
    <w:link w:val="Listavistosa-nfasis11"/>
    <w:uiPriority w:val="34"/>
    <w:rsid w:val="00A437CC"/>
    <w:rPr>
      <w:rFonts w:ascii="Calibri" w:eastAsia="Calibri" w:hAnsi="Calibri" w:cs="Times New Roman"/>
      <w:lang w:val="es-ES_tradnl"/>
    </w:rPr>
  </w:style>
  <w:style w:type="character" w:customStyle="1" w:styleId="Heading1Char">
    <w:name w:val="Heading 1 Char"/>
    <w:aliases w:val="Heading 1.I Char"/>
    <w:link w:val="Heading1"/>
    <w:uiPriority w:val="9"/>
    <w:rsid w:val="00216A0C"/>
    <w:rPr>
      <w:rFonts w:ascii="Arial" w:eastAsia="Times New Roman" w:hAnsi="Arial" w:cs="Arial"/>
      <w:b/>
      <w:bCs/>
      <w:sz w:val="22"/>
      <w:szCs w:val="28"/>
      <w:lang w:val="es-ES_tradnl"/>
    </w:rPr>
  </w:style>
  <w:style w:type="paragraph" w:styleId="TOCHeading">
    <w:name w:val="TOC Heading"/>
    <w:basedOn w:val="Heading1"/>
    <w:next w:val="Normal"/>
    <w:uiPriority w:val="39"/>
    <w:unhideWhenUsed/>
    <w:qFormat/>
    <w:rsid w:val="00AA7F2E"/>
    <w:pPr>
      <w:spacing w:line="276" w:lineRule="auto"/>
      <w:outlineLvl w:val="9"/>
    </w:pPr>
    <w:rPr>
      <w:lang w:eastAsia="ja-JP"/>
    </w:rPr>
  </w:style>
  <w:style w:type="paragraph" w:customStyle="1" w:styleId="Chapter">
    <w:name w:val="Chapter"/>
    <w:basedOn w:val="Normal"/>
    <w:next w:val="Normal"/>
    <w:link w:val="ChapterChar"/>
    <w:rsid w:val="00AA7F2E"/>
    <w:pPr>
      <w:keepNext/>
      <w:numPr>
        <w:numId w:val="3"/>
      </w:numPr>
      <w:tabs>
        <w:tab w:val="num" w:pos="648"/>
        <w:tab w:val="left" w:pos="1440"/>
      </w:tabs>
      <w:spacing w:before="240" w:after="240"/>
      <w:ind w:left="0" w:firstLine="288"/>
      <w:jc w:val="center"/>
    </w:pPr>
    <w:rPr>
      <w:b/>
      <w:smallCaps/>
      <w:sz w:val="22"/>
      <w:szCs w:val="22"/>
      <w:lang w:val="es-ES"/>
    </w:rPr>
  </w:style>
  <w:style w:type="character" w:customStyle="1" w:styleId="ColorfulList-Accent1Char1">
    <w:name w:val="Colorful List - Accent 1 Char1"/>
    <w:basedOn w:val="DefaultParagraphFont"/>
    <w:link w:val="ColorfulList-Accent11"/>
    <w:uiPriority w:val="34"/>
    <w:rsid w:val="00AA7F2E"/>
  </w:style>
  <w:style w:type="character" w:customStyle="1" w:styleId="ChapterChar">
    <w:name w:val="Chapter Char"/>
    <w:link w:val="Chapter"/>
    <w:rsid w:val="00AA7F2E"/>
    <w:rPr>
      <w:rFonts w:ascii="Times New Roman" w:hAnsi="Times New Roman"/>
      <w:b/>
      <w:smallCaps/>
      <w:sz w:val="22"/>
      <w:szCs w:val="22"/>
      <w:lang w:val="es-ES"/>
    </w:rPr>
  </w:style>
  <w:style w:type="paragraph" w:customStyle="1" w:styleId="FirstHeading">
    <w:name w:val="FirstHeading"/>
    <w:basedOn w:val="Normal"/>
    <w:next w:val="Normal"/>
    <w:link w:val="FirstHeadingChar"/>
    <w:rsid w:val="00AA7F2E"/>
    <w:pPr>
      <w:keepNext/>
      <w:numPr>
        <w:numId w:val="1"/>
      </w:numPr>
      <w:tabs>
        <w:tab w:val="left" w:pos="0"/>
        <w:tab w:val="left" w:pos="86"/>
      </w:tabs>
      <w:spacing w:before="120" w:after="120"/>
    </w:pPr>
    <w:rPr>
      <w:b/>
      <w:sz w:val="22"/>
      <w:szCs w:val="22"/>
      <w:lang w:val="es-ES"/>
    </w:rPr>
  </w:style>
  <w:style w:type="character" w:customStyle="1" w:styleId="FirstHeadingChar">
    <w:name w:val="FirstHeading Char"/>
    <w:link w:val="FirstHeading"/>
    <w:rsid w:val="00AA7F2E"/>
    <w:rPr>
      <w:rFonts w:ascii="Times New Roman" w:hAnsi="Times New Roman"/>
      <w:b/>
      <w:sz w:val="22"/>
      <w:szCs w:val="22"/>
      <w:lang w:val="es-ES"/>
    </w:rPr>
  </w:style>
  <w:style w:type="paragraph" w:customStyle="1" w:styleId="SecHeading">
    <w:name w:val="SecHeading"/>
    <w:basedOn w:val="Normal"/>
    <w:next w:val="Paragraph"/>
    <w:link w:val="SecHeadingChar"/>
    <w:rsid w:val="00AA7F2E"/>
    <w:pPr>
      <w:keepNext/>
      <w:tabs>
        <w:tab w:val="num" w:pos="1296"/>
      </w:tabs>
      <w:spacing w:before="120" w:after="120"/>
      <w:ind w:left="1296" w:hanging="576"/>
    </w:pPr>
    <w:rPr>
      <w:b/>
      <w:sz w:val="22"/>
      <w:szCs w:val="22"/>
      <w:lang w:val="es-ES"/>
    </w:rPr>
  </w:style>
  <w:style w:type="character" w:customStyle="1" w:styleId="SecHeadingChar">
    <w:name w:val="SecHeading Char"/>
    <w:link w:val="SecHeading"/>
    <w:rsid w:val="00AA7F2E"/>
    <w:rPr>
      <w:rFonts w:ascii="Times New Roman" w:hAnsi="Times New Roman" w:cs="Times New Roman"/>
      <w:b/>
      <w:sz w:val="24"/>
      <w:lang w:val="es-ES"/>
    </w:rPr>
  </w:style>
  <w:style w:type="paragraph" w:customStyle="1" w:styleId="SubHeading1">
    <w:name w:val="SubHeading1"/>
    <w:basedOn w:val="SecHeading"/>
    <w:link w:val="SubHeading1Char"/>
    <w:rsid w:val="00AA7F2E"/>
    <w:pPr>
      <w:tabs>
        <w:tab w:val="clear" w:pos="1296"/>
        <w:tab w:val="num" w:pos="1872"/>
      </w:tabs>
      <w:ind w:left="1872"/>
    </w:pPr>
  </w:style>
  <w:style w:type="character" w:customStyle="1" w:styleId="SubHeading1Char">
    <w:name w:val="SubHeading1 Char"/>
    <w:link w:val="SubHeading1"/>
    <w:rsid w:val="00AA7F2E"/>
    <w:rPr>
      <w:rFonts w:ascii="Times New Roman" w:hAnsi="Times New Roman" w:cs="Times New Roman"/>
      <w:b/>
      <w:sz w:val="24"/>
      <w:lang w:val="es-ES"/>
    </w:rPr>
  </w:style>
  <w:style w:type="paragraph" w:customStyle="1" w:styleId="Subheading2">
    <w:name w:val="Subheading2"/>
    <w:basedOn w:val="SecHeading"/>
    <w:link w:val="Subheading2Char"/>
    <w:rsid w:val="00AA7F2E"/>
    <w:pPr>
      <w:tabs>
        <w:tab w:val="clear" w:pos="1296"/>
        <w:tab w:val="num" w:pos="2376"/>
      </w:tabs>
      <w:ind w:left="2376" w:hanging="288"/>
    </w:pPr>
  </w:style>
  <w:style w:type="character" w:customStyle="1" w:styleId="Subheading2Char">
    <w:name w:val="Subheading2 Char"/>
    <w:link w:val="Subheading2"/>
    <w:rsid w:val="00AA7F2E"/>
    <w:rPr>
      <w:rFonts w:ascii="Times New Roman" w:hAnsi="Times New Roman" w:cs="Times New Roman"/>
      <w:b/>
      <w:sz w:val="24"/>
      <w:lang w:val="es-ES"/>
    </w:rPr>
  </w:style>
  <w:style w:type="paragraph" w:customStyle="1" w:styleId="Paragraph">
    <w:name w:val="Paragraph"/>
    <w:aliases w:val="paragraph,p,PARAGRAPH,PG,pa,at"/>
    <w:basedOn w:val="BodyTextIndent"/>
    <w:link w:val="ParagraphChar"/>
    <w:qFormat/>
    <w:rsid w:val="00AA7F2E"/>
    <w:pPr>
      <w:tabs>
        <w:tab w:val="num" w:pos="720"/>
      </w:tabs>
      <w:spacing w:before="120"/>
      <w:ind w:left="720" w:hanging="720"/>
      <w:jc w:val="both"/>
      <w:outlineLvl w:val="1"/>
    </w:pPr>
    <w:rPr>
      <w:lang w:val="es-ES"/>
    </w:rPr>
  </w:style>
  <w:style w:type="character" w:customStyle="1" w:styleId="ParagraphChar">
    <w:name w:val="Paragraph Char"/>
    <w:link w:val="Paragraph"/>
    <w:rsid w:val="00AA7F2E"/>
    <w:rPr>
      <w:rFonts w:ascii="Times New Roman" w:hAnsi="Times New Roman" w:cs="Times New Roman"/>
      <w:sz w:val="24"/>
      <w:lang w:val="es-ES"/>
    </w:rPr>
  </w:style>
  <w:style w:type="paragraph" w:customStyle="1" w:styleId="subpar">
    <w:name w:val="subpar"/>
    <w:basedOn w:val="BodyTextIndent3"/>
    <w:link w:val="subparChar"/>
    <w:rsid w:val="00AA7F2E"/>
    <w:pPr>
      <w:tabs>
        <w:tab w:val="num" w:pos="1152"/>
      </w:tabs>
      <w:spacing w:before="120"/>
      <w:ind w:left="1152" w:hanging="432"/>
      <w:jc w:val="both"/>
      <w:outlineLvl w:val="2"/>
    </w:pPr>
    <w:rPr>
      <w:lang w:val="es-ES"/>
    </w:rPr>
  </w:style>
  <w:style w:type="character" w:customStyle="1" w:styleId="subparChar">
    <w:name w:val="subpar Char"/>
    <w:link w:val="subpar"/>
    <w:rsid w:val="00AA7F2E"/>
    <w:rPr>
      <w:rFonts w:ascii="Times New Roman" w:hAnsi="Times New Roman" w:cs="Times New Roman"/>
      <w:sz w:val="24"/>
      <w:szCs w:val="16"/>
      <w:lang w:val="es-ES"/>
    </w:rPr>
  </w:style>
  <w:style w:type="paragraph" w:customStyle="1" w:styleId="SubSubPar">
    <w:name w:val="SubSubPar"/>
    <w:basedOn w:val="subpar"/>
    <w:link w:val="SubSubParChar"/>
    <w:uiPriority w:val="99"/>
    <w:rsid w:val="00AA7F2E"/>
    <w:pPr>
      <w:tabs>
        <w:tab w:val="clear" w:pos="1152"/>
        <w:tab w:val="left" w:pos="0"/>
        <w:tab w:val="num" w:pos="1296"/>
      </w:tabs>
      <w:ind w:left="1296" w:hanging="288"/>
    </w:pPr>
  </w:style>
  <w:style w:type="character" w:customStyle="1" w:styleId="SubSubParChar">
    <w:name w:val="SubSubPar Char"/>
    <w:link w:val="SubSubPar"/>
    <w:rsid w:val="00AA7F2E"/>
    <w:rPr>
      <w:rFonts w:ascii="Times New Roman" w:hAnsi="Times New Roman" w:cs="Times New Roman"/>
      <w:sz w:val="24"/>
      <w:szCs w:val="16"/>
      <w:lang w:val="es-ES"/>
    </w:rPr>
  </w:style>
  <w:style w:type="paragraph" w:customStyle="1" w:styleId="Regtable">
    <w:name w:val="Regtable"/>
    <w:basedOn w:val="Normal"/>
    <w:link w:val="RegtableChar"/>
    <w:rsid w:val="00AA7F2E"/>
    <w:pPr>
      <w:keepLines/>
      <w:framePr w:wrap="around" w:vAnchor="text" w:hAnchor="text" w:y="1"/>
      <w:spacing w:before="20" w:after="20"/>
    </w:pPr>
    <w:rPr>
      <w:sz w:val="20"/>
      <w:szCs w:val="22"/>
      <w:lang w:val="es-ES"/>
    </w:rPr>
  </w:style>
  <w:style w:type="character" w:customStyle="1" w:styleId="RegtableChar">
    <w:name w:val="Regtable Char"/>
    <w:link w:val="Regtable"/>
    <w:rsid w:val="00AA7F2E"/>
    <w:rPr>
      <w:rFonts w:ascii="Times New Roman" w:hAnsi="Times New Roman" w:cs="Times New Roman"/>
      <w:sz w:val="20"/>
      <w:lang w:val="es-ES"/>
    </w:rPr>
  </w:style>
  <w:style w:type="paragraph" w:customStyle="1" w:styleId="TableTitle">
    <w:name w:val="TableTitle"/>
    <w:basedOn w:val="Normal"/>
    <w:link w:val="TableTitleChar"/>
    <w:rsid w:val="00AA7F2E"/>
    <w:pPr>
      <w:keepNext/>
      <w:framePr w:wrap="around" w:vAnchor="text" w:hAnchor="text" w:y="1"/>
      <w:spacing w:before="20" w:after="20"/>
      <w:jc w:val="center"/>
    </w:pPr>
    <w:rPr>
      <w:rFonts w:ascii="Times New Roman Bold" w:hAnsi="Times New Roman Bold"/>
      <w:b/>
      <w:spacing w:val="-3"/>
      <w:sz w:val="20"/>
      <w:szCs w:val="22"/>
      <w:lang w:val="es-ES"/>
    </w:rPr>
  </w:style>
  <w:style w:type="character" w:customStyle="1" w:styleId="TableTitleChar">
    <w:name w:val="TableTitle Char"/>
    <w:link w:val="TableTitle"/>
    <w:rsid w:val="00AA7F2E"/>
    <w:rPr>
      <w:rFonts w:ascii="Times New Roman Bold" w:hAnsi="Times New Roman Bold"/>
      <w:b/>
      <w:spacing w:val="-3"/>
      <w:sz w:val="20"/>
      <w:lang w:val="es-ES"/>
    </w:rPr>
  </w:style>
  <w:style w:type="character" w:customStyle="1" w:styleId="Heading2Char">
    <w:name w:val="Heading 2 Char"/>
    <w:link w:val="Heading2"/>
    <w:uiPriority w:val="9"/>
    <w:rsid w:val="007B7847"/>
    <w:rPr>
      <w:rFonts w:ascii="Arial" w:eastAsia="Times New Roman" w:hAnsi="Arial"/>
      <w:b/>
      <w:bCs/>
      <w:sz w:val="22"/>
      <w:szCs w:val="22"/>
      <w:lang w:val="es-ES"/>
    </w:rPr>
  </w:style>
  <w:style w:type="character" w:customStyle="1" w:styleId="Heading3Char">
    <w:name w:val="Heading 3 Char"/>
    <w:link w:val="Heading3"/>
    <w:uiPriority w:val="9"/>
    <w:rsid w:val="00AA7F2E"/>
    <w:rPr>
      <w:rFonts w:ascii="Calibri Light" w:eastAsia="Times New Roman" w:hAnsi="Calibri Light"/>
      <w:b/>
      <w:bCs/>
      <w:color w:val="5B9BD5"/>
      <w:sz w:val="22"/>
      <w:szCs w:val="22"/>
    </w:rPr>
  </w:style>
  <w:style w:type="character" w:customStyle="1" w:styleId="Heading4Char">
    <w:name w:val="Heading 4 Char"/>
    <w:aliases w:val="Heading 4.a Char"/>
    <w:link w:val="Heading4"/>
    <w:uiPriority w:val="9"/>
    <w:rsid w:val="00AA7F2E"/>
    <w:rPr>
      <w:rFonts w:ascii="Calibri Light" w:eastAsia="Times New Roman" w:hAnsi="Calibri Light"/>
      <w:b/>
      <w:bCs/>
      <w:i/>
      <w:iCs/>
      <w:color w:val="5B9BD5"/>
      <w:sz w:val="22"/>
      <w:szCs w:val="22"/>
    </w:rPr>
  </w:style>
  <w:style w:type="character" w:customStyle="1" w:styleId="Heading6Char">
    <w:name w:val="Heading 6 Char"/>
    <w:link w:val="Heading6"/>
    <w:rsid w:val="00AA7F2E"/>
    <w:rPr>
      <w:rFonts w:ascii="Calibri Light" w:eastAsia="Times New Roman" w:hAnsi="Calibri Light"/>
      <w:i/>
      <w:iCs/>
      <w:color w:val="1F4D78"/>
      <w:sz w:val="22"/>
      <w:szCs w:val="22"/>
    </w:rPr>
  </w:style>
  <w:style w:type="character" w:customStyle="1" w:styleId="Heading7Char">
    <w:name w:val="Heading 7 Char"/>
    <w:link w:val="Heading7"/>
    <w:rsid w:val="00AA7F2E"/>
    <w:rPr>
      <w:rFonts w:ascii="Calibri Light" w:eastAsia="Times New Roman" w:hAnsi="Calibri Light"/>
      <w:i/>
      <w:iCs/>
      <w:color w:val="404040"/>
      <w:sz w:val="22"/>
      <w:szCs w:val="22"/>
    </w:rPr>
  </w:style>
  <w:style w:type="character" w:customStyle="1" w:styleId="Heading8Char">
    <w:name w:val="Heading 8 Char"/>
    <w:link w:val="Heading8"/>
    <w:rsid w:val="00AA7F2E"/>
    <w:rPr>
      <w:rFonts w:ascii="Calibri Light" w:eastAsia="Times New Roman" w:hAnsi="Calibri Light"/>
      <w:color w:val="404040"/>
    </w:rPr>
  </w:style>
  <w:style w:type="character" w:customStyle="1" w:styleId="Heading9Char">
    <w:name w:val="Heading 9 Char"/>
    <w:link w:val="Heading9"/>
    <w:rsid w:val="00AA7F2E"/>
    <w:rPr>
      <w:rFonts w:ascii="Calibri Light" w:eastAsia="Times New Roman" w:hAnsi="Calibri Light"/>
      <w:i/>
      <w:iCs/>
      <w:color w:val="404040"/>
    </w:rPr>
  </w:style>
  <w:style w:type="paragraph" w:styleId="BodyTextIndent">
    <w:name w:val="Body Text Indent"/>
    <w:basedOn w:val="Normal"/>
    <w:link w:val="BodyTextIndentChar"/>
    <w:uiPriority w:val="99"/>
    <w:semiHidden/>
    <w:unhideWhenUsed/>
    <w:rsid w:val="00AA7F2E"/>
    <w:pPr>
      <w:spacing w:after="120"/>
      <w:ind w:left="360"/>
    </w:pPr>
    <w:rPr>
      <w:sz w:val="22"/>
      <w:szCs w:val="22"/>
    </w:rPr>
  </w:style>
  <w:style w:type="character" w:customStyle="1" w:styleId="BodyTextIndentChar">
    <w:name w:val="Body Text Indent Char"/>
    <w:link w:val="BodyTextIndent"/>
    <w:uiPriority w:val="99"/>
    <w:semiHidden/>
    <w:rsid w:val="00AA7F2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AA7F2E"/>
    <w:pPr>
      <w:spacing w:after="120"/>
      <w:ind w:left="360"/>
    </w:pPr>
    <w:rPr>
      <w:sz w:val="22"/>
      <w:szCs w:val="16"/>
    </w:rPr>
  </w:style>
  <w:style w:type="character" w:customStyle="1" w:styleId="BodyTextIndent3Char">
    <w:name w:val="Body Text Indent 3 Char"/>
    <w:link w:val="BodyTextIndent3"/>
    <w:uiPriority w:val="99"/>
    <w:semiHidden/>
    <w:rsid w:val="00AA7F2E"/>
    <w:rPr>
      <w:rFonts w:ascii="Times New Roman" w:hAnsi="Times New Roman" w:cs="Times New Roman"/>
      <w:sz w:val="24"/>
      <w:szCs w:val="16"/>
    </w:rPr>
  </w:style>
  <w:style w:type="paragraph" w:styleId="TOC1">
    <w:name w:val="toc 1"/>
    <w:basedOn w:val="Normal"/>
    <w:next w:val="Normal"/>
    <w:autoRedefine/>
    <w:uiPriority w:val="39"/>
    <w:unhideWhenUsed/>
    <w:rsid w:val="00AA7F2E"/>
    <w:pPr>
      <w:spacing w:before="120" w:line="259" w:lineRule="auto"/>
    </w:pPr>
    <w:rPr>
      <w:rFonts w:asciiTheme="minorHAnsi" w:hAnsiTheme="minorHAnsi"/>
      <w:b/>
      <w:sz w:val="22"/>
      <w:szCs w:val="22"/>
    </w:rPr>
  </w:style>
  <w:style w:type="paragraph" w:styleId="TOC2">
    <w:name w:val="toc 2"/>
    <w:basedOn w:val="Normal"/>
    <w:next w:val="Normal"/>
    <w:autoRedefine/>
    <w:uiPriority w:val="39"/>
    <w:unhideWhenUsed/>
    <w:rsid w:val="00361A79"/>
    <w:pPr>
      <w:spacing w:line="259" w:lineRule="auto"/>
      <w:ind w:left="240"/>
    </w:pPr>
    <w:rPr>
      <w:rFonts w:asciiTheme="minorHAnsi" w:hAnsiTheme="minorHAnsi"/>
      <w:i/>
      <w:sz w:val="22"/>
      <w:szCs w:val="22"/>
    </w:rPr>
  </w:style>
  <w:style w:type="paragraph" w:styleId="TOC3">
    <w:name w:val="toc 3"/>
    <w:basedOn w:val="Normal"/>
    <w:next w:val="Normal"/>
    <w:autoRedefine/>
    <w:uiPriority w:val="39"/>
    <w:unhideWhenUsed/>
    <w:rsid w:val="00AA7F2E"/>
    <w:pPr>
      <w:spacing w:line="259" w:lineRule="auto"/>
      <w:ind w:left="480"/>
    </w:pPr>
    <w:rPr>
      <w:rFonts w:asciiTheme="minorHAnsi" w:hAnsiTheme="minorHAnsi"/>
      <w:sz w:val="22"/>
      <w:szCs w:val="22"/>
    </w:rPr>
  </w:style>
  <w:style w:type="character" w:styleId="CommentReference">
    <w:name w:val="annotation reference"/>
    <w:uiPriority w:val="99"/>
    <w:rsid w:val="002356B7"/>
    <w:rPr>
      <w:sz w:val="16"/>
      <w:szCs w:val="16"/>
    </w:rPr>
  </w:style>
  <w:style w:type="paragraph" w:styleId="CommentText">
    <w:name w:val="annotation text"/>
    <w:basedOn w:val="Normal"/>
    <w:link w:val="CommentTextChar"/>
    <w:uiPriority w:val="99"/>
    <w:rsid w:val="002356B7"/>
    <w:rPr>
      <w:rFonts w:eastAsia="Times New Roman"/>
      <w:spacing w:val="-3"/>
      <w:sz w:val="20"/>
      <w:szCs w:val="20"/>
      <w:lang w:val="es-ES_tradnl"/>
    </w:rPr>
  </w:style>
  <w:style w:type="character" w:customStyle="1" w:styleId="CommentTextChar">
    <w:name w:val="Comment Text Char"/>
    <w:link w:val="CommentText"/>
    <w:uiPriority w:val="99"/>
    <w:rsid w:val="002356B7"/>
    <w:rPr>
      <w:rFonts w:ascii="Times New Roman" w:eastAsia="Times New Roman" w:hAnsi="Times New Roman" w:cs="Times New Roman"/>
      <w:spacing w:val="-3"/>
      <w:sz w:val="20"/>
      <w:szCs w:val="20"/>
      <w:lang w:val="es-ES_tradnl"/>
    </w:rPr>
  </w:style>
  <w:style w:type="paragraph" w:customStyle="1" w:styleId="AutoNumpara">
    <w:name w:val="AutoNumpara"/>
    <w:basedOn w:val="BodyTextIndent"/>
    <w:rsid w:val="002356B7"/>
    <w:pPr>
      <w:tabs>
        <w:tab w:val="num" w:pos="720"/>
      </w:tabs>
      <w:spacing w:before="120"/>
      <w:ind w:left="720" w:hanging="720"/>
      <w:jc w:val="both"/>
    </w:pPr>
    <w:rPr>
      <w:rFonts w:eastAsia="Times New Roman"/>
      <w:noProof/>
      <w:spacing w:val="-2"/>
      <w:szCs w:val="20"/>
      <w:lang w:val="es-ES_tradnl"/>
    </w:rPr>
  </w:style>
  <w:style w:type="paragraph" w:customStyle="1" w:styleId="ColorfulList-Accent110">
    <w:name w:val="Colorful List - Accent 11"/>
    <w:basedOn w:val="Normal"/>
    <w:link w:val="ColorfulList-Accent1Char"/>
    <w:uiPriority w:val="34"/>
    <w:qFormat/>
    <w:rsid w:val="00CE3C89"/>
    <w:pPr>
      <w:ind w:left="720"/>
      <w:contextualSpacing/>
    </w:pPr>
    <w:rPr>
      <w:rFonts w:ascii="Calibri" w:hAnsi="Calibri"/>
      <w:sz w:val="22"/>
      <w:szCs w:val="22"/>
      <w:lang w:val="es-ES_tradnl"/>
    </w:rPr>
  </w:style>
  <w:style w:type="character" w:customStyle="1" w:styleId="ColorfulList-Accent1Char">
    <w:name w:val="Colorful List - Accent 1 Char"/>
    <w:link w:val="ColorfulList-Accent110"/>
    <w:uiPriority w:val="34"/>
    <w:rsid w:val="00337974"/>
    <w:rPr>
      <w:rFonts w:ascii="Calibri" w:eastAsia="Calibri" w:hAnsi="Calibri" w:cs="Times New Roman"/>
      <w:lang w:val="es-ES_tradnl"/>
    </w:rPr>
  </w:style>
  <w:style w:type="paragraph" w:customStyle="1" w:styleId="Contedodetabela">
    <w:name w:val="Conteúdo de tabela"/>
    <w:basedOn w:val="Normal"/>
    <w:rsid w:val="00220ABD"/>
    <w:pPr>
      <w:widowControl w:val="0"/>
      <w:suppressLineNumbers/>
      <w:suppressAutoHyphens/>
    </w:pPr>
    <w:rPr>
      <w:rFonts w:eastAsia="Bitstream Vera Sans" w:cs="Bitstream Vera Sans"/>
      <w:kern w:val="1"/>
      <w:sz w:val="22"/>
      <w:lang w:val="pt-BR" w:eastAsia="hi-IN" w:bidi="hi-IN"/>
    </w:rPr>
  </w:style>
  <w:style w:type="character" w:customStyle="1" w:styleId="HeaderChar">
    <w:name w:val="Header Char"/>
    <w:link w:val="Header"/>
    <w:rsid w:val="00D0597E"/>
    <w:rPr>
      <w:rFonts w:ascii="Times New Roman" w:eastAsia="Times New Roman" w:hAnsi="Times New Roman"/>
      <w:spacing w:val="-3"/>
      <w:lang w:val="es-ES_tradnl"/>
    </w:rPr>
  </w:style>
  <w:style w:type="character" w:customStyle="1" w:styleId="z-TopofFormChar">
    <w:name w:val="z-Top of Form Char"/>
    <w:link w:val="z-TopofForm"/>
    <w:uiPriority w:val="99"/>
    <w:rsid w:val="00D0597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0597E"/>
    <w:pPr>
      <w:pBdr>
        <w:top w:val="single" w:sz="6" w:space="1" w:color="auto"/>
      </w:pBdr>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D0597E"/>
    <w:rPr>
      <w:rFonts w:ascii="Arial" w:eastAsia="Times New Roman" w:hAnsi="Arial" w:cs="Times New Roman"/>
      <w:vanish/>
      <w:sz w:val="16"/>
      <w:szCs w:val="16"/>
      <w:lang w:val="x-none" w:eastAsia="x-none"/>
    </w:rPr>
  </w:style>
  <w:style w:type="paragraph" w:customStyle="1" w:styleId="Corpo">
    <w:name w:val="Corpo"/>
    <w:rsid w:val="00D0597E"/>
    <w:pPr>
      <w:pBdr>
        <w:top w:val="nil"/>
        <w:left w:val="nil"/>
        <w:bottom w:val="nil"/>
        <w:right w:val="nil"/>
        <w:between w:val="nil"/>
        <w:bar w:val="nil"/>
      </w:pBdr>
    </w:pPr>
    <w:rPr>
      <w:rFonts w:ascii="Times New Roman" w:eastAsia="Arial Unicode MS" w:hAnsi="Arial Unicode MS" w:cs="Arial Unicode MS"/>
      <w:color w:val="000000"/>
      <w:u w:color="000000"/>
      <w:bdr w:val="nil"/>
      <w:lang w:val="pt-PT" w:eastAsia="pt-BR"/>
    </w:rPr>
  </w:style>
  <w:style w:type="paragraph" w:styleId="Header">
    <w:name w:val="header"/>
    <w:basedOn w:val="Normal"/>
    <w:link w:val="HeaderChar"/>
    <w:unhideWhenUsed/>
    <w:rsid w:val="00D0597E"/>
    <w:pPr>
      <w:tabs>
        <w:tab w:val="center" w:pos="4680"/>
        <w:tab w:val="right" w:pos="9360"/>
      </w:tabs>
    </w:pPr>
    <w:rPr>
      <w:rFonts w:eastAsia="Times New Roman"/>
      <w:spacing w:val="-3"/>
      <w:sz w:val="22"/>
      <w:szCs w:val="22"/>
      <w:lang w:val="es-ES_tradnl"/>
    </w:rPr>
  </w:style>
  <w:style w:type="character" w:customStyle="1" w:styleId="HeaderChar1">
    <w:name w:val="Header Char1"/>
    <w:basedOn w:val="DefaultParagraphFont"/>
    <w:uiPriority w:val="99"/>
    <w:semiHidden/>
    <w:rsid w:val="00D0597E"/>
  </w:style>
  <w:style w:type="paragraph" w:styleId="z-TopofForm">
    <w:name w:val="HTML Top of Form"/>
    <w:basedOn w:val="Normal"/>
    <w:next w:val="Normal"/>
    <w:link w:val="z-TopofFormChar"/>
    <w:hidden/>
    <w:uiPriority w:val="99"/>
    <w:semiHidden/>
    <w:unhideWhenUsed/>
    <w:rsid w:val="00D0597E"/>
    <w:pPr>
      <w:pBdr>
        <w:bottom w:val="single" w:sz="6" w:space="1" w:color="auto"/>
      </w:pBdr>
      <w:spacing w:line="259" w:lineRule="auto"/>
      <w:jc w:val="center"/>
    </w:pPr>
    <w:rPr>
      <w:rFonts w:ascii="Arial" w:eastAsia="Times New Roman" w:hAnsi="Arial" w:cs="Arial"/>
      <w:vanish/>
      <w:sz w:val="16"/>
      <w:szCs w:val="16"/>
    </w:rPr>
  </w:style>
  <w:style w:type="character" w:customStyle="1" w:styleId="z-TopofFormChar1">
    <w:name w:val="z-Top of Form Char1"/>
    <w:uiPriority w:val="99"/>
    <w:semiHidden/>
    <w:rsid w:val="00D0597E"/>
    <w:rPr>
      <w:rFonts w:ascii="Arial" w:hAnsi="Arial" w:cs="Arial"/>
      <w:vanish/>
      <w:sz w:val="16"/>
      <w:szCs w:val="16"/>
    </w:rPr>
  </w:style>
  <w:style w:type="paragraph" w:styleId="Footer">
    <w:name w:val="footer"/>
    <w:basedOn w:val="Normal"/>
    <w:link w:val="FooterChar"/>
    <w:uiPriority w:val="99"/>
    <w:unhideWhenUsed/>
    <w:rsid w:val="00F000F0"/>
    <w:pPr>
      <w:tabs>
        <w:tab w:val="center" w:pos="4680"/>
        <w:tab w:val="right" w:pos="9360"/>
      </w:tabs>
      <w:spacing w:after="160" w:line="259" w:lineRule="auto"/>
    </w:pPr>
    <w:rPr>
      <w:rFonts w:ascii="Arial" w:hAnsi="Arial"/>
      <w:sz w:val="22"/>
      <w:szCs w:val="22"/>
    </w:rPr>
  </w:style>
  <w:style w:type="character" w:customStyle="1" w:styleId="FooterChar">
    <w:name w:val="Footer Char"/>
    <w:link w:val="Footer"/>
    <w:uiPriority w:val="99"/>
    <w:rsid w:val="00F000F0"/>
    <w:rPr>
      <w:sz w:val="22"/>
      <w:szCs w:val="22"/>
    </w:rPr>
  </w:style>
  <w:style w:type="paragraph" w:styleId="Caption">
    <w:name w:val="caption"/>
    <w:basedOn w:val="Normal"/>
    <w:next w:val="Normal"/>
    <w:autoRedefine/>
    <w:uiPriority w:val="35"/>
    <w:qFormat/>
    <w:rsid w:val="001A6051"/>
    <w:pPr>
      <w:keepNext/>
      <w:spacing w:before="120" w:after="120"/>
      <w:jc w:val="center"/>
    </w:pPr>
    <w:rPr>
      <w:rFonts w:ascii="Arial" w:eastAsia="Cambria" w:hAnsi="Arial" w:cs="Arial"/>
      <w:b/>
      <w:bCs/>
      <w:sz w:val="18"/>
      <w:szCs w:val="18"/>
      <w:lang w:val="es-ES_tradnl"/>
    </w:rPr>
  </w:style>
  <w:style w:type="paragraph" w:styleId="DocumentMap">
    <w:name w:val="Document Map"/>
    <w:basedOn w:val="Normal"/>
    <w:link w:val="DocumentMapChar"/>
    <w:uiPriority w:val="99"/>
    <w:semiHidden/>
    <w:unhideWhenUsed/>
    <w:rsid w:val="006970B6"/>
    <w:pPr>
      <w:spacing w:after="160" w:line="259" w:lineRule="auto"/>
    </w:pPr>
    <w:rPr>
      <w:rFonts w:ascii="Lucida Grande" w:hAnsi="Lucida Grande" w:cs="Lucida Grande"/>
      <w:sz w:val="22"/>
    </w:rPr>
  </w:style>
  <w:style w:type="character" w:customStyle="1" w:styleId="DocumentMapChar">
    <w:name w:val="Document Map Char"/>
    <w:link w:val="DocumentMap"/>
    <w:uiPriority w:val="99"/>
    <w:semiHidden/>
    <w:rsid w:val="006970B6"/>
    <w:rPr>
      <w:rFonts w:ascii="Lucida Grande" w:hAnsi="Lucida Grande" w:cs="Lucida Grande"/>
      <w:sz w:val="24"/>
      <w:szCs w:val="24"/>
    </w:rPr>
  </w:style>
  <w:style w:type="paragraph" w:styleId="CommentSubject">
    <w:name w:val="annotation subject"/>
    <w:basedOn w:val="CommentText"/>
    <w:next w:val="CommentText"/>
    <w:link w:val="CommentSubjectChar"/>
    <w:uiPriority w:val="99"/>
    <w:semiHidden/>
    <w:unhideWhenUsed/>
    <w:rsid w:val="005B08FD"/>
    <w:pPr>
      <w:spacing w:after="160"/>
    </w:pPr>
    <w:rPr>
      <w:rFonts w:eastAsia="Calibri"/>
      <w:b/>
      <w:bCs/>
      <w:spacing w:val="0"/>
      <w:lang w:val="en-US"/>
    </w:rPr>
  </w:style>
  <w:style w:type="character" w:customStyle="1" w:styleId="CommentSubjectChar">
    <w:name w:val="Comment Subject Char"/>
    <w:basedOn w:val="CommentTextChar"/>
    <w:link w:val="CommentSubject"/>
    <w:uiPriority w:val="99"/>
    <w:semiHidden/>
    <w:rsid w:val="005B08FD"/>
    <w:rPr>
      <w:rFonts w:ascii="Times New Roman" w:eastAsia="Times New Roman" w:hAnsi="Times New Roman" w:cs="Times New Roman"/>
      <w:b/>
      <w:bCs/>
      <w:spacing w:val="-3"/>
      <w:sz w:val="20"/>
      <w:szCs w:val="20"/>
      <w:lang w:val="es-ES_tradnl"/>
    </w:rPr>
  </w:style>
  <w:style w:type="table" w:styleId="MediumGrid3-Accent1">
    <w:name w:val="Medium Grid 3 Accent 1"/>
    <w:basedOn w:val="TableNormal"/>
    <w:uiPriority w:val="64"/>
    <w:rsid w:val="00B956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1">
    <w:name w:val="Medium List 2 Accent 1"/>
    <w:basedOn w:val="TableNormal"/>
    <w:uiPriority w:val="61"/>
    <w:rsid w:val="00B956B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30"/>
    <w:qFormat/>
    <w:rsid w:val="000D3F7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1-Accent1">
    <w:name w:val="Medium Shading 1 Accent 1"/>
    <w:basedOn w:val="TableNormal"/>
    <w:uiPriority w:val="68"/>
    <w:rsid w:val="0072224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link w:val="ListParagraphChar"/>
    <w:uiPriority w:val="34"/>
    <w:qFormat/>
    <w:rsid w:val="00825035"/>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uiPriority w:val="34"/>
    <w:rsid w:val="00825035"/>
    <w:rPr>
      <w:rFonts w:asciiTheme="minorHAnsi" w:eastAsiaTheme="minorHAnsi" w:hAnsiTheme="minorHAnsi" w:cstheme="minorBidi"/>
      <w:sz w:val="22"/>
      <w:szCs w:val="22"/>
    </w:rPr>
  </w:style>
  <w:style w:type="paragraph" w:styleId="TOC4">
    <w:name w:val="toc 4"/>
    <w:basedOn w:val="Normal"/>
    <w:next w:val="Normal"/>
    <w:autoRedefine/>
    <w:uiPriority w:val="39"/>
    <w:unhideWhenUsed/>
    <w:rsid w:val="00361A79"/>
    <w:pPr>
      <w:spacing w:line="259" w:lineRule="auto"/>
      <w:ind w:left="720"/>
    </w:pPr>
    <w:rPr>
      <w:rFonts w:asciiTheme="minorHAnsi" w:hAnsiTheme="minorHAnsi"/>
      <w:sz w:val="20"/>
      <w:szCs w:val="20"/>
    </w:rPr>
  </w:style>
  <w:style w:type="paragraph" w:styleId="TOC5">
    <w:name w:val="toc 5"/>
    <w:basedOn w:val="Normal"/>
    <w:next w:val="Normal"/>
    <w:autoRedefine/>
    <w:uiPriority w:val="39"/>
    <w:unhideWhenUsed/>
    <w:rsid w:val="00361A79"/>
    <w:pPr>
      <w:spacing w:line="259" w:lineRule="auto"/>
      <w:ind w:left="960"/>
    </w:pPr>
    <w:rPr>
      <w:rFonts w:asciiTheme="minorHAnsi" w:hAnsiTheme="minorHAnsi"/>
      <w:sz w:val="20"/>
      <w:szCs w:val="20"/>
    </w:rPr>
  </w:style>
  <w:style w:type="paragraph" w:styleId="TOC6">
    <w:name w:val="toc 6"/>
    <w:basedOn w:val="Normal"/>
    <w:next w:val="Normal"/>
    <w:autoRedefine/>
    <w:uiPriority w:val="39"/>
    <w:unhideWhenUsed/>
    <w:rsid w:val="00361A79"/>
    <w:pPr>
      <w:spacing w:line="259" w:lineRule="auto"/>
      <w:ind w:left="1200"/>
    </w:pPr>
    <w:rPr>
      <w:rFonts w:asciiTheme="minorHAnsi" w:hAnsiTheme="minorHAnsi"/>
      <w:sz w:val="20"/>
      <w:szCs w:val="20"/>
    </w:rPr>
  </w:style>
  <w:style w:type="paragraph" w:styleId="TOC7">
    <w:name w:val="toc 7"/>
    <w:basedOn w:val="Normal"/>
    <w:next w:val="Normal"/>
    <w:autoRedefine/>
    <w:uiPriority w:val="39"/>
    <w:unhideWhenUsed/>
    <w:rsid w:val="00361A79"/>
    <w:pPr>
      <w:spacing w:line="259" w:lineRule="auto"/>
      <w:ind w:left="1440"/>
    </w:pPr>
    <w:rPr>
      <w:rFonts w:asciiTheme="minorHAnsi" w:hAnsiTheme="minorHAnsi"/>
      <w:sz w:val="20"/>
      <w:szCs w:val="20"/>
    </w:rPr>
  </w:style>
  <w:style w:type="paragraph" w:styleId="TOC8">
    <w:name w:val="toc 8"/>
    <w:basedOn w:val="Normal"/>
    <w:next w:val="Normal"/>
    <w:autoRedefine/>
    <w:uiPriority w:val="39"/>
    <w:unhideWhenUsed/>
    <w:rsid w:val="00361A79"/>
    <w:pPr>
      <w:spacing w:line="259" w:lineRule="auto"/>
      <w:ind w:left="1680"/>
    </w:pPr>
    <w:rPr>
      <w:rFonts w:asciiTheme="minorHAnsi" w:hAnsiTheme="minorHAnsi"/>
      <w:sz w:val="20"/>
      <w:szCs w:val="20"/>
    </w:rPr>
  </w:style>
  <w:style w:type="paragraph" w:styleId="TOC9">
    <w:name w:val="toc 9"/>
    <w:basedOn w:val="Normal"/>
    <w:next w:val="Normal"/>
    <w:autoRedefine/>
    <w:uiPriority w:val="39"/>
    <w:unhideWhenUsed/>
    <w:rsid w:val="00361A79"/>
    <w:pPr>
      <w:spacing w:line="259" w:lineRule="auto"/>
      <w:ind w:left="1920"/>
    </w:pPr>
    <w:rPr>
      <w:rFonts w:asciiTheme="minorHAnsi" w:hAnsiTheme="minorHAnsi"/>
      <w:sz w:val="20"/>
      <w:szCs w:val="20"/>
    </w:rPr>
  </w:style>
  <w:style w:type="table" w:customStyle="1" w:styleId="GridTable4-Accent11">
    <w:name w:val="Grid Table 4 - Accent 11"/>
    <w:basedOn w:val="TableNormal"/>
    <w:uiPriority w:val="49"/>
    <w:rsid w:val="00EB1DB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11">
    <w:name w:val="Grid Table 5 Dark - Accent 11"/>
    <w:basedOn w:val="TableNormal"/>
    <w:uiPriority w:val="50"/>
    <w:rsid w:val="006B76B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UnresolvedMention">
    <w:name w:val="Unresolved Mention"/>
    <w:basedOn w:val="DefaultParagraphFont"/>
    <w:uiPriority w:val="99"/>
    <w:semiHidden/>
    <w:unhideWhenUsed/>
    <w:rsid w:val="000D4047"/>
    <w:rPr>
      <w:color w:val="808080"/>
      <w:shd w:val="clear" w:color="auto" w:fill="E6E6E6"/>
    </w:rPr>
  </w:style>
  <w:style w:type="paragraph" w:customStyle="1" w:styleId="footnotedescription">
    <w:name w:val="footnote description"/>
    <w:next w:val="Normal"/>
    <w:link w:val="footnotedescriptionChar"/>
    <w:hidden/>
    <w:rsid w:val="00DA62E2"/>
    <w:pPr>
      <w:spacing w:line="254" w:lineRule="auto"/>
      <w:ind w:left="663" w:right="1" w:hanging="271"/>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DA62E2"/>
    <w:rPr>
      <w:rFonts w:ascii="Arial" w:eastAsia="Arial" w:hAnsi="Arial" w:cs="Arial"/>
      <w:color w:val="000000"/>
      <w:sz w:val="16"/>
      <w:szCs w:val="22"/>
    </w:rPr>
  </w:style>
  <w:style w:type="character" w:customStyle="1" w:styleId="footnotemark">
    <w:name w:val="footnote mark"/>
    <w:hidden/>
    <w:rsid w:val="00DA62E2"/>
    <w:rPr>
      <w:rFonts w:ascii="Arial" w:eastAsia="Arial" w:hAnsi="Arial" w:cs="Arial"/>
      <w:color w:val="000000"/>
      <w:sz w:val="16"/>
      <w:vertAlign w:val="superscript"/>
    </w:rPr>
  </w:style>
  <w:style w:type="paragraph" w:customStyle="1" w:styleId="ColorfulList-Accent1100">
    <w:name w:val="Colorful List - Accent 110"/>
    <w:basedOn w:val="Normal"/>
    <w:uiPriority w:val="34"/>
    <w:qFormat/>
    <w:rsid w:val="00A84ED8"/>
    <w:pPr>
      <w:ind w:left="720"/>
      <w:contextualSpacing/>
    </w:pPr>
    <w:rPr>
      <w:rFonts w:ascii="Calibri" w:hAnsi="Calibri"/>
      <w:sz w:val="22"/>
      <w:szCs w:val="22"/>
      <w:lang w:val="es-ES_tradnl"/>
    </w:rPr>
  </w:style>
  <w:style w:type="paragraph" w:customStyle="1" w:styleId="ColorfulList-Accent11000">
    <w:name w:val="Colorful List - Accent 1100"/>
    <w:basedOn w:val="Normal"/>
    <w:uiPriority w:val="34"/>
    <w:qFormat/>
    <w:rsid w:val="001C215A"/>
    <w:pPr>
      <w:ind w:left="720"/>
      <w:contextualSpacing/>
    </w:pPr>
    <w:rPr>
      <w:rFonts w:ascii="Calibri" w:hAnsi="Calibri"/>
      <w:sz w:val="22"/>
      <w:szCs w:val="22"/>
      <w:lang w:val="es-ES_tradnl"/>
    </w:rPr>
  </w:style>
  <w:style w:type="paragraph" w:customStyle="1" w:styleId="ColorfulList-Accent110000">
    <w:name w:val="Colorful List - Accent 11000"/>
    <w:basedOn w:val="Normal"/>
    <w:uiPriority w:val="34"/>
    <w:qFormat/>
    <w:rsid w:val="00B15C96"/>
    <w:pPr>
      <w:ind w:left="720"/>
      <w:contextualSpacing/>
    </w:pPr>
    <w:rPr>
      <w:rFonts w:ascii="Calibri" w:hAnsi="Calibri"/>
      <w:sz w:val="22"/>
      <w:szCs w:val="22"/>
      <w:lang w:val="es-ES_tradnl"/>
    </w:rPr>
  </w:style>
  <w:style w:type="paragraph" w:customStyle="1" w:styleId="ColorfulList-Accent1100000">
    <w:name w:val="Colorful List - Accent 110000"/>
    <w:basedOn w:val="Normal"/>
    <w:uiPriority w:val="34"/>
    <w:qFormat/>
    <w:rsid w:val="00C153D0"/>
    <w:pPr>
      <w:ind w:left="720"/>
      <w:contextualSpacing/>
    </w:pPr>
    <w:rPr>
      <w:rFonts w:ascii="Calibri" w:hAnsi="Calibri"/>
      <w:sz w:val="22"/>
      <w:szCs w:val="22"/>
      <w:lang w:val="es-ES_tradnl"/>
    </w:rPr>
  </w:style>
  <w:style w:type="paragraph" w:customStyle="1" w:styleId="ColorfulList-Accent11000000">
    <w:name w:val="Colorful List - Accent 1100000"/>
    <w:basedOn w:val="Normal"/>
    <w:uiPriority w:val="34"/>
    <w:qFormat/>
    <w:rsid w:val="006B07A4"/>
    <w:pPr>
      <w:ind w:left="720"/>
      <w:contextualSpacing/>
    </w:pPr>
    <w:rPr>
      <w:rFonts w:ascii="Calibri" w:hAnsi="Calibri"/>
      <w:sz w:val="22"/>
      <w:szCs w:val="22"/>
      <w:lang w:val="es-ES_tradnl"/>
    </w:rPr>
  </w:style>
  <w:style w:type="paragraph" w:customStyle="1" w:styleId="ColorfulList-Accent110000000">
    <w:name w:val="Colorful List - Accent 11000000"/>
    <w:basedOn w:val="Normal"/>
    <w:uiPriority w:val="34"/>
    <w:qFormat/>
    <w:rsid w:val="00460D82"/>
    <w:pPr>
      <w:ind w:left="720"/>
      <w:contextualSpacing/>
    </w:pPr>
    <w:rPr>
      <w:rFonts w:ascii="Calibri" w:hAnsi="Calibri"/>
      <w:sz w:val="22"/>
      <w:szCs w:val="22"/>
      <w:lang w:val="es-ES_tradnl"/>
    </w:rPr>
  </w:style>
  <w:style w:type="paragraph" w:customStyle="1" w:styleId="ColorfulList-Accent1100000000">
    <w:name w:val="Colorful List - Accent 110000000"/>
    <w:basedOn w:val="Normal"/>
    <w:uiPriority w:val="34"/>
    <w:qFormat/>
    <w:rsid w:val="00557BE5"/>
    <w:pPr>
      <w:ind w:left="720"/>
      <w:contextualSpacing/>
    </w:pPr>
    <w:rPr>
      <w:rFonts w:ascii="Calibri" w:hAnsi="Calibri"/>
      <w:sz w:val="22"/>
      <w:szCs w:val="22"/>
      <w:lang w:val="es-ES_tradnl"/>
    </w:rPr>
  </w:style>
  <w:style w:type="paragraph" w:customStyle="1" w:styleId="ColorfulList-Accent11000000000">
    <w:name w:val="Colorful List - Accent 1100000000"/>
    <w:basedOn w:val="Normal"/>
    <w:uiPriority w:val="34"/>
    <w:qFormat/>
    <w:rsid w:val="00B7479E"/>
    <w:pPr>
      <w:ind w:left="720"/>
      <w:contextualSpacing/>
    </w:pPr>
    <w:rPr>
      <w:rFonts w:ascii="Calibri" w:hAnsi="Calibri"/>
      <w:sz w:val="22"/>
      <w:szCs w:val="22"/>
      <w:lang w:val="es-ES_tradnl"/>
    </w:rPr>
  </w:style>
  <w:style w:type="paragraph" w:customStyle="1" w:styleId="ColorfulList-Accent110000000000">
    <w:name w:val="Colorful List - Accent 11000000000"/>
    <w:basedOn w:val="Normal"/>
    <w:uiPriority w:val="34"/>
    <w:qFormat/>
    <w:rsid w:val="0077530D"/>
    <w:pPr>
      <w:ind w:left="720"/>
      <w:contextualSpacing/>
    </w:pPr>
    <w:rPr>
      <w:rFonts w:ascii="Calibri" w:hAnsi="Calibri"/>
      <w:sz w:val="22"/>
      <w:szCs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0502">
      <w:bodyDiv w:val="1"/>
      <w:marLeft w:val="0"/>
      <w:marRight w:val="0"/>
      <w:marTop w:val="0"/>
      <w:marBottom w:val="0"/>
      <w:divBdr>
        <w:top w:val="none" w:sz="0" w:space="0" w:color="auto"/>
        <w:left w:val="none" w:sz="0" w:space="0" w:color="auto"/>
        <w:bottom w:val="none" w:sz="0" w:space="0" w:color="auto"/>
        <w:right w:val="none" w:sz="0" w:space="0" w:color="auto"/>
      </w:divBdr>
    </w:div>
    <w:div w:id="28383889">
      <w:bodyDiv w:val="1"/>
      <w:marLeft w:val="0"/>
      <w:marRight w:val="0"/>
      <w:marTop w:val="0"/>
      <w:marBottom w:val="0"/>
      <w:divBdr>
        <w:top w:val="none" w:sz="0" w:space="0" w:color="auto"/>
        <w:left w:val="none" w:sz="0" w:space="0" w:color="auto"/>
        <w:bottom w:val="none" w:sz="0" w:space="0" w:color="auto"/>
        <w:right w:val="none" w:sz="0" w:space="0" w:color="auto"/>
      </w:divBdr>
    </w:div>
    <w:div w:id="35198955">
      <w:bodyDiv w:val="1"/>
      <w:marLeft w:val="0"/>
      <w:marRight w:val="0"/>
      <w:marTop w:val="0"/>
      <w:marBottom w:val="0"/>
      <w:divBdr>
        <w:top w:val="none" w:sz="0" w:space="0" w:color="auto"/>
        <w:left w:val="none" w:sz="0" w:space="0" w:color="auto"/>
        <w:bottom w:val="none" w:sz="0" w:space="0" w:color="auto"/>
        <w:right w:val="none" w:sz="0" w:space="0" w:color="auto"/>
      </w:divBdr>
    </w:div>
    <w:div w:id="35660604">
      <w:bodyDiv w:val="1"/>
      <w:marLeft w:val="0"/>
      <w:marRight w:val="0"/>
      <w:marTop w:val="0"/>
      <w:marBottom w:val="0"/>
      <w:divBdr>
        <w:top w:val="none" w:sz="0" w:space="0" w:color="auto"/>
        <w:left w:val="none" w:sz="0" w:space="0" w:color="auto"/>
        <w:bottom w:val="none" w:sz="0" w:space="0" w:color="auto"/>
        <w:right w:val="none" w:sz="0" w:space="0" w:color="auto"/>
      </w:divBdr>
    </w:div>
    <w:div w:id="37632767">
      <w:bodyDiv w:val="1"/>
      <w:marLeft w:val="0"/>
      <w:marRight w:val="0"/>
      <w:marTop w:val="0"/>
      <w:marBottom w:val="0"/>
      <w:divBdr>
        <w:top w:val="none" w:sz="0" w:space="0" w:color="auto"/>
        <w:left w:val="none" w:sz="0" w:space="0" w:color="auto"/>
        <w:bottom w:val="none" w:sz="0" w:space="0" w:color="auto"/>
        <w:right w:val="none" w:sz="0" w:space="0" w:color="auto"/>
      </w:divBdr>
    </w:div>
    <w:div w:id="41369044">
      <w:bodyDiv w:val="1"/>
      <w:marLeft w:val="0"/>
      <w:marRight w:val="0"/>
      <w:marTop w:val="0"/>
      <w:marBottom w:val="0"/>
      <w:divBdr>
        <w:top w:val="none" w:sz="0" w:space="0" w:color="auto"/>
        <w:left w:val="none" w:sz="0" w:space="0" w:color="auto"/>
        <w:bottom w:val="none" w:sz="0" w:space="0" w:color="auto"/>
        <w:right w:val="none" w:sz="0" w:space="0" w:color="auto"/>
      </w:divBdr>
    </w:div>
    <w:div w:id="52853586">
      <w:bodyDiv w:val="1"/>
      <w:marLeft w:val="0"/>
      <w:marRight w:val="0"/>
      <w:marTop w:val="0"/>
      <w:marBottom w:val="0"/>
      <w:divBdr>
        <w:top w:val="none" w:sz="0" w:space="0" w:color="auto"/>
        <w:left w:val="none" w:sz="0" w:space="0" w:color="auto"/>
        <w:bottom w:val="none" w:sz="0" w:space="0" w:color="auto"/>
        <w:right w:val="none" w:sz="0" w:space="0" w:color="auto"/>
      </w:divBdr>
    </w:div>
    <w:div w:id="56783225">
      <w:bodyDiv w:val="1"/>
      <w:marLeft w:val="0"/>
      <w:marRight w:val="0"/>
      <w:marTop w:val="0"/>
      <w:marBottom w:val="0"/>
      <w:divBdr>
        <w:top w:val="none" w:sz="0" w:space="0" w:color="auto"/>
        <w:left w:val="none" w:sz="0" w:space="0" w:color="auto"/>
        <w:bottom w:val="none" w:sz="0" w:space="0" w:color="auto"/>
        <w:right w:val="none" w:sz="0" w:space="0" w:color="auto"/>
      </w:divBdr>
    </w:div>
    <w:div w:id="60564821">
      <w:bodyDiv w:val="1"/>
      <w:marLeft w:val="0"/>
      <w:marRight w:val="0"/>
      <w:marTop w:val="0"/>
      <w:marBottom w:val="0"/>
      <w:divBdr>
        <w:top w:val="none" w:sz="0" w:space="0" w:color="auto"/>
        <w:left w:val="none" w:sz="0" w:space="0" w:color="auto"/>
        <w:bottom w:val="none" w:sz="0" w:space="0" w:color="auto"/>
        <w:right w:val="none" w:sz="0" w:space="0" w:color="auto"/>
      </w:divBdr>
    </w:div>
    <w:div w:id="70200334">
      <w:bodyDiv w:val="1"/>
      <w:marLeft w:val="0"/>
      <w:marRight w:val="0"/>
      <w:marTop w:val="0"/>
      <w:marBottom w:val="0"/>
      <w:divBdr>
        <w:top w:val="none" w:sz="0" w:space="0" w:color="auto"/>
        <w:left w:val="none" w:sz="0" w:space="0" w:color="auto"/>
        <w:bottom w:val="none" w:sz="0" w:space="0" w:color="auto"/>
        <w:right w:val="none" w:sz="0" w:space="0" w:color="auto"/>
      </w:divBdr>
    </w:div>
    <w:div w:id="125046895">
      <w:bodyDiv w:val="1"/>
      <w:marLeft w:val="0"/>
      <w:marRight w:val="0"/>
      <w:marTop w:val="0"/>
      <w:marBottom w:val="0"/>
      <w:divBdr>
        <w:top w:val="none" w:sz="0" w:space="0" w:color="auto"/>
        <w:left w:val="none" w:sz="0" w:space="0" w:color="auto"/>
        <w:bottom w:val="none" w:sz="0" w:space="0" w:color="auto"/>
        <w:right w:val="none" w:sz="0" w:space="0" w:color="auto"/>
      </w:divBdr>
    </w:div>
    <w:div w:id="132404785">
      <w:bodyDiv w:val="1"/>
      <w:marLeft w:val="0"/>
      <w:marRight w:val="0"/>
      <w:marTop w:val="0"/>
      <w:marBottom w:val="0"/>
      <w:divBdr>
        <w:top w:val="none" w:sz="0" w:space="0" w:color="auto"/>
        <w:left w:val="none" w:sz="0" w:space="0" w:color="auto"/>
        <w:bottom w:val="none" w:sz="0" w:space="0" w:color="auto"/>
        <w:right w:val="none" w:sz="0" w:space="0" w:color="auto"/>
      </w:divBdr>
    </w:div>
    <w:div w:id="136800121">
      <w:bodyDiv w:val="1"/>
      <w:marLeft w:val="0"/>
      <w:marRight w:val="0"/>
      <w:marTop w:val="0"/>
      <w:marBottom w:val="0"/>
      <w:divBdr>
        <w:top w:val="none" w:sz="0" w:space="0" w:color="auto"/>
        <w:left w:val="none" w:sz="0" w:space="0" w:color="auto"/>
        <w:bottom w:val="none" w:sz="0" w:space="0" w:color="auto"/>
        <w:right w:val="none" w:sz="0" w:space="0" w:color="auto"/>
      </w:divBdr>
    </w:div>
    <w:div w:id="157036756">
      <w:bodyDiv w:val="1"/>
      <w:marLeft w:val="0"/>
      <w:marRight w:val="0"/>
      <w:marTop w:val="0"/>
      <w:marBottom w:val="0"/>
      <w:divBdr>
        <w:top w:val="none" w:sz="0" w:space="0" w:color="auto"/>
        <w:left w:val="none" w:sz="0" w:space="0" w:color="auto"/>
        <w:bottom w:val="none" w:sz="0" w:space="0" w:color="auto"/>
        <w:right w:val="none" w:sz="0" w:space="0" w:color="auto"/>
      </w:divBdr>
    </w:div>
    <w:div w:id="172648076">
      <w:bodyDiv w:val="1"/>
      <w:marLeft w:val="0"/>
      <w:marRight w:val="0"/>
      <w:marTop w:val="0"/>
      <w:marBottom w:val="0"/>
      <w:divBdr>
        <w:top w:val="none" w:sz="0" w:space="0" w:color="auto"/>
        <w:left w:val="none" w:sz="0" w:space="0" w:color="auto"/>
        <w:bottom w:val="none" w:sz="0" w:space="0" w:color="auto"/>
        <w:right w:val="none" w:sz="0" w:space="0" w:color="auto"/>
      </w:divBdr>
    </w:div>
    <w:div w:id="181674546">
      <w:bodyDiv w:val="1"/>
      <w:marLeft w:val="0"/>
      <w:marRight w:val="0"/>
      <w:marTop w:val="0"/>
      <w:marBottom w:val="0"/>
      <w:divBdr>
        <w:top w:val="none" w:sz="0" w:space="0" w:color="auto"/>
        <w:left w:val="none" w:sz="0" w:space="0" w:color="auto"/>
        <w:bottom w:val="none" w:sz="0" w:space="0" w:color="auto"/>
        <w:right w:val="none" w:sz="0" w:space="0" w:color="auto"/>
      </w:divBdr>
    </w:div>
    <w:div w:id="181938657">
      <w:bodyDiv w:val="1"/>
      <w:marLeft w:val="0"/>
      <w:marRight w:val="0"/>
      <w:marTop w:val="0"/>
      <w:marBottom w:val="0"/>
      <w:divBdr>
        <w:top w:val="none" w:sz="0" w:space="0" w:color="auto"/>
        <w:left w:val="none" w:sz="0" w:space="0" w:color="auto"/>
        <w:bottom w:val="none" w:sz="0" w:space="0" w:color="auto"/>
        <w:right w:val="none" w:sz="0" w:space="0" w:color="auto"/>
      </w:divBdr>
    </w:div>
    <w:div w:id="190918109">
      <w:bodyDiv w:val="1"/>
      <w:marLeft w:val="0"/>
      <w:marRight w:val="0"/>
      <w:marTop w:val="0"/>
      <w:marBottom w:val="0"/>
      <w:divBdr>
        <w:top w:val="none" w:sz="0" w:space="0" w:color="auto"/>
        <w:left w:val="none" w:sz="0" w:space="0" w:color="auto"/>
        <w:bottom w:val="none" w:sz="0" w:space="0" w:color="auto"/>
        <w:right w:val="none" w:sz="0" w:space="0" w:color="auto"/>
      </w:divBdr>
    </w:div>
    <w:div w:id="194391255">
      <w:bodyDiv w:val="1"/>
      <w:marLeft w:val="0"/>
      <w:marRight w:val="0"/>
      <w:marTop w:val="0"/>
      <w:marBottom w:val="0"/>
      <w:divBdr>
        <w:top w:val="none" w:sz="0" w:space="0" w:color="auto"/>
        <w:left w:val="none" w:sz="0" w:space="0" w:color="auto"/>
        <w:bottom w:val="none" w:sz="0" w:space="0" w:color="auto"/>
        <w:right w:val="none" w:sz="0" w:space="0" w:color="auto"/>
      </w:divBdr>
    </w:div>
    <w:div w:id="204487249">
      <w:bodyDiv w:val="1"/>
      <w:marLeft w:val="0"/>
      <w:marRight w:val="0"/>
      <w:marTop w:val="0"/>
      <w:marBottom w:val="0"/>
      <w:divBdr>
        <w:top w:val="none" w:sz="0" w:space="0" w:color="auto"/>
        <w:left w:val="none" w:sz="0" w:space="0" w:color="auto"/>
        <w:bottom w:val="none" w:sz="0" w:space="0" w:color="auto"/>
        <w:right w:val="none" w:sz="0" w:space="0" w:color="auto"/>
      </w:divBdr>
    </w:div>
    <w:div w:id="206531001">
      <w:bodyDiv w:val="1"/>
      <w:marLeft w:val="0"/>
      <w:marRight w:val="0"/>
      <w:marTop w:val="0"/>
      <w:marBottom w:val="0"/>
      <w:divBdr>
        <w:top w:val="none" w:sz="0" w:space="0" w:color="auto"/>
        <w:left w:val="none" w:sz="0" w:space="0" w:color="auto"/>
        <w:bottom w:val="none" w:sz="0" w:space="0" w:color="auto"/>
        <w:right w:val="none" w:sz="0" w:space="0" w:color="auto"/>
      </w:divBdr>
    </w:div>
    <w:div w:id="215626978">
      <w:bodyDiv w:val="1"/>
      <w:marLeft w:val="0"/>
      <w:marRight w:val="0"/>
      <w:marTop w:val="0"/>
      <w:marBottom w:val="0"/>
      <w:divBdr>
        <w:top w:val="none" w:sz="0" w:space="0" w:color="auto"/>
        <w:left w:val="none" w:sz="0" w:space="0" w:color="auto"/>
        <w:bottom w:val="none" w:sz="0" w:space="0" w:color="auto"/>
        <w:right w:val="none" w:sz="0" w:space="0" w:color="auto"/>
      </w:divBdr>
    </w:div>
    <w:div w:id="230429514">
      <w:bodyDiv w:val="1"/>
      <w:marLeft w:val="0"/>
      <w:marRight w:val="0"/>
      <w:marTop w:val="0"/>
      <w:marBottom w:val="0"/>
      <w:divBdr>
        <w:top w:val="none" w:sz="0" w:space="0" w:color="auto"/>
        <w:left w:val="none" w:sz="0" w:space="0" w:color="auto"/>
        <w:bottom w:val="none" w:sz="0" w:space="0" w:color="auto"/>
        <w:right w:val="none" w:sz="0" w:space="0" w:color="auto"/>
      </w:divBdr>
    </w:div>
    <w:div w:id="259262223">
      <w:bodyDiv w:val="1"/>
      <w:marLeft w:val="0"/>
      <w:marRight w:val="0"/>
      <w:marTop w:val="0"/>
      <w:marBottom w:val="0"/>
      <w:divBdr>
        <w:top w:val="none" w:sz="0" w:space="0" w:color="auto"/>
        <w:left w:val="none" w:sz="0" w:space="0" w:color="auto"/>
        <w:bottom w:val="none" w:sz="0" w:space="0" w:color="auto"/>
        <w:right w:val="none" w:sz="0" w:space="0" w:color="auto"/>
      </w:divBdr>
    </w:div>
    <w:div w:id="267660775">
      <w:bodyDiv w:val="1"/>
      <w:marLeft w:val="0"/>
      <w:marRight w:val="0"/>
      <w:marTop w:val="0"/>
      <w:marBottom w:val="0"/>
      <w:divBdr>
        <w:top w:val="none" w:sz="0" w:space="0" w:color="auto"/>
        <w:left w:val="none" w:sz="0" w:space="0" w:color="auto"/>
        <w:bottom w:val="none" w:sz="0" w:space="0" w:color="auto"/>
        <w:right w:val="none" w:sz="0" w:space="0" w:color="auto"/>
      </w:divBdr>
    </w:div>
    <w:div w:id="282812962">
      <w:bodyDiv w:val="1"/>
      <w:marLeft w:val="0"/>
      <w:marRight w:val="0"/>
      <w:marTop w:val="0"/>
      <w:marBottom w:val="0"/>
      <w:divBdr>
        <w:top w:val="none" w:sz="0" w:space="0" w:color="auto"/>
        <w:left w:val="none" w:sz="0" w:space="0" w:color="auto"/>
        <w:bottom w:val="none" w:sz="0" w:space="0" w:color="auto"/>
        <w:right w:val="none" w:sz="0" w:space="0" w:color="auto"/>
      </w:divBdr>
    </w:div>
    <w:div w:id="284043556">
      <w:bodyDiv w:val="1"/>
      <w:marLeft w:val="0"/>
      <w:marRight w:val="0"/>
      <w:marTop w:val="0"/>
      <w:marBottom w:val="0"/>
      <w:divBdr>
        <w:top w:val="none" w:sz="0" w:space="0" w:color="auto"/>
        <w:left w:val="none" w:sz="0" w:space="0" w:color="auto"/>
        <w:bottom w:val="none" w:sz="0" w:space="0" w:color="auto"/>
        <w:right w:val="none" w:sz="0" w:space="0" w:color="auto"/>
      </w:divBdr>
    </w:div>
    <w:div w:id="287276087">
      <w:bodyDiv w:val="1"/>
      <w:marLeft w:val="0"/>
      <w:marRight w:val="0"/>
      <w:marTop w:val="0"/>
      <w:marBottom w:val="0"/>
      <w:divBdr>
        <w:top w:val="none" w:sz="0" w:space="0" w:color="auto"/>
        <w:left w:val="none" w:sz="0" w:space="0" w:color="auto"/>
        <w:bottom w:val="none" w:sz="0" w:space="0" w:color="auto"/>
        <w:right w:val="none" w:sz="0" w:space="0" w:color="auto"/>
      </w:divBdr>
    </w:div>
    <w:div w:id="323703582">
      <w:bodyDiv w:val="1"/>
      <w:marLeft w:val="0"/>
      <w:marRight w:val="0"/>
      <w:marTop w:val="0"/>
      <w:marBottom w:val="0"/>
      <w:divBdr>
        <w:top w:val="none" w:sz="0" w:space="0" w:color="auto"/>
        <w:left w:val="none" w:sz="0" w:space="0" w:color="auto"/>
        <w:bottom w:val="none" w:sz="0" w:space="0" w:color="auto"/>
        <w:right w:val="none" w:sz="0" w:space="0" w:color="auto"/>
      </w:divBdr>
    </w:div>
    <w:div w:id="382485049">
      <w:bodyDiv w:val="1"/>
      <w:marLeft w:val="0"/>
      <w:marRight w:val="0"/>
      <w:marTop w:val="0"/>
      <w:marBottom w:val="0"/>
      <w:divBdr>
        <w:top w:val="none" w:sz="0" w:space="0" w:color="auto"/>
        <w:left w:val="none" w:sz="0" w:space="0" w:color="auto"/>
        <w:bottom w:val="none" w:sz="0" w:space="0" w:color="auto"/>
        <w:right w:val="none" w:sz="0" w:space="0" w:color="auto"/>
      </w:divBdr>
    </w:div>
    <w:div w:id="414474786">
      <w:bodyDiv w:val="1"/>
      <w:marLeft w:val="0"/>
      <w:marRight w:val="0"/>
      <w:marTop w:val="0"/>
      <w:marBottom w:val="0"/>
      <w:divBdr>
        <w:top w:val="none" w:sz="0" w:space="0" w:color="auto"/>
        <w:left w:val="none" w:sz="0" w:space="0" w:color="auto"/>
        <w:bottom w:val="none" w:sz="0" w:space="0" w:color="auto"/>
        <w:right w:val="none" w:sz="0" w:space="0" w:color="auto"/>
      </w:divBdr>
    </w:div>
    <w:div w:id="417484154">
      <w:bodyDiv w:val="1"/>
      <w:marLeft w:val="0"/>
      <w:marRight w:val="0"/>
      <w:marTop w:val="0"/>
      <w:marBottom w:val="0"/>
      <w:divBdr>
        <w:top w:val="none" w:sz="0" w:space="0" w:color="auto"/>
        <w:left w:val="none" w:sz="0" w:space="0" w:color="auto"/>
        <w:bottom w:val="none" w:sz="0" w:space="0" w:color="auto"/>
        <w:right w:val="none" w:sz="0" w:space="0" w:color="auto"/>
      </w:divBdr>
    </w:div>
    <w:div w:id="453869340">
      <w:bodyDiv w:val="1"/>
      <w:marLeft w:val="0"/>
      <w:marRight w:val="0"/>
      <w:marTop w:val="0"/>
      <w:marBottom w:val="0"/>
      <w:divBdr>
        <w:top w:val="none" w:sz="0" w:space="0" w:color="auto"/>
        <w:left w:val="none" w:sz="0" w:space="0" w:color="auto"/>
        <w:bottom w:val="none" w:sz="0" w:space="0" w:color="auto"/>
        <w:right w:val="none" w:sz="0" w:space="0" w:color="auto"/>
      </w:divBdr>
    </w:div>
    <w:div w:id="457575287">
      <w:bodyDiv w:val="1"/>
      <w:marLeft w:val="0"/>
      <w:marRight w:val="0"/>
      <w:marTop w:val="0"/>
      <w:marBottom w:val="0"/>
      <w:divBdr>
        <w:top w:val="none" w:sz="0" w:space="0" w:color="auto"/>
        <w:left w:val="none" w:sz="0" w:space="0" w:color="auto"/>
        <w:bottom w:val="none" w:sz="0" w:space="0" w:color="auto"/>
        <w:right w:val="none" w:sz="0" w:space="0" w:color="auto"/>
      </w:divBdr>
    </w:div>
    <w:div w:id="462697838">
      <w:bodyDiv w:val="1"/>
      <w:marLeft w:val="0"/>
      <w:marRight w:val="0"/>
      <w:marTop w:val="0"/>
      <w:marBottom w:val="0"/>
      <w:divBdr>
        <w:top w:val="none" w:sz="0" w:space="0" w:color="auto"/>
        <w:left w:val="none" w:sz="0" w:space="0" w:color="auto"/>
        <w:bottom w:val="none" w:sz="0" w:space="0" w:color="auto"/>
        <w:right w:val="none" w:sz="0" w:space="0" w:color="auto"/>
      </w:divBdr>
    </w:div>
    <w:div w:id="463426907">
      <w:bodyDiv w:val="1"/>
      <w:marLeft w:val="0"/>
      <w:marRight w:val="0"/>
      <w:marTop w:val="0"/>
      <w:marBottom w:val="0"/>
      <w:divBdr>
        <w:top w:val="none" w:sz="0" w:space="0" w:color="auto"/>
        <w:left w:val="none" w:sz="0" w:space="0" w:color="auto"/>
        <w:bottom w:val="none" w:sz="0" w:space="0" w:color="auto"/>
        <w:right w:val="none" w:sz="0" w:space="0" w:color="auto"/>
      </w:divBdr>
    </w:div>
    <w:div w:id="500512018">
      <w:bodyDiv w:val="1"/>
      <w:marLeft w:val="0"/>
      <w:marRight w:val="0"/>
      <w:marTop w:val="0"/>
      <w:marBottom w:val="0"/>
      <w:divBdr>
        <w:top w:val="none" w:sz="0" w:space="0" w:color="auto"/>
        <w:left w:val="none" w:sz="0" w:space="0" w:color="auto"/>
        <w:bottom w:val="none" w:sz="0" w:space="0" w:color="auto"/>
        <w:right w:val="none" w:sz="0" w:space="0" w:color="auto"/>
      </w:divBdr>
    </w:div>
    <w:div w:id="500968542">
      <w:bodyDiv w:val="1"/>
      <w:marLeft w:val="0"/>
      <w:marRight w:val="0"/>
      <w:marTop w:val="0"/>
      <w:marBottom w:val="0"/>
      <w:divBdr>
        <w:top w:val="none" w:sz="0" w:space="0" w:color="auto"/>
        <w:left w:val="none" w:sz="0" w:space="0" w:color="auto"/>
        <w:bottom w:val="none" w:sz="0" w:space="0" w:color="auto"/>
        <w:right w:val="none" w:sz="0" w:space="0" w:color="auto"/>
      </w:divBdr>
    </w:div>
    <w:div w:id="516697720">
      <w:bodyDiv w:val="1"/>
      <w:marLeft w:val="0"/>
      <w:marRight w:val="0"/>
      <w:marTop w:val="0"/>
      <w:marBottom w:val="0"/>
      <w:divBdr>
        <w:top w:val="none" w:sz="0" w:space="0" w:color="auto"/>
        <w:left w:val="none" w:sz="0" w:space="0" w:color="auto"/>
        <w:bottom w:val="none" w:sz="0" w:space="0" w:color="auto"/>
        <w:right w:val="none" w:sz="0" w:space="0" w:color="auto"/>
      </w:divBdr>
    </w:div>
    <w:div w:id="536478839">
      <w:bodyDiv w:val="1"/>
      <w:marLeft w:val="0"/>
      <w:marRight w:val="0"/>
      <w:marTop w:val="0"/>
      <w:marBottom w:val="0"/>
      <w:divBdr>
        <w:top w:val="none" w:sz="0" w:space="0" w:color="auto"/>
        <w:left w:val="none" w:sz="0" w:space="0" w:color="auto"/>
        <w:bottom w:val="none" w:sz="0" w:space="0" w:color="auto"/>
        <w:right w:val="none" w:sz="0" w:space="0" w:color="auto"/>
      </w:divBdr>
    </w:div>
    <w:div w:id="557978204">
      <w:bodyDiv w:val="1"/>
      <w:marLeft w:val="0"/>
      <w:marRight w:val="0"/>
      <w:marTop w:val="0"/>
      <w:marBottom w:val="0"/>
      <w:divBdr>
        <w:top w:val="none" w:sz="0" w:space="0" w:color="auto"/>
        <w:left w:val="none" w:sz="0" w:space="0" w:color="auto"/>
        <w:bottom w:val="none" w:sz="0" w:space="0" w:color="auto"/>
        <w:right w:val="none" w:sz="0" w:space="0" w:color="auto"/>
      </w:divBdr>
    </w:div>
    <w:div w:id="565070605">
      <w:bodyDiv w:val="1"/>
      <w:marLeft w:val="0"/>
      <w:marRight w:val="0"/>
      <w:marTop w:val="0"/>
      <w:marBottom w:val="0"/>
      <w:divBdr>
        <w:top w:val="none" w:sz="0" w:space="0" w:color="auto"/>
        <w:left w:val="none" w:sz="0" w:space="0" w:color="auto"/>
        <w:bottom w:val="none" w:sz="0" w:space="0" w:color="auto"/>
        <w:right w:val="none" w:sz="0" w:space="0" w:color="auto"/>
      </w:divBdr>
    </w:div>
    <w:div w:id="573441006">
      <w:bodyDiv w:val="1"/>
      <w:marLeft w:val="0"/>
      <w:marRight w:val="0"/>
      <w:marTop w:val="0"/>
      <w:marBottom w:val="0"/>
      <w:divBdr>
        <w:top w:val="none" w:sz="0" w:space="0" w:color="auto"/>
        <w:left w:val="none" w:sz="0" w:space="0" w:color="auto"/>
        <w:bottom w:val="none" w:sz="0" w:space="0" w:color="auto"/>
        <w:right w:val="none" w:sz="0" w:space="0" w:color="auto"/>
      </w:divBdr>
    </w:div>
    <w:div w:id="597106956">
      <w:bodyDiv w:val="1"/>
      <w:marLeft w:val="0"/>
      <w:marRight w:val="0"/>
      <w:marTop w:val="0"/>
      <w:marBottom w:val="0"/>
      <w:divBdr>
        <w:top w:val="none" w:sz="0" w:space="0" w:color="auto"/>
        <w:left w:val="none" w:sz="0" w:space="0" w:color="auto"/>
        <w:bottom w:val="none" w:sz="0" w:space="0" w:color="auto"/>
        <w:right w:val="none" w:sz="0" w:space="0" w:color="auto"/>
      </w:divBdr>
    </w:div>
    <w:div w:id="613168502">
      <w:bodyDiv w:val="1"/>
      <w:marLeft w:val="0"/>
      <w:marRight w:val="0"/>
      <w:marTop w:val="0"/>
      <w:marBottom w:val="0"/>
      <w:divBdr>
        <w:top w:val="none" w:sz="0" w:space="0" w:color="auto"/>
        <w:left w:val="none" w:sz="0" w:space="0" w:color="auto"/>
        <w:bottom w:val="none" w:sz="0" w:space="0" w:color="auto"/>
        <w:right w:val="none" w:sz="0" w:space="0" w:color="auto"/>
      </w:divBdr>
    </w:div>
    <w:div w:id="614216528">
      <w:bodyDiv w:val="1"/>
      <w:marLeft w:val="0"/>
      <w:marRight w:val="0"/>
      <w:marTop w:val="0"/>
      <w:marBottom w:val="0"/>
      <w:divBdr>
        <w:top w:val="none" w:sz="0" w:space="0" w:color="auto"/>
        <w:left w:val="none" w:sz="0" w:space="0" w:color="auto"/>
        <w:bottom w:val="none" w:sz="0" w:space="0" w:color="auto"/>
        <w:right w:val="none" w:sz="0" w:space="0" w:color="auto"/>
      </w:divBdr>
    </w:div>
    <w:div w:id="667293305">
      <w:bodyDiv w:val="1"/>
      <w:marLeft w:val="0"/>
      <w:marRight w:val="0"/>
      <w:marTop w:val="0"/>
      <w:marBottom w:val="0"/>
      <w:divBdr>
        <w:top w:val="none" w:sz="0" w:space="0" w:color="auto"/>
        <w:left w:val="none" w:sz="0" w:space="0" w:color="auto"/>
        <w:bottom w:val="none" w:sz="0" w:space="0" w:color="auto"/>
        <w:right w:val="none" w:sz="0" w:space="0" w:color="auto"/>
      </w:divBdr>
    </w:div>
    <w:div w:id="731656444">
      <w:bodyDiv w:val="1"/>
      <w:marLeft w:val="0"/>
      <w:marRight w:val="0"/>
      <w:marTop w:val="0"/>
      <w:marBottom w:val="0"/>
      <w:divBdr>
        <w:top w:val="none" w:sz="0" w:space="0" w:color="auto"/>
        <w:left w:val="none" w:sz="0" w:space="0" w:color="auto"/>
        <w:bottom w:val="none" w:sz="0" w:space="0" w:color="auto"/>
        <w:right w:val="none" w:sz="0" w:space="0" w:color="auto"/>
      </w:divBdr>
    </w:div>
    <w:div w:id="736513849">
      <w:bodyDiv w:val="1"/>
      <w:marLeft w:val="0"/>
      <w:marRight w:val="0"/>
      <w:marTop w:val="0"/>
      <w:marBottom w:val="0"/>
      <w:divBdr>
        <w:top w:val="none" w:sz="0" w:space="0" w:color="auto"/>
        <w:left w:val="none" w:sz="0" w:space="0" w:color="auto"/>
        <w:bottom w:val="none" w:sz="0" w:space="0" w:color="auto"/>
        <w:right w:val="none" w:sz="0" w:space="0" w:color="auto"/>
      </w:divBdr>
    </w:div>
    <w:div w:id="755126991">
      <w:bodyDiv w:val="1"/>
      <w:marLeft w:val="0"/>
      <w:marRight w:val="0"/>
      <w:marTop w:val="0"/>
      <w:marBottom w:val="0"/>
      <w:divBdr>
        <w:top w:val="none" w:sz="0" w:space="0" w:color="auto"/>
        <w:left w:val="none" w:sz="0" w:space="0" w:color="auto"/>
        <w:bottom w:val="none" w:sz="0" w:space="0" w:color="auto"/>
        <w:right w:val="none" w:sz="0" w:space="0" w:color="auto"/>
      </w:divBdr>
    </w:div>
    <w:div w:id="763696298">
      <w:bodyDiv w:val="1"/>
      <w:marLeft w:val="0"/>
      <w:marRight w:val="0"/>
      <w:marTop w:val="0"/>
      <w:marBottom w:val="0"/>
      <w:divBdr>
        <w:top w:val="none" w:sz="0" w:space="0" w:color="auto"/>
        <w:left w:val="none" w:sz="0" w:space="0" w:color="auto"/>
        <w:bottom w:val="none" w:sz="0" w:space="0" w:color="auto"/>
        <w:right w:val="none" w:sz="0" w:space="0" w:color="auto"/>
      </w:divBdr>
    </w:div>
    <w:div w:id="775054739">
      <w:bodyDiv w:val="1"/>
      <w:marLeft w:val="0"/>
      <w:marRight w:val="0"/>
      <w:marTop w:val="0"/>
      <w:marBottom w:val="0"/>
      <w:divBdr>
        <w:top w:val="none" w:sz="0" w:space="0" w:color="auto"/>
        <w:left w:val="none" w:sz="0" w:space="0" w:color="auto"/>
        <w:bottom w:val="none" w:sz="0" w:space="0" w:color="auto"/>
        <w:right w:val="none" w:sz="0" w:space="0" w:color="auto"/>
      </w:divBdr>
    </w:div>
    <w:div w:id="802235317">
      <w:bodyDiv w:val="1"/>
      <w:marLeft w:val="0"/>
      <w:marRight w:val="0"/>
      <w:marTop w:val="0"/>
      <w:marBottom w:val="0"/>
      <w:divBdr>
        <w:top w:val="none" w:sz="0" w:space="0" w:color="auto"/>
        <w:left w:val="none" w:sz="0" w:space="0" w:color="auto"/>
        <w:bottom w:val="none" w:sz="0" w:space="0" w:color="auto"/>
        <w:right w:val="none" w:sz="0" w:space="0" w:color="auto"/>
      </w:divBdr>
    </w:div>
    <w:div w:id="812718583">
      <w:bodyDiv w:val="1"/>
      <w:marLeft w:val="0"/>
      <w:marRight w:val="0"/>
      <w:marTop w:val="0"/>
      <w:marBottom w:val="0"/>
      <w:divBdr>
        <w:top w:val="none" w:sz="0" w:space="0" w:color="auto"/>
        <w:left w:val="none" w:sz="0" w:space="0" w:color="auto"/>
        <w:bottom w:val="none" w:sz="0" w:space="0" w:color="auto"/>
        <w:right w:val="none" w:sz="0" w:space="0" w:color="auto"/>
      </w:divBdr>
    </w:div>
    <w:div w:id="812721580">
      <w:bodyDiv w:val="1"/>
      <w:marLeft w:val="0"/>
      <w:marRight w:val="0"/>
      <w:marTop w:val="0"/>
      <w:marBottom w:val="0"/>
      <w:divBdr>
        <w:top w:val="none" w:sz="0" w:space="0" w:color="auto"/>
        <w:left w:val="none" w:sz="0" w:space="0" w:color="auto"/>
        <w:bottom w:val="none" w:sz="0" w:space="0" w:color="auto"/>
        <w:right w:val="none" w:sz="0" w:space="0" w:color="auto"/>
      </w:divBdr>
    </w:div>
    <w:div w:id="819079369">
      <w:bodyDiv w:val="1"/>
      <w:marLeft w:val="0"/>
      <w:marRight w:val="0"/>
      <w:marTop w:val="0"/>
      <w:marBottom w:val="0"/>
      <w:divBdr>
        <w:top w:val="none" w:sz="0" w:space="0" w:color="auto"/>
        <w:left w:val="none" w:sz="0" w:space="0" w:color="auto"/>
        <w:bottom w:val="none" w:sz="0" w:space="0" w:color="auto"/>
        <w:right w:val="none" w:sz="0" w:space="0" w:color="auto"/>
      </w:divBdr>
    </w:div>
    <w:div w:id="822350487">
      <w:bodyDiv w:val="1"/>
      <w:marLeft w:val="0"/>
      <w:marRight w:val="0"/>
      <w:marTop w:val="0"/>
      <w:marBottom w:val="0"/>
      <w:divBdr>
        <w:top w:val="none" w:sz="0" w:space="0" w:color="auto"/>
        <w:left w:val="none" w:sz="0" w:space="0" w:color="auto"/>
        <w:bottom w:val="none" w:sz="0" w:space="0" w:color="auto"/>
        <w:right w:val="none" w:sz="0" w:space="0" w:color="auto"/>
      </w:divBdr>
    </w:div>
    <w:div w:id="822697831">
      <w:bodyDiv w:val="1"/>
      <w:marLeft w:val="0"/>
      <w:marRight w:val="0"/>
      <w:marTop w:val="0"/>
      <w:marBottom w:val="0"/>
      <w:divBdr>
        <w:top w:val="none" w:sz="0" w:space="0" w:color="auto"/>
        <w:left w:val="none" w:sz="0" w:space="0" w:color="auto"/>
        <w:bottom w:val="none" w:sz="0" w:space="0" w:color="auto"/>
        <w:right w:val="none" w:sz="0" w:space="0" w:color="auto"/>
      </w:divBdr>
    </w:div>
    <w:div w:id="840510261">
      <w:bodyDiv w:val="1"/>
      <w:marLeft w:val="0"/>
      <w:marRight w:val="0"/>
      <w:marTop w:val="0"/>
      <w:marBottom w:val="0"/>
      <w:divBdr>
        <w:top w:val="none" w:sz="0" w:space="0" w:color="auto"/>
        <w:left w:val="none" w:sz="0" w:space="0" w:color="auto"/>
        <w:bottom w:val="none" w:sz="0" w:space="0" w:color="auto"/>
        <w:right w:val="none" w:sz="0" w:space="0" w:color="auto"/>
      </w:divBdr>
    </w:div>
    <w:div w:id="853569913">
      <w:bodyDiv w:val="1"/>
      <w:marLeft w:val="0"/>
      <w:marRight w:val="0"/>
      <w:marTop w:val="0"/>
      <w:marBottom w:val="0"/>
      <w:divBdr>
        <w:top w:val="none" w:sz="0" w:space="0" w:color="auto"/>
        <w:left w:val="none" w:sz="0" w:space="0" w:color="auto"/>
        <w:bottom w:val="none" w:sz="0" w:space="0" w:color="auto"/>
        <w:right w:val="none" w:sz="0" w:space="0" w:color="auto"/>
      </w:divBdr>
    </w:div>
    <w:div w:id="865755541">
      <w:bodyDiv w:val="1"/>
      <w:marLeft w:val="0"/>
      <w:marRight w:val="0"/>
      <w:marTop w:val="0"/>
      <w:marBottom w:val="0"/>
      <w:divBdr>
        <w:top w:val="none" w:sz="0" w:space="0" w:color="auto"/>
        <w:left w:val="none" w:sz="0" w:space="0" w:color="auto"/>
        <w:bottom w:val="none" w:sz="0" w:space="0" w:color="auto"/>
        <w:right w:val="none" w:sz="0" w:space="0" w:color="auto"/>
      </w:divBdr>
    </w:div>
    <w:div w:id="868878021">
      <w:bodyDiv w:val="1"/>
      <w:marLeft w:val="0"/>
      <w:marRight w:val="0"/>
      <w:marTop w:val="0"/>
      <w:marBottom w:val="0"/>
      <w:divBdr>
        <w:top w:val="none" w:sz="0" w:space="0" w:color="auto"/>
        <w:left w:val="none" w:sz="0" w:space="0" w:color="auto"/>
        <w:bottom w:val="none" w:sz="0" w:space="0" w:color="auto"/>
        <w:right w:val="none" w:sz="0" w:space="0" w:color="auto"/>
      </w:divBdr>
    </w:div>
    <w:div w:id="884831835">
      <w:bodyDiv w:val="1"/>
      <w:marLeft w:val="0"/>
      <w:marRight w:val="0"/>
      <w:marTop w:val="0"/>
      <w:marBottom w:val="0"/>
      <w:divBdr>
        <w:top w:val="none" w:sz="0" w:space="0" w:color="auto"/>
        <w:left w:val="none" w:sz="0" w:space="0" w:color="auto"/>
        <w:bottom w:val="none" w:sz="0" w:space="0" w:color="auto"/>
        <w:right w:val="none" w:sz="0" w:space="0" w:color="auto"/>
      </w:divBdr>
    </w:div>
    <w:div w:id="886800107">
      <w:bodyDiv w:val="1"/>
      <w:marLeft w:val="0"/>
      <w:marRight w:val="0"/>
      <w:marTop w:val="0"/>
      <w:marBottom w:val="0"/>
      <w:divBdr>
        <w:top w:val="none" w:sz="0" w:space="0" w:color="auto"/>
        <w:left w:val="none" w:sz="0" w:space="0" w:color="auto"/>
        <w:bottom w:val="none" w:sz="0" w:space="0" w:color="auto"/>
        <w:right w:val="none" w:sz="0" w:space="0" w:color="auto"/>
      </w:divBdr>
    </w:div>
    <w:div w:id="900334339">
      <w:bodyDiv w:val="1"/>
      <w:marLeft w:val="0"/>
      <w:marRight w:val="0"/>
      <w:marTop w:val="0"/>
      <w:marBottom w:val="0"/>
      <w:divBdr>
        <w:top w:val="none" w:sz="0" w:space="0" w:color="auto"/>
        <w:left w:val="none" w:sz="0" w:space="0" w:color="auto"/>
        <w:bottom w:val="none" w:sz="0" w:space="0" w:color="auto"/>
        <w:right w:val="none" w:sz="0" w:space="0" w:color="auto"/>
      </w:divBdr>
    </w:div>
    <w:div w:id="901067321">
      <w:bodyDiv w:val="1"/>
      <w:marLeft w:val="0"/>
      <w:marRight w:val="0"/>
      <w:marTop w:val="0"/>
      <w:marBottom w:val="0"/>
      <w:divBdr>
        <w:top w:val="none" w:sz="0" w:space="0" w:color="auto"/>
        <w:left w:val="none" w:sz="0" w:space="0" w:color="auto"/>
        <w:bottom w:val="none" w:sz="0" w:space="0" w:color="auto"/>
        <w:right w:val="none" w:sz="0" w:space="0" w:color="auto"/>
      </w:divBdr>
    </w:div>
    <w:div w:id="914703286">
      <w:bodyDiv w:val="1"/>
      <w:marLeft w:val="0"/>
      <w:marRight w:val="0"/>
      <w:marTop w:val="0"/>
      <w:marBottom w:val="0"/>
      <w:divBdr>
        <w:top w:val="none" w:sz="0" w:space="0" w:color="auto"/>
        <w:left w:val="none" w:sz="0" w:space="0" w:color="auto"/>
        <w:bottom w:val="none" w:sz="0" w:space="0" w:color="auto"/>
        <w:right w:val="none" w:sz="0" w:space="0" w:color="auto"/>
      </w:divBdr>
    </w:div>
    <w:div w:id="963728037">
      <w:bodyDiv w:val="1"/>
      <w:marLeft w:val="0"/>
      <w:marRight w:val="0"/>
      <w:marTop w:val="0"/>
      <w:marBottom w:val="0"/>
      <w:divBdr>
        <w:top w:val="none" w:sz="0" w:space="0" w:color="auto"/>
        <w:left w:val="none" w:sz="0" w:space="0" w:color="auto"/>
        <w:bottom w:val="none" w:sz="0" w:space="0" w:color="auto"/>
        <w:right w:val="none" w:sz="0" w:space="0" w:color="auto"/>
      </w:divBdr>
    </w:div>
    <w:div w:id="970941423">
      <w:bodyDiv w:val="1"/>
      <w:marLeft w:val="0"/>
      <w:marRight w:val="0"/>
      <w:marTop w:val="0"/>
      <w:marBottom w:val="0"/>
      <w:divBdr>
        <w:top w:val="none" w:sz="0" w:space="0" w:color="auto"/>
        <w:left w:val="none" w:sz="0" w:space="0" w:color="auto"/>
        <w:bottom w:val="none" w:sz="0" w:space="0" w:color="auto"/>
        <w:right w:val="none" w:sz="0" w:space="0" w:color="auto"/>
      </w:divBdr>
    </w:div>
    <w:div w:id="991567345">
      <w:bodyDiv w:val="1"/>
      <w:marLeft w:val="0"/>
      <w:marRight w:val="0"/>
      <w:marTop w:val="0"/>
      <w:marBottom w:val="0"/>
      <w:divBdr>
        <w:top w:val="none" w:sz="0" w:space="0" w:color="auto"/>
        <w:left w:val="none" w:sz="0" w:space="0" w:color="auto"/>
        <w:bottom w:val="none" w:sz="0" w:space="0" w:color="auto"/>
        <w:right w:val="none" w:sz="0" w:space="0" w:color="auto"/>
      </w:divBdr>
    </w:div>
    <w:div w:id="995063572">
      <w:bodyDiv w:val="1"/>
      <w:marLeft w:val="0"/>
      <w:marRight w:val="0"/>
      <w:marTop w:val="0"/>
      <w:marBottom w:val="0"/>
      <w:divBdr>
        <w:top w:val="none" w:sz="0" w:space="0" w:color="auto"/>
        <w:left w:val="none" w:sz="0" w:space="0" w:color="auto"/>
        <w:bottom w:val="none" w:sz="0" w:space="0" w:color="auto"/>
        <w:right w:val="none" w:sz="0" w:space="0" w:color="auto"/>
      </w:divBdr>
    </w:div>
    <w:div w:id="997272095">
      <w:bodyDiv w:val="1"/>
      <w:marLeft w:val="0"/>
      <w:marRight w:val="0"/>
      <w:marTop w:val="0"/>
      <w:marBottom w:val="0"/>
      <w:divBdr>
        <w:top w:val="none" w:sz="0" w:space="0" w:color="auto"/>
        <w:left w:val="none" w:sz="0" w:space="0" w:color="auto"/>
        <w:bottom w:val="none" w:sz="0" w:space="0" w:color="auto"/>
        <w:right w:val="none" w:sz="0" w:space="0" w:color="auto"/>
      </w:divBdr>
    </w:div>
    <w:div w:id="1022130699">
      <w:bodyDiv w:val="1"/>
      <w:marLeft w:val="0"/>
      <w:marRight w:val="0"/>
      <w:marTop w:val="0"/>
      <w:marBottom w:val="0"/>
      <w:divBdr>
        <w:top w:val="none" w:sz="0" w:space="0" w:color="auto"/>
        <w:left w:val="none" w:sz="0" w:space="0" w:color="auto"/>
        <w:bottom w:val="none" w:sz="0" w:space="0" w:color="auto"/>
        <w:right w:val="none" w:sz="0" w:space="0" w:color="auto"/>
      </w:divBdr>
    </w:div>
    <w:div w:id="1032414846">
      <w:bodyDiv w:val="1"/>
      <w:marLeft w:val="0"/>
      <w:marRight w:val="0"/>
      <w:marTop w:val="0"/>
      <w:marBottom w:val="0"/>
      <w:divBdr>
        <w:top w:val="none" w:sz="0" w:space="0" w:color="auto"/>
        <w:left w:val="none" w:sz="0" w:space="0" w:color="auto"/>
        <w:bottom w:val="none" w:sz="0" w:space="0" w:color="auto"/>
        <w:right w:val="none" w:sz="0" w:space="0" w:color="auto"/>
      </w:divBdr>
    </w:div>
    <w:div w:id="1065226642">
      <w:bodyDiv w:val="1"/>
      <w:marLeft w:val="0"/>
      <w:marRight w:val="0"/>
      <w:marTop w:val="0"/>
      <w:marBottom w:val="0"/>
      <w:divBdr>
        <w:top w:val="none" w:sz="0" w:space="0" w:color="auto"/>
        <w:left w:val="none" w:sz="0" w:space="0" w:color="auto"/>
        <w:bottom w:val="none" w:sz="0" w:space="0" w:color="auto"/>
        <w:right w:val="none" w:sz="0" w:space="0" w:color="auto"/>
      </w:divBdr>
    </w:div>
    <w:div w:id="1069767687">
      <w:bodyDiv w:val="1"/>
      <w:marLeft w:val="0"/>
      <w:marRight w:val="0"/>
      <w:marTop w:val="0"/>
      <w:marBottom w:val="0"/>
      <w:divBdr>
        <w:top w:val="none" w:sz="0" w:space="0" w:color="auto"/>
        <w:left w:val="none" w:sz="0" w:space="0" w:color="auto"/>
        <w:bottom w:val="none" w:sz="0" w:space="0" w:color="auto"/>
        <w:right w:val="none" w:sz="0" w:space="0" w:color="auto"/>
      </w:divBdr>
    </w:div>
    <w:div w:id="1084718904">
      <w:bodyDiv w:val="1"/>
      <w:marLeft w:val="0"/>
      <w:marRight w:val="0"/>
      <w:marTop w:val="0"/>
      <w:marBottom w:val="0"/>
      <w:divBdr>
        <w:top w:val="none" w:sz="0" w:space="0" w:color="auto"/>
        <w:left w:val="none" w:sz="0" w:space="0" w:color="auto"/>
        <w:bottom w:val="none" w:sz="0" w:space="0" w:color="auto"/>
        <w:right w:val="none" w:sz="0" w:space="0" w:color="auto"/>
      </w:divBdr>
    </w:div>
    <w:div w:id="1101022883">
      <w:bodyDiv w:val="1"/>
      <w:marLeft w:val="0"/>
      <w:marRight w:val="0"/>
      <w:marTop w:val="0"/>
      <w:marBottom w:val="0"/>
      <w:divBdr>
        <w:top w:val="none" w:sz="0" w:space="0" w:color="auto"/>
        <w:left w:val="none" w:sz="0" w:space="0" w:color="auto"/>
        <w:bottom w:val="none" w:sz="0" w:space="0" w:color="auto"/>
        <w:right w:val="none" w:sz="0" w:space="0" w:color="auto"/>
      </w:divBdr>
    </w:div>
    <w:div w:id="1109736054">
      <w:bodyDiv w:val="1"/>
      <w:marLeft w:val="0"/>
      <w:marRight w:val="0"/>
      <w:marTop w:val="0"/>
      <w:marBottom w:val="0"/>
      <w:divBdr>
        <w:top w:val="none" w:sz="0" w:space="0" w:color="auto"/>
        <w:left w:val="none" w:sz="0" w:space="0" w:color="auto"/>
        <w:bottom w:val="none" w:sz="0" w:space="0" w:color="auto"/>
        <w:right w:val="none" w:sz="0" w:space="0" w:color="auto"/>
      </w:divBdr>
      <w:divsChild>
        <w:div w:id="1500926284">
          <w:marLeft w:val="0"/>
          <w:marRight w:val="0"/>
          <w:marTop w:val="0"/>
          <w:marBottom w:val="0"/>
          <w:divBdr>
            <w:top w:val="none" w:sz="0" w:space="0" w:color="auto"/>
            <w:left w:val="none" w:sz="0" w:space="0" w:color="auto"/>
            <w:bottom w:val="none" w:sz="0" w:space="0" w:color="auto"/>
            <w:right w:val="none" w:sz="0" w:space="0" w:color="auto"/>
          </w:divBdr>
          <w:divsChild>
            <w:div w:id="1169518895">
              <w:marLeft w:val="0"/>
              <w:marRight w:val="0"/>
              <w:marTop w:val="0"/>
              <w:marBottom w:val="0"/>
              <w:divBdr>
                <w:top w:val="none" w:sz="0" w:space="0" w:color="auto"/>
                <w:left w:val="none" w:sz="0" w:space="0" w:color="auto"/>
                <w:bottom w:val="none" w:sz="0" w:space="0" w:color="auto"/>
                <w:right w:val="none" w:sz="0" w:space="0" w:color="auto"/>
              </w:divBdr>
              <w:divsChild>
                <w:div w:id="40057930">
                  <w:marLeft w:val="0"/>
                  <w:marRight w:val="0"/>
                  <w:marTop w:val="0"/>
                  <w:marBottom w:val="0"/>
                  <w:divBdr>
                    <w:top w:val="none" w:sz="0" w:space="0" w:color="auto"/>
                    <w:left w:val="none" w:sz="0" w:space="0" w:color="auto"/>
                    <w:bottom w:val="none" w:sz="0" w:space="0" w:color="auto"/>
                    <w:right w:val="none" w:sz="0" w:space="0" w:color="auto"/>
                  </w:divBdr>
                  <w:divsChild>
                    <w:div w:id="1448812042">
                      <w:marLeft w:val="0"/>
                      <w:marRight w:val="0"/>
                      <w:marTop w:val="0"/>
                      <w:marBottom w:val="0"/>
                      <w:divBdr>
                        <w:top w:val="none" w:sz="0" w:space="0" w:color="auto"/>
                        <w:left w:val="none" w:sz="0" w:space="0" w:color="auto"/>
                        <w:bottom w:val="none" w:sz="0" w:space="0" w:color="auto"/>
                        <w:right w:val="none" w:sz="0" w:space="0" w:color="auto"/>
                      </w:divBdr>
                      <w:divsChild>
                        <w:div w:id="465660096">
                          <w:marLeft w:val="0"/>
                          <w:marRight w:val="0"/>
                          <w:marTop w:val="0"/>
                          <w:marBottom w:val="0"/>
                          <w:divBdr>
                            <w:top w:val="none" w:sz="0" w:space="0" w:color="auto"/>
                            <w:left w:val="none" w:sz="0" w:space="0" w:color="auto"/>
                            <w:bottom w:val="none" w:sz="0" w:space="0" w:color="auto"/>
                            <w:right w:val="none" w:sz="0" w:space="0" w:color="auto"/>
                          </w:divBdr>
                          <w:divsChild>
                            <w:div w:id="909005009">
                              <w:marLeft w:val="0"/>
                              <w:marRight w:val="0"/>
                              <w:marTop w:val="0"/>
                              <w:marBottom w:val="0"/>
                              <w:divBdr>
                                <w:top w:val="none" w:sz="0" w:space="0" w:color="auto"/>
                                <w:left w:val="none" w:sz="0" w:space="0" w:color="auto"/>
                                <w:bottom w:val="none" w:sz="0" w:space="0" w:color="auto"/>
                                <w:right w:val="none" w:sz="0" w:space="0" w:color="auto"/>
                              </w:divBdr>
                              <w:divsChild>
                                <w:div w:id="539438240">
                                  <w:marLeft w:val="0"/>
                                  <w:marRight w:val="0"/>
                                  <w:marTop w:val="0"/>
                                  <w:marBottom w:val="0"/>
                                  <w:divBdr>
                                    <w:top w:val="none" w:sz="0" w:space="0" w:color="auto"/>
                                    <w:left w:val="none" w:sz="0" w:space="0" w:color="auto"/>
                                    <w:bottom w:val="none" w:sz="0" w:space="0" w:color="auto"/>
                                    <w:right w:val="none" w:sz="0" w:space="0" w:color="auto"/>
                                  </w:divBdr>
                                  <w:divsChild>
                                    <w:div w:id="2106462122">
                                      <w:marLeft w:val="0"/>
                                      <w:marRight w:val="0"/>
                                      <w:marTop w:val="0"/>
                                      <w:marBottom w:val="0"/>
                                      <w:divBdr>
                                        <w:top w:val="none" w:sz="0" w:space="0" w:color="auto"/>
                                        <w:left w:val="none" w:sz="0" w:space="0" w:color="auto"/>
                                        <w:bottom w:val="none" w:sz="0" w:space="0" w:color="auto"/>
                                        <w:right w:val="none" w:sz="0" w:space="0" w:color="auto"/>
                                      </w:divBdr>
                                      <w:divsChild>
                                        <w:div w:id="2135176378">
                                          <w:marLeft w:val="0"/>
                                          <w:marRight w:val="0"/>
                                          <w:marTop w:val="0"/>
                                          <w:marBottom w:val="0"/>
                                          <w:divBdr>
                                            <w:top w:val="none" w:sz="0" w:space="0" w:color="auto"/>
                                            <w:left w:val="none" w:sz="0" w:space="0" w:color="auto"/>
                                            <w:bottom w:val="none" w:sz="0" w:space="0" w:color="auto"/>
                                            <w:right w:val="none" w:sz="0" w:space="0" w:color="auto"/>
                                          </w:divBdr>
                                          <w:divsChild>
                                            <w:div w:id="26416026">
                                              <w:marLeft w:val="0"/>
                                              <w:marRight w:val="0"/>
                                              <w:marTop w:val="0"/>
                                              <w:marBottom w:val="0"/>
                                              <w:divBdr>
                                                <w:top w:val="none" w:sz="0" w:space="0" w:color="auto"/>
                                                <w:left w:val="none" w:sz="0" w:space="0" w:color="auto"/>
                                                <w:bottom w:val="none" w:sz="0" w:space="0" w:color="auto"/>
                                                <w:right w:val="none" w:sz="0" w:space="0" w:color="auto"/>
                                              </w:divBdr>
                                              <w:divsChild>
                                                <w:div w:id="1636179918">
                                                  <w:marLeft w:val="0"/>
                                                  <w:marRight w:val="0"/>
                                                  <w:marTop w:val="0"/>
                                                  <w:marBottom w:val="0"/>
                                                  <w:divBdr>
                                                    <w:top w:val="none" w:sz="0" w:space="0" w:color="auto"/>
                                                    <w:left w:val="none" w:sz="0" w:space="0" w:color="auto"/>
                                                    <w:bottom w:val="none" w:sz="0" w:space="0" w:color="auto"/>
                                                    <w:right w:val="none" w:sz="0" w:space="0" w:color="auto"/>
                                                  </w:divBdr>
                                                </w:div>
                                                <w:div w:id="2118214709">
                                                  <w:marLeft w:val="0"/>
                                                  <w:marRight w:val="0"/>
                                                  <w:marTop w:val="0"/>
                                                  <w:marBottom w:val="0"/>
                                                  <w:divBdr>
                                                    <w:top w:val="none" w:sz="0" w:space="0" w:color="auto"/>
                                                    <w:left w:val="none" w:sz="0" w:space="0" w:color="auto"/>
                                                    <w:bottom w:val="none" w:sz="0" w:space="0" w:color="auto"/>
                                                    <w:right w:val="none" w:sz="0" w:space="0" w:color="auto"/>
                                                  </w:divBdr>
                                                  <w:divsChild>
                                                    <w:div w:id="654065983">
                                                      <w:marLeft w:val="0"/>
                                                      <w:marRight w:val="0"/>
                                                      <w:marTop w:val="0"/>
                                                      <w:marBottom w:val="0"/>
                                                      <w:divBdr>
                                                        <w:top w:val="none" w:sz="0" w:space="0" w:color="auto"/>
                                                        <w:left w:val="none" w:sz="0" w:space="0" w:color="auto"/>
                                                        <w:bottom w:val="none" w:sz="0" w:space="0" w:color="auto"/>
                                                        <w:right w:val="none" w:sz="0" w:space="0" w:color="auto"/>
                                                      </w:divBdr>
                                                      <w:divsChild>
                                                        <w:div w:id="1373572153">
                                                          <w:marLeft w:val="0"/>
                                                          <w:marRight w:val="0"/>
                                                          <w:marTop w:val="0"/>
                                                          <w:marBottom w:val="0"/>
                                                          <w:divBdr>
                                                            <w:top w:val="none" w:sz="0" w:space="0" w:color="auto"/>
                                                            <w:left w:val="none" w:sz="0" w:space="0" w:color="auto"/>
                                                            <w:bottom w:val="none" w:sz="0" w:space="0" w:color="auto"/>
                                                            <w:right w:val="none" w:sz="0" w:space="0" w:color="auto"/>
                                                          </w:divBdr>
                                                          <w:divsChild>
                                                            <w:div w:id="891690763">
                                                              <w:marLeft w:val="0"/>
                                                              <w:marRight w:val="0"/>
                                                              <w:marTop w:val="0"/>
                                                              <w:marBottom w:val="0"/>
                                                              <w:divBdr>
                                                                <w:top w:val="none" w:sz="0" w:space="0" w:color="auto"/>
                                                                <w:left w:val="none" w:sz="0" w:space="0" w:color="auto"/>
                                                                <w:bottom w:val="none" w:sz="0" w:space="0" w:color="auto"/>
                                                                <w:right w:val="none" w:sz="0" w:space="0" w:color="auto"/>
                                                              </w:divBdr>
                                                              <w:divsChild>
                                                                <w:div w:id="1804535920">
                                                                  <w:marLeft w:val="0"/>
                                                                  <w:marRight w:val="0"/>
                                                                  <w:marTop w:val="0"/>
                                                                  <w:marBottom w:val="0"/>
                                                                  <w:divBdr>
                                                                    <w:top w:val="none" w:sz="0" w:space="0" w:color="auto"/>
                                                                    <w:left w:val="none" w:sz="0" w:space="0" w:color="auto"/>
                                                                    <w:bottom w:val="none" w:sz="0" w:space="0" w:color="auto"/>
                                                                    <w:right w:val="none" w:sz="0" w:space="0" w:color="auto"/>
                                                                  </w:divBdr>
                                                                  <w:divsChild>
                                                                    <w:div w:id="13684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56915045">
      <w:bodyDiv w:val="1"/>
      <w:marLeft w:val="0"/>
      <w:marRight w:val="0"/>
      <w:marTop w:val="0"/>
      <w:marBottom w:val="0"/>
      <w:divBdr>
        <w:top w:val="none" w:sz="0" w:space="0" w:color="auto"/>
        <w:left w:val="none" w:sz="0" w:space="0" w:color="auto"/>
        <w:bottom w:val="none" w:sz="0" w:space="0" w:color="auto"/>
        <w:right w:val="none" w:sz="0" w:space="0" w:color="auto"/>
      </w:divBdr>
    </w:div>
    <w:div w:id="1162938167">
      <w:bodyDiv w:val="1"/>
      <w:marLeft w:val="0"/>
      <w:marRight w:val="0"/>
      <w:marTop w:val="0"/>
      <w:marBottom w:val="0"/>
      <w:divBdr>
        <w:top w:val="none" w:sz="0" w:space="0" w:color="auto"/>
        <w:left w:val="none" w:sz="0" w:space="0" w:color="auto"/>
        <w:bottom w:val="none" w:sz="0" w:space="0" w:color="auto"/>
        <w:right w:val="none" w:sz="0" w:space="0" w:color="auto"/>
      </w:divBdr>
    </w:div>
    <w:div w:id="1177620458">
      <w:bodyDiv w:val="1"/>
      <w:marLeft w:val="0"/>
      <w:marRight w:val="0"/>
      <w:marTop w:val="0"/>
      <w:marBottom w:val="0"/>
      <w:divBdr>
        <w:top w:val="none" w:sz="0" w:space="0" w:color="auto"/>
        <w:left w:val="none" w:sz="0" w:space="0" w:color="auto"/>
        <w:bottom w:val="none" w:sz="0" w:space="0" w:color="auto"/>
        <w:right w:val="none" w:sz="0" w:space="0" w:color="auto"/>
      </w:divBdr>
    </w:div>
    <w:div w:id="1183545328">
      <w:bodyDiv w:val="1"/>
      <w:marLeft w:val="0"/>
      <w:marRight w:val="0"/>
      <w:marTop w:val="0"/>
      <w:marBottom w:val="0"/>
      <w:divBdr>
        <w:top w:val="none" w:sz="0" w:space="0" w:color="auto"/>
        <w:left w:val="none" w:sz="0" w:space="0" w:color="auto"/>
        <w:bottom w:val="none" w:sz="0" w:space="0" w:color="auto"/>
        <w:right w:val="none" w:sz="0" w:space="0" w:color="auto"/>
      </w:divBdr>
    </w:div>
    <w:div w:id="1187869878">
      <w:bodyDiv w:val="1"/>
      <w:marLeft w:val="0"/>
      <w:marRight w:val="0"/>
      <w:marTop w:val="0"/>
      <w:marBottom w:val="0"/>
      <w:divBdr>
        <w:top w:val="none" w:sz="0" w:space="0" w:color="auto"/>
        <w:left w:val="none" w:sz="0" w:space="0" w:color="auto"/>
        <w:bottom w:val="none" w:sz="0" w:space="0" w:color="auto"/>
        <w:right w:val="none" w:sz="0" w:space="0" w:color="auto"/>
      </w:divBdr>
    </w:div>
    <w:div w:id="1225412760">
      <w:bodyDiv w:val="1"/>
      <w:marLeft w:val="0"/>
      <w:marRight w:val="0"/>
      <w:marTop w:val="0"/>
      <w:marBottom w:val="0"/>
      <w:divBdr>
        <w:top w:val="none" w:sz="0" w:space="0" w:color="auto"/>
        <w:left w:val="none" w:sz="0" w:space="0" w:color="auto"/>
        <w:bottom w:val="none" w:sz="0" w:space="0" w:color="auto"/>
        <w:right w:val="none" w:sz="0" w:space="0" w:color="auto"/>
      </w:divBdr>
    </w:div>
    <w:div w:id="1225720987">
      <w:bodyDiv w:val="1"/>
      <w:marLeft w:val="0"/>
      <w:marRight w:val="0"/>
      <w:marTop w:val="0"/>
      <w:marBottom w:val="0"/>
      <w:divBdr>
        <w:top w:val="none" w:sz="0" w:space="0" w:color="auto"/>
        <w:left w:val="none" w:sz="0" w:space="0" w:color="auto"/>
        <w:bottom w:val="none" w:sz="0" w:space="0" w:color="auto"/>
        <w:right w:val="none" w:sz="0" w:space="0" w:color="auto"/>
      </w:divBdr>
    </w:div>
    <w:div w:id="1226136501">
      <w:bodyDiv w:val="1"/>
      <w:marLeft w:val="0"/>
      <w:marRight w:val="0"/>
      <w:marTop w:val="0"/>
      <w:marBottom w:val="0"/>
      <w:divBdr>
        <w:top w:val="none" w:sz="0" w:space="0" w:color="auto"/>
        <w:left w:val="none" w:sz="0" w:space="0" w:color="auto"/>
        <w:bottom w:val="none" w:sz="0" w:space="0" w:color="auto"/>
        <w:right w:val="none" w:sz="0" w:space="0" w:color="auto"/>
      </w:divBdr>
    </w:div>
    <w:div w:id="1228607281">
      <w:bodyDiv w:val="1"/>
      <w:marLeft w:val="0"/>
      <w:marRight w:val="0"/>
      <w:marTop w:val="0"/>
      <w:marBottom w:val="0"/>
      <w:divBdr>
        <w:top w:val="none" w:sz="0" w:space="0" w:color="auto"/>
        <w:left w:val="none" w:sz="0" w:space="0" w:color="auto"/>
        <w:bottom w:val="none" w:sz="0" w:space="0" w:color="auto"/>
        <w:right w:val="none" w:sz="0" w:space="0" w:color="auto"/>
      </w:divBdr>
    </w:div>
    <w:div w:id="1236281913">
      <w:bodyDiv w:val="1"/>
      <w:marLeft w:val="0"/>
      <w:marRight w:val="0"/>
      <w:marTop w:val="0"/>
      <w:marBottom w:val="0"/>
      <w:divBdr>
        <w:top w:val="none" w:sz="0" w:space="0" w:color="auto"/>
        <w:left w:val="none" w:sz="0" w:space="0" w:color="auto"/>
        <w:bottom w:val="none" w:sz="0" w:space="0" w:color="auto"/>
        <w:right w:val="none" w:sz="0" w:space="0" w:color="auto"/>
      </w:divBdr>
    </w:div>
    <w:div w:id="1266959449">
      <w:bodyDiv w:val="1"/>
      <w:marLeft w:val="0"/>
      <w:marRight w:val="0"/>
      <w:marTop w:val="0"/>
      <w:marBottom w:val="0"/>
      <w:divBdr>
        <w:top w:val="none" w:sz="0" w:space="0" w:color="auto"/>
        <w:left w:val="none" w:sz="0" w:space="0" w:color="auto"/>
        <w:bottom w:val="none" w:sz="0" w:space="0" w:color="auto"/>
        <w:right w:val="none" w:sz="0" w:space="0" w:color="auto"/>
      </w:divBdr>
    </w:div>
    <w:div w:id="1334452852">
      <w:bodyDiv w:val="1"/>
      <w:marLeft w:val="0"/>
      <w:marRight w:val="0"/>
      <w:marTop w:val="0"/>
      <w:marBottom w:val="0"/>
      <w:divBdr>
        <w:top w:val="none" w:sz="0" w:space="0" w:color="auto"/>
        <w:left w:val="none" w:sz="0" w:space="0" w:color="auto"/>
        <w:bottom w:val="none" w:sz="0" w:space="0" w:color="auto"/>
        <w:right w:val="none" w:sz="0" w:space="0" w:color="auto"/>
      </w:divBdr>
    </w:div>
    <w:div w:id="1341396827">
      <w:bodyDiv w:val="1"/>
      <w:marLeft w:val="0"/>
      <w:marRight w:val="0"/>
      <w:marTop w:val="0"/>
      <w:marBottom w:val="0"/>
      <w:divBdr>
        <w:top w:val="none" w:sz="0" w:space="0" w:color="auto"/>
        <w:left w:val="none" w:sz="0" w:space="0" w:color="auto"/>
        <w:bottom w:val="none" w:sz="0" w:space="0" w:color="auto"/>
        <w:right w:val="none" w:sz="0" w:space="0" w:color="auto"/>
      </w:divBdr>
    </w:div>
    <w:div w:id="1420250087">
      <w:bodyDiv w:val="1"/>
      <w:marLeft w:val="0"/>
      <w:marRight w:val="0"/>
      <w:marTop w:val="0"/>
      <w:marBottom w:val="0"/>
      <w:divBdr>
        <w:top w:val="none" w:sz="0" w:space="0" w:color="auto"/>
        <w:left w:val="none" w:sz="0" w:space="0" w:color="auto"/>
        <w:bottom w:val="none" w:sz="0" w:space="0" w:color="auto"/>
        <w:right w:val="none" w:sz="0" w:space="0" w:color="auto"/>
      </w:divBdr>
    </w:div>
    <w:div w:id="1429302925">
      <w:bodyDiv w:val="1"/>
      <w:marLeft w:val="0"/>
      <w:marRight w:val="0"/>
      <w:marTop w:val="0"/>
      <w:marBottom w:val="0"/>
      <w:divBdr>
        <w:top w:val="none" w:sz="0" w:space="0" w:color="auto"/>
        <w:left w:val="none" w:sz="0" w:space="0" w:color="auto"/>
        <w:bottom w:val="none" w:sz="0" w:space="0" w:color="auto"/>
        <w:right w:val="none" w:sz="0" w:space="0" w:color="auto"/>
      </w:divBdr>
    </w:div>
    <w:div w:id="1434664839">
      <w:bodyDiv w:val="1"/>
      <w:marLeft w:val="0"/>
      <w:marRight w:val="0"/>
      <w:marTop w:val="0"/>
      <w:marBottom w:val="0"/>
      <w:divBdr>
        <w:top w:val="none" w:sz="0" w:space="0" w:color="auto"/>
        <w:left w:val="none" w:sz="0" w:space="0" w:color="auto"/>
        <w:bottom w:val="none" w:sz="0" w:space="0" w:color="auto"/>
        <w:right w:val="none" w:sz="0" w:space="0" w:color="auto"/>
      </w:divBdr>
    </w:div>
    <w:div w:id="1444182343">
      <w:bodyDiv w:val="1"/>
      <w:marLeft w:val="0"/>
      <w:marRight w:val="0"/>
      <w:marTop w:val="0"/>
      <w:marBottom w:val="0"/>
      <w:divBdr>
        <w:top w:val="none" w:sz="0" w:space="0" w:color="auto"/>
        <w:left w:val="none" w:sz="0" w:space="0" w:color="auto"/>
        <w:bottom w:val="none" w:sz="0" w:space="0" w:color="auto"/>
        <w:right w:val="none" w:sz="0" w:space="0" w:color="auto"/>
      </w:divBdr>
    </w:div>
    <w:div w:id="1476609023">
      <w:bodyDiv w:val="1"/>
      <w:marLeft w:val="0"/>
      <w:marRight w:val="0"/>
      <w:marTop w:val="0"/>
      <w:marBottom w:val="0"/>
      <w:divBdr>
        <w:top w:val="none" w:sz="0" w:space="0" w:color="auto"/>
        <w:left w:val="none" w:sz="0" w:space="0" w:color="auto"/>
        <w:bottom w:val="none" w:sz="0" w:space="0" w:color="auto"/>
        <w:right w:val="none" w:sz="0" w:space="0" w:color="auto"/>
      </w:divBdr>
    </w:div>
    <w:div w:id="1503818243">
      <w:bodyDiv w:val="1"/>
      <w:marLeft w:val="0"/>
      <w:marRight w:val="0"/>
      <w:marTop w:val="0"/>
      <w:marBottom w:val="0"/>
      <w:divBdr>
        <w:top w:val="none" w:sz="0" w:space="0" w:color="auto"/>
        <w:left w:val="none" w:sz="0" w:space="0" w:color="auto"/>
        <w:bottom w:val="none" w:sz="0" w:space="0" w:color="auto"/>
        <w:right w:val="none" w:sz="0" w:space="0" w:color="auto"/>
      </w:divBdr>
    </w:div>
    <w:div w:id="1514421847">
      <w:bodyDiv w:val="1"/>
      <w:marLeft w:val="0"/>
      <w:marRight w:val="0"/>
      <w:marTop w:val="0"/>
      <w:marBottom w:val="0"/>
      <w:divBdr>
        <w:top w:val="none" w:sz="0" w:space="0" w:color="auto"/>
        <w:left w:val="none" w:sz="0" w:space="0" w:color="auto"/>
        <w:bottom w:val="none" w:sz="0" w:space="0" w:color="auto"/>
        <w:right w:val="none" w:sz="0" w:space="0" w:color="auto"/>
      </w:divBdr>
    </w:div>
    <w:div w:id="1514610119">
      <w:bodyDiv w:val="1"/>
      <w:marLeft w:val="0"/>
      <w:marRight w:val="0"/>
      <w:marTop w:val="0"/>
      <w:marBottom w:val="0"/>
      <w:divBdr>
        <w:top w:val="none" w:sz="0" w:space="0" w:color="auto"/>
        <w:left w:val="none" w:sz="0" w:space="0" w:color="auto"/>
        <w:bottom w:val="none" w:sz="0" w:space="0" w:color="auto"/>
        <w:right w:val="none" w:sz="0" w:space="0" w:color="auto"/>
      </w:divBdr>
    </w:div>
    <w:div w:id="1520317779">
      <w:bodyDiv w:val="1"/>
      <w:marLeft w:val="0"/>
      <w:marRight w:val="0"/>
      <w:marTop w:val="0"/>
      <w:marBottom w:val="0"/>
      <w:divBdr>
        <w:top w:val="none" w:sz="0" w:space="0" w:color="auto"/>
        <w:left w:val="none" w:sz="0" w:space="0" w:color="auto"/>
        <w:bottom w:val="none" w:sz="0" w:space="0" w:color="auto"/>
        <w:right w:val="none" w:sz="0" w:space="0" w:color="auto"/>
      </w:divBdr>
    </w:div>
    <w:div w:id="1547334231">
      <w:bodyDiv w:val="1"/>
      <w:marLeft w:val="0"/>
      <w:marRight w:val="0"/>
      <w:marTop w:val="0"/>
      <w:marBottom w:val="0"/>
      <w:divBdr>
        <w:top w:val="none" w:sz="0" w:space="0" w:color="auto"/>
        <w:left w:val="none" w:sz="0" w:space="0" w:color="auto"/>
        <w:bottom w:val="none" w:sz="0" w:space="0" w:color="auto"/>
        <w:right w:val="none" w:sz="0" w:space="0" w:color="auto"/>
      </w:divBdr>
    </w:div>
    <w:div w:id="1581402883">
      <w:bodyDiv w:val="1"/>
      <w:marLeft w:val="0"/>
      <w:marRight w:val="0"/>
      <w:marTop w:val="0"/>
      <w:marBottom w:val="0"/>
      <w:divBdr>
        <w:top w:val="none" w:sz="0" w:space="0" w:color="auto"/>
        <w:left w:val="none" w:sz="0" w:space="0" w:color="auto"/>
        <w:bottom w:val="none" w:sz="0" w:space="0" w:color="auto"/>
        <w:right w:val="none" w:sz="0" w:space="0" w:color="auto"/>
      </w:divBdr>
    </w:div>
    <w:div w:id="1590195593">
      <w:bodyDiv w:val="1"/>
      <w:marLeft w:val="0"/>
      <w:marRight w:val="0"/>
      <w:marTop w:val="0"/>
      <w:marBottom w:val="0"/>
      <w:divBdr>
        <w:top w:val="none" w:sz="0" w:space="0" w:color="auto"/>
        <w:left w:val="none" w:sz="0" w:space="0" w:color="auto"/>
        <w:bottom w:val="none" w:sz="0" w:space="0" w:color="auto"/>
        <w:right w:val="none" w:sz="0" w:space="0" w:color="auto"/>
      </w:divBdr>
    </w:div>
    <w:div w:id="1591041131">
      <w:bodyDiv w:val="1"/>
      <w:marLeft w:val="0"/>
      <w:marRight w:val="0"/>
      <w:marTop w:val="0"/>
      <w:marBottom w:val="0"/>
      <w:divBdr>
        <w:top w:val="none" w:sz="0" w:space="0" w:color="auto"/>
        <w:left w:val="none" w:sz="0" w:space="0" w:color="auto"/>
        <w:bottom w:val="none" w:sz="0" w:space="0" w:color="auto"/>
        <w:right w:val="none" w:sz="0" w:space="0" w:color="auto"/>
      </w:divBdr>
    </w:div>
    <w:div w:id="1598489505">
      <w:bodyDiv w:val="1"/>
      <w:marLeft w:val="0"/>
      <w:marRight w:val="0"/>
      <w:marTop w:val="0"/>
      <w:marBottom w:val="0"/>
      <w:divBdr>
        <w:top w:val="none" w:sz="0" w:space="0" w:color="auto"/>
        <w:left w:val="none" w:sz="0" w:space="0" w:color="auto"/>
        <w:bottom w:val="none" w:sz="0" w:space="0" w:color="auto"/>
        <w:right w:val="none" w:sz="0" w:space="0" w:color="auto"/>
      </w:divBdr>
    </w:div>
    <w:div w:id="1616255677">
      <w:bodyDiv w:val="1"/>
      <w:marLeft w:val="0"/>
      <w:marRight w:val="0"/>
      <w:marTop w:val="0"/>
      <w:marBottom w:val="0"/>
      <w:divBdr>
        <w:top w:val="none" w:sz="0" w:space="0" w:color="auto"/>
        <w:left w:val="none" w:sz="0" w:space="0" w:color="auto"/>
        <w:bottom w:val="none" w:sz="0" w:space="0" w:color="auto"/>
        <w:right w:val="none" w:sz="0" w:space="0" w:color="auto"/>
      </w:divBdr>
    </w:div>
    <w:div w:id="1622882824">
      <w:bodyDiv w:val="1"/>
      <w:marLeft w:val="0"/>
      <w:marRight w:val="0"/>
      <w:marTop w:val="0"/>
      <w:marBottom w:val="0"/>
      <w:divBdr>
        <w:top w:val="none" w:sz="0" w:space="0" w:color="auto"/>
        <w:left w:val="none" w:sz="0" w:space="0" w:color="auto"/>
        <w:bottom w:val="none" w:sz="0" w:space="0" w:color="auto"/>
        <w:right w:val="none" w:sz="0" w:space="0" w:color="auto"/>
      </w:divBdr>
    </w:div>
    <w:div w:id="1636175742">
      <w:bodyDiv w:val="1"/>
      <w:marLeft w:val="0"/>
      <w:marRight w:val="0"/>
      <w:marTop w:val="0"/>
      <w:marBottom w:val="0"/>
      <w:divBdr>
        <w:top w:val="none" w:sz="0" w:space="0" w:color="auto"/>
        <w:left w:val="none" w:sz="0" w:space="0" w:color="auto"/>
        <w:bottom w:val="none" w:sz="0" w:space="0" w:color="auto"/>
        <w:right w:val="none" w:sz="0" w:space="0" w:color="auto"/>
      </w:divBdr>
    </w:div>
    <w:div w:id="1642878558">
      <w:bodyDiv w:val="1"/>
      <w:marLeft w:val="0"/>
      <w:marRight w:val="0"/>
      <w:marTop w:val="0"/>
      <w:marBottom w:val="0"/>
      <w:divBdr>
        <w:top w:val="none" w:sz="0" w:space="0" w:color="auto"/>
        <w:left w:val="none" w:sz="0" w:space="0" w:color="auto"/>
        <w:bottom w:val="none" w:sz="0" w:space="0" w:color="auto"/>
        <w:right w:val="none" w:sz="0" w:space="0" w:color="auto"/>
      </w:divBdr>
    </w:div>
    <w:div w:id="1667707093">
      <w:bodyDiv w:val="1"/>
      <w:marLeft w:val="0"/>
      <w:marRight w:val="0"/>
      <w:marTop w:val="0"/>
      <w:marBottom w:val="0"/>
      <w:divBdr>
        <w:top w:val="none" w:sz="0" w:space="0" w:color="auto"/>
        <w:left w:val="none" w:sz="0" w:space="0" w:color="auto"/>
        <w:bottom w:val="none" w:sz="0" w:space="0" w:color="auto"/>
        <w:right w:val="none" w:sz="0" w:space="0" w:color="auto"/>
      </w:divBdr>
    </w:div>
    <w:div w:id="1694648901">
      <w:bodyDiv w:val="1"/>
      <w:marLeft w:val="0"/>
      <w:marRight w:val="0"/>
      <w:marTop w:val="0"/>
      <w:marBottom w:val="0"/>
      <w:divBdr>
        <w:top w:val="none" w:sz="0" w:space="0" w:color="auto"/>
        <w:left w:val="none" w:sz="0" w:space="0" w:color="auto"/>
        <w:bottom w:val="none" w:sz="0" w:space="0" w:color="auto"/>
        <w:right w:val="none" w:sz="0" w:space="0" w:color="auto"/>
      </w:divBdr>
    </w:div>
    <w:div w:id="1722366690">
      <w:bodyDiv w:val="1"/>
      <w:marLeft w:val="0"/>
      <w:marRight w:val="0"/>
      <w:marTop w:val="0"/>
      <w:marBottom w:val="0"/>
      <w:divBdr>
        <w:top w:val="none" w:sz="0" w:space="0" w:color="auto"/>
        <w:left w:val="none" w:sz="0" w:space="0" w:color="auto"/>
        <w:bottom w:val="none" w:sz="0" w:space="0" w:color="auto"/>
        <w:right w:val="none" w:sz="0" w:space="0" w:color="auto"/>
      </w:divBdr>
    </w:div>
    <w:div w:id="1726174421">
      <w:bodyDiv w:val="1"/>
      <w:marLeft w:val="0"/>
      <w:marRight w:val="0"/>
      <w:marTop w:val="0"/>
      <w:marBottom w:val="0"/>
      <w:divBdr>
        <w:top w:val="none" w:sz="0" w:space="0" w:color="auto"/>
        <w:left w:val="none" w:sz="0" w:space="0" w:color="auto"/>
        <w:bottom w:val="none" w:sz="0" w:space="0" w:color="auto"/>
        <w:right w:val="none" w:sz="0" w:space="0" w:color="auto"/>
      </w:divBdr>
    </w:div>
    <w:div w:id="1728604079">
      <w:bodyDiv w:val="1"/>
      <w:marLeft w:val="0"/>
      <w:marRight w:val="0"/>
      <w:marTop w:val="0"/>
      <w:marBottom w:val="0"/>
      <w:divBdr>
        <w:top w:val="none" w:sz="0" w:space="0" w:color="auto"/>
        <w:left w:val="none" w:sz="0" w:space="0" w:color="auto"/>
        <w:bottom w:val="none" w:sz="0" w:space="0" w:color="auto"/>
        <w:right w:val="none" w:sz="0" w:space="0" w:color="auto"/>
      </w:divBdr>
    </w:div>
    <w:div w:id="1735466018">
      <w:bodyDiv w:val="1"/>
      <w:marLeft w:val="0"/>
      <w:marRight w:val="0"/>
      <w:marTop w:val="0"/>
      <w:marBottom w:val="0"/>
      <w:divBdr>
        <w:top w:val="none" w:sz="0" w:space="0" w:color="auto"/>
        <w:left w:val="none" w:sz="0" w:space="0" w:color="auto"/>
        <w:bottom w:val="none" w:sz="0" w:space="0" w:color="auto"/>
        <w:right w:val="none" w:sz="0" w:space="0" w:color="auto"/>
      </w:divBdr>
    </w:div>
    <w:div w:id="1747264326">
      <w:bodyDiv w:val="1"/>
      <w:marLeft w:val="0"/>
      <w:marRight w:val="0"/>
      <w:marTop w:val="0"/>
      <w:marBottom w:val="0"/>
      <w:divBdr>
        <w:top w:val="none" w:sz="0" w:space="0" w:color="auto"/>
        <w:left w:val="none" w:sz="0" w:space="0" w:color="auto"/>
        <w:bottom w:val="none" w:sz="0" w:space="0" w:color="auto"/>
        <w:right w:val="none" w:sz="0" w:space="0" w:color="auto"/>
      </w:divBdr>
    </w:div>
    <w:div w:id="1771008739">
      <w:bodyDiv w:val="1"/>
      <w:marLeft w:val="0"/>
      <w:marRight w:val="0"/>
      <w:marTop w:val="0"/>
      <w:marBottom w:val="0"/>
      <w:divBdr>
        <w:top w:val="none" w:sz="0" w:space="0" w:color="auto"/>
        <w:left w:val="none" w:sz="0" w:space="0" w:color="auto"/>
        <w:bottom w:val="none" w:sz="0" w:space="0" w:color="auto"/>
        <w:right w:val="none" w:sz="0" w:space="0" w:color="auto"/>
      </w:divBdr>
    </w:div>
    <w:div w:id="1771775109">
      <w:bodyDiv w:val="1"/>
      <w:marLeft w:val="0"/>
      <w:marRight w:val="0"/>
      <w:marTop w:val="0"/>
      <w:marBottom w:val="0"/>
      <w:divBdr>
        <w:top w:val="none" w:sz="0" w:space="0" w:color="auto"/>
        <w:left w:val="none" w:sz="0" w:space="0" w:color="auto"/>
        <w:bottom w:val="none" w:sz="0" w:space="0" w:color="auto"/>
        <w:right w:val="none" w:sz="0" w:space="0" w:color="auto"/>
      </w:divBdr>
    </w:div>
    <w:div w:id="1792703704">
      <w:bodyDiv w:val="1"/>
      <w:marLeft w:val="0"/>
      <w:marRight w:val="0"/>
      <w:marTop w:val="0"/>
      <w:marBottom w:val="0"/>
      <w:divBdr>
        <w:top w:val="none" w:sz="0" w:space="0" w:color="auto"/>
        <w:left w:val="none" w:sz="0" w:space="0" w:color="auto"/>
        <w:bottom w:val="none" w:sz="0" w:space="0" w:color="auto"/>
        <w:right w:val="none" w:sz="0" w:space="0" w:color="auto"/>
      </w:divBdr>
    </w:div>
    <w:div w:id="1801797321">
      <w:bodyDiv w:val="1"/>
      <w:marLeft w:val="0"/>
      <w:marRight w:val="0"/>
      <w:marTop w:val="0"/>
      <w:marBottom w:val="0"/>
      <w:divBdr>
        <w:top w:val="none" w:sz="0" w:space="0" w:color="auto"/>
        <w:left w:val="none" w:sz="0" w:space="0" w:color="auto"/>
        <w:bottom w:val="none" w:sz="0" w:space="0" w:color="auto"/>
        <w:right w:val="none" w:sz="0" w:space="0" w:color="auto"/>
      </w:divBdr>
    </w:div>
    <w:div w:id="1812939903">
      <w:bodyDiv w:val="1"/>
      <w:marLeft w:val="0"/>
      <w:marRight w:val="0"/>
      <w:marTop w:val="0"/>
      <w:marBottom w:val="0"/>
      <w:divBdr>
        <w:top w:val="none" w:sz="0" w:space="0" w:color="auto"/>
        <w:left w:val="none" w:sz="0" w:space="0" w:color="auto"/>
        <w:bottom w:val="none" w:sz="0" w:space="0" w:color="auto"/>
        <w:right w:val="none" w:sz="0" w:space="0" w:color="auto"/>
      </w:divBdr>
    </w:div>
    <w:div w:id="1818648165">
      <w:bodyDiv w:val="1"/>
      <w:marLeft w:val="0"/>
      <w:marRight w:val="0"/>
      <w:marTop w:val="0"/>
      <w:marBottom w:val="0"/>
      <w:divBdr>
        <w:top w:val="none" w:sz="0" w:space="0" w:color="auto"/>
        <w:left w:val="none" w:sz="0" w:space="0" w:color="auto"/>
        <w:bottom w:val="none" w:sz="0" w:space="0" w:color="auto"/>
        <w:right w:val="none" w:sz="0" w:space="0" w:color="auto"/>
      </w:divBdr>
    </w:div>
    <w:div w:id="1829901905">
      <w:bodyDiv w:val="1"/>
      <w:marLeft w:val="0"/>
      <w:marRight w:val="0"/>
      <w:marTop w:val="0"/>
      <w:marBottom w:val="0"/>
      <w:divBdr>
        <w:top w:val="none" w:sz="0" w:space="0" w:color="auto"/>
        <w:left w:val="none" w:sz="0" w:space="0" w:color="auto"/>
        <w:bottom w:val="none" w:sz="0" w:space="0" w:color="auto"/>
        <w:right w:val="none" w:sz="0" w:space="0" w:color="auto"/>
      </w:divBdr>
    </w:div>
    <w:div w:id="1830294463">
      <w:bodyDiv w:val="1"/>
      <w:marLeft w:val="0"/>
      <w:marRight w:val="0"/>
      <w:marTop w:val="0"/>
      <w:marBottom w:val="0"/>
      <w:divBdr>
        <w:top w:val="none" w:sz="0" w:space="0" w:color="auto"/>
        <w:left w:val="none" w:sz="0" w:space="0" w:color="auto"/>
        <w:bottom w:val="none" w:sz="0" w:space="0" w:color="auto"/>
        <w:right w:val="none" w:sz="0" w:space="0" w:color="auto"/>
      </w:divBdr>
    </w:div>
    <w:div w:id="1845318256">
      <w:bodyDiv w:val="1"/>
      <w:marLeft w:val="0"/>
      <w:marRight w:val="0"/>
      <w:marTop w:val="0"/>
      <w:marBottom w:val="0"/>
      <w:divBdr>
        <w:top w:val="none" w:sz="0" w:space="0" w:color="auto"/>
        <w:left w:val="none" w:sz="0" w:space="0" w:color="auto"/>
        <w:bottom w:val="none" w:sz="0" w:space="0" w:color="auto"/>
        <w:right w:val="none" w:sz="0" w:space="0" w:color="auto"/>
      </w:divBdr>
    </w:div>
    <w:div w:id="1846943515">
      <w:bodyDiv w:val="1"/>
      <w:marLeft w:val="0"/>
      <w:marRight w:val="0"/>
      <w:marTop w:val="0"/>
      <w:marBottom w:val="0"/>
      <w:divBdr>
        <w:top w:val="none" w:sz="0" w:space="0" w:color="auto"/>
        <w:left w:val="none" w:sz="0" w:space="0" w:color="auto"/>
        <w:bottom w:val="none" w:sz="0" w:space="0" w:color="auto"/>
        <w:right w:val="none" w:sz="0" w:space="0" w:color="auto"/>
      </w:divBdr>
    </w:div>
    <w:div w:id="1855417283">
      <w:bodyDiv w:val="1"/>
      <w:marLeft w:val="0"/>
      <w:marRight w:val="0"/>
      <w:marTop w:val="0"/>
      <w:marBottom w:val="0"/>
      <w:divBdr>
        <w:top w:val="none" w:sz="0" w:space="0" w:color="auto"/>
        <w:left w:val="none" w:sz="0" w:space="0" w:color="auto"/>
        <w:bottom w:val="none" w:sz="0" w:space="0" w:color="auto"/>
        <w:right w:val="none" w:sz="0" w:space="0" w:color="auto"/>
      </w:divBdr>
    </w:div>
    <w:div w:id="1855921246">
      <w:bodyDiv w:val="1"/>
      <w:marLeft w:val="0"/>
      <w:marRight w:val="0"/>
      <w:marTop w:val="0"/>
      <w:marBottom w:val="0"/>
      <w:divBdr>
        <w:top w:val="none" w:sz="0" w:space="0" w:color="auto"/>
        <w:left w:val="none" w:sz="0" w:space="0" w:color="auto"/>
        <w:bottom w:val="none" w:sz="0" w:space="0" w:color="auto"/>
        <w:right w:val="none" w:sz="0" w:space="0" w:color="auto"/>
      </w:divBdr>
    </w:div>
    <w:div w:id="1865050065">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099360">
      <w:bodyDiv w:val="1"/>
      <w:marLeft w:val="0"/>
      <w:marRight w:val="0"/>
      <w:marTop w:val="0"/>
      <w:marBottom w:val="0"/>
      <w:divBdr>
        <w:top w:val="none" w:sz="0" w:space="0" w:color="auto"/>
        <w:left w:val="none" w:sz="0" w:space="0" w:color="auto"/>
        <w:bottom w:val="none" w:sz="0" w:space="0" w:color="auto"/>
        <w:right w:val="none" w:sz="0" w:space="0" w:color="auto"/>
      </w:divBdr>
    </w:div>
    <w:div w:id="1913390480">
      <w:bodyDiv w:val="1"/>
      <w:marLeft w:val="0"/>
      <w:marRight w:val="0"/>
      <w:marTop w:val="0"/>
      <w:marBottom w:val="0"/>
      <w:divBdr>
        <w:top w:val="none" w:sz="0" w:space="0" w:color="auto"/>
        <w:left w:val="none" w:sz="0" w:space="0" w:color="auto"/>
        <w:bottom w:val="none" w:sz="0" w:space="0" w:color="auto"/>
        <w:right w:val="none" w:sz="0" w:space="0" w:color="auto"/>
      </w:divBdr>
    </w:div>
    <w:div w:id="1926836493">
      <w:bodyDiv w:val="1"/>
      <w:marLeft w:val="0"/>
      <w:marRight w:val="0"/>
      <w:marTop w:val="0"/>
      <w:marBottom w:val="0"/>
      <w:divBdr>
        <w:top w:val="none" w:sz="0" w:space="0" w:color="auto"/>
        <w:left w:val="none" w:sz="0" w:space="0" w:color="auto"/>
        <w:bottom w:val="none" w:sz="0" w:space="0" w:color="auto"/>
        <w:right w:val="none" w:sz="0" w:space="0" w:color="auto"/>
      </w:divBdr>
    </w:div>
    <w:div w:id="1937057191">
      <w:bodyDiv w:val="1"/>
      <w:marLeft w:val="0"/>
      <w:marRight w:val="0"/>
      <w:marTop w:val="0"/>
      <w:marBottom w:val="0"/>
      <w:divBdr>
        <w:top w:val="none" w:sz="0" w:space="0" w:color="auto"/>
        <w:left w:val="none" w:sz="0" w:space="0" w:color="auto"/>
        <w:bottom w:val="none" w:sz="0" w:space="0" w:color="auto"/>
        <w:right w:val="none" w:sz="0" w:space="0" w:color="auto"/>
      </w:divBdr>
    </w:div>
    <w:div w:id="1938516994">
      <w:bodyDiv w:val="1"/>
      <w:marLeft w:val="0"/>
      <w:marRight w:val="0"/>
      <w:marTop w:val="0"/>
      <w:marBottom w:val="0"/>
      <w:divBdr>
        <w:top w:val="none" w:sz="0" w:space="0" w:color="auto"/>
        <w:left w:val="none" w:sz="0" w:space="0" w:color="auto"/>
        <w:bottom w:val="none" w:sz="0" w:space="0" w:color="auto"/>
        <w:right w:val="none" w:sz="0" w:space="0" w:color="auto"/>
      </w:divBdr>
    </w:div>
    <w:div w:id="1950433915">
      <w:bodyDiv w:val="1"/>
      <w:marLeft w:val="0"/>
      <w:marRight w:val="0"/>
      <w:marTop w:val="0"/>
      <w:marBottom w:val="0"/>
      <w:divBdr>
        <w:top w:val="none" w:sz="0" w:space="0" w:color="auto"/>
        <w:left w:val="none" w:sz="0" w:space="0" w:color="auto"/>
        <w:bottom w:val="none" w:sz="0" w:space="0" w:color="auto"/>
        <w:right w:val="none" w:sz="0" w:space="0" w:color="auto"/>
      </w:divBdr>
    </w:div>
    <w:div w:id="1972246461">
      <w:bodyDiv w:val="1"/>
      <w:marLeft w:val="0"/>
      <w:marRight w:val="0"/>
      <w:marTop w:val="0"/>
      <w:marBottom w:val="0"/>
      <w:divBdr>
        <w:top w:val="none" w:sz="0" w:space="0" w:color="auto"/>
        <w:left w:val="none" w:sz="0" w:space="0" w:color="auto"/>
        <w:bottom w:val="none" w:sz="0" w:space="0" w:color="auto"/>
        <w:right w:val="none" w:sz="0" w:space="0" w:color="auto"/>
      </w:divBdr>
    </w:div>
    <w:div w:id="1984892512">
      <w:bodyDiv w:val="1"/>
      <w:marLeft w:val="0"/>
      <w:marRight w:val="0"/>
      <w:marTop w:val="0"/>
      <w:marBottom w:val="0"/>
      <w:divBdr>
        <w:top w:val="none" w:sz="0" w:space="0" w:color="auto"/>
        <w:left w:val="none" w:sz="0" w:space="0" w:color="auto"/>
        <w:bottom w:val="none" w:sz="0" w:space="0" w:color="auto"/>
        <w:right w:val="none" w:sz="0" w:space="0" w:color="auto"/>
      </w:divBdr>
    </w:div>
    <w:div w:id="2007585112">
      <w:bodyDiv w:val="1"/>
      <w:marLeft w:val="0"/>
      <w:marRight w:val="0"/>
      <w:marTop w:val="0"/>
      <w:marBottom w:val="0"/>
      <w:divBdr>
        <w:top w:val="none" w:sz="0" w:space="0" w:color="auto"/>
        <w:left w:val="none" w:sz="0" w:space="0" w:color="auto"/>
        <w:bottom w:val="none" w:sz="0" w:space="0" w:color="auto"/>
        <w:right w:val="none" w:sz="0" w:space="0" w:color="auto"/>
      </w:divBdr>
    </w:div>
    <w:div w:id="2013022254">
      <w:bodyDiv w:val="1"/>
      <w:marLeft w:val="0"/>
      <w:marRight w:val="0"/>
      <w:marTop w:val="0"/>
      <w:marBottom w:val="0"/>
      <w:divBdr>
        <w:top w:val="none" w:sz="0" w:space="0" w:color="auto"/>
        <w:left w:val="none" w:sz="0" w:space="0" w:color="auto"/>
        <w:bottom w:val="none" w:sz="0" w:space="0" w:color="auto"/>
        <w:right w:val="none" w:sz="0" w:space="0" w:color="auto"/>
      </w:divBdr>
    </w:div>
    <w:div w:id="2029600335">
      <w:bodyDiv w:val="1"/>
      <w:marLeft w:val="0"/>
      <w:marRight w:val="0"/>
      <w:marTop w:val="0"/>
      <w:marBottom w:val="0"/>
      <w:divBdr>
        <w:top w:val="none" w:sz="0" w:space="0" w:color="auto"/>
        <w:left w:val="none" w:sz="0" w:space="0" w:color="auto"/>
        <w:bottom w:val="none" w:sz="0" w:space="0" w:color="auto"/>
        <w:right w:val="none" w:sz="0" w:space="0" w:color="auto"/>
      </w:divBdr>
    </w:div>
    <w:div w:id="2047095987">
      <w:bodyDiv w:val="1"/>
      <w:marLeft w:val="0"/>
      <w:marRight w:val="0"/>
      <w:marTop w:val="0"/>
      <w:marBottom w:val="0"/>
      <w:divBdr>
        <w:top w:val="none" w:sz="0" w:space="0" w:color="auto"/>
        <w:left w:val="none" w:sz="0" w:space="0" w:color="auto"/>
        <w:bottom w:val="none" w:sz="0" w:space="0" w:color="auto"/>
        <w:right w:val="none" w:sz="0" w:space="0" w:color="auto"/>
      </w:divBdr>
    </w:div>
    <w:div w:id="2087796676">
      <w:bodyDiv w:val="1"/>
      <w:marLeft w:val="0"/>
      <w:marRight w:val="0"/>
      <w:marTop w:val="0"/>
      <w:marBottom w:val="0"/>
      <w:divBdr>
        <w:top w:val="none" w:sz="0" w:space="0" w:color="auto"/>
        <w:left w:val="none" w:sz="0" w:space="0" w:color="auto"/>
        <w:bottom w:val="none" w:sz="0" w:space="0" w:color="auto"/>
        <w:right w:val="none" w:sz="0" w:space="0" w:color="auto"/>
      </w:divBdr>
    </w:div>
    <w:div w:id="2090997463">
      <w:bodyDiv w:val="1"/>
      <w:marLeft w:val="0"/>
      <w:marRight w:val="0"/>
      <w:marTop w:val="0"/>
      <w:marBottom w:val="0"/>
      <w:divBdr>
        <w:top w:val="none" w:sz="0" w:space="0" w:color="auto"/>
        <w:left w:val="none" w:sz="0" w:space="0" w:color="auto"/>
        <w:bottom w:val="none" w:sz="0" w:space="0" w:color="auto"/>
        <w:right w:val="none" w:sz="0" w:space="0" w:color="auto"/>
      </w:divBdr>
    </w:div>
    <w:div w:id="2101413863">
      <w:bodyDiv w:val="1"/>
      <w:marLeft w:val="0"/>
      <w:marRight w:val="0"/>
      <w:marTop w:val="0"/>
      <w:marBottom w:val="0"/>
      <w:divBdr>
        <w:top w:val="none" w:sz="0" w:space="0" w:color="auto"/>
        <w:left w:val="none" w:sz="0" w:space="0" w:color="auto"/>
        <w:bottom w:val="none" w:sz="0" w:space="0" w:color="auto"/>
        <w:right w:val="none" w:sz="0" w:space="0" w:color="auto"/>
      </w:divBdr>
    </w:div>
    <w:div w:id="2104839721">
      <w:bodyDiv w:val="1"/>
      <w:marLeft w:val="0"/>
      <w:marRight w:val="0"/>
      <w:marTop w:val="0"/>
      <w:marBottom w:val="0"/>
      <w:divBdr>
        <w:top w:val="none" w:sz="0" w:space="0" w:color="auto"/>
        <w:left w:val="none" w:sz="0" w:space="0" w:color="auto"/>
        <w:bottom w:val="none" w:sz="0" w:space="0" w:color="auto"/>
        <w:right w:val="none" w:sz="0" w:space="0" w:color="auto"/>
      </w:divBdr>
    </w:div>
    <w:div w:id="2108649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ncbi.nlm.nih.gov/pubmed/?term=Nelson%20J%5BAuthor%5D&amp;cauthor=true&amp;cauthor_uid=28335004" TargetMode="External"/><Relationship Id="rId13" Type="http://schemas.openxmlformats.org/officeDocument/2006/relationships/hyperlink" Target="https://www.ncbi.nlm.nih.gov/pubmed/?term=Iriarte%20E%5BAuthor%5D&amp;cauthor=true&amp;cauthor_uid=28335004" TargetMode="External"/><Relationship Id="rId3" Type="http://schemas.openxmlformats.org/officeDocument/2006/relationships/hyperlink" Target="https://www.ncbi.nlm.nih.gov/pubmed/?term=Gagnier%20MC%5BAuthor%5D&amp;cauthor=true&amp;cauthor_uid=28335004" TargetMode="External"/><Relationship Id="rId7" Type="http://schemas.openxmlformats.org/officeDocument/2006/relationships/hyperlink" Target="https://www.ncbi.nlm.nih.gov/pubmed/?term=McNellan%20CR%5BAuthor%5D&amp;cauthor=true&amp;cauthor_uid=28335004" TargetMode="External"/><Relationship Id="rId12" Type="http://schemas.openxmlformats.org/officeDocument/2006/relationships/hyperlink" Target="https://www.ncbi.nlm.nih.gov/pubmed/?term=Z%C3%BA%C3%B1iga-Brenes%20P%5BAuthor%5D&amp;cauthor=true&amp;cauthor_uid=28335004" TargetMode="External"/><Relationship Id="rId2" Type="http://schemas.openxmlformats.org/officeDocument/2006/relationships/hyperlink" Target="https://www.ncbi.nlm.nih.gov/pubmed/?term=Colombara%20DV%5BAuthor%5D&amp;cauthor=true&amp;cauthor_uid=28335004" TargetMode="External"/><Relationship Id="rId16" Type="http://schemas.openxmlformats.org/officeDocument/2006/relationships/hyperlink" Target="http://www.who.int/choice/demography/american_region/en/" TargetMode="External"/><Relationship Id="rId1" Type="http://schemas.openxmlformats.org/officeDocument/2006/relationships/hyperlink" Target="https://www.ncbi.nlm.nih.gov/pubmed/?term=Hernandez%20B%5BAuthor%5D&amp;cauthor=true&amp;cauthor_uid=28335004" TargetMode="External"/><Relationship Id="rId6" Type="http://schemas.openxmlformats.org/officeDocument/2006/relationships/hyperlink" Target="https://www.ncbi.nlm.nih.gov/pubmed/?term=Johanns%20C%5BAuthor%5D&amp;cauthor=true&amp;cauthor_uid=28335004" TargetMode="External"/><Relationship Id="rId11" Type="http://schemas.openxmlformats.org/officeDocument/2006/relationships/hyperlink" Target="https://www.ncbi.nlm.nih.gov/pubmed/?term=Schaefer%20A%5BAuthor%5D&amp;cauthor=true&amp;cauthor_uid=28335004" TargetMode="External"/><Relationship Id="rId5" Type="http://schemas.openxmlformats.org/officeDocument/2006/relationships/hyperlink" Target="https://www.ncbi.nlm.nih.gov/pubmed/?term=Haakenstad%20A%5BAuthor%5D&amp;cauthor=true&amp;cauthor_uid=28335004" TargetMode="External"/><Relationship Id="rId15" Type="http://schemas.openxmlformats.org/officeDocument/2006/relationships/hyperlink" Target="https://www.ncbi.nlm.nih.gov/pubmed/28335004" TargetMode="External"/><Relationship Id="rId10" Type="http://schemas.openxmlformats.org/officeDocument/2006/relationships/hyperlink" Target="https://www.ncbi.nlm.nih.gov/pubmed/?term=R%C3%ADos-Zertuche%20D%5BAuthor%5D&amp;cauthor=true&amp;cauthor_uid=28335004" TargetMode="External"/><Relationship Id="rId4" Type="http://schemas.openxmlformats.org/officeDocument/2006/relationships/hyperlink" Target="https://www.ncbi.nlm.nih.gov/pubmed/?term=Desai%20SS%5BAuthor%5D&amp;cauthor=true&amp;cauthor_uid=28335004" TargetMode="External"/><Relationship Id="rId9" Type="http://schemas.openxmlformats.org/officeDocument/2006/relationships/hyperlink" Target="https://www.ncbi.nlm.nih.gov/pubmed/?term=Palmisano%20EB%5BAuthor%5D&amp;cauthor=true&amp;cauthor_uid=28335004" TargetMode="External"/><Relationship Id="rId14" Type="http://schemas.openxmlformats.org/officeDocument/2006/relationships/hyperlink" Target="https://www.ncbi.nlm.nih.gov/pubmed/?term=Mokdad%20AH%5BAuthor%5D&amp;cauthor=true&amp;cauthor_uid=28335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1B426F5BAEBC74BA8DC75944806A665" ma:contentTypeVersion="571" ma:contentTypeDescription="A content type to manage public (operations) IDB documents" ma:contentTypeScope="" ma:versionID="461bd0beb01846187e9f76cb53d2d1a3">
  <xsd:schema xmlns:xsd="http://www.w3.org/2001/XMLSchema" xmlns:xs="http://www.w3.org/2001/XMLSchema" xmlns:p="http://schemas.microsoft.com/office/2006/metadata/properties" xmlns:ns2="cdc7663a-08f0-4737-9e8c-148ce897a09c" targetNamespace="http://schemas.microsoft.com/office/2006/metadata/properties" ma:root="true" ma:fieldsID="f64af02581d48fc3071bc27247884e5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SCL/SPH</Division_x0020_or_x0020_Unit>
    <Document_x0020_Author xmlns="cdc7663a-08f0-4737-9e8c-148ce897a09c">Aguilar Blandon, Maria Alejandra</Document_x0020_Author>
    <Project_x0020_Number xmlns="cdc7663a-08f0-4737-9e8c-148ce897a09c">BO-L1198</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Other_x0020_Author xmlns="cdc7663a-08f0-4737-9e8c-148ce897a09c" xsi:nil="true"/>
    <IDBDocs_x0020_Number xmlns="cdc7663a-08f0-4737-9e8c-148ce897a09c" xsi:nil="true"/>
    <Operation_x0020_Type xmlns="cdc7663a-08f0-4737-9e8c-148ce897a09c">Loan Operation</Operation_x0020_Type>
    <TaxCatchAll xmlns="cdc7663a-08f0-4737-9e8c-148ce897a09c">
      <Value>29</Value>
      <Value>27</Value>
      <Value>26</Value>
      <Value>22</Value>
      <Value>157</Value>
      <Value>1</Value>
    </TaxCatchAll>
    <Fiscal_x0020_Year_x0020_IDB xmlns="cdc7663a-08f0-4737-9e8c-148ce897a09c">2018</Fiscal_x0020_Year_x0020_IDB>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a938aada-c7c1-42d2-a16b-857ce82c1726</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47a17f02-ec54-486c-a3fb-4be9ec9a2bb3</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R0002368703</Record_x0020_Number>
    <_dlc_DocId xmlns="cdc7663a-08f0-4737-9e8c-148ce897a09c">EZSHARE-331091532-13</_dlc_DocId>
    <_dlc_DocIdUrl xmlns="cdc7663a-08f0-4737-9e8c-148ce897a09c">
      <Url>https://idbg.sharepoint.com/teams/EZ-BO-LON/BO-L1198/_layouts/15/DocIdRedir.aspx?ID=EZSHARE-331091532-13</Url>
      <Description>EZSHARE-331091532-13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22291-C1B6-4C92-83F7-0BA663344B29}"/>
</file>

<file path=customXml/itemProps2.xml><?xml version="1.0" encoding="utf-8"?>
<ds:datastoreItem xmlns:ds="http://schemas.openxmlformats.org/officeDocument/2006/customXml" ds:itemID="{9683D146-2F14-4969-BC8E-07A93BB81227}">
  <ds:schemaRefs>
    <ds:schemaRef ds:uri="http://schemas.microsoft.com/sharepoint/v3/contenttype/forms"/>
  </ds:schemaRefs>
</ds:datastoreItem>
</file>

<file path=customXml/itemProps3.xml><?xml version="1.0" encoding="utf-8"?>
<ds:datastoreItem xmlns:ds="http://schemas.openxmlformats.org/officeDocument/2006/customXml" ds:itemID="{ACA2A8FD-896C-4820-A079-2909F13FB229}">
  <ds:schemaRefs>
    <ds:schemaRef ds:uri="http://schemas.microsoft.com/sharepoint/events"/>
  </ds:schemaRefs>
</ds:datastoreItem>
</file>

<file path=customXml/itemProps4.xml><?xml version="1.0" encoding="utf-8"?>
<ds:datastoreItem xmlns:ds="http://schemas.openxmlformats.org/officeDocument/2006/customXml" ds:itemID="{9B059C97-EAF8-4B91-9A02-95E2053C8732}"/>
</file>

<file path=customXml/itemProps5.xml><?xml version="1.0" encoding="utf-8"?>
<ds:datastoreItem xmlns:ds="http://schemas.openxmlformats.org/officeDocument/2006/customXml" ds:itemID="{7270C05B-BEBB-4016-B751-987312BC06F6}"/>
</file>

<file path=customXml/itemProps6.xml><?xml version="1.0" encoding="utf-8"?>
<ds:datastoreItem xmlns:ds="http://schemas.openxmlformats.org/officeDocument/2006/customXml" ds:itemID="{9943C1A7-F021-4C0D-87F2-50554AB03A5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17680602-77B4-4AE8-BF7B-9FBB92DEE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12629</Words>
  <Characters>71990</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Enlace Análisis Económico</vt:lpstr>
    </vt:vector>
  </TitlesOfParts>
  <Company>Inter-American Development Bank</Company>
  <LinksUpToDate>false</LinksUpToDate>
  <CharactersWithSpaces>84451</CharactersWithSpaces>
  <SharedDoc>false</SharedDoc>
  <HLinks>
    <vt:vector size="36" baseType="variant">
      <vt:variant>
        <vt:i4>7143438</vt:i4>
      </vt:variant>
      <vt:variant>
        <vt:i4>105</vt:i4>
      </vt:variant>
      <vt:variant>
        <vt:i4>0</vt:i4>
      </vt:variant>
      <vt:variant>
        <vt:i4>5</vt:i4>
      </vt:variant>
      <vt:variant>
        <vt:lpwstr>http://www.who.int/choice/costs/CER_thresholds/en/index.html</vt:lpwstr>
      </vt:variant>
      <vt:variant>
        <vt:lpwstr/>
      </vt:variant>
      <vt:variant>
        <vt:i4>2424936</vt:i4>
      </vt:variant>
      <vt:variant>
        <vt:i4>102</vt:i4>
      </vt:variant>
      <vt:variant>
        <vt:i4>0</vt:i4>
      </vt:variant>
      <vt:variant>
        <vt:i4>5</vt:i4>
      </vt:variant>
      <vt:variant>
        <vt:lpwstr>http://mirror.unhabitat.org/pmss/listItemDetails.aspx?publicationID=3380&amp;AspxAutoDetectCookieSupport=1</vt:lpwstr>
      </vt:variant>
      <vt:variant>
        <vt:lpwstr/>
      </vt:variant>
      <vt:variant>
        <vt:i4>7602204</vt:i4>
      </vt:variant>
      <vt:variant>
        <vt:i4>9</vt:i4>
      </vt:variant>
      <vt:variant>
        <vt:i4>0</vt:i4>
      </vt:variant>
      <vt:variant>
        <vt:i4>5</vt:i4>
      </vt:variant>
      <vt:variant>
        <vt:lpwstr>http://idbdocs.iadb.org/wsdocs/getDocument.aspx?DOCNUM=39211738</vt:lpwstr>
      </vt:variant>
      <vt:variant>
        <vt:lpwstr/>
      </vt:variant>
      <vt:variant>
        <vt:i4>7929887</vt:i4>
      </vt:variant>
      <vt:variant>
        <vt:i4>6</vt:i4>
      </vt:variant>
      <vt:variant>
        <vt:i4>0</vt:i4>
      </vt:variant>
      <vt:variant>
        <vt:i4>5</vt:i4>
      </vt:variant>
      <vt:variant>
        <vt:lpwstr>http://idbdocs.iadb.org/wsdocs/getDocument.aspx?DOCNUM=39376882</vt:lpwstr>
      </vt:variant>
      <vt:variant>
        <vt:lpwstr/>
      </vt:variant>
      <vt:variant>
        <vt:i4>8323090</vt:i4>
      </vt:variant>
      <vt:variant>
        <vt:i4>3</vt:i4>
      </vt:variant>
      <vt:variant>
        <vt:i4>0</vt:i4>
      </vt:variant>
      <vt:variant>
        <vt:i4>5</vt:i4>
      </vt:variant>
      <vt:variant>
        <vt:lpwstr>http://idbdocs.iadb.org/wsdocs/getDocument.aspx?DOCNUM=39211786</vt:lpwstr>
      </vt:variant>
      <vt:variant>
        <vt:lpwstr/>
      </vt:variant>
      <vt:variant>
        <vt:i4>8257554</vt:i4>
      </vt:variant>
      <vt:variant>
        <vt:i4>0</vt:i4>
      </vt:variant>
      <vt:variant>
        <vt:i4>0</vt:i4>
      </vt:variant>
      <vt:variant>
        <vt:i4>5</vt:i4>
      </vt:variant>
      <vt:variant>
        <vt:lpwstr>http://idbdocs.iadb.org/wsdocs/getDocument.aspx?DOCNUM=39319203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Análisis Económico</dc:title>
  <dc:creator>Nadin Fabiola Medellin Almanza</dc:creator>
  <cp:keywords/>
  <cp:lastModifiedBy>Aguilar Blandon, Maria Alejandra</cp:lastModifiedBy>
  <cp:revision>2</cp:revision>
  <cp:lastPrinted>2018-08-04T16:31:00Z</cp:lastPrinted>
  <dcterms:created xsi:type="dcterms:W3CDTF">2018-08-09T19:07:00Z</dcterms:created>
  <dcterms:modified xsi:type="dcterms:W3CDTF">2018-08-09T19:07:00Z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nadin.medellin@gmail.com@www.mendeley.com</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http://www.zotero.org/styles/chicago-note-bibliography</vt:lpwstr>
  </property>
  <property fmtid="{D5CDD505-2E9C-101B-9397-08002B2CF9AE}" pid="14" name="Mendeley Recent Style Name 4_1">
    <vt:lpwstr>Chicago Manual of Style 16th edition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TaxKeyword">
    <vt:lpwstr/>
  </property>
  <property fmtid="{D5CDD505-2E9C-101B-9397-08002B2CF9AE}" pid="26" name="Sub_x002d_Sector">
    <vt:lpwstr/>
  </property>
  <property fmtid="{D5CDD505-2E9C-101B-9397-08002B2CF9AE}" pid="28" name="TaxKeywordTaxHTField">
    <vt:lpwstr/>
  </property>
  <property fmtid="{D5CDD505-2E9C-101B-9397-08002B2CF9AE}" pid="29" name="Series Operations IDB">
    <vt:lpwstr>4;#Unclassified|a6dff32e-d477-44cd-a56b-85efe9e0a56c</vt:lpwstr>
  </property>
  <property fmtid="{D5CDD505-2E9C-101B-9397-08002B2CF9AE}" pid="30" name="Sub-Sector">
    <vt:lpwstr>157;#HEALTH|47a17f02-ec54-486c-a3fb-4be9ec9a2bb3</vt:lpwstr>
  </property>
  <property fmtid="{D5CDD505-2E9C-101B-9397-08002B2CF9AE}" pid="31" name="Country">
    <vt:lpwstr>26;#Bolivia|6445a937-aea4-4907-9f24-bff96a7c61c8</vt:lpwstr>
  </property>
  <property fmtid="{D5CDD505-2E9C-101B-9397-08002B2CF9AE}" pid="32" name="Fund IDB">
    <vt:lpwstr>29;#BLD|60acb4c1-0ef3-40ba-9d70-f741cd9e6c23</vt:lpwstr>
  </property>
  <property fmtid="{D5CDD505-2E9C-101B-9397-08002B2CF9AE}" pid="33" name="Series_x0020_Operations_x0020_IDB">
    <vt:lpwstr>4;#Unclassified|a6dff32e-d477-44cd-a56b-85efe9e0a56c</vt:lpwstr>
  </property>
  <property fmtid="{D5CDD505-2E9C-101B-9397-08002B2CF9AE}" pid="34" name="Sector IDB">
    <vt:lpwstr>27;#HEALTH|e15154b4-8fa2-4f19-a924-5a9b44dc8218</vt:lpwstr>
  </property>
  <property fmtid="{D5CDD505-2E9C-101B-9397-08002B2CF9AE}" pid="35" name="Function Operations IDB">
    <vt:lpwstr>1;#Project Preparation, Planning and Design|29ca0c72-1fc4-435f-a09c-28585cb5eac9</vt:lpwstr>
  </property>
  <property fmtid="{D5CDD505-2E9C-101B-9397-08002B2CF9AE}" pid="36" name="_dlc_DocIdItemGuid">
    <vt:lpwstr>da810a73-3bb5-40b2-b204-64efbf1a5bd7</vt:lpwstr>
  </property>
  <property fmtid="{D5CDD505-2E9C-101B-9397-08002B2CF9AE}" pid="37" name="Disclosure Activity">
    <vt:lpwstr>Loan Proposal</vt:lpwstr>
  </property>
  <property fmtid="{D5CDD505-2E9C-101B-9397-08002B2CF9AE}" pid="38" name="ContentTypeId">
    <vt:lpwstr>0x0101001A458A224826124E8B45B1D613300CFC0001B426F5BAEBC74BA8DC75944806A665</vt:lpwstr>
  </property>
</Properties>
</file>