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211" w:rsidRDefault="00CF5271" w:rsidP="007E6104">
      <w:pPr>
        <w:pStyle w:val="Title"/>
        <w:tabs>
          <w:tab w:val="clear" w:pos="1440"/>
          <w:tab w:val="clear" w:pos="3060"/>
        </w:tabs>
        <w:ind w:left="567" w:hanging="567"/>
        <w:outlineLvl w:val="9"/>
        <w:rPr>
          <w:smallCaps/>
          <w:szCs w:val="24"/>
          <w:lang w:val="es-ES"/>
        </w:rPr>
      </w:pPr>
      <w:r w:rsidRPr="00974805">
        <w:rPr>
          <w:smallCaps/>
          <w:szCs w:val="24"/>
          <w:lang w:val="es-ES"/>
        </w:rPr>
        <w:t>Document</w:t>
      </w:r>
      <w:r w:rsidR="007A1860" w:rsidRPr="00974805">
        <w:rPr>
          <w:smallCaps/>
          <w:szCs w:val="24"/>
          <w:lang w:val="es-ES"/>
        </w:rPr>
        <w:t>o del Banco Interameric</w:t>
      </w:r>
      <w:r w:rsidR="0002382F" w:rsidRPr="00974805">
        <w:rPr>
          <w:smallCaps/>
          <w:szCs w:val="24"/>
          <w:lang w:val="es-ES"/>
        </w:rPr>
        <w:t>a</w:t>
      </w:r>
      <w:r w:rsidR="007D03A1">
        <w:rPr>
          <w:smallCaps/>
          <w:szCs w:val="24"/>
          <w:lang w:val="es-ES"/>
        </w:rPr>
        <w:t>n</w:t>
      </w:r>
      <w:r w:rsidR="0002382F" w:rsidRPr="00974805">
        <w:rPr>
          <w:smallCaps/>
          <w:szCs w:val="24"/>
          <w:lang w:val="es-ES"/>
        </w:rPr>
        <w:t>o</w:t>
      </w:r>
      <w:r w:rsidR="007A1860" w:rsidRPr="00974805">
        <w:rPr>
          <w:smallCaps/>
          <w:szCs w:val="24"/>
          <w:lang w:val="es-ES"/>
        </w:rPr>
        <w:t xml:space="preserve"> de Desarrollo</w:t>
      </w:r>
    </w:p>
    <w:p w:rsidR="00B84211" w:rsidRDefault="00B84211" w:rsidP="007E6104">
      <w:pPr>
        <w:pStyle w:val="ListParagraph"/>
        <w:spacing w:before="120" w:after="0" w:line="360" w:lineRule="auto"/>
        <w:ind w:left="567" w:hanging="567"/>
        <w:jc w:val="center"/>
        <w:rPr>
          <w:rFonts w:ascii="Times New Roman" w:hAnsi="Times New Roman"/>
          <w:b/>
          <w:sz w:val="24"/>
          <w:szCs w:val="24"/>
          <w:lang w:val="es-ES"/>
        </w:rPr>
      </w:pPr>
      <w:bookmarkStart w:id="0" w:name="_GoBack"/>
      <w:bookmarkEnd w:id="0"/>
    </w:p>
    <w:p w:rsidR="00B84211" w:rsidRDefault="00B84211" w:rsidP="007E6104">
      <w:pPr>
        <w:tabs>
          <w:tab w:val="left" w:pos="1440"/>
          <w:tab w:val="left" w:pos="3060"/>
        </w:tabs>
        <w:ind w:left="567" w:hanging="567"/>
        <w:jc w:val="center"/>
        <w:rPr>
          <w:rFonts w:ascii="Times New Roman" w:hAnsi="Times New Roman"/>
          <w:b/>
          <w:smallCaps/>
          <w:sz w:val="24"/>
          <w:szCs w:val="24"/>
          <w:lang w:val="es-ES"/>
        </w:rPr>
      </w:pPr>
    </w:p>
    <w:p w:rsidR="00C75575" w:rsidRDefault="00C75575" w:rsidP="007E6104">
      <w:pPr>
        <w:tabs>
          <w:tab w:val="left" w:pos="1440"/>
          <w:tab w:val="left" w:pos="3060"/>
        </w:tabs>
        <w:ind w:left="567" w:hanging="567"/>
        <w:jc w:val="center"/>
        <w:rPr>
          <w:rFonts w:ascii="Times New Roman" w:hAnsi="Times New Roman"/>
          <w:b/>
          <w:smallCaps/>
          <w:sz w:val="24"/>
          <w:szCs w:val="24"/>
          <w:lang w:val="es-ES"/>
        </w:rPr>
      </w:pPr>
    </w:p>
    <w:p w:rsidR="00C75575" w:rsidRDefault="00C75575" w:rsidP="007E6104">
      <w:pPr>
        <w:tabs>
          <w:tab w:val="left" w:pos="1440"/>
          <w:tab w:val="left" w:pos="3060"/>
        </w:tabs>
        <w:ind w:left="567" w:hanging="567"/>
        <w:jc w:val="center"/>
        <w:rPr>
          <w:rFonts w:ascii="Times New Roman" w:hAnsi="Times New Roman"/>
          <w:b/>
          <w:smallCaps/>
          <w:sz w:val="24"/>
          <w:szCs w:val="24"/>
          <w:lang w:val="es-ES"/>
        </w:rPr>
      </w:pPr>
    </w:p>
    <w:p w:rsidR="00C75575" w:rsidRDefault="00C75575" w:rsidP="007E6104">
      <w:pPr>
        <w:tabs>
          <w:tab w:val="left" w:pos="1440"/>
          <w:tab w:val="left" w:pos="3060"/>
        </w:tabs>
        <w:ind w:left="567" w:hanging="567"/>
        <w:jc w:val="center"/>
        <w:rPr>
          <w:rFonts w:ascii="Times New Roman" w:hAnsi="Times New Roman"/>
          <w:b/>
          <w:smallCaps/>
          <w:sz w:val="24"/>
          <w:szCs w:val="24"/>
          <w:lang w:val="es-ES"/>
        </w:rPr>
      </w:pPr>
    </w:p>
    <w:p w:rsidR="00C75575" w:rsidRDefault="00C75575" w:rsidP="007E6104">
      <w:pPr>
        <w:tabs>
          <w:tab w:val="left" w:pos="1440"/>
          <w:tab w:val="left" w:pos="3060"/>
        </w:tabs>
        <w:ind w:left="567" w:hanging="567"/>
        <w:jc w:val="center"/>
        <w:rPr>
          <w:rFonts w:ascii="Times New Roman" w:hAnsi="Times New Roman"/>
          <w:b/>
          <w:smallCaps/>
          <w:sz w:val="24"/>
          <w:szCs w:val="24"/>
          <w:lang w:val="es-ES"/>
        </w:rPr>
      </w:pPr>
    </w:p>
    <w:p w:rsidR="00B84211" w:rsidRDefault="00B84211" w:rsidP="007E6104">
      <w:pPr>
        <w:tabs>
          <w:tab w:val="left" w:pos="1440"/>
          <w:tab w:val="left" w:pos="3060"/>
        </w:tabs>
        <w:ind w:left="567" w:hanging="567"/>
        <w:jc w:val="center"/>
        <w:rPr>
          <w:rFonts w:ascii="Times New Roman" w:hAnsi="Times New Roman"/>
          <w:b/>
          <w:smallCaps/>
          <w:sz w:val="24"/>
          <w:szCs w:val="24"/>
          <w:lang w:val="es-ES"/>
        </w:rPr>
      </w:pPr>
    </w:p>
    <w:p w:rsidR="00B84211" w:rsidRDefault="007A1860" w:rsidP="007E6104">
      <w:pPr>
        <w:tabs>
          <w:tab w:val="left" w:pos="1440"/>
          <w:tab w:val="left" w:pos="3060"/>
        </w:tabs>
        <w:ind w:left="567" w:hanging="567"/>
        <w:jc w:val="center"/>
        <w:rPr>
          <w:rFonts w:ascii="Times New Roman" w:hAnsi="Times New Roman"/>
          <w:b/>
          <w:smallCaps/>
          <w:sz w:val="24"/>
          <w:szCs w:val="24"/>
          <w:highlight w:val="lightGray"/>
          <w:lang w:val="es-ES"/>
        </w:rPr>
      </w:pPr>
      <w:r w:rsidRPr="00974805">
        <w:rPr>
          <w:rFonts w:ascii="Times New Roman" w:hAnsi="Times New Roman"/>
          <w:b/>
          <w:smallCaps/>
          <w:sz w:val="24"/>
          <w:szCs w:val="24"/>
          <w:highlight w:val="lightGray"/>
          <w:lang w:val="es-ES"/>
        </w:rPr>
        <w:t xml:space="preserve">República </w:t>
      </w:r>
      <w:r w:rsidR="00EF10FB">
        <w:rPr>
          <w:rFonts w:ascii="Times New Roman" w:hAnsi="Times New Roman"/>
          <w:b/>
          <w:smallCaps/>
          <w:sz w:val="24"/>
          <w:szCs w:val="24"/>
          <w:highlight w:val="lightGray"/>
          <w:lang w:val="es-ES"/>
        </w:rPr>
        <w:t>de</w:t>
      </w:r>
      <w:r w:rsidR="000B6483">
        <w:rPr>
          <w:rFonts w:ascii="Times New Roman" w:hAnsi="Times New Roman"/>
          <w:b/>
          <w:smallCaps/>
          <w:sz w:val="24"/>
          <w:szCs w:val="24"/>
          <w:highlight w:val="lightGray"/>
          <w:lang w:val="es-ES"/>
        </w:rPr>
        <w:t>l</w:t>
      </w:r>
      <w:r w:rsidR="00EF10FB">
        <w:rPr>
          <w:rFonts w:ascii="Times New Roman" w:hAnsi="Times New Roman"/>
          <w:b/>
          <w:smallCaps/>
          <w:sz w:val="24"/>
          <w:szCs w:val="24"/>
          <w:highlight w:val="lightGray"/>
          <w:lang w:val="es-ES"/>
        </w:rPr>
        <w:t xml:space="preserve"> Pa</w:t>
      </w:r>
      <w:r w:rsidR="000B6483">
        <w:rPr>
          <w:rFonts w:ascii="Times New Roman" w:hAnsi="Times New Roman"/>
          <w:b/>
          <w:smallCaps/>
          <w:sz w:val="24"/>
          <w:szCs w:val="24"/>
          <w:highlight w:val="lightGray"/>
          <w:lang w:val="es-ES"/>
        </w:rPr>
        <w:t>raguay</w:t>
      </w:r>
    </w:p>
    <w:p w:rsidR="00B84211" w:rsidRDefault="00B84211" w:rsidP="007E6104">
      <w:pPr>
        <w:tabs>
          <w:tab w:val="left" w:pos="1440"/>
          <w:tab w:val="left" w:pos="3060"/>
        </w:tabs>
        <w:ind w:left="567" w:hanging="567"/>
        <w:jc w:val="center"/>
        <w:rPr>
          <w:rFonts w:ascii="Times New Roman" w:hAnsi="Times New Roman"/>
          <w:b/>
          <w:smallCaps/>
          <w:sz w:val="24"/>
          <w:szCs w:val="24"/>
          <w:highlight w:val="lightGray"/>
          <w:lang w:val="es-ES"/>
        </w:rPr>
      </w:pPr>
    </w:p>
    <w:p w:rsidR="00B84211" w:rsidRDefault="00B84211" w:rsidP="007E6104">
      <w:pPr>
        <w:tabs>
          <w:tab w:val="left" w:pos="1440"/>
          <w:tab w:val="left" w:pos="3060"/>
        </w:tabs>
        <w:ind w:left="567" w:hanging="567"/>
        <w:jc w:val="center"/>
        <w:rPr>
          <w:rFonts w:ascii="Times New Roman" w:hAnsi="Times New Roman"/>
          <w:b/>
          <w:smallCaps/>
          <w:sz w:val="24"/>
          <w:szCs w:val="24"/>
          <w:highlight w:val="lightGray"/>
          <w:lang w:val="es-ES"/>
        </w:rPr>
      </w:pPr>
    </w:p>
    <w:p w:rsidR="00244A62" w:rsidRDefault="002743B9" w:rsidP="007E6104">
      <w:pPr>
        <w:tabs>
          <w:tab w:val="left" w:pos="1440"/>
          <w:tab w:val="left" w:pos="3060"/>
        </w:tabs>
        <w:ind w:left="567" w:hanging="567"/>
        <w:jc w:val="center"/>
        <w:rPr>
          <w:rFonts w:ascii="Times New Roman" w:hAnsi="Times New Roman"/>
          <w:b/>
          <w:smallCaps/>
          <w:sz w:val="24"/>
          <w:szCs w:val="24"/>
          <w:highlight w:val="lightGray"/>
          <w:lang w:val="es-ES"/>
        </w:rPr>
      </w:pPr>
      <w:r w:rsidRPr="002743B9">
        <w:rPr>
          <w:rFonts w:ascii="Times New Roman" w:hAnsi="Times New Roman"/>
          <w:b/>
          <w:bCs/>
          <w:smallCaps/>
          <w:sz w:val="24"/>
          <w:szCs w:val="24"/>
          <w:highlight w:val="lightGray"/>
          <w:lang w:val="es-AR"/>
        </w:rPr>
        <w:t xml:space="preserve">Programa </w:t>
      </w:r>
      <w:r w:rsidR="00BF7BCB">
        <w:rPr>
          <w:rFonts w:ascii="Times New Roman" w:hAnsi="Times New Roman"/>
          <w:b/>
          <w:bCs/>
          <w:smallCaps/>
          <w:sz w:val="24"/>
          <w:szCs w:val="24"/>
          <w:highlight w:val="lightGray"/>
          <w:lang w:val="es-AR"/>
        </w:rPr>
        <w:t>de Gestión Integrada de Seguridad Ciudadana</w:t>
      </w:r>
      <w:r w:rsidRPr="00E512F7">
        <w:rPr>
          <w:rFonts w:ascii="Times New Roman" w:hAnsi="Times New Roman"/>
          <w:b/>
          <w:smallCaps/>
          <w:sz w:val="24"/>
          <w:szCs w:val="24"/>
          <w:highlight w:val="lightGray"/>
          <w:lang w:val="es-ES"/>
        </w:rPr>
        <w:t xml:space="preserve"> </w:t>
      </w:r>
    </w:p>
    <w:p w:rsidR="00B84211" w:rsidRDefault="00CF5271" w:rsidP="007E6104">
      <w:pPr>
        <w:tabs>
          <w:tab w:val="left" w:pos="1440"/>
          <w:tab w:val="left" w:pos="3060"/>
        </w:tabs>
        <w:ind w:left="567" w:hanging="567"/>
        <w:jc w:val="center"/>
        <w:rPr>
          <w:rFonts w:ascii="Times New Roman" w:hAnsi="Times New Roman"/>
          <w:b/>
          <w:smallCaps/>
          <w:sz w:val="24"/>
          <w:szCs w:val="24"/>
          <w:lang w:val="es-ES"/>
        </w:rPr>
      </w:pPr>
      <w:r w:rsidRPr="00E512F7">
        <w:rPr>
          <w:rFonts w:ascii="Times New Roman" w:hAnsi="Times New Roman"/>
          <w:b/>
          <w:smallCaps/>
          <w:sz w:val="24"/>
          <w:szCs w:val="24"/>
          <w:highlight w:val="lightGray"/>
          <w:lang w:val="es-ES"/>
        </w:rPr>
        <w:t>(</w:t>
      </w:r>
      <w:r w:rsidR="00BF7BCB">
        <w:rPr>
          <w:rFonts w:ascii="Times New Roman" w:hAnsi="Times New Roman"/>
          <w:b/>
          <w:smallCaps/>
          <w:sz w:val="24"/>
          <w:szCs w:val="24"/>
          <w:highlight w:val="lightGray"/>
          <w:lang w:val="es-NI"/>
        </w:rPr>
        <w:t>PR-L</w:t>
      </w:r>
      <w:r w:rsidR="00942E03">
        <w:rPr>
          <w:rFonts w:ascii="Times New Roman" w:hAnsi="Times New Roman"/>
          <w:b/>
          <w:smallCaps/>
          <w:sz w:val="24"/>
          <w:szCs w:val="24"/>
          <w:highlight w:val="lightGray"/>
          <w:lang w:val="es-NI"/>
        </w:rPr>
        <w:t>10</w:t>
      </w:r>
      <w:r w:rsidR="00BF7BCB">
        <w:rPr>
          <w:rFonts w:ascii="Times New Roman" w:hAnsi="Times New Roman"/>
          <w:b/>
          <w:smallCaps/>
          <w:sz w:val="24"/>
          <w:szCs w:val="24"/>
          <w:highlight w:val="lightGray"/>
          <w:lang w:val="es-NI"/>
        </w:rPr>
        <w:t>77</w:t>
      </w:r>
      <w:r w:rsidRPr="00E512F7">
        <w:rPr>
          <w:rFonts w:ascii="Times New Roman" w:hAnsi="Times New Roman"/>
          <w:b/>
          <w:smallCaps/>
          <w:sz w:val="24"/>
          <w:szCs w:val="24"/>
          <w:highlight w:val="lightGray"/>
          <w:lang w:val="es-ES"/>
        </w:rPr>
        <w:t>)</w:t>
      </w:r>
    </w:p>
    <w:p w:rsidR="00B84211" w:rsidRDefault="00B84211" w:rsidP="007E6104">
      <w:pPr>
        <w:pStyle w:val="Newpage"/>
        <w:ind w:left="567" w:hanging="567"/>
        <w:rPr>
          <w:rFonts w:cs="Times New Roman"/>
          <w:b w:val="0"/>
          <w:caps/>
          <w:smallCaps w:val="0"/>
          <w:szCs w:val="24"/>
          <w:lang w:val="es-ES"/>
        </w:rPr>
      </w:pPr>
    </w:p>
    <w:p w:rsidR="00B84211" w:rsidRDefault="00B84211" w:rsidP="007E6104">
      <w:pPr>
        <w:tabs>
          <w:tab w:val="left" w:pos="1440"/>
          <w:tab w:val="left" w:pos="3060"/>
        </w:tabs>
        <w:ind w:left="567" w:hanging="567"/>
        <w:jc w:val="center"/>
        <w:rPr>
          <w:rFonts w:ascii="Times New Roman" w:hAnsi="Times New Roman"/>
          <w:smallCaps/>
          <w:sz w:val="24"/>
          <w:szCs w:val="24"/>
          <w:lang w:val="es-ES"/>
        </w:rPr>
      </w:pPr>
    </w:p>
    <w:p w:rsidR="00C75575" w:rsidRDefault="00C75575" w:rsidP="007E6104">
      <w:pPr>
        <w:tabs>
          <w:tab w:val="left" w:pos="1440"/>
          <w:tab w:val="left" w:pos="3060"/>
        </w:tabs>
        <w:ind w:left="567" w:hanging="567"/>
        <w:jc w:val="center"/>
        <w:rPr>
          <w:rFonts w:ascii="Times New Roman" w:hAnsi="Times New Roman"/>
          <w:smallCaps/>
          <w:sz w:val="24"/>
          <w:szCs w:val="24"/>
          <w:lang w:val="es-ES"/>
        </w:rPr>
      </w:pPr>
    </w:p>
    <w:p w:rsidR="00C75575" w:rsidRDefault="00C75575" w:rsidP="007E6104">
      <w:pPr>
        <w:tabs>
          <w:tab w:val="left" w:pos="1440"/>
          <w:tab w:val="left" w:pos="3060"/>
        </w:tabs>
        <w:ind w:left="567" w:hanging="567"/>
        <w:jc w:val="center"/>
        <w:rPr>
          <w:rFonts w:ascii="Times New Roman" w:hAnsi="Times New Roman"/>
          <w:smallCaps/>
          <w:sz w:val="24"/>
          <w:szCs w:val="24"/>
          <w:lang w:val="es-ES"/>
        </w:rPr>
      </w:pPr>
    </w:p>
    <w:p w:rsidR="00B84211" w:rsidRDefault="007A1860" w:rsidP="007E6104">
      <w:pPr>
        <w:tabs>
          <w:tab w:val="left" w:pos="1440"/>
          <w:tab w:val="left" w:pos="3060"/>
        </w:tabs>
        <w:ind w:left="567" w:hanging="567"/>
        <w:jc w:val="center"/>
        <w:outlineLvl w:val="0"/>
        <w:rPr>
          <w:rFonts w:ascii="Times New Roman" w:hAnsi="Times New Roman"/>
          <w:b/>
          <w:smallCaps/>
          <w:sz w:val="24"/>
          <w:szCs w:val="24"/>
          <w:lang w:val="pt-BR"/>
        </w:rPr>
      </w:pPr>
      <w:r w:rsidRPr="00914524">
        <w:rPr>
          <w:rFonts w:ascii="Times New Roman" w:hAnsi="Times New Roman"/>
          <w:b/>
          <w:smallCaps/>
          <w:sz w:val="24"/>
          <w:szCs w:val="24"/>
          <w:lang w:val="pt-BR"/>
        </w:rPr>
        <w:t>Análisis Económico</w:t>
      </w:r>
    </w:p>
    <w:p w:rsidR="00B84211" w:rsidRDefault="00B84211" w:rsidP="007E6104">
      <w:pPr>
        <w:tabs>
          <w:tab w:val="left" w:pos="1440"/>
          <w:tab w:val="left" w:pos="3060"/>
        </w:tabs>
        <w:ind w:left="567" w:hanging="567"/>
        <w:jc w:val="center"/>
        <w:outlineLvl w:val="0"/>
        <w:rPr>
          <w:rFonts w:ascii="Times New Roman" w:hAnsi="Times New Roman"/>
          <w:b/>
          <w:smallCaps/>
          <w:sz w:val="24"/>
          <w:szCs w:val="24"/>
          <w:lang w:val="pt-BR"/>
        </w:rPr>
      </w:pPr>
    </w:p>
    <w:p w:rsidR="00B84211" w:rsidRDefault="00B84211" w:rsidP="007E6104">
      <w:pPr>
        <w:pStyle w:val="ListParagraph"/>
        <w:spacing w:before="120" w:after="0" w:line="360" w:lineRule="auto"/>
        <w:ind w:left="567" w:hanging="567"/>
        <w:jc w:val="center"/>
        <w:rPr>
          <w:rFonts w:ascii="Times New Roman" w:hAnsi="Times New Roman"/>
          <w:b/>
          <w:sz w:val="24"/>
          <w:szCs w:val="24"/>
          <w:lang w:val="pt-BR"/>
        </w:rPr>
      </w:pPr>
    </w:p>
    <w:p w:rsidR="00B84211" w:rsidRDefault="00B84211" w:rsidP="007E6104">
      <w:pPr>
        <w:pStyle w:val="ListParagraph"/>
        <w:spacing w:before="120" w:after="0" w:line="360" w:lineRule="auto"/>
        <w:ind w:left="567" w:hanging="567"/>
        <w:jc w:val="both"/>
        <w:rPr>
          <w:rFonts w:ascii="Times New Roman" w:hAnsi="Times New Roman"/>
          <w:b/>
          <w:sz w:val="24"/>
          <w:szCs w:val="24"/>
          <w:lang w:val="pt-BR"/>
        </w:rPr>
      </w:pPr>
    </w:p>
    <w:p w:rsidR="00B84211" w:rsidRDefault="00B84211" w:rsidP="007E6104">
      <w:pPr>
        <w:pStyle w:val="ListParagraph"/>
        <w:spacing w:before="120" w:after="0" w:line="360" w:lineRule="auto"/>
        <w:ind w:left="567" w:hanging="567"/>
        <w:jc w:val="both"/>
        <w:rPr>
          <w:rFonts w:ascii="Times New Roman" w:hAnsi="Times New Roman"/>
          <w:b/>
          <w:sz w:val="24"/>
          <w:szCs w:val="24"/>
          <w:lang w:val="pt-BR"/>
        </w:rPr>
      </w:pPr>
    </w:p>
    <w:p w:rsidR="00B84211" w:rsidRDefault="00B84211" w:rsidP="007E6104">
      <w:pPr>
        <w:pStyle w:val="ListParagraph"/>
        <w:spacing w:before="120" w:after="0" w:line="360" w:lineRule="auto"/>
        <w:ind w:left="567" w:hanging="567"/>
        <w:jc w:val="both"/>
        <w:rPr>
          <w:rFonts w:ascii="Times New Roman" w:hAnsi="Times New Roman"/>
          <w:b/>
          <w:sz w:val="24"/>
          <w:szCs w:val="24"/>
          <w:lang w:val="pt-BR"/>
        </w:rPr>
      </w:pPr>
    </w:p>
    <w:p w:rsidR="00B84211" w:rsidRDefault="00B84211" w:rsidP="007E6104">
      <w:pPr>
        <w:pStyle w:val="ListParagraph"/>
        <w:spacing w:before="120" w:after="0" w:line="360" w:lineRule="auto"/>
        <w:ind w:left="567" w:hanging="567"/>
        <w:jc w:val="both"/>
        <w:rPr>
          <w:rFonts w:ascii="Times New Roman" w:hAnsi="Times New Roman"/>
          <w:b/>
          <w:sz w:val="24"/>
          <w:szCs w:val="24"/>
          <w:lang w:val="pt-BR"/>
        </w:rPr>
      </w:pPr>
    </w:p>
    <w:p w:rsidR="00B84211" w:rsidRDefault="00B84211" w:rsidP="007E6104">
      <w:pPr>
        <w:tabs>
          <w:tab w:val="left" w:pos="1440"/>
          <w:tab w:val="left" w:pos="3060"/>
        </w:tabs>
        <w:ind w:left="567" w:hanging="567"/>
        <w:jc w:val="both"/>
        <w:rPr>
          <w:rFonts w:ascii="Times New Roman" w:hAnsi="Times New Roman"/>
          <w:sz w:val="24"/>
          <w:szCs w:val="24"/>
          <w:lang w:val="pt-BR"/>
        </w:rPr>
      </w:pPr>
    </w:p>
    <w:p w:rsidR="00B84211" w:rsidRDefault="00B84211" w:rsidP="007E6104">
      <w:pPr>
        <w:tabs>
          <w:tab w:val="left" w:pos="1440"/>
          <w:tab w:val="left" w:pos="3060"/>
        </w:tabs>
        <w:ind w:left="567" w:hanging="567"/>
        <w:jc w:val="both"/>
        <w:rPr>
          <w:rFonts w:ascii="Times New Roman" w:hAnsi="Times New Roman"/>
          <w:sz w:val="24"/>
          <w:szCs w:val="24"/>
          <w:lang w:val="pt-BR"/>
        </w:rPr>
      </w:pPr>
    </w:p>
    <w:p w:rsidR="00B84211" w:rsidRDefault="007A1860" w:rsidP="007E6104">
      <w:pPr>
        <w:pStyle w:val="BodyText"/>
        <w:pBdr>
          <w:top w:val="single" w:sz="4" w:space="1" w:color="auto"/>
          <w:left w:val="single" w:sz="4" w:space="4" w:color="auto"/>
          <w:bottom w:val="single" w:sz="4" w:space="1" w:color="auto"/>
          <w:right w:val="single" w:sz="4" w:space="4" w:color="auto"/>
        </w:pBdr>
        <w:tabs>
          <w:tab w:val="left" w:pos="1440"/>
        </w:tabs>
        <w:ind w:left="567" w:hanging="567"/>
        <w:jc w:val="both"/>
        <w:rPr>
          <w:b/>
          <w:szCs w:val="24"/>
          <w:lang w:val="es-ES"/>
        </w:rPr>
      </w:pPr>
      <w:r w:rsidRPr="00974805">
        <w:rPr>
          <w:szCs w:val="24"/>
          <w:lang w:val="es-ES"/>
        </w:rPr>
        <w:t>Este documento ha sido preparado por: M</w:t>
      </w:r>
      <w:r w:rsidR="009A4966">
        <w:rPr>
          <w:szCs w:val="24"/>
          <w:lang w:val="es-ES"/>
        </w:rPr>
        <w:t>artin</w:t>
      </w:r>
      <w:r w:rsidRPr="00974805">
        <w:rPr>
          <w:szCs w:val="24"/>
          <w:lang w:val="es-ES"/>
        </w:rPr>
        <w:t xml:space="preserve"> </w:t>
      </w:r>
      <w:r w:rsidR="009A4966">
        <w:rPr>
          <w:szCs w:val="24"/>
          <w:lang w:val="es-ES"/>
        </w:rPr>
        <w:t>Rossi</w:t>
      </w:r>
      <w:r w:rsidRPr="00974805">
        <w:rPr>
          <w:szCs w:val="24"/>
          <w:lang w:val="es-ES"/>
        </w:rPr>
        <w:t xml:space="preserve"> (</w:t>
      </w:r>
      <w:r w:rsidR="008E3746">
        <w:rPr>
          <w:szCs w:val="24"/>
          <w:lang w:val="es-ES"/>
        </w:rPr>
        <w:t>Consultor</w:t>
      </w:r>
      <w:r w:rsidRPr="00974805">
        <w:rPr>
          <w:szCs w:val="24"/>
          <w:lang w:val="es-ES"/>
        </w:rPr>
        <w:t>)</w:t>
      </w:r>
      <w:r w:rsidR="007D03A1">
        <w:rPr>
          <w:szCs w:val="24"/>
          <w:lang w:val="es-ES"/>
        </w:rPr>
        <w:t>.</w:t>
      </w:r>
    </w:p>
    <w:p w:rsidR="00B84211" w:rsidRDefault="00CF5271" w:rsidP="007E6104">
      <w:pPr>
        <w:spacing w:line="240" w:lineRule="auto"/>
        <w:ind w:left="567" w:hanging="567"/>
        <w:jc w:val="both"/>
        <w:rPr>
          <w:rFonts w:ascii="Times New Roman" w:hAnsi="Times New Roman"/>
          <w:b/>
          <w:i/>
          <w:sz w:val="24"/>
          <w:szCs w:val="24"/>
          <w:lang w:val="es-ES"/>
        </w:rPr>
      </w:pPr>
      <w:r w:rsidRPr="00974805">
        <w:rPr>
          <w:rFonts w:ascii="Times New Roman" w:hAnsi="Times New Roman"/>
          <w:b/>
          <w:sz w:val="24"/>
          <w:szCs w:val="24"/>
          <w:lang w:val="es-ES"/>
        </w:rPr>
        <w:br w:type="page"/>
      </w:r>
    </w:p>
    <w:p w:rsidR="00B84211" w:rsidRDefault="007A1860" w:rsidP="007E6104">
      <w:pPr>
        <w:numPr>
          <w:ilvl w:val="0"/>
          <w:numId w:val="1"/>
        </w:numPr>
        <w:spacing w:after="0" w:line="480" w:lineRule="auto"/>
        <w:ind w:left="567" w:hanging="567"/>
        <w:jc w:val="both"/>
        <w:rPr>
          <w:rFonts w:ascii="Times New Roman" w:hAnsi="Times New Roman"/>
          <w:b/>
          <w:sz w:val="24"/>
          <w:szCs w:val="24"/>
          <w:lang w:val="es-ES"/>
        </w:rPr>
      </w:pPr>
      <w:r w:rsidRPr="00974805">
        <w:rPr>
          <w:rFonts w:ascii="Times New Roman" w:hAnsi="Times New Roman"/>
          <w:b/>
          <w:sz w:val="24"/>
          <w:szCs w:val="24"/>
          <w:lang w:val="es-ES"/>
        </w:rPr>
        <w:lastRenderedPageBreak/>
        <w:t>Introducció</w:t>
      </w:r>
      <w:r w:rsidR="001C3DCA" w:rsidRPr="00974805">
        <w:rPr>
          <w:rFonts w:ascii="Times New Roman" w:hAnsi="Times New Roman"/>
          <w:b/>
          <w:sz w:val="24"/>
          <w:szCs w:val="24"/>
          <w:lang w:val="es-ES"/>
        </w:rPr>
        <w:t>n</w:t>
      </w:r>
    </w:p>
    <w:p w:rsidR="00B84211" w:rsidRDefault="00D433EF" w:rsidP="00D433EF">
      <w:pPr>
        <w:pStyle w:val="Paragraph"/>
        <w:numPr>
          <w:ilvl w:val="1"/>
          <w:numId w:val="1"/>
        </w:numPr>
        <w:rPr>
          <w:kern w:val="28"/>
        </w:rPr>
      </w:pPr>
      <w:r w:rsidRPr="00D433EF">
        <w:rPr>
          <w:kern w:val="28"/>
        </w:rPr>
        <w:t>Este documento presenta el análisis económico ex-ante del Programa de Gestión Integrada de Seguridad Ciudadana (PR-L1077), cuya ejecución se tiene prevista para el período 2015-2019. El análisis se lleva a cabo mediante la metodología de costo-beneficio</w:t>
      </w:r>
      <w:r w:rsidR="004C19AB" w:rsidRPr="00974805">
        <w:rPr>
          <w:kern w:val="28"/>
        </w:rPr>
        <w:t>.</w:t>
      </w:r>
    </w:p>
    <w:p w:rsidR="00B84211" w:rsidRDefault="001F52BD" w:rsidP="001F52BD">
      <w:pPr>
        <w:pStyle w:val="Paragraph"/>
        <w:numPr>
          <w:ilvl w:val="1"/>
          <w:numId w:val="1"/>
        </w:numPr>
        <w:rPr>
          <w:kern w:val="28"/>
          <w:lang w:val="es-AR"/>
        </w:rPr>
      </w:pPr>
      <w:r w:rsidRPr="001F52BD">
        <w:rPr>
          <w:kern w:val="28"/>
        </w:rPr>
        <w:t>El Programa de Gestión Integrada de Seguridad Ciudadana (“el Programa”, en adelante) tiene como objetivo general es contribuir a la disminución de los delitos (homicidios, robos y Violencia Intrafamiliar (VIF)) en particular en Asunción y el Departamento Central (DC). Es financiado por el Banco Interamericano de Desarrollo (BID</w:t>
      </w:r>
      <w:r w:rsidR="00FF798B">
        <w:rPr>
          <w:kern w:val="28"/>
        </w:rPr>
        <w:t>)</w:t>
      </w:r>
      <w:r w:rsidR="00F05CE4">
        <w:rPr>
          <w:kern w:val="28"/>
        </w:rPr>
        <w:t>.</w:t>
      </w:r>
    </w:p>
    <w:p w:rsidR="001F52BD" w:rsidRDefault="001F52BD" w:rsidP="001F52BD">
      <w:pPr>
        <w:pStyle w:val="Paragraph"/>
        <w:numPr>
          <w:ilvl w:val="1"/>
          <w:numId w:val="1"/>
        </w:numPr>
        <w:rPr>
          <w:kern w:val="28"/>
        </w:rPr>
      </w:pPr>
      <w:r w:rsidRPr="001F52BD">
        <w:rPr>
          <w:kern w:val="28"/>
        </w:rPr>
        <w:t>Los objetivos específicos son: (i) mejorar el diseño de las políticas públicas para que sean basadas en evidencia; (ii) aumentar la eficacia de la Policia Nacional (PN) en la prevención del delito y la investigación criminal; (iii) reducir la victimización de mujeres por VIF; y (iv) reducir la incidencia delictiva de los jóvene</w:t>
      </w:r>
      <w:r>
        <w:rPr>
          <w:kern w:val="28"/>
        </w:rPr>
        <w:t>s.</w:t>
      </w:r>
    </w:p>
    <w:p w:rsidR="00D433EF" w:rsidRDefault="00D433EF" w:rsidP="001F52BD">
      <w:pPr>
        <w:pStyle w:val="Paragraph"/>
        <w:numPr>
          <w:ilvl w:val="1"/>
          <w:numId w:val="1"/>
        </w:numPr>
        <w:rPr>
          <w:kern w:val="28"/>
        </w:rPr>
      </w:pPr>
      <w:r w:rsidRPr="008F4976">
        <w:rPr>
          <w:szCs w:val="24"/>
        </w:rPr>
        <w:t xml:space="preserve">Por su parte, el impacto esperado del programa es: disminución de los delitos violentos (robos, VIF y homicidios) en Asunción y el DC y los indicadores de impacto considerados son: </w:t>
      </w:r>
      <w:r>
        <w:rPr>
          <w:szCs w:val="24"/>
        </w:rPr>
        <w:t>tasa de h</w:t>
      </w:r>
      <w:r w:rsidRPr="008F4976">
        <w:rPr>
          <w:szCs w:val="24"/>
        </w:rPr>
        <w:t xml:space="preserve">omicidios totales anuales –por 100.000 hab- en Asunción y DC; </w:t>
      </w:r>
      <w:r>
        <w:rPr>
          <w:szCs w:val="24"/>
        </w:rPr>
        <w:t>tasa de r</w:t>
      </w:r>
      <w:r w:rsidRPr="008F4976">
        <w:rPr>
          <w:szCs w:val="24"/>
        </w:rPr>
        <w:t>obos totales anuales –por 100.000 hab.- en Asunción y DC; y Mujeres de 18 años o más víctimas de VIF en los últimos 12 meses en Asunción y DC.</w:t>
      </w:r>
    </w:p>
    <w:p w:rsidR="00B84211" w:rsidRDefault="001F52BD" w:rsidP="001F52BD">
      <w:pPr>
        <w:pStyle w:val="Paragraph"/>
        <w:numPr>
          <w:ilvl w:val="1"/>
          <w:numId w:val="1"/>
        </w:numPr>
        <w:rPr>
          <w:kern w:val="28"/>
        </w:rPr>
      </w:pPr>
      <w:r w:rsidRPr="001F52BD">
        <w:rPr>
          <w:kern w:val="28"/>
        </w:rPr>
        <w:t>Las actividades pueden encuadrarse en dos grandes componentes: 1 Generación de capacidades para la gestión efectiva de la información y la investigación criminal (US$9.526.141), y 2- Fortalecimiento de la eficiencia para la prevención del delito (US$9.683.846) (el cual se dividió en tres sub-componentes a los fines de estos análisis). La matriz de resultados adjunta al proyecto, establece los indicadores, líneas de base y metas a partir de la cual se ha elaborado el siguiente análisis</w:t>
      </w:r>
      <w:r>
        <w:rPr>
          <w:kern w:val="28"/>
        </w:rPr>
        <w:t>.</w:t>
      </w:r>
    </w:p>
    <w:p w:rsidR="00B84211" w:rsidRDefault="00C355F9" w:rsidP="00C75575">
      <w:pPr>
        <w:pStyle w:val="ListParagraph"/>
        <w:numPr>
          <w:ilvl w:val="0"/>
          <w:numId w:val="1"/>
        </w:numPr>
        <w:spacing w:before="360" w:after="120" w:line="240" w:lineRule="auto"/>
        <w:ind w:left="562" w:hanging="562"/>
        <w:jc w:val="both"/>
        <w:rPr>
          <w:rFonts w:ascii="Times New Roman" w:hAnsi="Times New Roman"/>
          <w:b/>
          <w:sz w:val="24"/>
          <w:szCs w:val="24"/>
          <w:lang w:val="es-ES"/>
        </w:rPr>
      </w:pPr>
      <w:r w:rsidRPr="00974805">
        <w:rPr>
          <w:rFonts w:ascii="Times New Roman" w:hAnsi="Times New Roman"/>
          <w:b/>
          <w:sz w:val="24"/>
          <w:szCs w:val="24"/>
          <w:lang w:val="es-ES"/>
        </w:rPr>
        <w:t>Metodología</w:t>
      </w:r>
    </w:p>
    <w:p w:rsidR="00B84211" w:rsidRDefault="001F52BD" w:rsidP="001F52BD">
      <w:pPr>
        <w:pStyle w:val="Paragraph"/>
        <w:numPr>
          <w:ilvl w:val="1"/>
          <w:numId w:val="1"/>
        </w:numPr>
        <w:spacing w:before="240"/>
        <w:rPr>
          <w:kern w:val="28"/>
        </w:rPr>
      </w:pPr>
      <w:r w:rsidRPr="001F52BD">
        <w:rPr>
          <w:b/>
        </w:rPr>
        <w:t xml:space="preserve">Descripción de la intervención- Componente 1: Generación de capacidades para la gestión efectiva de la información y la investigación criminal. </w:t>
      </w:r>
      <w:r w:rsidRPr="001F52BD">
        <w:t>Este componente está orientado al</w:t>
      </w:r>
      <w:r>
        <w:t xml:space="preserve"> fortalecimiento del MI y la PN</w:t>
      </w:r>
      <w:r w:rsidRPr="001F52BD">
        <w:rPr>
          <w:rFonts w:ascii="Calibri" w:eastAsia="Calibri" w:hAnsi="Calibri"/>
          <w:spacing w:val="-2"/>
          <w:sz w:val="22"/>
          <w:szCs w:val="24"/>
          <w:vertAlign w:val="superscript"/>
          <w:lang w:val="en-US"/>
        </w:rPr>
        <w:footnoteReference w:id="1"/>
      </w:r>
      <w:r w:rsidRPr="001F52BD">
        <w:t xml:space="preserve">, a través de las siguientes actividades: (i) mejoramiento de las capacidades técnicas para la recopilación, procesamiento, control de calidad y análisis de datos delictivos; (ii) integración de las bases de datos y registros de delitos de las distintas fuentes primarias de información delictual; (iii) implementación del Registro Unificado de Información sobre VIF y la integración del sistema de llamadas 137 con el 911; (iv) revisión metodológica y producción de dos encuestas de victimización y percepción y una encuesta de VIF; (v) capacitación especializada de 1.000 policías investigadores y certificación de protocolos; y (vi) modernización de la infraestructura y equipamiento de la División </w:t>
      </w:r>
      <w:r w:rsidRPr="001F52BD">
        <w:lastRenderedPageBreak/>
        <w:t>Criminalística de la PN</w:t>
      </w:r>
      <w:r w:rsidRPr="001F52BD">
        <w:rPr>
          <w:rFonts w:ascii="Calibri" w:eastAsia="Calibri" w:hAnsi="Calibri"/>
          <w:sz w:val="22"/>
          <w:szCs w:val="22"/>
          <w:vertAlign w:val="superscript"/>
          <w:lang w:val="en-US"/>
        </w:rPr>
        <w:footnoteReference w:id="2"/>
      </w:r>
      <w:r w:rsidRPr="001F52BD">
        <w:t>, y de su LIC, incluyendo la construcción de su nuevo edificio</w:t>
      </w:r>
      <w:r w:rsidR="00CC5225">
        <w:rPr>
          <w:kern w:val="28"/>
        </w:rPr>
        <w:t>.</w:t>
      </w:r>
    </w:p>
    <w:p w:rsidR="00B84211" w:rsidRDefault="00860114" w:rsidP="001F52BD">
      <w:pPr>
        <w:pStyle w:val="Paragraph"/>
        <w:numPr>
          <w:ilvl w:val="1"/>
          <w:numId w:val="1"/>
        </w:numPr>
        <w:rPr>
          <w:kern w:val="28"/>
        </w:rPr>
      </w:pPr>
      <w:r w:rsidRPr="00860114">
        <w:rPr>
          <w:b/>
        </w:rPr>
        <w:t>Beneficios esperados.</w:t>
      </w:r>
      <w:r w:rsidRPr="002306A0">
        <w:rPr>
          <w:kern w:val="28"/>
        </w:rPr>
        <w:t xml:space="preserve"> </w:t>
      </w:r>
      <w:r w:rsidR="001F52BD" w:rsidRPr="001F52BD">
        <w:rPr>
          <w:kern w:val="28"/>
        </w:rPr>
        <w:t>Bajo nuestro conocimiento y a la fecha, no existen estudios empíricos sobre el efecto de mejoras generalizadas del conocimiento criminológico sobre el delito. Sin embargo, Eck y Weisburd (2004) advierten que, a pesar de ello, la investigación sugiere que el factor más importante que conduce a los arrestos es la presencia de testigos o evidencia física</w:t>
      </w:r>
      <w:r w:rsidR="002306A0" w:rsidRPr="002306A0">
        <w:rPr>
          <w:kern w:val="28"/>
        </w:rPr>
        <w:t xml:space="preserve">. </w:t>
      </w:r>
    </w:p>
    <w:p w:rsidR="00B84211" w:rsidRDefault="001F52BD" w:rsidP="001F52BD">
      <w:pPr>
        <w:pStyle w:val="Paragraph"/>
        <w:numPr>
          <w:ilvl w:val="1"/>
          <w:numId w:val="1"/>
        </w:numPr>
        <w:rPr>
          <w:kern w:val="28"/>
        </w:rPr>
      </w:pPr>
      <w:r w:rsidRPr="001F52BD">
        <w:rPr>
          <w:kern w:val="28"/>
        </w:rPr>
        <w:t>El estudio más cercano a una estimación de este efecto es Garicano y Heaton (2010) quienes utilizan un panel de datos que consta de 16 años y posee datos a nivel agencia. La gran ventaja de este trabajo es que posee estrategias de estimación con mayor validez interna respecto al resto de los trabajos. Específicamente, utiliza una regresión con controles (incluyendo efectos fijos y tendencia temporal) pero los resultados más importantes surgen del chequeo a través de variables instrumentales. Estas metodologías le dan al trabajo una consistencia interna que permite dar a los resultados una interpretación causal. El trabajo analiza el impacto de una batería de instrumentos dada por una mejora tecnológica y de información. Garicano y Heaton (2010) no encuentran que mejoras tecnológicas y en la organización repercutan de manera estadísticamente significativa sobre la tasa de denuncias y el número de delitos cometidos. Este resultado es explicado por los autores a través de que existen dos componentes actuando simultáneamente que explicarían el efecto nulo. Por un lado, aquellas instituciones que poseen mayor tecnología verán incrementado el número de delitos procesados habida cuenta de que la recolección de información es menos costosa y más efectiva. Por otra parte, existiría una disminución en la tasa de delitos reportadas a través de un efecto de disuasión del delito. En caso de desglosar estos dos efectos a través de variables que separen la utilización de tecnología para proceso de la información y tecnología para la utilización en la investigación, se encuentra que mientras el primero redunda en un incremento significativo de las denuncias del total de delitos, la otra tecnología actúa en una baja del delito. Asimismo, obtienen que existen grandes complementariedades entre las medidas adoptadas, de tal manera que aplicando aisladamente componentes que mejoren la organización policíaca para combatir el delito tendrían efectos moderados. Sus estimaciones implican que una combinación de Tecnologías de Información, especializaciones, y la experiencia de trabajadores cualificados reducen las tasas de criminalidad en un 5% respecto de aquellas agencias con similares niveles de Tecnologías de Información pero que no han implementado otras prácticas. Este resultado revela la importancia de combinar tecnologías de información con mejoras de infraestructura, lo que motiva la agrupación de los ejes que forman parte de este Componente, ya que aisladamente no se han encontrado efectos positivos sobre las tasas de criminalidad asociados al uso de Tecnologías de Información</w:t>
      </w:r>
      <w:r w:rsidR="004617EA">
        <w:rPr>
          <w:kern w:val="28"/>
        </w:rPr>
        <w:t>.</w:t>
      </w:r>
    </w:p>
    <w:p w:rsidR="00356AD0" w:rsidRDefault="001F52BD" w:rsidP="001F52BD">
      <w:pPr>
        <w:pStyle w:val="Paragraph"/>
        <w:numPr>
          <w:ilvl w:val="1"/>
          <w:numId w:val="1"/>
        </w:numPr>
        <w:rPr>
          <w:kern w:val="28"/>
        </w:rPr>
      </w:pPr>
      <w:r w:rsidRPr="001F52BD">
        <w:rPr>
          <w:kern w:val="28"/>
        </w:rPr>
        <w:t xml:space="preserve">Es de destacar que este Componente cuenta con ambas condiciones para la existencia del efecto sobre el crimen, tanto de mejoras en la capacidad de procesamiento de la información como la provisión de una infraestructura adecuada. En este caso la teoría de cambio indicaría que la implementación de este Componente derivaría en una reducción directa del crimen en el Paraguay, </w:t>
      </w:r>
      <w:r w:rsidRPr="001F52BD">
        <w:rPr>
          <w:kern w:val="28"/>
        </w:rPr>
        <w:lastRenderedPageBreak/>
        <w:t>del cual se podrán computar beneficios asociados a la disminución de los costos provocados por el crimen, cuyo costo total se estima en 1.765 millones de dólares para el año 2010 (Aboal, Lanzilotta, y Vazquez 2013). De este modo, los beneficios cuantificables están asociados a la reducción del crimen total (y no solo delitos violentos) debidos a las mejoras en procesamiento de la información acompañados de una adecuada infraestructura (consolidación de un Observatorio Nacional del Delito y la Violencia  y del Registro Unificado de Información sobre Violencia Intrafamiliar, dotándolos de protocolos de registro y validación de datos, análisis estratégico multidisciplinario y la infraestructura tecnológica que le permita la interconexión entre las fuentes de información primaria de crimen y factores de riesgo)</w:t>
      </w:r>
      <w:r w:rsidR="0052640E">
        <w:rPr>
          <w:kern w:val="28"/>
        </w:rPr>
        <w:t>.</w:t>
      </w:r>
    </w:p>
    <w:p w:rsidR="00B84211" w:rsidRDefault="00860114" w:rsidP="001F52BD">
      <w:pPr>
        <w:pStyle w:val="Paragraph"/>
        <w:numPr>
          <w:ilvl w:val="1"/>
          <w:numId w:val="1"/>
        </w:numPr>
        <w:rPr>
          <w:kern w:val="28"/>
        </w:rPr>
      </w:pPr>
      <w:r w:rsidRPr="00860114">
        <w:rPr>
          <w:b/>
        </w:rPr>
        <w:t>Supuestos.</w:t>
      </w:r>
      <w:r>
        <w:t xml:space="preserve"> </w:t>
      </w:r>
      <w:r w:rsidR="001F52BD" w:rsidRPr="001F52BD">
        <w:rPr>
          <w:kern w:val="28"/>
        </w:rPr>
        <w:t>1.4</w:t>
      </w:r>
      <w:r w:rsidR="001F52BD" w:rsidRPr="001F52BD">
        <w:rPr>
          <w:kern w:val="28"/>
        </w:rPr>
        <w:tab/>
        <w:t>El cálculo de los beneficios derivados del Componente de Información se basa en el siguiente diseño</w:t>
      </w:r>
      <w:r w:rsidR="007B3237">
        <w:rPr>
          <w:kern w:val="28"/>
        </w:rPr>
        <w:t>:</w:t>
      </w:r>
    </w:p>
    <w:p w:rsidR="00B84211" w:rsidRDefault="001F52BD" w:rsidP="001F52BD">
      <w:pPr>
        <w:pStyle w:val="Vieta"/>
        <w:spacing w:line="240" w:lineRule="auto"/>
        <w:ind w:left="994" w:hanging="432"/>
      </w:pPr>
      <w:r w:rsidRPr="001F52BD">
        <w:t>La reducción del crimen deriva no solo de mejoras del procesamiento de la información, sino también de un adecuado cambio en la infraestructura, que también es contemplado en el Componente. Por lo tanto los beneficios de ambos se engloban en este apartado.  Se espera tener un impacto en los siguientes indicadores: Homicidios cometidos en el año anterior en Asunción y DC que fueron esclarecidos en los 12 meses posteriores al hecho y Robos cometidos en el año anterior en Asunción y DC que fueron esclarecidos en los 12 meses posteriores al hecho</w:t>
      </w:r>
      <w:r>
        <w:rPr>
          <w:rStyle w:val="FootnoteReference"/>
        </w:rPr>
        <w:footnoteReference w:id="3"/>
      </w:r>
      <w:r w:rsidR="007B3237">
        <w:t>.</w:t>
      </w:r>
    </w:p>
    <w:p w:rsidR="00B84211" w:rsidRDefault="001F52BD" w:rsidP="001F52BD">
      <w:pPr>
        <w:pStyle w:val="Paragraph"/>
        <w:numPr>
          <w:ilvl w:val="1"/>
          <w:numId w:val="1"/>
        </w:numPr>
        <w:rPr>
          <w:kern w:val="28"/>
        </w:rPr>
      </w:pPr>
      <w:r w:rsidRPr="001F52BD">
        <w:rPr>
          <w:kern w:val="28"/>
        </w:rPr>
        <w:t>El cálculo de los beneficios se efectúa utilizando los siguientes supuestos</w:t>
      </w:r>
      <w:r w:rsidR="007B3237" w:rsidRPr="00974805">
        <w:rPr>
          <w:kern w:val="28"/>
        </w:rPr>
        <w:t>:</w:t>
      </w:r>
    </w:p>
    <w:p w:rsidR="00B84211" w:rsidRDefault="001F52BD" w:rsidP="001F52BD">
      <w:pPr>
        <w:pStyle w:val="Vieta"/>
        <w:spacing w:line="240" w:lineRule="auto"/>
        <w:ind w:left="994" w:hanging="432"/>
      </w:pPr>
      <w:r w:rsidRPr="001F52BD">
        <w:t>La tasa de descuento utilizada es del 12%, según el estándar del Banco. El costo del crimen en Paraguay se estima en 1.765 millones de dólares para el año 2010. El programa aplica a Asunción y el Departamento Central donde reside el 41% de la población del país y según los registros policiales se concentran el 50% de los delitos, y el 60% de los robos</w:t>
      </w:r>
      <w:r w:rsidRPr="001F52BD">
        <w:rPr>
          <w:rFonts w:ascii="Calibri" w:eastAsia="Calibri" w:hAnsi="Calibri"/>
          <w:kern w:val="0"/>
          <w:sz w:val="22"/>
          <w:szCs w:val="22"/>
          <w:vertAlign w:val="superscript"/>
          <w:lang w:val="en-US"/>
        </w:rPr>
        <w:footnoteReference w:id="4"/>
      </w:r>
      <w:r w:rsidRPr="001F52BD">
        <w:t>. La tasa de robos ha aumentado alrededor del 40% entre 2006 y 2013 en esta zona, registrando tasas cerca de 147,2 por 100.000 hab. (pch) en el 2013. Estas estadísticas coinciden con los últimos datos de victimización que indican que los delitos más frecuentes se concentran en dicha zona</w:t>
      </w:r>
      <w:r w:rsidRPr="001F52BD">
        <w:rPr>
          <w:rFonts w:ascii="Calibri" w:eastAsia="Calibri" w:hAnsi="Calibri"/>
          <w:kern w:val="0"/>
          <w:sz w:val="22"/>
          <w:szCs w:val="22"/>
          <w:vertAlign w:val="superscript"/>
          <w:lang w:val="en-US"/>
        </w:rPr>
        <w:footnoteReference w:id="5"/>
      </w:r>
      <w:r w:rsidRPr="001F52BD">
        <w:t>. En particular, los barrios más afectados son los correspondientes a las comisarías número 6, 7 y 12 (en Asunción), y 1 y 2 (en DC). En dichas comisarías (de las 92 de Asunción y DC), se concentra el 20% de los delitos</w:t>
      </w:r>
      <w:r w:rsidR="007B3237" w:rsidRPr="00974805">
        <w:t>.</w:t>
      </w:r>
    </w:p>
    <w:p w:rsidR="00B84211" w:rsidRDefault="001F52BD" w:rsidP="001F52BD">
      <w:pPr>
        <w:pStyle w:val="Vieta"/>
        <w:spacing w:line="240" w:lineRule="auto"/>
        <w:ind w:left="994" w:hanging="432"/>
      </w:pPr>
      <w:r w:rsidRPr="001F52BD">
        <w:t>Esto es importante ya que el hecho de intervenir en sólo 5 comisarías no afecta el universo de beneficios, si es que se intervienen aquellas en donde se concentra el crimen, como sucede en el caso de este programa que ha considerado la incidencia delictiva, los robos y la VIF, como principales indicadores para definir su intervención</w:t>
      </w:r>
      <w:r w:rsidR="008A6FA9">
        <w:t>.</w:t>
      </w:r>
    </w:p>
    <w:p w:rsidR="00B84211" w:rsidRDefault="001F52BD" w:rsidP="001F52BD">
      <w:pPr>
        <w:pStyle w:val="Vieta"/>
        <w:spacing w:line="240" w:lineRule="auto"/>
        <w:ind w:left="994" w:hanging="432"/>
      </w:pPr>
      <w:r w:rsidRPr="001F52BD">
        <w:lastRenderedPageBreak/>
        <w:t>Esos costos pueden desagregarse en los siguientes conceptos: 332 millones en prevención del crimen, 550 millones como valor de los bienes robados, 159 millones como respuesta al crimen, 474 millones en corrupción y 253 millones correspondientes a fallecimientos y otros costos intangibles</w:t>
      </w:r>
      <w:r w:rsidR="007B3237">
        <w:t>.</w:t>
      </w:r>
      <w:r w:rsidR="00A603AC">
        <w:t xml:space="preserve"> </w:t>
      </w:r>
      <w:r w:rsidR="007B3237">
        <w:t xml:space="preserve"> </w:t>
      </w:r>
    </w:p>
    <w:p w:rsidR="00B84211" w:rsidRDefault="001F52BD" w:rsidP="001F52BD">
      <w:pPr>
        <w:pStyle w:val="Vieta"/>
        <w:spacing w:line="240" w:lineRule="auto"/>
        <w:ind w:left="994" w:hanging="432"/>
      </w:pPr>
      <w:r w:rsidRPr="001F52BD">
        <w:t>Se asume conservadoramente que, de los costos anteriore</w:t>
      </w:r>
      <w:r>
        <w:t>s, solo serán alterados por el p</w:t>
      </w:r>
      <w:r w:rsidRPr="001F52BD">
        <w:t xml:space="preserve">rograma aquellos correspondientes a respuesta al crimen y los de fallecimientos y otros intangibles. A este fin es suficiente suponer que los gastos de prevención del crimen no serán alterados a pesar de una reducción del mismo, así como si bien deberían verificarse menos robos y hechos de corrupción, esto no generara valor social dado que el resultado de esos actos en términos materiales se pueden reducir a transferencias entre agentes. De todos modos, el </w:t>
      </w:r>
      <w:r>
        <w:t>p</w:t>
      </w:r>
      <w:r w:rsidRPr="001F52BD">
        <w:t>rograma puede generar beneficios sobre estos rubros excluidos, y en ese caso los beneficios serían aún mayores que los estimados en este análisis</w:t>
      </w:r>
      <w:r w:rsidR="002E147E">
        <w:t>.</w:t>
      </w:r>
    </w:p>
    <w:p w:rsidR="00B84211" w:rsidRDefault="007B3237" w:rsidP="001F52BD">
      <w:pPr>
        <w:pStyle w:val="Vieta"/>
        <w:spacing w:line="240" w:lineRule="auto"/>
        <w:ind w:left="994" w:hanging="432"/>
      </w:pPr>
      <w:r>
        <w:t>En base a Garicano y Heaton (2010),</w:t>
      </w:r>
      <w:r w:rsidR="008A0563">
        <w:t xml:space="preserve"> </w:t>
      </w:r>
      <w:r w:rsidR="00DB2FA4">
        <w:t>se utilizará una tasa de reducción del crimen del 5%</w:t>
      </w:r>
      <w:r w:rsidR="001F52BD">
        <w:t>.</w:t>
      </w:r>
      <w:r w:rsidR="002E147E">
        <w:t xml:space="preserve"> </w:t>
      </w:r>
    </w:p>
    <w:p w:rsidR="00B84211" w:rsidRDefault="007B3237" w:rsidP="00860114">
      <w:pPr>
        <w:pStyle w:val="Paragraph"/>
        <w:numPr>
          <w:ilvl w:val="1"/>
          <w:numId w:val="1"/>
        </w:numPr>
        <w:rPr>
          <w:kern w:val="28"/>
        </w:rPr>
      </w:pPr>
      <w:r w:rsidRPr="00974805">
        <w:rPr>
          <w:kern w:val="28"/>
        </w:rPr>
        <w:t>Para el cálculo de los costos se utilizan los siguientes supuestos:</w:t>
      </w:r>
    </w:p>
    <w:p w:rsidR="00B84211" w:rsidRDefault="001F52BD" w:rsidP="001F52BD">
      <w:pPr>
        <w:pStyle w:val="Vieta"/>
        <w:spacing w:line="240" w:lineRule="auto"/>
      </w:pPr>
      <w:r w:rsidRPr="001F52BD">
        <w:t>Los costos correspondientes al primer Componente ascienden a US$9.526.141, según datos del programa</w:t>
      </w:r>
      <w:r w:rsidR="002E147E">
        <w:t>.</w:t>
      </w:r>
    </w:p>
    <w:p w:rsidR="00B84211" w:rsidRDefault="001F52BD" w:rsidP="001F52BD">
      <w:pPr>
        <w:pStyle w:val="Vieta"/>
        <w:spacing w:line="240" w:lineRule="auto"/>
      </w:pPr>
      <w:r w:rsidRPr="001F52BD">
        <w:t>Los costos se ejecutarán mediante la siguiente distribución: 7% durante el primer año, 11% durante el segundo, 8% durante el tercero, 20% durante el cuarto, 54% en el quinto y el 1% restante en el sexto año</w:t>
      </w:r>
      <w:r w:rsidR="005E0FF8">
        <w:t>.</w:t>
      </w:r>
    </w:p>
    <w:p w:rsidR="00B84211" w:rsidRDefault="001F52BD" w:rsidP="001F52BD">
      <w:pPr>
        <w:pStyle w:val="Vieta"/>
        <w:spacing w:line="240" w:lineRule="auto"/>
      </w:pPr>
      <w:r w:rsidRPr="001F52BD">
        <w:t>El horizonte a partir del cual se calculan beneficios es de 20 años. Luego de transcurrido ese período no se computarán beneficios, aunque es posible que existan. Este supuesto es conservador ya que de no cumplirse, los beneficios finales serían mayores a los estimados en este análisis</w:t>
      </w:r>
      <w:r w:rsidR="009332ED">
        <w:t>.</w:t>
      </w:r>
    </w:p>
    <w:p w:rsidR="00B84211" w:rsidRDefault="007B3237" w:rsidP="00860114">
      <w:pPr>
        <w:pStyle w:val="Paragraph"/>
        <w:numPr>
          <w:ilvl w:val="1"/>
          <w:numId w:val="1"/>
        </w:numPr>
        <w:rPr>
          <w:kern w:val="28"/>
        </w:rPr>
      </w:pPr>
      <w:r>
        <w:rPr>
          <w:kern w:val="28"/>
        </w:rPr>
        <w:t xml:space="preserve">Los beneficios pueden ser computables a partir del </w:t>
      </w:r>
      <w:r w:rsidR="00452907">
        <w:rPr>
          <w:kern w:val="28"/>
        </w:rPr>
        <w:t xml:space="preserve">quinto </w:t>
      </w:r>
      <w:r>
        <w:rPr>
          <w:kern w:val="28"/>
        </w:rPr>
        <w:t xml:space="preserve">año de ejecución. </w:t>
      </w:r>
    </w:p>
    <w:p w:rsidR="00B84211" w:rsidRDefault="00860114" w:rsidP="001F52BD">
      <w:pPr>
        <w:pStyle w:val="Paragraph"/>
        <w:numPr>
          <w:ilvl w:val="1"/>
          <w:numId w:val="1"/>
        </w:numPr>
        <w:rPr>
          <w:kern w:val="28"/>
        </w:rPr>
      </w:pPr>
      <w:r w:rsidRPr="00860114">
        <w:rPr>
          <w:b/>
        </w:rPr>
        <w:t>Cálculos.</w:t>
      </w:r>
      <w:r w:rsidRPr="00974805">
        <w:rPr>
          <w:kern w:val="28"/>
        </w:rPr>
        <w:t xml:space="preserve"> </w:t>
      </w:r>
      <w:r w:rsidR="001F52BD" w:rsidRPr="001F52BD">
        <w:rPr>
          <w:kern w:val="28"/>
        </w:rPr>
        <w:t>El primer cálculo necesario para el análisis consiste en la estimación de los beneficios anuales derivados de los ahorros a causa de la reducción del crimen. Luego, esta fórmula será replicada para cada año aplicándose sobre ella una tasa de descuento del 12%. Para estimar los beneficios totales se debe tener en cuenta el supuesto de 20 años durante los cuales se consideran los efectos del subcomponente. Sin embargo, a efectos de obtener el valor actual, debe tenerse en cuenta la tasa utilizada por el BID del 12%, lo que nos lleva a que los beneficios totales se deberían calcular mediante la siguiente fórmula</w:t>
      </w:r>
      <w:r w:rsidR="001F52BD">
        <w:rPr>
          <w:kern w:val="28"/>
        </w:rPr>
        <w:t>:</w:t>
      </w:r>
    </w:p>
    <w:p w:rsidR="00B84211" w:rsidRDefault="000532C5" w:rsidP="007E6104">
      <w:pPr>
        <w:spacing w:after="0" w:line="480" w:lineRule="auto"/>
        <w:ind w:left="567" w:hanging="567"/>
        <w:jc w:val="both"/>
        <w:rPr>
          <w:rFonts w:ascii="Times New Roman" w:hAnsi="Times New Roman"/>
          <w:szCs w:val="24"/>
          <w:lang w:val="es-ES"/>
        </w:rPr>
      </w:pPr>
      <m:oMathPara>
        <m:oMath>
          <m:sSub>
            <m:sSubPr>
              <m:ctrlPr>
                <w:rPr>
                  <w:rFonts w:ascii="Cambria Math" w:hAnsi="Cambria Math"/>
                  <w:i/>
                  <w:szCs w:val="24"/>
                  <w:lang w:val="es-ES"/>
                </w:rPr>
              </m:ctrlPr>
            </m:sSubPr>
            <m:e>
              <m:r>
                <w:rPr>
                  <w:rFonts w:ascii="Cambria Math" w:hAnsi="Cambria Math"/>
                  <w:szCs w:val="24"/>
                  <w:lang w:val="es-ES"/>
                </w:rPr>
                <m:t>B</m:t>
              </m:r>
            </m:e>
            <m:sub>
              <m:r>
                <w:rPr>
                  <w:rFonts w:ascii="Cambria Math" w:hAnsi="Cambria Math"/>
                  <w:szCs w:val="24"/>
                  <w:lang w:val="es-ES"/>
                </w:rPr>
                <m:t>tI</m:t>
              </m:r>
            </m:sub>
          </m:sSub>
          <m:r>
            <w:rPr>
              <w:rFonts w:ascii="Cambria Math" w:hAnsi="Cambria Math"/>
              <w:szCs w:val="24"/>
              <w:lang w:val="es-ES"/>
            </w:rPr>
            <m:t>=</m:t>
          </m:r>
          <m:nary>
            <m:naryPr>
              <m:chr m:val="∑"/>
              <m:limLoc m:val="undOvr"/>
              <m:ctrlPr>
                <w:rPr>
                  <w:rFonts w:ascii="Cambria Math" w:hAnsi="Cambria Math"/>
                  <w:i/>
                  <w:szCs w:val="24"/>
                  <w:lang w:val="es-ES"/>
                </w:rPr>
              </m:ctrlPr>
            </m:naryPr>
            <m:sub>
              <m:r>
                <w:rPr>
                  <w:rFonts w:ascii="Cambria Math" w:hAnsi="Cambria Math"/>
                  <w:szCs w:val="24"/>
                  <w:lang w:val="es-ES"/>
                </w:rPr>
                <m:t>t=0</m:t>
              </m:r>
            </m:sub>
            <m:sup>
              <m:r>
                <w:rPr>
                  <w:rFonts w:ascii="Cambria Math" w:hAnsi="Cambria Math"/>
                  <w:szCs w:val="24"/>
                  <w:lang w:val="es-ES"/>
                </w:rPr>
                <m:t>19</m:t>
              </m:r>
            </m:sup>
            <m:e>
              <m:f>
                <m:fPr>
                  <m:ctrlPr>
                    <w:rPr>
                      <w:rFonts w:ascii="Cambria Math" w:hAnsi="Cambria Math"/>
                      <w:i/>
                      <w:szCs w:val="24"/>
                      <w:lang w:val="es-ES"/>
                    </w:rPr>
                  </m:ctrlPr>
                </m:fPr>
                <m:num>
                  <m:sSub>
                    <m:sSubPr>
                      <m:ctrlPr>
                        <w:rPr>
                          <w:rFonts w:ascii="Cambria Math" w:hAnsi="Cambria Math"/>
                          <w:i/>
                          <w:szCs w:val="24"/>
                          <w:lang w:val="es-ES"/>
                        </w:rPr>
                      </m:ctrlPr>
                    </m:sSubPr>
                    <m:e>
                      <m:r>
                        <w:rPr>
                          <w:rFonts w:ascii="Cambria Math" w:hAnsi="Cambria Math"/>
                          <w:szCs w:val="24"/>
                          <w:lang w:val="es-ES"/>
                        </w:rPr>
                        <m:t>B</m:t>
                      </m:r>
                    </m:e>
                    <m:sub>
                      <m:r>
                        <w:rPr>
                          <w:rFonts w:ascii="Cambria Math" w:hAnsi="Cambria Math"/>
                          <w:szCs w:val="24"/>
                          <w:lang w:val="es-ES"/>
                        </w:rPr>
                        <m:t>t</m:t>
                      </m:r>
                    </m:sub>
                  </m:sSub>
                </m:num>
                <m:den>
                  <m:sSup>
                    <m:sSupPr>
                      <m:ctrlPr>
                        <w:rPr>
                          <w:rFonts w:ascii="Cambria Math" w:hAnsi="Cambria Math"/>
                          <w:i/>
                          <w:szCs w:val="24"/>
                          <w:lang w:val="es-ES"/>
                        </w:rPr>
                      </m:ctrlPr>
                    </m:sSupPr>
                    <m:e>
                      <m:r>
                        <w:rPr>
                          <w:rFonts w:ascii="Cambria Math" w:hAnsi="Cambria Math"/>
                          <w:szCs w:val="24"/>
                          <w:lang w:val="es-ES"/>
                        </w:rPr>
                        <m:t>1,12</m:t>
                      </m:r>
                    </m:e>
                    <m:sup>
                      <m:r>
                        <w:rPr>
                          <w:rFonts w:ascii="Cambria Math" w:hAnsi="Cambria Math"/>
                          <w:szCs w:val="24"/>
                          <w:lang w:val="es-ES"/>
                        </w:rPr>
                        <m:t>t</m:t>
                      </m:r>
                    </m:sup>
                  </m:sSup>
                </m:den>
              </m:f>
            </m:e>
          </m:nary>
          <m:r>
            <w:rPr>
              <w:rFonts w:ascii="Cambria Math" w:hAnsi="Cambria Math"/>
              <w:szCs w:val="24"/>
              <w:lang w:val="es-ES"/>
            </w:rPr>
            <m:t>,</m:t>
          </m:r>
        </m:oMath>
      </m:oMathPara>
    </w:p>
    <w:p w:rsidR="00B84211" w:rsidRDefault="00FD764A" w:rsidP="00860114">
      <w:pPr>
        <w:pStyle w:val="Paragraph"/>
        <w:numPr>
          <w:ilvl w:val="0"/>
          <w:numId w:val="0"/>
        </w:numPr>
        <w:ind w:left="562" w:hanging="562"/>
        <w:rPr>
          <w:kern w:val="28"/>
        </w:rPr>
      </w:pPr>
      <w:r>
        <w:rPr>
          <w:szCs w:val="24"/>
        </w:rPr>
        <w:tab/>
      </w:r>
      <w:r w:rsidR="007B3237" w:rsidRPr="00974805">
        <w:rPr>
          <w:szCs w:val="24"/>
        </w:rPr>
        <w:t xml:space="preserve">donde </w:t>
      </w:r>
      <m:oMath>
        <m:r>
          <w:rPr>
            <w:rFonts w:ascii="Cambria Math" w:hAnsi="Cambria Math"/>
            <w:szCs w:val="24"/>
          </w:rPr>
          <m:t>I</m:t>
        </m:r>
      </m:oMath>
      <w:r w:rsidR="007B3237">
        <w:rPr>
          <w:i/>
          <w:szCs w:val="24"/>
        </w:rPr>
        <w:t xml:space="preserve"> </w:t>
      </w:r>
      <w:r w:rsidR="00BC7E94" w:rsidRPr="00BC7E94">
        <w:rPr>
          <w:szCs w:val="24"/>
        </w:rPr>
        <w:t>se</w:t>
      </w:r>
      <w:r w:rsidR="00AA0BF9">
        <w:rPr>
          <w:i/>
          <w:szCs w:val="24"/>
        </w:rPr>
        <w:t xml:space="preserve"> </w:t>
      </w:r>
      <w:r w:rsidR="007B3237">
        <w:rPr>
          <w:szCs w:val="24"/>
        </w:rPr>
        <w:t xml:space="preserve">refiere a que los beneficios son generados por el </w:t>
      </w:r>
      <w:r w:rsidR="007E6104">
        <w:rPr>
          <w:szCs w:val="24"/>
        </w:rPr>
        <w:t>Sub</w:t>
      </w:r>
      <w:r w:rsidR="007B3237">
        <w:rPr>
          <w:szCs w:val="24"/>
        </w:rPr>
        <w:t xml:space="preserve">componente de Información, </w:t>
      </w:r>
      <m:oMath>
        <m:r>
          <w:rPr>
            <w:rFonts w:ascii="Cambria Math" w:hAnsi="Cambria Math"/>
            <w:szCs w:val="24"/>
          </w:rPr>
          <m:t>B</m:t>
        </m:r>
      </m:oMath>
      <w:r w:rsidR="007B3237">
        <w:rPr>
          <w:szCs w:val="24"/>
        </w:rPr>
        <w:t xml:space="preserve"> denota</w:t>
      </w:r>
      <w:r w:rsidR="00DF5014">
        <w:rPr>
          <w:szCs w:val="24"/>
        </w:rPr>
        <w:t xml:space="preserve"> los</w:t>
      </w:r>
      <w:r w:rsidR="007B3237">
        <w:rPr>
          <w:szCs w:val="24"/>
        </w:rPr>
        <w:t xml:space="preserve"> beneficios y </w:t>
      </w:r>
      <m:oMath>
        <m:r>
          <w:rPr>
            <w:rFonts w:ascii="Cambria Math" w:hAnsi="Cambria Math"/>
            <w:szCs w:val="24"/>
          </w:rPr>
          <m:t>t</m:t>
        </m:r>
      </m:oMath>
      <w:r w:rsidR="007B3237" w:rsidRPr="00974805">
        <w:rPr>
          <w:szCs w:val="24"/>
        </w:rPr>
        <w:t xml:space="preserve"> </w:t>
      </w:r>
      <w:r w:rsidR="007B3237">
        <w:rPr>
          <w:szCs w:val="24"/>
        </w:rPr>
        <w:t xml:space="preserve">indica el año corriente. </w:t>
      </w:r>
    </w:p>
    <w:p w:rsidR="00B84211" w:rsidRDefault="007B3237" w:rsidP="00860114">
      <w:pPr>
        <w:pStyle w:val="Paragraph"/>
        <w:numPr>
          <w:ilvl w:val="1"/>
          <w:numId w:val="1"/>
        </w:numPr>
        <w:ind w:left="562" w:hanging="562"/>
        <w:rPr>
          <w:szCs w:val="24"/>
        </w:rPr>
      </w:pPr>
      <w:r w:rsidRPr="00974805">
        <w:rPr>
          <w:szCs w:val="24"/>
        </w:rPr>
        <w:t xml:space="preserve">Los costos de operación se calculan como el valor presente del flujo de gastos </w:t>
      </w:r>
      <w:r>
        <w:rPr>
          <w:szCs w:val="24"/>
        </w:rPr>
        <w:t>del proyecto</w:t>
      </w:r>
      <w:r w:rsidRPr="00974805">
        <w:rPr>
          <w:szCs w:val="24"/>
        </w:rPr>
        <w:t>. La fórmula utilizada es:</w:t>
      </w:r>
    </w:p>
    <w:p w:rsidR="00B84211" w:rsidRDefault="000532C5" w:rsidP="007E6104">
      <w:pPr>
        <w:spacing w:after="0" w:line="480" w:lineRule="auto"/>
        <w:ind w:left="567" w:hanging="567"/>
        <w:jc w:val="center"/>
        <w:rPr>
          <w:rFonts w:ascii="Times New Roman" w:hAnsi="Times New Roman"/>
          <w:sz w:val="24"/>
          <w:szCs w:val="24"/>
          <w:lang w:val="es-ES"/>
        </w:rPr>
      </w:pPr>
      <m:oMathPara>
        <m:oMath>
          <m:sSub>
            <m:sSubPr>
              <m:ctrlPr>
                <w:rPr>
                  <w:rFonts w:ascii="Cambria Math" w:hAnsi="Cambria Math"/>
                  <w:i/>
                  <w:lang w:val="es-ES"/>
                </w:rPr>
              </m:ctrlPr>
            </m:sSubPr>
            <m:e>
              <m:r>
                <w:rPr>
                  <w:rFonts w:ascii="Cambria Math" w:hAnsi="Cambria Math"/>
                  <w:lang w:val="es-ES"/>
                </w:rPr>
                <m:t>Co</m:t>
              </m:r>
            </m:e>
            <m:sub>
              <m:r>
                <w:rPr>
                  <w:rFonts w:ascii="Cambria Math" w:hAnsi="Cambria Math"/>
                  <w:lang w:val="es-ES"/>
                </w:rPr>
                <m:t>i</m:t>
              </m:r>
            </m:sub>
          </m:sSub>
          <m:r>
            <w:rPr>
              <w:rFonts w:ascii="Cambria Math" w:hAnsi="Cambria Math"/>
              <w:lang w:val="es-ES"/>
            </w:rPr>
            <m:t>=</m:t>
          </m:r>
          <m:nary>
            <m:naryPr>
              <m:chr m:val="∑"/>
              <m:limLoc m:val="undOvr"/>
              <m:ctrlPr>
                <w:rPr>
                  <w:rFonts w:ascii="Cambria Math" w:hAnsi="Cambria Math"/>
                  <w:i/>
                  <w:lang w:val="es-ES"/>
                </w:rPr>
              </m:ctrlPr>
            </m:naryPr>
            <m:sub>
              <m:r>
                <w:rPr>
                  <w:rFonts w:ascii="Cambria Math" w:hAnsi="Cambria Math"/>
                  <w:lang w:val="es-ES"/>
                </w:rPr>
                <m:t>t=0</m:t>
              </m:r>
            </m:sub>
            <m:sup>
              <m:r>
                <w:rPr>
                  <w:rFonts w:ascii="Cambria Math" w:hAnsi="Cambria Math"/>
                  <w:lang w:val="es-ES"/>
                </w:rPr>
                <m:t>19</m:t>
              </m:r>
            </m:sup>
            <m:e>
              <m:f>
                <m:fPr>
                  <m:ctrlPr>
                    <w:rPr>
                      <w:rFonts w:ascii="Cambria Math" w:hAnsi="Cambria Math"/>
                      <w:i/>
                      <w:lang w:val="es-ES"/>
                    </w:rPr>
                  </m:ctrlPr>
                </m:fPr>
                <m:num>
                  <m:sSub>
                    <m:sSubPr>
                      <m:ctrlPr>
                        <w:rPr>
                          <w:rFonts w:ascii="Cambria Math" w:hAnsi="Cambria Math"/>
                          <w:i/>
                          <w:lang w:val="es-ES"/>
                        </w:rPr>
                      </m:ctrlPr>
                    </m:sSubPr>
                    <m:e>
                      <m:r>
                        <w:rPr>
                          <w:rFonts w:ascii="Cambria Math" w:hAnsi="Cambria Math"/>
                          <w:lang w:val="es-ES"/>
                        </w:rPr>
                        <m:t>g</m:t>
                      </m:r>
                    </m:e>
                    <m:sub>
                      <m:r>
                        <w:rPr>
                          <w:rFonts w:ascii="Cambria Math" w:hAnsi="Cambria Math"/>
                          <w:lang w:val="es-ES"/>
                        </w:rPr>
                        <m:t>t</m:t>
                      </m:r>
                    </m:sub>
                  </m:sSub>
                </m:num>
                <m:den>
                  <m:sSup>
                    <m:sSupPr>
                      <m:ctrlPr>
                        <w:rPr>
                          <w:rFonts w:ascii="Cambria Math" w:hAnsi="Cambria Math"/>
                          <w:i/>
                          <w:lang w:val="es-ES"/>
                        </w:rPr>
                      </m:ctrlPr>
                    </m:sSupPr>
                    <m:e>
                      <m:r>
                        <w:rPr>
                          <w:rFonts w:ascii="Cambria Math" w:hAnsi="Cambria Math"/>
                          <w:lang w:val="es-ES"/>
                        </w:rPr>
                        <m:t>1,12</m:t>
                      </m:r>
                    </m:e>
                    <m:sup>
                      <m:r>
                        <w:rPr>
                          <w:rFonts w:ascii="Cambria Math" w:hAnsi="Cambria Math"/>
                          <w:lang w:val="es-ES"/>
                        </w:rPr>
                        <m:t>t</m:t>
                      </m:r>
                    </m:sup>
                  </m:sSup>
                </m:den>
              </m:f>
            </m:e>
          </m:nary>
          <m:r>
            <w:rPr>
              <w:rFonts w:ascii="Cambria Math" w:hAnsi="Cambria Math"/>
              <w:lang w:val="es-ES"/>
            </w:rPr>
            <m:t>,</m:t>
          </m:r>
        </m:oMath>
      </m:oMathPara>
    </w:p>
    <w:p w:rsidR="00B84211" w:rsidRDefault="00FD764A" w:rsidP="00860114">
      <w:pPr>
        <w:spacing w:before="120" w:after="120" w:line="240" w:lineRule="auto"/>
        <w:ind w:left="562" w:hanging="562"/>
        <w:jc w:val="both"/>
        <w:rPr>
          <w:rFonts w:ascii="Times New Roman" w:hAnsi="Times New Roman"/>
          <w:sz w:val="24"/>
          <w:lang w:val="es-ES"/>
        </w:rPr>
      </w:pPr>
      <w:r>
        <w:rPr>
          <w:rFonts w:ascii="Times New Roman" w:hAnsi="Times New Roman"/>
          <w:sz w:val="24"/>
          <w:lang w:val="es-ES"/>
        </w:rPr>
        <w:lastRenderedPageBreak/>
        <w:tab/>
      </w:r>
      <w:r w:rsidR="007B3237" w:rsidRPr="00974805">
        <w:rPr>
          <w:rFonts w:ascii="Times New Roman" w:hAnsi="Times New Roman"/>
          <w:sz w:val="24"/>
          <w:lang w:val="es-ES"/>
        </w:rPr>
        <w:t>donde g es el gasto anual p</w:t>
      </w:r>
      <w:r w:rsidR="007B3237">
        <w:rPr>
          <w:rFonts w:ascii="Times New Roman" w:hAnsi="Times New Roman"/>
          <w:sz w:val="24"/>
          <w:lang w:val="es-ES"/>
        </w:rPr>
        <w:t xml:space="preserve">ara el </w:t>
      </w:r>
      <w:r w:rsidR="00C92E6F">
        <w:rPr>
          <w:rFonts w:ascii="Times New Roman" w:hAnsi="Times New Roman"/>
          <w:sz w:val="24"/>
          <w:lang w:val="es-ES"/>
        </w:rPr>
        <w:t>S</w:t>
      </w:r>
      <w:r w:rsidR="00FB67F8">
        <w:rPr>
          <w:rFonts w:ascii="Times New Roman" w:hAnsi="Times New Roman"/>
          <w:sz w:val="24"/>
          <w:lang w:val="es-ES"/>
        </w:rPr>
        <w:t>ubc</w:t>
      </w:r>
      <w:r w:rsidR="007B3237">
        <w:rPr>
          <w:rFonts w:ascii="Times New Roman" w:hAnsi="Times New Roman"/>
          <w:sz w:val="24"/>
          <w:lang w:val="es-ES"/>
        </w:rPr>
        <w:t>omponente de Información (teniendo en cuenta infraestructura)</w:t>
      </w:r>
      <w:r w:rsidR="007B3237" w:rsidRPr="00974805">
        <w:rPr>
          <w:rFonts w:ascii="Times New Roman" w:hAnsi="Times New Roman"/>
          <w:sz w:val="24"/>
          <w:lang w:val="es-ES"/>
        </w:rPr>
        <w:t xml:space="preserve">, t </w:t>
      </w:r>
      <w:r w:rsidR="007B3237">
        <w:rPr>
          <w:rFonts w:ascii="Times New Roman" w:hAnsi="Times New Roman"/>
          <w:sz w:val="24"/>
          <w:lang w:val="es-ES"/>
        </w:rPr>
        <w:t xml:space="preserve">denota el </w:t>
      </w:r>
      <w:r w:rsidR="00027BD0">
        <w:rPr>
          <w:rFonts w:ascii="Times New Roman" w:hAnsi="Times New Roman"/>
          <w:sz w:val="24"/>
          <w:lang w:val="es-ES"/>
        </w:rPr>
        <w:t>periodo</w:t>
      </w:r>
      <w:r w:rsidR="007B3237">
        <w:rPr>
          <w:rFonts w:ascii="Times New Roman" w:hAnsi="Times New Roman"/>
          <w:sz w:val="24"/>
          <w:lang w:val="es-ES"/>
        </w:rPr>
        <w:t xml:space="preserve"> corriente</w:t>
      </w:r>
      <w:r w:rsidR="007B3237" w:rsidRPr="00974805">
        <w:rPr>
          <w:rFonts w:ascii="Times New Roman" w:hAnsi="Times New Roman"/>
          <w:sz w:val="24"/>
          <w:lang w:val="es-ES"/>
        </w:rPr>
        <w:t>.</w:t>
      </w:r>
      <w:r w:rsidR="007B3237">
        <w:rPr>
          <w:rFonts w:ascii="Times New Roman" w:hAnsi="Times New Roman"/>
          <w:sz w:val="24"/>
          <w:lang w:val="es-ES"/>
        </w:rPr>
        <w:t xml:space="preserve"> El costo </w:t>
      </w:r>
      <w:r w:rsidR="007C0A5D">
        <w:rPr>
          <w:rFonts w:ascii="Times New Roman" w:hAnsi="Times New Roman"/>
          <w:sz w:val="24"/>
          <w:lang w:val="es-ES"/>
        </w:rPr>
        <w:t>total</w:t>
      </w:r>
      <w:r w:rsidR="007B3237">
        <w:rPr>
          <w:rFonts w:ascii="Times New Roman" w:hAnsi="Times New Roman"/>
          <w:sz w:val="24"/>
          <w:lang w:val="es-ES"/>
        </w:rPr>
        <w:t xml:space="preserve"> es de </w:t>
      </w:r>
      <w:r w:rsidR="001F52BD" w:rsidRPr="001F52BD">
        <w:rPr>
          <w:rFonts w:ascii="Times New Roman" w:hAnsi="Times New Roman"/>
          <w:sz w:val="24"/>
          <w:lang w:val="es-ES"/>
        </w:rPr>
        <w:t>US$9.526.141</w:t>
      </w:r>
      <w:r w:rsidR="007B3237">
        <w:rPr>
          <w:rFonts w:ascii="Times New Roman" w:hAnsi="Times New Roman"/>
          <w:sz w:val="24"/>
          <w:lang w:val="es-ES"/>
        </w:rPr>
        <w:t>.</w:t>
      </w:r>
    </w:p>
    <w:tbl>
      <w:tblPr>
        <w:tblW w:w="8505" w:type="dxa"/>
        <w:tblInd w:w="675" w:type="dxa"/>
        <w:tblLayout w:type="fixed"/>
        <w:tblLook w:val="04A0" w:firstRow="1" w:lastRow="0" w:firstColumn="1" w:lastColumn="0" w:noHBand="0" w:noVBand="1"/>
      </w:tblPr>
      <w:tblGrid>
        <w:gridCol w:w="284"/>
        <w:gridCol w:w="4111"/>
        <w:gridCol w:w="1417"/>
        <w:gridCol w:w="2693"/>
      </w:tblGrid>
      <w:tr w:rsidR="007B3237" w:rsidRPr="000532C5" w:rsidTr="00DB6A84">
        <w:trPr>
          <w:trHeight w:val="280"/>
        </w:trPr>
        <w:tc>
          <w:tcPr>
            <w:tcW w:w="8505" w:type="dxa"/>
            <w:gridSpan w:val="4"/>
            <w:tcBorders>
              <w:top w:val="nil"/>
              <w:left w:val="nil"/>
              <w:bottom w:val="single" w:sz="4" w:space="0" w:color="auto"/>
              <w:right w:val="nil"/>
            </w:tcBorders>
            <w:shd w:val="clear" w:color="auto" w:fill="auto"/>
            <w:noWrap/>
            <w:vAlign w:val="bottom"/>
            <w:hideMark/>
          </w:tcPr>
          <w:p w:rsidR="00B84211" w:rsidRDefault="007B3237" w:rsidP="000532C5">
            <w:pPr>
              <w:pStyle w:val="TituloTabla"/>
            </w:pPr>
            <w:r w:rsidRPr="00974805">
              <w:t>Tabla 1. Cálculo del valor monetario en US</w:t>
            </w:r>
            <w:r w:rsidR="000532C5">
              <w:t>$</w:t>
            </w:r>
            <w:r w:rsidRPr="00974805">
              <w:t xml:space="preserve"> de </w:t>
            </w:r>
            <w:r>
              <w:t>los beneficios</w:t>
            </w:r>
            <w:r w:rsidR="00CA176C">
              <w:t xml:space="preserve"> anuales</w:t>
            </w:r>
            <w:r>
              <w:t xml:space="preserve"> derivados del </w:t>
            </w:r>
            <w:r w:rsidR="004F4C0D">
              <w:t>C</w:t>
            </w:r>
            <w:r>
              <w:t>omponente de Información</w:t>
            </w:r>
          </w:p>
        </w:tc>
      </w:tr>
      <w:tr w:rsidR="007B3237" w:rsidRPr="00990A2D" w:rsidTr="00DB6A84">
        <w:trPr>
          <w:trHeight w:val="280"/>
        </w:trPr>
        <w:tc>
          <w:tcPr>
            <w:tcW w:w="284" w:type="dxa"/>
            <w:tcBorders>
              <w:top w:val="nil"/>
              <w:left w:val="nil"/>
              <w:bottom w:val="nil"/>
              <w:right w:val="nil"/>
            </w:tcBorders>
            <w:shd w:val="clear" w:color="auto" w:fill="auto"/>
            <w:noWrap/>
            <w:vAlign w:val="center"/>
            <w:hideMark/>
          </w:tcPr>
          <w:p w:rsidR="00B84211" w:rsidRDefault="007B3237" w:rsidP="007E6104">
            <w:pPr>
              <w:spacing w:after="0" w:line="240" w:lineRule="auto"/>
              <w:ind w:left="567" w:hanging="567"/>
              <w:jc w:val="right"/>
              <w:rPr>
                <w:rFonts w:ascii="Times New Roman" w:eastAsia="Times New Roman" w:hAnsi="Times New Roman"/>
                <w:color w:val="000000"/>
                <w:lang w:val="es-ES"/>
              </w:rPr>
            </w:pPr>
            <w:r w:rsidRPr="00974805">
              <w:rPr>
                <w:rFonts w:ascii="Times New Roman" w:eastAsia="Times New Roman" w:hAnsi="Times New Roman"/>
                <w:color w:val="000000"/>
                <w:lang w:val="es-ES"/>
              </w:rPr>
              <w:t>1</w:t>
            </w:r>
          </w:p>
        </w:tc>
        <w:tc>
          <w:tcPr>
            <w:tcW w:w="4111" w:type="dxa"/>
            <w:tcBorders>
              <w:top w:val="nil"/>
              <w:left w:val="nil"/>
              <w:bottom w:val="nil"/>
              <w:right w:val="single" w:sz="4" w:space="0" w:color="auto"/>
            </w:tcBorders>
            <w:shd w:val="clear" w:color="auto" w:fill="auto"/>
            <w:noWrap/>
            <w:vAlign w:val="center"/>
          </w:tcPr>
          <w:p w:rsidR="00B84211" w:rsidRDefault="00426736" w:rsidP="000532C5">
            <w:pPr>
              <w:spacing w:after="0" w:line="240" w:lineRule="auto"/>
              <w:ind w:left="567" w:hanging="567"/>
              <w:rPr>
                <w:rFonts w:ascii="Times New Roman" w:eastAsia="Times New Roman" w:hAnsi="Times New Roman"/>
                <w:b/>
                <w:bCs/>
                <w:color w:val="000000"/>
                <w:lang w:val="es-ES"/>
              </w:rPr>
            </w:pPr>
            <w:r>
              <w:rPr>
                <w:rFonts w:ascii="Times New Roman" w:eastAsia="Times New Roman" w:hAnsi="Times New Roman"/>
                <w:color w:val="000000"/>
                <w:lang w:val="es-ES"/>
              </w:rPr>
              <w:t>Costos en respuesta al crimen</w:t>
            </w:r>
            <w:r w:rsidR="00A72576" w:rsidRPr="00A72576">
              <w:rPr>
                <w:rFonts w:ascii="Times New Roman" w:eastAsia="Times New Roman" w:hAnsi="Times New Roman"/>
                <w:color w:val="000000"/>
                <w:lang w:val="es-ES"/>
              </w:rPr>
              <w:t xml:space="preserve"> US</w:t>
            </w:r>
            <w:r w:rsidR="000532C5">
              <w:rPr>
                <w:rFonts w:ascii="Times New Roman" w:eastAsia="Times New Roman" w:hAnsi="Times New Roman"/>
                <w:color w:val="000000"/>
                <w:lang w:val="es-ES"/>
              </w:rPr>
              <w:t>$</w:t>
            </w:r>
          </w:p>
        </w:tc>
        <w:tc>
          <w:tcPr>
            <w:tcW w:w="1417" w:type="dxa"/>
            <w:tcBorders>
              <w:top w:val="nil"/>
              <w:left w:val="nil"/>
              <w:bottom w:val="nil"/>
              <w:right w:val="single" w:sz="4" w:space="0" w:color="auto"/>
            </w:tcBorders>
            <w:shd w:val="clear" w:color="auto" w:fill="auto"/>
            <w:noWrap/>
            <w:vAlign w:val="center"/>
            <w:hideMark/>
          </w:tcPr>
          <w:p w:rsidR="00B84211" w:rsidRDefault="00426736" w:rsidP="00426736">
            <w:pPr>
              <w:spacing w:after="0" w:line="240" w:lineRule="auto"/>
              <w:ind w:left="567" w:hanging="567"/>
              <w:jc w:val="right"/>
              <w:rPr>
                <w:rFonts w:ascii="Times New Roman" w:eastAsia="Times New Roman" w:hAnsi="Times New Roman"/>
                <w:color w:val="000000"/>
                <w:lang w:val="es-ES"/>
              </w:rPr>
            </w:pPr>
            <w:r>
              <w:rPr>
                <w:rFonts w:ascii="Times New Roman" w:eastAsia="Times New Roman" w:hAnsi="Times New Roman"/>
                <w:color w:val="000000"/>
                <w:lang w:val="es-ES"/>
              </w:rPr>
              <w:t>159</w:t>
            </w:r>
            <w:r w:rsidR="00DF5014">
              <w:rPr>
                <w:rFonts w:ascii="Times New Roman" w:eastAsia="Times New Roman" w:hAnsi="Times New Roman"/>
                <w:color w:val="000000"/>
                <w:lang w:val="es-ES"/>
              </w:rPr>
              <w:t>.</w:t>
            </w:r>
            <w:r w:rsidR="00A72576">
              <w:rPr>
                <w:rFonts w:ascii="Times New Roman" w:eastAsia="Times New Roman" w:hAnsi="Times New Roman"/>
                <w:color w:val="000000"/>
                <w:lang w:val="es-ES"/>
              </w:rPr>
              <w:t>000</w:t>
            </w:r>
            <w:r w:rsidR="00DF5014">
              <w:rPr>
                <w:rFonts w:ascii="Times New Roman" w:eastAsia="Times New Roman" w:hAnsi="Times New Roman"/>
                <w:color w:val="000000"/>
                <w:lang w:val="es-ES"/>
              </w:rPr>
              <w:t>.</w:t>
            </w:r>
            <w:r w:rsidR="00A72576">
              <w:rPr>
                <w:rFonts w:ascii="Times New Roman" w:eastAsia="Times New Roman" w:hAnsi="Times New Roman"/>
                <w:color w:val="000000"/>
                <w:lang w:val="es-ES"/>
              </w:rPr>
              <w:t>000</w:t>
            </w:r>
          </w:p>
        </w:tc>
        <w:tc>
          <w:tcPr>
            <w:tcW w:w="2693" w:type="dxa"/>
            <w:tcBorders>
              <w:top w:val="nil"/>
              <w:left w:val="nil"/>
              <w:bottom w:val="nil"/>
              <w:right w:val="nil"/>
            </w:tcBorders>
            <w:shd w:val="clear" w:color="auto" w:fill="auto"/>
            <w:noWrap/>
            <w:vAlign w:val="bottom"/>
            <w:hideMark/>
          </w:tcPr>
          <w:p w:rsidR="00B84211" w:rsidRDefault="0095645D" w:rsidP="007E6104">
            <w:pPr>
              <w:pStyle w:val="Entabla"/>
            </w:pPr>
            <w:r>
              <w:t>Aboal, Lanzilotta y Vazquez (2013)</w:t>
            </w:r>
          </w:p>
        </w:tc>
      </w:tr>
      <w:tr w:rsidR="007B3237" w:rsidRPr="00990A2D" w:rsidTr="00DB6A84">
        <w:trPr>
          <w:trHeight w:val="280"/>
        </w:trPr>
        <w:tc>
          <w:tcPr>
            <w:tcW w:w="284" w:type="dxa"/>
            <w:tcBorders>
              <w:top w:val="nil"/>
              <w:left w:val="nil"/>
              <w:bottom w:val="nil"/>
              <w:right w:val="nil"/>
            </w:tcBorders>
            <w:shd w:val="clear" w:color="auto" w:fill="auto"/>
            <w:noWrap/>
            <w:vAlign w:val="center"/>
            <w:hideMark/>
          </w:tcPr>
          <w:p w:rsidR="00B84211" w:rsidRDefault="007B3237" w:rsidP="007E6104">
            <w:pPr>
              <w:spacing w:after="0" w:line="240" w:lineRule="auto"/>
              <w:ind w:left="567" w:hanging="567"/>
              <w:jc w:val="right"/>
              <w:rPr>
                <w:rFonts w:ascii="Times New Roman" w:eastAsia="Times New Roman" w:hAnsi="Times New Roman"/>
                <w:color w:val="000000"/>
                <w:lang w:val="es-ES"/>
              </w:rPr>
            </w:pPr>
            <w:r w:rsidRPr="00974805">
              <w:rPr>
                <w:rFonts w:ascii="Times New Roman" w:eastAsia="Times New Roman" w:hAnsi="Times New Roman"/>
                <w:color w:val="000000"/>
                <w:lang w:val="es-ES"/>
              </w:rPr>
              <w:t>2</w:t>
            </w:r>
          </w:p>
        </w:tc>
        <w:tc>
          <w:tcPr>
            <w:tcW w:w="4111" w:type="dxa"/>
            <w:tcBorders>
              <w:top w:val="nil"/>
              <w:left w:val="nil"/>
              <w:bottom w:val="nil"/>
              <w:right w:val="single" w:sz="4" w:space="0" w:color="auto"/>
            </w:tcBorders>
            <w:shd w:val="clear" w:color="auto" w:fill="auto"/>
            <w:noWrap/>
            <w:vAlign w:val="center"/>
            <w:hideMark/>
          </w:tcPr>
          <w:p w:rsidR="00B84211" w:rsidRDefault="00426736" w:rsidP="000532C5">
            <w:pPr>
              <w:spacing w:after="0" w:line="240" w:lineRule="auto"/>
              <w:rPr>
                <w:rFonts w:ascii="Times New Roman" w:eastAsia="Times New Roman" w:hAnsi="Times New Roman"/>
                <w:b/>
                <w:bCs/>
                <w:color w:val="000000"/>
                <w:lang w:val="es-ES"/>
              </w:rPr>
            </w:pPr>
            <w:r>
              <w:rPr>
                <w:rFonts w:ascii="Times New Roman" w:eastAsia="Times New Roman" w:hAnsi="Times New Roman"/>
                <w:color w:val="000000"/>
                <w:lang w:val="es-ES"/>
              </w:rPr>
              <w:t>Costos correspondientes a fallecimientos e intangibles U</w:t>
            </w:r>
            <w:r w:rsidR="007B3237">
              <w:rPr>
                <w:rFonts w:ascii="Times New Roman" w:eastAsia="Times New Roman" w:hAnsi="Times New Roman"/>
                <w:color w:val="000000"/>
                <w:lang w:val="es-ES"/>
              </w:rPr>
              <w:t>S</w:t>
            </w:r>
            <w:r w:rsidR="000532C5">
              <w:rPr>
                <w:rFonts w:ascii="Times New Roman" w:eastAsia="Times New Roman" w:hAnsi="Times New Roman"/>
                <w:color w:val="000000"/>
                <w:lang w:val="es-ES"/>
              </w:rPr>
              <w:t>$</w:t>
            </w:r>
          </w:p>
        </w:tc>
        <w:tc>
          <w:tcPr>
            <w:tcW w:w="1417" w:type="dxa"/>
            <w:tcBorders>
              <w:top w:val="nil"/>
              <w:left w:val="nil"/>
              <w:bottom w:val="nil"/>
              <w:right w:val="single" w:sz="4" w:space="0" w:color="auto"/>
            </w:tcBorders>
            <w:shd w:val="clear" w:color="auto" w:fill="auto"/>
            <w:noWrap/>
            <w:vAlign w:val="center"/>
            <w:hideMark/>
          </w:tcPr>
          <w:p w:rsidR="00B84211" w:rsidRDefault="00426736" w:rsidP="007E6104">
            <w:pPr>
              <w:spacing w:after="0" w:line="240" w:lineRule="auto"/>
              <w:ind w:left="567" w:hanging="567"/>
              <w:jc w:val="right"/>
              <w:rPr>
                <w:rFonts w:ascii="Times New Roman" w:eastAsia="Times New Roman" w:hAnsi="Times New Roman"/>
                <w:b/>
                <w:bCs/>
                <w:color w:val="000000"/>
                <w:lang w:val="es-ES"/>
              </w:rPr>
            </w:pPr>
            <w:r>
              <w:rPr>
                <w:rFonts w:ascii="Times New Roman" w:eastAsia="Times New Roman" w:hAnsi="Times New Roman"/>
                <w:color w:val="000000"/>
                <w:lang w:val="es-ES"/>
              </w:rPr>
              <w:t>253</w:t>
            </w:r>
            <w:r w:rsidR="00DF5014">
              <w:rPr>
                <w:rFonts w:ascii="Times New Roman" w:eastAsia="Times New Roman" w:hAnsi="Times New Roman"/>
                <w:color w:val="000000"/>
                <w:lang w:val="es-ES"/>
              </w:rPr>
              <w:t>.</w:t>
            </w:r>
            <w:r w:rsidR="00A72576">
              <w:rPr>
                <w:rFonts w:ascii="Times New Roman" w:eastAsia="Times New Roman" w:hAnsi="Times New Roman"/>
                <w:color w:val="000000"/>
                <w:lang w:val="es-ES"/>
              </w:rPr>
              <w:t>000</w:t>
            </w:r>
            <w:r w:rsidR="00DF5014">
              <w:rPr>
                <w:rFonts w:ascii="Times New Roman" w:eastAsia="Times New Roman" w:hAnsi="Times New Roman"/>
                <w:color w:val="000000"/>
                <w:lang w:val="es-ES"/>
              </w:rPr>
              <w:t>.</w:t>
            </w:r>
            <w:r w:rsidR="00A72576">
              <w:rPr>
                <w:rFonts w:ascii="Times New Roman" w:eastAsia="Times New Roman" w:hAnsi="Times New Roman"/>
                <w:color w:val="000000"/>
                <w:lang w:val="es-ES"/>
              </w:rPr>
              <w:t>000</w:t>
            </w:r>
          </w:p>
        </w:tc>
        <w:tc>
          <w:tcPr>
            <w:tcW w:w="2693" w:type="dxa"/>
            <w:tcBorders>
              <w:top w:val="nil"/>
              <w:left w:val="nil"/>
              <w:bottom w:val="nil"/>
              <w:right w:val="nil"/>
            </w:tcBorders>
            <w:shd w:val="clear" w:color="auto" w:fill="auto"/>
            <w:noWrap/>
            <w:vAlign w:val="bottom"/>
            <w:hideMark/>
          </w:tcPr>
          <w:p w:rsidR="00B84211" w:rsidRDefault="0095645D" w:rsidP="007E6104">
            <w:pPr>
              <w:pStyle w:val="Entabla"/>
              <w:rPr>
                <w:b/>
                <w:bCs/>
              </w:rPr>
            </w:pPr>
            <w:r>
              <w:t>Aboal, Lanzilotta y Vazquez (2013)</w:t>
            </w:r>
          </w:p>
        </w:tc>
      </w:tr>
      <w:tr w:rsidR="007B3237" w:rsidRPr="001767D4" w:rsidTr="00DB6A84">
        <w:trPr>
          <w:trHeight w:val="280"/>
        </w:trPr>
        <w:tc>
          <w:tcPr>
            <w:tcW w:w="284" w:type="dxa"/>
            <w:tcBorders>
              <w:top w:val="nil"/>
              <w:left w:val="nil"/>
              <w:bottom w:val="nil"/>
              <w:right w:val="nil"/>
            </w:tcBorders>
            <w:shd w:val="clear" w:color="auto" w:fill="auto"/>
            <w:noWrap/>
            <w:hideMark/>
          </w:tcPr>
          <w:p w:rsidR="00B84211" w:rsidRDefault="00431689" w:rsidP="007E6104">
            <w:pPr>
              <w:spacing w:after="0" w:line="240" w:lineRule="auto"/>
              <w:ind w:left="567" w:hanging="567"/>
              <w:jc w:val="right"/>
              <w:rPr>
                <w:rFonts w:ascii="Times New Roman" w:eastAsia="Times New Roman" w:hAnsi="Times New Roman"/>
                <w:color w:val="000000"/>
                <w:lang w:val="es-ES"/>
              </w:rPr>
            </w:pPr>
            <w:r>
              <w:rPr>
                <w:rFonts w:ascii="Times New Roman" w:eastAsia="Times New Roman" w:hAnsi="Times New Roman"/>
                <w:color w:val="000000"/>
                <w:lang w:val="es-ES"/>
              </w:rPr>
              <w:t>3</w:t>
            </w:r>
          </w:p>
        </w:tc>
        <w:tc>
          <w:tcPr>
            <w:tcW w:w="4111" w:type="dxa"/>
            <w:tcBorders>
              <w:top w:val="nil"/>
              <w:left w:val="nil"/>
              <w:bottom w:val="nil"/>
              <w:right w:val="single" w:sz="4" w:space="0" w:color="auto"/>
            </w:tcBorders>
            <w:shd w:val="clear" w:color="auto" w:fill="auto"/>
            <w:noWrap/>
            <w:vAlign w:val="bottom"/>
            <w:hideMark/>
          </w:tcPr>
          <w:p w:rsidR="00B84211" w:rsidRDefault="001767D4" w:rsidP="000532C5">
            <w:pPr>
              <w:spacing w:after="0" w:line="240" w:lineRule="auto"/>
              <w:ind w:left="567" w:hanging="567"/>
              <w:rPr>
                <w:rFonts w:ascii="Times New Roman" w:eastAsia="Times New Roman" w:hAnsi="Times New Roman"/>
                <w:b/>
                <w:bCs/>
                <w:color w:val="000000"/>
                <w:lang w:val="es-ES"/>
              </w:rPr>
            </w:pPr>
            <w:r>
              <w:rPr>
                <w:rFonts w:ascii="Times New Roman" w:eastAsia="Times New Roman" w:hAnsi="Times New Roman"/>
                <w:color w:val="000000"/>
                <w:lang w:val="es-ES"/>
              </w:rPr>
              <w:t xml:space="preserve">Universo afectado por el </w:t>
            </w:r>
            <w:r w:rsidR="000532C5">
              <w:rPr>
                <w:rFonts w:ascii="Times New Roman" w:eastAsia="Times New Roman" w:hAnsi="Times New Roman"/>
                <w:color w:val="000000"/>
                <w:lang w:val="es-ES"/>
              </w:rPr>
              <w:t>p</w:t>
            </w:r>
            <w:r>
              <w:rPr>
                <w:rFonts w:ascii="Times New Roman" w:eastAsia="Times New Roman" w:hAnsi="Times New Roman"/>
                <w:color w:val="000000"/>
                <w:lang w:val="es-ES"/>
              </w:rPr>
              <w:t>rograma</w:t>
            </w:r>
            <w:r w:rsidR="007B3237">
              <w:rPr>
                <w:rFonts w:ascii="Times New Roman" w:eastAsia="Times New Roman" w:hAnsi="Times New Roman"/>
                <w:color w:val="000000"/>
                <w:lang w:val="es-ES"/>
              </w:rPr>
              <w:t xml:space="preserve"> </w:t>
            </w:r>
          </w:p>
        </w:tc>
        <w:tc>
          <w:tcPr>
            <w:tcW w:w="1417" w:type="dxa"/>
            <w:tcBorders>
              <w:top w:val="nil"/>
              <w:left w:val="nil"/>
              <w:bottom w:val="nil"/>
              <w:right w:val="single" w:sz="4" w:space="0" w:color="auto"/>
            </w:tcBorders>
            <w:shd w:val="clear" w:color="auto" w:fill="auto"/>
            <w:noWrap/>
            <w:vAlign w:val="center"/>
            <w:hideMark/>
          </w:tcPr>
          <w:p w:rsidR="00B84211" w:rsidRDefault="00D07F6E" w:rsidP="007E6104">
            <w:pPr>
              <w:spacing w:after="0" w:line="240" w:lineRule="auto"/>
              <w:ind w:left="567" w:hanging="567"/>
              <w:jc w:val="right"/>
              <w:rPr>
                <w:rFonts w:ascii="Times New Roman" w:eastAsia="Times New Roman" w:hAnsi="Times New Roman"/>
                <w:b/>
                <w:bCs/>
                <w:color w:val="000000"/>
                <w:lang w:val="es-ES"/>
              </w:rPr>
            </w:pPr>
            <w:r w:rsidRPr="00D07F6E">
              <w:rPr>
                <w:rFonts w:ascii="Times New Roman" w:eastAsia="Times New Roman" w:hAnsi="Times New Roman"/>
                <w:color w:val="000000"/>
                <w:lang w:val="es-ES"/>
              </w:rPr>
              <w:t>164</w:t>
            </w:r>
            <w:r>
              <w:rPr>
                <w:rFonts w:ascii="Times New Roman" w:eastAsia="Times New Roman" w:hAnsi="Times New Roman"/>
                <w:color w:val="000000"/>
                <w:lang w:val="es-ES"/>
              </w:rPr>
              <w:t>.</w:t>
            </w:r>
            <w:r w:rsidRPr="00D07F6E">
              <w:rPr>
                <w:rFonts w:ascii="Times New Roman" w:eastAsia="Times New Roman" w:hAnsi="Times New Roman"/>
                <w:color w:val="000000"/>
                <w:lang w:val="es-ES"/>
              </w:rPr>
              <w:t>172</w:t>
            </w:r>
            <w:r>
              <w:rPr>
                <w:rFonts w:ascii="Times New Roman" w:eastAsia="Times New Roman" w:hAnsi="Times New Roman"/>
                <w:color w:val="000000"/>
                <w:lang w:val="es-ES"/>
              </w:rPr>
              <w:t>.</w:t>
            </w:r>
            <w:r w:rsidRPr="00D07F6E">
              <w:rPr>
                <w:rFonts w:ascii="Times New Roman" w:eastAsia="Times New Roman" w:hAnsi="Times New Roman"/>
                <w:color w:val="000000"/>
                <w:lang w:val="es-ES"/>
              </w:rPr>
              <w:t>000</w:t>
            </w:r>
          </w:p>
        </w:tc>
        <w:tc>
          <w:tcPr>
            <w:tcW w:w="2693" w:type="dxa"/>
            <w:tcBorders>
              <w:top w:val="nil"/>
              <w:left w:val="nil"/>
              <w:bottom w:val="nil"/>
              <w:right w:val="nil"/>
            </w:tcBorders>
            <w:shd w:val="clear" w:color="auto" w:fill="auto"/>
            <w:noWrap/>
            <w:vAlign w:val="center"/>
            <w:hideMark/>
          </w:tcPr>
          <w:p w:rsidR="00E90C78" w:rsidRPr="00D07C6A" w:rsidRDefault="00E90C78" w:rsidP="00103836">
            <w:pPr>
              <w:spacing w:after="0" w:line="240" w:lineRule="auto"/>
              <w:ind w:left="567" w:hanging="567"/>
              <w:rPr>
                <w:rFonts w:ascii="Times New Roman" w:eastAsia="Times New Roman" w:hAnsi="Times New Roman"/>
                <w:color w:val="000000"/>
                <w:lang w:val="es-ES"/>
              </w:rPr>
            </w:pPr>
            <w:r>
              <w:rPr>
                <w:rFonts w:ascii="Times New Roman" w:eastAsia="Times New Roman" w:hAnsi="Times New Roman"/>
                <w:color w:val="000000"/>
                <w:lang w:val="es-ES"/>
              </w:rPr>
              <w:t>[</w:t>
            </w:r>
            <w:r w:rsidR="001767D4">
              <w:rPr>
                <w:rFonts w:ascii="Times New Roman" w:eastAsia="Times New Roman" w:hAnsi="Times New Roman"/>
                <w:color w:val="000000"/>
                <w:lang w:val="es-ES"/>
              </w:rPr>
              <w:t>(1)+(2)</w:t>
            </w:r>
            <w:r>
              <w:rPr>
                <w:rFonts w:ascii="Times New Roman" w:eastAsia="Times New Roman" w:hAnsi="Times New Roman"/>
                <w:color w:val="000000"/>
                <w:lang w:val="es-ES"/>
              </w:rPr>
              <w:t>]*0.</w:t>
            </w:r>
            <w:r w:rsidR="00103836">
              <w:rPr>
                <w:rFonts w:ascii="Times New Roman" w:eastAsia="Times New Roman" w:hAnsi="Times New Roman"/>
                <w:color w:val="000000"/>
                <w:lang w:val="es-ES"/>
              </w:rPr>
              <w:t>4</w:t>
            </w:r>
          </w:p>
        </w:tc>
      </w:tr>
      <w:tr w:rsidR="007B3237" w:rsidRPr="000532C5" w:rsidTr="00DB6A84">
        <w:trPr>
          <w:trHeight w:val="280"/>
        </w:trPr>
        <w:tc>
          <w:tcPr>
            <w:tcW w:w="284" w:type="dxa"/>
            <w:tcBorders>
              <w:top w:val="nil"/>
              <w:left w:val="nil"/>
              <w:bottom w:val="nil"/>
              <w:right w:val="nil"/>
            </w:tcBorders>
            <w:shd w:val="clear" w:color="auto" w:fill="auto"/>
            <w:noWrap/>
            <w:vAlign w:val="bottom"/>
            <w:hideMark/>
          </w:tcPr>
          <w:p w:rsidR="00B84211" w:rsidRDefault="001767D4" w:rsidP="007E6104">
            <w:pPr>
              <w:spacing w:after="0" w:line="240" w:lineRule="auto"/>
              <w:ind w:left="567" w:hanging="567"/>
              <w:jc w:val="right"/>
              <w:rPr>
                <w:rFonts w:ascii="Times New Roman" w:eastAsia="Times New Roman" w:hAnsi="Times New Roman"/>
                <w:color w:val="000000"/>
                <w:lang w:val="es-ES"/>
              </w:rPr>
            </w:pPr>
            <w:r>
              <w:rPr>
                <w:rFonts w:ascii="Times New Roman" w:eastAsia="Times New Roman" w:hAnsi="Times New Roman"/>
                <w:color w:val="000000"/>
                <w:lang w:val="es-ES"/>
              </w:rPr>
              <w:t>4</w:t>
            </w:r>
          </w:p>
        </w:tc>
        <w:tc>
          <w:tcPr>
            <w:tcW w:w="4111" w:type="dxa"/>
            <w:tcBorders>
              <w:top w:val="nil"/>
              <w:left w:val="nil"/>
              <w:bottom w:val="nil"/>
              <w:right w:val="single" w:sz="4" w:space="0" w:color="auto"/>
            </w:tcBorders>
            <w:shd w:val="clear" w:color="auto" w:fill="auto"/>
            <w:noWrap/>
            <w:vAlign w:val="bottom"/>
            <w:hideMark/>
          </w:tcPr>
          <w:p w:rsidR="00B84211" w:rsidRDefault="007B3237" w:rsidP="007E6104">
            <w:pPr>
              <w:spacing w:after="0" w:line="240" w:lineRule="auto"/>
              <w:ind w:left="567" w:hanging="567"/>
              <w:rPr>
                <w:rFonts w:ascii="Times New Roman" w:eastAsia="Times New Roman" w:hAnsi="Times New Roman"/>
                <w:b/>
                <w:bCs/>
                <w:color w:val="000000"/>
                <w:lang w:val="es-ES"/>
              </w:rPr>
            </w:pPr>
            <w:r>
              <w:rPr>
                <w:rFonts w:ascii="Times New Roman" w:eastAsia="Times New Roman" w:hAnsi="Times New Roman"/>
                <w:color w:val="000000"/>
                <w:lang w:val="es-ES"/>
              </w:rPr>
              <w:t>Tasa de reducción del crimen</w:t>
            </w:r>
          </w:p>
        </w:tc>
        <w:tc>
          <w:tcPr>
            <w:tcW w:w="1417" w:type="dxa"/>
            <w:tcBorders>
              <w:top w:val="nil"/>
              <w:left w:val="nil"/>
              <w:bottom w:val="nil"/>
              <w:right w:val="single" w:sz="4" w:space="0" w:color="auto"/>
            </w:tcBorders>
            <w:shd w:val="clear" w:color="auto" w:fill="auto"/>
            <w:noWrap/>
            <w:vAlign w:val="center"/>
            <w:hideMark/>
          </w:tcPr>
          <w:p w:rsidR="00B84211" w:rsidRDefault="000D6314" w:rsidP="007E6104">
            <w:pPr>
              <w:spacing w:after="0" w:line="240" w:lineRule="auto"/>
              <w:ind w:left="567" w:hanging="567"/>
              <w:jc w:val="right"/>
              <w:rPr>
                <w:rFonts w:ascii="Times New Roman" w:eastAsia="Times New Roman" w:hAnsi="Times New Roman"/>
                <w:b/>
                <w:bCs/>
                <w:color w:val="000000"/>
                <w:lang w:val="es-ES"/>
              </w:rPr>
            </w:pPr>
            <w:r>
              <w:rPr>
                <w:rFonts w:ascii="Times New Roman" w:eastAsia="Times New Roman" w:hAnsi="Times New Roman"/>
                <w:color w:val="000000"/>
                <w:lang w:val="es-ES"/>
              </w:rPr>
              <w:t>5</w:t>
            </w:r>
            <w:r w:rsidR="007B3237">
              <w:rPr>
                <w:rFonts w:ascii="Times New Roman" w:eastAsia="Times New Roman" w:hAnsi="Times New Roman"/>
                <w:color w:val="000000"/>
                <w:lang w:val="es-ES"/>
              </w:rPr>
              <w:t>%</w:t>
            </w:r>
            <w:r w:rsidR="007B3237" w:rsidRPr="00C46051">
              <w:rPr>
                <w:rFonts w:ascii="Times New Roman" w:eastAsia="Times New Roman" w:hAnsi="Times New Roman"/>
                <w:color w:val="000000"/>
                <w:lang w:val="es-ES"/>
              </w:rPr>
              <w:t xml:space="preserve"> </w:t>
            </w:r>
          </w:p>
        </w:tc>
        <w:tc>
          <w:tcPr>
            <w:tcW w:w="2693" w:type="dxa"/>
            <w:tcBorders>
              <w:top w:val="nil"/>
              <w:left w:val="nil"/>
              <w:bottom w:val="nil"/>
              <w:right w:val="nil"/>
            </w:tcBorders>
            <w:shd w:val="clear" w:color="auto" w:fill="auto"/>
            <w:noWrap/>
            <w:vAlign w:val="bottom"/>
            <w:hideMark/>
          </w:tcPr>
          <w:p w:rsidR="00B84211" w:rsidRDefault="00AE6DE6" w:rsidP="007E6104">
            <w:pPr>
              <w:pStyle w:val="Entabla"/>
              <w:rPr>
                <w:b/>
                <w:bCs/>
              </w:rPr>
            </w:pPr>
            <w:r>
              <w:t xml:space="preserve">En base a </w:t>
            </w:r>
            <w:r w:rsidR="007B3237">
              <w:t>Garicano y Heaton</w:t>
            </w:r>
            <w:r w:rsidR="00A603AC">
              <w:t xml:space="preserve"> </w:t>
            </w:r>
            <w:r w:rsidR="007B3237">
              <w:t>(2010)</w:t>
            </w:r>
          </w:p>
        </w:tc>
      </w:tr>
      <w:tr w:rsidR="007B3237" w:rsidRPr="00027BD0" w:rsidTr="00DB6A84">
        <w:trPr>
          <w:trHeight w:val="280"/>
        </w:trPr>
        <w:tc>
          <w:tcPr>
            <w:tcW w:w="284" w:type="dxa"/>
            <w:tcBorders>
              <w:top w:val="nil"/>
              <w:left w:val="nil"/>
              <w:bottom w:val="nil"/>
              <w:right w:val="nil"/>
            </w:tcBorders>
            <w:shd w:val="clear" w:color="auto" w:fill="auto"/>
            <w:noWrap/>
            <w:vAlign w:val="center"/>
            <w:hideMark/>
          </w:tcPr>
          <w:p w:rsidR="00B84211" w:rsidRDefault="001767D4" w:rsidP="007E6104">
            <w:pPr>
              <w:spacing w:after="0" w:line="240" w:lineRule="auto"/>
              <w:ind w:left="567" w:hanging="567"/>
              <w:jc w:val="right"/>
              <w:rPr>
                <w:rFonts w:ascii="Times New Roman" w:eastAsia="Times New Roman" w:hAnsi="Times New Roman"/>
                <w:color w:val="000000"/>
                <w:lang w:val="es-ES"/>
              </w:rPr>
            </w:pPr>
            <w:r>
              <w:rPr>
                <w:rFonts w:ascii="Times New Roman" w:eastAsia="Times New Roman" w:hAnsi="Times New Roman"/>
                <w:color w:val="000000"/>
                <w:lang w:val="es-ES"/>
              </w:rPr>
              <w:t>5</w:t>
            </w:r>
          </w:p>
        </w:tc>
        <w:tc>
          <w:tcPr>
            <w:tcW w:w="4111" w:type="dxa"/>
            <w:tcBorders>
              <w:top w:val="nil"/>
              <w:left w:val="nil"/>
              <w:bottom w:val="nil"/>
              <w:right w:val="single" w:sz="4" w:space="0" w:color="auto"/>
            </w:tcBorders>
            <w:shd w:val="clear" w:color="auto" w:fill="auto"/>
            <w:noWrap/>
            <w:vAlign w:val="center"/>
            <w:hideMark/>
          </w:tcPr>
          <w:p w:rsidR="00B84211" w:rsidRDefault="007B3237" w:rsidP="000532C5">
            <w:pPr>
              <w:spacing w:after="0" w:line="240" w:lineRule="auto"/>
              <w:ind w:left="567" w:hanging="567"/>
              <w:rPr>
                <w:rFonts w:ascii="Times New Roman" w:eastAsia="Times New Roman" w:hAnsi="Times New Roman"/>
                <w:b/>
                <w:bCs/>
                <w:color w:val="000000"/>
                <w:lang w:val="es-ES"/>
              </w:rPr>
            </w:pPr>
            <w:r>
              <w:rPr>
                <w:rFonts w:ascii="Times New Roman" w:eastAsia="Times New Roman" w:hAnsi="Times New Roman"/>
                <w:color w:val="000000"/>
                <w:lang w:val="es-ES"/>
              </w:rPr>
              <w:t>Beneficios anuales por Información US</w:t>
            </w:r>
            <w:r w:rsidR="000532C5">
              <w:rPr>
                <w:rFonts w:ascii="Times New Roman" w:eastAsia="Times New Roman" w:hAnsi="Times New Roman"/>
                <w:color w:val="000000"/>
                <w:lang w:val="es-ES"/>
              </w:rPr>
              <w:t>$</w:t>
            </w:r>
          </w:p>
        </w:tc>
        <w:tc>
          <w:tcPr>
            <w:tcW w:w="1417" w:type="dxa"/>
            <w:tcBorders>
              <w:top w:val="nil"/>
              <w:left w:val="nil"/>
              <w:bottom w:val="nil"/>
              <w:right w:val="single" w:sz="4" w:space="0" w:color="auto"/>
            </w:tcBorders>
            <w:shd w:val="clear" w:color="auto" w:fill="auto"/>
            <w:noWrap/>
            <w:vAlign w:val="center"/>
            <w:hideMark/>
          </w:tcPr>
          <w:p w:rsidR="00B84211" w:rsidRDefault="00D07F6E" w:rsidP="001767D4">
            <w:pPr>
              <w:spacing w:after="0" w:line="240" w:lineRule="auto"/>
              <w:ind w:left="567" w:hanging="567"/>
              <w:jc w:val="right"/>
              <w:rPr>
                <w:rFonts w:ascii="Times New Roman" w:eastAsia="Times New Roman" w:hAnsi="Times New Roman"/>
                <w:b/>
                <w:bCs/>
                <w:color w:val="000000"/>
                <w:lang w:val="es-ES"/>
              </w:rPr>
            </w:pPr>
            <w:r w:rsidRPr="00D07F6E">
              <w:rPr>
                <w:rFonts w:ascii="Times New Roman" w:eastAsia="Times New Roman" w:hAnsi="Times New Roman"/>
                <w:color w:val="000000"/>
                <w:lang w:val="es-ES"/>
              </w:rPr>
              <w:t>8208600</w:t>
            </w:r>
          </w:p>
        </w:tc>
        <w:tc>
          <w:tcPr>
            <w:tcW w:w="2693" w:type="dxa"/>
            <w:tcBorders>
              <w:top w:val="nil"/>
              <w:left w:val="nil"/>
              <w:bottom w:val="nil"/>
              <w:right w:val="nil"/>
            </w:tcBorders>
            <w:shd w:val="clear" w:color="auto" w:fill="auto"/>
            <w:noWrap/>
            <w:vAlign w:val="bottom"/>
            <w:hideMark/>
          </w:tcPr>
          <w:p w:rsidR="00B84211" w:rsidRDefault="001E1015" w:rsidP="007E6104">
            <w:pPr>
              <w:spacing w:after="0" w:line="240" w:lineRule="auto"/>
              <w:ind w:left="567" w:hanging="567"/>
              <w:rPr>
                <w:rFonts w:ascii="Times New Roman" w:eastAsia="Times New Roman" w:hAnsi="Times New Roman"/>
                <w:b/>
                <w:bCs/>
                <w:color w:val="000000"/>
                <w:lang w:val="es-ES"/>
              </w:rPr>
            </w:pPr>
            <w:r>
              <w:rPr>
                <w:rFonts w:ascii="Times New Roman" w:eastAsia="Times New Roman" w:hAnsi="Times New Roman"/>
                <w:color w:val="000000"/>
                <w:lang w:val="es-ES"/>
              </w:rPr>
              <w:t>(3)*(4)</w:t>
            </w:r>
          </w:p>
        </w:tc>
      </w:tr>
    </w:tbl>
    <w:p w:rsidR="00B84211" w:rsidRDefault="00B84211" w:rsidP="007E6104">
      <w:pPr>
        <w:spacing w:after="0" w:line="480" w:lineRule="auto"/>
        <w:ind w:left="567" w:hanging="567"/>
        <w:jc w:val="both"/>
        <w:rPr>
          <w:rFonts w:ascii="Times New Roman" w:hAnsi="Times New Roman"/>
          <w:b/>
          <w:sz w:val="24"/>
          <w:szCs w:val="24"/>
          <w:lang w:val="es-ES"/>
        </w:rPr>
      </w:pPr>
    </w:p>
    <w:p w:rsidR="00715CDD" w:rsidRPr="00715CDD" w:rsidRDefault="00860114" w:rsidP="001F52BD">
      <w:pPr>
        <w:pStyle w:val="ListParagraph"/>
        <w:numPr>
          <w:ilvl w:val="1"/>
          <w:numId w:val="1"/>
        </w:numPr>
        <w:spacing w:before="120" w:after="120" w:line="240" w:lineRule="auto"/>
        <w:contextualSpacing w:val="0"/>
        <w:jc w:val="both"/>
        <w:outlineLvl w:val="1"/>
        <w:rPr>
          <w:rFonts w:ascii="Times New Roman" w:eastAsia="Times New Roman" w:hAnsi="Times New Roman"/>
          <w:sz w:val="24"/>
          <w:szCs w:val="24"/>
          <w:lang w:val="es-ES"/>
        </w:rPr>
      </w:pPr>
      <w:r w:rsidRPr="00860114">
        <w:rPr>
          <w:rFonts w:ascii="Times New Roman" w:eastAsia="Times New Roman" w:hAnsi="Times New Roman"/>
          <w:b/>
          <w:sz w:val="24"/>
          <w:szCs w:val="24"/>
          <w:lang w:val="es-ES"/>
        </w:rPr>
        <w:t xml:space="preserve">Descripción de la intervención Componente 2: </w:t>
      </w:r>
      <w:r w:rsidR="001F52BD" w:rsidRPr="001F52BD">
        <w:rPr>
          <w:rFonts w:ascii="Times New Roman" w:eastAsia="Times New Roman" w:hAnsi="Times New Roman"/>
          <w:b/>
          <w:sz w:val="24"/>
          <w:szCs w:val="24"/>
          <w:lang w:val="es-ES"/>
        </w:rPr>
        <w:t>Fortalecimiento de la eficiencia para la prevención del delito</w:t>
      </w:r>
      <w:r w:rsidRPr="00860114">
        <w:rPr>
          <w:rFonts w:ascii="Times New Roman" w:eastAsia="Times New Roman" w:hAnsi="Times New Roman"/>
          <w:b/>
          <w:sz w:val="24"/>
          <w:szCs w:val="24"/>
          <w:lang w:val="es-ES"/>
        </w:rPr>
        <w:t>.</w:t>
      </w:r>
      <w:r w:rsidRPr="00860114">
        <w:rPr>
          <w:rFonts w:ascii="Times New Roman" w:eastAsia="Times New Roman" w:hAnsi="Times New Roman"/>
          <w:sz w:val="24"/>
          <w:szCs w:val="24"/>
          <w:lang w:val="es-ES"/>
        </w:rPr>
        <w:t xml:space="preserve"> </w:t>
      </w:r>
      <w:r w:rsidR="001F52BD">
        <w:rPr>
          <w:rFonts w:ascii="Times New Roman" w:eastAsia="Times New Roman" w:hAnsi="Times New Roman"/>
          <w:sz w:val="24"/>
          <w:szCs w:val="24"/>
          <w:lang w:val="es-ES"/>
        </w:rPr>
        <w:t xml:space="preserve">A través de este </w:t>
      </w:r>
      <w:r w:rsidRPr="001F52BD">
        <w:rPr>
          <w:rFonts w:ascii="Times New Roman" w:eastAsia="Times New Roman" w:hAnsi="Times New Roman"/>
          <w:sz w:val="24"/>
          <w:szCs w:val="24"/>
          <w:lang w:val="es-ES"/>
        </w:rPr>
        <w:t>comp</w:t>
      </w:r>
      <w:r w:rsidR="002E4202" w:rsidRPr="001F52BD">
        <w:rPr>
          <w:rFonts w:ascii="Times New Roman" w:eastAsia="Times New Roman" w:hAnsi="Times New Roman"/>
          <w:sz w:val="24"/>
          <w:szCs w:val="24"/>
          <w:lang w:val="es-ES"/>
        </w:rPr>
        <w:t xml:space="preserve">onente </w:t>
      </w:r>
      <w:r w:rsidR="001F52BD">
        <w:rPr>
          <w:rFonts w:ascii="Times New Roman" w:eastAsia="Times New Roman" w:hAnsi="Times New Roman"/>
          <w:sz w:val="24"/>
          <w:szCs w:val="24"/>
          <w:lang w:val="es-ES"/>
        </w:rPr>
        <w:t>se prevé:</w:t>
      </w:r>
    </w:p>
    <w:p w:rsidR="00B84211" w:rsidRPr="001F52BD" w:rsidRDefault="00715CDD" w:rsidP="00860114">
      <w:pPr>
        <w:pStyle w:val="ListParagraph"/>
        <w:numPr>
          <w:ilvl w:val="1"/>
          <w:numId w:val="1"/>
        </w:numPr>
        <w:spacing w:before="120" w:after="120" w:line="240" w:lineRule="auto"/>
        <w:ind w:left="562" w:hanging="562"/>
        <w:contextualSpacing w:val="0"/>
        <w:jc w:val="both"/>
        <w:outlineLvl w:val="1"/>
        <w:rPr>
          <w:rFonts w:ascii="Times New Roman" w:eastAsia="Times New Roman" w:hAnsi="Times New Roman"/>
          <w:sz w:val="24"/>
          <w:szCs w:val="24"/>
          <w:lang w:val="es-ES"/>
        </w:rPr>
      </w:pPr>
      <w:r w:rsidRPr="001F52BD">
        <w:rPr>
          <w:rFonts w:ascii="Times New Roman" w:hAnsi="Times New Roman"/>
          <w:sz w:val="24"/>
          <w:szCs w:val="24"/>
          <w:lang w:val="es-AR"/>
        </w:rPr>
        <w:t>Subcomponente 1</w:t>
      </w:r>
      <w:r w:rsidR="00214954" w:rsidRPr="001F52BD">
        <w:rPr>
          <w:rFonts w:ascii="Times New Roman" w:hAnsi="Times New Roman"/>
          <w:sz w:val="24"/>
          <w:szCs w:val="24"/>
          <w:lang w:val="es-AR"/>
        </w:rPr>
        <w:t xml:space="preserve"> </w:t>
      </w:r>
      <w:r w:rsidRPr="001F52BD">
        <w:rPr>
          <w:rFonts w:ascii="Times New Roman" w:hAnsi="Times New Roman"/>
          <w:sz w:val="24"/>
          <w:szCs w:val="24"/>
          <w:lang w:val="es-AR"/>
        </w:rPr>
        <w:t>-</w:t>
      </w:r>
      <w:r w:rsidR="006C46AA" w:rsidRPr="001F52BD">
        <w:rPr>
          <w:rFonts w:ascii="Times New Roman" w:hAnsi="Times New Roman"/>
          <w:sz w:val="24"/>
          <w:szCs w:val="24"/>
          <w:lang w:val="es-AR"/>
        </w:rPr>
        <w:t xml:space="preserve"> </w:t>
      </w:r>
      <w:r w:rsidR="001F52BD" w:rsidRPr="001F52BD">
        <w:rPr>
          <w:rFonts w:ascii="Times New Roman" w:hAnsi="Times New Roman"/>
          <w:sz w:val="24"/>
          <w:szCs w:val="24"/>
          <w:lang w:val="es-ES_tradnl"/>
        </w:rPr>
        <w:t>Fortalecer las capacidades de la PN para prevenir y atender los delitos a nivel local, a través del financiamiento de las siguientes actividades. En las cinco comisarías seleccionas se prevé apoyar: (i) capacitación de 1.000 policías en policía comunitaria (atención a víctimas, contacto con la comunidad, patrullaje) y gestión de la información (registro y uso de datos, análisis táctico y predicción del delito); (ii) reingeniería organizacional de las cinco comisarías (remodelación y equipamiento), incluyendo la adecuación de áreas atención a víctimas de VIF; (iii) diseño e implementación de herramientas policiales para la rendición de cuentas (manuales de integridad, capacitación, acceso a la información ‒</w:t>
      </w:r>
      <w:r w:rsidR="001F52BD" w:rsidRPr="001F52BD">
        <w:rPr>
          <w:rFonts w:ascii="Times New Roman" w:hAnsi="Times New Roman"/>
          <w:i/>
          <w:sz w:val="24"/>
          <w:szCs w:val="24"/>
          <w:lang w:val="es-ES_tradnl"/>
        </w:rPr>
        <w:t>Web</w:t>
      </w:r>
      <w:r w:rsidR="001F52BD" w:rsidRPr="001F52BD">
        <w:rPr>
          <w:rFonts w:ascii="Times New Roman" w:hAnsi="Times New Roman"/>
          <w:sz w:val="24"/>
          <w:szCs w:val="24"/>
          <w:lang w:val="es-ES_tradnl"/>
        </w:rPr>
        <w:t>‒); y (iv)</w:t>
      </w:r>
      <w:r w:rsidR="001F52BD">
        <w:rPr>
          <w:rFonts w:ascii="Times New Roman" w:hAnsi="Times New Roman"/>
          <w:sz w:val="24"/>
          <w:szCs w:val="24"/>
          <w:lang w:val="es-ES_tradnl"/>
        </w:rPr>
        <w:t> </w:t>
      </w:r>
      <w:r w:rsidR="001F52BD" w:rsidRPr="001F52BD">
        <w:rPr>
          <w:rFonts w:ascii="Times New Roman" w:hAnsi="Times New Roman"/>
          <w:sz w:val="24"/>
          <w:szCs w:val="24"/>
          <w:lang w:val="es-ES_tradnl"/>
        </w:rPr>
        <w:t xml:space="preserve">adquisición y adaptación de un </w:t>
      </w:r>
      <w:r w:rsidR="001F52BD" w:rsidRPr="001F52BD">
        <w:rPr>
          <w:rFonts w:ascii="Times New Roman" w:hAnsi="Times New Roman"/>
          <w:i/>
          <w:sz w:val="24"/>
          <w:szCs w:val="24"/>
          <w:lang w:val="es-ES_tradnl"/>
        </w:rPr>
        <w:t>software</w:t>
      </w:r>
      <w:r w:rsidR="001F52BD" w:rsidRPr="001F52BD">
        <w:rPr>
          <w:rFonts w:ascii="Times New Roman" w:hAnsi="Times New Roman"/>
          <w:sz w:val="24"/>
          <w:szCs w:val="24"/>
          <w:lang w:val="es-ES_tradnl"/>
        </w:rPr>
        <w:t xml:space="preserve"> predictivo</w:t>
      </w:r>
      <w:r w:rsidRPr="001F52BD">
        <w:rPr>
          <w:rFonts w:ascii="Times New Roman" w:hAnsi="Times New Roman"/>
          <w:sz w:val="24"/>
          <w:szCs w:val="24"/>
          <w:lang w:val="es-AR"/>
        </w:rPr>
        <w:t>.</w:t>
      </w:r>
      <w:r w:rsidRPr="001F52BD">
        <w:rPr>
          <w:rFonts w:ascii="Times New Roman" w:eastAsia="Times New Roman" w:hAnsi="Times New Roman"/>
          <w:sz w:val="24"/>
          <w:szCs w:val="24"/>
          <w:lang w:val="es-ES"/>
        </w:rPr>
        <w:t xml:space="preserve"> </w:t>
      </w:r>
    </w:p>
    <w:p w:rsidR="00715CDD" w:rsidRDefault="00715CDD" w:rsidP="00860114">
      <w:pPr>
        <w:pStyle w:val="ListParagraph"/>
        <w:numPr>
          <w:ilvl w:val="1"/>
          <w:numId w:val="1"/>
        </w:numPr>
        <w:spacing w:before="120" w:after="120" w:line="240" w:lineRule="auto"/>
        <w:ind w:left="562" w:hanging="562"/>
        <w:contextualSpacing w:val="0"/>
        <w:jc w:val="both"/>
        <w:outlineLvl w:val="1"/>
        <w:rPr>
          <w:rFonts w:ascii="Times New Roman" w:eastAsia="Times New Roman" w:hAnsi="Times New Roman"/>
          <w:sz w:val="24"/>
          <w:szCs w:val="24"/>
          <w:lang w:val="es-ES"/>
        </w:rPr>
      </w:pPr>
      <w:r>
        <w:rPr>
          <w:rFonts w:ascii="Times New Roman" w:eastAsia="Times New Roman" w:hAnsi="Times New Roman"/>
          <w:sz w:val="24"/>
          <w:szCs w:val="24"/>
          <w:lang w:val="es-ES"/>
        </w:rPr>
        <w:t>Subcomponente 2</w:t>
      </w:r>
      <w:r w:rsidR="00214954">
        <w:rPr>
          <w:rFonts w:ascii="Times New Roman" w:eastAsia="Times New Roman" w:hAnsi="Times New Roman"/>
          <w:sz w:val="24"/>
          <w:szCs w:val="24"/>
          <w:lang w:val="es-ES"/>
        </w:rPr>
        <w:t xml:space="preserve"> </w:t>
      </w:r>
      <w:r>
        <w:rPr>
          <w:rFonts w:ascii="Times New Roman" w:eastAsia="Times New Roman" w:hAnsi="Times New Roman"/>
          <w:sz w:val="24"/>
          <w:szCs w:val="24"/>
          <w:lang w:val="es-ES"/>
        </w:rPr>
        <w:t xml:space="preserve">- </w:t>
      </w:r>
      <w:r w:rsidR="001F52BD" w:rsidRPr="001F52BD">
        <w:rPr>
          <w:rFonts w:ascii="Times New Roman" w:hAnsi="Times New Roman"/>
          <w:sz w:val="24"/>
          <w:szCs w:val="24"/>
          <w:lang w:val="es-ES_tradnl"/>
        </w:rPr>
        <w:t>Mejorar los servicios de atención de VIF contra las mujeres, para ello se financiará: (i) desarrollo de un centro de tratamiento de ofensores de VIF, incluyendo la implementación de una intervención piloto de reeducación de hombres victimarios,; (ii) capacitación al personal de la PN y de unidades especializadas en VIF; (iii) intervenciones focalizadas mediante procesos competitivos dirigidas a reducir la VIF contra mujeres, por parte de organizaciones de la sociedad civil.; y (iv) campañas de sensibilización.</w:t>
      </w:r>
    </w:p>
    <w:p w:rsidR="00715CDD" w:rsidRPr="001F52BD" w:rsidRDefault="00715CDD" w:rsidP="00860114">
      <w:pPr>
        <w:pStyle w:val="ListParagraph"/>
        <w:numPr>
          <w:ilvl w:val="1"/>
          <w:numId w:val="1"/>
        </w:numPr>
        <w:spacing w:before="120" w:after="120" w:line="240" w:lineRule="auto"/>
        <w:ind w:left="562" w:hanging="562"/>
        <w:jc w:val="both"/>
        <w:outlineLvl w:val="1"/>
        <w:rPr>
          <w:rFonts w:ascii="Times New Roman" w:eastAsia="Times New Roman" w:hAnsi="Times New Roman"/>
          <w:sz w:val="24"/>
          <w:szCs w:val="24"/>
          <w:lang w:val="es-ES"/>
        </w:rPr>
      </w:pPr>
      <w:r>
        <w:rPr>
          <w:rFonts w:ascii="Times New Roman" w:eastAsia="Times New Roman" w:hAnsi="Times New Roman"/>
          <w:sz w:val="24"/>
          <w:szCs w:val="24"/>
          <w:lang w:val="es-ES"/>
        </w:rPr>
        <w:t>Subcomponente 3</w:t>
      </w:r>
      <w:r w:rsidR="00214954">
        <w:rPr>
          <w:rFonts w:ascii="Times New Roman" w:eastAsia="Times New Roman" w:hAnsi="Times New Roman"/>
          <w:sz w:val="24"/>
          <w:szCs w:val="24"/>
          <w:lang w:val="es-ES"/>
        </w:rPr>
        <w:t xml:space="preserve"> </w:t>
      </w:r>
      <w:r w:rsidRPr="001F52BD">
        <w:rPr>
          <w:rFonts w:ascii="Times New Roman" w:eastAsia="Times New Roman" w:hAnsi="Times New Roman"/>
          <w:sz w:val="24"/>
          <w:szCs w:val="24"/>
          <w:lang w:val="es-ES"/>
        </w:rPr>
        <w:t xml:space="preserve">- </w:t>
      </w:r>
      <w:r w:rsidR="001F52BD" w:rsidRPr="001F52BD">
        <w:rPr>
          <w:rFonts w:ascii="Times New Roman" w:hAnsi="Times New Roman"/>
          <w:sz w:val="24"/>
          <w:szCs w:val="24"/>
          <w:lang w:val="es-ES_tradnl"/>
        </w:rPr>
        <w:t>Reducir la incidencia delictiva de jóvenes victimarios en intervenciones pilotos para generar conocimiento sobre su efectividad. Lo anterior a través de: (i) diseño e implementación y evaluación de proyectos pilotos</w:t>
      </w:r>
      <w:r w:rsidR="001F52BD" w:rsidRPr="001F52BD">
        <w:rPr>
          <w:rFonts w:ascii="Times New Roman" w:hAnsi="Times New Roman"/>
          <w:b/>
          <w:sz w:val="24"/>
          <w:szCs w:val="24"/>
          <w:lang w:val="es-ES_tradnl"/>
        </w:rPr>
        <w:t xml:space="preserve"> </w:t>
      </w:r>
      <w:r w:rsidR="001F52BD" w:rsidRPr="001F52BD">
        <w:rPr>
          <w:rFonts w:ascii="Times New Roman" w:hAnsi="Times New Roman"/>
          <w:sz w:val="24"/>
          <w:szCs w:val="24"/>
          <w:lang w:val="es-ES_tradnl"/>
        </w:rPr>
        <w:t>dirigidos a menores y jóvenes: se consideraron la Terapia Multisistémica (MST)</w:t>
      </w:r>
      <w:r w:rsidR="001F52BD" w:rsidRPr="001F52BD">
        <w:rPr>
          <w:rFonts w:ascii="Times New Roman" w:hAnsi="Times New Roman"/>
          <w:sz w:val="24"/>
          <w:szCs w:val="24"/>
          <w:vertAlign w:val="superscript"/>
        </w:rPr>
        <w:footnoteReference w:id="6"/>
      </w:r>
      <w:r w:rsidR="001F52BD" w:rsidRPr="001F52BD">
        <w:rPr>
          <w:rFonts w:ascii="Times New Roman" w:hAnsi="Times New Roman"/>
          <w:sz w:val="24"/>
          <w:szCs w:val="24"/>
          <w:lang w:val="es-ES_tradnl"/>
        </w:rPr>
        <w:t xml:space="preserve"> dirigida a jóvenes identificados de alto riesgo entre las edades de 14 a 17 años y un piloto de reinserción laboral de jóvenes en riesgo de entre 18 a 25 años</w:t>
      </w:r>
      <w:r w:rsidR="001F52BD" w:rsidRPr="001F52BD">
        <w:rPr>
          <w:rFonts w:ascii="Times New Roman" w:hAnsi="Times New Roman"/>
          <w:sz w:val="24"/>
          <w:szCs w:val="24"/>
          <w:vertAlign w:val="superscript"/>
        </w:rPr>
        <w:footnoteReference w:id="7"/>
      </w:r>
      <w:r w:rsidR="001F52BD">
        <w:rPr>
          <w:rFonts w:ascii="Times New Roman" w:hAnsi="Times New Roman"/>
          <w:sz w:val="24"/>
          <w:szCs w:val="24"/>
          <w:lang w:val="es-ES_tradnl"/>
        </w:rPr>
        <w:t>.</w:t>
      </w:r>
    </w:p>
    <w:p w:rsidR="005B7D48" w:rsidRDefault="00860114" w:rsidP="00860114">
      <w:pPr>
        <w:numPr>
          <w:ilvl w:val="1"/>
          <w:numId w:val="1"/>
        </w:numPr>
        <w:spacing w:before="120" w:after="120" w:line="240" w:lineRule="auto"/>
        <w:ind w:left="562" w:hanging="562"/>
        <w:jc w:val="both"/>
        <w:outlineLvl w:val="1"/>
        <w:rPr>
          <w:rFonts w:ascii="Times New Roman" w:eastAsia="Times New Roman" w:hAnsi="Times New Roman"/>
          <w:sz w:val="24"/>
          <w:szCs w:val="24"/>
          <w:lang w:val="es-ES"/>
        </w:rPr>
      </w:pPr>
      <w:r w:rsidRPr="00860114">
        <w:rPr>
          <w:rFonts w:ascii="Times New Roman" w:eastAsia="Times New Roman" w:hAnsi="Times New Roman"/>
          <w:b/>
          <w:sz w:val="24"/>
          <w:szCs w:val="24"/>
          <w:lang w:val="es-ES"/>
        </w:rPr>
        <w:t>Subcomponente 1</w:t>
      </w:r>
      <w:r w:rsidR="00214954">
        <w:rPr>
          <w:rFonts w:ascii="Times New Roman" w:eastAsia="Times New Roman" w:hAnsi="Times New Roman"/>
          <w:b/>
          <w:sz w:val="24"/>
          <w:szCs w:val="24"/>
          <w:lang w:val="es-ES"/>
        </w:rPr>
        <w:t xml:space="preserve"> </w:t>
      </w:r>
      <w:r w:rsidRPr="00860114">
        <w:rPr>
          <w:rFonts w:ascii="Times New Roman" w:eastAsia="Times New Roman" w:hAnsi="Times New Roman"/>
          <w:b/>
          <w:sz w:val="24"/>
          <w:szCs w:val="24"/>
          <w:lang w:val="es-ES"/>
        </w:rPr>
        <w:t>-</w:t>
      </w:r>
      <w:r w:rsidR="00214954">
        <w:rPr>
          <w:rFonts w:ascii="Times New Roman" w:eastAsia="Times New Roman" w:hAnsi="Times New Roman"/>
          <w:b/>
          <w:sz w:val="24"/>
          <w:szCs w:val="24"/>
          <w:lang w:val="es-ES"/>
        </w:rPr>
        <w:t xml:space="preserve"> </w:t>
      </w:r>
      <w:r w:rsidRPr="00860114">
        <w:rPr>
          <w:rFonts w:ascii="Times New Roman" w:eastAsia="Times New Roman" w:hAnsi="Times New Roman"/>
          <w:b/>
          <w:sz w:val="24"/>
          <w:szCs w:val="24"/>
          <w:lang w:val="es-ES"/>
        </w:rPr>
        <w:t>Beneficios esperados</w:t>
      </w:r>
      <w:r w:rsidRPr="00214954">
        <w:rPr>
          <w:rFonts w:ascii="Times New Roman" w:eastAsia="Times New Roman" w:hAnsi="Times New Roman"/>
          <w:b/>
          <w:sz w:val="24"/>
          <w:szCs w:val="24"/>
          <w:lang w:val="es-ES"/>
        </w:rPr>
        <w:t>.</w:t>
      </w:r>
      <w:r w:rsidRPr="00860114">
        <w:rPr>
          <w:rFonts w:ascii="Times New Roman" w:eastAsia="Times New Roman" w:hAnsi="Times New Roman"/>
          <w:sz w:val="24"/>
          <w:szCs w:val="24"/>
          <w:lang w:val="es-ES"/>
        </w:rPr>
        <w:t xml:space="preserve"> </w:t>
      </w:r>
      <w:r w:rsidR="001F52BD" w:rsidRPr="001F52BD">
        <w:rPr>
          <w:rFonts w:ascii="Times New Roman" w:eastAsia="Times New Roman" w:hAnsi="Times New Roman"/>
          <w:sz w:val="24"/>
          <w:szCs w:val="24"/>
          <w:lang w:val="es-ES"/>
        </w:rPr>
        <w:t xml:space="preserve">Los beneficios esperados asociados a las actividades del Subcomponente 1 se derivan principalmente de la </w:t>
      </w:r>
      <w:r w:rsidR="001F52BD" w:rsidRPr="001F52BD">
        <w:rPr>
          <w:rFonts w:ascii="Times New Roman" w:eastAsia="Times New Roman" w:hAnsi="Times New Roman"/>
          <w:sz w:val="24"/>
          <w:szCs w:val="24"/>
          <w:lang w:val="es-ES"/>
        </w:rPr>
        <w:lastRenderedPageBreak/>
        <w:t>reducción en la violencia causada por la asignación a determinadas áreas de patrullaje intensivo de policías y policía orientada a problemas.</w:t>
      </w:r>
      <w:r w:rsidR="001F52BD" w:rsidRPr="001F52BD">
        <w:rPr>
          <w:rFonts w:ascii="Times New Roman" w:hAnsi="Times New Roman"/>
          <w:sz w:val="24"/>
          <w:szCs w:val="24"/>
          <w:lang w:val="es-AR"/>
        </w:rPr>
        <w:t xml:space="preserve"> </w:t>
      </w:r>
      <w:r w:rsidR="001F52BD" w:rsidRPr="001F52BD">
        <w:rPr>
          <w:rFonts w:ascii="Times New Roman" w:hAnsi="Times New Roman"/>
          <w:sz w:val="24"/>
          <w:szCs w:val="24"/>
          <w:lang w:val="es-CO"/>
        </w:rPr>
        <w:t xml:space="preserve">Mejía et al, 2013 encuentran a través del Programa de Vigilancia Comunitaria por Cuadrantes una reducción del 22% de los delitos en las ocho ciudades intervenidas en Colombia. </w:t>
      </w:r>
      <w:r w:rsidR="001F52BD" w:rsidRPr="001F52BD">
        <w:rPr>
          <w:rFonts w:ascii="Times New Roman" w:eastAsia="Times New Roman" w:hAnsi="Times New Roman"/>
          <w:sz w:val="24"/>
          <w:szCs w:val="24"/>
          <w:lang w:val="es-ES"/>
        </w:rPr>
        <w:t xml:space="preserve">El indicador puntual relativo a la violencia serán los </w:t>
      </w:r>
      <w:r w:rsidR="001F52BD" w:rsidRPr="001F52BD">
        <w:rPr>
          <w:rFonts w:ascii="Times New Roman" w:hAnsi="Times New Roman"/>
          <w:sz w:val="24"/>
          <w:szCs w:val="24"/>
          <w:lang w:val="es-ES_tradnl"/>
        </w:rPr>
        <w:t xml:space="preserve">Robos anuales en las cinco comisarías intervenidas. Personas víctimas </w:t>
      </w:r>
      <w:r w:rsidR="001F52BD" w:rsidRPr="001F52BD">
        <w:rPr>
          <w:rFonts w:ascii="Times New Roman" w:hAnsi="Times New Roman"/>
          <w:sz w:val="24"/>
          <w:szCs w:val="24"/>
          <w:lang w:val="es-ES"/>
        </w:rPr>
        <w:t>de 18 años o más</w:t>
      </w:r>
      <w:r w:rsidR="001F52BD" w:rsidRPr="001F52BD">
        <w:rPr>
          <w:rFonts w:ascii="Times New Roman" w:eastAsia="Times New Roman" w:hAnsi="Times New Roman"/>
          <w:sz w:val="24"/>
          <w:szCs w:val="24"/>
          <w:vertAlign w:val="superscript"/>
          <w:lang w:val="es-ES"/>
        </w:rPr>
        <w:footnoteReference w:id="8"/>
      </w:r>
      <w:r w:rsidR="001F52BD">
        <w:rPr>
          <w:rFonts w:ascii="Times New Roman" w:hAnsi="Times New Roman"/>
          <w:sz w:val="24"/>
          <w:szCs w:val="24"/>
          <w:lang w:val="es-ES"/>
        </w:rPr>
        <w:t>.</w:t>
      </w:r>
    </w:p>
    <w:p w:rsidR="00B84211" w:rsidRDefault="00214954" w:rsidP="00860114">
      <w:pPr>
        <w:numPr>
          <w:ilvl w:val="1"/>
          <w:numId w:val="1"/>
        </w:numPr>
        <w:spacing w:before="120" w:after="120" w:line="240" w:lineRule="auto"/>
        <w:ind w:left="562" w:hanging="562"/>
        <w:jc w:val="both"/>
        <w:outlineLvl w:val="1"/>
        <w:rPr>
          <w:rFonts w:ascii="Times New Roman" w:eastAsia="Times New Roman" w:hAnsi="Times New Roman"/>
          <w:sz w:val="24"/>
          <w:szCs w:val="24"/>
          <w:lang w:val="es-ES"/>
        </w:rPr>
      </w:pPr>
      <w:r w:rsidRPr="00591D6A">
        <w:rPr>
          <w:rFonts w:ascii="Times New Roman" w:hAnsi="Times New Roman"/>
          <w:b/>
          <w:sz w:val="24"/>
          <w:szCs w:val="24"/>
          <w:lang w:val="es-ES"/>
        </w:rPr>
        <w:t>Supuestos</w:t>
      </w:r>
      <w:r>
        <w:rPr>
          <w:rFonts w:ascii="Times New Roman" w:hAnsi="Times New Roman"/>
          <w:b/>
          <w:sz w:val="24"/>
          <w:szCs w:val="24"/>
          <w:lang w:val="es-ES"/>
        </w:rPr>
        <w:t>.</w:t>
      </w:r>
      <w:r w:rsidRPr="00591D6A">
        <w:rPr>
          <w:rFonts w:ascii="Times New Roman" w:eastAsia="Times New Roman" w:hAnsi="Times New Roman"/>
          <w:sz w:val="24"/>
          <w:szCs w:val="24"/>
          <w:lang w:val="es-ES"/>
        </w:rPr>
        <w:t xml:space="preserve"> </w:t>
      </w:r>
      <w:r w:rsidR="00591D6A" w:rsidRPr="00591D6A">
        <w:rPr>
          <w:rFonts w:ascii="Times New Roman" w:eastAsia="Times New Roman" w:hAnsi="Times New Roman"/>
          <w:sz w:val="24"/>
          <w:szCs w:val="24"/>
          <w:lang w:val="es-ES"/>
        </w:rPr>
        <w:t>En el caso de</w:t>
      </w:r>
      <w:r w:rsidR="002F1A99">
        <w:rPr>
          <w:rFonts w:ascii="Times New Roman" w:eastAsia="Times New Roman" w:hAnsi="Times New Roman"/>
          <w:sz w:val="24"/>
          <w:szCs w:val="24"/>
          <w:lang w:val="es-ES"/>
        </w:rPr>
        <w:t xml:space="preserve">l </w:t>
      </w:r>
      <w:r w:rsidR="007826AA">
        <w:rPr>
          <w:rFonts w:ascii="Times New Roman" w:eastAsia="Times New Roman" w:hAnsi="Times New Roman"/>
          <w:sz w:val="24"/>
          <w:szCs w:val="24"/>
          <w:lang w:val="es-ES"/>
        </w:rPr>
        <w:t>Subcomponente 1</w:t>
      </w:r>
      <w:r w:rsidR="002F1A99">
        <w:rPr>
          <w:rFonts w:ascii="Times New Roman" w:eastAsia="Times New Roman" w:hAnsi="Times New Roman"/>
          <w:sz w:val="24"/>
          <w:szCs w:val="24"/>
          <w:lang w:val="es-ES"/>
        </w:rPr>
        <w:t xml:space="preserve">, se </w:t>
      </w:r>
      <w:r w:rsidR="00B31AC1">
        <w:rPr>
          <w:rFonts w:ascii="Times New Roman" w:eastAsia="Times New Roman" w:hAnsi="Times New Roman"/>
          <w:sz w:val="24"/>
          <w:szCs w:val="24"/>
          <w:lang w:val="es-ES"/>
        </w:rPr>
        <w:t xml:space="preserve">realizarán </w:t>
      </w:r>
      <w:r w:rsidR="002F1A99">
        <w:rPr>
          <w:rFonts w:ascii="Times New Roman" w:eastAsia="Times New Roman" w:hAnsi="Times New Roman"/>
          <w:sz w:val="24"/>
          <w:szCs w:val="24"/>
          <w:lang w:val="es-ES"/>
        </w:rPr>
        <w:t>los siguientes supuestos a fin de estimar la razón costo-beneficio</w:t>
      </w:r>
      <w:r w:rsidR="00591D6A" w:rsidRPr="00591D6A">
        <w:rPr>
          <w:rFonts w:ascii="Times New Roman" w:eastAsia="Times New Roman" w:hAnsi="Times New Roman"/>
          <w:sz w:val="24"/>
          <w:szCs w:val="24"/>
          <w:lang w:val="es-ES"/>
        </w:rPr>
        <w:t>:</w:t>
      </w:r>
    </w:p>
    <w:p w:rsidR="00B84211" w:rsidRDefault="00591D6A" w:rsidP="00860114">
      <w:pPr>
        <w:pStyle w:val="Vieta"/>
        <w:spacing w:before="60" w:after="60" w:line="240" w:lineRule="auto"/>
        <w:ind w:left="994" w:hanging="432"/>
      </w:pPr>
      <w:r w:rsidRPr="00591D6A">
        <w:t>La tasa de descuento se mantiene en el 12% anual.</w:t>
      </w:r>
    </w:p>
    <w:p w:rsidR="00B84211" w:rsidRDefault="007826AA" w:rsidP="00860114">
      <w:pPr>
        <w:pStyle w:val="Vieta"/>
        <w:spacing w:before="60" w:after="60" w:line="240" w:lineRule="auto"/>
        <w:ind w:left="994" w:hanging="432"/>
      </w:pPr>
      <w:r>
        <w:t xml:space="preserve">El universo afectado por el </w:t>
      </w:r>
      <w:r w:rsidR="00675628">
        <w:t>S</w:t>
      </w:r>
      <w:r>
        <w:t>ubcomponente será el vinculado a lesiones y vandalismo</w:t>
      </w:r>
      <w:r w:rsidR="001F52BD" w:rsidRPr="001F52BD">
        <w:rPr>
          <w:rFonts w:ascii="Calibri" w:eastAsia="Calibri" w:hAnsi="Calibri"/>
          <w:kern w:val="0"/>
          <w:sz w:val="22"/>
          <w:szCs w:val="22"/>
          <w:vertAlign w:val="superscript"/>
          <w:lang w:val="en-US"/>
        </w:rPr>
        <w:footnoteReference w:id="9"/>
      </w:r>
      <w:r>
        <w:t>, los cuales se derivan directamente de hechos violentos</w:t>
      </w:r>
      <w:r w:rsidR="00BB78BA">
        <w:t xml:space="preserve">. </w:t>
      </w:r>
    </w:p>
    <w:p w:rsidR="00B84211" w:rsidRDefault="002F1A99" w:rsidP="00860114">
      <w:pPr>
        <w:pStyle w:val="Vieta"/>
        <w:spacing w:before="60" w:after="60" w:line="240" w:lineRule="auto"/>
        <w:ind w:left="994" w:hanging="432"/>
      </w:pPr>
      <w:r>
        <w:t xml:space="preserve">En base </w:t>
      </w:r>
      <w:r w:rsidR="00D21A18">
        <w:t xml:space="preserve">Aboal, </w:t>
      </w:r>
      <w:r w:rsidR="00D21A18" w:rsidRPr="00B517AE">
        <w:rPr>
          <w:lang w:val="es-AR"/>
        </w:rPr>
        <w:t xml:space="preserve">Lanzilotta, </w:t>
      </w:r>
      <w:r w:rsidR="00D21A18">
        <w:rPr>
          <w:lang w:val="es-AR"/>
        </w:rPr>
        <w:t>y</w:t>
      </w:r>
      <w:r w:rsidR="00D21A18" w:rsidRPr="00B517AE">
        <w:rPr>
          <w:lang w:val="es-AR"/>
        </w:rPr>
        <w:t xml:space="preserve"> Vazquez</w:t>
      </w:r>
      <w:r w:rsidR="00D21A18">
        <w:t xml:space="preserve"> (2013)</w:t>
      </w:r>
      <w:r>
        <w:t xml:space="preserve">, </w:t>
      </w:r>
      <w:r w:rsidR="007826AA">
        <w:t xml:space="preserve">el costo total asociado a lesiones y vandalismo fue de </w:t>
      </w:r>
      <w:r w:rsidR="007826AA" w:rsidRPr="007826AA">
        <w:t>7</w:t>
      </w:r>
      <w:r w:rsidR="007826AA">
        <w:t>.</w:t>
      </w:r>
      <w:r w:rsidR="007826AA" w:rsidRPr="007826AA">
        <w:t>098</w:t>
      </w:r>
      <w:r w:rsidR="007826AA">
        <w:t>.</w:t>
      </w:r>
      <w:r w:rsidR="007826AA" w:rsidRPr="007826AA">
        <w:t>011</w:t>
      </w:r>
      <w:r w:rsidR="00675628">
        <w:t xml:space="preserve"> </w:t>
      </w:r>
      <w:r w:rsidR="007826AA">
        <w:t>de dólares para el año 2012</w:t>
      </w:r>
      <w:r w:rsidR="00BB78BA">
        <w:t>.</w:t>
      </w:r>
    </w:p>
    <w:p w:rsidR="00BB78BA" w:rsidRDefault="00675628" w:rsidP="00860114">
      <w:pPr>
        <w:pStyle w:val="Vieta"/>
        <w:spacing w:before="60" w:after="120" w:line="240" w:lineRule="auto"/>
        <w:ind w:left="994" w:hanging="432"/>
      </w:pPr>
      <w:r>
        <w:t>S</w:t>
      </w:r>
      <w:r w:rsidR="001F52BD">
        <w:t>ó</w:t>
      </w:r>
      <w:r>
        <w:t xml:space="preserve">lo se computarán beneficios a partir del </w:t>
      </w:r>
      <w:r w:rsidR="00B57C35">
        <w:t xml:space="preserve">cuarto </w:t>
      </w:r>
      <w:r>
        <w:t>año de ejecución.</w:t>
      </w:r>
    </w:p>
    <w:p w:rsidR="00B84211" w:rsidRDefault="00591D6A" w:rsidP="009E6A82">
      <w:pPr>
        <w:numPr>
          <w:ilvl w:val="1"/>
          <w:numId w:val="1"/>
        </w:numPr>
        <w:spacing w:after="0" w:line="480" w:lineRule="auto"/>
        <w:jc w:val="both"/>
        <w:outlineLvl w:val="1"/>
        <w:rPr>
          <w:rFonts w:ascii="Times New Roman" w:eastAsia="Times New Roman" w:hAnsi="Times New Roman"/>
          <w:sz w:val="24"/>
          <w:szCs w:val="24"/>
          <w:lang w:val="es-ES"/>
        </w:rPr>
      </w:pPr>
      <w:r w:rsidRPr="00591D6A">
        <w:rPr>
          <w:rFonts w:ascii="Times New Roman" w:eastAsia="Times New Roman" w:hAnsi="Times New Roman"/>
          <w:sz w:val="24"/>
          <w:szCs w:val="24"/>
          <w:lang w:val="es-ES"/>
        </w:rPr>
        <w:t>Para el cálculo de los costos se utilizan los siguientes supuestos:</w:t>
      </w:r>
    </w:p>
    <w:p w:rsidR="00B84211" w:rsidRDefault="002F1A99" w:rsidP="00214954">
      <w:pPr>
        <w:pStyle w:val="Vieta"/>
        <w:spacing w:after="120" w:line="240" w:lineRule="auto"/>
        <w:ind w:left="994" w:hanging="432"/>
      </w:pPr>
      <w:r w:rsidRPr="002F1A99">
        <w:t xml:space="preserve">Se asume que </w:t>
      </w:r>
      <w:r w:rsidR="00215D5A">
        <w:t xml:space="preserve">los costos de este </w:t>
      </w:r>
      <w:r w:rsidR="00675628">
        <w:t xml:space="preserve">Subcomponente </w:t>
      </w:r>
      <w:r w:rsidR="00215D5A">
        <w:t>(</w:t>
      </w:r>
      <w:r w:rsidR="00AA7D45" w:rsidRPr="00AA7D45">
        <w:t>6.094.295</w:t>
      </w:r>
      <w:r w:rsidR="00BB2AC4">
        <w:t xml:space="preserve"> </w:t>
      </w:r>
      <w:r w:rsidR="00215D5A">
        <w:t xml:space="preserve">dólares según datos del programa), se ejecutan </w:t>
      </w:r>
      <w:r w:rsidR="00B57C35">
        <w:t>según la siguiente distribución: 0,1% durante el primer año, 1,6% durante el segundo, 20,4% durante el tercero, y el 77,9% restante durante el cuarto</w:t>
      </w:r>
      <w:r w:rsidR="00591D6A" w:rsidRPr="00591D6A">
        <w:t>.</w:t>
      </w:r>
    </w:p>
    <w:p w:rsidR="00B84211" w:rsidRDefault="002F1A99" w:rsidP="007E6104">
      <w:pPr>
        <w:pStyle w:val="Vieta"/>
      </w:pPr>
      <w:r>
        <w:t>El horizonte para el cálculo de beneficios es de 20 años</w:t>
      </w:r>
      <w:r w:rsidR="00591D6A" w:rsidRPr="00591D6A">
        <w:t>.</w:t>
      </w:r>
    </w:p>
    <w:p w:rsidR="00B84211" w:rsidRPr="007E6104" w:rsidRDefault="00860114" w:rsidP="00860114">
      <w:pPr>
        <w:pStyle w:val="TItuloAnexo"/>
        <w:numPr>
          <w:ilvl w:val="1"/>
          <w:numId w:val="1"/>
        </w:numPr>
        <w:spacing w:before="0" w:after="240" w:line="240" w:lineRule="auto"/>
        <w:ind w:left="562" w:hanging="562"/>
        <w:jc w:val="both"/>
      </w:pPr>
      <w:r w:rsidRPr="00591D6A">
        <w:t>Cálculos</w:t>
      </w:r>
      <w:r>
        <w:t>.</w:t>
      </w:r>
      <w:r>
        <w:rPr>
          <w:b w:val="0"/>
        </w:rPr>
        <w:t xml:space="preserve"> </w:t>
      </w:r>
      <w:r w:rsidR="005D430F">
        <w:rPr>
          <w:b w:val="0"/>
        </w:rPr>
        <w:t>L</w:t>
      </w:r>
      <w:r w:rsidR="00031E1C" w:rsidRPr="007E6104">
        <w:rPr>
          <w:b w:val="0"/>
        </w:rPr>
        <w:t xml:space="preserve">os cálculos de los beneficios anuales para el </w:t>
      </w:r>
      <w:r w:rsidR="00E261D6">
        <w:rPr>
          <w:b w:val="0"/>
        </w:rPr>
        <w:t>Componente de Prevención</w:t>
      </w:r>
      <w:r w:rsidR="00031E1C" w:rsidRPr="007E6104">
        <w:rPr>
          <w:b w:val="0"/>
        </w:rPr>
        <w:t xml:space="preserve"> se detallan en la siguiente tabla, en base a los supuestos realizados previamente:</w:t>
      </w:r>
      <w:r w:rsidR="0006705A" w:rsidRPr="007E6104">
        <w:rPr>
          <w:b w:val="0"/>
        </w:rPr>
        <w:t xml:space="preserve"> </w:t>
      </w:r>
    </w:p>
    <w:tbl>
      <w:tblPr>
        <w:tblW w:w="8381" w:type="dxa"/>
        <w:jc w:val="right"/>
        <w:tblInd w:w="136" w:type="dxa"/>
        <w:tblLayout w:type="fixed"/>
        <w:tblLook w:val="04A0" w:firstRow="1" w:lastRow="0" w:firstColumn="1" w:lastColumn="0" w:noHBand="0" w:noVBand="1"/>
      </w:tblPr>
      <w:tblGrid>
        <w:gridCol w:w="512"/>
        <w:gridCol w:w="3970"/>
        <w:gridCol w:w="1520"/>
        <w:gridCol w:w="2379"/>
      </w:tblGrid>
      <w:tr w:rsidR="00591D6A" w:rsidRPr="000532C5" w:rsidTr="00A603AC">
        <w:trPr>
          <w:trHeight w:val="280"/>
          <w:jc w:val="right"/>
        </w:trPr>
        <w:tc>
          <w:tcPr>
            <w:tcW w:w="8381" w:type="dxa"/>
            <w:gridSpan w:val="4"/>
            <w:tcBorders>
              <w:top w:val="nil"/>
              <w:left w:val="nil"/>
              <w:bottom w:val="single" w:sz="4" w:space="0" w:color="auto"/>
              <w:right w:val="nil"/>
            </w:tcBorders>
            <w:shd w:val="clear" w:color="auto" w:fill="auto"/>
            <w:noWrap/>
            <w:vAlign w:val="center"/>
            <w:hideMark/>
          </w:tcPr>
          <w:p w:rsidR="00B84211" w:rsidRDefault="00591D6A" w:rsidP="000532C5">
            <w:pPr>
              <w:pStyle w:val="TituloTabla"/>
            </w:pPr>
            <w:r w:rsidRPr="00591D6A">
              <w:t xml:space="preserve">Tabla </w:t>
            </w:r>
            <w:r w:rsidR="00E261D6">
              <w:t>2</w:t>
            </w:r>
            <w:r w:rsidRPr="00591D6A">
              <w:t xml:space="preserve">. </w:t>
            </w:r>
            <w:r w:rsidR="00031E1C" w:rsidRPr="00031E1C">
              <w:t>Cálculo del valor monetario en US</w:t>
            </w:r>
            <w:r w:rsidR="000532C5">
              <w:t>$</w:t>
            </w:r>
            <w:r w:rsidR="00031E1C" w:rsidRPr="00031E1C">
              <w:t xml:space="preserve"> de los beneficios derivados del </w:t>
            </w:r>
            <w:r w:rsidR="006F6BDC">
              <w:t>Subcomponente 1- Hotspots</w:t>
            </w:r>
            <w:r w:rsidR="00E075D7">
              <w:t xml:space="preserve">, Anuales para el año </w:t>
            </w:r>
            <w:r w:rsidR="006F6BDC">
              <w:t>2017</w:t>
            </w:r>
          </w:p>
        </w:tc>
      </w:tr>
      <w:tr w:rsidR="00591D6A" w:rsidRPr="00591D6A" w:rsidTr="00A603AC">
        <w:trPr>
          <w:trHeight w:val="280"/>
          <w:jc w:val="right"/>
        </w:trPr>
        <w:tc>
          <w:tcPr>
            <w:tcW w:w="512" w:type="dxa"/>
            <w:tcBorders>
              <w:top w:val="nil"/>
              <w:left w:val="nil"/>
              <w:bottom w:val="nil"/>
              <w:right w:val="nil"/>
            </w:tcBorders>
            <w:shd w:val="clear" w:color="auto" w:fill="auto"/>
            <w:noWrap/>
            <w:vAlign w:val="center"/>
            <w:hideMark/>
          </w:tcPr>
          <w:p w:rsidR="00B84211" w:rsidRDefault="00591D6A" w:rsidP="007E6104">
            <w:pPr>
              <w:spacing w:after="0" w:line="240" w:lineRule="auto"/>
              <w:ind w:left="567" w:hanging="567"/>
              <w:rPr>
                <w:rFonts w:ascii="Times New Roman" w:eastAsia="Times New Roman" w:hAnsi="Times New Roman"/>
                <w:color w:val="000000"/>
                <w:lang w:val="es-ES"/>
              </w:rPr>
            </w:pPr>
            <w:r w:rsidRPr="00591D6A">
              <w:rPr>
                <w:rFonts w:ascii="Times New Roman" w:eastAsia="Times New Roman" w:hAnsi="Times New Roman"/>
                <w:color w:val="000000"/>
                <w:lang w:val="es-ES"/>
              </w:rPr>
              <w:t>1</w:t>
            </w:r>
          </w:p>
        </w:tc>
        <w:tc>
          <w:tcPr>
            <w:tcW w:w="3970" w:type="dxa"/>
            <w:tcBorders>
              <w:top w:val="nil"/>
              <w:left w:val="nil"/>
              <w:bottom w:val="nil"/>
              <w:right w:val="single" w:sz="4" w:space="0" w:color="auto"/>
            </w:tcBorders>
            <w:shd w:val="clear" w:color="auto" w:fill="auto"/>
            <w:noWrap/>
            <w:vAlign w:val="center"/>
            <w:hideMark/>
          </w:tcPr>
          <w:p w:rsidR="00B84211" w:rsidRPr="00860114" w:rsidRDefault="00565115" w:rsidP="000532C5">
            <w:pPr>
              <w:pStyle w:val="Entabla"/>
              <w:rPr>
                <w:b/>
                <w:bCs/>
                <w:lang w:val="es-ES_tradnl"/>
              </w:rPr>
            </w:pPr>
            <w:r w:rsidRPr="00860114">
              <w:rPr>
                <w:lang w:val="es-ES_tradnl"/>
              </w:rPr>
              <w:t xml:space="preserve">Costo </w:t>
            </w:r>
            <w:r w:rsidR="006F6BDC" w:rsidRPr="00860114">
              <w:rPr>
                <w:lang w:val="es-ES_tradnl"/>
              </w:rPr>
              <w:t>total por Lesiones y Vandalismo</w:t>
            </w:r>
            <w:r w:rsidR="002C1CD6" w:rsidRPr="00860114">
              <w:rPr>
                <w:lang w:val="es-ES_tradnl"/>
              </w:rPr>
              <w:t xml:space="preserve"> </w:t>
            </w:r>
            <w:r w:rsidR="006F6BDC" w:rsidRPr="00860114">
              <w:rPr>
                <w:lang w:val="es-ES_tradnl"/>
              </w:rPr>
              <w:t>US</w:t>
            </w:r>
            <w:r w:rsidR="000532C5">
              <w:rPr>
                <w:lang w:val="es-ES_tradnl"/>
              </w:rPr>
              <w:t>$</w:t>
            </w:r>
          </w:p>
        </w:tc>
        <w:tc>
          <w:tcPr>
            <w:tcW w:w="1520" w:type="dxa"/>
            <w:tcBorders>
              <w:top w:val="nil"/>
              <w:left w:val="nil"/>
              <w:bottom w:val="nil"/>
              <w:right w:val="single" w:sz="4" w:space="0" w:color="auto"/>
            </w:tcBorders>
            <w:shd w:val="clear" w:color="auto" w:fill="auto"/>
            <w:noWrap/>
            <w:vAlign w:val="center"/>
            <w:hideMark/>
          </w:tcPr>
          <w:p w:rsidR="00B84211" w:rsidRDefault="006F6BDC" w:rsidP="007E6104">
            <w:pPr>
              <w:pStyle w:val="Entabla"/>
              <w:jc w:val="right"/>
            </w:pPr>
            <w:r w:rsidRPr="006F6BDC">
              <w:t>7</w:t>
            </w:r>
            <w:r>
              <w:t>.</w:t>
            </w:r>
            <w:r w:rsidRPr="006F6BDC">
              <w:t>098</w:t>
            </w:r>
            <w:r>
              <w:t>.</w:t>
            </w:r>
            <w:r w:rsidRPr="006F6BDC">
              <w:t>011</w:t>
            </w:r>
          </w:p>
        </w:tc>
        <w:tc>
          <w:tcPr>
            <w:tcW w:w="2379" w:type="dxa"/>
            <w:tcBorders>
              <w:top w:val="nil"/>
              <w:left w:val="nil"/>
              <w:bottom w:val="nil"/>
              <w:right w:val="nil"/>
            </w:tcBorders>
            <w:shd w:val="clear" w:color="auto" w:fill="auto"/>
            <w:noWrap/>
            <w:vAlign w:val="center"/>
            <w:hideMark/>
          </w:tcPr>
          <w:p w:rsidR="00B84211" w:rsidRDefault="00D21A18" w:rsidP="007E6104">
            <w:pPr>
              <w:pStyle w:val="Entabla"/>
            </w:pPr>
            <w:r>
              <w:rPr>
                <w:kern w:val="28"/>
              </w:rPr>
              <w:t xml:space="preserve">Aboal, </w:t>
            </w:r>
            <w:r w:rsidRPr="00B517AE">
              <w:rPr>
                <w:lang w:val="es-AR"/>
              </w:rPr>
              <w:t xml:space="preserve">Lanzilotta, </w:t>
            </w:r>
            <w:r>
              <w:rPr>
                <w:lang w:val="es-AR"/>
              </w:rPr>
              <w:t>y</w:t>
            </w:r>
            <w:r w:rsidRPr="00B517AE">
              <w:rPr>
                <w:lang w:val="es-AR"/>
              </w:rPr>
              <w:t xml:space="preserve"> Vazquez</w:t>
            </w:r>
            <w:r>
              <w:rPr>
                <w:kern w:val="28"/>
              </w:rPr>
              <w:t xml:space="preserve"> (2013)</w:t>
            </w:r>
          </w:p>
        </w:tc>
      </w:tr>
      <w:tr w:rsidR="00591D6A" w:rsidRPr="00591D6A" w:rsidTr="00A603AC">
        <w:trPr>
          <w:trHeight w:val="335"/>
          <w:jc w:val="right"/>
        </w:trPr>
        <w:tc>
          <w:tcPr>
            <w:tcW w:w="512" w:type="dxa"/>
            <w:tcBorders>
              <w:top w:val="nil"/>
              <w:left w:val="nil"/>
              <w:bottom w:val="nil"/>
              <w:right w:val="nil"/>
            </w:tcBorders>
            <w:shd w:val="clear" w:color="auto" w:fill="auto"/>
            <w:noWrap/>
            <w:vAlign w:val="center"/>
            <w:hideMark/>
          </w:tcPr>
          <w:p w:rsidR="00B84211" w:rsidRDefault="00591D6A" w:rsidP="007E6104">
            <w:pPr>
              <w:spacing w:after="0" w:line="240" w:lineRule="auto"/>
              <w:ind w:left="567" w:hanging="567"/>
              <w:rPr>
                <w:rFonts w:ascii="Times New Roman" w:eastAsia="Times New Roman" w:hAnsi="Times New Roman"/>
                <w:color w:val="000000"/>
                <w:lang w:val="es-ES"/>
              </w:rPr>
            </w:pPr>
            <w:r w:rsidRPr="00591D6A">
              <w:rPr>
                <w:rFonts w:ascii="Times New Roman" w:eastAsia="Times New Roman" w:hAnsi="Times New Roman"/>
                <w:color w:val="000000"/>
                <w:lang w:val="es-ES"/>
              </w:rPr>
              <w:t>3</w:t>
            </w:r>
          </w:p>
        </w:tc>
        <w:tc>
          <w:tcPr>
            <w:tcW w:w="3970" w:type="dxa"/>
            <w:tcBorders>
              <w:top w:val="nil"/>
              <w:left w:val="nil"/>
              <w:bottom w:val="nil"/>
              <w:right w:val="single" w:sz="4" w:space="0" w:color="auto"/>
            </w:tcBorders>
            <w:shd w:val="clear" w:color="auto" w:fill="auto"/>
            <w:noWrap/>
            <w:vAlign w:val="center"/>
            <w:hideMark/>
          </w:tcPr>
          <w:p w:rsidR="00B84211" w:rsidRDefault="00565115" w:rsidP="00D07C6A">
            <w:pPr>
              <w:pStyle w:val="Entabla"/>
              <w:rPr>
                <w:b/>
                <w:bCs/>
              </w:rPr>
            </w:pPr>
            <w:r>
              <w:t xml:space="preserve">Reducción en la </w:t>
            </w:r>
            <w:r w:rsidR="006F6BDC">
              <w:t>violencia</w:t>
            </w:r>
          </w:p>
        </w:tc>
        <w:tc>
          <w:tcPr>
            <w:tcW w:w="1520" w:type="dxa"/>
            <w:tcBorders>
              <w:top w:val="nil"/>
              <w:left w:val="nil"/>
              <w:bottom w:val="nil"/>
              <w:right w:val="single" w:sz="4" w:space="0" w:color="auto"/>
            </w:tcBorders>
            <w:shd w:val="clear" w:color="auto" w:fill="auto"/>
            <w:noWrap/>
            <w:vAlign w:val="center"/>
            <w:hideMark/>
          </w:tcPr>
          <w:p w:rsidR="00B84211" w:rsidRDefault="008F7171" w:rsidP="008F7171">
            <w:pPr>
              <w:pStyle w:val="Entabla"/>
              <w:jc w:val="right"/>
              <w:rPr>
                <w:b/>
                <w:bCs/>
              </w:rPr>
            </w:pPr>
            <w:r>
              <w:t>22</w:t>
            </w:r>
            <w:r w:rsidR="00E075D7">
              <w:t>%</w:t>
            </w:r>
          </w:p>
        </w:tc>
        <w:tc>
          <w:tcPr>
            <w:tcW w:w="2379" w:type="dxa"/>
            <w:tcBorders>
              <w:top w:val="nil"/>
              <w:left w:val="nil"/>
              <w:bottom w:val="nil"/>
              <w:right w:val="nil"/>
            </w:tcBorders>
            <w:shd w:val="clear" w:color="auto" w:fill="auto"/>
            <w:noWrap/>
            <w:vAlign w:val="center"/>
            <w:hideMark/>
          </w:tcPr>
          <w:p w:rsidR="00B84211" w:rsidRDefault="008F7171" w:rsidP="008F7171">
            <w:pPr>
              <w:pStyle w:val="Entabla"/>
              <w:rPr>
                <w:b/>
                <w:bCs/>
              </w:rPr>
            </w:pPr>
            <w:r>
              <w:t>Mejía</w:t>
            </w:r>
            <w:r w:rsidR="00565115">
              <w:t xml:space="preserve"> (</w:t>
            </w:r>
            <w:r w:rsidR="006F6BDC">
              <w:t>201</w:t>
            </w:r>
            <w:r>
              <w:t>3</w:t>
            </w:r>
            <w:r w:rsidR="00565115">
              <w:t>)</w:t>
            </w:r>
          </w:p>
        </w:tc>
      </w:tr>
      <w:tr w:rsidR="00591D6A" w:rsidRPr="00591D6A" w:rsidTr="00A603AC">
        <w:trPr>
          <w:trHeight w:val="280"/>
          <w:jc w:val="right"/>
        </w:trPr>
        <w:tc>
          <w:tcPr>
            <w:tcW w:w="512" w:type="dxa"/>
            <w:tcBorders>
              <w:top w:val="nil"/>
              <w:left w:val="nil"/>
              <w:bottom w:val="nil"/>
              <w:right w:val="nil"/>
            </w:tcBorders>
            <w:shd w:val="clear" w:color="auto" w:fill="auto"/>
            <w:noWrap/>
            <w:vAlign w:val="center"/>
            <w:hideMark/>
          </w:tcPr>
          <w:p w:rsidR="00B84211" w:rsidRDefault="00E075D7" w:rsidP="007E6104">
            <w:pPr>
              <w:spacing w:after="0" w:line="240" w:lineRule="auto"/>
              <w:ind w:left="567" w:hanging="567"/>
              <w:rPr>
                <w:rFonts w:ascii="Times New Roman" w:eastAsia="Times New Roman" w:hAnsi="Times New Roman"/>
                <w:color w:val="000000"/>
                <w:lang w:val="es-ES"/>
              </w:rPr>
            </w:pPr>
            <w:r>
              <w:rPr>
                <w:rFonts w:ascii="Times New Roman" w:eastAsia="Times New Roman" w:hAnsi="Times New Roman"/>
                <w:color w:val="000000"/>
                <w:lang w:val="es-ES"/>
              </w:rPr>
              <w:t>4</w:t>
            </w:r>
          </w:p>
        </w:tc>
        <w:tc>
          <w:tcPr>
            <w:tcW w:w="3970" w:type="dxa"/>
            <w:tcBorders>
              <w:top w:val="nil"/>
              <w:left w:val="nil"/>
              <w:bottom w:val="nil"/>
              <w:right w:val="single" w:sz="4" w:space="0" w:color="auto"/>
            </w:tcBorders>
            <w:shd w:val="clear" w:color="auto" w:fill="auto"/>
            <w:noWrap/>
            <w:vAlign w:val="center"/>
            <w:hideMark/>
          </w:tcPr>
          <w:p w:rsidR="00B84211" w:rsidRDefault="00591D6A" w:rsidP="000532C5">
            <w:pPr>
              <w:pStyle w:val="Entabla"/>
              <w:rPr>
                <w:b/>
                <w:bCs/>
              </w:rPr>
            </w:pPr>
            <w:r w:rsidRPr="00591D6A">
              <w:t>Beneficios anuales</w:t>
            </w:r>
            <w:r w:rsidR="00E075D7">
              <w:t xml:space="preserve"> </w:t>
            </w:r>
            <w:r w:rsidR="006F6BDC">
              <w:t>US</w:t>
            </w:r>
            <w:r w:rsidR="000532C5">
              <w:t>$</w:t>
            </w:r>
          </w:p>
        </w:tc>
        <w:tc>
          <w:tcPr>
            <w:tcW w:w="1520" w:type="dxa"/>
            <w:tcBorders>
              <w:top w:val="nil"/>
              <w:left w:val="nil"/>
              <w:bottom w:val="nil"/>
              <w:right w:val="single" w:sz="4" w:space="0" w:color="auto"/>
            </w:tcBorders>
            <w:shd w:val="clear" w:color="auto" w:fill="auto"/>
            <w:noWrap/>
            <w:vAlign w:val="center"/>
            <w:hideMark/>
          </w:tcPr>
          <w:p w:rsidR="00B84211" w:rsidRDefault="008F7171" w:rsidP="007E6104">
            <w:pPr>
              <w:pStyle w:val="Entabla"/>
              <w:jc w:val="right"/>
              <w:rPr>
                <w:b/>
                <w:bCs/>
              </w:rPr>
            </w:pPr>
            <w:r w:rsidRPr="008F7171">
              <w:t>2.129.403,3</w:t>
            </w:r>
          </w:p>
        </w:tc>
        <w:tc>
          <w:tcPr>
            <w:tcW w:w="2379" w:type="dxa"/>
            <w:tcBorders>
              <w:top w:val="nil"/>
              <w:left w:val="nil"/>
              <w:bottom w:val="nil"/>
              <w:right w:val="nil"/>
            </w:tcBorders>
            <w:shd w:val="clear" w:color="auto" w:fill="auto"/>
            <w:noWrap/>
            <w:vAlign w:val="center"/>
            <w:hideMark/>
          </w:tcPr>
          <w:p w:rsidR="00B84211" w:rsidRDefault="00F72B00" w:rsidP="00D07C6A">
            <w:pPr>
              <w:pStyle w:val="Entabla"/>
              <w:rPr>
                <w:b/>
                <w:bCs/>
              </w:rPr>
            </w:pPr>
            <w:r>
              <w:t>(1)*(2)</w:t>
            </w:r>
          </w:p>
        </w:tc>
      </w:tr>
    </w:tbl>
    <w:p w:rsidR="00B84211" w:rsidRDefault="00B84211" w:rsidP="007E6104">
      <w:pPr>
        <w:spacing w:after="0" w:line="480" w:lineRule="auto"/>
        <w:ind w:left="567" w:hanging="567"/>
        <w:jc w:val="both"/>
        <w:rPr>
          <w:rFonts w:ascii="Times New Roman" w:hAnsi="Times New Roman"/>
          <w:sz w:val="24"/>
          <w:szCs w:val="24"/>
          <w:lang w:val="es-ES"/>
        </w:rPr>
      </w:pPr>
    </w:p>
    <w:p w:rsidR="00B84211" w:rsidRPr="00860114" w:rsidRDefault="00591D6A" w:rsidP="00860114">
      <w:pPr>
        <w:pStyle w:val="TItuloAnexo"/>
        <w:numPr>
          <w:ilvl w:val="1"/>
          <w:numId w:val="1"/>
        </w:numPr>
        <w:spacing w:before="0" w:after="240" w:line="240" w:lineRule="auto"/>
        <w:ind w:left="562" w:hanging="562"/>
        <w:jc w:val="both"/>
        <w:rPr>
          <w:b w:val="0"/>
        </w:rPr>
      </w:pPr>
      <w:r w:rsidRPr="00860114">
        <w:rPr>
          <w:b w:val="0"/>
        </w:rPr>
        <w:t xml:space="preserve">En el caso del valor presente de los costos </w:t>
      </w:r>
      <w:r w:rsidR="00D3688C" w:rsidRPr="00860114">
        <w:rPr>
          <w:b w:val="0"/>
        </w:rPr>
        <w:t xml:space="preserve">de este </w:t>
      </w:r>
      <w:r w:rsidR="007E6104" w:rsidRPr="00860114">
        <w:rPr>
          <w:b w:val="0"/>
        </w:rPr>
        <w:t>s</w:t>
      </w:r>
      <w:r w:rsidR="00794002" w:rsidRPr="00860114">
        <w:rPr>
          <w:b w:val="0"/>
        </w:rPr>
        <w:t>ubc</w:t>
      </w:r>
      <w:r w:rsidR="00D3688C" w:rsidRPr="00860114">
        <w:rPr>
          <w:b w:val="0"/>
        </w:rPr>
        <w:t>omponente</w:t>
      </w:r>
      <w:r w:rsidRPr="00860114">
        <w:rPr>
          <w:b w:val="0"/>
        </w:rPr>
        <w:t xml:space="preserve">, se considera la misma fórmula, pero con un costo </w:t>
      </w:r>
      <w:r w:rsidR="00ED5D18" w:rsidRPr="00860114">
        <w:rPr>
          <w:b w:val="0"/>
        </w:rPr>
        <w:t>total</w:t>
      </w:r>
      <w:r w:rsidRPr="00860114">
        <w:rPr>
          <w:b w:val="0"/>
        </w:rPr>
        <w:t xml:space="preserve"> de US</w:t>
      </w:r>
      <w:r w:rsidR="008F7171">
        <w:rPr>
          <w:b w:val="0"/>
        </w:rPr>
        <w:t>$</w:t>
      </w:r>
      <w:r w:rsidR="00AA7D45" w:rsidRPr="00860114">
        <w:rPr>
          <w:b w:val="0"/>
        </w:rPr>
        <w:t>6.</w:t>
      </w:r>
      <w:r w:rsidR="008F7171">
        <w:rPr>
          <w:b w:val="0"/>
        </w:rPr>
        <w:t>5</w:t>
      </w:r>
      <w:r w:rsidR="00AA7D45" w:rsidRPr="00860114">
        <w:rPr>
          <w:b w:val="0"/>
        </w:rPr>
        <w:t>94.29</w:t>
      </w:r>
      <w:r w:rsidR="008F7171">
        <w:rPr>
          <w:b w:val="0"/>
        </w:rPr>
        <w:t>1</w:t>
      </w:r>
      <w:r w:rsidRPr="00860114">
        <w:rPr>
          <w:b w:val="0"/>
        </w:rPr>
        <w:t>.</w:t>
      </w:r>
    </w:p>
    <w:p w:rsidR="006F1D22" w:rsidRDefault="00214954" w:rsidP="00D433EF">
      <w:pPr>
        <w:numPr>
          <w:ilvl w:val="1"/>
          <w:numId w:val="8"/>
        </w:numPr>
        <w:spacing w:before="120" w:after="120" w:line="240" w:lineRule="auto"/>
        <w:ind w:left="562" w:hanging="562"/>
        <w:jc w:val="both"/>
        <w:outlineLvl w:val="1"/>
        <w:rPr>
          <w:rFonts w:ascii="Times New Roman" w:eastAsia="Times New Roman" w:hAnsi="Times New Roman"/>
          <w:sz w:val="24"/>
          <w:szCs w:val="24"/>
          <w:lang w:val="es-ES"/>
        </w:rPr>
      </w:pPr>
      <w:r w:rsidRPr="008F7171">
        <w:rPr>
          <w:rFonts w:ascii="Times New Roman" w:hAnsi="Times New Roman"/>
          <w:b/>
          <w:sz w:val="24"/>
          <w:szCs w:val="24"/>
          <w:lang w:val="es-ES_tradnl"/>
        </w:rPr>
        <w:t>Subcomponente 2-Beneficios esperados</w:t>
      </w:r>
      <w:r w:rsidRPr="008F7171">
        <w:rPr>
          <w:rFonts w:ascii="Times New Roman" w:eastAsia="Times New Roman" w:hAnsi="Times New Roman"/>
          <w:b/>
          <w:sz w:val="24"/>
          <w:szCs w:val="24"/>
          <w:lang w:val="es-ES"/>
        </w:rPr>
        <w:t>.</w:t>
      </w:r>
      <w:r w:rsidRPr="00214954">
        <w:rPr>
          <w:rFonts w:ascii="Times New Roman" w:eastAsia="Times New Roman" w:hAnsi="Times New Roman"/>
          <w:sz w:val="24"/>
          <w:szCs w:val="24"/>
          <w:lang w:val="es-ES"/>
        </w:rPr>
        <w:t xml:space="preserve"> </w:t>
      </w:r>
      <w:r w:rsidR="008F7171" w:rsidRPr="008F7171">
        <w:rPr>
          <w:rFonts w:ascii="Times New Roman" w:hAnsi="Times New Roman"/>
          <w:sz w:val="24"/>
          <w:szCs w:val="24"/>
          <w:lang w:val="es-ES"/>
        </w:rPr>
        <w:t xml:space="preserve">Los beneficios esperados asociados a las actividades del Subcomponente 2 se derivan principalmente de la reducción de revictimización a mujeres víctimas de VIF. En base a Felson et al (2005) que encontraron una baja del 13%. El indicador puntual es el de “Mujeres de 18 </w:t>
      </w:r>
      <w:r w:rsidR="008F7171" w:rsidRPr="008F7171">
        <w:rPr>
          <w:rFonts w:ascii="Times New Roman" w:hAnsi="Times New Roman"/>
          <w:sz w:val="24"/>
          <w:szCs w:val="24"/>
          <w:lang w:val="es-ES"/>
        </w:rPr>
        <w:lastRenderedPageBreak/>
        <w:t>años y más revictimizadas por VIF en los últimos 12 meses en Asunción y DC</w:t>
      </w:r>
      <w:r w:rsidR="008F7171" w:rsidRPr="008F7171">
        <w:rPr>
          <w:rFonts w:ascii="Times New Roman" w:hAnsi="Times New Roman"/>
          <w:sz w:val="24"/>
          <w:szCs w:val="24"/>
          <w:vertAlign w:val="superscript"/>
          <w:lang w:val="es-ES"/>
        </w:rPr>
        <w:footnoteReference w:id="10"/>
      </w:r>
      <w:r w:rsidR="008F7171" w:rsidRPr="008F7171">
        <w:rPr>
          <w:rFonts w:ascii="Times New Roman" w:hAnsi="Times New Roman"/>
          <w:sz w:val="24"/>
          <w:szCs w:val="24"/>
          <w:lang w:val="es-ES"/>
        </w:rPr>
        <w:t>”</w:t>
      </w:r>
      <w:r w:rsidR="006F1D22">
        <w:rPr>
          <w:rFonts w:ascii="Times New Roman" w:eastAsia="Times New Roman" w:hAnsi="Times New Roman"/>
          <w:sz w:val="24"/>
          <w:szCs w:val="24"/>
          <w:lang w:val="es-ES"/>
        </w:rPr>
        <w:t>.</w:t>
      </w:r>
    </w:p>
    <w:p w:rsidR="006F1D22" w:rsidRDefault="00214954" w:rsidP="00D433EF">
      <w:pPr>
        <w:numPr>
          <w:ilvl w:val="1"/>
          <w:numId w:val="8"/>
        </w:numPr>
        <w:spacing w:before="120" w:after="120" w:line="240" w:lineRule="auto"/>
        <w:ind w:left="562" w:hanging="562"/>
        <w:jc w:val="both"/>
        <w:outlineLvl w:val="1"/>
        <w:rPr>
          <w:rFonts w:ascii="Times New Roman" w:eastAsia="Times New Roman" w:hAnsi="Times New Roman"/>
          <w:sz w:val="24"/>
          <w:szCs w:val="24"/>
          <w:lang w:val="es-ES"/>
        </w:rPr>
      </w:pPr>
      <w:r w:rsidRPr="00591D6A">
        <w:rPr>
          <w:rFonts w:ascii="Times New Roman" w:hAnsi="Times New Roman"/>
          <w:b/>
          <w:sz w:val="24"/>
          <w:szCs w:val="24"/>
          <w:lang w:val="es-ES"/>
        </w:rPr>
        <w:t>Supuestos</w:t>
      </w:r>
      <w:r>
        <w:rPr>
          <w:rFonts w:ascii="Times New Roman" w:hAnsi="Times New Roman"/>
          <w:b/>
          <w:sz w:val="24"/>
          <w:szCs w:val="24"/>
          <w:lang w:val="es-ES"/>
        </w:rPr>
        <w:t>.</w:t>
      </w:r>
      <w:r w:rsidRPr="00591D6A">
        <w:rPr>
          <w:rFonts w:ascii="Times New Roman" w:eastAsia="Times New Roman" w:hAnsi="Times New Roman"/>
          <w:sz w:val="24"/>
          <w:szCs w:val="24"/>
          <w:lang w:val="es-ES"/>
        </w:rPr>
        <w:t xml:space="preserve"> </w:t>
      </w:r>
      <w:r w:rsidR="006F1D22" w:rsidRPr="00591D6A">
        <w:rPr>
          <w:rFonts w:ascii="Times New Roman" w:eastAsia="Times New Roman" w:hAnsi="Times New Roman"/>
          <w:sz w:val="24"/>
          <w:szCs w:val="24"/>
          <w:lang w:val="es-ES"/>
        </w:rPr>
        <w:t>En el caso de</w:t>
      </w:r>
      <w:r w:rsidR="006F1D22">
        <w:rPr>
          <w:rFonts w:ascii="Times New Roman" w:eastAsia="Times New Roman" w:hAnsi="Times New Roman"/>
          <w:sz w:val="24"/>
          <w:szCs w:val="24"/>
          <w:lang w:val="es-ES"/>
        </w:rPr>
        <w:t xml:space="preserve">l </w:t>
      </w:r>
      <w:r w:rsidR="004A3FA5">
        <w:rPr>
          <w:rFonts w:ascii="Times New Roman" w:eastAsia="Times New Roman" w:hAnsi="Times New Roman"/>
          <w:sz w:val="24"/>
          <w:szCs w:val="24"/>
          <w:lang w:val="es-ES"/>
        </w:rPr>
        <w:t>Subcomponente 2</w:t>
      </w:r>
      <w:r w:rsidR="006F1D22">
        <w:rPr>
          <w:rFonts w:ascii="Times New Roman" w:eastAsia="Times New Roman" w:hAnsi="Times New Roman"/>
          <w:sz w:val="24"/>
          <w:szCs w:val="24"/>
          <w:lang w:val="es-ES"/>
        </w:rPr>
        <w:t>, se realizarán los siguientes supuestos a fin de estimar la razón costo-beneficio</w:t>
      </w:r>
      <w:r w:rsidR="006F1D22" w:rsidRPr="00591D6A">
        <w:rPr>
          <w:rFonts w:ascii="Times New Roman" w:eastAsia="Times New Roman" w:hAnsi="Times New Roman"/>
          <w:sz w:val="24"/>
          <w:szCs w:val="24"/>
          <w:lang w:val="es-ES"/>
        </w:rPr>
        <w:t>:</w:t>
      </w:r>
    </w:p>
    <w:p w:rsidR="006F1D22" w:rsidRDefault="006F1D22" w:rsidP="00860114">
      <w:pPr>
        <w:pStyle w:val="Vieta"/>
        <w:spacing w:before="120" w:after="120" w:line="240" w:lineRule="auto"/>
        <w:ind w:left="994" w:hanging="432"/>
      </w:pPr>
      <w:r w:rsidRPr="00591D6A">
        <w:t>La tasa de descuento se mantiene en el 12% anual.</w:t>
      </w:r>
    </w:p>
    <w:p w:rsidR="006F1D22" w:rsidRDefault="008F7171" w:rsidP="00860114">
      <w:pPr>
        <w:pStyle w:val="Vieta"/>
        <w:spacing w:before="120" w:after="120" w:line="240" w:lineRule="auto"/>
        <w:ind w:left="994" w:hanging="432"/>
      </w:pPr>
      <w:r>
        <w:t>El universo afectado por el Subcomponente será el vinculado a violaciones, a las cuales se aplicará la reducción de la revictimización del 13% en base a los autores previamente citados</w:t>
      </w:r>
      <w:r w:rsidR="006F1D22">
        <w:t xml:space="preserve">. </w:t>
      </w:r>
    </w:p>
    <w:p w:rsidR="006F1D22" w:rsidRPr="008F7171" w:rsidRDefault="008F7171" w:rsidP="00860114">
      <w:pPr>
        <w:pStyle w:val="Vieta"/>
        <w:spacing w:before="120" w:after="120" w:line="240" w:lineRule="auto"/>
        <w:ind w:left="994" w:hanging="432"/>
        <w:rPr>
          <w:szCs w:val="24"/>
        </w:rPr>
      </w:pPr>
      <w:r w:rsidRPr="008F7171">
        <w:rPr>
          <w:rFonts w:eastAsia="Calibri"/>
          <w:kern w:val="0"/>
          <w:szCs w:val="24"/>
          <w:lang w:val="es-ES_tradnl"/>
        </w:rPr>
        <w:t xml:space="preserve">En base Aboal, </w:t>
      </w:r>
      <w:r w:rsidRPr="008F7171">
        <w:rPr>
          <w:rFonts w:eastAsia="Calibri"/>
          <w:kern w:val="0"/>
          <w:szCs w:val="24"/>
          <w:lang w:val="es-AR"/>
        </w:rPr>
        <w:t>Lanzilotta, y Vazquez</w:t>
      </w:r>
      <w:r w:rsidRPr="008F7171">
        <w:rPr>
          <w:rFonts w:eastAsia="Calibri"/>
          <w:kern w:val="0"/>
          <w:szCs w:val="24"/>
          <w:lang w:val="es-ES_tradnl"/>
        </w:rPr>
        <w:t xml:space="preserve"> (2013), el costo asociado a violaciones</w:t>
      </w:r>
      <w:r w:rsidRPr="008F7171">
        <w:rPr>
          <w:rFonts w:eastAsia="Calibri"/>
          <w:kern w:val="0"/>
          <w:szCs w:val="24"/>
          <w:vertAlign w:val="superscript"/>
          <w:lang w:val="en-US"/>
        </w:rPr>
        <w:footnoteReference w:id="11"/>
      </w:r>
      <w:r w:rsidRPr="008F7171">
        <w:rPr>
          <w:rFonts w:eastAsia="Calibri"/>
          <w:kern w:val="0"/>
          <w:szCs w:val="24"/>
          <w:lang w:val="es-ES_tradnl"/>
        </w:rPr>
        <w:t xml:space="preserve"> ajustado para Paraguay es  de 4.470 dólares por caso para el año 2012</w:t>
      </w:r>
      <w:r w:rsidR="006F1D22" w:rsidRPr="008F7171">
        <w:rPr>
          <w:szCs w:val="24"/>
        </w:rPr>
        <w:t>.</w:t>
      </w:r>
    </w:p>
    <w:p w:rsidR="006F1D22" w:rsidRDefault="008F7171" w:rsidP="00860114">
      <w:pPr>
        <w:pStyle w:val="Vieta"/>
        <w:spacing w:before="120" w:after="120" w:line="240" w:lineRule="auto"/>
        <w:ind w:left="994" w:hanging="432"/>
      </w:pPr>
      <w:r>
        <w:t>Sólo se computarán beneficios a partir del tercer año de ejecución</w:t>
      </w:r>
      <w:r w:rsidR="00204E18">
        <w:t xml:space="preserve">. </w:t>
      </w:r>
    </w:p>
    <w:p w:rsidR="006F1D22" w:rsidRDefault="006F1D22" w:rsidP="00D433EF">
      <w:pPr>
        <w:numPr>
          <w:ilvl w:val="1"/>
          <w:numId w:val="8"/>
        </w:numPr>
        <w:spacing w:after="0" w:line="480" w:lineRule="auto"/>
        <w:jc w:val="both"/>
        <w:outlineLvl w:val="1"/>
        <w:rPr>
          <w:rFonts w:ascii="Times New Roman" w:eastAsia="Times New Roman" w:hAnsi="Times New Roman"/>
          <w:sz w:val="24"/>
          <w:szCs w:val="24"/>
          <w:lang w:val="es-ES"/>
        </w:rPr>
      </w:pPr>
      <w:r w:rsidRPr="00591D6A">
        <w:rPr>
          <w:rFonts w:ascii="Times New Roman" w:eastAsia="Times New Roman" w:hAnsi="Times New Roman"/>
          <w:sz w:val="24"/>
          <w:szCs w:val="24"/>
          <w:lang w:val="es-ES"/>
        </w:rPr>
        <w:t>Para el cálculo de los costos se utilizan los siguientes supuestos:</w:t>
      </w:r>
    </w:p>
    <w:p w:rsidR="006F1D22" w:rsidRDefault="008F7171" w:rsidP="00860114">
      <w:pPr>
        <w:pStyle w:val="Vieta"/>
        <w:spacing w:before="120" w:after="120" w:line="240" w:lineRule="auto"/>
        <w:ind w:left="994" w:hanging="432"/>
      </w:pPr>
      <w:r w:rsidRPr="000B0DD0">
        <w:t>Se asume que los costos de este Subcomponente (775.405 dólares según datos del programa), se ejecutan según la siguiente distribución: 18,2% el primer año, 28,7% durante el segundo y el tercero, y el 24,4% restante en el cuarto</w:t>
      </w:r>
      <w:r w:rsidR="006F1D22" w:rsidRPr="00591D6A">
        <w:t>.</w:t>
      </w:r>
    </w:p>
    <w:p w:rsidR="006F1D22" w:rsidRDefault="006F1D22" w:rsidP="00214954">
      <w:pPr>
        <w:pStyle w:val="Vieta"/>
        <w:spacing w:before="120" w:after="240" w:line="240" w:lineRule="auto"/>
        <w:ind w:left="994" w:hanging="432"/>
      </w:pPr>
      <w:r>
        <w:t>El horizonte para el cálculo de beneficios es de 20 años</w:t>
      </w:r>
      <w:r w:rsidRPr="00591D6A">
        <w:t>.</w:t>
      </w:r>
    </w:p>
    <w:p w:rsidR="006F1D22" w:rsidRPr="00860114" w:rsidRDefault="00214954" w:rsidP="00D433EF">
      <w:pPr>
        <w:pStyle w:val="TItuloAnexo"/>
        <w:numPr>
          <w:ilvl w:val="1"/>
          <w:numId w:val="8"/>
        </w:numPr>
        <w:spacing w:before="120" w:after="120" w:line="240" w:lineRule="auto"/>
        <w:ind w:left="562" w:hanging="562"/>
        <w:jc w:val="both"/>
      </w:pPr>
      <w:r w:rsidRPr="00591D6A">
        <w:t>Cálculos</w:t>
      </w:r>
      <w:r>
        <w:t>.</w:t>
      </w:r>
      <w:r>
        <w:rPr>
          <w:b w:val="0"/>
        </w:rPr>
        <w:t xml:space="preserve"> </w:t>
      </w:r>
      <w:r w:rsidR="006F1D22">
        <w:rPr>
          <w:b w:val="0"/>
        </w:rPr>
        <w:t>L</w:t>
      </w:r>
      <w:r w:rsidR="006F1D22" w:rsidRPr="007E6104">
        <w:rPr>
          <w:b w:val="0"/>
        </w:rPr>
        <w:t xml:space="preserve">os cálculos de los beneficios anuales para el </w:t>
      </w:r>
      <w:r w:rsidR="006F1D22">
        <w:rPr>
          <w:b w:val="0"/>
        </w:rPr>
        <w:t>Componente de Prevención</w:t>
      </w:r>
      <w:r w:rsidR="006F1D22" w:rsidRPr="007E6104">
        <w:rPr>
          <w:b w:val="0"/>
        </w:rPr>
        <w:t xml:space="preserve"> se detallan en la siguiente tabla, en base a los supuestos realizados previamente: </w:t>
      </w:r>
    </w:p>
    <w:p w:rsidR="00860114" w:rsidRPr="007E6104" w:rsidRDefault="00860114" w:rsidP="00860114">
      <w:pPr>
        <w:pStyle w:val="TItuloAnexo"/>
        <w:numPr>
          <w:ilvl w:val="0"/>
          <w:numId w:val="0"/>
        </w:numPr>
        <w:spacing w:before="120" w:after="120" w:line="240" w:lineRule="auto"/>
        <w:ind w:left="562"/>
        <w:jc w:val="both"/>
      </w:pPr>
    </w:p>
    <w:tbl>
      <w:tblPr>
        <w:tblW w:w="8517" w:type="dxa"/>
        <w:jc w:val="right"/>
        <w:tblLayout w:type="fixed"/>
        <w:tblLook w:val="04A0" w:firstRow="1" w:lastRow="0" w:firstColumn="1" w:lastColumn="0" w:noHBand="0" w:noVBand="1"/>
      </w:tblPr>
      <w:tblGrid>
        <w:gridCol w:w="136"/>
        <w:gridCol w:w="376"/>
        <w:gridCol w:w="3970"/>
        <w:gridCol w:w="1520"/>
        <w:gridCol w:w="2379"/>
        <w:gridCol w:w="136"/>
      </w:tblGrid>
      <w:tr w:rsidR="006F1D22" w:rsidRPr="000532C5" w:rsidTr="008F7171">
        <w:trPr>
          <w:gridBefore w:val="1"/>
          <w:wBefore w:w="136" w:type="dxa"/>
          <w:trHeight w:val="280"/>
          <w:jc w:val="right"/>
        </w:trPr>
        <w:tc>
          <w:tcPr>
            <w:tcW w:w="8381" w:type="dxa"/>
            <w:gridSpan w:val="5"/>
            <w:tcBorders>
              <w:top w:val="nil"/>
              <w:left w:val="nil"/>
              <w:bottom w:val="single" w:sz="4" w:space="0" w:color="auto"/>
              <w:right w:val="nil"/>
            </w:tcBorders>
            <w:shd w:val="clear" w:color="auto" w:fill="auto"/>
            <w:noWrap/>
            <w:vAlign w:val="center"/>
            <w:hideMark/>
          </w:tcPr>
          <w:p w:rsidR="006F1D22" w:rsidRDefault="006F1D22" w:rsidP="000532C5">
            <w:pPr>
              <w:pStyle w:val="TituloTabla"/>
            </w:pPr>
            <w:r w:rsidRPr="00591D6A">
              <w:t xml:space="preserve">Tabla </w:t>
            </w:r>
            <w:r w:rsidR="00BA52C9">
              <w:t>3</w:t>
            </w:r>
            <w:r w:rsidRPr="00591D6A">
              <w:t xml:space="preserve">. </w:t>
            </w:r>
            <w:r w:rsidRPr="00031E1C">
              <w:t>Cálculo del valor monetario en US</w:t>
            </w:r>
            <w:r w:rsidR="000532C5">
              <w:t>$</w:t>
            </w:r>
            <w:r w:rsidRPr="00031E1C">
              <w:t xml:space="preserve"> de los beneficios derivados del </w:t>
            </w:r>
            <w:r w:rsidR="00BE7BEE">
              <w:t xml:space="preserve">Subcomponente 2- </w:t>
            </w:r>
            <w:r w:rsidR="008F7171" w:rsidRPr="000B0DD0">
              <w:t>Servicios de Atención  de VIF contra las mujeres, Anuales para el año 2018</w:t>
            </w:r>
          </w:p>
        </w:tc>
      </w:tr>
      <w:tr w:rsidR="008F7171" w:rsidRPr="00591D6A" w:rsidTr="008F7171">
        <w:trPr>
          <w:gridAfter w:val="1"/>
          <w:wAfter w:w="136" w:type="dxa"/>
          <w:trHeight w:val="280"/>
          <w:jc w:val="right"/>
        </w:trPr>
        <w:tc>
          <w:tcPr>
            <w:tcW w:w="512" w:type="dxa"/>
            <w:gridSpan w:val="2"/>
            <w:tcBorders>
              <w:top w:val="nil"/>
              <w:left w:val="nil"/>
              <w:bottom w:val="nil"/>
              <w:right w:val="nil"/>
            </w:tcBorders>
            <w:shd w:val="clear" w:color="auto" w:fill="auto"/>
            <w:noWrap/>
            <w:vAlign w:val="center"/>
            <w:hideMark/>
          </w:tcPr>
          <w:p w:rsidR="008F7171" w:rsidRDefault="008F7171" w:rsidP="009C2719">
            <w:pPr>
              <w:spacing w:after="0" w:line="240" w:lineRule="auto"/>
              <w:ind w:left="567" w:hanging="567"/>
              <w:rPr>
                <w:rFonts w:ascii="Times New Roman" w:eastAsia="Times New Roman" w:hAnsi="Times New Roman"/>
                <w:color w:val="000000"/>
                <w:lang w:val="es-ES"/>
              </w:rPr>
            </w:pPr>
            <w:r w:rsidRPr="00591D6A">
              <w:rPr>
                <w:rFonts w:ascii="Times New Roman" w:eastAsia="Times New Roman" w:hAnsi="Times New Roman"/>
                <w:color w:val="000000"/>
                <w:lang w:val="es-ES"/>
              </w:rPr>
              <w:t>1</w:t>
            </w:r>
          </w:p>
        </w:tc>
        <w:tc>
          <w:tcPr>
            <w:tcW w:w="3970" w:type="dxa"/>
            <w:tcBorders>
              <w:top w:val="nil"/>
              <w:left w:val="nil"/>
              <w:bottom w:val="nil"/>
              <w:right w:val="single" w:sz="4" w:space="0" w:color="auto"/>
            </w:tcBorders>
            <w:shd w:val="clear" w:color="auto" w:fill="auto"/>
            <w:noWrap/>
            <w:vAlign w:val="center"/>
            <w:hideMark/>
          </w:tcPr>
          <w:p w:rsidR="008F7171" w:rsidRPr="00A1566C" w:rsidRDefault="008F7171" w:rsidP="000532C5">
            <w:pPr>
              <w:pStyle w:val="Entabla"/>
              <w:rPr>
                <w:b/>
                <w:bCs/>
                <w:lang w:val="pt-BR"/>
              </w:rPr>
            </w:pPr>
            <w:r w:rsidRPr="00A1566C">
              <w:rPr>
                <w:lang w:val="pt-BR"/>
              </w:rPr>
              <w:t xml:space="preserve">Costo </w:t>
            </w:r>
            <w:r>
              <w:rPr>
                <w:lang w:val="pt-BR"/>
              </w:rPr>
              <w:t>por Violación  US</w:t>
            </w:r>
            <w:r w:rsidR="000532C5">
              <w:rPr>
                <w:lang w:val="pt-BR"/>
              </w:rPr>
              <w:t>$</w:t>
            </w:r>
          </w:p>
        </w:tc>
        <w:tc>
          <w:tcPr>
            <w:tcW w:w="1520" w:type="dxa"/>
            <w:tcBorders>
              <w:top w:val="nil"/>
              <w:left w:val="nil"/>
              <w:bottom w:val="nil"/>
              <w:right w:val="single" w:sz="4" w:space="0" w:color="auto"/>
            </w:tcBorders>
            <w:shd w:val="clear" w:color="auto" w:fill="auto"/>
            <w:noWrap/>
            <w:vAlign w:val="center"/>
            <w:hideMark/>
          </w:tcPr>
          <w:p w:rsidR="008F7171" w:rsidRDefault="008F7171" w:rsidP="009C2719">
            <w:pPr>
              <w:pStyle w:val="Entabla"/>
              <w:jc w:val="right"/>
            </w:pPr>
            <w:r>
              <w:t>4.470</w:t>
            </w:r>
          </w:p>
        </w:tc>
        <w:tc>
          <w:tcPr>
            <w:tcW w:w="2379" w:type="dxa"/>
            <w:tcBorders>
              <w:top w:val="nil"/>
              <w:left w:val="nil"/>
              <w:bottom w:val="nil"/>
              <w:right w:val="nil"/>
            </w:tcBorders>
            <w:shd w:val="clear" w:color="auto" w:fill="auto"/>
            <w:noWrap/>
            <w:vAlign w:val="center"/>
            <w:hideMark/>
          </w:tcPr>
          <w:p w:rsidR="008F7171" w:rsidRDefault="008F7171" w:rsidP="009C2719">
            <w:pPr>
              <w:pStyle w:val="Entabla"/>
            </w:pPr>
            <w:r>
              <w:rPr>
                <w:kern w:val="28"/>
              </w:rPr>
              <w:t xml:space="preserve">Aboal, </w:t>
            </w:r>
            <w:r w:rsidRPr="00B517AE">
              <w:rPr>
                <w:lang w:val="es-AR"/>
              </w:rPr>
              <w:t xml:space="preserve">Lanzilotta, </w:t>
            </w:r>
            <w:r>
              <w:rPr>
                <w:lang w:val="es-AR"/>
              </w:rPr>
              <w:t>y</w:t>
            </w:r>
            <w:r w:rsidRPr="00B517AE">
              <w:rPr>
                <w:lang w:val="es-AR"/>
              </w:rPr>
              <w:t xml:space="preserve"> Vazquez</w:t>
            </w:r>
            <w:r>
              <w:t xml:space="preserve"> (2013)</w:t>
            </w:r>
          </w:p>
        </w:tc>
      </w:tr>
      <w:tr w:rsidR="008F7171" w:rsidRPr="00591D6A" w:rsidTr="008F7171">
        <w:trPr>
          <w:gridAfter w:val="1"/>
          <w:wAfter w:w="136" w:type="dxa"/>
          <w:trHeight w:val="335"/>
          <w:jc w:val="right"/>
        </w:trPr>
        <w:tc>
          <w:tcPr>
            <w:tcW w:w="512" w:type="dxa"/>
            <w:gridSpan w:val="2"/>
            <w:tcBorders>
              <w:top w:val="nil"/>
              <w:left w:val="nil"/>
              <w:bottom w:val="nil"/>
              <w:right w:val="nil"/>
            </w:tcBorders>
            <w:shd w:val="clear" w:color="auto" w:fill="auto"/>
            <w:noWrap/>
            <w:vAlign w:val="center"/>
            <w:hideMark/>
          </w:tcPr>
          <w:p w:rsidR="008F7171" w:rsidRDefault="008F7171" w:rsidP="009C2719">
            <w:pPr>
              <w:spacing w:after="0" w:line="240" w:lineRule="auto"/>
              <w:ind w:left="567" w:hanging="567"/>
              <w:rPr>
                <w:rFonts w:ascii="Times New Roman" w:eastAsia="Times New Roman" w:hAnsi="Times New Roman"/>
                <w:color w:val="000000"/>
                <w:lang w:val="es-ES"/>
              </w:rPr>
            </w:pPr>
            <w:r>
              <w:rPr>
                <w:rFonts w:ascii="Times New Roman" w:eastAsia="Times New Roman" w:hAnsi="Times New Roman"/>
                <w:color w:val="000000"/>
                <w:lang w:val="es-ES"/>
              </w:rPr>
              <w:t>2</w:t>
            </w:r>
          </w:p>
        </w:tc>
        <w:tc>
          <w:tcPr>
            <w:tcW w:w="3970" w:type="dxa"/>
            <w:tcBorders>
              <w:top w:val="nil"/>
              <w:left w:val="nil"/>
              <w:bottom w:val="nil"/>
              <w:right w:val="single" w:sz="4" w:space="0" w:color="auto"/>
            </w:tcBorders>
            <w:shd w:val="clear" w:color="auto" w:fill="auto"/>
            <w:noWrap/>
            <w:vAlign w:val="center"/>
            <w:hideMark/>
          </w:tcPr>
          <w:p w:rsidR="008F7171" w:rsidRDefault="008F7171" w:rsidP="009C2719">
            <w:pPr>
              <w:pStyle w:val="Entabla"/>
              <w:rPr>
                <w:b/>
                <w:bCs/>
              </w:rPr>
            </w:pPr>
            <w:r>
              <w:t>Reducción en la revictimización</w:t>
            </w:r>
          </w:p>
        </w:tc>
        <w:tc>
          <w:tcPr>
            <w:tcW w:w="1520" w:type="dxa"/>
            <w:tcBorders>
              <w:top w:val="nil"/>
              <w:left w:val="nil"/>
              <w:bottom w:val="nil"/>
              <w:right w:val="single" w:sz="4" w:space="0" w:color="auto"/>
            </w:tcBorders>
            <w:shd w:val="clear" w:color="auto" w:fill="auto"/>
            <w:noWrap/>
            <w:vAlign w:val="center"/>
            <w:hideMark/>
          </w:tcPr>
          <w:p w:rsidR="008F7171" w:rsidRDefault="008F7171" w:rsidP="009C2719">
            <w:pPr>
              <w:pStyle w:val="Entabla"/>
              <w:jc w:val="right"/>
              <w:rPr>
                <w:b/>
                <w:bCs/>
              </w:rPr>
            </w:pPr>
            <w:r>
              <w:t>13%</w:t>
            </w:r>
          </w:p>
        </w:tc>
        <w:tc>
          <w:tcPr>
            <w:tcW w:w="2379" w:type="dxa"/>
            <w:tcBorders>
              <w:top w:val="nil"/>
              <w:left w:val="nil"/>
              <w:bottom w:val="nil"/>
              <w:right w:val="nil"/>
            </w:tcBorders>
            <w:shd w:val="clear" w:color="auto" w:fill="auto"/>
            <w:noWrap/>
            <w:vAlign w:val="center"/>
            <w:hideMark/>
          </w:tcPr>
          <w:p w:rsidR="008F7171" w:rsidRDefault="008F7171" w:rsidP="009C2719">
            <w:pPr>
              <w:pStyle w:val="Entabla"/>
              <w:rPr>
                <w:b/>
                <w:bCs/>
              </w:rPr>
            </w:pPr>
            <w:r>
              <w:t>Felson (2005)</w:t>
            </w:r>
          </w:p>
        </w:tc>
      </w:tr>
      <w:tr w:rsidR="008F7171" w:rsidRPr="00591D6A" w:rsidTr="008F7171">
        <w:trPr>
          <w:gridAfter w:val="1"/>
          <w:wAfter w:w="136" w:type="dxa"/>
          <w:trHeight w:val="335"/>
          <w:jc w:val="right"/>
        </w:trPr>
        <w:tc>
          <w:tcPr>
            <w:tcW w:w="512" w:type="dxa"/>
            <w:gridSpan w:val="2"/>
            <w:tcBorders>
              <w:top w:val="nil"/>
              <w:left w:val="nil"/>
              <w:bottom w:val="nil"/>
              <w:right w:val="nil"/>
            </w:tcBorders>
            <w:shd w:val="clear" w:color="auto" w:fill="auto"/>
            <w:noWrap/>
            <w:vAlign w:val="center"/>
          </w:tcPr>
          <w:p w:rsidR="008F7171" w:rsidRPr="00591D6A" w:rsidRDefault="008F7171" w:rsidP="009C2719">
            <w:pPr>
              <w:spacing w:after="0" w:line="240" w:lineRule="auto"/>
              <w:ind w:left="567" w:hanging="567"/>
              <w:rPr>
                <w:rFonts w:ascii="Times New Roman" w:eastAsia="Times New Roman" w:hAnsi="Times New Roman"/>
                <w:color w:val="000000"/>
                <w:lang w:val="es-ES"/>
              </w:rPr>
            </w:pPr>
            <w:r>
              <w:rPr>
                <w:rFonts w:ascii="Times New Roman" w:eastAsia="Times New Roman" w:hAnsi="Times New Roman"/>
                <w:color w:val="000000"/>
                <w:lang w:val="es-ES"/>
              </w:rPr>
              <w:t>3</w:t>
            </w:r>
          </w:p>
        </w:tc>
        <w:tc>
          <w:tcPr>
            <w:tcW w:w="3970" w:type="dxa"/>
            <w:tcBorders>
              <w:top w:val="nil"/>
              <w:left w:val="nil"/>
              <w:bottom w:val="nil"/>
              <w:right w:val="single" w:sz="4" w:space="0" w:color="auto"/>
            </w:tcBorders>
            <w:shd w:val="clear" w:color="auto" w:fill="auto"/>
            <w:noWrap/>
            <w:vAlign w:val="center"/>
          </w:tcPr>
          <w:p w:rsidR="008F7171" w:rsidRDefault="008F7171" w:rsidP="009C2719">
            <w:pPr>
              <w:pStyle w:val="Entabla"/>
            </w:pPr>
            <w:r>
              <w:t>Victimas tratadas totales</w:t>
            </w:r>
          </w:p>
        </w:tc>
        <w:tc>
          <w:tcPr>
            <w:tcW w:w="1520" w:type="dxa"/>
            <w:tcBorders>
              <w:top w:val="nil"/>
              <w:left w:val="nil"/>
              <w:bottom w:val="nil"/>
              <w:right w:val="single" w:sz="4" w:space="0" w:color="auto"/>
            </w:tcBorders>
            <w:shd w:val="clear" w:color="auto" w:fill="auto"/>
            <w:noWrap/>
            <w:vAlign w:val="center"/>
          </w:tcPr>
          <w:p w:rsidR="008F7171" w:rsidRDefault="008F7171" w:rsidP="009C2719">
            <w:pPr>
              <w:pStyle w:val="Entabla"/>
              <w:jc w:val="right"/>
            </w:pPr>
            <w:r>
              <w:t>270</w:t>
            </w:r>
          </w:p>
        </w:tc>
        <w:tc>
          <w:tcPr>
            <w:tcW w:w="2379" w:type="dxa"/>
            <w:tcBorders>
              <w:top w:val="nil"/>
              <w:left w:val="nil"/>
              <w:bottom w:val="nil"/>
              <w:right w:val="nil"/>
            </w:tcBorders>
            <w:shd w:val="clear" w:color="auto" w:fill="auto"/>
            <w:noWrap/>
            <w:vAlign w:val="center"/>
          </w:tcPr>
          <w:p w:rsidR="008F7171" w:rsidRDefault="008F7171" w:rsidP="009C2719">
            <w:pPr>
              <w:pStyle w:val="Entabla"/>
            </w:pPr>
            <w:r>
              <w:t>Previsión del Programa</w:t>
            </w:r>
          </w:p>
        </w:tc>
      </w:tr>
      <w:tr w:rsidR="008F7171" w:rsidRPr="00591D6A" w:rsidTr="008F7171">
        <w:trPr>
          <w:gridAfter w:val="1"/>
          <w:wAfter w:w="136" w:type="dxa"/>
          <w:trHeight w:val="280"/>
          <w:jc w:val="right"/>
        </w:trPr>
        <w:tc>
          <w:tcPr>
            <w:tcW w:w="512" w:type="dxa"/>
            <w:gridSpan w:val="2"/>
            <w:tcBorders>
              <w:top w:val="nil"/>
              <w:left w:val="nil"/>
              <w:bottom w:val="nil"/>
              <w:right w:val="nil"/>
            </w:tcBorders>
            <w:shd w:val="clear" w:color="auto" w:fill="auto"/>
            <w:noWrap/>
            <w:vAlign w:val="center"/>
            <w:hideMark/>
          </w:tcPr>
          <w:p w:rsidR="008F7171" w:rsidRDefault="008F7171" w:rsidP="009C2719">
            <w:pPr>
              <w:spacing w:after="0" w:line="240" w:lineRule="auto"/>
              <w:ind w:left="567" w:hanging="567"/>
              <w:rPr>
                <w:rFonts w:ascii="Times New Roman" w:eastAsia="Times New Roman" w:hAnsi="Times New Roman"/>
                <w:color w:val="000000"/>
                <w:lang w:val="es-ES"/>
              </w:rPr>
            </w:pPr>
            <w:r>
              <w:rPr>
                <w:rFonts w:ascii="Times New Roman" w:eastAsia="Times New Roman" w:hAnsi="Times New Roman"/>
                <w:color w:val="000000"/>
                <w:lang w:val="es-ES"/>
              </w:rPr>
              <w:t>4</w:t>
            </w:r>
          </w:p>
        </w:tc>
        <w:tc>
          <w:tcPr>
            <w:tcW w:w="3970" w:type="dxa"/>
            <w:tcBorders>
              <w:top w:val="nil"/>
              <w:left w:val="nil"/>
              <w:bottom w:val="nil"/>
              <w:right w:val="single" w:sz="4" w:space="0" w:color="auto"/>
            </w:tcBorders>
            <w:shd w:val="clear" w:color="auto" w:fill="auto"/>
            <w:noWrap/>
            <w:vAlign w:val="center"/>
            <w:hideMark/>
          </w:tcPr>
          <w:p w:rsidR="008F7171" w:rsidRDefault="008F7171" w:rsidP="000532C5">
            <w:pPr>
              <w:pStyle w:val="Entabla"/>
              <w:rPr>
                <w:b/>
                <w:bCs/>
              </w:rPr>
            </w:pPr>
            <w:r w:rsidRPr="00591D6A">
              <w:t>Beneficios anuales</w:t>
            </w:r>
            <w:r>
              <w:t xml:space="preserve"> US</w:t>
            </w:r>
            <w:r w:rsidR="000532C5">
              <w:t>$</w:t>
            </w:r>
          </w:p>
        </w:tc>
        <w:tc>
          <w:tcPr>
            <w:tcW w:w="1520" w:type="dxa"/>
            <w:tcBorders>
              <w:top w:val="nil"/>
              <w:left w:val="nil"/>
              <w:bottom w:val="nil"/>
              <w:right w:val="single" w:sz="4" w:space="0" w:color="auto"/>
            </w:tcBorders>
            <w:shd w:val="clear" w:color="auto" w:fill="auto"/>
            <w:noWrap/>
            <w:vAlign w:val="center"/>
            <w:hideMark/>
          </w:tcPr>
          <w:p w:rsidR="008F7171" w:rsidRDefault="008F7171" w:rsidP="009C2719">
            <w:pPr>
              <w:pStyle w:val="Entabla"/>
              <w:jc w:val="right"/>
              <w:rPr>
                <w:b/>
                <w:bCs/>
              </w:rPr>
            </w:pPr>
            <w:r w:rsidRPr="0085217D">
              <w:t>104</w:t>
            </w:r>
            <w:r>
              <w:t>.</w:t>
            </w:r>
            <w:r w:rsidRPr="0085217D">
              <w:t>598</w:t>
            </w:r>
          </w:p>
        </w:tc>
        <w:tc>
          <w:tcPr>
            <w:tcW w:w="2379" w:type="dxa"/>
            <w:tcBorders>
              <w:top w:val="nil"/>
              <w:left w:val="nil"/>
              <w:bottom w:val="nil"/>
              <w:right w:val="nil"/>
            </w:tcBorders>
            <w:shd w:val="clear" w:color="auto" w:fill="auto"/>
            <w:noWrap/>
            <w:vAlign w:val="center"/>
            <w:hideMark/>
          </w:tcPr>
          <w:p w:rsidR="008F7171" w:rsidRDefault="008F7171" w:rsidP="009C2719">
            <w:pPr>
              <w:pStyle w:val="Entabla"/>
              <w:rPr>
                <w:b/>
                <w:bCs/>
              </w:rPr>
            </w:pPr>
            <w:r>
              <w:t>(1)*(2)*(3)</w:t>
            </w:r>
          </w:p>
        </w:tc>
      </w:tr>
    </w:tbl>
    <w:p w:rsidR="006F1D22" w:rsidRDefault="006F1D22" w:rsidP="006F1D22">
      <w:pPr>
        <w:spacing w:after="0" w:line="480" w:lineRule="auto"/>
        <w:ind w:left="567" w:hanging="567"/>
        <w:jc w:val="both"/>
        <w:rPr>
          <w:rFonts w:ascii="Times New Roman" w:hAnsi="Times New Roman"/>
          <w:sz w:val="24"/>
          <w:szCs w:val="24"/>
          <w:lang w:val="es-ES"/>
        </w:rPr>
      </w:pPr>
    </w:p>
    <w:p w:rsidR="006F1D22" w:rsidRPr="008F7171" w:rsidRDefault="006F1D22" w:rsidP="00D433EF">
      <w:pPr>
        <w:pStyle w:val="TItuloAnexo"/>
        <w:numPr>
          <w:ilvl w:val="1"/>
          <w:numId w:val="8"/>
        </w:numPr>
        <w:spacing w:before="120" w:after="120" w:line="240" w:lineRule="auto"/>
        <w:ind w:left="562" w:hanging="562"/>
        <w:jc w:val="both"/>
        <w:rPr>
          <w:b w:val="0"/>
        </w:rPr>
      </w:pPr>
      <w:r w:rsidRPr="008F7171">
        <w:rPr>
          <w:b w:val="0"/>
        </w:rPr>
        <w:t>En el caso del valor presente de los costos de este subcomponente, se considera la misma fórmula, pero con un costo total de US</w:t>
      </w:r>
      <w:r w:rsidR="008F7171" w:rsidRPr="008F7171">
        <w:rPr>
          <w:b w:val="0"/>
        </w:rPr>
        <w:t>$</w:t>
      </w:r>
      <w:r w:rsidR="00BB2AC4" w:rsidRPr="008F7171">
        <w:rPr>
          <w:b w:val="0"/>
        </w:rPr>
        <w:t>77</w:t>
      </w:r>
      <w:r w:rsidR="008F7171" w:rsidRPr="008F7171">
        <w:rPr>
          <w:b w:val="0"/>
        </w:rPr>
        <w:t>5</w:t>
      </w:r>
      <w:r w:rsidR="00BB2AC4" w:rsidRPr="008F7171">
        <w:rPr>
          <w:b w:val="0"/>
        </w:rPr>
        <w:t>.</w:t>
      </w:r>
      <w:r w:rsidR="008F7171" w:rsidRPr="008F7171">
        <w:rPr>
          <w:b w:val="0"/>
        </w:rPr>
        <w:t>405</w:t>
      </w:r>
      <w:r w:rsidRPr="008F7171">
        <w:rPr>
          <w:b w:val="0"/>
        </w:rPr>
        <w:t>.</w:t>
      </w:r>
    </w:p>
    <w:p w:rsidR="008D3186" w:rsidRDefault="008D3186" w:rsidP="008D3186">
      <w:pPr>
        <w:pStyle w:val="TitulopostI"/>
      </w:pPr>
      <w:r>
        <w:t xml:space="preserve">Subcomponente </w:t>
      </w:r>
      <w:r w:rsidR="001903F0">
        <w:t>3</w:t>
      </w:r>
      <w:r>
        <w:t>-</w:t>
      </w:r>
      <w:r w:rsidRPr="00974805">
        <w:t>Beneficios esperados</w:t>
      </w:r>
    </w:p>
    <w:p w:rsidR="008D3186" w:rsidRDefault="008F7171" w:rsidP="00D433EF">
      <w:pPr>
        <w:pStyle w:val="TItuloAnexo"/>
        <w:numPr>
          <w:ilvl w:val="1"/>
          <w:numId w:val="8"/>
        </w:numPr>
        <w:spacing w:before="120" w:after="120" w:line="240" w:lineRule="auto"/>
        <w:ind w:left="562" w:hanging="562"/>
        <w:jc w:val="both"/>
        <w:rPr>
          <w:b w:val="0"/>
        </w:rPr>
      </w:pPr>
      <w:r w:rsidRPr="008F7171">
        <w:rPr>
          <w:b w:val="0"/>
        </w:rPr>
        <w:lastRenderedPageBreak/>
        <w:t xml:space="preserve">Los beneficios esperados asociados a las actividades del Subcomponente 3 se derivan principalmente de la exposición a los tratamientos de Rehabilitación por parte de los jóvenes en situación de riesgo tratados por el programa. Estas actividades contarán con personal específicamente capacitado a tales fines, incluyendo terapia multisistémica (MST).  En principio puede esperarse una reducción de las tasas de reincidencia en el delito (o bien de incidencia, dado que parte de los beneficiarios del programa lo hacen antes de haber sido condenado por delito violento alguno), de lo cual pueden derivarse dos tipos de beneficios: El primero asociado al costo del crimen en sí mismo, la disminución de los crímenes cometidos por estos jóvenes repercuten en un menor costo para la sociedad. El segundo tipo de beneficios derivado de la reducción en las tasas de reincidencia es asociado a que los jóvenes que no reinciden no generarán costos en el futuro sobre el Sistema Penitenciario de Adultos, que si hubiesen generado en ausencia del programa. Por otro lado, las actividades del Programa también pueden generar un incremento en la productividad de los jóvenes recluidos, lo que en principio mejora sus posibilidades en el mercado laboral una vez que sean reinsertados en la sociedad. En síntesis, puede esperarse una mayor participación futura en el mercado laboral, así como también un salario mayor al que habrían accedido en ausencia del programa. Los indicadores puntuales serán </w:t>
      </w:r>
      <w:r w:rsidRPr="008F7171">
        <w:rPr>
          <w:b w:val="0"/>
          <w:spacing w:val="-5"/>
        </w:rPr>
        <w:t>Reincidencia de jóvenes de 14 a 17 años que completaron del programa de terapia multisistémica (MST) en los 12 meses posteriores a su egreso</w:t>
      </w:r>
      <w:r w:rsidRPr="008F7171">
        <w:rPr>
          <w:b w:val="0"/>
        </w:rPr>
        <w:t>, así como también el Jóvenes de 18 a 25anos</w:t>
      </w:r>
      <w:r w:rsidRPr="008F7171">
        <w:rPr>
          <w:b w:val="0"/>
          <w:spacing w:val="-5"/>
        </w:rPr>
        <w:t xml:space="preserve"> que completaron</w:t>
      </w:r>
      <w:r w:rsidRPr="008F7171">
        <w:rPr>
          <w:b w:val="0"/>
        </w:rPr>
        <w:t xml:space="preserve"> el programa de mejoras de habilidades para la vida y con un empleo formal a los 12 meses de su egres</w:t>
      </w:r>
      <w:r w:rsidR="00E54D85" w:rsidRPr="008F7171">
        <w:rPr>
          <w:b w:val="0"/>
        </w:rPr>
        <w:t>.</w:t>
      </w:r>
    </w:p>
    <w:p w:rsidR="008F7171" w:rsidRDefault="008F7171" w:rsidP="00D433EF">
      <w:pPr>
        <w:pStyle w:val="TItuloAnexo"/>
        <w:numPr>
          <w:ilvl w:val="1"/>
          <w:numId w:val="8"/>
        </w:numPr>
        <w:spacing w:before="120" w:after="120" w:line="240" w:lineRule="auto"/>
        <w:ind w:left="562" w:hanging="562"/>
        <w:jc w:val="both"/>
        <w:rPr>
          <w:b w:val="0"/>
        </w:rPr>
      </w:pPr>
      <w:r w:rsidRPr="008F7171">
        <w:rPr>
          <w:b w:val="0"/>
        </w:rPr>
        <w:t>Diversos estudios previos indican la importancia de programas aplicados exclusivamente a jóvenes para reducir las tasas de reincidencia. Cullen y Gendreau (2000) en base a una revisión de la literatura empírica, advierten que los efectos de programas para disuadir el delito o la reincidencia en el mismo, son dependientes de la edad sobre los que es aplicado el tratamiento. Específicamente, existe evidencia de que estos son más efectivos cuando es aplicado sobre jóvenes en situación de riesgo.</w:t>
      </w:r>
    </w:p>
    <w:p w:rsidR="00D433EF" w:rsidRPr="00D433EF" w:rsidRDefault="00D433EF" w:rsidP="00D433EF">
      <w:pPr>
        <w:pStyle w:val="TItuloAnexo"/>
        <w:numPr>
          <w:ilvl w:val="1"/>
          <w:numId w:val="8"/>
        </w:numPr>
        <w:spacing w:before="120" w:after="120" w:line="240" w:lineRule="auto"/>
        <w:ind w:left="562" w:hanging="562"/>
        <w:jc w:val="both"/>
        <w:rPr>
          <w:b w:val="0"/>
        </w:rPr>
      </w:pPr>
      <w:r w:rsidRPr="00D433EF">
        <w:rPr>
          <w:b w:val="0"/>
        </w:rPr>
        <w:t xml:space="preserve">Algunos autores han encontrado una reducción en la reincidencia de jóvenes tratados con MST de entre 43%-72%  (Borduin et al.,1999, 2009; Henggeler et al., 1992,1993, 1997). </w:t>
      </w:r>
    </w:p>
    <w:p w:rsidR="008F7171" w:rsidRDefault="00D433EF" w:rsidP="00D433EF">
      <w:pPr>
        <w:pStyle w:val="TItuloAnexo"/>
        <w:numPr>
          <w:ilvl w:val="1"/>
          <w:numId w:val="8"/>
        </w:numPr>
        <w:spacing w:before="120" w:after="120" w:line="240" w:lineRule="auto"/>
        <w:ind w:left="562" w:hanging="562"/>
        <w:jc w:val="both"/>
        <w:rPr>
          <w:b w:val="0"/>
        </w:rPr>
      </w:pPr>
      <w:r w:rsidRPr="00D433EF">
        <w:rPr>
          <w:b w:val="0"/>
        </w:rPr>
        <w:t>En términos agregados, llegaron a la conclusión de que la tasa de reincidencia (o incidencia, aunque en adelante se utilizará el término reincidencia aun cuando los tratados no hayan delinquido) es del 44% para los jóvenes que fueron tratados por algún programa mientras que del 50% para los que no lo fueron, o lo que es lo mismo, representa una disminución del 12% en la tasa de reincidencia. Sin embargo, debe tenerse en cuenta la heterogeneidad de los programas considerados. De hecho, en caso considerarse los programas más exitosos existe un 20% en la caída de la tasa de reincidencia. Entre estos, se puede nombrar tres tipos de características presentes determinan un mayor éxito: Asesoramiento psicológico individual, desarrollo de habilidades intrapersonales y programas conductuales.</w:t>
      </w:r>
    </w:p>
    <w:p w:rsidR="00D433EF" w:rsidRPr="00D433EF" w:rsidRDefault="00D433EF" w:rsidP="00D433EF">
      <w:pPr>
        <w:pStyle w:val="TItuloAnexo"/>
        <w:numPr>
          <w:ilvl w:val="1"/>
          <w:numId w:val="8"/>
        </w:numPr>
        <w:spacing w:before="120" w:after="120" w:line="240" w:lineRule="auto"/>
        <w:ind w:left="562" w:hanging="562"/>
        <w:jc w:val="both"/>
        <w:rPr>
          <w:b w:val="0"/>
        </w:rPr>
      </w:pPr>
      <w:r w:rsidRPr="00D433EF">
        <w:rPr>
          <w:b w:val="0"/>
        </w:rPr>
        <w:t xml:space="preserve">A conclusiones similares arribaron Redondo, Sánchez-Meca y Garrido (1999) quienes realizan un meta análisis donde estudian 32 programas llevados a cabo en Europa. Cuantitativamente, también arriban a la conclusión de que los </w:t>
      </w:r>
      <w:r w:rsidRPr="00D433EF">
        <w:rPr>
          <w:b w:val="0"/>
        </w:rPr>
        <w:lastRenderedPageBreak/>
        <w:t>programas reducen en un 12% la tasa de reincidencia. Asimismo, dada la heterogeneidad de los programas, la evidencia apoya a las técnicas conductuales como las más efectivas.</w:t>
      </w:r>
    </w:p>
    <w:p w:rsidR="00D433EF" w:rsidRPr="00D433EF" w:rsidRDefault="00D433EF" w:rsidP="00D433EF">
      <w:pPr>
        <w:pStyle w:val="TItuloAnexo"/>
        <w:numPr>
          <w:ilvl w:val="1"/>
          <w:numId w:val="8"/>
        </w:numPr>
        <w:spacing w:before="120" w:after="120" w:line="240" w:lineRule="auto"/>
        <w:ind w:left="562" w:hanging="562"/>
        <w:jc w:val="both"/>
        <w:rPr>
          <w:b w:val="0"/>
        </w:rPr>
      </w:pPr>
      <w:r w:rsidRPr="00D433EF">
        <w:rPr>
          <w:b w:val="0"/>
        </w:rPr>
        <w:t>Respecto a la Terapia Multisistémica, Pantoja (2013) encuentra el 57% de los tratados no reincide en base a diversos autores (</w:t>
      </w:r>
      <w:r w:rsidRPr="00D433EF">
        <w:rPr>
          <w:b w:val="0"/>
          <w:spacing w:val="-3"/>
          <w:lang w:val="es-CO"/>
        </w:rPr>
        <w:t>Borduin et al.1999, 2009; Henggeler et al., 1992,1993, 1997)</w:t>
      </w:r>
      <w:r w:rsidRPr="00D433EF">
        <w:rPr>
          <w:b w:val="0"/>
        </w:rPr>
        <w:t>.</w:t>
      </w:r>
    </w:p>
    <w:p w:rsidR="008D3186" w:rsidRDefault="00214954" w:rsidP="00D433EF">
      <w:pPr>
        <w:numPr>
          <w:ilvl w:val="1"/>
          <w:numId w:val="9"/>
        </w:numPr>
        <w:spacing w:before="120" w:after="120" w:line="240" w:lineRule="auto"/>
        <w:ind w:left="562" w:hanging="562"/>
        <w:jc w:val="both"/>
        <w:outlineLvl w:val="1"/>
        <w:rPr>
          <w:rFonts w:ascii="Times New Roman" w:eastAsia="Times New Roman" w:hAnsi="Times New Roman"/>
          <w:sz w:val="24"/>
          <w:szCs w:val="24"/>
          <w:lang w:val="es-ES"/>
        </w:rPr>
      </w:pPr>
      <w:r w:rsidRPr="00591D6A">
        <w:rPr>
          <w:rFonts w:ascii="Times New Roman" w:hAnsi="Times New Roman"/>
          <w:b/>
          <w:sz w:val="24"/>
          <w:szCs w:val="24"/>
          <w:lang w:val="es-ES"/>
        </w:rPr>
        <w:t>Supuestos</w:t>
      </w:r>
      <w:r>
        <w:rPr>
          <w:rFonts w:ascii="Times New Roman" w:hAnsi="Times New Roman"/>
          <w:b/>
          <w:sz w:val="24"/>
          <w:szCs w:val="24"/>
          <w:lang w:val="es-ES"/>
        </w:rPr>
        <w:t>.</w:t>
      </w:r>
      <w:r w:rsidRPr="00591D6A">
        <w:rPr>
          <w:rFonts w:ascii="Times New Roman" w:eastAsia="Times New Roman" w:hAnsi="Times New Roman"/>
          <w:sz w:val="24"/>
          <w:szCs w:val="24"/>
          <w:lang w:val="es-ES"/>
        </w:rPr>
        <w:t xml:space="preserve"> </w:t>
      </w:r>
      <w:r w:rsidR="008D3186" w:rsidRPr="00591D6A">
        <w:rPr>
          <w:rFonts w:ascii="Times New Roman" w:eastAsia="Times New Roman" w:hAnsi="Times New Roman"/>
          <w:sz w:val="24"/>
          <w:szCs w:val="24"/>
          <w:lang w:val="es-ES"/>
        </w:rPr>
        <w:t>En el caso de</w:t>
      </w:r>
      <w:r w:rsidR="008D3186">
        <w:rPr>
          <w:rFonts w:ascii="Times New Roman" w:eastAsia="Times New Roman" w:hAnsi="Times New Roman"/>
          <w:sz w:val="24"/>
          <w:szCs w:val="24"/>
          <w:lang w:val="es-ES"/>
        </w:rPr>
        <w:t xml:space="preserve">l Subcomponente </w:t>
      </w:r>
      <w:r w:rsidR="003777EA">
        <w:rPr>
          <w:rFonts w:ascii="Times New Roman" w:eastAsia="Times New Roman" w:hAnsi="Times New Roman"/>
          <w:sz w:val="24"/>
          <w:szCs w:val="24"/>
          <w:lang w:val="es-ES"/>
        </w:rPr>
        <w:t>3</w:t>
      </w:r>
      <w:r w:rsidR="008D3186">
        <w:rPr>
          <w:rFonts w:ascii="Times New Roman" w:eastAsia="Times New Roman" w:hAnsi="Times New Roman"/>
          <w:sz w:val="24"/>
          <w:szCs w:val="24"/>
          <w:lang w:val="es-ES"/>
        </w:rPr>
        <w:t>, se realizarán los siguientes supuestos a fin de estimar la razón costo-beneficio</w:t>
      </w:r>
      <w:r w:rsidR="008D3186" w:rsidRPr="00591D6A">
        <w:rPr>
          <w:rFonts w:ascii="Times New Roman" w:eastAsia="Times New Roman" w:hAnsi="Times New Roman"/>
          <w:sz w:val="24"/>
          <w:szCs w:val="24"/>
          <w:lang w:val="es-ES"/>
        </w:rPr>
        <w:t>:</w:t>
      </w:r>
    </w:p>
    <w:p w:rsidR="008D3186" w:rsidRDefault="008D3186" w:rsidP="00860114">
      <w:pPr>
        <w:pStyle w:val="Vieta"/>
        <w:spacing w:before="120" w:after="120" w:line="240" w:lineRule="auto"/>
        <w:ind w:left="994" w:hanging="432"/>
      </w:pPr>
      <w:r w:rsidRPr="00591D6A">
        <w:t>La tasa de descuento se mantiene en el 12% anual.</w:t>
      </w:r>
    </w:p>
    <w:p w:rsidR="008D3186" w:rsidRDefault="00D433EF" w:rsidP="00860114">
      <w:pPr>
        <w:pStyle w:val="Vieta"/>
        <w:spacing w:before="120" w:after="120" w:line="240" w:lineRule="auto"/>
        <w:ind w:left="994" w:hanging="432"/>
      </w:pPr>
      <w:r>
        <w:t xml:space="preserve">Solo se tendrán en cuenta beneficios asociados a los ahorros en el sistema penitenciario de adultos debidos a la reducción de la tasa de reincidencia para los jóvenes tratados (teniendo en cuenta los rubros de reclusión y rehabilitación). En base a Pantoja (2013), se tendrá en cuenta </w:t>
      </w:r>
      <w:r w:rsidRPr="000B0DD0">
        <w:t>que el 57% de los tratados no reincide).</w:t>
      </w:r>
      <w:r w:rsidR="008D3186">
        <w:t xml:space="preserve"> </w:t>
      </w:r>
    </w:p>
    <w:p w:rsidR="00442BDF" w:rsidRPr="00D433EF" w:rsidRDefault="00D433EF" w:rsidP="00860114">
      <w:pPr>
        <w:pStyle w:val="Vieta"/>
        <w:spacing w:before="120" w:after="120" w:line="240" w:lineRule="auto"/>
        <w:ind w:left="994" w:hanging="432"/>
        <w:rPr>
          <w:szCs w:val="24"/>
        </w:rPr>
      </w:pPr>
      <w:r w:rsidRPr="00D433EF">
        <w:rPr>
          <w:rFonts w:eastAsia="Calibri"/>
          <w:kern w:val="0"/>
          <w:szCs w:val="24"/>
          <w:lang w:val="es-ES_tradnl"/>
        </w:rPr>
        <w:t xml:space="preserve">En base Aboal, </w:t>
      </w:r>
      <w:r w:rsidRPr="00D433EF">
        <w:rPr>
          <w:rFonts w:eastAsia="Calibri"/>
          <w:kern w:val="0"/>
          <w:szCs w:val="24"/>
          <w:lang w:val="es-AR"/>
        </w:rPr>
        <w:t>Lanzilotta, y Vazquez</w:t>
      </w:r>
      <w:r w:rsidRPr="00D433EF">
        <w:rPr>
          <w:rFonts w:eastAsia="Calibri"/>
          <w:kern w:val="0"/>
          <w:szCs w:val="24"/>
          <w:lang w:val="es-ES_tradnl"/>
        </w:rPr>
        <w:t xml:space="preserve"> (2013), el presupuesto asignado a los rubros de reclusión y rehabilitación asciende a 34.045.000 dólares. Por otro lado, la población total recluida en el sistema penitenciario es de 8500 personas</w:t>
      </w:r>
      <w:r w:rsidRPr="00D433EF">
        <w:rPr>
          <w:rFonts w:eastAsia="Calibri"/>
          <w:kern w:val="0"/>
          <w:szCs w:val="24"/>
          <w:vertAlign w:val="superscript"/>
          <w:lang w:val="en-US"/>
        </w:rPr>
        <w:footnoteReference w:id="12"/>
      </w:r>
      <w:r w:rsidRPr="00D433EF">
        <w:rPr>
          <w:rFonts w:eastAsia="Calibri"/>
          <w:kern w:val="0"/>
          <w:szCs w:val="24"/>
          <w:lang w:val="es-ES_tradnl"/>
        </w:rPr>
        <w:t xml:space="preserve"> en el año 2012 (Alerta Americas, OEA). Esto permite calcular un costo por individuo recluido de 4.005 dólares anuales</w:t>
      </w:r>
      <w:r w:rsidR="00442BDF" w:rsidRPr="00D433EF">
        <w:rPr>
          <w:szCs w:val="24"/>
        </w:rPr>
        <w:t>.</w:t>
      </w:r>
    </w:p>
    <w:p w:rsidR="008D3186" w:rsidRDefault="00D433EF" w:rsidP="00860114">
      <w:pPr>
        <w:pStyle w:val="Vieta"/>
        <w:spacing w:before="120" w:after="120" w:line="240" w:lineRule="auto"/>
        <w:ind w:left="994" w:hanging="432"/>
      </w:pPr>
      <w:r>
        <w:t>Si bien el programa contempla que al menos serán beneficiarios 300 jóvenes, se asume que este será el número efectivo a fin de realizar las estimaciones, de este modo se obtiene una cota inferior para los beneficios de este Subcomponente. Se asume que cada año ingresa una nueva cohorte de beneficiarios, y egresan los jóvenes del año anterior. De este modo, los beneficios anuales se incrementarán año a año, ya que se irán acumulando los efectos sobre las distintas cohortes tratadas. Durante el primer año serán tratados 60 jóvenes, se sumarán 120 en el segundo y 120 en el tercero, para alcanzar el mínimo previsto de 300 jóvenes</w:t>
      </w:r>
      <w:r w:rsidR="008D3186">
        <w:t>.</w:t>
      </w:r>
    </w:p>
    <w:p w:rsidR="008D3186" w:rsidRDefault="008D3186" w:rsidP="00D433EF">
      <w:pPr>
        <w:numPr>
          <w:ilvl w:val="1"/>
          <w:numId w:val="9"/>
        </w:numPr>
        <w:spacing w:before="120" w:after="120" w:line="240" w:lineRule="auto"/>
        <w:jc w:val="both"/>
        <w:outlineLvl w:val="1"/>
        <w:rPr>
          <w:rFonts w:ascii="Times New Roman" w:eastAsia="Times New Roman" w:hAnsi="Times New Roman"/>
          <w:sz w:val="24"/>
          <w:szCs w:val="24"/>
          <w:lang w:val="es-ES"/>
        </w:rPr>
      </w:pPr>
      <w:r w:rsidRPr="00591D6A">
        <w:rPr>
          <w:rFonts w:ascii="Times New Roman" w:eastAsia="Times New Roman" w:hAnsi="Times New Roman"/>
          <w:sz w:val="24"/>
          <w:szCs w:val="24"/>
          <w:lang w:val="es-ES"/>
        </w:rPr>
        <w:t>Para el cálculo de los costos se utilizan los siguientes supuestos:</w:t>
      </w:r>
    </w:p>
    <w:p w:rsidR="008D3186" w:rsidRDefault="00D433EF" w:rsidP="00860114">
      <w:pPr>
        <w:pStyle w:val="Vieta"/>
        <w:spacing w:before="120" w:after="120" w:line="240" w:lineRule="auto"/>
      </w:pPr>
      <w:r w:rsidRPr="002F1A99">
        <w:t xml:space="preserve">Se asume que </w:t>
      </w:r>
      <w:r>
        <w:t>los costos de este Componente (1.677.100 dólares según datos del programa), se ejecutan según la siguiente distribución: 0,3% durante el primer año, 24,4% durante el segundo, 33,1% durante el tercero y el cuarto, y el 9,1% restante durante el quinto</w:t>
      </w:r>
      <w:r w:rsidR="001A2A90">
        <w:t>.</w:t>
      </w:r>
    </w:p>
    <w:p w:rsidR="008D3186" w:rsidRDefault="008D3186" w:rsidP="00860114">
      <w:pPr>
        <w:pStyle w:val="Vieta"/>
        <w:spacing w:before="120" w:after="120" w:line="240" w:lineRule="auto"/>
      </w:pPr>
      <w:r>
        <w:t>El horizonte para el cálculo de beneficios es de 20 años</w:t>
      </w:r>
      <w:r w:rsidRPr="00591D6A">
        <w:t>.</w:t>
      </w:r>
    </w:p>
    <w:p w:rsidR="008D3186" w:rsidRPr="00860114" w:rsidRDefault="00214954" w:rsidP="00D433EF">
      <w:pPr>
        <w:pStyle w:val="TItuloAnexo"/>
        <w:numPr>
          <w:ilvl w:val="1"/>
          <w:numId w:val="9"/>
        </w:numPr>
        <w:spacing w:before="120" w:after="120" w:line="240" w:lineRule="auto"/>
        <w:ind w:left="562" w:hanging="562"/>
        <w:jc w:val="both"/>
      </w:pPr>
      <w:r w:rsidRPr="00591D6A">
        <w:t>Cálculos</w:t>
      </w:r>
      <w:r>
        <w:t>.</w:t>
      </w:r>
      <w:r>
        <w:rPr>
          <w:b w:val="0"/>
        </w:rPr>
        <w:t xml:space="preserve"> </w:t>
      </w:r>
      <w:r w:rsidR="008D3186">
        <w:rPr>
          <w:b w:val="0"/>
        </w:rPr>
        <w:t>L</w:t>
      </w:r>
      <w:r w:rsidR="008D3186" w:rsidRPr="007E6104">
        <w:rPr>
          <w:b w:val="0"/>
        </w:rPr>
        <w:t xml:space="preserve">os cálculos de los beneficios anuales para el </w:t>
      </w:r>
      <w:r w:rsidR="008D3186">
        <w:rPr>
          <w:b w:val="0"/>
        </w:rPr>
        <w:t>Componente de Prevención</w:t>
      </w:r>
      <w:r w:rsidR="008D3186" w:rsidRPr="007E6104">
        <w:rPr>
          <w:b w:val="0"/>
        </w:rPr>
        <w:t xml:space="preserve"> se detallan en la siguiente tabla, en base a los supuestos realizados previamente: </w:t>
      </w:r>
    </w:p>
    <w:tbl>
      <w:tblPr>
        <w:tblW w:w="8517" w:type="dxa"/>
        <w:jc w:val="right"/>
        <w:tblLayout w:type="fixed"/>
        <w:tblLook w:val="04A0" w:firstRow="1" w:lastRow="0" w:firstColumn="1" w:lastColumn="0" w:noHBand="0" w:noVBand="1"/>
      </w:tblPr>
      <w:tblGrid>
        <w:gridCol w:w="136"/>
        <w:gridCol w:w="376"/>
        <w:gridCol w:w="3970"/>
        <w:gridCol w:w="1520"/>
        <w:gridCol w:w="2379"/>
        <w:gridCol w:w="136"/>
      </w:tblGrid>
      <w:tr w:rsidR="008D3186" w:rsidRPr="000532C5" w:rsidTr="00D433EF">
        <w:trPr>
          <w:gridBefore w:val="1"/>
          <w:wBefore w:w="136" w:type="dxa"/>
          <w:trHeight w:val="280"/>
          <w:jc w:val="right"/>
        </w:trPr>
        <w:tc>
          <w:tcPr>
            <w:tcW w:w="8381" w:type="dxa"/>
            <w:gridSpan w:val="5"/>
            <w:tcBorders>
              <w:top w:val="nil"/>
              <w:left w:val="nil"/>
              <w:bottom w:val="single" w:sz="4" w:space="0" w:color="auto"/>
              <w:right w:val="nil"/>
            </w:tcBorders>
            <w:shd w:val="clear" w:color="auto" w:fill="auto"/>
            <w:noWrap/>
            <w:vAlign w:val="center"/>
            <w:hideMark/>
          </w:tcPr>
          <w:p w:rsidR="008707E7" w:rsidRDefault="008D3186" w:rsidP="000532C5">
            <w:pPr>
              <w:pStyle w:val="TituloTabla"/>
              <w:spacing w:before="120"/>
              <w:ind w:left="29"/>
              <w:jc w:val="center"/>
            </w:pPr>
            <w:r w:rsidRPr="00591D6A">
              <w:t xml:space="preserve">Tabla </w:t>
            </w:r>
            <w:r w:rsidR="00BA52C9">
              <w:t>4</w:t>
            </w:r>
            <w:r w:rsidRPr="00591D6A">
              <w:t xml:space="preserve">. </w:t>
            </w:r>
            <w:r w:rsidRPr="00031E1C">
              <w:t>Cálculo del valor monetario en US</w:t>
            </w:r>
            <w:r w:rsidR="000532C5">
              <w:t>$</w:t>
            </w:r>
            <w:r w:rsidRPr="00031E1C">
              <w:t xml:space="preserve"> de los beneficios derivados del </w:t>
            </w:r>
            <w:r>
              <w:t xml:space="preserve">Subcomponente </w:t>
            </w:r>
            <w:r w:rsidR="00AE15DB">
              <w:t>3</w:t>
            </w:r>
            <w:r>
              <w:t xml:space="preserve">- </w:t>
            </w:r>
            <w:r w:rsidR="00D433EF" w:rsidRPr="00D433EF">
              <w:t>Tratamiento de Jóvenes, Anuales para el año 2018</w:t>
            </w:r>
          </w:p>
        </w:tc>
      </w:tr>
      <w:tr w:rsidR="00D433EF" w:rsidRPr="00591D6A" w:rsidTr="00D433EF">
        <w:trPr>
          <w:gridAfter w:val="1"/>
          <w:wAfter w:w="136" w:type="dxa"/>
          <w:trHeight w:val="280"/>
          <w:jc w:val="right"/>
        </w:trPr>
        <w:tc>
          <w:tcPr>
            <w:tcW w:w="512" w:type="dxa"/>
            <w:gridSpan w:val="2"/>
            <w:tcBorders>
              <w:top w:val="nil"/>
              <w:left w:val="nil"/>
              <w:bottom w:val="nil"/>
              <w:right w:val="nil"/>
            </w:tcBorders>
            <w:shd w:val="clear" w:color="auto" w:fill="auto"/>
            <w:noWrap/>
            <w:vAlign w:val="center"/>
            <w:hideMark/>
          </w:tcPr>
          <w:p w:rsidR="00D433EF" w:rsidRDefault="00D433EF" w:rsidP="009C2719">
            <w:pPr>
              <w:spacing w:after="0" w:line="240" w:lineRule="auto"/>
              <w:ind w:left="567" w:hanging="567"/>
              <w:rPr>
                <w:rFonts w:ascii="Times New Roman" w:eastAsia="Times New Roman" w:hAnsi="Times New Roman"/>
                <w:color w:val="000000"/>
                <w:lang w:val="es-ES"/>
              </w:rPr>
            </w:pPr>
            <w:r w:rsidRPr="00591D6A">
              <w:rPr>
                <w:rFonts w:ascii="Times New Roman" w:eastAsia="Times New Roman" w:hAnsi="Times New Roman"/>
                <w:color w:val="000000"/>
                <w:lang w:val="es-ES"/>
              </w:rPr>
              <w:t>1</w:t>
            </w:r>
          </w:p>
        </w:tc>
        <w:tc>
          <w:tcPr>
            <w:tcW w:w="3970" w:type="dxa"/>
            <w:tcBorders>
              <w:top w:val="nil"/>
              <w:left w:val="nil"/>
              <w:bottom w:val="nil"/>
              <w:right w:val="single" w:sz="4" w:space="0" w:color="auto"/>
            </w:tcBorders>
            <w:shd w:val="clear" w:color="auto" w:fill="auto"/>
            <w:noWrap/>
            <w:vAlign w:val="center"/>
            <w:hideMark/>
          </w:tcPr>
          <w:p w:rsidR="00D433EF" w:rsidRPr="00A1566C" w:rsidRDefault="00D433EF" w:rsidP="009C2719">
            <w:pPr>
              <w:pStyle w:val="Entabla"/>
              <w:rPr>
                <w:b/>
                <w:bCs/>
                <w:lang w:val="pt-BR"/>
              </w:rPr>
            </w:pPr>
            <w:r w:rsidRPr="00A1566C">
              <w:rPr>
                <w:lang w:val="pt-BR"/>
              </w:rPr>
              <w:t xml:space="preserve">Costo anual por individuo </w:t>
            </w:r>
            <w:r>
              <w:rPr>
                <w:lang w:val="pt-BR"/>
              </w:rPr>
              <w:t xml:space="preserve">recluído </w:t>
            </w:r>
          </w:p>
        </w:tc>
        <w:tc>
          <w:tcPr>
            <w:tcW w:w="1520" w:type="dxa"/>
            <w:tcBorders>
              <w:top w:val="nil"/>
              <w:left w:val="nil"/>
              <w:bottom w:val="nil"/>
              <w:right w:val="single" w:sz="4" w:space="0" w:color="auto"/>
            </w:tcBorders>
            <w:shd w:val="clear" w:color="auto" w:fill="auto"/>
            <w:noWrap/>
            <w:vAlign w:val="center"/>
            <w:hideMark/>
          </w:tcPr>
          <w:p w:rsidR="00D433EF" w:rsidRDefault="00D433EF" w:rsidP="009C2719">
            <w:pPr>
              <w:pStyle w:val="Entabla"/>
              <w:jc w:val="right"/>
            </w:pPr>
            <w:r w:rsidRPr="00C26E3A">
              <w:t>4.005</w:t>
            </w:r>
          </w:p>
        </w:tc>
        <w:tc>
          <w:tcPr>
            <w:tcW w:w="2379" w:type="dxa"/>
            <w:tcBorders>
              <w:top w:val="nil"/>
              <w:left w:val="nil"/>
              <w:bottom w:val="nil"/>
              <w:right w:val="nil"/>
            </w:tcBorders>
            <w:shd w:val="clear" w:color="auto" w:fill="auto"/>
            <w:noWrap/>
            <w:vAlign w:val="center"/>
            <w:hideMark/>
          </w:tcPr>
          <w:p w:rsidR="00D433EF" w:rsidRDefault="00D433EF" w:rsidP="009C2719">
            <w:pPr>
              <w:pStyle w:val="Entabla"/>
            </w:pPr>
            <w:r>
              <w:rPr>
                <w:kern w:val="28"/>
              </w:rPr>
              <w:t xml:space="preserve">Aboal, </w:t>
            </w:r>
            <w:r w:rsidRPr="00B517AE">
              <w:rPr>
                <w:lang w:val="es-AR"/>
              </w:rPr>
              <w:t xml:space="preserve">Lanzilotta, </w:t>
            </w:r>
            <w:r>
              <w:rPr>
                <w:lang w:val="es-AR"/>
              </w:rPr>
              <w:t>y</w:t>
            </w:r>
            <w:r w:rsidRPr="00B517AE">
              <w:rPr>
                <w:lang w:val="es-AR"/>
              </w:rPr>
              <w:t xml:space="preserve"> Vazquez</w:t>
            </w:r>
            <w:r>
              <w:rPr>
                <w:kern w:val="28"/>
              </w:rPr>
              <w:t xml:space="preserve"> (2013)</w:t>
            </w:r>
          </w:p>
        </w:tc>
      </w:tr>
      <w:tr w:rsidR="00D433EF" w:rsidRPr="00591D6A" w:rsidTr="00D433EF">
        <w:trPr>
          <w:gridAfter w:val="1"/>
          <w:wAfter w:w="136" w:type="dxa"/>
          <w:trHeight w:val="280"/>
          <w:jc w:val="right"/>
        </w:trPr>
        <w:tc>
          <w:tcPr>
            <w:tcW w:w="512" w:type="dxa"/>
            <w:gridSpan w:val="2"/>
            <w:tcBorders>
              <w:top w:val="nil"/>
              <w:left w:val="nil"/>
              <w:bottom w:val="nil"/>
              <w:right w:val="nil"/>
            </w:tcBorders>
            <w:shd w:val="clear" w:color="auto" w:fill="auto"/>
            <w:noWrap/>
            <w:vAlign w:val="center"/>
            <w:hideMark/>
          </w:tcPr>
          <w:p w:rsidR="00D433EF" w:rsidRDefault="00D433EF" w:rsidP="009C2719">
            <w:pPr>
              <w:spacing w:after="0" w:line="240" w:lineRule="auto"/>
              <w:ind w:left="567" w:hanging="567"/>
              <w:rPr>
                <w:rFonts w:ascii="Times New Roman" w:eastAsia="Times New Roman" w:hAnsi="Times New Roman"/>
                <w:color w:val="000000"/>
                <w:lang w:val="es-ES"/>
              </w:rPr>
            </w:pPr>
            <w:r w:rsidRPr="00591D6A">
              <w:rPr>
                <w:rFonts w:ascii="Times New Roman" w:eastAsia="Times New Roman" w:hAnsi="Times New Roman"/>
                <w:color w:val="000000"/>
                <w:lang w:val="es-ES"/>
              </w:rPr>
              <w:t>2</w:t>
            </w:r>
          </w:p>
        </w:tc>
        <w:tc>
          <w:tcPr>
            <w:tcW w:w="3970" w:type="dxa"/>
            <w:tcBorders>
              <w:top w:val="nil"/>
              <w:left w:val="nil"/>
              <w:bottom w:val="nil"/>
              <w:right w:val="single" w:sz="4" w:space="0" w:color="auto"/>
            </w:tcBorders>
            <w:shd w:val="clear" w:color="auto" w:fill="auto"/>
            <w:noWrap/>
            <w:vAlign w:val="center"/>
            <w:hideMark/>
          </w:tcPr>
          <w:p w:rsidR="00D433EF" w:rsidRDefault="00D433EF" w:rsidP="009C2719">
            <w:pPr>
              <w:pStyle w:val="Entabla"/>
              <w:rPr>
                <w:b/>
                <w:bCs/>
              </w:rPr>
            </w:pPr>
            <w:r>
              <w:t>Jóvenes tratados</w:t>
            </w:r>
          </w:p>
        </w:tc>
        <w:tc>
          <w:tcPr>
            <w:tcW w:w="1520" w:type="dxa"/>
            <w:tcBorders>
              <w:top w:val="nil"/>
              <w:left w:val="nil"/>
              <w:bottom w:val="nil"/>
              <w:right w:val="single" w:sz="4" w:space="0" w:color="auto"/>
            </w:tcBorders>
            <w:shd w:val="clear" w:color="auto" w:fill="auto"/>
            <w:noWrap/>
            <w:vAlign w:val="center"/>
            <w:hideMark/>
          </w:tcPr>
          <w:p w:rsidR="00D433EF" w:rsidRDefault="00D433EF" w:rsidP="009C2719">
            <w:pPr>
              <w:pStyle w:val="Entabla"/>
              <w:jc w:val="right"/>
              <w:rPr>
                <w:b/>
                <w:bCs/>
              </w:rPr>
            </w:pPr>
            <w:r>
              <w:t>300</w:t>
            </w:r>
          </w:p>
        </w:tc>
        <w:tc>
          <w:tcPr>
            <w:tcW w:w="2379" w:type="dxa"/>
            <w:tcBorders>
              <w:top w:val="nil"/>
              <w:left w:val="nil"/>
              <w:bottom w:val="nil"/>
              <w:right w:val="nil"/>
            </w:tcBorders>
            <w:shd w:val="clear" w:color="auto" w:fill="auto"/>
            <w:noWrap/>
            <w:vAlign w:val="center"/>
            <w:hideMark/>
          </w:tcPr>
          <w:p w:rsidR="00D433EF" w:rsidRDefault="00D433EF" w:rsidP="009C2719">
            <w:pPr>
              <w:pStyle w:val="Entabla"/>
              <w:rPr>
                <w:b/>
                <w:bCs/>
              </w:rPr>
            </w:pPr>
            <w:r>
              <w:t>Dirección del Programa</w:t>
            </w:r>
          </w:p>
        </w:tc>
      </w:tr>
      <w:tr w:rsidR="00D433EF" w:rsidRPr="00591D6A" w:rsidTr="00D433EF">
        <w:trPr>
          <w:gridAfter w:val="1"/>
          <w:wAfter w:w="136" w:type="dxa"/>
          <w:trHeight w:val="335"/>
          <w:jc w:val="right"/>
        </w:trPr>
        <w:tc>
          <w:tcPr>
            <w:tcW w:w="512" w:type="dxa"/>
            <w:gridSpan w:val="2"/>
            <w:tcBorders>
              <w:top w:val="nil"/>
              <w:left w:val="nil"/>
              <w:bottom w:val="nil"/>
              <w:right w:val="nil"/>
            </w:tcBorders>
            <w:shd w:val="clear" w:color="auto" w:fill="auto"/>
            <w:noWrap/>
            <w:vAlign w:val="center"/>
            <w:hideMark/>
          </w:tcPr>
          <w:p w:rsidR="00D433EF" w:rsidRDefault="00D433EF" w:rsidP="009C2719">
            <w:pPr>
              <w:spacing w:after="0" w:line="240" w:lineRule="auto"/>
              <w:ind w:left="567" w:hanging="567"/>
              <w:rPr>
                <w:rFonts w:ascii="Times New Roman" w:eastAsia="Times New Roman" w:hAnsi="Times New Roman"/>
                <w:color w:val="000000"/>
                <w:lang w:val="es-ES"/>
              </w:rPr>
            </w:pPr>
            <w:r w:rsidRPr="00591D6A">
              <w:rPr>
                <w:rFonts w:ascii="Times New Roman" w:eastAsia="Times New Roman" w:hAnsi="Times New Roman"/>
                <w:color w:val="000000"/>
                <w:lang w:val="es-ES"/>
              </w:rPr>
              <w:lastRenderedPageBreak/>
              <w:t>3</w:t>
            </w:r>
          </w:p>
        </w:tc>
        <w:tc>
          <w:tcPr>
            <w:tcW w:w="3970" w:type="dxa"/>
            <w:tcBorders>
              <w:top w:val="nil"/>
              <w:left w:val="nil"/>
              <w:bottom w:val="nil"/>
              <w:right w:val="single" w:sz="4" w:space="0" w:color="auto"/>
            </w:tcBorders>
            <w:shd w:val="clear" w:color="auto" w:fill="auto"/>
            <w:noWrap/>
            <w:vAlign w:val="center"/>
            <w:hideMark/>
          </w:tcPr>
          <w:p w:rsidR="00D433EF" w:rsidRDefault="00D433EF" w:rsidP="009C2719">
            <w:pPr>
              <w:pStyle w:val="Entabla"/>
              <w:rPr>
                <w:b/>
                <w:bCs/>
              </w:rPr>
            </w:pPr>
            <w:r>
              <w:t>No reincidentes del programa</w:t>
            </w:r>
          </w:p>
        </w:tc>
        <w:tc>
          <w:tcPr>
            <w:tcW w:w="1520" w:type="dxa"/>
            <w:tcBorders>
              <w:top w:val="nil"/>
              <w:left w:val="nil"/>
              <w:bottom w:val="nil"/>
              <w:right w:val="single" w:sz="4" w:space="0" w:color="auto"/>
            </w:tcBorders>
            <w:shd w:val="clear" w:color="auto" w:fill="auto"/>
            <w:noWrap/>
            <w:vAlign w:val="center"/>
            <w:hideMark/>
          </w:tcPr>
          <w:p w:rsidR="00D433EF" w:rsidRDefault="00D433EF" w:rsidP="009C2719">
            <w:pPr>
              <w:pStyle w:val="Entabla"/>
              <w:jc w:val="right"/>
              <w:rPr>
                <w:b/>
                <w:bCs/>
              </w:rPr>
            </w:pPr>
            <w:r>
              <w:t>57%</w:t>
            </w:r>
          </w:p>
        </w:tc>
        <w:tc>
          <w:tcPr>
            <w:tcW w:w="2379" w:type="dxa"/>
            <w:tcBorders>
              <w:top w:val="nil"/>
              <w:left w:val="nil"/>
              <w:bottom w:val="nil"/>
              <w:right w:val="nil"/>
            </w:tcBorders>
            <w:shd w:val="clear" w:color="auto" w:fill="auto"/>
            <w:noWrap/>
            <w:vAlign w:val="center"/>
            <w:hideMark/>
          </w:tcPr>
          <w:p w:rsidR="00D433EF" w:rsidRDefault="00D433EF" w:rsidP="009C2719">
            <w:pPr>
              <w:pStyle w:val="Entabla"/>
              <w:rPr>
                <w:b/>
                <w:bCs/>
              </w:rPr>
            </w:pPr>
            <w:r>
              <w:t>Pantoja 2013</w:t>
            </w:r>
          </w:p>
        </w:tc>
      </w:tr>
      <w:tr w:rsidR="00D433EF" w:rsidRPr="00591D6A" w:rsidTr="00D433EF">
        <w:trPr>
          <w:gridAfter w:val="1"/>
          <w:wAfter w:w="136" w:type="dxa"/>
          <w:trHeight w:val="280"/>
          <w:jc w:val="right"/>
        </w:trPr>
        <w:tc>
          <w:tcPr>
            <w:tcW w:w="512" w:type="dxa"/>
            <w:gridSpan w:val="2"/>
            <w:tcBorders>
              <w:top w:val="nil"/>
              <w:left w:val="nil"/>
              <w:bottom w:val="nil"/>
              <w:right w:val="nil"/>
            </w:tcBorders>
            <w:shd w:val="clear" w:color="auto" w:fill="auto"/>
            <w:noWrap/>
            <w:vAlign w:val="center"/>
            <w:hideMark/>
          </w:tcPr>
          <w:p w:rsidR="00D433EF" w:rsidRDefault="00D433EF" w:rsidP="009C2719">
            <w:pPr>
              <w:spacing w:after="0" w:line="240" w:lineRule="auto"/>
              <w:ind w:left="567" w:hanging="567"/>
              <w:rPr>
                <w:rFonts w:ascii="Times New Roman" w:eastAsia="Times New Roman" w:hAnsi="Times New Roman"/>
                <w:color w:val="000000"/>
                <w:lang w:val="es-ES"/>
              </w:rPr>
            </w:pPr>
            <w:r>
              <w:rPr>
                <w:rFonts w:ascii="Times New Roman" w:eastAsia="Times New Roman" w:hAnsi="Times New Roman"/>
                <w:color w:val="000000"/>
                <w:lang w:val="es-ES"/>
              </w:rPr>
              <w:t>4</w:t>
            </w:r>
          </w:p>
        </w:tc>
        <w:tc>
          <w:tcPr>
            <w:tcW w:w="3970" w:type="dxa"/>
            <w:tcBorders>
              <w:top w:val="nil"/>
              <w:left w:val="nil"/>
              <w:bottom w:val="nil"/>
              <w:right w:val="single" w:sz="4" w:space="0" w:color="auto"/>
            </w:tcBorders>
            <w:shd w:val="clear" w:color="auto" w:fill="auto"/>
            <w:noWrap/>
            <w:vAlign w:val="center"/>
            <w:hideMark/>
          </w:tcPr>
          <w:p w:rsidR="00D433EF" w:rsidRDefault="00D433EF" w:rsidP="009C2719">
            <w:pPr>
              <w:pStyle w:val="Entabla"/>
              <w:rPr>
                <w:b/>
                <w:bCs/>
              </w:rPr>
            </w:pPr>
            <w:r w:rsidRPr="00591D6A">
              <w:t>Beneficios anuales</w:t>
            </w:r>
            <w:r>
              <w:t xml:space="preserve"> UDS</w:t>
            </w:r>
            <w:r w:rsidRPr="00591D6A">
              <w:t xml:space="preserve"> </w:t>
            </w:r>
            <w:r>
              <w:t>por Cohorte</w:t>
            </w:r>
          </w:p>
        </w:tc>
        <w:tc>
          <w:tcPr>
            <w:tcW w:w="1520" w:type="dxa"/>
            <w:tcBorders>
              <w:top w:val="nil"/>
              <w:left w:val="nil"/>
              <w:bottom w:val="nil"/>
              <w:right w:val="single" w:sz="4" w:space="0" w:color="auto"/>
            </w:tcBorders>
            <w:shd w:val="clear" w:color="auto" w:fill="auto"/>
            <w:noWrap/>
            <w:vAlign w:val="center"/>
            <w:hideMark/>
          </w:tcPr>
          <w:p w:rsidR="00D433EF" w:rsidRDefault="00D433EF" w:rsidP="009C2719">
            <w:pPr>
              <w:pStyle w:val="Entabla"/>
              <w:jc w:val="right"/>
              <w:rPr>
                <w:b/>
                <w:bCs/>
              </w:rPr>
            </w:pPr>
            <w:r w:rsidRPr="0067336F">
              <w:t>240.318</w:t>
            </w:r>
          </w:p>
        </w:tc>
        <w:tc>
          <w:tcPr>
            <w:tcW w:w="2379" w:type="dxa"/>
            <w:tcBorders>
              <w:top w:val="nil"/>
              <w:left w:val="nil"/>
              <w:bottom w:val="nil"/>
              <w:right w:val="nil"/>
            </w:tcBorders>
            <w:shd w:val="clear" w:color="auto" w:fill="auto"/>
            <w:noWrap/>
            <w:vAlign w:val="center"/>
            <w:hideMark/>
          </w:tcPr>
          <w:p w:rsidR="00D433EF" w:rsidRDefault="00D433EF" w:rsidP="009C2719">
            <w:pPr>
              <w:pStyle w:val="Entabla"/>
              <w:rPr>
                <w:b/>
                <w:bCs/>
              </w:rPr>
            </w:pPr>
            <w:r>
              <w:t>(1)*(2)*[ 3)-0,4]</w:t>
            </w:r>
          </w:p>
        </w:tc>
      </w:tr>
    </w:tbl>
    <w:p w:rsidR="008D3186" w:rsidRPr="00DD3CE0" w:rsidRDefault="008D3186" w:rsidP="008D3186">
      <w:pPr>
        <w:spacing w:after="0" w:line="480" w:lineRule="auto"/>
        <w:ind w:left="567" w:hanging="567"/>
        <w:jc w:val="both"/>
        <w:rPr>
          <w:rFonts w:ascii="Times New Roman" w:hAnsi="Times New Roman"/>
          <w:sz w:val="10"/>
          <w:szCs w:val="10"/>
          <w:lang w:val="es-ES"/>
        </w:rPr>
      </w:pPr>
    </w:p>
    <w:p w:rsidR="008D3186" w:rsidRDefault="008D3186" w:rsidP="00D433EF">
      <w:pPr>
        <w:pStyle w:val="TItuloAnexo"/>
        <w:numPr>
          <w:ilvl w:val="1"/>
          <w:numId w:val="9"/>
        </w:numPr>
        <w:spacing w:before="0" w:after="120" w:line="240" w:lineRule="auto"/>
        <w:jc w:val="both"/>
        <w:rPr>
          <w:b w:val="0"/>
        </w:rPr>
      </w:pPr>
      <w:r w:rsidRPr="00C75575">
        <w:rPr>
          <w:b w:val="0"/>
        </w:rPr>
        <w:t>En el caso del valor presente de los costos de este subcomponente, se considera la misma fórmula</w:t>
      </w:r>
      <w:r w:rsidR="00D433EF">
        <w:rPr>
          <w:b w:val="0"/>
        </w:rPr>
        <w:t>, pero con un costo total de US$</w:t>
      </w:r>
      <w:r w:rsidRPr="00C75575">
        <w:rPr>
          <w:b w:val="0"/>
        </w:rPr>
        <w:t xml:space="preserve"> </w:t>
      </w:r>
      <w:r w:rsidR="00D433EF" w:rsidRPr="00D433EF">
        <w:rPr>
          <w:b w:val="0"/>
        </w:rPr>
        <w:t>1.677.100.</w:t>
      </w:r>
    </w:p>
    <w:p w:rsidR="00D433EF" w:rsidRPr="00C75575" w:rsidRDefault="00D433EF" w:rsidP="00D433EF">
      <w:pPr>
        <w:pStyle w:val="TItuloAnexo"/>
        <w:numPr>
          <w:ilvl w:val="0"/>
          <w:numId w:val="0"/>
        </w:numPr>
        <w:spacing w:before="0" w:after="120" w:line="240" w:lineRule="auto"/>
        <w:ind w:left="567"/>
        <w:jc w:val="both"/>
        <w:rPr>
          <w:b w:val="0"/>
        </w:rPr>
      </w:pPr>
    </w:p>
    <w:p w:rsidR="00B84211" w:rsidRDefault="00474B5D" w:rsidP="00D433EF">
      <w:pPr>
        <w:pStyle w:val="ListParagraph"/>
        <w:numPr>
          <w:ilvl w:val="0"/>
          <w:numId w:val="4"/>
        </w:numPr>
        <w:spacing w:after="0" w:line="480" w:lineRule="auto"/>
        <w:jc w:val="both"/>
        <w:rPr>
          <w:rFonts w:ascii="Times New Roman" w:hAnsi="Times New Roman"/>
          <w:b/>
          <w:sz w:val="24"/>
          <w:szCs w:val="24"/>
          <w:lang w:val="es-ES"/>
        </w:rPr>
      </w:pPr>
      <w:r w:rsidRPr="00974805">
        <w:rPr>
          <w:rFonts w:ascii="Times New Roman" w:hAnsi="Times New Roman"/>
          <w:b/>
          <w:sz w:val="24"/>
          <w:szCs w:val="24"/>
          <w:lang w:val="es-ES"/>
        </w:rPr>
        <w:t xml:space="preserve"> Resultados, </w:t>
      </w:r>
      <w:r w:rsidR="00714298">
        <w:rPr>
          <w:rFonts w:ascii="Times New Roman" w:hAnsi="Times New Roman"/>
          <w:b/>
          <w:sz w:val="24"/>
          <w:szCs w:val="24"/>
          <w:lang w:val="es-ES"/>
        </w:rPr>
        <w:t>análisis</w:t>
      </w:r>
      <w:r w:rsidR="00FA3356" w:rsidRPr="00974805">
        <w:rPr>
          <w:rFonts w:ascii="Times New Roman" w:hAnsi="Times New Roman"/>
          <w:b/>
          <w:sz w:val="24"/>
          <w:szCs w:val="24"/>
          <w:lang w:val="es-ES"/>
        </w:rPr>
        <w:t xml:space="preserve"> de sensibilidad</w:t>
      </w:r>
      <w:r w:rsidRPr="00974805">
        <w:rPr>
          <w:rFonts w:ascii="Times New Roman" w:hAnsi="Times New Roman"/>
          <w:b/>
          <w:sz w:val="24"/>
          <w:szCs w:val="24"/>
          <w:lang w:val="es-ES"/>
        </w:rPr>
        <w:t xml:space="preserve"> y </w:t>
      </w:r>
      <w:r w:rsidR="00714298">
        <w:rPr>
          <w:rFonts w:ascii="Times New Roman" w:hAnsi="Times New Roman"/>
          <w:b/>
          <w:sz w:val="24"/>
          <w:szCs w:val="24"/>
          <w:lang w:val="es-ES"/>
        </w:rPr>
        <w:t>discusión</w:t>
      </w:r>
      <w:r w:rsidR="00FA3356" w:rsidRPr="00974805">
        <w:rPr>
          <w:rFonts w:ascii="Times New Roman" w:hAnsi="Times New Roman"/>
          <w:b/>
          <w:sz w:val="24"/>
          <w:szCs w:val="24"/>
          <w:lang w:val="es-ES"/>
        </w:rPr>
        <w:t>.</w:t>
      </w:r>
    </w:p>
    <w:p w:rsidR="00B84211" w:rsidRDefault="00FA3356" w:rsidP="00D433EF">
      <w:pPr>
        <w:pStyle w:val="Paragraph"/>
        <w:numPr>
          <w:ilvl w:val="1"/>
          <w:numId w:val="5"/>
        </w:numPr>
        <w:ind w:left="562" w:hanging="562"/>
        <w:rPr>
          <w:szCs w:val="24"/>
        </w:rPr>
      </w:pPr>
      <w:r w:rsidRPr="00974805">
        <w:rPr>
          <w:szCs w:val="24"/>
        </w:rPr>
        <w:t xml:space="preserve">Debido a la gran cantidad de supuestos sobre los que se basa el </w:t>
      </w:r>
      <w:r w:rsidR="00714298">
        <w:rPr>
          <w:szCs w:val="24"/>
        </w:rPr>
        <w:t>análisis</w:t>
      </w:r>
      <w:r w:rsidRPr="00974805">
        <w:rPr>
          <w:szCs w:val="24"/>
        </w:rPr>
        <w:t xml:space="preserve">, presentamos los resultados en paralelo al </w:t>
      </w:r>
      <w:r w:rsidR="00714298">
        <w:rPr>
          <w:szCs w:val="24"/>
        </w:rPr>
        <w:t>análisis</w:t>
      </w:r>
      <w:r w:rsidRPr="00974805">
        <w:rPr>
          <w:szCs w:val="24"/>
        </w:rPr>
        <w:t xml:space="preserve"> de sensibilidad</w:t>
      </w:r>
      <w:r w:rsidR="009918CD" w:rsidRPr="00974805">
        <w:rPr>
          <w:szCs w:val="24"/>
        </w:rPr>
        <w:t xml:space="preserve"> en la Tabla </w:t>
      </w:r>
      <w:r w:rsidR="00BA52C9">
        <w:rPr>
          <w:szCs w:val="24"/>
        </w:rPr>
        <w:t>5</w:t>
      </w:r>
      <w:r w:rsidRPr="00974805">
        <w:rPr>
          <w:szCs w:val="24"/>
        </w:rPr>
        <w:t>.</w:t>
      </w:r>
    </w:p>
    <w:p w:rsidR="00DD3CE0" w:rsidRPr="00D433EF" w:rsidRDefault="00D433EF" w:rsidP="00DD3CE0">
      <w:pPr>
        <w:spacing w:after="0" w:line="240" w:lineRule="auto"/>
        <w:jc w:val="center"/>
        <w:rPr>
          <w:rFonts w:ascii="Times New Roman" w:hAnsi="Times New Roman"/>
          <w:b/>
          <w:lang w:val="es-ES_tradnl"/>
        </w:rPr>
      </w:pPr>
      <w:r>
        <w:rPr>
          <w:rFonts w:ascii="Times New Roman" w:hAnsi="Times New Roman"/>
          <w:b/>
          <w:lang w:val="es-ES_tradnl"/>
        </w:rPr>
        <w:t xml:space="preserve">                 </w:t>
      </w:r>
      <w:r w:rsidRPr="00D433EF">
        <w:rPr>
          <w:rFonts w:ascii="Times New Roman" w:hAnsi="Times New Roman"/>
          <w:b/>
          <w:lang w:val="es-ES_tradnl"/>
        </w:rPr>
        <w:t xml:space="preserve"> </w:t>
      </w:r>
      <w:r w:rsidR="00DD3CE0" w:rsidRPr="00D433EF">
        <w:rPr>
          <w:rFonts w:ascii="Times New Roman" w:hAnsi="Times New Roman"/>
          <w:b/>
          <w:lang w:val="es-ES_tradnl"/>
        </w:rPr>
        <w:t>Tabla 5. Costo-beneficio y escenarios</w:t>
      </w:r>
    </w:p>
    <w:tbl>
      <w:tblPr>
        <w:tblW w:w="8647" w:type="dxa"/>
        <w:jc w:val="center"/>
        <w:tblInd w:w="675" w:type="dxa"/>
        <w:tblLayout w:type="fixed"/>
        <w:tblLook w:val="04A0" w:firstRow="1" w:lastRow="0" w:firstColumn="1" w:lastColumn="0" w:noHBand="0" w:noVBand="1"/>
      </w:tblPr>
      <w:tblGrid>
        <w:gridCol w:w="1843"/>
        <w:gridCol w:w="1701"/>
        <w:gridCol w:w="1559"/>
        <w:gridCol w:w="1560"/>
        <w:gridCol w:w="1134"/>
        <w:gridCol w:w="850"/>
      </w:tblGrid>
      <w:tr w:rsidR="00D433EF" w:rsidRPr="00BB26A9" w:rsidTr="00D433EF">
        <w:trPr>
          <w:trHeight w:val="720"/>
          <w:jc w:val="center"/>
        </w:trPr>
        <w:tc>
          <w:tcPr>
            <w:tcW w:w="1843" w:type="dxa"/>
            <w:tcBorders>
              <w:top w:val="single" w:sz="4" w:space="0" w:color="auto"/>
              <w:left w:val="nil"/>
              <w:bottom w:val="single" w:sz="4" w:space="0" w:color="auto"/>
              <w:right w:val="nil"/>
            </w:tcBorders>
            <w:shd w:val="clear" w:color="auto" w:fill="auto"/>
            <w:noWrap/>
            <w:vAlign w:val="center"/>
            <w:hideMark/>
          </w:tcPr>
          <w:p w:rsidR="00D433EF" w:rsidRPr="007E6104" w:rsidRDefault="00D433EF" w:rsidP="009C2719">
            <w:pPr>
              <w:pStyle w:val="Entabla"/>
              <w:rPr>
                <w:b/>
                <w:lang w:val="es-ES_tradnl"/>
              </w:rPr>
            </w:pPr>
          </w:p>
        </w:tc>
        <w:tc>
          <w:tcPr>
            <w:tcW w:w="1701" w:type="dxa"/>
            <w:tcBorders>
              <w:top w:val="single" w:sz="4" w:space="0" w:color="auto"/>
              <w:left w:val="nil"/>
              <w:bottom w:val="single" w:sz="4" w:space="0" w:color="auto"/>
              <w:right w:val="nil"/>
            </w:tcBorders>
            <w:shd w:val="clear" w:color="auto" w:fill="auto"/>
            <w:vAlign w:val="center"/>
            <w:hideMark/>
          </w:tcPr>
          <w:p w:rsidR="00D433EF" w:rsidRPr="007E6104" w:rsidRDefault="00D433EF" w:rsidP="000532C5">
            <w:pPr>
              <w:pStyle w:val="Entabla"/>
              <w:rPr>
                <w:b/>
              </w:rPr>
            </w:pPr>
            <w:r w:rsidRPr="007E6104">
              <w:rPr>
                <w:b/>
              </w:rPr>
              <w:t>VP Costos (US</w:t>
            </w:r>
            <w:r w:rsidR="000532C5">
              <w:rPr>
                <w:b/>
              </w:rPr>
              <w:t>$</w:t>
            </w:r>
            <w:r w:rsidRPr="007E6104">
              <w:rPr>
                <w:b/>
              </w:rPr>
              <w:t>)</w:t>
            </w:r>
          </w:p>
        </w:tc>
        <w:tc>
          <w:tcPr>
            <w:tcW w:w="1559" w:type="dxa"/>
            <w:tcBorders>
              <w:top w:val="single" w:sz="4" w:space="0" w:color="auto"/>
              <w:left w:val="nil"/>
              <w:bottom w:val="single" w:sz="4" w:space="0" w:color="auto"/>
              <w:right w:val="nil"/>
            </w:tcBorders>
            <w:shd w:val="clear" w:color="auto" w:fill="auto"/>
            <w:vAlign w:val="center"/>
            <w:hideMark/>
          </w:tcPr>
          <w:p w:rsidR="00D433EF" w:rsidRPr="007E6104" w:rsidRDefault="00D433EF" w:rsidP="009C2719">
            <w:pPr>
              <w:pStyle w:val="Entabla"/>
              <w:rPr>
                <w:b/>
              </w:rPr>
            </w:pPr>
            <w:r w:rsidRPr="007E6104">
              <w:rPr>
                <w:b/>
              </w:rPr>
              <w:t>VP Beneficios</w:t>
            </w:r>
            <w:r>
              <w:rPr>
                <w:b/>
              </w:rPr>
              <w:t xml:space="preserve"> </w:t>
            </w:r>
          </w:p>
          <w:p w:rsidR="00D433EF" w:rsidRPr="007E6104" w:rsidRDefault="00D433EF" w:rsidP="000532C5">
            <w:pPr>
              <w:pStyle w:val="Entabla"/>
              <w:rPr>
                <w:b/>
              </w:rPr>
            </w:pPr>
            <w:r w:rsidRPr="007E6104">
              <w:rPr>
                <w:b/>
              </w:rPr>
              <w:t>(US</w:t>
            </w:r>
            <w:r w:rsidR="000532C5">
              <w:rPr>
                <w:b/>
              </w:rPr>
              <w:t>$</w:t>
            </w:r>
            <w:r w:rsidRPr="007E6104">
              <w:rPr>
                <w:b/>
              </w:rPr>
              <w:t>)</w:t>
            </w:r>
          </w:p>
        </w:tc>
        <w:tc>
          <w:tcPr>
            <w:tcW w:w="1560" w:type="dxa"/>
            <w:tcBorders>
              <w:top w:val="single" w:sz="4" w:space="0" w:color="auto"/>
              <w:left w:val="nil"/>
              <w:bottom w:val="single" w:sz="4" w:space="0" w:color="auto"/>
              <w:right w:val="nil"/>
            </w:tcBorders>
            <w:shd w:val="clear" w:color="auto" w:fill="auto"/>
            <w:vAlign w:val="center"/>
            <w:hideMark/>
          </w:tcPr>
          <w:p w:rsidR="00D433EF" w:rsidRPr="007E6104" w:rsidRDefault="00D433EF" w:rsidP="000532C5">
            <w:pPr>
              <w:pStyle w:val="Entabla"/>
              <w:rPr>
                <w:b/>
              </w:rPr>
            </w:pPr>
            <w:r w:rsidRPr="007E6104">
              <w:rPr>
                <w:b/>
              </w:rPr>
              <w:t>Valor Presente Neto (US</w:t>
            </w:r>
            <w:r w:rsidR="000532C5">
              <w:rPr>
                <w:b/>
              </w:rPr>
              <w:t>$</w:t>
            </w:r>
            <w:r w:rsidRPr="007E6104">
              <w:rPr>
                <w:b/>
              </w:rPr>
              <w:t>)</w:t>
            </w:r>
          </w:p>
        </w:tc>
        <w:tc>
          <w:tcPr>
            <w:tcW w:w="1134" w:type="dxa"/>
            <w:tcBorders>
              <w:top w:val="single" w:sz="4" w:space="0" w:color="auto"/>
              <w:left w:val="nil"/>
              <w:bottom w:val="single" w:sz="4" w:space="0" w:color="auto"/>
              <w:right w:val="nil"/>
            </w:tcBorders>
            <w:shd w:val="clear" w:color="auto" w:fill="auto"/>
            <w:vAlign w:val="center"/>
            <w:hideMark/>
          </w:tcPr>
          <w:p w:rsidR="00D433EF" w:rsidRPr="007E6104" w:rsidRDefault="00D433EF" w:rsidP="009C2719">
            <w:pPr>
              <w:pStyle w:val="Entabla"/>
              <w:rPr>
                <w:b/>
              </w:rPr>
            </w:pPr>
            <w:r w:rsidRPr="007E6104">
              <w:rPr>
                <w:b/>
              </w:rPr>
              <w:t>Razón Beneficio/Costo</w:t>
            </w:r>
          </w:p>
        </w:tc>
        <w:tc>
          <w:tcPr>
            <w:tcW w:w="850" w:type="dxa"/>
            <w:tcBorders>
              <w:top w:val="single" w:sz="4" w:space="0" w:color="auto"/>
              <w:left w:val="nil"/>
              <w:bottom w:val="single" w:sz="4" w:space="0" w:color="auto"/>
              <w:right w:val="nil"/>
            </w:tcBorders>
            <w:shd w:val="clear" w:color="auto" w:fill="auto"/>
            <w:vAlign w:val="center"/>
          </w:tcPr>
          <w:p w:rsidR="00D433EF" w:rsidRDefault="00D433EF" w:rsidP="009C2719">
            <w:pPr>
              <w:pStyle w:val="Entabla"/>
              <w:rPr>
                <w:b/>
              </w:rPr>
            </w:pPr>
            <w:r w:rsidRPr="007E6104">
              <w:rPr>
                <w:b/>
              </w:rPr>
              <w:t>T</w:t>
            </w:r>
            <w:r>
              <w:rPr>
                <w:b/>
              </w:rPr>
              <w:t>IR</w:t>
            </w:r>
          </w:p>
          <w:p w:rsidR="00D433EF" w:rsidRPr="007E6104" w:rsidRDefault="00D433EF" w:rsidP="009C2719">
            <w:pPr>
              <w:pStyle w:val="Entabla"/>
              <w:rPr>
                <w:b/>
              </w:rPr>
            </w:pPr>
            <w:r w:rsidRPr="007E6104">
              <w:rPr>
                <w:b/>
              </w:rPr>
              <w:t>Social</w:t>
            </w:r>
          </w:p>
        </w:tc>
      </w:tr>
      <w:tr w:rsidR="00D433EF" w:rsidRPr="00BB26A9" w:rsidTr="00D433EF">
        <w:trPr>
          <w:trHeight w:val="300"/>
          <w:jc w:val="center"/>
        </w:trPr>
        <w:tc>
          <w:tcPr>
            <w:tcW w:w="1843" w:type="dxa"/>
            <w:tcBorders>
              <w:top w:val="nil"/>
              <w:left w:val="nil"/>
              <w:bottom w:val="single" w:sz="4" w:space="0" w:color="auto"/>
              <w:right w:val="nil"/>
            </w:tcBorders>
            <w:shd w:val="clear" w:color="auto" w:fill="auto"/>
            <w:noWrap/>
            <w:vAlign w:val="center"/>
            <w:hideMark/>
          </w:tcPr>
          <w:p w:rsidR="00D433EF" w:rsidRPr="007E6104" w:rsidRDefault="00D433EF" w:rsidP="009C2719">
            <w:pPr>
              <w:pStyle w:val="Entabla"/>
              <w:rPr>
                <w:b/>
                <w:lang w:val="es-ES_tradnl"/>
              </w:rPr>
            </w:pPr>
            <w:r w:rsidRPr="007E6104">
              <w:rPr>
                <w:b/>
                <w:lang w:val="es-ES_tradnl"/>
              </w:rPr>
              <w:t>Escenario 1-Base</w:t>
            </w:r>
          </w:p>
        </w:tc>
        <w:tc>
          <w:tcPr>
            <w:tcW w:w="1701" w:type="dxa"/>
            <w:tcBorders>
              <w:top w:val="nil"/>
              <w:left w:val="nil"/>
              <w:bottom w:val="single" w:sz="4" w:space="0" w:color="auto"/>
              <w:right w:val="nil"/>
            </w:tcBorders>
            <w:shd w:val="clear" w:color="auto" w:fill="auto"/>
            <w:noWrap/>
            <w:vAlign w:val="center"/>
            <w:hideMark/>
          </w:tcPr>
          <w:p w:rsidR="00D433EF" w:rsidRPr="007E6104" w:rsidRDefault="00D433EF" w:rsidP="009C2719">
            <w:pPr>
              <w:pStyle w:val="Entabla"/>
              <w:rPr>
                <w:b/>
                <w:lang w:val="es-ES_tradnl"/>
              </w:rPr>
            </w:pPr>
            <w:r w:rsidRPr="007E6104">
              <w:rPr>
                <w:b/>
                <w:lang w:val="es-ES_tradnl"/>
              </w:rPr>
              <w:t> </w:t>
            </w:r>
          </w:p>
        </w:tc>
        <w:tc>
          <w:tcPr>
            <w:tcW w:w="1559" w:type="dxa"/>
            <w:tcBorders>
              <w:top w:val="nil"/>
              <w:left w:val="nil"/>
              <w:bottom w:val="single" w:sz="4" w:space="0" w:color="auto"/>
              <w:right w:val="nil"/>
            </w:tcBorders>
            <w:shd w:val="clear" w:color="auto" w:fill="auto"/>
            <w:noWrap/>
            <w:vAlign w:val="center"/>
            <w:hideMark/>
          </w:tcPr>
          <w:p w:rsidR="00D433EF" w:rsidRPr="007E6104" w:rsidRDefault="00D433EF" w:rsidP="009C2719">
            <w:pPr>
              <w:pStyle w:val="Entabla"/>
              <w:rPr>
                <w:b/>
                <w:lang w:val="es-ES_tradnl"/>
              </w:rPr>
            </w:pPr>
            <w:r w:rsidRPr="007E6104">
              <w:rPr>
                <w:b/>
                <w:lang w:val="es-ES_tradnl"/>
              </w:rPr>
              <w:t> </w:t>
            </w:r>
          </w:p>
        </w:tc>
        <w:tc>
          <w:tcPr>
            <w:tcW w:w="1560" w:type="dxa"/>
            <w:tcBorders>
              <w:top w:val="nil"/>
              <w:left w:val="nil"/>
              <w:bottom w:val="single" w:sz="4" w:space="0" w:color="auto"/>
              <w:right w:val="nil"/>
            </w:tcBorders>
            <w:shd w:val="clear" w:color="auto" w:fill="auto"/>
            <w:noWrap/>
            <w:vAlign w:val="center"/>
            <w:hideMark/>
          </w:tcPr>
          <w:p w:rsidR="00D433EF" w:rsidRPr="007E6104" w:rsidRDefault="00D433EF" w:rsidP="009C2719">
            <w:pPr>
              <w:pStyle w:val="Entabla"/>
              <w:rPr>
                <w:b/>
                <w:lang w:val="es-ES_tradnl"/>
              </w:rPr>
            </w:pPr>
            <w:r w:rsidRPr="007E6104">
              <w:rPr>
                <w:b/>
                <w:lang w:val="es-ES_tradnl"/>
              </w:rPr>
              <w:t> </w:t>
            </w:r>
          </w:p>
        </w:tc>
        <w:tc>
          <w:tcPr>
            <w:tcW w:w="1134" w:type="dxa"/>
            <w:tcBorders>
              <w:top w:val="nil"/>
              <w:left w:val="nil"/>
              <w:bottom w:val="single" w:sz="4" w:space="0" w:color="auto"/>
              <w:right w:val="nil"/>
            </w:tcBorders>
            <w:shd w:val="clear" w:color="auto" w:fill="auto"/>
            <w:noWrap/>
            <w:vAlign w:val="center"/>
            <w:hideMark/>
          </w:tcPr>
          <w:p w:rsidR="00D433EF" w:rsidRPr="007E6104" w:rsidRDefault="00D433EF" w:rsidP="009C2719">
            <w:pPr>
              <w:pStyle w:val="Entabla"/>
              <w:rPr>
                <w:b/>
                <w:lang w:val="es-ES_tradnl"/>
              </w:rPr>
            </w:pPr>
            <w:r w:rsidRPr="007E6104">
              <w:rPr>
                <w:b/>
                <w:lang w:val="es-ES_tradnl"/>
              </w:rPr>
              <w:t> </w:t>
            </w:r>
          </w:p>
        </w:tc>
        <w:tc>
          <w:tcPr>
            <w:tcW w:w="850" w:type="dxa"/>
            <w:tcBorders>
              <w:top w:val="nil"/>
              <w:left w:val="nil"/>
              <w:bottom w:val="single" w:sz="4" w:space="0" w:color="auto"/>
              <w:right w:val="nil"/>
            </w:tcBorders>
            <w:shd w:val="clear" w:color="auto" w:fill="auto"/>
          </w:tcPr>
          <w:p w:rsidR="00D433EF" w:rsidRPr="007E6104" w:rsidRDefault="00D433EF" w:rsidP="009C2719">
            <w:pPr>
              <w:pStyle w:val="Entabla"/>
              <w:rPr>
                <w:b/>
                <w:lang w:val="es-ES_tradnl"/>
              </w:rPr>
            </w:pPr>
          </w:p>
        </w:tc>
      </w:tr>
      <w:tr w:rsidR="00D433EF" w:rsidRPr="00207204" w:rsidTr="00D433EF">
        <w:trPr>
          <w:trHeight w:val="300"/>
          <w:jc w:val="center"/>
        </w:trPr>
        <w:tc>
          <w:tcPr>
            <w:tcW w:w="1843" w:type="dxa"/>
            <w:tcBorders>
              <w:top w:val="nil"/>
              <w:left w:val="nil"/>
              <w:bottom w:val="nil"/>
              <w:right w:val="nil"/>
            </w:tcBorders>
            <w:shd w:val="clear" w:color="auto" w:fill="auto"/>
            <w:noWrap/>
            <w:vAlign w:val="center"/>
          </w:tcPr>
          <w:p w:rsidR="00D433EF" w:rsidRPr="007E6104" w:rsidRDefault="00D433EF" w:rsidP="009C2719">
            <w:pPr>
              <w:pStyle w:val="Entabla"/>
            </w:pPr>
          </w:p>
        </w:tc>
        <w:tc>
          <w:tcPr>
            <w:tcW w:w="1701" w:type="dxa"/>
            <w:tcBorders>
              <w:top w:val="nil"/>
              <w:left w:val="nil"/>
              <w:bottom w:val="nil"/>
              <w:right w:val="nil"/>
            </w:tcBorders>
            <w:shd w:val="clear" w:color="auto" w:fill="auto"/>
            <w:noWrap/>
            <w:vAlign w:val="center"/>
          </w:tcPr>
          <w:p w:rsidR="00D433EF" w:rsidRPr="007E6104" w:rsidRDefault="00D433EF" w:rsidP="009C2719">
            <w:pPr>
              <w:pStyle w:val="Entabla"/>
            </w:pPr>
          </w:p>
        </w:tc>
        <w:tc>
          <w:tcPr>
            <w:tcW w:w="1559" w:type="dxa"/>
            <w:tcBorders>
              <w:top w:val="nil"/>
              <w:left w:val="nil"/>
              <w:bottom w:val="nil"/>
              <w:right w:val="nil"/>
            </w:tcBorders>
            <w:shd w:val="clear" w:color="auto" w:fill="auto"/>
            <w:noWrap/>
            <w:vAlign w:val="center"/>
          </w:tcPr>
          <w:p w:rsidR="00D433EF" w:rsidRPr="007E6104" w:rsidRDefault="00D433EF" w:rsidP="009C2719">
            <w:pPr>
              <w:pStyle w:val="Entabla"/>
            </w:pPr>
          </w:p>
        </w:tc>
        <w:tc>
          <w:tcPr>
            <w:tcW w:w="1560" w:type="dxa"/>
            <w:tcBorders>
              <w:top w:val="nil"/>
              <w:left w:val="nil"/>
              <w:bottom w:val="nil"/>
              <w:right w:val="nil"/>
            </w:tcBorders>
            <w:shd w:val="clear" w:color="auto" w:fill="auto"/>
            <w:noWrap/>
            <w:vAlign w:val="center"/>
          </w:tcPr>
          <w:p w:rsidR="00D433EF" w:rsidRPr="007E6104" w:rsidRDefault="00D433EF" w:rsidP="009C2719">
            <w:pPr>
              <w:pStyle w:val="Entabla"/>
            </w:pPr>
          </w:p>
        </w:tc>
        <w:tc>
          <w:tcPr>
            <w:tcW w:w="1134" w:type="dxa"/>
            <w:tcBorders>
              <w:top w:val="nil"/>
              <w:left w:val="nil"/>
              <w:bottom w:val="nil"/>
              <w:right w:val="nil"/>
            </w:tcBorders>
            <w:shd w:val="clear" w:color="auto" w:fill="auto"/>
            <w:noWrap/>
            <w:vAlign w:val="center"/>
          </w:tcPr>
          <w:p w:rsidR="00D433EF" w:rsidRPr="007E6104" w:rsidRDefault="00D433EF" w:rsidP="009C2719">
            <w:pPr>
              <w:pStyle w:val="Entabla"/>
            </w:pPr>
          </w:p>
        </w:tc>
        <w:tc>
          <w:tcPr>
            <w:tcW w:w="850" w:type="dxa"/>
            <w:tcBorders>
              <w:top w:val="nil"/>
              <w:left w:val="nil"/>
              <w:bottom w:val="nil"/>
              <w:right w:val="nil"/>
            </w:tcBorders>
            <w:shd w:val="clear" w:color="auto" w:fill="auto"/>
          </w:tcPr>
          <w:p w:rsidR="00D433EF" w:rsidRPr="007E6104" w:rsidRDefault="00D433EF" w:rsidP="009C2719">
            <w:pPr>
              <w:pStyle w:val="Entabla"/>
            </w:pPr>
          </w:p>
        </w:tc>
      </w:tr>
      <w:tr w:rsidR="00D433EF" w:rsidRPr="00207204" w:rsidTr="00D433EF">
        <w:trPr>
          <w:trHeight w:val="300"/>
          <w:jc w:val="center"/>
        </w:trPr>
        <w:tc>
          <w:tcPr>
            <w:tcW w:w="1843" w:type="dxa"/>
            <w:tcBorders>
              <w:top w:val="nil"/>
              <w:left w:val="nil"/>
              <w:bottom w:val="nil"/>
              <w:right w:val="nil"/>
            </w:tcBorders>
            <w:shd w:val="clear" w:color="auto" w:fill="auto"/>
            <w:noWrap/>
            <w:vAlign w:val="center"/>
            <w:hideMark/>
          </w:tcPr>
          <w:p w:rsidR="00D433EF" w:rsidRPr="00D07C6A" w:rsidRDefault="00D433EF" w:rsidP="009C2719">
            <w:pPr>
              <w:pStyle w:val="Entabla"/>
              <w:rPr>
                <w:b/>
              </w:rPr>
            </w:pPr>
            <w:r w:rsidRPr="00D07C6A">
              <w:rPr>
                <w:b/>
              </w:rPr>
              <w:t>Componente 1-Información</w:t>
            </w:r>
          </w:p>
        </w:tc>
        <w:tc>
          <w:tcPr>
            <w:tcW w:w="1701" w:type="dxa"/>
            <w:tcBorders>
              <w:top w:val="nil"/>
              <w:left w:val="nil"/>
              <w:bottom w:val="nil"/>
              <w:right w:val="nil"/>
            </w:tcBorders>
            <w:shd w:val="clear" w:color="auto" w:fill="auto"/>
            <w:noWrap/>
            <w:vAlign w:val="center"/>
            <w:hideMark/>
          </w:tcPr>
          <w:p w:rsidR="00D433EF" w:rsidRPr="00D07C6A" w:rsidRDefault="00D433EF" w:rsidP="009C2719">
            <w:pPr>
              <w:pStyle w:val="Entabla"/>
              <w:rPr>
                <w:b/>
              </w:rPr>
            </w:pPr>
            <w:r w:rsidRPr="00AB232D">
              <w:rPr>
                <w:b/>
              </w:rPr>
              <w:t>6.828.764</w:t>
            </w:r>
          </w:p>
        </w:tc>
        <w:tc>
          <w:tcPr>
            <w:tcW w:w="1559" w:type="dxa"/>
            <w:tcBorders>
              <w:top w:val="nil"/>
              <w:left w:val="nil"/>
              <w:bottom w:val="nil"/>
              <w:right w:val="nil"/>
            </w:tcBorders>
            <w:shd w:val="clear" w:color="auto" w:fill="auto"/>
            <w:noWrap/>
            <w:vAlign w:val="center"/>
            <w:hideMark/>
          </w:tcPr>
          <w:p w:rsidR="00D433EF" w:rsidRPr="00D07C6A" w:rsidRDefault="00D433EF" w:rsidP="009C2719">
            <w:pPr>
              <w:pStyle w:val="Entabla"/>
              <w:rPr>
                <w:b/>
              </w:rPr>
            </w:pPr>
            <w:r w:rsidRPr="00A95D49">
              <w:rPr>
                <w:b/>
              </w:rPr>
              <w:t>35.530.330</w:t>
            </w:r>
          </w:p>
        </w:tc>
        <w:tc>
          <w:tcPr>
            <w:tcW w:w="1560" w:type="dxa"/>
            <w:tcBorders>
              <w:top w:val="nil"/>
              <w:left w:val="nil"/>
              <w:bottom w:val="nil"/>
              <w:right w:val="nil"/>
            </w:tcBorders>
            <w:shd w:val="clear" w:color="auto" w:fill="auto"/>
            <w:noWrap/>
            <w:vAlign w:val="center"/>
            <w:hideMark/>
          </w:tcPr>
          <w:p w:rsidR="00D433EF" w:rsidRPr="00D07C6A" w:rsidRDefault="00D433EF" w:rsidP="009C2719">
            <w:pPr>
              <w:pStyle w:val="Entabla"/>
              <w:rPr>
                <w:b/>
              </w:rPr>
            </w:pPr>
            <w:r w:rsidRPr="00AB232D">
              <w:rPr>
                <w:b/>
              </w:rPr>
              <w:t>28.701.566</w:t>
            </w:r>
          </w:p>
        </w:tc>
        <w:tc>
          <w:tcPr>
            <w:tcW w:w="1134" w:type="dxa"/>
            <w:tcBorders>
              <w:top w:val="nil"/>
              <w:left w:val="nil"/>
              <w:bottom w:val="nil"/>
              <w:right w:val="nil"/>
            </w:tcBorders>
            <w:shd w:val="clear" w:color="auto" w:fill="auto"/>
            <w:noWrap/>
            <w:vAlign w:val="center"/>
            <w:hideMark/>
          </w:tcPr>
          <w:p w:rsidR="00D433EF" w:rsidRPr="00D07C6A" w:rsidRDefault="00D433EF" w:rsidP="009C2719">
            <w:pPr>
              <w:pStyle w:val="Entabla"/>
              <w:rPr>
                <w:b/>
                <w:bCs/>
              </w:rPr>
            </w:pPr>
            <w:r>
              <w:rPr>
                <w:b/>
              </w:rPr>
              <w:t>5</w:t>
            </w:r>
            <w:r w:rsidRPr="00D07C6A">
              <w:rPr>
                <w:b/>
              </w:rPr>
              <w:t>,</w:t>
            </w:r>
            <w:r>
              <w:rPr>
                <w:b/>
              </w:rPr>
              <w:t>20</w:t>
            </w:r>
          </w:p>
        </w:tc>
        <w:tc>
          <w:tcPr>
            <w:tcW w:w="850" w:type="dxa"/>
            <w:tcBorders>
              <w:top w:val="nil"/>
              <w:left w:val="nil"/>
              <w:bottom w:val="nil"/>
              <w:right w:val="nil"/>
            </w:tcBorders>
            <w:shd w:val="clear" w:color="auto" w:fill="auto"/>
            <w:vAlign w:val="center"/>
          </w:tcPr>
          <w:p w:rsidR="00D433EF" w:rsidRPr="00D07C6A" w:rsidRDefault="00D433EF" w:rsidP="009C2719">
            <w:pPr>
              <w:pStyle w:val="Entabla"/>
              <w:rPr>
                <w:b/>
                <w:bCs/>
              </w:rPr>
            </w:pPr>
            <w:r>
              <w:rPr>
                <w:b/>
              </w:rPr>
              <w:t>50</w:t>
            </w:r>
            <w:r w:rsidRPr="00D07C6A">
              <w:rPr>
                <w:b/>
              </w:rPr>
              <w:t>%</w:t>
            </w:r>
          </w:p>
        </w:tc>
      </w:tr>
      <w:tr w:rsidR="00D433EF" w:rsidRPr="00207204" w:rsidTr="00D433EF">
        <w:trPr>
          <w:trHeight w:val="300"/>
          <w:jc w:val="center"/>
        </w:trPr>
        <w:tc>
          <w:tcPr>
            <w:tcW w:w="1843" w:type="dxa"/>
            <w:tcBorders>
              <w:top w:val="nil"/>
              <w:left w:val="nil"/>
              <w:bottom w:val="nil"/>
              <w:right w:val="nil"/>
            </w:tcBorders>
            <w:shd w:val="clear" w:color="auto" w:fill="auto"/>
            <w:noWrap/>
            <w:vAlign w:val="center"/>
            <w:hideMark/>
          </w:tcPr>
          <w:p w:rsidR="00D433EF" w:rsidRPr="00D07C6A" w:rsidRDefault="00D433EF" w:rsidP="009C2719">
            <w:pPr>
              <w:pStyle w:val="Entabla"/>
              <w:rPr>
                <w:b/>
              </w:rPr>
            </w:pPr>
            <w:r w:rsidRPr="00D07C6A">
              <w:rPr>
                <w:b/>
              </w:rPr>
              <w:t>Componente 2-Prevención</w:t>
            </w:r>
          </w:p>
        </w:tc>
        <w:tc>
          <w:tcPr>
            <w:tcW w:w="1701" w:type="dxa"/>
            <w:tcBorders>
              <w:top w:val="nil"/>
              <w:left w:val="nil"/>
              <w:bottom w:val="nil"/>
              <w:right w:val="nil"/>
            </w:tcBorders>
            <w:shd w:val="clear" w:color="auto" w:fill="auto"/>
            <w:noWrap/>
            <w:vAlign w:val="center"/>
            <w:hideMark/>
          </w:tcPr>
          <w:p w:rsidR="00D433EF" w:rsidRPr="00D07C6A" w:rsidRDefault="00D433EF" w:rsidP="009C2719">
            <w:pPr>
              <w:pStyle w:val="Entabla"/>
              <w:rPr>
                <w:b/>
              </w:rPr>
            </w:pPr>
            <w:r w:rsidRPr="00783D49">
              <w:rPr>
                <w:b/>
              </w:rPr>
              <w:t>6.786.543</w:t>
            </w:r>
          </w:p>
        </w:tc>
        <w:tc>
          <w:tcPr>
            <w:tcW w:w="1559" w:type="dxa"/>
            <w:tcBorders>
              <w:top w:val="nil"/>
              <w:left w:val="nil"/>
              <w:bottom w:val="nil"/>
              <w:right w:val="nil"/>
            </w:tcBorders>
            <w:shd w:val="clear" w:color="auto" w:fill="auto"/>
            <w:noWrap/>
            <w:vAlign w:val="center"/>
            <w:hideMark/>
          </w:tcPr>
          <w:p w:rsidR="00D433EF" w:rsidRPr="00D07C6A" w:rsidRDefault="00D433EF" w:rsidP="009C2719">
            <w:pPr>
              <w:pStyle w:val="Entabla"/>
              <w:rPr>
                <w:b/>
              </w:rPr>
            </w:pPr>
            <w:r w:rsidRPr="00783D49">
              <w:rPr>
                <w:b/>
              </w:rPr>
              <w:t>14.543.538</w:t>
            </w:r>
          </w:p>
        </w:tc>
        <w:tc>
          <w:tcPr>
            <w:tcW w:w="1560" w:type="dxa"/>
            <w:tcBorders>
              <w:top w:val="nil"/>
              <w:left w:val="nil"/>
              <w:bottom w:val="nil"/>
              <w:right w:val="nil"/>
            </w:tcBorders>
            <w:shd w:val="clear" w:color="auto" w:fill="auto"/>
            <w:noWrap/>
            <w:vAlign w:val="center"/>
            <w:hideMark/>
          </w:tcPr>
          <w:p w:rsidR="00D433EF" w:rsidRPr="00D07C6A" w:rsidRDefault="00D433EF" w:rsidP="009C2719">
            <w:pPr>
              <w:pStyle w:val="Entabla"/>
              <w:rPr>
                <w:b/>
              </w:rPr>
            </w:pPr>
            <w:r w:rsidRPr="00783D49">
              <w:rPr>
                <w:b/>
              </w:rPr>
              <w:t>7.756.995</w:t>
            </w:r>
          </w:p>
        </w:tc>
        <w:tc>
          <w:tcPr>
            <w:tcW w:w="1134" w:type="dxa"/>
            <w:tcBorders>
              <w:top w:val="nil"/>
              <w:left w:val="nil"/>
              <w:bottom w:val="nil"/>
              <w:right w:val="nil"/>
            </w:tcBorders>
            <w:shd w:val="clear" w:color="auto" w:fill="auto"/>
            <w:noWrap/>
            <w:vAlign w:val="center"/>
            <w:hideMark/>
          </w:tcPr>
          <w:p w:rsidR="00D433EF" w:rsidRPr="00D07C6A" w:rsidRDefault="00D433EF" w:rsidP="009C2719">
            <w:pPr>
              <w:pStyle w:val="Entabla"/>
              <w:rPr>
                <w:b/>
                <w:bCs/>
              </w:rPr>
            </w:pPr>
            <w:r>
              <w:rPr>
                <w:b/>
              </w:rPr>
              <w:t>2,14</w:t>
            </w:r>
          </w:p>
        </w:tc>
        <w:tc>
          <w:tcPr>
            <w:tcW w:w="850" w:type="dxa"/>
            <w:tcBorders>
              <w:top w:val="nil"/>
              <w:left w:val="nil"/>
              <w:bottom w:val="nil"/>
              <w:right w:val="nil"/>
            </w:tcBorders>
            <w:shd w:val="clear" w:color="auto" w:fill="auto"/>
            <w:vAlign w:val="center"/>
          </w:tcPr>
          <w:p w:rsidR="00D433EF" w:rsidRPr="00D07C6A" w:rsidRDefault="00D433EF" w:rsidP="009C2719">
            <w:pPr>
              <w:pStyle w:val="Entabla"/>
              <w:rPr>
                <w:b/>
                <w:bCs/>
              </w:rPr>
            </w:pPr>
            <w:r>
              <w:rPr>
                <w:b/>
              </w:rPr>
              <w:t>24</w:t>
            </w:r>
            <w:r w:rsidRPr="00D07C6A">
              <w:rPr>
                <w:b/>
              </w:rPr>
              <w:t>%</w:t>
            </w:r>
          </w:p>
        </w:tc>
      </w:tr>
      <w:tr w:rsidR="00D433EF" w:rsidRPr="00207204" w:rsidTr="00D433EF">
        <w:trPr>
          <w:trHeight w:val="300"/>
          <w:jc w:val="center"/>
        </w:trPr>
        <w:tc>
          <w:tcPr>
            <w:tcW w:w="1843" w:type="dxa"/>
            <w:tcBorders>
              <w:top w:val="nil"/>
              <w:left w:val="nil"/>
              <w:bottom w:val="nil"/>
              <w:right w:val="nil"/>
            </w:tcBorders>
            <w:shd w:val="clear" w:color="auto" w:fill="auto"/>
            <w:noWrap/>
            <w:vAlign w:val="center"/>
          </w:tcPr>
          <w:p w:rsidR="00D433EF" w:rsidRDefault="00D433EF" w:rsidP="009C2719">
            <w:pPr>
              <w:pStyle w:val="Entabla"/>
            </w:pPr>
            <w:r>
              <w:t>Subcomponente 1</w:t>
            </w:r>
          </w:p>
        </w:tc>
        <w:tc>
          <w:tcPr>
            <w:tcW w:w="1701" w:type="dxa"/>
            <w:tcBorders>
              <w:top w:val="nil"/>
              <w:left w:val="nil"/>
              <w:bottom w:val="nil"/>
              <w:right w:val="nil"/>
            </w:tcBorders>
            <w:shd w:val="clear" w:color="auto" w:fill="auto"/>
            <w:noWrap/>
            <w:vAlign w:val="center"/>
          </w:tcPr>
          <w:p w:rsidR="00D433EF" w:rsidRPr="00F822B6" w:rsidRDefault="00D433EF" w:rsidP="009C2719">
            <w:pPr>
              <w:pStyle w:val="Entabla"/>
            </w:pPr>
            <w:r w:rsidRPr="00042407">
              <w:t>4.829.593</w:t>
            </w:r>
          </w:p>
        </w:tc>
        <w:tc>
          <w:tcPr>
            <w:tcW w:w="1559" w:type="dxa"/>
            <w:tcBorders>
              <w:top w:val="nil"/>
              <w:left w:val="nil"/>
              <w:bottom w:val="nil"/>
              <w:right w:val="nil"/>
            </w:tcBorders>
            <w:shd w:val="clear" w:color="auto" w:fill="auto"/>
            <w:noWrap/>
            <w:vAlign w:val="center"/>
          </w:tcPr>
          <w:p w:rsidR="00D433EF" w:rsidRPr="00F8090C" w:rsidRDefault="00D433EF" w:rsidP="009C2719">
            <w:pPr>
              <w:pStyle w:val="Entabla"/>
            </w:pPr>
            <w:r w:rsidRPr="00042407">
              <w:t>7.751.511</w:t>
            </w:r>
          </w:p>
        </w:tc>
        <w:tc>
          <w:tcPr>
            <w:tcW w:w="1560" w:type="dxa"/>
            <w:tcBorders>
              <w:top w:val="nil"/>
              <w:left w:val="nil"/>
              <w:bottom w:val="nil"/>
              <w:right w:val="nil"/>
            </w:tcBorders>
            <w:shd w:val="clear" w:color="auto" w:fill="auto"/>
            <w:noWrap/>
            <w:vAlign w:val="center"/>
          </w:tcPr>
          <w:p w:rsidR="00D433EF" w:rsidRPr="00937C74" w:rsidRDefault="00D433EF" w:rsidP="009C2719">
            <w:pPr>
              <w:pStyle w:val="Entabla"/>
            </w:pPr>
            <w:r w:rsidRPr="00042407">
              <w:t>2.921.918</w:t>
            </w:r>
          </w:p>
        </w:tc>
        <w:tc>
          <w:tcPr>
            <w:tcW w:w="1134" w:type="dxa"/>
            <w:tcBorders>
              <w:top w:val="nil"/>
              <w:left w:val="nil"/>
              <w:bottom w:val="nil"/>
              <w:right w:val="nil"/>
            </w:tcBorders>
            <w:shd w:val="clear" w:color="auto" w:fill="auto"/>
            <w:noWrap/>
            <w:vAlign w:val="center"/>
          </w:tcPr>
          <w:p w:rsidR="00D433EF" w:rsidRDefault="00D433EF" w:rsidP="009C2719">
            <w:pPr>
              <w:pStyle w:val="Entabla"/>
            </w:pPr>
            <w:r>
              <w:t>1,61</w:t>
            </w:r>
          </w:p>
        </w:tc>
        <w:tc>
          <w:tcPr>
            <w:tcW w:w="850" w:type="dxa"/>
            <w:tcBorders>
              <w:top w:val="nil"/>
              <w:left w:val="nil"/>
              <w:bottom w:val="nil"/>
              <w:right w:val="nil"/>
            </w:tcBorders>
            <w:shd w:val="clear" w:color="auto" w:fill="auto"/>
            <w:vAlign w:val="center"/>
          </w:tcPr>
          <w:p w:rsidR="00D433EF" w:rsidRDefault="00D433EF" w:rsidP="009C2719">
            <w:pPr>
              <w:pStyle w:val="Entabla"/>
            </w:pPr>
            <w:r>
              <w:t>22%</w:t>
            </w:r>
          </w:p>
        </w:tc>
      </w:tr>
      <w:tr w:rsidR="00D433EF" w:rsidRPr="00207204" w:rsidTr="00D433EF">
        <w:trPr>
          <w:trHeight w:val="300"/>
          <w:jc w:val="center"/>
        </w:trPr>
        <w:tc>
          <w:tcPr>
            <w:tcW w:w="1843" w:type="dxa"/>
            <w:tcBorders>
              <w:top w:val="nil"/>
              <w:left w:val="nil"/>
              <w:bottom w:val="nil"/>
              <w:right w:val="nil"/>
            </w:tcBorders>
            <w:shd w:val="clear" w:color="auto" w:fill="auto"/>
            <w:noWrap/>
            <w:vAlign w:val="center"/>
          </w:tcPr>
          <w:p w:rsidR="00D433EF" w:rsidRDefault="00D433EF" w:rsidP="009C2719">
            <w:pPr>
              <w:pStyle w:val="Entabla"/>
            </w:pPr>
            <w:r>
              <w:t>Subcomponente 2</w:t>
            </w:r>
          </w:p>
        </w:tc>
        <w:tc>
          <w:tcPr>
            <w:tcW w:w="1701" w:type="dxa"/>
            <w:tcBorders>
              <w:top w:val="nil"/>
              <w:left w:val="nil"/>
              <w:bottom w:val="nil"/>
              <w:right w:val="nil"/>
            </w:tcBorders>
            <w:shd w:val="clear" w:color="auto" w:fill="auto"/>
            <w:noWrap/>
            <w:vAlign w:val="center"/>
          </w:tcPr>
          <w:p w:rsidR="00D433EF" w:rsidRPr="00F822B6" w:rsidRDefault="00D433EF" w:rsidP="009C2719">
            <w:pPr>
              <w:pStyle w:val="Entabla"/>
            </w:pPr>
            <w:r w:rsidRPr="00C1351F">
              <w:t>651.898</w:t>
            </w:r>
          </w:p>
        </w:tc>
        <w:tc>
          <w:tcPr>
            <w:tcW w:w="1559" w:type="dxa"/>
            <w:tcBorders>
              <w:top w:val="nil"/>
              <w:left w:val="nil"/>
              <w:bottom w:val="nil"/>
              <w:right w:val="nil"/>
            </w:tcBorders>
            <w:shd w:val="clear" w:color="auto" w:fill="auto"/>
            <w:noWrap/>
            <w:vAlign w:val="center"/>
          </w:tcPr>
          <w:p w:rsidR="00D433EF" w:rsidRPr="00F8090C" w:rsidRDefault="00D433EF" w:rsidP="009C2719">
            <w:pPr>
              <w:pStyle w:val="Entabla"/>
            </w:pPr>
            <w:r w:rsidRPr="00C1351F">
              <w:t>1.499.165</w:t>
            </w:r>
          </w:p>
        </w:tc>
        <w:tc>
          <w:tcPr>
            <w:tcW w:w="1560" w:type="dxa"/>
            <w:tcBorders>
              <w:top w:val="nil"/>
              <w:left w:val="nil"/>
              <w:bottom w:val="nil"/>
              <w:right w:val="nil"/>
            </w:tcBorders>
            <w:shd w:val="clear" w:color="auto" w:fill="auto"/>
            <w:noWrap/>
            <w:vAlign w:val="center"/>
          </w:tcPr>
          <w:p w:rsidR="00D433EF" w:rsidRPr="00937C74" w:rsidRDefault="00D433EF" w:rsidP="009C2719">
            <w:pPr>
              <w:pStyle w:val="Entabla"/>
            </w:pPr>
            <w:r w:rsidRPr="00C1351F">
              <w:t>847.267</w:t>
            </w:r>
          </w:p>
        </w:tc>
        <w:tc>
          <w:tcPr>
            <w:tcW w:w="1134" w:type="dxa"/>
            <w:tcBorders>
              <w:top w:val="nil"/>
              <w:left w:val="nil"/>
              <w:bottom w:val="nil"/>
              <w:right w:val="nil"/>
            </w:tcBorders>
            <w:shd w:val="clear" w:color="auto" w:fill="auto"/>
            <w:noWrap/>
            <w:vAlign w:val="center"/>
          </w:tcPr>
          <w:p w:rsidR="00D433EF" w:rsidRDefault="00D433EF" w:rsidP="009C2719">
            <w:pPr>
              <w:pStyle w:val="Entabla"/>
            </w:pPr>
            <w:r>
              <w:t>2,30</w:t>
            </w:r>
          </w:p>
        </w:tc>
        <w:tc>
          <w:tcPr>
            <w:tcW w:w="850" w:type="dxa"/>
            <w:tcBorders>
              <w:top w:val="nil"/>
              <w:left w:val="nil"/>
              <w:bottom w:val="nil"/>
              <w:right w:val="nil"/>
            </w:tcBorders>
            <w:shd w:val="clear" w:color="auto" w:fill="auto"/>
            <w:vAlign w:val="center"/>
          </w:tcPr>
          <w:p w:rsidR="00D433EF" w:rsidRDefault="00D433EF" w:rsidP="009C2719">
            <w:pPr>
              <w:pStyle w:val="Entabla"/>
              <w:rPr>
                <w:b/>
                <w:bCs/>
              </w:rPr>
            </w:pPr>
            <w:r>
              <w:t>24%</w:t>
            </w:r>
          </w:p>
        </w:tc>
      </w:tr>
      <w:tr w:rsidR="00D433EF" w:rsidRPr="00207204" w:rsidTr="00D433EF">
        <w:trPr>
          <w:trHeight w:val="300"/>
          <w:jc w:val="center"/>
        </w:trPr>
        <w:tc>
          <w:tcPr>
            <w:tcW w:w="1843" w:type="dxa"/>
            <w:tcBorders>
              <w:top w:val="nil"/>
              <w:left w:val="nil"/>
              <w:bottom w:val="nil"/>
              <w:right w:val="nil"/>
            </w:tcBorders>
            <w:shd w:val="clear" w:color="auto" w:fill="auto"/>
            <w:noWrap/>
            <w:vAlign w:val="center"/>
          </w:tcPr>
          <w:p w:rsidR="00D433EF" w:rsidRDefault="00D433EF" w:rsidP="009C2719">
            <w:pPr>
              <w:pStyle w:val="Entabla"/>
            </w:pPr>
            <w:r>
              <w:t>Subcomponente 3</w:t>
            </w:r>
          </w:p>
        </w:tc>
        <w:tc>
          <w:tcPr>
            <w:tcW w:w="1701" w:type="dxa"/>
            <w:tcBorders>
              <w:top w:val="nil"/>
              <w:left w:val="nil"/>
              <w:bottom w:val="nil"/>
              <w:right w:val="nil"/>
            </w:tcBorders>
            <w:shd w:val="clear" w:color="auto" w:fill="auto"/>
            <w:noWrap/>
            <w:vAlign w:val="center"/>
          </w:tcPr>
          <w:p w:rsidR="00D433EF" w:rsidRPr="00F822B6" w:rsidRDefault="00D433EF" w:rsidP="009C2719">
            <w:pPr>
              <w:pStyle w:val="Entabla"/>
            </w:pPr>
            <w:r w:rsidRPr="00C76D68">
              <w:t>1.305.052</w:t>
            </w:r>
          </w:p>
        </w:tc>
        <w:tc>
          <w:tcPr>
            <w:tcW w:w="1559" w:type="dxa"/>
            <w:tcBorders>
              <w:top w:val="nil"/>
              <w:left w:val="nil"/>
              <w:bottom w:val="nil"/>
              <w:right w:val="nil"/>
            </w:tcBorders>
            <w:shd w:val="clear" w:color="auto" w:fill="auto"/>
            <w:noWrap/>
            <w:vAlign w:val="center"/>
          </w:tcPr>
          <w:p w:rsidR="00D433EF" w:rsidRPr="00F8090C" w:rsidRDefault="00D433EF" w:rsidP="009C2719">
            <w:pPr>
              <w:pStyle w:val="Entabla"/>
            </w:pPr>
            <w:r w:rsidRPr="00C76D68">
              <w:t>5.292.862</w:t>
            </w:r>
          </w:p>
        </w:tc>
        <w:tc>
          <w:tcPr>
            <w:tcW w:w="1560" w:type="dxa"/>
            <w:tcBorders>
              <w:top w:val="nil"/>
              <w:left w:val="nil"/>
              <w:bottom w:val="nil"/>
              <w:right w:val="nil"/>
            </w:tcBorders>
            <w:shd w:val="clear" w:color="auto" w:fill="auto"/>
            <w:noWrap/>
            <w:vAlign w:val="center"/>
          </w:tcPr>
          <w:p w:rsidR="00D433EF" w:rsidRPr="00937C74" w:rsidRDefault="00D433EF" w:rsidP="009C2719">
            <w:pPr>
              <w:pStyle w:val="Entabla"/>
            </w:pPr>
            <w:r w:rsidRPr="00C76D68">
              <w:t>3.987.810</w:t>
            </w:r>
          </w:p>
        </w:tc>
        <w:tc>
          <w:tcPr>
            <w:tcW w:w="1134" w:type="dxa"/>
            <w:tcBorders>
              <w:top w:val="nil"/>
              <w:left w:val="nil"/>
              <w:bottom w:val="nil"/>
              <w:right w:val="nil"/>
            </w:tcBorders>
            <w:shd w:val="clear" w:color="auto" w:fill="auto"/>
            <w:noWrap/>
            <w:vAlign w:val="center"/>
          </w:tcPr>
          <w:p w:rsidR="00D433EF" w:rsidRDefault="00D433EF" w:rsidP="009C2719">
            <w:pPr>
              <w:pStyle w:val="Entabla"/>
              <w:rPr>
                <w:b/>
                <w:bCs/>
              </w:rPr>
            </w:pPr>
            <w:r>
              <w:t>4,06</w:t>
            </w:r>
          </w:p>
        </w:tc>
        <w:tc>
          <w:tcPr>
            <w:tcW w:w="850" w:type="dxa"/>
            <w:tcBorders>
              <w:top w:val="nil"/>
              <w:left w:val="nil"/>
              <w:bottom w:val="nil"/>
              <w:right w:val="nil"/>
            </w:tcBorders>
            <w:shd w:val="clear" w:color="auto" w:fill="auto"/>
            <w:vAlign w:val="center"/>
          </w:tcPr>
          <w:p w:rsidR="00D433EF" w:rsidRDefault="00D433EF" w:rsidP="009C2719">
            <w:pPr>
              <w:pStyle w:val="Entabla"/>
              <w:rPr>
                <w:b/>
                <w:bCs/>
              </w:rPr>
            </w:pPr>
            <w:r>
              <w:t>29%</w:t>
            </w:r>
          </w:p>
        </w:tc>
      </w:tr>
      <w:tr w:rsidR="00D433EF" w:rsidRPr="00207204" w:rsidTr="00D433EF">
        <w:trPr>
          <w:trHeight w:val="300"/>
          <w:jc w:val="center"/>
        </w:trPr>
        <w:tc>
          <w:tcPr>
            <w:tcW w:w="1843" w:type="dxa"/>
            <w:tcBorders>
              <w:top w:val="nil"/>
              <w:left w:val="nil"/>
              <w:bottom w:val="nil"/>
              <w:right w:val="nil"/>
            </w:tcBorders>
            <w:shd w:val="clear" w:color="auto" w:fill="auto"/>
            <w:noWrap/>
            <w:vAlign w:val="center"/>
          </w:tcPr>
          <w:p w:rsidR="00D433EF" w:rsidRPr="007E6104" w:rsidRDefault="00D433EF" w:rsidP="009C2719">
            <w:pPr>
              <w:pStyle w:val="Entabla"/>
            </w:pPr>
          </w:p>
        </w:tc>
        <w:tc>
          <w:tcPr>
            <w:tcW w:w="1701" w:type="dxa"/>
            <w:tcBorders>
              <w:top w:val="nil"/>
              <w:left w:val="nil"/>
              <w:bottom w:val="nil"/>
              <w:right w:val="nil"/>
            </w:tcBorders>
            <w:shd w:val="clear" w:color="auto" w:fill="auto"/>
            <w:noWrap/>
            <w:vAlign w:val="center"/>
          </w:tcPr>
          <w:p w:rsidR="00D433EF" w:rsidRPr="007E6104" w:rsidRDefault="00D433EF" w:rsidP="009C2719">
            <w:pPr>
              <w:pStyle w:val="Entabla"/>
            </w:pPr>
          </w:p>
        </w:tc>
        <w:tc>
          <w:tcPr>
            <w:tcW w:w="1559" w:type="dxa"/>
            <w:tcBorders>
              <w:top w:val="nil"/>
              <w:left w:val="nil"/>
              <w:bottom w:val="nil"/>
              <w:right w:val="nil"/>
            </w:tcBorders>
            <w:shd w:val="clear" w:color="auto" w:fill="auto"/>
            <w:noWrap/>
            <w:vAlign w:val="center"/>
          </w:tcPr>
          <w:p w:rsidR="00D433EF" w:rsidRPr="007E6104" w:rsidRDefault="00D433EF" w:rsidP="009C2719">
            <w:pPr>
              <w:pStyle w:val="Entabla"/>
            </w:pPr>
          </w:p>
        </w:tc>
        <w:tc>
          <w:tcPr>
            <w:tcW w:w="1560" w:type="dxa"/>
            <w:tcBorders>
              <w:top w:val="nil"/>
              <w:left w:val="nil"/>
              <w:bottom w:val="nil"/>
              <w:right w:val="nil"/>
            </w:tcBorders>
            <w:shd w:val="clear" w:color="auto" w:fill="auto"/>
            <w:noWrap/>
            <w:vAlign w:val="center"/>
          </w:tcPr>
          <w:p w:rsidR="00D433EF" w:rsidRPr="007E6104" w:rsidRDefault="00D433EF" w:rsidP="009C2719">
            <w:pPr>
              <w:pStyle w:val="Entabla"/>
            </w:pPr>
          </w:p>
        </w:tc>
        <w:tc>
          <w:tcPr>
            <w:tcW w:w="1134" w:type="dxa"/>
            <w:tcBorders>
              <w:top w:val="nil"/>
              <w:left w:val="nil"/>
              <w:bottom w:val="nil"/>
              <w:right w:val="nil"/>
            </w:tcBorders>
            <w:shd w:val="clear" w:color="auto" w:fill="auto"/>
            <w:noWrap/>
            <w:vAlign w:val="center"/>
          </w:tcPr>
          <w:p w:rsidR="00D433EF" w:rsidRPr="007E6104" w:rsidRDefault="00D433EF" w:rsidP="009C2719">
            <w:pPr>
              <w:pStyle w:val="Entabla"/>
            </w:pPr>
          </w:p>
        </w:tc>
        <w:tc>
          <w:tcPr>
            <w:tcW w:w="850" w:type="dxa"/>
            <w:tcBorders>
              <w:top w:val="nil"/>
              <w:left w:val="nil"/>
              <w:bottom w:val="nil"/>
              <w:right w:val="nil"/>
            </w:tcBorders>
            <w:shd w:val="clear" w:color="auto" w:fill="auto"/>
          </w:tcPr>
          <w:p w:rsidR="00D433EF" w:rsidRPr="007E6104" w:rsidRDefault="00D433EF" w:rsidP="009C2719">
            <w:pPr>
              <w:pStyle w:val="Entabla"/>
            </w:pPr>
          </w:p>
        </w:tc>
      </w:tr>
      <w:tr w:rsidR="00D433EF" w:rsidRPr="00207204" w:rsidTr="00D433EF">
        <w:trPr>
          <w:trHeight w:val="300"/>
          <w:jc w:val="center"/>
        </w:trPr>
        <w:tc>
          <w:tcPr>
            <w:tcW w:w="1843" w:type="dxa"/>
            <w:tcBorders>
              <w:top w:val="nil"/>
              <w:left w:val="nil"/>
              <w:bottom w:val="nil"/>
              <w:right w:val="nil"/>
            </w:tcBorders>
            <w:shd w:val="clear" w:color="auto" w:fill="auto"/>
            <w:noWrap/>
            <w:vAlign w:val="center"/>
          </w:tcPr>
          <w:p w:rsidR="00D433EF" w:rsidRPr="00D07C6A" w:rsidRDefault="00D433EF" w:rsidP="009C2719">
            <w:pPr>
              <w:pStyle w:val="Entabla"/>
              <w:rPr>
                <w:b/>
              </w:rPr>
            </w:pPr>
            <w:r w:rsidRPr="000B05C1">
              <w:rPr>
                <w:b/>
              </w:rPr>
              <w:t>Total</w:t>
            </w:r>
          </w:p>
        </w:tc>
        <w:tc>
          <w:tcPr>
            <w:tcW w:w="1701" w:type="dxa"/>
            <w:tcBorders>
              <w:top w:val="nil"/>
              <w:left w:val="nil"/>
              <w:bottom w:val="nil"/>
              <w:right w:val="nil"/>
            </w:tcBorders>
            <w:shd w:val="clear" w:color="auto" w:fill="auto"/>
            <w:noWrap/>
            <w:vAlign w:val="center"/>
          </w:tcPr>
          <w:p w:rsidR="00D433EF" w:rsidRPr="00D07C6A" w:rsidRDefault="00D433EF" w:rsidP="009C2719">
            <w:pPr>
              <w:pStyle w:val="Entabla"/>
              <w:rPr>
                <w:b/>
              </w:rPr>
            </w:pPr>
            <w:r w:rsidRPr="00812B35">
              <w:rPr>
                <w:b/>
              </w:rPr>
              <w:t>13.615.306</w:t>
            </w:r>
          </w:p>
        </w:tc>
        <w:tc>
          <w:tcPr>
            <w:tcW w:w="1559" w:type="dxa"/>
            <w:tcBorders>
              <w:top w:val="nil"/>
              <w:left w:val="nil"/>
              <w:bottom w:val="nil"/>
              <w:right w:val="nil"/>
            </w:tcBorders>
            <w:shd w:val="clear" w:color="auto" w:fill="auto"/>
            <w:noWrap/>
            <w:vAlign w:val="center"/>
          </w:tcPr>
          <w:p w:rsidR="00D433EF" w:rsidRPr="00D07C6A" w:rsidRDefault="00D433EF" w:rsidP="009C2719">
            <w:pPr>
              <w:pStyle w:val="Entabla"/>
              <w:rPr>
                <w:b/>
              </w:rPr>
            </w:pPr>
            <w:r w:rsidRPr="00812B35">
              <w:rPr>
                <w:b/>
              </w:rPr>
              <w:t>50.073.868</w:t>
            </w:r>
          </w:p>
        </w:tc>
        <w:tc>
          <w:tcPr>
            <w:tcW w:w="1560" w:type="dxa"/>
            <w:tcBorders>
              <w:top w:val="nil"/>
              <w:left w:val="nil"/>
              <w:bottom w:val="nil"/>
              <w:right w:val="nil"/>
            </w:tcBorders>
            <w:shd w:val="clear" w:color="auto" w:fill="auto"/>
            <w:noWrap/>
            <w:vAlign w:val="center"/>
          </w:tcPr>
          <w:p w:rsidR="00D433EF" w:rsidRPr="00D07C6A" w:rsidRDefault="00D433EF" w:rsidP="009C2719">
            <w:pPr>
              <w:pStyle w:val="Entabla"/>
              <w:rPr>
                <w:b/>
              </w:rPr>
            </w:pPr>
            <w:r w:rsidRPr="00812B35">
              <w:rPr>
                <w:b/>
              </w:rPr>
              <w:t>36.458.561</w:t>
            </w:r>
          </w:p>
        </w:tc>
        <w:tc>
          <w:tcPr>
            <w:tcW w:w="1134" w:type="dxa"/>
            <w:tcBorders>
              <w:top w:val="nil"/>
              <w:left w:val="nil"/>
              <w:bottom w:val="nil"/>
              <w:right w:val="nil"/>
            </w:tcBorders>
            <w:shd w:val="clear" w:color="auto" w:fill="auto"/>
            <w:noWrap/>
            <w:vAlign w:val="center"/>
          </w:tcPr>
          <w:p w:rsidR="00D433EF" w:rsidRPr="00D07C6A" w:rsidRDefault="00D433EF" w:rsidP="009C2719">
            <w:pPr>
              <w:pStyle w:val="Entabla"/>
              <w:rPr>
                <w:b/>
                <w:bCs/>
              </w:rPr>
            </w:pPr>
            <w:r>
              <w:rPr>
                <w:b/>
              </w:rPr>
              <w:t>3,68</w:t>
            </w:r>
          </w:p>
        </w:tc>
        <w:tc>
          <w:tcPr>
            <w:tcW w:w="850" w:type="dxa"/>
            <w:tcBorders>
              <w:top w:val="nil"/>
              <w:left w:val="nil"/>
              <w:bottom w:val="nil"/>
              <w:right w:val="nil"/>
            </w:tcBorders>
            <w:shd w:val="clear" w:color="auto" w:fill="auto"/>
            <w:vAlign w:val="center"/>
          </w:tcPr>
          <w:p w:rsidR="00D433EF" w:rsidRPr="00D07C6A" w:rsidRDefault="00D433EF" w:rsidP="009C2719">
            <w:pPr>
              <w:pStyle w:val="Entabla"/>
              <w:rPr>
                <w:b/>
                <w:bCs/>
              </w:rPr>
            </w:pPr>
            <w:r>
              <w:rPr>
                <w:b/>
              </w:rPr>
              <w:t>38</w:t>
            </w:r>
            <w:r w:rsidRPr="00D07C6A">
              <w:rPr>
                <w:b/>
              </w:rPr>
              <w:t>%</w:t>
            </w:r>
          </w:p>
        </w:tc>
      </w:tr>
      <w:tr w:rsidR="00D433EF" w:rsidRPr="00BB26A9" w:rsidTr="00D433EF">
        <w:trPr>
          <w:trHeight w:val="300"/>
          <w:jc w:val="center"/>
        </w:trPr>
        <w:tc>
          <w:tcPr>
            <w:tcW w:w="1843" w:type="dxa"/>
            <w:tcBorders>
              <w:top w:val="single" w:sz="4" w:space="0" w:color="auto"/>
              <w:left w:val="nil"/>
              <w:bottom w:val="single" w:sz="4" w:space="0" w:color="auto"/>
              <w:right w:val="nil"/>
            </w:tcBorders>
            <w:shd w:val="clear" w:color="auto" w:fill="auto"/>
            <w:noWrap/>
            <w:vAlign w:val="center"/>
            <w:hideMark/>
          </w:tcPr>
          <w:p w:rsidR="00D433EF" w:rsidRPr="007E6104" w:rsidRDefault="00D433EF" w:rsidP="009C2719">
            <w:pPr>
              <w:pStyle w:val="Entabla"/>
              <w:rPr>
                <w:b/>
                <w:lang w:val="es-ES_tradnl"/>
              </w:rPr>
            </w:pPr>
            <w:r w:rsidRPr="007E6104">
              <w:rPr>
                <w:b/>
                <w:lang w:val="es-ES_tradnl"/>
              </w:rPr>
              <w:t>Escenario 2-Conservador</w:t>
            </w:r>
          </w:p>
        </w:tc>
        <w:tc>
          <w:tcPr>
            <w:tcW w:w="1701" w:type="dxa"/>
            <w:tcBorders>
              <w:top w:val="single" w:sz="4" w:space="0" w:color="auto"/>
              <w:left w:val="nil"/>
              <w:bottom w:val="single" w:sz="4" w:space="0" w:color="auto"/>
              <w:right w:val="nil"/>
            </w:tcBorders>
            <w:shd w:val="clear" w:color="auto" w:fill="auto"/>
            <w:noWrap/>
            <w:vAlign w:val="center"/>
            <w:hideMark/>
          </w:tcPr>
          <w:p w:rsidR="00D433EF" w:rsidRPr="007E6104" w:rsidRDefault="00D433EF" w:rsidP="009C2719">
            <w:pPr>
              <w:pStyle w:val="Entabla"/>
              <w:rPr>
                <w:b/>
                <w:lang w:val="es-ES_tradnl"/>
              </w:rPr>
            </w:pPr>
            <w:r w:rsidRPr="007E6104">
              <w:rPr>
                <w:b/>
                <w:lang w:val="es-ES_tradnl"/>
              </w:rPr>
              <w:t> </w:t>
            </w:r>
          </w:p>
        </w:tc>
        <w:tc>
          <w:tcPr>
            <w:tcW w:w="1559" w:type="dxa"/>
            <w:tcBorders>
              <w:top w:val="single" w:sz="4" w:space="0" w:color="auto"/>
              <w:left w:val="nil"/>
              <w:bottom w:val="single" w:sz="4" w:space="0" w:color="auto"/>
              <w:right w:val="nil"/>
            </w:tcBorders>
            <w:shd w:val="clear" w:color="auto" w:fill="auto"/>
            <w:noWrap/>
            <w:vAlign w:val="center"/>
            <w:hideMark/>
          </w:tcPr>
          <w:p w:rsidR="00D433EF" w:rsidRPr="007E6104" w:rsidRDefault="00D433EF" w:rsidP="009C2719">
            <w:pPr>
              <w:pStyle w:val="Entabla"/>
              <w:rPr>
                <w:b/>
                <w:lang w:val="es-ES_tradnl"/>
              </w:rPr>
            </w:pPr>
            <w:r w:rsidRPr="007E6104">
              <w:rPr>
                <w:b/>
                <w:lang w:val="es-ES_tradnl"/>
              </w:rPr>
              <w:t> </w:t>
            </w:r>
          </w:p>
        </w:tc>
        <w:tc>
          <w:tcPr>
            <w:tcW w:w="1560" w:type="dxa"/>
            <w:tcBorders>
              <w:top w:val="single" w:sz="4" w:space="0" w:color="auto"/>
              <w:left w:val="nil"/>
              <w:bottom w:val="single" w:sz="4" w:space="0" w:color="auto"/>
              <w:right w:val="nil"/>
            </w:tcBorders>
            <w:shd w:val="clear" w:color="auto" w:fill="auto"/>
            <w:noWrap/>
            <w:vAlign w:val="center"/>
            <w:hideMark/>
          </w:tcPr>
          <w:p w:rsidR="00D433EF" w:rsidRPr="007E6104" w:rsidRDefault="00D433EF" w:rsidP="009C2719">
            <w:pPr>
              <w:pStyle w:val="Entabla"/>
              <w:rPr>
                <w:b/>
                <w:lang w:val="es-ES_tradnl"/>
              </w:rPr>
            </w:pPr>
            <w:r w:rsidRPr="007E6104">
              <w:rPr>
                <w:b/>
                <w:lang w:val="es-ES_tradnl"/>
              </w:rPr>
              <w:t> </w:t>
            </w:r>
          </w:p>
        </w:tc>
        <w:tc>
          <w:tcPr>
            <w:tcW w:w="1134" w:type="dxa"/>
            <w:tcBorders>
              <w:top w:val="single" w:sz="4" w:space="0" w:color="auto"/>
              <w:left w:val="nil"/>
              <w:bottom w:val="single" w:sz="4" w:space="0" w:color="auto"/>
              <w:right w:val="nil"/>
            </w:tcBorders>
            <w:shd w:val="clear" w:color="auto" w:fill="auto"/>
            <w:noWrap/>
            <w:vAlign w:val="center"/>
            <w:hideMark/>
          </w:tcPr>
          <w:p w:rsidR="00D433EF" w:rsidRPr="007E6104" w:rsidRDefault="00D433EF" w:rsidP="009C2719">
            <w:pPr>
              <w:pStyle w:val="Entabla"/>
              <w:rPr>
                <w:b/>
                <w:lang w:val="es-ES_tradnl"/>
              </w:rPr>
            </w:pPr>
            <w:r w:rsidRPr="007E6104">
              <w:rPr>
                <w:b/>
                <w:lang w:val="es-ES_tradnl"/>
              </w:rPr>
              <w:t> </w:t>
            </w:r>
          </w:p>
        </w:tc>
        <w:tc>
          <w:tcPr>
            <w:tcW w:w="850" w:type="dxa"/>
            <w:tcBorders>
              <w:top w:val="single" w:sz="4" w:space="0" w:color="auto"/>
              <w:left w:val="nil"/>
              <w:bottom w:val="single" w:sz="4" w:space="0" w:color="auto"/>
              <w:right w:val="nil"/>
            </w:tcBorders>
            <w:shd w:val="clear" w:color="auto" w:fill="auto"/>
          </w:tcPr>
          <w:p w:rsidR="00D433EF" w:rsidRPr="007E6104" w:rsidRDefault="00D433EF" w:rsidP="009C2719">
            <w:pPr>
              <w:pStyle w:val="Entabla"/>
              <w:rPr>
                <w:b/>
                <w:lang w:val="es-ES_tradnl"/>
              </w:rPr>
            </w:pPr>
          </w:p>
        </w:tc>
      </w:tr>
      <w:tr w:rsidR="00D433EF" w:rsidRPr="00207204" w:rsidTr="00D433EF">
        <w:trPr>
          <w:trHeight w:val="300"/>
          <w:jc w:val="center"/>
        </w:trPr>
        <w:tc>
          <w:tcPr>
            <w:tcW w:w="1843" w:type="dxa"/>
            <w:tcBorders>
              <w:top w:val="nil"/>
              <w:left w:val="nil"/>
              <w:bottom w:val="nil"/>
              <w:right w:val="nil"/>
            </w:tcBorders>
            <w:shd w:val="clear" w:color="auto" w:fill="auto"/>
            <w:noWrap/>
            <w:vAlign w:val="center"/>
          </w:tcPr>
          <w:p w:rsidR="00D433EF" w:rsidRPr="007E6104" w:rsidRDefault="00D433EF" w:rsidP="009C2719">
            <w:pPr>
              <w:pStyle w:val="Entabla"/>
            </w:pPr>
          </w:p>
        </w:tc>
        <w:tc>
          <w:tcPr>
            <w:tcW w:w="1701" w:type="dxa"/>
            <w:tcBorders>
              <w:top w:val="nil"/>
              <w:left w:val="nil"/>
              <w:bottom w:val="nil"/>
              <w:right w:val="nil"/>
            </w:tcBorders>
            <w:shd w:val="clear" w:color="auto" w:fill="auto"/>
            <w:noWrap/>
            <w:vAlign w:val="center"/>
          </w:tcPr>
          <w:p w:rsidR="00D433EF" w:rsidRPr="007E6104" w:rsidRDefault="00D433EF" w:rsidP="009C2719">
            <w:pPr>
              <w:pStyle w:val="Entabla"/>
            </w:pPr>
          </w:p>
        </w:tc>
        <w:tc>
          <w:tcPr>
            <w:tcW w:w="1559" w:type="dxa"/>
            <w:tcBorders>
              <w:top w:val="nil"/>
              <w:left w:val="nil"/>
              <w:bottom w:val="nil"/>
              <w:right w:val="nil"/>
            </w:tcBorders>
            <w:shd w:val="clear" w:color="auto" w:fill="auto"/>
            <w:noWrap/>
            <w:vAlign w:val="center"/>
          </w:tcPr>
          <w:p w:rsidR="00D433EF" w:rsidRPr="007E6104" w:rsidRDefault="00D433EF" w:rsidP="009C2719">
            <w:pPr>
              <w:pStyle w:val="Entabla"/>
            </w:pPr>
          </w:p>
        </w:tc>
        <w:tc>
          <w:tcPr>
            <w:tcW w:w="1560" w:type="dxa"/>
            <w:tcBorders>
              <w:top w:val="nil"/>
              <w:left w:val="nil"/>
              <w:bottom w:val="nil"/>
              <w:right w:val="nil"/>
            </w:tcBorders>
            <w:shd w:val="clear" w:color="auto" w:fill="auto"/>
            <w:noWrap/>
            <w:vAlign w:val="center"/>
          </w:tcPr>
          <w:p w:rsidR="00D433EF" w:rsidRPr="007E6104" w:rsidRDefault="00D433EF" w:rsidP="009C2719">
            <w:pPr>
              <w:pStyle w:val="Entabla"/>
            </w:pPr>
          </w:p>
        </w:tc>
        <w:tc>
          <w:tcPr>
            <w:tcW w:w="1134" w:type="dxa"/>
            <w:tcBorders>
              <w:top w:val="nil"/>
              <w:left w:val="nil"/>
              <w:bottom w:val="nil"/>
              <w:right w:val="nil"/>
            </w:tcBorders>
            <w:shd w:val="clear" w:color="auto" w:fill="auto"/>
            <w:noWrap/>
            <w:vAlign w:val="center"/>
          </w:tcPr>
          <w:p w:rsidR="00D433EF" w:rsidRPr="007E6104" w:rsidRDefault="00D433EF" w:rsidP="009C2719">
            <w:pPr>
              <w:pStyle w:val="Entabla"/>
            </w:pPr>
          </w:p>
        </w:tc>
        <w:tc>
          <w:tcPr>
            <w:tcW w:w="850" w:type="dxa"/>
            <w:tcBorders>
              <w:top w:val="nil"/>
              <w:left w:val="nil"/>
              <w:bottom w:val="nil"/>
              <w:right w:val="nil"/>
            </w:tcBorders>
            <w:shd w:val="clear" w:color="auto" w:fill="auto"/>
          </w:tcPr>
          <w:p w:rsidR="00D433EF" w:rsidRPr="007E6104" w:rsidRDefault="00D433EF" w:rsidP="009C2719">
            <w:pPr>
              <w:pStyle w:val="Entabla"/>
            </w:pPr>
          </w:p>
        </w:tc>
      </w:tr>
      <w:tr w:rsidR="00D433EF" w:rsidRPr="00207204" w:rsidTr="00D433EF">
        <w:trPr>
          <w:trHeight w:val="300"/>
          <w:jc w:val="center"/>
        </w:trPr>
        <w:tc>
          <w:tcPr>
            <w:tcW w:w="1843" w:type="dxa"/>
            <w:tcBorders>
              <w:top w:val="nil"/>
              <w:left w:val="nil"/>
              <w:bottom w:val="nil"/>
              <w:right w:val="nil"/>
            </w:tcBorders>
            <w:shd w:val="clear" w:color="auto" w:fill="auto"/>
            <w:noWrap/>
            <w:vAlign w:val="center"/>
            <w:hideMark/>
          </w:tcPr>
          <w:p w:rsidR="00D433EF" w:rsidRPr="00D07C6A" w:rsidRDefault="00D433EF" w:rsidP="009C2719">
            <w:pPr>
              <w:pStyle w:val="Entabla"/>
              <w:rPr>
                <w:b/>
              </w:rPr>
            </w:pPr>
            <w:r w:rsidRPr="00D07C6A">
              <w:rPr>
                <w:b/>
              </w:rPr>
              <w:t>Componente 1-Información</w:t>
            </w:r>
          </w:p>
        </w:tc>
        <w:tc>
          <w:tcPr>
            <w:tcW w:w="1701" w:type="dxa"/>
            <w:tcBorders>
              <w:top w:val="nil"/>
              <w:left w:val="nil"/>
              <w:bottom w:val="nil"/>
              <w:right w:val="nil"/>
            </w:tcBorders>
            <w:shd w:val="clear" w:color="auto" w:fill="auto"/>
            <w:noWrap/>
            <w:vAlign w:val="center"/>
            <w:hideMark/>
          </w:tcPr>
          <w:p w:rsidR="00D433EF" w:rsidRPr="00D07C6A" w:rsidRDefault="00D433EF" w:rsidP="009C2719">
            <w:pPr>
              <w:pStyle w:val="Entabla"/>
              <w:rPr>
                <w:b/>
              </w:rPr>
            </w:pPr>
            <w:r w:rsidRPr="00783D49">
              <w:rPr>
                <w:b/>
              </w:rPr>
              <w:t>6.828.764</w:t>
            </w:r>
          </w:p>
        </w:tc>
        <w:tc>
          <w:tcPr>
            <w:tcW w:w="1559" w:type="dxa"/>
            <w:tcBorders>
              <w:top w:val="nil"/>
              <w:left w:val="nil"/>
              <w:bottom w:val="nil"/>
              <w:right w:val="nil"/>
            </w:tcBorders>
            <w:shd w:val="clear" w:color="auto" w:fill="auto"/>
            <w:noWrap/>
            <w:vAlign w:val="center"/>
            <w:hideMark/>
          </w:tcPr>
          <w:p w:rsidR="00D433EF" w:rsidRPr="000B05C1" w:rsidRDefault="00D433EF" w:rsidP="009C2719">
            <w:pPr>
              <w:pStyle w:val="Entabla"/>
              <w:ind w:left="34"/>
              <w:rPr>
                <w:b/>
              </w:rPr>
            </w:pPr>
            <w:r w:rsidRPr="009E643E">
              <w:rPr>
                <w:b/>
              </w:rPr>
              <w:t>21.318.198</w:t>
            </w:r>
          </w:p>
        </w:tc>
        <w:tc>
          <w:tcPr>
            <w:tcW w:w="1560" w:type="dxa"/>
            <w:tcBorders>
              <w:top w:val="nil"/>
              <w:left w:val="nil"/>
              <w:bottom w:val="nil"/>
              <w:right w:val="nil"/>
            </w:tcBorders>
            <w:shd w:val="clear" w:color="auto" w:fill="auto"/>
            <w:noWrap/>
            <w:vAlign w:val="center"/>
            <w:hideMark/>
          </w:tcPr>
          <w:p w:rsidR="00D433EF" w:rsidRPr="000B05C1" w:rsidRDefault="00D433EF" w:rsidP="009C2719">
            <w:pPr>
              <w:pStyle w:val="Entabla"/>
              <w:ind w:left="34"/>
              <w:rPr>
                <w:b/>
              </w:rPr>
            </w:pPr>
            <w:r w:rsidRPr="009E643E">
              <w:rPr>
                <w:b/>
              </w:rPr>
              <w:t>14.489.434</w:t>
            </w:r>
          </w:p>
        </w:tc>
        <w:tc>
          <w:tcPr>
            <w:tcW w:w="1134" w:type="dxa"/>
            <w:tcBorders>
              <w:top w:val="nil"/>
              <w:left w:val="nil"/>
              <w:bottom w:val="nil"/>
              <w:right w:val="nil"/>
            </w:tcBorders>
            <w:shd w:val="clear" w:color="auto" w:fill="auto"/>
            <w:noWrap/>
            <w:vAlign w:val="center"/>
            <w:hideMark/>
          </w:tcPr>
          <w:p w:rsidR="00D433EF" w:rsidRPr="00D07C6A" w:rsidRDefault="00D433EF" w:rsidP="009C2719">
            <w:pPr>
              <w:pStyle w:val="Entabla"/>
              <w:rPr>
                <w:b/>
                <w:bCs/>
              </w:rPr>
            </w:pPr>
            <w:r>
              <w:rPr>
                <w:b/>
              </w:rPr>
              <w:t>3,12</w:t>
            </w:r>
          </w:p>
        </w:tc>
        <w:tc>
          <w:tcPr>
            <w:tcW w:w="850" w:type="dxa"/>
            <w:tcBorders>
              <w:top w:val="nil"/>
              <w:left w:val="nil"/>
              <w:bottom w:val="nil"/>
              <w:right w:val="nil"/>
            </w:tcBorders>
            <w:shd w:val="clear" w:color="auto" w:fill="auto"/>
            <w:vAlign w:val="center"/>
          </w:tcPr>
          <w:p w:rsidR="00D433EF" w:rsidRPr="000B05C1" w:rsidRDefault="00D433EF" w:rsidP="009C2719">
            <w:pPr>
              <w:pStyle w:val="Entabla"/>
              <w:ind w:left="34"/>
              <w:rPr>
                <w:b/>
                <w:bCs/>
              </w:rPr>
            </w:pPr>
            <w:r>
              <w:rPr>
                <w:b/>
              </w:rPr>
              <w:t>35</w:t>
            </w:r>
            <w:r w:rsidRPr="000B05C1">
              <w:rPr>
                <w:b/>
              </w:rPr>
              <w:t>%</w:t>
            </w:r>
          </w:p>
        </w:tc>
      </w:tr>
      <w:tr w:rsidR="00D433EF" w:rsidRPr="00207204" w:rsidTr="00D433EF">
        <w:trPr>
          <w:trHeight w:val="300"/>
          <w:jc w:val="center"/>
        </w:trPr>
        <w:tc>
          <w:tcPr>
            <w:tcW w:w="1843" w:type="dxa"/>
            <w:tcBorders>
              <w:top w:val="nil"/>
              <w:left w:val="nil"/>
              <w:bottom w:val="nil"/>
              <w:right w:val="nil"/>
            </w:tcBorders>
            <w:shd w:val="clear" w:color="auto" w:fill="auto"/>
            <w:noWrap/>
            <w:vAlign w:val="center"/>
            <w:hideMark/>
          </w:tcPr>
          <w:p w:rsidR="00D433EF" w:rsidRPr="00D07C6A" w:rsidRDefault="00D433EF" w:rsidP="009C2719">
            <w:pPr>
              <w:pStyle w:val="Entabla"/>
              <w:rPr>
                <w:b/>
              </w:rPr>
            </w:pPr>
            <w:r w:rsidRPr="00D07C6A">
              <w:rPr>
                <w:b/>
              </w:rPr>
              <w:t>Componente 2-Prevención</w:t>
            </w:r>
          </w:p>
        </w:tc>
        <w:tc>
          <w:tcPr>
            <w:tcW w:w="1701" w:type="dxa"/>
            <w:tcBorders>
              <w:top w:val="nil"/>
              <w:left w:val="nil"/>
              <w:bottom w:val="nil"/>
              <w:right w:val="nil"/>
            </w:tcBorders>
            <w:shd w:val="clear" w:color="auto" w:fill="auto"/>
            <w:noWrap/>
            <w:vAlign w:val="center"/>
            <w:hideMark/>
          </w:tcPr>
          <w:p w:rsidR="00D433EF" w:rsidRPr="00D07C6A" w:rsidRDefault="00D433EF" w:rsidP="009C2719">
            <w:pPr>
              <w:pStyle w:val="Entabla"/>
              <w:rPr>
                <w:b/>
              </w:rPr>
            </w:pPr>
            <w:r w:rsidRPr="00783D49">
              <w:rPr>
                <w:b/>
              </w:rPr>
              <w:t>6.786.543</w:t>
            </w:r>
          </w:p>
        </w:tc>
        <w:tc>
          <w:tcPr>
            <w:tcW w:w="1559" w:type="dxa"/>
            <w:tcBorders>
              <w:top w:val="nil"/>
              <w:left w:val="nil"/>
              <w:bottom w:val="nil"/>
              <w:right w:val="nil"/>
            </w:tcBorders>
            <w:shd w:val="clear" w:color="auto" w:fill="auto"/>
            <w:noWrap/>
            <w:vAlign w:val="center"/>
            <w:hideMark/>
          </w:tcPr>
          <w:p w:rsidR="00D433EF" w:rsidRPr="000B05C1" w:rsidRDefault="00D433EF" w:rsidP="009C2719">
            <w:pPr>
              <w:pStyle w:val="Entabla"/>
              <w:ind w:left="34"/>
              <w:rPr>
                <w:b/>
              </w:rPr>
            </w:pPr>
            <w:r w:rsidRPr="00023E08">
              <w:rPr>
                <w:b/>
              </w:rPr>
              <w:t>10.407.971</w:t>
            </w:r>
          </w:p>
        </w:tc>
        <w:tc>
          <w:tcPr>
            <w:tcW w:w="1560" w:type="dxa"/>
            <w:tcBorders>
              <w:top w:val="nil"/>
              <w:left w:val="nil"/>
              <w:bottom w:val="nil"/>
              <w:right w:val="nil"/>
            </w:tcBorders>
            <w:shd w:val="clear" w:color="auto" w:fill="auto"/>
            <w:noWrap/>
            <w:vAlign w:val="center"/>
            <w:hideMark/>
          </w:tcPr>
          <w:p w:rsidR="00D433EF" w:rsidRPr="000B05C1" w:rsidRDefault="00D433EF" w:rsidP="009C2719">
            <w:pPr>
              <w:pStyle w:val="Entabla"/>
              <w:ind w:left="34"/>
              <w:rPr>
                <w:b/>
              </w:rPr>
            </w:pPr>
            <w:r w:rsidRPr="00023E08">
              <w:rPr>
                <w:b/>
              </w:rPr>
              <w:t>3.621.429</w:t>
            </w:r>
          </w:p>
        </w:tc>
        <w:tc>
          <w:tcPr>
            <w:tcW w:w="1134" w:type="dxa"/>
            <w:tcBorders>
              <w:top w:val="nil"/>
              <w:left w:val="nil"/>
              <w:bottom w:val="nil"/>
              <w:right w:val="nil"/>
            </w:tcBorders>
            <w:shd w:val="clear" w:color="auto" w:fill="auto"/>
            <w:noWrap/>
            <w:vAlign w:val="center"/>
            <w:hideMark/>
          </w:tcPr>
          <w:p w:rsidR="00D433EF" w:rsidRPr="000B05C1" w:rsidRDefault="00D433EF" w:rsidP="009C2719">
            <w:pPr>
              <w:pStyle w:val="Entabla"/>
              <w:ind w:left="34"/>
              <w:rPr>
                <w:b/>
                <w:bCs/>
              </w:rPr>
            </w:pPr>
            <w:r>
              <w:rPr>
                <w:b/>
              </w:rPr>
              <w:t>1,53</w:t>
            </w:r>
          </w:p>
        </w:tc>
        <w:tc>
          <w:tcPr>
            <w:tcW w:w="850" w:type="dxa"/>
            <w:tcBorders>
              <w:top w:val="nil"/>
              <w:left w:val="nil"/>
              <w:bottom w:val="nil"/>
              <w:right w:val="nil"/>
            </w:tcBorders>
            <w:shd w:val="clear" w:color="auto" w:fill="auto"/>
            <w:vAlign w:val="center"/>
          </w:tcPr>
          <w:p w:rsidR="00D433EF" w:rsidRPr="000B05C1" w:rsidRDefault="00D433EF" w:rsidP="009C2719">
            <w:pPr>
              <w:pStyle w:val="Entabla"/>
              <w:ind w:left="34"/>
              <w:rPr>
                <w:b/>
                <w:bCs/>
              </w:rPr>
            </w:pPr>
            <w:r>
              <w:rPr>
                <w:b/>
              </w:rPr>
              <w:t>18</w:t>
            </w:r>
            <w:r w:rsidRPr="000B05C1">
              <w:rPr>
                <w:b/>
              </w:rPr>
              <w:t>%</w:t>
            </w:r>
          </w:p>
        </w:tc>
      </w:tr>
      <w:tr w:rsidR="00D433EF" w:rsidRPr="00207204" w:rsidTr="00D433EF">
        <w:trPr>
          <w:trHeight w:val="300"/>
          <w:jc w:val="center"/>
        </w:trPr>
        <w:tc>
          <w:tcPr>
            <w:tcW w:w="1843" w:type="dxa"/>
            <w:tcBorders>
              <w:top w:val="nil"/>
              <w:left w:val="nil"/>
              <w:bottom w:val="nil"/>
              <w:right w:val="nil"/>
            </w:tcBorders>
            <w:shd w:val="clear" w:color="auto" w:fill="auto"/>
            <w:noWrap/>
            <w:vAlign w:val="center"/>
          </w:tcPr>
          <w:p w:rsidR="00D433EF" w:rsidRDefault="00D433EF" w:rsidP="009C2719">
            <w:pPr>
              <w:pStyle w:val="Entabla"/>
            </w:pPr>
            <w:r>
              <w:t>Subcomponente 1</w:t>
            </w:r>
          </w:p>
        </w:tc>
        <w:tc>
          <w:tcPr>
            <w:tcW w:w="1701" w:type="dxa"/>
            <w:tcBorders>
              <w:top w:val="nil"/>
              <w:left w:val="nil"/>
              <w:bottom w:val="nil"/>
              <w:right w:val="nil"/>
            </w:tcBorders>
            <w:shd w:val="clear" w:color="auto" w:fill="auto"/>
            <w:noWrap/>
            <w:vAlign w:val="center"/>
          </w:tcPr>
          <w:p w:rsidR="00D433EF" w:rsidRPr="00D57107" w:rsidRDefault="00D433EF" w:rsidP="009C2719">
            <w:pPr>
              <w:pStyle w:val="Entabla"/>
            </w:pPr>
            <w:r w:rsidRPr="00042407">
              <w:t>4.829.593</w:t>
            </w:r>
          </w:p>
        </w:tc>
        <w:tc>
          <w:tcPr>
            <w:tcW w:w="1559" w:type="dxa"/>
            <w:tcBorders>
              <w:top w:val="nil"/>
              <w:left w:val="nil"/>
              <w:bottom w:val="nil"/>
              <w:right w:val="nil"/>
            </w:tcBorders>
            <w:shd w:val="clear" w:color="auto" w:fill="auto"/>
            <w:noWrap/>
            <w:vAlign w:val="center"/>
          </w:tcPr>
          <w:p w:rsidR="00D433EF" w:rsidRPr="00E522DD" w:rsidRDefault="00D433EF" w:rsidP="009C2719">
            <w:pPr>
              <w:pStyle w:val="Entabla"/>
            </w:pPr>
            <w:r w:rsidRPr="008D41B6">
              <w:t>5.285.121</w:t>
            </w:r>
          </w:p>
        </w:tc>
        <w:tc>
          <w:tcPr>
            <w:tcW w:w="1560" w:type="dxa"/>
            <w:tcBorders>
              <w:top w:val="nil"/>
              <w:left w:val="nil"/>
              <w:bottom w:val="nil"/>
              <w:right w:val="nil"/>
            </w:tcBorders>
            <w:shd w:val="clear" w:color="auto" w:fill="auto"/>
            <w:noWrap/>
            <w:vAlign w:val="center"/>
          </w:tcPr>
          <w:p w:rsidR="00D433EF" w:rsidRPr="00E522DD" w:rsidRDefault="00D433EF" w:rsidP="009C2719">
            <w:pPr>
              <w:pStyle w:val="Entabla"/>
            </w:pPr>
            <w:r w:rsidRPr="008D41B6">
              <w:t>455.528</w:t>
            </w:r>
          </w:p>
        </w:tc>
        <w:tc>
          <w:tcPr>
            <w:tcW w:w="1134" w:type="dxa"/>
            <w:tcBorders>
              <w:top w:val="nil"/>
              <w:left w:val="nil"/>
              <w:bottom w:val="nil"/>
              <w:right w:val="nil"/>
            </w:tcBorders>
            <w:shd w:val="clear" w:color="auto" w:fill="auto"/>
            <w:noWrap/>
            <w:vAlign w:val="center"/>
          </w:tcPr>
          <w:p w:rsidR="00D433EF" w:rsidRDefault="00D433EF" w:rsidP="009C2719">
            <w:pPr>
              <w:pStyle w:val="Entabla"/>
            </w:pPr>
            <w:r>
              <w:t>1,09</w:t>
            </w:r>
          </w:p>
        </w:tc>
        <w:tc>
          <w:tcPr>
            <w:tcW w:w="850" w:type="dxa"/>
            <w:tcBorders>
              <w:top w:val="nil"/>
              <w:left w:val="nil"/>
              <w:bottom w:val="nil"/>
              <w:right w:val="nil"/>
            </w:tcBorders>
            <w:shd w:val="clear" w:color="auto" w:fill="auto"/>
            <w:vAlign w:val="center"/>
          </w:tcPr>
          <w:p w:rsidR="00D433EF" w:rsidRDefault="00D433EF" w:rsidP="009C2719">
            <w:pPr>
              <w:pStyle w:val="Entabla"/>
            </w:pPr>
            <w:r>
              <w:t>14%</w:t>
            </w:r>
          </w:p>
        </w:tc>
      </w:tr>
      <w:tr w:rsidR="00D433EF" w:rsidRPr="00207204" w:rsidTr="00D433EF">
        <w:trPr>
          <w:trHeight w:val="300"/>
          <w:jc w:val="center"/>
        </w:trPr>
        <w:tc>
          <w:tcPr>
            <w:tcW w:w="1843" w:type="dxa"/>
            <w:tcBorders>
              <w:top w:val="nil"/>
              <w:left w:val="nil"/>
              <w:bottom w:val="nil"/>
              <w:right w:val="nil"/>
            </w:tcBorders>
            <w:shd w:val="clear" w:color="auto" w:fill="auto"/>
            <w:noWrap/>
            <w:vAlign w:val="center"/>
          </w:tcPr>
          <w:p w:rsidR="00D433EF" w:rsidRDefault="00D433EF" w:rsidP="009C2719">
            <w:pPr>
              <w:pStyle w:val="Entabla"/>
            </w:pPr>
            <w:r>
              <w:t>Subcomponente 2</w:t>
            </w:r>
          </w:p>
        </w:tc>
        <w:tc>
          <w:tcPr>
            <w:tcW w:w="1701" w:type="dxa"/>
            <w:tcBorders>
              <w:top w:val="nil"/>
              <w:left w:val="nil"/>
              <w:bottom w:val="nil"/>
              <w:right w:val="nil"/>
            </w:tcBorders>
            <w:shd w:val="clear" w:color="auto" w:fill="auto"/>
            <w:noWrap/>
            <w:vAlign w:val="center"/>
          </w:tcPr>
          <w:p w:rsidR="00D433EF" w:rsidRPr="00D57107" w:rsidRDefault="00D433EF" w:rsidP="009C2719">
            <w:pPr>
              <w:pStyle w:val="Entabla"/>
            </w:pPr>
            <w:r w:rsidRPr="00C1351F">
              <w:t>651.898</w:t>
            </w:r>
          </w:p>
        </w:tc>
        <w:tc>
          <w:tcPr>
            <w:tcW w:w="1559" w:type="dxa"/>
            <w:tcBorders>
              <w:top w:val="nil"/>
              <w:left w:val="nil"/>
              <w:bottom w:val="nil"/>
              <w:right w:val="nil"/>
            </w:tcBorders>
            <w:shd w:val="clear" w:color="auto" w:fill="auto"/>
            <w:noWrap/>
            <w:vAlign w:val="center"/>
          </w:tcPr>
          <w:p w:rsidR="00D433EF" w:rsidRPr="00E522DD" w:rsidRDefault="00D433EF" w:rsidP="009C2719">
            <w:pPr>
              <w:pStyle w:val="Entabla"/>
            </w:pPr>
            <w:r w:rsidRPr="008A5350">
              <w:t>1.153.204</w:t>
            </w:r>
          </w:p>
        </w:tc>
        <w:tc>
          <w:tcPr>
            <w:tcW w:w="1560" w:type="dxa"/>
            <w:tcBorders>
              <w:top w:val="nil"/>
              <w:left w:val="nil"/>
              <w:bottom w:val="nil"/>
              <w:right w:val="nil"/>
            </w:tcBorders>
            <w:shd w:val="clear" w:color="auto" w:fill="auto"/>
            <w:noWrap/>
            <w:vAlign w:val="center"/>
          </w:tcPr>
          <w:p w:rsidR="00D433EF" w:rsidRPr="00E522DD" w:rsidRDefault="00D433EF" w:rsidP="009C2719">
            <w:pPr>
              <w:pStyle w:val="Entabla"/>
            </w:pPr>
            <w:r w:rsidRPr="008A5350">
              <w:t>501.306</w:t>
            </w:r>
          </w:p>
        </w:tc>
        <w:tc>
          <w:tcPr>
            <w:tcW w:w="1134" w:type="dxa"/>
            <w:tcBorders>
              <w:top w:val="nil"/>
              <w:left w:val="nil"/>
              <w:bottom w:val="nil"/>
              <w:right w:val="nil"/>
            </w:tcBorders>
            <w:shd w:val="clear" w:color="auto" w:fill="auto"/>
            <w:noWrap/>
            <w:vAlign w:val="center"/>
          </w:tcPr>
          <w:p w:rsidR="00D433EF" w:rsidRDefault="00D433EF" w:rsidP="009C2719">
            <w:pPr>
              <w:pStyle w:val="Entabla"/>
              <w:rPr>
                <w:b/>
                <w:bCs/>
              </w:rPr>
            </w:pPr>
            <w:r>
              <w:t>1,77</w:t>
            </w:r>
          </w:p>
        </w:tc>
        <w:tc>
          <w:tcPr>
            <w:tcW w:w="850" w:type="dxa"/>
            <w:tcBorders>
              <w:top w:val="nil"/>
              <w:left w:val="nil"/>
              <w:bottom w:val="nil"/>
              <w:right w:val="nil"/>
            </w:tcBorders>
            <w:shd w:val="clear" w:color="auto" w:fill="auto"/>
            <w:vAlign w:val="center"/>
          </w:tcPr>
          <w:p w:rsidR="00D433EF" w:rsidRDefault="00D433EF" w:rsidP="009C2719">
            <w:pPr>
              <w:pStyle w:val="Entabla"/>
              <w:rPr>
                <w:b/>
                <w:bCs/>
              </w:rPr>
            </w:pPr>
            <w:r>
              <w:t>19%</w:t>
            </w:r>
          </w:p>
        </w:tc>
      </w:tr>
      <w:tr w:rsidR="00D433EF" w:rsidRPr="00207204" w:rsidTr="00D433EF">
        <w:trPr>
          <w:trHeight w:val="300"/>
          <w:jc w:val="center"/>
        </w:trPr>
        <w:tc>
          <w:tcPr>
            <w:tcW w:w="1843" w:type="dxa"/>
            <w:tcBorders>
              <w:top w:val="nil"/>
              <w:left w:val="nil"/>
              <w:bottom w:val="nil"/>
              <w:right w:val="nil"/>
            </w:tcBorders>
            <w:shd w:val="clear" w:color="auto" w:fill="auto"/>
            <w:noWrap/>
            <w:vAlign w:val="center"/>
          </w:tcPr>
          <w:p w:rsidR="00D433EF" w:rsidRDefault="00D433EF" w:rsidP="009C2719">
            <w:pPr>
              <w:pStyle w:val="Entabla"/>
            </w:pPr>
            <w:r>
              <w:t>Subcomponente 3</w:t>
            </w:r>
          </w:p>
        </w:tc>
        <w:tc>
          <w:tcPr>
            <w:tcW w:w="1701" w:type="dxa"/>
            <w:tcBorders>
              <w:top w:val="nil"/>
              <w:left w:val="nil"/>
              <w:bottom w:val="nil"/>
              <w:right w:val="nil"/>
            </w:tcBorders>
            <w:shd w:val="clear" w:color="auto" w:fill="auto"/>
            <w:noWrap/>
            <w:vAlign w:val="center"/>
          </w:tcPr>
          <w:p w:rsidR="00D433EF" w:rsidRPr="00D57107" w:rsidRDefault="00D433EF" w:rsidP="009C2719">
            <w:pPr>
              <w:pStyle w:val="Entabla"/>
            </w:pPr>
            <w:r w:rsidRPr="00C76D68">
              <w:t>1.305.052</w:t>
            </w:r>
          </w:p>
        </w:tc>
        <w:tc>
          <w:tcPr>
            <w:tcW w:w="1559" w:type="dxa"/>
            <w:tcBorders>
              <w:top w:val="nil"/>
              <w:left w:val="nil"/>
              <w:bottom w:val="nil"/>
              <w:right w:val="nil"/>
            </w:tcBorders>
            <w:shd w:val="clear" w:color="auto" w:fill="auto"/>
            <w:noWrap/>
            <w:vAlign w:val="center"/>
          </w:tcPr>
          <w:p w:rsidR="00D433EF" w:rsidRPr="00E522DD" w:rsidRDefault="00D433EF" w:rsidP="009C2719">
            <w:pPr>
              <w:pStyle w:val="Entabla"/>
            </w:pPr>
            <w:r w:rsidRPr="00BF42AC">
              <w:t>3.969.647</w:t>
            </w:r>
          </w:p>
        </w:tc>
        <w:tc>
          <w:tcPr>
            <w:tcW w:w="1560" w:type="dxa"/>
            <w:tcBorders>
              <w:top w:val="nil"/>
              <w:left w:val="nil"/>
              <w:bottom w:val="nil"/>
              <w:right w:val="nil"/>
            </w:tcBorders>
            <w:shd w:val="clear" w:color="auto" w:fill="auto"/>
            <w:noWrap/>
            <w:vAlign w:val="center"/>
          </w:tcPr>
          <w:p w:rsidR="00D433EF" w:rsidRPr="00E522DD" w:rsidRDefault="00D433EF" w:rsidP="009C2719">
            <w:pPr>
              <w:pStyle w:val="Entabla"/>
            </w:pPr>
            <w:r w:rsidRPr="00BF42AC">
              <w:t>2.664.595</w:t>
            </w:r>
          </w:p>
        </w:tc>
        <w:tc>
          <w:tcPr>
            <w:tcW w:w="1134" w:type="dxa"/>
            <w:tcBorders>
              <w:top w:val="nil"/>
              <w:left w:val="nil"/>
              <w:bottom w:val="nil"/>
              <w:right w:val="nil"/>
            </w:tcBorders>
            <w:shd w:val="clear" w:color="auto" w:fill="auto"/>
            <w:noWrap/>
            <w:vAlign w:val="center"/>
          </w:tcPr>
          <w:p w:rsidR="00D433EF" w:rsidRDefault="00D433EF" w:rsidP="009C2719">
            <w:pPr>
              <w:pStyle w:val="Entabla"/>
              <w:rPr>
                <w:b/>
                <w:bCs/>
              </w:rPr>
            </w:pPr>
            <w:r>
              <w:t>3,04</w:t>
            </w:r>
          </w:p>
        </w:tc>
        <w:tc>
          <w:tcPr>
            <w:tcW w:w="850" w:type="dxa"/>
            <w:tcBorders>
              <w:top w:val="nil"/>
              <w:left w:val="nil"/>
              <w:bottom w:val="nil"/>
              <w:right w:val="nil"/>
            </w:tcBorders>
            <w:shd w:val="clear" w:color="auto" w:fill="auto"/>
            <w:vAlign w:val="center"/>
          </w:tcPr>
          <w:p w:rsidR="00D433EF" w:rsidRDefault="00D433EF" w:rsidP="009C2719">
            <w:pPr>
              <w:pStyle w:val="Entabla"/>
              <w:rPr>
                <w:b/>
                <w:bCs/>
              </w:rPr>
            </w:pPr>
            <w:r>
              <w:t>25%</w:t>
            </w:r>
          </w:p>
        </w:tc>
      </w:tr>
      <w:tr w:rsidR="00D433EF" w:rsidRPr="00207204" w:rsidTr="00D433EF">
        <w:trPr>
          <w:trHeight w:val="300"/>
          <w:jc w:val="center"/>
        </w:trPr>
        <w:tc>
          <w:tcPr>
            <w:tcW w:w="1843" w:type="dxa"/>
            <w:tcBorders>
              <w:top w:val="nil"/>
              <w:left w:val="nil"/>
              <w:bottom w:val="nil"/>
              <w:right w:val="nil"/>
            </w:tcBorders>
            <w:shd w:val="clear" w:color="auto" w:fill="auto"/>
            <w:noWrap/>
            <w:vAlign w:val="center"/>
          </w:tcPr>
          <w:p w:rsidR="00D433EF" w:rsidRPr="007E6104" w:rsidRDefault="00D433EF" w:rsidP="009C2719">
            <w:pPr>
              <w:pStyle w:val="Entabla"/>
            </w:pPr>
          </w:p>
        </w:tc>
        <w:tc>
          <w:tcPr>
            <w:tcW w:w="1701" w:type="dxa"/>
            <w:tcBorders>
              <w:top w:val="nil"/>
              <w:left w:val="nil"/>
              <w:bottom w:val="nil"/>
              <w:right w:val="nil"/>
            </w:tcBorders>
            <w:shd w:val="clear" w:color="auto" w:fill="auto"/>
            <w:noWrap/>
            <w:vAlign w:val="center"/>
          </w:tcPr>
          <w:p w:rsidR="00D433EF" w:rsidRPr="007E6104" w:rsidRDefault="00D433EF" w:rsidP="009C2719">
            <w:pPr>
              <w:pStyle w:val="Entabla"/>
            </w:pPr>
          </w:p>
        </w:tc>
        <w:tc>
          <w:tcPr>
            <w:tcW w:w="1559" w:type="dxa"/>
            <w:tcBorders>
              <w:top w:val="nil"/>
              <w:left w:val="nil"/>
              <w:bottom w:val="nil"/>
              <w:right w:val="nil"/>
            </w:tcBorders>
            <w:shd w:val="clear" w:color="auto" w:fill="auto"/>
            <w:noWrap/>
            <w:vAlign w:val="center"/>
          </w:tcPr>
          <w:p w:rsidR="00D433EF" w:rsidRPr="007E6104" w:rsidRDefault="00D433EF" w:rsidP="009C2719">
            <w:pPr>
              <w:pStyle w:val="Entabla"/>
            </w:pPr>
          </w:p>
        </w:tc>
        <w:tc>
          <w:tcPr>
            <w:tcW w:w="1560" w:type="dxa"/>
            <w:tcBorders>
              <w:top w:val="nil"/>
              <w:left w:val="nil"/>
              <w:bottom w:val="nil"/>
              <w:right w:val="nil"/>
            </w:tcBorders>
            <w:shd w:val="clear" w:color="auto" w:fill="auto"/>
            <w:noWrap/>
            <w:vAlign w:val="center"/>
          </w:tcPr>
          <w:p w:rsidR="00D433EF" w:rsidRPr="007E6104" w:rsidRDefault="00D433EF" w:rsidP="009C2719">
            <w:pPr>
              <w:pStyle w:val="Entabla"/>
            </w:pPr>
          </w:p>
        </w:tc>
        <w:tc>
          <w:tcPr>
            <w:tcW w:w="1134" w:type="dxa"/>
            <w:tcBorders>
              <w:top w:val="nil"/>
              <w:left w:val="nil"/>
              <w:bottom w:val="nil"/>
              <w:right w:val="nil"/>
            </w:tcBorders>
            <w:shd w:val="clear" w:color="auto" w:fill="auto"/>
            <w:noWrap/>
            <w:vAlign w:val="center"/>
          </w:tcPr>
          <w:p w:rsidR="00D433EF" w:rsidRPr="007E6104" w:rsidRDefault="00D433EF" w:rsidP="009C2719">
            <w:pPr>
              <w:pStyle w:val="Entabla"/>
            </w:pPr>
          </w:p>
        </w:tc>
        <w:tc>
          <w:tcPr>
            <w:tcW w:w="850" w:type="dxa"/>
            <w:tcBorders>
              <w:top w:val="nil"/>
              <w:left w:val="nil"/>
              <w:bottom w:val="nil"/>
              <w:right w:val="nil"/>
            </w:tcBorders>
            <w:shd w:val="clear" w:color="auto" w:fill="auto"/>
          </w:tcPr>
          <w:p w:rsidR="00D433EF" w:rsidRPr="007E6104" w:rsidRDefault="00D433EF" w:rsidP="009C2719">
            <w:pPr>
              <w:pStyle w:val="Entabla"/>
            </w:pPr>
          </w:p>
        </w:tc>
      </w:tr>
      <w:tr w:rsidR="00D433EF" w:rsidRPr="00207204" w:rsidTr="00D433EF">
        <w:trPr>
          <w:trHeight w:val="300"/>
          <w:jc w:val="center"/>
        </w:trPr>
        <w:tc>
          <w:tcPr>
            <w:tcW w:w="1843" w:type="dxa"/>
            <w:tcBorders>
              <w:top w:val="nil"/>
              <w:left w:val="nil"/>
              <w:bottom w:val="nil"/>
              <w:right w:val="nil"/>
            </w:tcBorders>
            <w:shd w:val="clear" w:color="auto" w:fill="auto"/>
            <w:noWrap/>
            <w:vAlign w:val="center"/>
          </w:tcPr>
          <w:p w:rsidR="00D433EF" w:rsidRPr="00D07C6A" w:rsidRDefault="00D433EF" w:rsidP="009C2719">
            <w:pPr>
              <w:pStyle w:val="Entabla"/>
              <w:rPr>
                <w:b/>
              </w:rPr>
            </w:pPr>
            <w:r w:rsidRPr="00D07C6A">
              <w:rPr>
                <w:b/>
              </w:rPr>
              <w:t>Total</w:t>
            </w:r>
          </w:p>
        </w:tc>
        <w:tc>
          <w:tcPr>
            <w:tcW w:w="1701" w:type="dxa"/>
            <w:tcBorders>
              <w:top w:val="nil"/>
              <w:left w:val="nil"/>
              <w:bottom w:val="nil"/>
              <w:right w:val="nil"/>
            </w:tcBorders>
            <w:shd w:val="clear" w:color="auto" w:fill="auto"/>
            <w:noWrap/>
            <w:vAlign w:val="center"/>
          </w:tcPr>
          <w:p w:rsidR="00D433EF" w:rsidRPr="00D07C6A" w:rsidRDefault="00D433EF" w:rsidP="009C2719">
            <w:pPr>
              <w:pStyle w:val="Entabla"/>
              <w:rPr>
                <w:b/>
              </w:rPr>
            </w:pPr>
            <w:r w:rsidRPr="00E8126C">
              <w:rPr>
                <w:b/>
              </w:rPr>
              <w:t>13.171.009</w:t>
            </w:r>
          </w:p>
        </w:tc>
        <w:tc>
          <w:tcPr>
            <w:tcW w:w="1559" w:type="dxa"/>
            <w:tcBorders>
              <w:top w:val="nil"/>
              <w:left w:val="nil"/>
              <w:bottom w:val="nil"/>
              <w:right w:val="nil"/>
            </w:tcBorders>
            <w:shd w:val="clear" w:color="auto" w:fill="auto"/>
            <w:noWrap/>
            <w:vAlign w:val="center"/>
          </w:tcPr>
          <w:p w:rsidR="00D433EF" w:rsidRPr="000B05C1" w:rsidRDefault="00D433EF" w:rsidP="009C2719">
            <w:pPr>
              <w:pStyle w:val="Entabla"/>
              <w:ind w:left="34"/>
              <w:rPr>
                <w:b/>
              </w:rPr>
            </w:pPr>
            <w:r w:rsidRPr="0054591C">
              <w:rPr>
                <w:b/>
              </w:rPr>
              <w:t>31.726.169</w:t>
            </w:r>
          </w:p>
        </w:tc>
        <w:tc>
          <w:tcPr>
            <w:tcW w:w="1560" w:type="dxa"/>
            <w:tcBorders>
              <w:top w:val="nil"/>
              <w:left w:val="nil"/>
              <w:bottom w:val="nil"/>
              <w:right w:val="nil"/>
            </w:tcBorders>
            <w:shd w:val="clear" w:color="auto" w:fill="auto"/>
            <w:noWrap/>
            <w:vAlign w:val="center"/>
          </w:tcPr>
          <w:p w:rsidR="00D433EF" w:rsidRPr="000B05C1" w:rsidRDefault="00D433EF" w:rsidP="009C2719">
            <w:pPr>
              <w:pStyle w:val="Entabla"/>
              <w:ind w:left="34"/>
              <w:rPr>
                <w:b/>
              </w:rPr>
            </w:pPr>
            <w:r w:rsidRPr="0054591C">
              <w:rPr>
                <w:b/>
              </w:rPr>
              <w:t>18.110.863</w:t>
            </w:r>
          </w:p>
        </w:tc>
        <w:tc>
          <w:tcPr>
            <w:tcW w:w="1134" w:type="dxa"/>
            <w:tcBorders>
              <w:top w:val="nil"/>
              <w:left w:val="nil"/>
              <w:bottom w:val="nil"/>
              <w:right w:val="nil"/>
            </w:tcBorders>
            <w:shd w:val="clear" w:color="auto" w:fill="auto"/>
            <w:noWrap/>
            <w:vAlign w:val="center"/>
          </w:tcPr>
          <w:p w:rsidR="00D433EF" w:rsidRPr="00D07C6A" w:rsidRDefault="00D433EF" w:rsidP="009C2719">
            <w:pPr>
              <w:pStyle w:val="Entabla"/>
              <w:rPr>
                <w:b/>
                <w:bCs/>
              </w:rPr>
            </w:pPr>
            <w:r>
              <w:rPr>
                <w:b/>
              </w:rPr>
              <w:t>2,33</w:t>
            </w:r>
          </w:p>
        </w:tc>
        <w:tc>
          <w:tcPr>
            <w:tcW w:w="850" w:type="dxa"/>
            <w:tcBorders>
              <w:top w:val="nil"/>
              <w:left w:val="nil"/>
              <w:bottom w:val="nil"/>
              <w:right w:val="nil"/>
            </w:tcBorders>
            <w:shd w:val="clear" w:color="auto" w:fill="auto"/>
            <w:vAlign w:val="center"/>
          </w:tcPr>
          <w:p w:rsidR="00D433EF" w:rsidRPr="00D07C6A" w:rsidRDefault="00D433EF" w:rsidP="009C2719">
            <w:pPr>
              <w:pStyle w:val="Entabla"/>
              <w:rPr>
                <w:b/>
                <w:bCs/>
              </w:rPr>
            </w:pPr>
            <w:r>
              <w:rPr>
                <w:b/>
              </w:rPr>
              <w:t>27</w:t>
            </w:r>
            <w:r w:rsidRPr="00D07C6A">
              <w:rPr>
                <w:b/>
              </w:rPr>
              <w:t>%</w:t>
            </w:r>
          </w:p>
        </w:tc>
      </w:tr>
      <w:tr w:rsidR="00D433EF" w:rsidRPr="00BB26A9" w:rsidTr="00D433EF">
        <w:trPr>
          <w:trHeight w:val="287"/>
          <w:jc w:val="center"/>
        </w:trPr>
        <w:tc>
          <w:tcPr>
            <w:tcW w:w="1843" w:type="dxa"/>
            <w:tcBorders>
              <w:top w:val="single" w:sz="4" w:space="0" w:color="auto"/>
              <w:left w:val="nil"/>
              <w:bottom w:val="single" w:sz="4" w:space="0" w:color="auto"/>
              <w:right w:val="nil"/>
            </w:tcBorders>
            <w:shd w:val="clear" w:color="auto" w:fill="auto"/>
            <w:vAlign w:val="center"/>
          </w:tcPr>
          <w:p w:rsidR="00D433EF" w:rsidRPr="007E6104" w:rsidRDefault="00D433EF" w:rsidP="009C2719">
            <w:pPr>
              <w:pStyle w:val="Entabla"/>
              <w:rPr>
                <w:b/>
                <w:lang w:val="es-ES_tradnl"/>
              </w:rPr>
            </w:pPr>
            <w:r w:rsidRPr="007E6104">
              <w:rPr>
                <w:b/>
                <w:lang w:val="es-ES_tradnl"/>
              </w:rPr>
              <w:t>Escenario 3-Favorable</w:t>
            </w:r>
          </w:p>
        </w:tc>
        <w:tc>
          <w:tcPr>
            <w:tcW w:w="1701" w:type="dxa"/>
            <w:tcBorders>
              <w:top w:val="single" w:sz="4" w:space="0" w:color="auto"/>
              <w:left w:val="nil"/>
              <w:bottom w:val="single" w:sz="4" w:space="0" w:color="auto"/>
              <w:right w:val="nil"/>
            </w:tcBorders>
            <w:shd w:val="clear" w:color="auto" w:fill="auto"/>
            <w:noWrap/>
            <w:vAlign w:val="center"/>
          </w:tcPr>
          <w:p w:rsidR="00D433EF" w:rsidRPr="007E6104" w:rsidRDefault="00D433EF" w:rsidP="009C2719">
            <w:pPr>
              <w:pStyle w:val="Entabla"/>
              <w:rPr>
                <w:b/>
                <w:lang w:val="es-ES_tradnl"/>
              </w:rPr>
            </w:pPr>
            <w:r w:rsidRPr="007E6104">
              <w:rPr>
                <w:b/>
                <w:lang w:val="es-ES_tradnl"/>
              </w:rPr>
              <w:t> </w:t>
            </w:r>
          </w:p>
        </w:tc>
        <w:tc>
          <w:tcPr>
            <w:tcW w:w="1559" w:type="dxa"/>
            <w:tcBorders>
              <w:top w:val="single" w:sz="4" w:space="0" w:color="auto"/>
              <w:left w:val="nil"/>
              <w:bottom w:val="single" w:sz="4" w:space="0" w:color="auto"/>
              <w:right w:val="nil"/>
            </w:tcBorders>
            <w:shd w:val="clear" w:color="auto" w:fill="auto"/>
            <w:noWrap/>
            <w:vAlign w:val="center"/>
          </w:tcPr>
          <w:p w:rsidR="00D433EF" w:rsidRPr="007E6104" w:rsidRDefault="00D433EF" w:rsidP="009C2719">
            <w:pPr>
              <w:pStyle w:val="Entabla"/>
              <w:rPr>
                <w:b/>
                <w:lang w:val="es-ES_tradnl"/>
              </w:rPr>
            </w:pPr>
            <w:r w:rsidRPr="007E6104">
              <w:rPr>
                <w:b/>
                <w:lang w:val="es-ES_tradnl"/>
              </w:rPr>
              <w:t> </w:t>
            </w:r>
          </w:p>
        </w:tc>
        <w:tc>
          <w:tcPr>
            <w:tcW w:w="1560" w:type="dxa"/>
            <w:tcBorders>
              <w:top w:val="single" w:sz="4" w:space="0" w:color="auto"/>
              <w:left w:val="nil"/>
              <w:bottom w:val="single" w:sz="4" w:space="0" w:color="auto"/>
              <w:right w:val="nil"/>
            </w:tcBorders>
            <w:shd w:val="clear" w:color="auto" w:fill="auto"/>
            <w:noWrap/>
            <w:vAlign w:val="center"/>
          </w:tcPr>
          <w:p w:rsidR="00D433EF" w:rsidRPr="007E6104" w:rsidRDefault="00D433EF" w:rsidP="009C2719">
            <w:pPr>
              <w:pStyle w:val="Entabla"/>
              <w:rPr>
                <w:b/>
                <w:lang w:val="es-ES_tradnl"/>
              </w:rPr>
            </w:pPr>
            <w:r w:rsidRPr="007E6104">
              <w:rPr>
                <w:b/>
                <w:lang w:val="es-ES_tradnl"/>
              </w:rPr>
              <w:t> </w:t>
            </w:r>
          </w:p>
        </w:tc>
        <w:tc>
          <w:tcPr>
            <w:tcW w:w="1134" w:type="dxa"/>
            <w:tcBorders>
              <w:top w:val="single" w:sz="4" w:space="0" w:color="auto"/>
              <w:left w:val="nil"/>
              <w:bottom w:val="single" w:sz="4" w:space="0" w:color="auto"/>
              <w:right w:val="nil"/>
            </w:tcBorders>
            <w:shd w:val="clear" w:color="auto" w:fill="auto"/>
            <w:noWrap/>
            <w:vAlign w:val="center"/>
          </w:tcPr>
          <w:p w:rsidR="00D433EF" w:rsidRPr="007E6104" w:rsidRDefault="00D433EF" w:rsidP="009C2719">
            <w:pPr>
              <w:pStyle w:val="Entabla"/>
              <w:rPr>
                <w:b/>
                <w:lang w:val="es-ES_tradnl"/>
              </w:rPr>
            </w:pPr>
            <w:r w:rsidRPr="007E6104">
              <w:rPr>
                <w:b/>
                <w:lang w:val="es-ES_tradnl"/>
              </w:rPr>
              <w:t> </w:t>
            </w:r>
          </w:p>
        </w:tc>
        <w:tc>
          <w:tcPr>
            <w:tcW w:w="850" w:type="dxa"/>
            <w:tcBorders>
              <w:top w:val="single" w:sz="4" w:space="0" w:color="auto"/>
              <w:left w:val="nil"/>
              <w:bottom w:val="single" w:sz="4" w:space="0" w:color="auto"/>
              <w:right w:val="nil"/>
            </w:tcBorders>
            <w:shd w:val="clear" w:color="auto" w:fill="auto"/>
          </w:tcPr>
          <w:p w:rsidR="00D433EF" w:rsidRPr="007E6104" w:rsidRDefault="00D433EF" w:rsidP="009C2719">
            <w:pPr>
              <w:pStyle w:val="Entabla"/>
              <w:rPr>
                <w:b/>
                <w:lang w:val="es-ES_tradnl"/>
              </w:rPr>
            </w:pPr>
          </w:p>
        </w:tc>
      </w:tr>
      <w:tr w:rsidR="00D433EF" w:rsidRPr="00207204" w:rsidTr="00D433EF">
        <w:trPr>
          <w:trHeight w:val="300"/>
          <w:jc w:val="center"/>
        </w:trPr>
        <w:tc>
          <w:tcPr>
            <w:tcW w:w="1843" w:type="dxa"/>
            <w:tcBorders>
              <w:top w:val="nil"/>
              <w:left w:val="nil"/>
              <w:bottom w:val="nil"/>
              <w:right w:val="nil"/>
            </w:tcBorders>
            <w:shd w:val="clear" w:color="auto" w:fill="auto"/>
            <w:noWrap/>
            <w:vAlign w:val="center"/>
          </w:tcPr>
          <w:p w:rsidR="00D433EF" w:rsidRPr="007E6104" w:rsidRDefault="00D433EF" w:rsidP="009C2719">
            <w:pPr>
              <w:pStyle w:val="Entabla"/>
            </w:pPr>
          </w:p>
        </w:tc>
        <w:tc>
          <w:tcPr>
            <w:tcW w:w="1701" w:type="dxa"/>
            <w:tcBorders>
              <w:top w:val="nil"/>
              <w:left w:val="nil"/>
              <w:bottom w:val="nil"/>
              <w:right w:val="nil"/>
            </w:tcBorders>
            <w:shd w:val="clear" w:color="auto" w:fill="auto"/>
            <w:noWrap/>
            <w:vAlign w:val="center"/>
          </w:tcPr>
          <w:p w:rsidR="00D433EF" w:rsidRPr="007E6104" w:rsidRDefault="00D433EF" w:rsidP="009C2719">
            <w:pPr>
              <w:pStyle w:val="Entabla"/>
            </w:pPr>
          </w:p>
        </w:tc>
        <w:tc>
          <w:tcPr>
            <w:tcW w:w="1559" w:type="dxa"/>
            <w:tcBorders>
              <w:top w:val="nil"/>
              <w:left w:val="nil"/>
              <w:bottom w:val="nil"/>
              <w:right w:val="nil"/>
            </w:tcBorders>
            <w:shd w:val="clear" w:color="auto" w:fill="auto"/>
            <w:noWrap/>
            <w:vAlign w:val="center"/>
          </w:tcPr>
          <w:p w:rsidR="00D433EF" w:rsidRPr="007E6104" w:rsidRDefault="00D433EF" w:rsidP="009C2719">
            <w:pPr>
              <w:pStyle w:val="Entabla"/>
            </w:pPr>
          </w:p>
        </w:tc>
        <w:tc>
          <w:tcPr>
            <w:tcW w:w="1560" w:type="dxa"/>
            <w:tcBorders>
              <w:top w:val="nil"/>
              <w:left w:val="nil"/>
              <w:bottom w:val="nil"/>
              <w:right w:val="nil"/>
            </w:tcBorders>
            <w:shd w:val="clear" w:color="auto" w:fill="auto"/>
            <w:noWrap/>
            <w:vAlign w:val="center"/>
          </w:tcPr>
          <w:p w:rsidR="00D433EF" w:rsidRPr="007E6104" w:rsidRDefault="00D433EF" w:rsidP="009C2719">
            <w:pPr>
              <w:pStyle w:val="Entabla"/>
            </w:pPr>
          </w:p>
        </w:tc>
        <w:tc>
          <w:tcPr>
            <w:tcW w:w="1134" w:type="dxa"/>
            <w:tcBorders>
              <w:top w:val="nil"/>
              <w:left w:val="nil"/>
              <w:bottom w:val="nil"/>
              <w:right w:val="nil"/>
            </w:tcBorders>
            <w:shd w:val="clear" w:color="auto" w:fill="auto"/>
            <w:noWrap/>
            <w:vAlign w:val="center"/>
          </w:tcPr>
          <w:p w:rsidR="00D433EF" w:rsidRPr="007E6104" w:rsidRDefault="00D433EF" w:rsidP="009C2719">
            <w:pPr>
              <w:pStyle w:val="Entabla"/>
            </w:pPr>
          </w:p>
        </w:tc>
        <w:tc>
          <w:tcPr>
            <w:tcW w:w="850" w:type="dxa"/>
            <w:tcBorders>
              <w:top w:val="nil"/>
              <w:left w:val="nil"/>
              <w:bottom w:val="nil"/>
              <w:right w:val="nil"/>
            </w:tcBorders>
            <w:shd w:val="clear" w:color="auto" w:fill="auto"/>
          </w:tcPr>
          <w:p w:rsidR="00D433EF" w:rsidRPr="007E6104" w:rsidRDefault="00D433EF" w:rsidP="009C2719">
            <w:pPr>
              <w:pStyle w:val="Entabla"/>
            </w:pPr>
          </w:p>
        </w:tc>
      </w:tr>
      <w:tr w:rsidR="00D433EF" w:rsidRPr="00207204" w:rsidTr="00D433EF">
        <w:trPr>
          <w:trHeight w:val="300"/>
          <w:jc w:val="center"/>
        </w:trPr>
        <w:tc>
          <w:tcPr>
            <w:tcW w:w="1843" w:type="dxa"/>
            <w:tcBorders>
              <w:top w:val="nil"/>
              <w:left w:val="nil"/>
              <w:bottom w:val="nil"/>
              <w:right w:val="nil"/>
            </w:tcBorders>
            <w:shd w:val="clear" w:color="auto" w:fill="auto"/>
            <w:noWrap/>
            <w:vAlign w:val="center"/>
            <w:hideMark/>
          </w:tcPr>
          <w:p w:rsidR="00D433EF" w:rsidRPr="00D07C6A" w:rsidRDefault="00D433EF" w:rsidP="009C2719">
            <w:pPr>
              <w:pStyle w:val="Entabla"/>
              <w:rPr>
                <w:b/>
              </w:rPr>
            </w:pPr>
            <w:r w:rsidRPr="00D07C6A">
              <w:rPr>
                <w:b/>
              </w:rPr>
              <w:t>Componente 1-Información</w:t>
            </w:r>
          </w:p>
        </w:tc>
        <w:tc>
          <w:tcPr>
            <w:tcW w:w="1701" w:type="dxa"/>
            <w:tcBorders>
              <w:top w:val="nil"/>
              <w:left w:val="nil"/>
              <w:bottom w:val="nil"/>
              <w:right w:val="nil"/>
            </w:tcBorders>
            <w:shd w:val="clear" w:color="auto" w:fill="auto"/>
            <w:noWrap/>
            <w:vAlign w:val="center"/>
            <w:hideMark/>
          </w:tcPr>
          <w:p w:rsidR="00D433EF" w:rsidRPr="00D07C6A" w:rsidRDefault="00D433EF" w:rsidP="009C2719">
            <w:pPr>
              <w:pStyle w:val="Entabla"/>
              <w:rPr>
                <w:b/>
              </w:rPr>
            </w:pPr>
            <w:r w:rsidRPr="00783D49">
              <w:rPr>
                <w:b/>
              </w:rPr>
              <w:t>6.828.764</w:t>
            </w:r>
          </w:p>
        </w:tc>
        <w:tc>
          <w:tcPr>
            <w:tcW w:w="1559" w:type="dxa"/>
            <w:tcBorders>
              <w:top w:val="nil"/>
              <w:left w:val="nil"/>
              <w:bottom w:val="nil"/>
              <w:right w:val="nil"/>
            </w:tcBorders>
            <w:shd w:val="clear" w:color="auto" w:fill="auto"/>
            <w:noWrap/>
            <w:vAlign w:val="center"/>
            <w:hideMark/>
          </w:tcPr>
          <w:p w:rsidR="00D433EF" w:rsidRPr="000B05C1" w:rsidRDefault="00D433EF" w:rsidP="009C2719">
            <w:pPr>
              <w:pStyle w:val="Entabla"/>
              <w:ind w:left="34"/>
              <w:rPr>
                <w:b/>
              </w:rPr>
            </w:pPr>
            <w:r w:rsidRPr="00BE6531">
              <w:rPr>
                <w:b/>
              </w:rPr>
              <w:t>49.742.462</w:t>
            </w:r>
          </w:p>
        </w:tc>
        <w:tc>
          <w:tcPr>
            <w:tcW w:w="1560" w:type="dxa"/>
            <w:tcBorders>
              <w:top w:val="nil"/>
              <w:left w:val="nil"/>
              <w:bottom w:val="nil"/>
              <w:right w:val="nil"/>
            </w:tcBorders>
            <w:shd w:val="clear" w:color="auto" w:fill="auto"/>
            <w:noWrap/>
            <w:vAlign w:val="center"/>
            <w:hideMark/>
          </w:tcPr>
          <w:p w:rsidR="00D433EF" w:rsidRPr="000B05C1" w:rsidRDefault="00D433EF" w:rsidP="009C2719">
            <w:pPr>
              <w:pStyle w:val="Entabla"/>
              <w:ind w:left="34"/>
              <w:rPr>
                <w:b/>
              </w:rPr>
            </w:pPr>
            <w:r w:rsidRPr="00F22C42">
              <w:rPr>
                <w:b/>
              </w:rPr>
              <w:t>42.913.698</w:t>
            </w:r>
          </w:p>
        </w:tc>
        <w:tc>
          <w:tcPr>
            <w:tcW w:w="1134" w:type="dxa"/>
            <w:tcBorders>
              <w:top w:val="nil"/>
              <w:left w:val="nil"/>
              <w:bottom w:val="nil"/>
              <w:right w:val="nil"/>
            </w:tcBorders>
            <w:shd w:val="clear" w:color="auto" w:fill="auto"/>
            <w:noWrap/>
            <w:vAlign w:val="center"/>
            <w:hideMark/>
          </w:tcPr>
          <w:p w:rsidR="00D433EF" w:rsidRPr="00D07C6A" w:rsidRDefault="00D433EF" w:rsidP="009C2719">
            <w:pPr>
              <w:pStyle w:val="Entabla"/>
              <w:rPr>
                <w:b/>
                <w:bCs/>
              </w:rPr>
            </w:pPr>
            <w:r w:rsidRPr="00BE6531">
              <w:rPr>
                <w:b/>
              </w:rPr>
              <w:t>7,</w:t>
            </w:r>
            <w:r>
              <w:rPr>
                <w:b/>
              </w:rPr>
              <w:t>28</w:t>
            </w:r>
          </w:p>
        </w:tc>
        <w:tc>
          <w:tcPr>
            <w:tcW w:w="850" w:type="dxa"/>
            <w:tcBorders>
              <w:top w:val="nil"/>
              <w:left w:val="nil"/>
              <w:bottom w:val="nil"/>
              <w:right w:val="nil"/>
            </w:tcBorders>
            <w:shd w:val="clear" w:color="auto" w:fill="auto"/>
            <w:vAlign w:val="center"/>
          </w:tcPr>
          <w:p w:rsidR="00D433EF" w:rsidRPr="000B05C1" w:rsidRDefault="00D433EF" w:rsidP="009C2719">
            <w:pPr>
              <w:pStyle w:val="Entabla"/>
              <w:ind w:left="34"/>
              <w:rPr>
                <w:b/>
              </w:rPr>
            </w:pPr>
            <w:r>
              <w:rPr>
                <w:b/>
              </w:rPr>
              <w:t>61</w:t>
            </w:r>
            <w:r w:rsidRPr="000B05C1">
              <w:rPr>
                <w:b/>
              </w:rPr>
              <w:t>%</w:t>
            </w:r>
          </w:p>
        </w:tc>
      </w:tr>
      <w:tr w:rsidR="00D433EF" w:rsidRPr="00207204" w:rsidTr="00D433EF">
        <w:trPr>
          <w:trHeight w:val="300"/>
          <w:jc w:val="center"/>
        </w:trPr>
        <w:tc>
          <w:tcPr>
            <w:tcW w:w="1843" w:type="dxa"/>
            <w:tcBorders>
              <w:top w:val="nil"/>
              <w:left w:val="nil"/>
              <w:bottom w:val="nil"/>
              <w:right w:val="nil"/>
            </w:tcBorders>
            <w:shd w:val="clear" w:color="auto" w:fill="auto"/>
            <w:noWrap/>
            <w:vAlign w:val="center"/>
            <w:hideMark/>
          </w:tcPr>
          <w:p w:rsidR="00D433EF" w:rsidRPr="00D07C6A" w:rsidRDefault="00D433EF" w:rsidP="009C2719">
            <w:pPr>
              <w:pStyle w:val="Entabla"/>
              <w:rPr>
                <w:b/>
              </w:rPr>
            </w:pPr>
            <w:r w:rsidRPr="00D07C6A">
              <w:rPr>
                <w:b/>
              </w:rPr>
              <w:t>Componente 2-Prevención</w:t>
            </w:r>
          </w:p>
        </w:tc>
        <w:tc>
          <w:tcPr>
            <w:tcW w:w="1701" w:type="dxa"/>
            <w:tcBorders>
              <w:top w:val="nil"/>
              <w:left w:val="nil"/>
              <w:bottom w:val="nil"/>
              <w:right w:val="nil"/>
            </w:tcBorders>
            <w:shd w:val="clear" w:color="auto" w:fill="auto"/>
            <w:noWrap/>
            <w:vAlign w:val="center"/>
            <w:hideMark/>
          </w:tcPr>
          <w:p w:rsidR="00D433EF" w:rsidRPr="00D07C6A" w:rsidRDefault="00D433EF" w:rsidP="009C2719">
            <w:pPr>
              <w:pStyle w:val="Entabla"/>
              <w:rPr>
                <w:b/>
              </w:rPr>
            </w:pPr>
            <w:r w:rsidRPr="00783D49">
              <w:rPr>
                <w:b/>
              </w:rPr>
              <w:t>6.786.543</w:t>
            </w:r>
          </w:p>
        </w:tc>
        <w:tc>
          <w:tcPr>
            <w:tcW w:w="1559" w:type="dxa"/>
            <w:tcBorders>
              <w:top w:val="nil"/>
              <w:left w:val="nil"/>
              <w:bottom w:val="nil"/>
              <w:right w:val="nil"/>
            </w:tcBorders>
            <w:shd w:val="clear" w:color="auto" w:fill="auto"/>
            <w:noWrap/>
            <w:vAlign w:val="center"/>
            <w:hideMark/>
          </w:tcPr>
          <w:p w:rsidR="00D433EF" w:rsidRPr="000B05C1" w:rsidRDefault="00D433EF" w:rsidP="009C2719">
            <w:pPr>
              <w:pStyle w:val="Entabla"/>
              <w:ind w:left="34"/>
              <w:rPr>
                <w:b/>
              </w:rPr>
            </w:pPr>
            <w:r w:rsidRPr="00FA7FD4">
              <w:rPr>
                <w:b/>
              </w:rPr>
              <w:t>18.916.125</w:t>
            </w:r>
          </w:p>
        </w:tc>
        <w:tc>
          <w:tcPr>
            <w:tcW w:w="1560" w:type="dxa"/>
            <w:tcBorders>
              <w:top w:val="nil"/>
              <w:left w:val="nil"/>
              <w:bottom w:val="nil"/>
              <w:right w:val="nil"/>
            </w:tcBorders>
            <w:shd w:val="clear" w:color="auto" w:fill="auto"/>
            <w:noWrap/>
            <w:vAlign w:val="center"/>
            <w:hideMark/>
          </w:tcPr>
          <w:p w:rsidR="00D433EF" w:rsidRPr="000B05C1" w:rsidRDefault="00D433EF" w:rsidP="009C2719">
            <w:pPr>
              <w:pStyle w:val="Entabla"/>
              <w:ind w:left="34"/>
              <w:rPr>
                <w:b/>
              </w:rPr>
            </w:pPr>
            <w:r w:rsidRPr="00FA7FD4">
              <w:rPr>
                <w:b/>
              </w:rPr>
              <w:t>12.129.583</w:t>
            </w:r>
          </w:p>
        </w:tc>
        <w:tc>
          <w:tcPr>
            <w:tcW w:w="1134" w:type="dxa"/>
            <w:tcBorders>
              <w:top w:val="nil"/>
              <w:left w:val="nil"/>
              <w:bottom w:val="nil"/>
              <w:right w:val="nil"/>
            </w:tcBorders>
            <w:shd w:val="clear" w:color="auto" w:fill="auto"/>
            <w:noWrap/>
            <w:vAlign w:val="center"/>
            <w:hideMark/>
          </w:tcPr>
          <w:p w:rsidR="00D433EF" w:rsidRPr="00D07C6A" w:rsidRDefault="00D433EF" w:rsidP="009C2719">
            <w:pPr>
              <w:pStyle w:val="Entabla"/>
              <w:rPr>
                <w:b/>
              </w:rPr>
            </w:pPr>
            <w:r>
              <w:rPr>
                <w:b/>
              </w:rPr>
              <w:t>2,79</w:t>
            </w:r>
          </w:p>
        </w:tc>
        <w:tc>
          <w:tcPr>
            <w:tcW w:w="850" w:type="dxa"/>
            <w:tcBorders>
              <w:top w:val="nil"/>
              <w:left w:val="nil"/>
              <w:bottom w:val="nil"/>
              <w:right w:val="nil"/>
            </w:tcBorders>
            <w:shd w:val="clear" w:color="auto" w:fill="auto"/>
            <w:vAlign w:val="center"/>
          </w:tcPr>
          <w:p w:rsidR="00D433EF" w:rsidRPr="000B05C1" w:rsidRDefault="00D433EF" w:rsidP="009C2719">
            <w:pPr>
              <w:pStyle w:val="Entabla"/>
              <w:ind w:left="34"/>
              <w:rPr>
                <w:b/>
              </w:rPr>
            </w:pPr>
            <w:r>
              <w:rPr>
                <w:b/>
              </w:rPr>
              <w:t>30</w:t>
            </w:r>
            <w:r w:rsidRPr="000B05C1">
              <w:rPr>
                <w:b/>
              </w:rPr>
              <w:t>%</w:t>
            </w:r>
          </w:p>
        </w:tc>
      </w:tr>
      <w:tr w:rsidR="00D433EF" w:rsidRPr="00207204" w:rsidTr="00D433EF">
        <w:trPr>
          <w:trHeight w:val="300"/>
          <w:jc w:val="center"/>
        </w:trPr>
        <w:tc>
          <w:tcPr>
            <w:tcW w:w="1843" w:type="dxa"/>
            <w:tcBorders>
              <w:top w:val="nil"/>
              <w:left w:val="nil"/>
              <w:bottom w:val="nil"/>
              <w:right w:val="nil"/>
            </w:tcBorders>
            <w:shd w:val="clear" w:color="auto" w:fill="auto"/>
            <w:noWrap/>
            <w:vAlign w:val="center"/>
          </w:tcPr>
          <w:p w:rsidR="00D433EF" w:rsidRDefault="00D433EF" w:rsidP="009C2719">
            <w:pPr>
              <w:pStyle w:val="Entabla"/>
            </w:pPr>
            <w:r>
              <w:t>Subcomponente 1</w:t>
            </w:r>
          </w:p>
        </w:tc>
        <w:tc>
          <w:tcPr>
            <w:tcW w:w="1701" w:type="dxa"/>
            <w:tcBorders>
              <w:top w:val="nil"/>
              <w:left w:val="nil"/>
              <w:bottom w:val="nil"/>
              <w:right w:val="nil"/>
            </w:tcBorders>
            <w:shd w:val="clear" w:color="auto" w:fill="auto"/>
            <w:noWrap/>
            <w:vAlign w:val="center"/>
          </w:tcPr>
          <w:p w:rsidR="00D433EF" w:rsidRPr="00D57107" w:rsidRDefault="00D433EF" w:rsidP="009C2719">
            <w:pPr>
              <w:pStyle w:val="Entabla"/>
            </w:pPr>
            <w:r w:rsidRPr="00042407">
              <w:t>4.829.593</w:t>
            </w:r>
          </w:p>
        </w:tc>
        <w:tc>
          <w:tcPr>
            <w:tcW w:w="1559" w:type="dxa"/>
            <w:tcBorders>
              <w:top w:val="nil"/>
              <w:left w:val="nil"/>
              <w:bottom w:val="nil"/>
              <w:right w:val="nil"/>
            </w:tcBorders>
            <w:shd w:val="clear" w:color="auto" w:fill="auto"/>
            <w:noWrap/>
            <w:vAlign w:val="center"/>
          </w:tcPr>
          <w:p w:rsidR="00D433EF" w:rsidRPr="004C1201" w:rsidRDefault="00D433EF" w:rsidP="009C2719">
            <w:pPr>
              <w:pStyle w:val="Entabla"/>
            </w:pPr>
            <w:r w:rsidRPr="000941C3">
              <w:t>10.570.242</w:t>
            </w:r>
          </w:p>
        </w:tc>
        <w:tc>
          <w:tcPr>
            <w:tcW w:w="1560" w:type="dxa"/>
            <w:tcBorders>
              <w:top w:val="nil"/>
              <w:left w:val="nil"/>
              <w:bottom w:val="nil"/>
              <w:right w:val="nil"/>
            </w:tcBorders>
            <w:shd w:val="clear" w:color="auto" w:fill="auto"/>
            <w:noWrap/>
            <w:vAlign w:val="center"/>
          </w:tcPr>
          <w:p w:rsidR="00D433EF" w:rsidRPr="003332AB" w:rsidRDefault="00D433EF" w:rsidP="009C2719">
            <w:pPr>
              <w:pStyle w:val="Entabla"/>
            </w:pPr>
            <w:r w:rsidRPr="000941C3">
              <w:t>5.740.649</w:t>
            </w:r>
          </w:p>
        </w:tc>
        <w:tc>
          <w:tcPr>
            <w:tcW w:w="1134" w:type="dxa"/>
            <w:tcBorders>
              <w:top w:val="nil"/>
              <w:left w:val="nil"/>
              <w:bottom w:val="nil"/>
              <w:right w:val="nil"/>
            </w:tcBorders>
            <w:shd w:val="clear" w:color="auto" w:fill="auto"/>
            <w:noWrap/>
            <w:vAlign w:val="center"/>
          </w:tcPr>
          <w:p w:rsidR="00D433EF" w:rsidRDefault="00D433EF" w:rsidP="009C2719">
            <w:pPr>
              <w:pStyle w:val="Entabla"/>
            </w:pPr>
            <w:r>
              <w:t>2,19</w:t>
            </w:r>
          </w:p>
        </w:tc>
        <w:tc>
          <w:tcPr>
            <w:tcW w:w="850" w:type="dxa"/>
            <w:tcBorders>
              <w:top w:val="nil"/>
              <w:left w:val="nil"/>
              <w:bottom w:val="nil"/>
              <w:right w:val="nil"/>
            </w:tcBorders>
            <w:shd w:val="clear" w:color="auto" w:fill="auto"/>
            <w:vAlign w:val="center"/>
          </w:tcPr>
          <w:p w:rsidR="00D433EF" w:rsidRDefault="00D433EF" w:rsidP="009C2719">
            <w:pPr>
              <w:pStyle w:val="Entabla"/>
            </w:pPr>
            <w:r>
              <w:t>30%</w:t>
            </w:r>
          </w:p>
        </w:tc>
      </w:tr>
      <w:tr w:rsidR="00D433EF" w:rsidRPr="00207204" w:rsidTr="00D433EF">
        <w:trPr>
          <w:trHeight w:val="300"/>
          <w:jc w:val="center"/>
        </w:trPr>
        <w:tc>
          <w:tcPr>
            <w:tcW w:w="1843" w:type="dxa"/>
            <w:tcBorders>
              <w:top w:val="nil"/>
              <w:left w:val="nil"/>
              <w:bottom w:val="nil"/>
              <w:right w:val="nil"/>
            </w:tcBorders>
            <w:shd w:val="clear" w:color="auto" w:fill="auto"/>
            <w:noWrap/>
            <w:vAlign w:val="center"/>
          </w:tcPr>
          <w:p w:rsidR="00D433EF" w:rsidRDefault="00D433EF" w:rsidP="009C2719">
            <w:pPr>
              <w:pStyle w:val="Entabla"/>
            </w:pPr>
            <w:r>
              <w:t>Subcomponente 2</w:t>
            </w:r>
          </w:p>
        </w:tc>
        <w:tc>
          <w:tcPr>
            <w:tcW w:w="1701" w:type="dxa"/>
            <w:tcBorders>
              <w:top w:val="nil"/>
              <w:left w:val="nil"/>
              <w:bottom w:val="nil"/>
              <w:right w:val="nil"/>
            </w:tcBorders>
            <w:shd w:val="clear" w:color="auto" w:fill="auto"/>
            <w:noWrap/>
            <w:vAlign w:val="center"/>
          </w:tcPr>
          <w:p w:rsidR="00D433EF" w:rsidRPr="00D57107" w:rsidRDefault="00D433EF" w:rsidP="009C2719">
            <w:pPr>
              <w:pStyle w:val="Entabla"/>
            </w:pPr>
            <w:r w:rsidRPr="00C1351F">
              <w:t>651.898</w:t>
            </w:r>
          </w:p>
        </w:tc>
        <w:tc>
          <w:tcPr>
            <w:tcW w:w="1559" w:type="dxa"/>
            <w:tcBorders>
              <w:top w:val="nil"/>
              <w:left w:val="nil"/>
              <w:bottom w:val="nil"/>
              <w:right w:val="nil"/>
            </w:tcBorders>
            <w:shd w:val="clear" w:color="auto" w:fill="auto"/>
            <w:noWrap/>
            <w:vAlign w:val="center"/>
          </w:tcPr>
          <w:p w:rsidR="00D433EF" w:rsidRPr="004C1201" w:rsidRDefault="00D433EF" w:rsidP="009C2719">
            <w:pPr>
              <w:pStyle w:val="Entabla"/>
            </w:pPr>
            <w:r w:rsidRPr="000941C3">
              <w:t>1.729.806</w:t>
            </w:r>
          </w:p>
        </w:tc>
        <w:tc>
          <w:tcPr>
            <w:tcW w:w="1560" w:type="dxa"/>
            <w:tcBorders>
              <w:top w:val="nil"/>
              <w:left w:val="nil"/>
              <w:bottom w:val="nil"/>
              <w:right w:val="nil"/>
            </w:tcBorders>
            <w:shd w:val="clear" w:color="auto" w:fill="auto"/>
            <w:noWrap/>
            <w:vAlign w:val="center"/>
          </w:tcPr>
          <w:p w:rsidR="00D433EF" w:rsidRPr="003332AB" w:rsidRDefault="00D433EF" w:rsidP="009C2719">
            <w:pPr>
              <w:pStyle w:val="Entabla"/>
            </w:pPr>
            <w:r w:rsidRPr="000941C3">
              <w:t>1.077.908</w:t>
            </w:r>
          </w:p>
        </w:tc>
        <w:tc>
          <w:tcPr>
            <w:tcW w:w="1134" w:type="dxa"/>
            <w:tcBorders>
              <w:top w:val="nil"/>
              <w:left w:val="nil"/>
              <w:bottom w:val="nil"/>
              <w:right w:val="nil"/>
            </w:tcBorders>
            <w:shd w:val="clear" w:color="auto" w:fill="auto"/>
            <w:noWrap/>
            <w:vAlign w:val="center"/>
          </w:tcPr>
          <w:p w:rsidR="00D433EF" w:rsidRDefault="00D433EF" w:rsidP="009C2719">
            <w:pPr>
              <w:pStyle w:val="Entabla"/>
            </w:pPr>
            <w:r>
              <w:t>2,65</w:t>
            </w:r>
          </w:p>
        </w:tc>
        <w:tc>
          <w:tcPr>
            <w:tcW w:w="850" w:type="dxa"/>
            <w:tcBorders>
              <w:top w:val="nil"/>
              <w:left w:val="nil"/>
              <w:bottom w:val="nil"/>
              <w:right w:val="nil"/>
            </w:tcBorders>
            <w:shd w:val="clear" w:color="auto" w:fill="auto"/>
            <w:vAlign w:val="center"/>
          </w:tcPr>
          <w:p w:rsidR="00D433EF" w:rsidRDefault="00D433EF" w:rsidP="009C2719">
            <w:pPr>
              <w:pStyle w:val="Entabla"/>
              <w:rPr>
                <w:b/>
                <w:bCs/>
              </w:rPr>
            </w:pPr>
            <w:r>
              <w:t>26%</w:t>
            </w:r>
          </w:p>
        </w:tc>
      </w:tr>
      <w:tr w:rsidR="00D433EF" w:rsidRPr="00207204" w:rsidTr="00D433EF">
        <w:trPr>
          <w:trHeight w:val="300"/>
          <w:jc w:val="center"/>
        </w:trPr>
        <w:tc>
          <w:tcPr>
            <w:tcW w:w="1843" w:type="dxa"/>
            <w:tcBorders>
              <w:top w:val="nil"/>
              <w:left w:val="nil"/>
              <w:bottom w:val="nil"/>
              <w:right w:val="nil"/>
            </w:tcBorders>
            <w:shd w:val="clear" w:color="auto" w:fill="auto"/>
            <w:noWrap/>
            <w:vAlign w:val="center"/>
          </w:tcPr>
          <w:p w:rsidR="00D433EF" w:rsidRDefault="00D433EF" w:rsidP="009C2719">
            <w:pPr>
              <w:pStyle w:val="Entabla"/>
            </w:pPr>
            <w:r>
              <w:t>Subcomponente 3</w:t>
            </w:r>
          </w:p>
        </w:tc>
        <w:tc>
          <w:tcPr>
            <w:tcW w:w="1701" w:type="dxa"/>
            <w:tcBorders>
              <w:top w:val="nil"/>
              <w:left w:val="nil"/>
              <w:bottom w:val="nil"/>
              <w:right w:val="nil"/>
            </w:tcBorders>
            <w:shd w:val="clear" w:color="auto" w:fill="auto"/>
            <w:noWrap/>
            <w:vAlign w:val="center"/>
          </w:tcPr>
          <w:p w:rsidR="00D433EF" w:rsidRPr="00D57107" w:rsidRDefault="00D433EF" w:rsidP="009C2719">
            <w:pPr>
              <w:pStyle w:val="Entabla"/>
            </w:pPr>
            <w:r w:rsidRPr="00C76D68">
              <w:t>1.305.052</w:t>
            </w:r>
          </w:p>
        </w:tc>
        <w:tc>
          <w:tcPr>
            <w:tcW w:w="1559" w:type="dxa"/>
            <w:tcBorders>
              <w:top w:val="nil"/>
              <w:left w:val="nil"/>
              <w:bottom w:val="nil"/>
              <w:right w:val="nil"/>
            </w:tcBorders>
            <w:shd w:val="clear" w:color="auto" w:fill="auto"/>
            <w:noWrap/>
            <w:vAlign w:val="center"/>
          </w:tcPr>
          <w:p w:rsidR="00D433EF" w:rsidRPr="004C1201" w:rsidRDefault="00D433EF" w:rsidP="009C2719">
            <w:pPr>
              <w:pStyle w:val="Entabla"/>
            </w:pPr>
            <w:r w:rsidRPr="00EC79B2">
              <w:t>6.616.078</w:t>
            </w:r>
          </w:p>
        </w:tc>
        <w:tc>
          <w:tcPr>
            <w:tcW w:w="1560" w:type="dxa"/>
            <w:tcBorders>
              <w:top w:val="nil"/>
              <w:left w:val="nil"/>
              <w:bottom w:val="nil"/>
              <w:right w:val="nil"/>
            </w:tcBorders>
            <w:shd w:val="clear" w:color="auto" w:fill="auto"/>
            <w:noWrap/>
            <w:vAlign w:val="center"/>
          </w:tcPr>
          <w:p w:rsidR="00D433EF" w:rsidRPr="003332AB" w:rsidRDefault="00D433EF" w:rsidP="009C2719">
            <w:pPr>
              <w:pStyle w:val="Entabla"/>
            </w:pPr>
            <w:r w:rsidRPr="00EC79B2">
              <w:t>5.311.026</w:t>
            </w:r>
          </w:p>
        </w:tc>
        <w:tc>
          <w:tcPr>
            <w:tcW w:w="1134" w:type="dxa"/>
            <w:tcBorders>
              <w:top w:val="nil"/>
              <w:left w:val="nil"/>
              <w:bottom w:val="nil"/>
              <w:right w:val="nil"/>
            </w:tcBorders>
            <w:shd w:val="clear" w:color="auto" w:fill="auto"/>
            <w:noWrap/>
            <w:vAlign w:val="center"/>
          </w:tcPr>
          <w:p w:rsidR="00D433EF" w:rsidRDefault="00D433EF" w:rsidP="009C2719">
            <w:pPr>
              <w:pStyle w:val="Entabla"/>
              <w:rPr>
                <w:b/>
                <w:bCs/>
              </w:rPr>
            </w:pPr>
            <w:r>
              <w:t>5,07</w:t>
            </w:r>
          </w:p>
        </w:tc>
        <w:tc>
          <w:tcPr>
            <w:tcW w:w="850" w:type="dxa"/>
            <w:tcBorders>
              <w:top w:val="nil"/>
              <w:left w:val="nil"/>
              <w:bottom w:val="nil"/>
              <w:right w:val="nil"/>
            </w:tcBorders>
            <w:shd w:val="clear" w:color="auto" w:fill="auto"/>
            <w:vAlign w:val="center"/>
          </w:tcPr>
          <w:p w:rsidR="00D433EF" w:rsidRDefault="00D433EF" w:rsidP="009C2719">
            <w:pPr>
              <w:pStyle w:val="Entabla"/>
              <w:rPr>
                <w:b/>
                <w:bCs/>
              </w:rPr>
            </w:pPr>
            <w:r>
              <w:t>32%</w:t>
            </w:r>
          </w:p>
        </w:tc>
      </w:tr>
      <w:tr w:rsidR="00D433EF" w:rsidRPr="00207204" w:rsidTr="00D433EF">
        <w:trPr>
          <w:trHeight w:val="300"/>
          <w:jc w:val="center"/>
        </w:trPr>
        <w:tc>
          <w:tcPr>
            <w:tcW w:w="1843" w:type="dxa"/>
            <w:tcBorders>
              <w:top w:val="nil"/>
              <w:left w:val="nil"/>
              <w:bottom w:val="nil"/>
              <w:right w:val="nil"/>
            </w:tcBorders>
            <w:shd w:val="clear" w:color="auto" w:fill="auto"/>
            <w:noWrap/>
            <w:vAlign w:val="center"/>
          </w:tcPr>
          <w:p w:rsidR="00D433EF" w:rsidRPr="007E6104" w:rsidRDefault="00D433EF" w:rsidP="009C2719">
            <w:pPr>
              <w:pStyle w:val="Entabla"/>
            </w:pPr>
          </w:p>
        </w:tc>
        <w:tc>
          <w:tcPr>
            <w:tcW w:w="1701" w:type="dxa"/>
            <w:tcBorders>
              <w:top w:val="nil"/>
              <w:left w:val="nil"/>
              <w:bottom w:val="nil"/>
              <w:right w:val="nil"/>
            </w:tcBorders>
            <w:shd w:val="clear" w:color="auto" w:fill="auto"/>
            <w:noWrap/>
            <w:vAlign w:val="center"/>
          </w:tcPr>
          <w:p w:rsidR="00D433EF" w:rsidRPr="007E6104" w:rsidRDefault="00D433EF" w:rsidP="009C2719">
            <w:pPr>
              <w:pStyle w:val="Entabla"/>
            </w:pPr>
          </w:p>
        </w:tc>
        <w:tc>
          <w:tcPr>
            <w:tcW w:w="1559" w:type="dxa"/>
            <w:tcBorders>
              <w:top w:val="nil"/>
              <w:left w:val="nil"/>
              <w:bottom w:val="nil"/>
              <w:right w:val="nil"/>
            </w:tcBorders>
            <w:shd w:val="clear" w:color="auto" w:fill="auto"/>
            <w:noWrap/>
            <w:vAlign w:val="center"/>
          </w:tcPr>
          <w:p w:rsidR="00D433EF" w:rsidRPr="007E6104" w:rsidRDefault="00D433EF" w:rsidP="009C2719">
            <w:pPr>
              <w:pStyle w:val="Entabla"/>
            </w:pPr>
          </w:p>
        </w:tc>
        <w:tc>
          <w:tcPr>
            <w:tcW w:w="1560" w:type="dxa"/>
            <w:tcBorders>
              <w:top w:val="nil"/>
              <w:left w:val="nil"/>
              <w:bottom w:val="nil"/>
              <w:right w:val="nil"/>
            </w:tcBorders>
            <w:shd w:val="clear" w:color="auto" w:fill="auto"/>
            <w:noWrap/>
            <w:vAlign w:val="center"/>
          </w:tcPr>
          <w:p w:rsidR="00D433EF" w:rsidRPr="007E6104" w:rsidRDefault="00D433EF" w:rsidP="009C2719">
            <w:pPr>
              <w:pStyle w:val="Entabla"/>
            </w:pPr>
          </w:p>
        </w:tc>
        <w:tc>
          <w:tcPr>
            <w:tcW w:w="1134" w:type="dxa"/>
            <w:tcBorders>
              <w:top w:val="nil"/>
              <w:left w:val="nil"/>
              <w:bottom w:val="nil"/>
              <w:right w:val="nil"/>
            </w:tcBorders>
            <w:shd w:val="clear" w:color="auto" w:fill="auto"/>
            <w:noWrap/>
            <w:vAlign w:val="center"/>
          </w:tcPr>
          <w:p w:rsidR="00D433EF" w:rsidRPr="007E6104" w:rsidRDefault="00D433EF" w:rsidP="009C2719">
            <w:pPr>
              <w:pStyle w:val="Entabla"/>
            </w:pPr>
          </w:p>
        </w:tc>
        <w:tc>
          <w:tcPr>
            <w:tcW w:w="850" w:type="dxa"/>
            <w:tcBorders>
              <w:top w:val="nil"/>
              <w:left w:val="nil"/>
              <w:bottom w:val="nil"/>
              <w:right w:val="nil"/>
            </w:tcBorders>
            <w:shd w:val="clear" w:color="auto" w:fill="auto"/>
          </w:tcPr>
          <w:p w:rsidR="00D433EF" w:rsidRPr="007E6104" w:rsidRDefault="00D433EF" w:rsidP="009C2719">
            <w:pPr>
              <w:pStyle w:val="Entabla"/>
            </w:pPr>
          </w:p>
        </w:tc>
      </w:tr>
      <w:tr w:rsidR="00D433EF" w:rsidRPr="00207204" w:rsidTr="00D433EF">
        <w:trPr>
          <w:trHeight w:val="300"/>
          <w:jc w:val="center"/>
        </w:trPr>
        <w:tc>
          <w:tcPr>
            <w:tcW w:w="1843" w:type="dxa"/>
            <w:tcBorders>
              <w:top w:val="nil"/>
              <w:left w:val="nil"/>
              <w:bottom w:val="nil"/>
              <w:right w:val="nil"/>
            </w:tcBorders>
            <w:shd w:val="clear" w:color="auto" w:fill="auto"/>
            <w:noWrap/>
            <w:vAlign w:val="center"/>
          </w:tcPr>
          <w:p w:rsidR="00D433EF" w:rsidRPr="00D07C6A" w:rsidRDefault="00D433EF" w:rsidP="009C2719">
            <w:pPr>
              <w:pStyle w:val="Entabla"/>
              <w:rPr>
                <w:b/>
              </w:rPr>
            </w:pPr>
            <w:r w:rsidRPr="000B05C1">
              <w:rPr>
                <w:b/>
              </w:rPr>
              <w:lastRenderedPageBreak/>
              <w:t>Total</w:t>
            </w:r>
          </w:p>
        </w:tc>
        <w:tc>
          <w:tcPr>
            <w:tcW w:w="1701" w:type="dxa"/>
            <w:tcBorders>
              <w:top w:val="nil"/>
              <w:left w:val="nil"/>
              <w:bottom w:val="nil"/>
              <w:right w:val="nil"/>
            </w:tcBorders>
            <w:shd w:val="clear" w:color="auto" w:fill="auto"/>
            <w:noWrap/>
            <w:vAlign w:val="center"/>
          </w:tcPr>
          <w:p w:rsidR="00D433EF" w:rsidRPr="00D07C6A" w:rsidRDefault="00D433EF" w:rsidP="009C2719">
            <w:pPr>
              <w:pStyle w:val="Entabla"/>
              <w:rPr>
                <w:b/>
              </w:rPr>
            </w:pPr>
            <w:r w:rsidRPr="00E8126C">
              <w:rPr>
                <w:b/>
              </w:rPr>
              <w:t>13.171.009</w:t>
            </w:r>
          </w:p>
        </w:tc>
        <w:tc>
          <w:tcPr>
            <w:tcW w:w="1559" w:type="dxa"/>
            <w:tcBorders>
              <w:top w:val="nil"/>
              <w:left w:val="nil"/>
              <w:bottom w:val="nil"/>
              <w:right w:val="nil"/>
            </w:tcBorders>
            <w:shd w:val="clear" w:color="auto" w:fill="auto"/>
            <w:noWrap/>
            <w:vAlign w:val="center"/>
          </w:tcPr>
          <w:p w:rsidR="00D433EF" w:rsidRPr="00D07C6A" w:rsidRDefault="00D433EF" w:rsidP="009C2719">
            <w:pPr>
              <w:pStyle w:val="Entabla"/>
              <w:rPr>
                <w:b/>
              </w:rPr>
            </w:pPr>
            <w:r w:rsidRPr="00EC79B2">
              <w:rPr>
                <w:b/>
              </w:rPr>
              <w:t>68.658.587</w:t>
            </w:r>
          </w:p>
        </w:tc>
        <w:tc>
          <w:tcPr>
            <w:tcW w:w="1560" w:type="dxa"/>
            <w:tcBorders>
              <w:top w:val="nil"/>
              <w:left w:val="nil"/>
              <w:bottom w:val="nil"/>
              <w:right w:val="nil"/>
            </w:tcBorders>
            <w:shd w:val="clear" w:color="auto" w:fill="auto"/>
            <w:noWrap/>
            <w:vAlign w:val="center"/>
          </w:tcPr>
          <w:p w:rsidR="00D433EF" w:rsidRPr="00D07C6A" w:rsidRDefault="00D433EF" w:rsidP="009C2719">
            <w:pPr>
              <w:pStyle w:val="Entabla"/>
              <w:rPr>
                <w:b/>
              </w:rPr>
            </w:pPr>
            <w:r w:rsidRPr="00EC79B2">
              <w:rPr>
                <w:b/>
              </w:rPr>
              <w:t>55.043.281</w:t>
            </w:r>
          </w:p>
        </w:tc>
        <w:tc>
          <w:tcPr>
            <w:tcW w:w="1134" w:type="dxa"/>
            <w:tcBorders>
              <w:top w:val="nil"/>
              <w:left w:val="nil"/>
              <w:bottom w:val="nil"/>
              <w:right w:val="nil"/>
            </w:tcBorders>
            <w:shd w:val="clear" w:color="auto" w:fill="auto"/>
            <w:noWrap/>
            <w:vAlign w:val="center"/>
          </w:tcPr>
          <w:p w:rsidR="00D433EF" w:rsidRPr="000B05C1" w:rsidRDefault="00D433EF" w:rsidP="009C2719">
            <w:pPr>
              <w:pStyle w:val="Entabla"/>
              <w:ind w:left="34"/>
              <w:rPr>
                <w:b/>
                <w:bCs/>
              </w:rPr>
            </w:pPr>
            <w:r>
              <w:rPr>
                <w:b/>
              </w:rPr>
              <w:t>5</w:t>
            </w:r>
            <w:r w:rsidRPr="000B05C1">
              <w:rPr>
                <w:b/>
              </w:rPr>
              <w:t>,</w:t>
            </w:r>
            <w:r>
              <w:rPr>
                <w:b/>
              </w:rPr>
              <w:t>04</w:t>
            </w:r>
          </w:p>
        </w:tc>
        <w:tc>
          <w:tcPr>
            <w:tcW w:w="850" w:type="dxa"/>
            <w:tcBorders>
              <w:top w:val="nil"/>
              <w:left w:val="nil"/>
              <w:bottom w:val="nil"/>
              <w:right w:val="nil"/>
            </w:tcBorders>
            <w:shd w:val="clear" w:color="auto" w:fill="auto"/>
            <w:vAlign w:val="center"/>
          </w:tcPr>
          <w:p w:rsidR="00D433EF" w:rsidRPr="00D07C6A" w:rsidRDefault="00D433EF" w:rsidP="009C2719">
            <w:pPr>
              <w:pStyle w:val="Entabla"/>
              <w:rPr>
                <w:b/>
                <w:bCs/>
              </w:rPr>
            </w:pPr>
            <w:r>
              <w:rPr>
                <w:b/>
              </w:rPr>
              <w:t>48</w:t>
            </w:r>
            <w:r w:rsidRPr="00D07C6A">
              <w:rPr>
                <w:b/>
              </w:rPr>
              <w:t>%</w:t>
            </w:r>
          </w:p>
        </w:tc>
      </w:tr>
    </w:tbl>
    <w:p w:rsidR="00B84211" w:rsidRDefault="00B84211" w:rsidP="007E6104">
      <w:pPr>
        <w:pStyle w:val="Paragraph"/>
        <w:numPr>
          <w:ilvl w:val="0"/>
          <w:numId w:val="0"/>
        </w:numPr>
        <w:spacing w:before="0" w:after="0" w:line="480" w:lineRule="auto"/>
        <w:ind w:left="567"/>
        <w:rPr>
          <w:szCs w:val="24"/>
        </w:rPr>
      </w:pPr>
    </w:p>
    <w:p w:rsidR="00B84211" w:rsidRDefault="00D433EF" w:rsidP="00D433EF">
      <w:pPr>
        <w:pStyle w:val="Paragraph"/>
        <w:numPr>
          <w:ilvl w:val="1"/>
          <w:numId w:val="5"/>
        </w:numPr>
        <w:ind w:left="562" w:hanging="562"/>
        <w:rPr>
          <w:szCs w:val="24"/>
        </w:rPr>
      </w:pPr>
      <w:r w:rsidRPr="00D433EF">
        <w:rPr>
          <w:szCs w:val="24"/>
        </w:rPr>
        <w:t>En el escenario base, la relación costo beneficio para el programa como un todo resulta ser de 3,68. Esto significa que se espera recuperar 3,68 dólares por cada dólar invertido en el proyecto. La TIR social resulta ser del 38%, una media ponderada de las tasas respectivas a cada Componente. El Componente 1  muestra el mayor retorno, lo que se explica en base a que, dados los elevados costos del crimen en Paraguay, cualquier reducción significativa de los mismos genera grandes beneficios. Dentro del Componente de Prevención, en todos los casos resulta ser más rentable el Subcomponente 3</w:t>
      </w:r>
      <w:r w:rsidR="00DC4A76">
        <w:rPr>
          <w:szCs w:val="24"/>
        </w:rPr>
        <w:t>.</w:t>
      </w:r>
    </w:p>
    <w:p w:rsidR="00D433EF" w:rsidRDefault="00D433EF" w:rsidP="00D433EF">
      <w:pPr>
        <w:pStyle w:val="Paragraph"/>
        <w:numPr>
          <w:ilvl w:val="1"/>
          <w:numId w:val="5"/>
        </w:numPr>
        <w:ind w:left="562" w:hanging="562"/>
        <w:rPr>
          <w:szCs w:val="24"/>
        </w:rPr>
      </w:pPr>
      <w:r>
        <w:rPr>
          <w:szCs w:val="24"/>
        </w:rPr>
        <w:t>En el escenario más conservador, donde la diferencia solo de toma un 3% de efecto sobre el crimen del Componente de Información y un 10% sobre el abandono de la delincuencia por parte de los jóvenes tratados por el Componente de Prevención, resulta una TIR social del 27% para el programa como un todo. Esto demuestra que aun en escenarios desfavorables, este sigue siendo rentable para la sociedad.</w:t>
      </w:r>
    </w:p>
    <w:p w:rsidR="00D433EF" w:rsidRDefault="00D433EF" w:rsidP="00D433EF">
      <w:pPr>
        <w:pStyle w:val="Paragraph"/>
        <w:numPr>
          <w:ilvl w:val="1"/>
          <w:numId w:val="5"/>
        </w:numPr>
        <w:ind w:left="562" w:hanging="562"/>
        <w:rPr>
          <w:szCs w:val="24"/>
        </w:rPr>
      </w:pPr>
      <w:r>
        <w:rPr>
          <w:szCs w:val="24"/>
        </w:rPr>
        <w:t xml:space="preserve">En un escenario más favorable, </w:t>
      </w:r>
      <w:r w:rsidRPr="00A32B3D">
        <w:rPr>
          <w:szCs w:val="24"/>
        </w:rPr>
        <w:t xml:space="preserve">donde </w:t>
      </w:r>
      <w:r>
        <w:rPr>
          <w:szCs w:val="24"/>
        </w:rPr>
        <w:t>el efecto sobre el crimen es del 7% (levemente superior al obtenido por Garicano y Heaton) y el porcentaje de abandono del delito por parte de los jóvenes asciende al 15%)</w:t>
      </w:r>
      <w:r w:rsidRPr="00A32B3D">
        <w:rPr>
          <w:szCs w:val="24"/>
        </w:rPr>
        <w:t>,</w:t>
      </w:r>
      <w:r>
        <w:rPr>
          <w:szCs w:val="24"/>
        </w:rPr>
        <w:t xml:space="preserve"> se obtiene una TIR social del 48%, siendo rentables ambos componentes una vez que se analizan por separado.</w:t>
      </w:r>
    </w:p>
    <w:p w:rsidR="00D433EF" w:rsidRDefault="00D433EF" w:rsidP="00D433EF">
      <w:pPr>
        <w:pStyle w:val="Paragraph"/>
        <w:numPr>
          <w:ilvl w:val="1"/>
          <w:numId w:val="5"/>
        </w:numPr>
        <w:spacing w:before="0" w:after="0"/>
        <w:ind w:left="562" w:hanging="562"/>
        <w:rPr>
          <w:szCs w:val="24"/>
        </w:rPr>
      </w:pPr>
      <w:r>
        <w:rPr>
          <w:szCs w:val="24"/>
        </w:rPr>
        <w:t>Como conclusión final, puede afirmarse que el programa posee una alta rentabilidad social. Aun en los escenarios más conservadores mantiene la rentabilidad considerando el programa en el agregado, observando en el escenario base una razón costo beneficio de 3,68 dólares por cada dólar invertido, con una TIR social del 38%, superior a la tasa del 12% establecida como estándar del Banco.</w:t>
      </w:r>
    </w:p>
    <w:p w:rsidR="00B84211" w:rsidRDefault="00972C35" w:rsidP="007E6104">
      <w:pPr>
        <w:spacing w:after="0" w:line="240" w:lineRule="auto"/>
        <w:ind w:left="567" w:hanging="567"/>
        <w:rPr>
          <w:rFonts w:ascii="Times New Roman" w:hAnsi="Times New Roman"/>
          <w:b/>
          <w:sz w:val="24"/>
          <w:szCs w:val="24"/>
          <w:lang w:val="es-ES"/>
        </w:rPr>
      </w:pPr>
      <w:r>
        <w:rPr>
          <w:rFonts w:ascii="Times New Roman" w:hAnsi="Times New Roman"/>
          <w:b/>
          <w:sz w:val="24"/>
          <w:szCs w:val="24"/>
          <w:lang w:val="es-ES"/>
        </w:rPr>
        <w:br w:type="page"/>
      </w:r>
    </w:p>
    <w:p w:rsidR="00B84211" w:rsidRPr="00F171DA" w:rsidRDefault="000918F4" w:rsidP="007E6104">
      <w:pPr>
        <w:spacing w:after="0" w:line="480" w:lineRule="auto"/>
        <w:ind w:left="567" w:hanging="567"/>
        <w:jc w:val="both"/>
        <w:rPr>
          <w:rFonts w:ascii="Times New Roman" w:eastAsia="Times New Roman" w:hAnsi="Times New Roman"/>
          <w:lang w:val="es-AR"/>
        </w:rPr>
      </w:pPr>
      <w:r w:rsidRPr="00F171DA">
        <w:rPr>
          <w:rFonts w:ascii="Times New Roman" w:eastAsia="Times New Roman" w:hAnsi="Times New Roman"/>
          <w:b/>
          <w:sz w:val="24"/>
          <w:szCs w:val="24"/>
          <w:lang w:val="es-AR"/>
        </w:rPr>
        <w:lastRenderedPageBreak/>
        <w:t>Referencias</w:t>
      </w:r>
    </w:p>
    <w:p w:rsidR="00D433EF" w:rsidRPr="00D433EF" w:rsidRDefault="00D433EF" w:rsidP="00D433EF">
      <w:pPr>
        <w:pStyle w:val="Anexo"/>
        <w:spacing w:before="120" w:after="120" w:line="240" w:lineRule="auto"/>
        <w:ind w:firstLine="706"/>
        <w:rPr>
          <w:lang w:val="en-US"/>
        </w:rPr>
      </w:pPr>
      <w:r w:rsidRPr="00D433EF">
        <w:rPr>
          <w:lang w:val="es-AR"/>
        </w:rPr>
        <w:t xml:space="preserve">Aboal, D. Lanzilotta, B. y Vazquez, V. (2013). “Los costos del crimen en Paraguay”. </w:t>
      </w:r>
      <w:r w:rsidRPr="00D433EF">
        <w:rPr>
          <w:lang w:val="en-US"/>
        </w:rPr>
        <w:t>CINVE (Urugyay) - Instituto Desarrollo (Paraguay).</w:t>
      </w:r>
    </w:p>
    <w:p w:rsidR="00D433EF" w:rsidRPr="00D433EF" w:rsidRDefault="00D433EF" w:rsidP="00D433EF">
      <w:pPr>
        <w:pStyle w:val="Anexo"/>
        <w:spacing w:before="120" w:after="120" w:line="240" w:lineRule="auto"/>
        <w:ind w:firstLine="706"/>
        <w:rPr>
          <w:lang w:val="en-US"/>
        </w:rPr>
      </w:pPr>
      <w:r w:rsidRPr="00D433EF">
        <w:rPr>
          <w:lang w:val="en-US"/>
        </w:rPr>
        <w:t>Chandler, M. J. (1973). “Egocentrism and antisocialbehavior: The assessment and training of social perspective-taking skills”. Developmental Psychology 9:326–333.</w:t>
      </w:r>
    </w:p>
    <w:p w:rsidR="00D433EF" w:rsidRPr="00D433EF" w:rsidRDefault="00D433EF" w:rsidP="00D433EF">
      <w:pPr>
        <w:pStyle w:val="Anexo"/>
        <w:spacing w:before="120" w:after="120" w:line="240" w:lineRule="auto"/>
        <w:ind w:firstLine="706"/>
        <w:rPr>
          <w:lang w:val="en-US"/>
        </w:rPr>
      </w:pPr>
      <w:r w:rsidRPr="00D433EF">
        <w:rPr>
          <w:lang w:val="en-US"/>
        </w:rPr>
        <w:t>Cullen, F. y Gendreau, P. (2000). “Assessing Correctional Rehabilitation: Policy, Practice, and Prospects” Criminal Justice 2000. Vol 3.</w:t>
      </w:r>
    </w:p>
    <w:p w:rsidR="00D433EF" w:rsidRPr="00D433EF" w:rsidRDefault="00D433EF" w:rsidP="00D433EF">
      <w:pPr>
        <w:pStyle w:val="Anexo"/>
        <w:spacing w:before="120" w:after="120" w:line="240" w:lineRule="auto"/>
        <w:ind w:firstLine="706"/>
        <w:rPr>
          <w:lang w:val="en-US"/>
        </w:rPr>
      </w:pPr>
      <w:r w:rsidRPr="00D433EF">
        <w:rPr>
          <w:lang w:val="en-US"/>
        </w:rPr>
        <w:t xml:space="preserve">Garicano, L. y Heaton, P. (2010). “Information Technology, Organization, and Productivity in the Public Sector.Evidence from Police Departments”. Journal of Labor Economics, Vol. 28, No. 1, January 2010, pp. 167–201. Copyright © 2010 University of Chicago Press. </w:t>
      </w:r>
    </w:p>
    <w:p w:rsidR="00D433EF" w:rsidRPr="00D433EF" w:rsidRDefault="00D433EF" w:rsidP="00D433EF">
      <w:pPr>
        <w:pStyle w:val="Anexo"/>
        <w:spacing w:before="120" w:after="120" w:line="240" w:lineRule="auto"/>
        <w:ind w:firstLine="706"/>
        <w:rPr>
          <w:lang w:val="en-US"/>
        </w:rPr>
      </w:pPr>
      <w:r w:rsidRPr="00D433EF">
        <w:rPr>
          <w:lang w:val="es-AR"/>
        </w:rPr>
        <w:t xml:space="preserve">Guerra, N.G., y Slaby, R.G. (1990). </w:t>
      </w:r>
      <w:r w:rsidRPr="00D433EF">
        <w:rPr>
          <w:lang w:val="en-US"/>
        </w:rPr>
        <w:t>“Cognitive mediators of aggression in adolescent offenders: 2. Intervention”. Developmental Psychology 26(2):269–277.</w:t>
      </w:r>
    </w:p>
    <w:p w:rsidR="00D433EF" w:rsidRPr="00D433EF" w:rsidRDefault="00D433EF" w:rsidP="00D433EF">
      <w:pPr>
        <w:pStyle w:val="Anexo"/>
        <w:spacing w:before="120" w:after="120" w:line="240" w:lineRule="auto"/>
        <w:ind w:firstLine="706"/>
        <w:rPr>
          <w:lang w:val="en-US"/>
        </w:rPr>
      </w:pPr>
      <w:r w:rsidRPr="00D433EF">
        <w:rPr>
          <w:lang w:val="en-US"/>
        </w:rPr>
        <w:t>Lipsey, M y Wilson, D. (1998). “Effective interventions for serious juvenile offenders: A synthesis of research”. Serious and violent juvenile offenders: Risk factors and successful interventions, editado por Rolf Loeber y David P. Farrington.Thousand Oaks, California: Sage Publications.</w:t>
      </w:r>
    </w:p>
    <w:p w:rsidR="00D433EF" w:rsidRPr="00D433EF" w:rsidRDefault="00D433EF" w:rsidP="00D433EF">
      <w:pPr>
        <w:pStyle w:val="Anexo"/>
        <w:spacing w:before="120" w:after="120" w:line="240" w:lineRule="auto"/>
        <w:ind w:firstLine="706"/>
        <w:rPr>
          <w:lang w:val="en-US"/>
        </w:rPr>
      </w:pPr>
      <w:r w:rsidRPr="00D433EF">
        <w:rPr>
          <w:lang w:val="es-AR"/>
        </w:rPr>
        <w:t xml:space="preserve">Redondo, S.; Sanchez-Meca, J.; y Garrido, V. (1999). </w:t>
      </w:r>
      <w:r w:rsidRPr="00D433EF">
        <w:rPr>
          <w:lang w:val="en-US"/>
        </w:rPr>
        <w:t>“The influence of treatment programs on the recidivism of juvenile and adult offenders: An European meta-analytic review.” Psychology, Crime, and Law. Vol. 5, Number 3, pp.251–278.</w:t>
      </w:r>
    </w:p>
    <w:p w:rsidR="00D433EF" w:rsidRPr="000532C5" w:rsidRDefault="00D433EF" w:rsidP="00D433EF">
      <w:pPr>
        <w:pStyle w:val="Anexo"/>
        <w:spacing w:before="120" w:after="120" w:line="240" w:lineRule="auto"/>
        <w:ind w:firstLine="706"/>
        <w:rPr>
          <w:lang w:val="en-US"/>
        </w:rPr>
      </w:pPr>
      <w:r w:rsidRPr="00D433EF">
        <w:rPr>
          <w:lang w:val="en-US"/>
        </w:rPr>
        <w:t xml:space="preserve">Shivrattan, J.L. (1988). “Social interactional training and incarcerated juvenile delinquents”. </w:t>
      </w:r>
      <w:r w:rsidRPr="000532C5">
        <w:rPr>
          <w:lang w:val="en-US"/>
        </w:rPr>
        <w:t>Canadian Journal of Criminology 30(1):145–163.</w:t>
      </w:r>
    </w:p>
    <w:p w:rsidR="00402721" w:rsidRPr="00D433EF" w:rsidRDefault="00D433EF" w:rsidP="00D433EF">
      <w:pPr>
        <w:pStyle w:val="Anexo"/>
        <w:spacing w:before="120" w:after="120" w:line="240" w:lineRule="auto"/>
        <w:ind w:firstLine="706"/>
        <w:rPr>
          <w:lang w:val="en-US"/>
        </w:rPr>
      </w:pPr>
      <w:r w:rsidRPr="000532C5">
        <w:rPr>
          <w:lang w:val="en-US"/>
        </w:rPr>
        <w:t xml:space="preserve">Weisburd, D y Eck, J. (2004). </w:t>
      </w:r>
      <w:r w:rsidRPr="00D433EF">
        <w:rPr>
          <w:lang w:val="en-US"/>
        </w:rPr>
        <w:t>What can the police do to reduce crime, disorder and fear? Annals of the American Academy of Social and Political Sciences, 593: 42–65.</w:t>
      </w:r>
    </w:p>
    <w:sectPr w:rsidR="00402721" w:rsidRPr="00D433EF" w:rsidSect="00214954">
      <w:headerReference w:type="default" r:id="rId10"/>
      <w:footerReference w:type="default" r:id="rId11"/>
      <w:pgSz w:w="11907" w:h="16839"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59B" w:rsidRDefault="007D259B" w:rsidP="00CF5271">
      <w:pPr>
        <w:spacing w:after="0" w:line="240" w:lineRule="auto"/>
      </w:pPr>
      <w:r>
        <w:separator/>
      </w:r>
    </w:p>
  </w:endnote>
  <w:endnote w:type="continuationSeparator" w:id="0">
    <w:p w:rsidR="007D259B" w:rsidRDefault="007D259B" w:rsidP="00CF5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C30" w:rsidRDefault="00992C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59B" w:rsidRDefault="007D259B" w:rsidP="00CF5271">
      <w:pPr>
        <w:spacing w:after="0" w:line="240" w:lineRule="auto"/>
      </w:pPr>
      <w:r>
        <w:separator/>
      </w:r>
    </w:p>
  </w:footnote>
  <w:footnote w:type="continuationSeparator" w:id="0">
    <w:p w:rsidR="007D259B" w:rsidRDefault="007D259B" w:rsidP="00CF5271">
      <w:pPr>
        <w:spacing w:after="0" w:line="240" w:lineRule="auto"/>
      </w:pPr>
      <w:r>
        <w:continuationSeparator/>
      </w:r>
    </w:p>
  </w:footnote>
  <w:footnote w:id="1">
    <w:p w:rsidR="001F52BD" w:rsidRPr="00595567" w:rsidRDefault="001F52BD" w:rsidP="001F52BD">
      <w:pPr>
        <w:pStyle w:val="FootnoteText"/>
        <w:widowControl w:val="0"/>
        <w:tabs>
          <w:tab w:val="left" w:pos="180"/>
        </w:tabs>
        <w:ind w:left="180" w:hanging="180"/>
        <w:rPr>
          <w:rFonts w:ascii="Times New Roman" w:hAnsi="Times New Roman"/>
          <w:sz w:val="20"/>
          <w:szCs w:val="20"/>
          <w:lang w:val="es-ES"/>
        </w:rPr>
      </w:pPr>
      <w:r w:rsidRPr="00595567">
        <w:rPr>
          <w:rFonts w:ascii="Times New Roman" w:hAnsi="Times New Roman"/>
          <w:sz w:val="20"/>
          <w:szCs w:val="20"/>
          <w:lang w:val="es-ES"/>
        </w:rPr>
        <w:footnoteRef/>
      </w:r>
      <w:r w:rsidRPr="00595567">
        <w:rPr>
          <w:rFonts w:ascii="Times New Roman" w:hAnsi="Times New Roman"/>
          <w:sz w:val="20"/>
          <w:szCs w:val="20"/>
          <w:lang w:val="es-ES"/>
        </w:rPr>
        <w:tab/>
        <w:t>Garicano y Heaton (2010) encuentran que en los Estados Unidos reformas integradas de tecnología y capacidades técnicas, reducen en un 5% la tasa de delitos.</w:t>
      </w:r>
    </w:p>
  </w:footnote>
  <w:footnote w:id="2">
    <w:p w:rsidR="001F52BD" w:rsidRPr="00F348C9" w:rsidRDefault="001F52BD" w:rsidP="001F52BD">
      <w:pPr>
        <w:pStyle w:val="FootnoteText"/>
        <w:widowControl w:val="0"/>
        <w:tabs>
          <w:tab w:val="left" w:pos="180"/>
        </w:tabs>
        <w:ind w:left="180" w:hanging="180"/>
        <w:rPr>
          <w:lang w:val="es-ES_tradnl"/>
        </w:rPr>
      </w:pPr>
      <w:r w:rsidRPr="00595567">
        <w:rPr>
          <w:rStyle w:val="FootnoteReference"/>
          <w:rFonts w:ascii="Times New Roman" w:hAnsi="Times New Roman"/>
          <w:sz w:val="20"/>
          <w:szCs w:val="20"/>
        </w:rPr>
        <w:footnoteRef/>
      </w:r>
      <w:r w:rsidRPr="00595567">
        <w:rPr>
          <w:rFonts w:ascii="Times New Roman" w:hAnsi="Times New Roman"/>
          <w:sz w:val="20"/>
          <w:szCs w:val="20"/>
          <w:lang w:val="es-CO"/>
        </w:rPr>
        <w:t xml:space="preserve"> </w:t>
      </w:r>
      <w:r w:rsidRPr="00595567">
        <w:rPr>
          <w:rFonts w:ascii="Times New Roman" w:hAnsi="Times New Roman"/>
          <w:sz w:val="20"/>
          <w:szCs w:val="20"/>
          <w:lang w:val="es-ES"/>
        </w:rPr>
        <w:t>Garicano y Heaton (2010) encuentran que en los Estados Unidos reformas integradas de tecnología y capacidades técnicas, aumentan en un 15% la t</w:t>
      </w:r>
      <w:r>
        <w:rPr>
          <w:rFonts w:ascii="Times New Roman" w:hAnsi="Times New Roman"/>
          <w:sz w:val="20"/>
          <w:szCs w:val="20"/>
          <w:lang w:val="es-ES"/>
        </w:rPr>
        <w:t>asa de esclarecimiento de casos</w:t>
      </w:r>
      <w:r w:rsidRPr="00595567">
        <w:rPr>
          <w:rFonts w:ascii="Times New Roman" w:hAnsi="Times New Roman"/>
          <w:sz w:val="20"/>
          <w:szCs w:val="20"/>
          <w:lang w:val="es-ES"/>
        </w:rPr>
        <w:t>.</w:t>
      </w:r>
    </w:p>
  </w:footnote>
  <w:footnote w:id="3">
    <w:p w:rsidR="001F52BD" w:rsidRPr="001F52BD" w:rsidRDefault="001F52BD" w:rsidP="001F52BD">
      <w:pPr>
        <w:pStyle w:val="FootnoteText"/>
        <w:tabs>
          <w:tab w:val="left" w:pos="180"/>
        </w:tabs>
        <w:rPr>
          <w:rFonts w:ascii="Times New Roman" w:hAnsi="Times New Roman"/>
          <w:sz w:val="20"/>
          <w:szCs w:val="20"/>
          <w:lang w:val="es-ES_tradnl"/>
        </w:rPr>
      </w:pPr>
      <w:r w:rsidRPr="001F52BD">
        <w:rPr>
          <w:rStyle w:val="FootnoteReference"/>
          <w:rFonts w:ascii="Times New Roman" w:hAnsi="Times New Roman"/>
          <w:sz w:val="20"/>
          <w:szCs w:val="20"/>
        </w:rPr>
        <w:footnoteRef/>
      </w:r>
      <w:r w:rsidRPr="001F52BD">
        <w:rPr>
          <w:rFonts w:ascii="Times New Roman" w:hAnsi="Times New Roman"/>
          <w:sz w:val="20"/>
          <w:szCs w:val="20"/>
          <w:lang w:val="es-ES_tradnl"/>
        </w:rPr>
        <w:t xml:space="preserve"> </w:t>
      </w:r>
      <w:r w:rsidRPr="001F52BD">
        <w:rPr>
          <w:rFonts w:ascii="Times New Roman" w:hAnsi="Times New Roman"/>
          <w:sz w:val="20"/>
          <w:szCs w:val="20"/>
          <w:lang w:val="es-ES_tradnl"/>
        </w:rPr>
        <w:tab/>
        <w:t>Estos dos indicadores están asociados a los productos 1.1 a 1.8 de la matriz de productos</w:t>
      </w:r>
      <w:r>
        <w:rPr>
          <w:rFonts w:ascii="Times New Roman" w:hAnsi="Times New Roman"/>
          <w:sz w:val="20"/>
          <w:szCs w:val="20"/>
          <w:lang w:val="es-ES_tradnl"/>
        </w:rPr>
        <w:t>.</w:t>
      </w:r>
    </w:p>
  </w:footnote>
  <w:footnote w:id="4">
    <w:p w:rsidR="001F52BD" w:rsidRPr="00C0577D" w:rsidRDefault="001F52BD" w:rsidP="001F52BD">
      <w:pPr>
        <w:pStyle w:val="FootnoteText"/>
        <w:widowControl w:val="0"/>
        <w:ind w:left="180" w:hanging="180"/>
        <w:rPr>
          <w:rFonts w:ascii="Times New Roman" w:hAnsi="Times New Roman"/>
          <w:sz w:val="20"/>
          <w:szCs w:val="20"/>
          <w:lang w:val="es-ES"/>
        </w:rPr>
      </w:pPr>
      <w:r w:rsidRPr="00C0577D">
        <w:rPr>
          <w:rFonts w:ascii="Times New Roman" w:hAnsi="Times New Roman"/>
          <w:sz w:val="20"/>
          <w:szCs w:val="20"/>
          <w:lang w:val="es-ES"/>
        </w:rPr>
        <w:footnoteRef/>
      </w:r>
      <w:r w:rsidRPr="00C0577D">
        <w:rPr>
          <w:rFonts w:ascii="Times New Roman" w:hAnsi="Times New Roman"/>
          <w:sz w:val="20"/>
          <w:szCs w:val="20"/>
          <w:lang w:val="es-ES"/>
        </w:rPr>
        <w:tab/>
        <w:t>La tasa de homicidios fue de 3,66 pch en 2013, representando el 10% de los homicidios del país. Aunque su incidencia y participación es relativamente baja, la tasa de homicidios ha aumentado un 23% en Asunción y un 12% en DC entre 2012 y 2013.</w:t>
      </w:r>
    </w:p>
  </w:footnote>
  <w:footnote w:id="5">
    <w:p w:rsidR="001F52BD" w:rsidRPr="00F348C9" w:rsidRDefault="001F52BD" w:rsidP="001F52BD">
      <w:pPr>
        <w:pStyle w:val="FootnoteText"/>
        <w:widowControl w:val="0"/>
        <w:ind w:left="180" w:hanging="180"/>
        <w:rPr>
          <w:lang w:val="es-ES"/>
        </w:rPr>
      </w:pPr>
      <w:r w:rsidRPr="00C0577D">
        <w:rPr>
          <w:rFonts w:ascii="Times New Roman" w:hAnsi="Times New Roman"/>
          <w:sz w:val="20"/>
          <w:szCs w:val="20"/>
          <w:lang w:val="es-ES"/>
        </w:rPr>
        <w:footnoteRef/>
      </w:r>
      <w:r w:rsidRPr="00C0577D">
        <w:rPr>
          <w:rFonts w:ascii="Times New Roman" w:hAnsi="Times New Roman"/>
          <w:sz w:val="20"/>
          <w:szCs w:val="20"/>
          <w:lang w:val="es-ES"/>
        </w:rPr>
        <w:tab/>
        <w:t>La tasa de victimización es mayor en Asunción y DC que para el resto del país en todos los delitos incluidos en la ENSC, 2011 (corrupción, robo, hurto y lesiones). La tasa de victimización total (incluyendo todos los delitos) es de 36,2% en Asunción, seguida por 26,7% en DC, mientras que para el resto urbano del país es 20,6% y para el resto rural 15,8% (total país: 23,1%).</w:t>
      </w:r>
    </w:p>
  </w:footnote>
  <w:footnote w:id="6">
    <w:p w:rsidR="001F52BD" w:rsidRPr="002F2062" w:rsidRDefault="001F52BD" w:rsidP="001F52BD">
      <w:pPr>
        <w:pStyle w:val="FootnoteText"/>
        <w:widowControl w:val="0"/>
        <w:tabs>
          <w:tab w:val="left" w:pos="180"/>
        </w:tabs>
        <w:ind w:left="180" w:hanging="180"/>
        <w:jc w:val="both"/>
        <w:rPr>
          <w:rFonts w:ascii="Times New Roman" w:hAnsi="Times New Roman"/>
          <w:sz w:val="20"/>
          <w:szCs w:val="20"/>
          <w:lang w:val="es-ES"/>
        </w:rPr>
      </w:pPr>
      <w:r w:rsidRPr="002F2062">
        <w:rPr>
          <w:rFonts w:ascii="Times New Roman" w:hAnsi="Times New Roman"/>
          <w:sz w:val="20"/>
          <w:szCs w:val="20"/>
          <w:lang w:val="es-ES"/>
        </w:rPr>
        <w:footnoteRef/>
      </w:r>
      <w:r w:rsidRPr="002F2062">
        <w:rPr>
          <w:rFonts w:ascii="Times New Roman" w:hAnsi="Times New Roman"/>
          <w:sz w:val="20"/>
          <w:szCs w:val="20"/>
          <w:lang w:val="es-ES"/>
        </w:rPr>
        <w:tab/>
        <w:t xml:space="preserve">Diversos autores han encontrado una reducción en la reincidencia de jóvenes tratados con MST de entre 43%-72%  (Borduin et al.,1999, 2009; Henggeler et al., 1992,1993, 1997). </w:t>
      </w:r>
    </w:p>
  </w:footnote>
  <w:footnote w:id="7">
    <w:p w:rsidR="001F52BD" w:rsidRPr="002F2062" w:rsidRDefault="001F52BD" w:rsidP="001F52BD">
      <w:pPr>
        <w:pStyle w:val="FootnoteText"/>
        <w:widowControl w:val="0"/>
        <w:tabs>
          <w:tab w:val="left" w:pos="180"/>
          <w:tab w:val="left" w:pos="360"/>
        </w:tabs>
        <w:ind w:left="180" w:hanging="180"/>
        <w:jc w:val="both"/>
        <w:rPr>
          <w:rFonts w:ascii="Times New Roman" w:hAnsi="Times New Roman"/>
          <w:sz w:val="20"/>
          <w:szCs w:val="20"/>
          <w:lang w:val="es-ES_tradnl"/>
        </w:rPr>
      </w:pPr>
      <w:r w:rsidRPr="002F2062">
        <w:rPr>
          <w:rStyle w:val="FootnoteReference"/>
          <w:rFonts w:ascii="Times New Roman" w:hAnsi="Times New Roman"/>
          <w:sz w:val="20"/>
          <w:szCs w:val="20"/>
        </w:rPr>
        <w:footnoteRef/>
      </w:r>
      <w:r w:rsidRPr="002F2062">
        <w:rPr>
          <w:rFonts w:ascii="Times New Roman" w:hAnsi="Times New Roman"/>
          <w:sz w:val="20"/>
          <w:szCs w:val="20"/>
          <w:lang w:val="es-CO"/>
        </w:rPr>
        <w:t xml:space="preserve"> </w:t>
      </w:r>
      <w:r w:rsidRPr="002F2062">
        <w:rPr>
          <w:rFonts w:ascii="Times New Roman" w:hAnsi="Times New Roman"/>
          <w:sz w:val="20"/>
          <w:szCs w:val="20"/>
          <w:lang w:val="es-ES"/>
        </w:rPr>
        <w:tab/>
      </w:r>
      <w:r w:rsidRPr="002F2062">
        <w:rPr>
          <w:rFonts w:ascii="Times New Roman" w:hAnsi="Times New Roman"/>
          <w:color w:val="000000"/>
          <w:sz w:val="20"/>
          <w:szCs w:val="20"/>
          <w:lang w:val="es-CO" w:eastAsia="ja-JP"/>
        </w:rPr>
        <w:t>Attanasio et al. (2011) encontraron que el programa de formación vocacional para jóvenes en situación de alta vulnerabilidad aumenta en un 5% la probabilidad de encontrar empleo</w:t>
      </w:r>
      <w:r>
        <w:rPr>
          <w:rFonts w:ascii="Times New Roman" w:hAnsi="Times New Roman"/>
          <w:color w:val="000000"/>
          <w:sz w:val="20"/>
          <w:szCs w:val="20"/>
          <w:lang w:val="es-CO" w:eastAsia="ja-JP"/>
        </w:rPr>
        <w:t>.</w:t>
      </w:r>
    </w:p>
  </w:footnote>
  <w:footnote w:id="8">
    <w:p w:rsidR="001F52BD" w:rsidRPr="002F2062" w:rsidRDefault="001F52BD" w:rsidP="001F52BD">
      <w:pPr>
        <w:pStyle w:val="FootnoteText"/>
        <w:jc w:val="both"/>
        <w:rPr>
          <w:rFonts w:ascii="Times New Roman" w:hAnsi="Times New Roman"/>
          <w:sz w:val="20"/>
          <w:szCs w:val="20"/>
          <w:lang w:val="es-AR"/>
        </w:rPr>
      </w:pPr>
      <w:r w:rsidRPr="002F2062">
        <w:rPr>
          <w:rStyle w:val="FootnoteReference"/>
          <w:rFonts w:ascii="Times New Roman" w:hAnsi="Times New Roman"/>
          <w:sz w:val="20"/>
          <w:szCs w:val="20"/>
        </w:rPr>
        <w:footnoteRef/>
      </w:r>
      <w:r w:rsidRPr="002F2062">
        <w:rPr>
          <w:rFonts w:ascii="Times New Roman" w:hAnsi="Times New Roman"/>
          <w:sz w:val="20"/>
          <w:szCs w:val="20"/>
          <w:lang w:val="es-AR"/>
        </w:rPr>
        <w:t xml:space="preserve"> Este indicador está asociado a los productos 2.1</w:t>
      </w:r>
      <w:r>
        <w:rPr>
          <w:rFonts w:ascii="Times New Roman" w:hAnsi="Times New Roman"/>
          <w:sz w:val="20"/>
          <w:szCs w:val="20"/>
          <w:lang w:val="es-AR"/>
        </w:rPr>
        <w:t>.1</w:t>
      </w:r>
      <w:r w:rsidRPr="002F2062">
        <w:rPr>
          <w:rFonts w:ascii="Times New Roman" w:hAnsi="Times New Roman"/>
          <w:sz w:val="20"/>
          <w:szCs w:val="20"/>
          <w:lang w:val="es-AR"/>
        </w:rPr>
        <w:t xml:space="preserve"> a 2.</w:t>
      </w:r>
      <w:r>
        <w:rPr>
          <w:rFonts w:ascii="Times New Roman" w:hAnsi="Times New Roman"/>
          <w:sz w:val="20"/>
          <w:szCs w:val="20"/>
          <w:lang w:val="es-AR"/>
        </w:rPr>
        <w:t>1.5</w:t>
      </w:r>
      <w:r w:rsidRPr="002F2062">
        <w:rPr>
          <w:rFonts w:ascii="Times New Roman" w:hAnsi="Times New Roman"/>
          <w:sz w:val="20"/>
          <w:szCs w:val="20"/>
          <w:lang w:val="es-AR"/>
        </w:rPr>
        <w:t xml:space="preserve"> de la matriz de productos. </w:t>
      </w:r>
    </w:p>
  </w:footnote>
  <w:footnote w:id="9">
    <w:p w:rsidR="001F52BD" w:rsidRPr="00594ECF" w:rsidRDefault="001F52BD" w:rsidP="001F52BD">
      <w:pPr>
        <w:pStyle w:val="FootnoteText"/>
        <w:jc w:val="both"/>
        <w:rPr>
          <w:lang w:val="es-ES_tradnl"/>
        </w:rPr>
      </w:pPr>
      <w:r w:rsidRPr="002F2062">
        <w:rPr>
          <w:rStyle w:val="FootnoteReference"/>
          <w:rFonts w:ascii="Times New Roman" w:hAnsi="Times New Roman"/>
          <w:sz w:val="20"/>
          <w:szCs w:val="20"/>
        </w:rPr>
        <w:footnoteRef/>
      </w:r>
      <w:r w:rsidRPr="002F2062">
        <w:rPr>
          <w:rFonts w:ascii="Times New Roman" w:hAnsi="Times New Roman"/>
          <w:sz w:val="20"/>
          <w:szCs w:val="20"/>
          <w:lang w:val="es-ES_tradnl"/>
        </w:rPr>
        <w:t xml:space="preserve"> Se ha explicado anteriormente las razones para no considerar en la estimación el valor de bienes robados. Se privilegia considerar los costos asociados a la reducción de la violencia derivada de la intervención de Policía Comunitaria, en donde la experiencia de robos, por su uso de violencia, a diferencia del hurto, se la más relevante desde el punto de vista del impacto en las víctimas.</w:t>
      </w:r>
    </w:p>
  </w:footnote>
  <w:footnote w:id="10">
    <w:p w:rsidR="008F7171" w:rsidRPr="000378CA" w:rsidRDefault="008F7171" w:rsidP="008F7171">
      <w:pPr>
        <w:pStyle w:val="FootnoteText"/>
        <w:rPr>
          <w:lang w:val="es-AR"/>
        </w:rPr>
      </w:pPr>
      <w:r>
        <w:rPr>
          <w:rStyle w:val="FootnoteReference"/>
        </w:rPr>
        <w:footnoteRef/>
      </w:r>
      <w:r w:rsidRPr="000378CA">
        <w:rPr>
          <w:lang w:val="es-AR"/>
        </w:rPr>
        <w:t xml:space="preserve"> </w:t>
      </w:r>
      <w:r w:rsidRPr="000378CA">
        <w:rPr>
          <w:rFonts w:ascii="Times New Roman" w:hAnsi="Times New Roman"/>
          <w:sz w:val="20"/>
          <w:szCs w:val="20"/>
          <w:lang w:val="es-AR"/>
        </w:rPr>
        <w:t>Este indicador está asociado a los productos 2.2.1 a 2.2.4 de la matriz de resultados.</w:t>
      </w:r>
    </w:p>
  </w:footnote>
  <w:footnote w:id="11">
    <w:p w:rsidR="008F7171" w:rsidRPr="002F2062" w:rsidRDefault="008F7171" w:rsidP="008F7171">
      <w:pPr>
        <w:pStyle w:val="FootnoteText"/>
        <w:jc w:val="both"/>
        <w:rPr>
          <w:rFonts w:ascii="Times New Roman" w:hAnsi="Times New Roman"/>
          <w:sz w:val="20"/>
          <w:szCs w:val="20"/>
          <w:lang w:val="es-ES_tradnl"/>
        </w:rPr>
      </w:pPr>
      <w:r w:rsidRPr="002F2062">
        <w:rPr>
          <w:rStyle w:val="FootnoteReference"/>
          <w:rFonts w:ascii="Times New Roman" w:hAnsi="Times New Roman"/>
          <w:sz w:val="20"/>
          <w:szCs w:val="20"/>
        </w:rPr>
        <w:footnoteRef/>
      </w:r>
      <w:r w:rsidRPr="002F2062">
        <w:rPr>
          <w:rFonts w:ascii="Times New Roman" w:hAnsi="Times New Roman"/>
          <w:sz w:val="20"/>
          <w:szCs w:val="20"/>
          <w:lang w:val="es-ES_tradnl"/>
        </w:rPr>
        <w:t xml:space="preserve"> Se usa violaciones como un proxy desde el punto de vista de costos, si bien la definición de VIF excluye abusos sexuales. Los costos de VIF específicos no han sido estudiados específicamente para Paraguay. Pero todos los disponibles para otros países de la región implican costos ampliamente superiores a los aquí considerados, de modo que esta aproximación es muy conservadora. Por ejemplo, las  pérdidas en productividad por la VIF llegan, en estimaciones de 1.2% del PIB en Brasil y 2% en Chile (World Health Organization, 2007 y Morrison y Biehl, 1999).</w:t>
      </w:r>
    </w:p>
  </w:footnote>
  <w:footnote w:id="12">
    <w:p w:rsidR="00D433EF" w:rsidRPr="00342AB4" w:rsidRDefault="00D433EF" w:rsidP="00D433EF">
      <w:pPr>
        <w:pStyle w:val="FootnoteText"/>
        <w:rPr>
          <w:rFonts w:ascii="Times New Roman" w:hAnsi="Times New Roman"/>
          <w:sz w:val="20"/>
          <w:szCs w:val="20"/>
          <w:lang w:val="es-ES_tradnl"/>
        </w:rPr>
      </w:pPr>
      <w:r w:rsidRPr="00342AB4">
        <w:rPr>
          <w:rStyle w:val="FootnoteReference"/>
          <w:rFonts w:ascii="Times New Roman" w:hAnsi="Times New Roman"/>
          <w:sz w:val="20"/>
          <w:szCs w:val="20"/>
        </w:rPr>
        <w:footnoteRef/>
      </w:r>
      <w:r w:rsidRPr="00342AB4">
        <w:rPr>
          <w:rFonts w:ascii="Times New Roman" w:hAnsi="Times New Roman"/>
          <w:sz w:val="20"/>
          <w:szCs w:val="20"/>
          <w:lang w:val="es-ES_tradnl"/>
        </w:rPr>
        <w:t xml:space="preserve"> El número de internos ha variado para 2013 (9413 internos) pero se considera 2012 porque allí está la última información disponible sobre costos penitenciarios .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C30" w:rsidRDefault="00992C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A2B2F9A6"/>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b w:val="0"/>
        <w:color w:val="auto"/>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
    <w:nsid w:val="197F5EE9"/>
    <w:multiLevelType w:val="multilevel"/>
    <w:tmpl w:val="8C04D886"/>
    <w:lvl w:ilvl="0">
      <w:start w:val="3"/>
      <w:numFmt w:val="upperRoman"/>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
    <w:nsid w:val="233B3D47"/>
    <w:multiLevelType w:val="multilevel"/>
    <w:tmpl w:val="DFB238FC"/>
    <w:lvl w:ilvl="0">
      <w:start w:val="3"/>
      <w:numFmt w:val="upperRoman"/>
      <w:lvlText w:val="%1."/>
      <w:lvlJc w:val="left"/>
      <w:pPr>
        <w:ind w:left="360" w:hanging="360"/>
      </w:pPr>
      <w:rPr>
        <w:rFonts w:hint="default"/>
      </w:rPr>
    </w:lvl>
    <w:lvl w:ilvl="1">
      <w:start w:val="2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nsid w:val="2B21467A"/>
    <w:multiLevelType w:val="multilevel"/>
    <w:tmpl w:val="FCB20498"/>
    <w:lvl w:ilvl="0">
      <w:start w:val="1"/>
      <w:numFmt w:val="upperRoman"/>
      <w:lvlText w:val="%1."/>
      <w:lvlJc w:val="left"/>
      <w:pPr>
        <w:ind w:left="360" w:hanging="360"/>
      </w:pPr>
      <w:rPr>
        <w:rFonts w:hint="default"/>
      </w:rPr>
    </w:lvl>
    <w:lvl w:ilvl="1">
      <w:start w:val="1"/>
      <w:numFmt w:val="bullet"/>
      <w:pStyle w:val="Vieta"/>
      <w:lvlText w:val=""/>
      <w:lvlJc w:val="left"/>
      <w:pPr>
        <w:ind w:left="720" w:hanging="36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4">
    <w:nsid w:val="2FF04063"/>
    <w:multiLevelType w:val="multilevel"/>
    <w:tmpl w:val="DB40B702"/>
    <w:lvl w:ilvl="0">
      <w:start w:val="2"/>
      <w:numFmt w:val="upperRoman"/>
      <w:lvlText w:val="%1."/>
      <w:lvlJc w:val="left"/>
      <w:pPr>
        <w:ind w:left="360" w:hanging="360"/>
      </w:pPr>
      <w:rPr>
        <w:rFonts w:hint="default"/>
      </w:rPr>
    </w:lvl>
    <w:lvl w:ilvl="1">
      <w:start w:val="21"/>
      <w:numFmt w:val="decimal"/>
      <w:isLgl/>
      <w:lvlText w:val="%1.%2"/>
      <w:lvlJc w:val="left"/>
      <w:pPr>
        <w:ind w:left="567" w:hanging="567"/>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5">
    <w:nsid w:val="458D74C5"/>
    <w:multiLevelType w:val="hybridMultilevel"/>
    <w:tmpl w:val="3D16EE36"/>
    <w:lvl w:ilvl="0" w:tplc="2C0A0001">
      <w:start w:val="1"/>
      <w:numFmt w:val="bullet"/>
      <w:lvlText w:val=""/>
      <w:lvlJc w:val="left"/>
      <w:pPr>
        <w:ind w:left="360" w:hanging="360"/>
      </w:pPr>
      <w:rPr>
        <w:rFonts w:ascii="Symbol" w:hAnsi="Symbol" w:hint="default"/>
      </w:rPr>
    </w:lvl>
    <w:lvl w:ilvl="1" w:tplc="1138CEA0">
      <w:start w:val="1"/>
      <w:numFmt w:val="bullet"/>
      <w:pStyle w:val="Vietasanexo"/>
      <w:lvlText w:val=""/>
      <w:lvlJc w:val="left"/>
      <w:pPr>
        <w:ind w:left="1080" w:hanging="360"/>
      </w:pPr>
      <w:rPr>
        <w:rFonts w:ascii="Symbol" w:hAnsi="Symbol"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6">
    <w:nsid w:val="4A167A3E"/>
    <w:multiLevelType w:val="hybridMultilevel"/>
    <w:tmpl w:val="9D3C99A2"/>
    <w:lvl w:ilvl="0" w:tplc="935EF358">
      <w:start w:val="1"/>
      <w:numFmt w:val="decimal"/>
      <w:pStyle w:val="TItuloAnexo"/>
      <w:lvlText w:val="%1."/>
      <w:lvlJc w:val="left"/>
      <w:pPr>
        <w:ind w:left="928" w:hanging="360"/>
      </w:pPr>
      <w:rPr>
        <w:rFonts w:hint="default"/>
      </w:rPr>
    </w:lvl>
    <w:lvl w:ilvl="1" w:tplc="2C0A0019">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7">
    <w:nsid w:val="515915DF"/>
    <w:multiLevelType w:val="multilevel"/>
    <w:tmpl w:val="518270AE"/>
    <w:lvl w:ilvl="0">
      <w:start w:val="1"/>
      <w:numFmt w:val="upperRoman"/>
      <w:lvlText w:val="%1."/>
      <w:lvlJc w:val="left"/>
      <w:pPr>
        <w:ind w:left="360" w:hanging="360"/>
      </w:pPr>
      <w:rPr>
        <w:rFonts w:hint="default"/>
      </w:rPr>
    </w:lvl>
    <w:lvl w:ilvl="1">
      <w:start w:val="1"/>
      <w:numFmt w:val="decimal"/>
      <w:isLgl/>
      <w:lvlText w:val="%1.%2"/>
      <w:lvlJc w:val="left"/>
      <w:pPr>
        <w:ind w:left="567" w:hanging="567"/>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8">
    <w:nsid w:val="60711770"/>
    <w:multiLevelType w:val="multilevel"/>
    <w:tmpl w:val="1DEE8C32"/>
    <w:lvl w:ilvl="0">
      <w:start w:val="2"/>
      <w:numFmt w:val="upperRoman"/>
      <w:lvlText w:val="%1."/>
      <w:lvlJc w:val="left"/>
      <w:pPr>
        <w:ind w:left="360" w:hanging="360"/>
      </w:pPr>
      <w:rPr>
        <w:rFonts w:hint="default"/>
      </w:rPr>
    </w:lvl>
    <w:lvl w:ilvl="1">
      <w:start w:val="31"/>
      <w:numFmt w:val="decimal"/>
      <w:isLgl/>
      <w:lvlText w:val="%1.%2"/>
      <w:lvlJc w:val="left"/>
      <w:pPr>
        <w:ind w:left="567" w:hanging="567"/>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num w:numId="1">
    <w:abstractNumId w:val="7"/>
  </w:num>
  <w:num w:numId="2">
    <w:abstractNumId w:val="0"/>
  </w:num>
  <w:num w:numId="3">
    <w:abstractNumId w:val="3"/>
  </w:num>
  <w:num w:numId="4">
    <w:abstractNumId w:val="2"/>
  </w:num>
  <w:num w:numId="5">
    <w:abstractNumId w:val="1"/>
  </w:num>
  <w:num w:numId="6">
    <w:abstractNumId w:val="5"/>
  </w:num>
  <w:num w:numId="7">
    <w:abstractNumId w:val="6"/>
  </w:num>
  <w:num w:numId="8">
    <w:abstractNumId w:val="4"/>
  </w:num>
  <w:num w:numId="9">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00033"/>
    <w:rsid w:val="00005BB5"/>
    <w:rsid w:val="00005EDC"/>
    <w:rsid w:val="000117CA"/>
    <w:rsid w:val="00012B9A"/>
    <w:rsid w:val="00013021"/>
    <w:rsid w:val="0001439F"/>
    <w:rsid w:val="00014B7A"/>
    <w:rsid w:val="00015F9B"/>
    <w:rsid w:val="000163C5"/>
    <w:rsid w:val="000232C9"/>
    <w:rsid w:val="0002367A"/>
    <w:rsid w:val="0002382F"/>
    <w:rsid w:val="000250B3"/>
    <w:rsid w:val="00027BD0"/>
    <w:rsid w:val="00030267"/>
    <w:rsid w:val="00030B76"/>
    <w:rsid w:val="00031E1C"/>
    <w:rsid w:val="00036F86"/>
    <w:rsid w:val="00040932"/>
    <w:rsid w:val="000435C2"/>
    <w:rsid w:val="000447E8"/>
    <w:rsid w:val="00045FAD"/>
    <w:rsid w:val="0005267A"/>
    <w:rsid w:val="000532C5"/>
    <w:rsid w:val="00055C95"/>
    <w:rsid w:val="00060365"/>
    <w:rsid w:val="000615C6"/>
    <w:rsid w:val="00062917"/>
    <w:rsid w:val="0006373A"/>
    <w:rsid w:val="0006705A"/>
    <w:rsid w:val="00072EAB"/>
    <w:rsid w:val="00073D06"/>
    <w:rsid w:val="00080F7E"/>
    <w:rsid w:val="00084563"/>
    <w:rsid w:val="00086A1C"/>
    <w:rsid w:val="00086C0F"/>
    <w:rsid w:val="000918F4"/>
    <w:rsid w:val="00094F89"/>
    <w:rsid w:val="00095862"/>
    <w:rsid w:val="00096255"/>
    <w:rsid w:val="00097D91"/>
    <w:rsid w:val="000A005B"/>
    <w:rsid w:val="000A254F"/>
    <w:rsid w:val="000A4240"/>
    <w:rsid w:val="000A474D"/>
    <w:rsid w:val="000A57B1"/>
    <w:rsid w:val="000A6211"/>
    <w:rsid w:val="000A69B7"/>
    <w:rsid w:val="000B05C1"/>
    <w:rsid w:val="000B0A43"/>
    <w:rsid w:val="000B389F"/>
    <w:rsid w:val="000B3F73"/>
    <w:rsid w:val="000B6483"/>
    <w:rsid w:val="000C17DD"/>
    <w:rsid w:val="000C46A7"/>
    <w:rsid w:val="000C46E0"/>
    <w:rsid w:val="000C6E12"/>
    <w:rsid w:val="000D3602"/>
    <w:rsid w:val="000D3AFA"/>
    <w:rsid w:val="000D6314"/>
    <w:rsid w:val="000D64EC"/>
    <w:rsid w:val="000D6C2A"/>
    <w:rsid w:val="000E5FFA"/>
    <w:rsid w:val="000F2840"/>
    <w:rsid w:val="000F4BF7"/>
    <w:rsid w:val="00100AB6"/>
    <w:rsid w:val="00103836"/>
    <w:rsid w:val="00107A6D"/>
    <w:rsid w:val="00110CE8"/>
    <w:rsid w:val="00111647"/>
    <w:rsid w:val="00112CE5"/>
    <w:rsid w:val="001143E4"/>
    <w:rsid w:val="001144BE"/>
    <w:rsid w:val="00117D42"/>
    <w:rsid w:val="00120318"/>
    <w:rsid w:val="001246EE"/>
    <w:rsid w:val="0012607B"/>
    <w:rsid w:val="0012683F"/>
    <w:rsid w:val="00126A3E"/>
    <w:rsid w:val="00132D5C"/>
    <w:rsid w:val="0013499E"/>
    <w:rsid w:val="00140173"/>
    <w:rsid w:val="001423A3"/>
    <w:rsid w:val="001439C9"/>
    <w:rsid w:val="00146B6D"/>
    <w:rsid w:val="001472FC"/>
    <w:rsid w:val="0015295A"/>
    <w:rsid w:val="00152CB9"/>
    <w:rsid w:val="0015534D"/>
    <w:rsid w:val="00155361"/>
    <w:rsid w:val="00163675"/>
    <w:rsid w:val="0016597C"/>
    <w:rsid w:val="00166F59"/>
    <w:rsid w:val="00167B44"/>
    <w:rsid w:val="00170F5E"/>
    <w:rsid w:val="00171377"/>
    <w:rsid w:val="001720BB"/>
    <w:rsid w:val="00173607"/>
    <w:rsid w:val="00174B82"/>
    <w:rsid w:val="001767D4"/>
    <w:rsid w:val="00177892"/>
    <w:rsid w:val="001827E7"/>
    <w:rsid w:val="00183F9E"/>
    <w:rsid w:val="0018538F"/>
    <w:rsid w:val="001865CF"/>
    <w:rsid w:val="00187201"/>
    <w:rsid w:val="001903F0"/>
    <w:rsid w:val="001A2A90"/>
    <w:rsid w:val="001B0A90"/>
    <w:rsid w:val="001B3BF7"/>
    <w:rsid w:val="001B6084"/>
    <w:rsid w:val="001C0414"/>
    <w:rsid w:val="001C268B"/>
    <w:rsid w:val="001C393B"/>
    <w:rsid w:val="001C3DCA"/>
    <w:rsid w:val="001D2D2E"/>
    <w:rsid w:val="001D7ADC"/>
    <w:rsid w:val="001D7F81"/>
    <w:rsid w:val="001E1015"/>
    <w:rsid w:val="001E150A"/>
    <w:rsid w:val="001E7B41"/>
    <w:rsid w:val="001F0D61"/>
    <w:rsid w:val="001F0E20"/>
    <w:rsid w:val="001F52BD"/>
    <w:rsid w:val="001F5569"/>
    <w:rsid w:val="00201A8D"/>
    <w:rsid w:val="00203219"/>
    <w:rsid w:val="00204E18"/>
    <w:rsid w:val="00205916"/>
    <w:rsid w:val="00207204"/>
    <w:rsid w:val="0021056E"/>
    <w:rsid w:val="00212AE0"/>
    <w:rsid w:val="00214954"/>
    <w:rsid w:val="00215D5A"/>
    <w:rsid w:val="002168BA"/>
    <w:rsid w:val="002216F9"/>
    <w:rsid w:val="00224867"/>
    <w:rsid w:val="002306A0"/>
    <w:rsid w:val="002308DC"/>
    <w:rsid w:val="0023096C"/>
    <w:rsid w:val="002341D5"/>
    <w:rsid w:val="0023775E"/>
    <w:rsid w:val="00240208"/>
    <w:rsid w:val="00244A62"/>
    <w:rsid w:val="00245F30"/>
    <w:rsid w:val="0025036F"/>
    <w:rsid w:val="00252502"/>
    <w:rsid w:val="00253B58"/>
    <w:rsid w:val="002547CF"/>
    <w:rsid w:val="0025778E"/>
    <w:rsid w:val="00260D92"/>
    <w:rsid w:val="00263BC4"/>
    <w:rsid w:val="00266113"/>
    <w:rsid w:val="0027433B"/>
    <w:rsid w:val="002743B9"/>
    <w:rsid w:val="00274BD5"/>
    <w:rsid w:val="00277E59"/>
    <w:rsid w:val="00286534"/>
    <w:rsid w:val="002873E1"/>
    <w:rsid w:val="00292081"/>
    <w:rsid w:val="0029622F"/>
    <w:rsid w:val="00296F07"/>
    <w:rsid w:val="002A1FC4"/>
    <w:rsid w:val="002A2073"/>
    <w:rsid w:val="002A21EA"/>
    <w:rsid w:val="002A4399"/>
    <w:rsid w:val="002B18ED"/>
    <w:rsid w:val="002B31BC"/>
    <w:rsid w:val="002B6B10"/>
    <w:rsid w:val="002B737A"/>
    <w:rsid w:val="002C1CD6"/>
    <w:rsid w:val="002C3AEE"/>
    <w:rsid w:val="002C54E7"/>
    <w:rsid w:val="002C571F"/>
    <w:rsid w:val="002C5E1A"/>
    <w:rsid w:val="002D29C7"/>
    <w:rsid w:val="002D4369"/>
    <w:rsid w:val="002D4E00"/>
    <w:rsid w:val="002D6F93"/>
    <w:rsid w:val="002D7584"/>
    <w:rsid w:val="002D7864"/>
    <w:rsid w:val="002D78F7"/>
    <w:rsid w:val="002E1368"/>
    <w:rsid w:val="002E147E"/>
    <w:rsid w:val="002E4202"/>
    <w:rsid w:val="002E4618"/>
    <w:rsid w:val="002E6B84"/>
    <w:rsid w:val="002E6BE0"/>
    <w:rsid w:val="002E7C5D"/>
    <w:rsid w:val="002F1652"/>
    <w:rsid w:val="002F1A99"/>
    <w:rsid w:val="002F27CA"/>
    <w:rsid w:val="002F4237"/>
    <w:rsid w:val="002F50C6"/>
    <w:rsid w:val="002F7EA4"/>
    <w:rsid w:val="00300939"/>
    <w:rsid w:val="00300D75"/>
    <w:rsid w:val="003030CC"/>
    <w:rsid w:val="00307417"/>
    <w:rsid w:val="00313961"/>
    <w:rsid w:val="003208FA"/>
    <w:rsid w:val="00323CBD"/>
    <w:rsid w:val="0032488E"/>
    <w:rsid w:val="003311E6"/>
    <w:rsid w:val="003332AB"/>
    <w:rsid w:val="003370D2"/>
    <w:rsid w:val="003376DF"/>
    <w:rsid w:val="00343805"/>
    <w:rsid w:val="00350002"/>
    <w:rsid w:val="00351067"/>
    <w:rsid w:val="0035511C"/>
    <w:rsid w:val="00356AD0"/>
    <w:rsid w:val="00356FCF"/>
    <w:rsid w:val="00357790"/>
    <w:rsid w:val="00360C5E"/>
    <w:rsid w:val="00362D8A"/>
    <w:rsid w:val="00376FC1"/>
    <w:rsid w:val="003777EA"/>
    <w:rsid w:val="003805D2"/>
    <w:rsid w:val="00381F8D"/>
    <w:rsid w:val="00384560"/>
    <w:rsid w:val="00386B8A"/>
    <w:rsid w:val="0039137B"/>
    <w:rsid w:val="003918B7"/>
    <w:rsid w:val="00395746"/>
    <w:rsid w:val="003970BE"/>
    <w:rsid w:val="003A068D"/>
    <w:rsid w:val="003A0E30"/>
    <w:rsid w:val="003A453B"/>
    <w:rsid w:val="003A4F00"/>
    <w:rsid w:val="003B0030"/>
    <w:rsid w:val="003B0AAC"/>
    <w:rsid w:val="003B4278"/>
    <w:rsid w:val="003C0446"/>
    <w:rsid w:val="003C08A4"/>
    <w:rsid w:val="003C3C2F"/>
    <w:rsid w:val="003C531B"/>
    <w:rsid w:val="003C53F4"/>
    <w:rsid w:val="003C64D3"/>
    <w:rsid w:val="003C64E0"/>
    <w:rsid w:val="003D182A"/>
    <w:rsid w:val="003D308B"/>
    <w:rsid w:val="003D4E74"/>
    <w:rsid w:val="003D5EC2"/>
    <w:rsid w:val="003D6624"/>
    <w:rsid w:val="003E494A"/>
    <w:rsid w:val="003E61DA"/>
    <w:rsid w:val="003E71C0"/>
    <w:rsid w:val="003F0640"/>
    <w:rsid w:val="003F7517"/>
    <w:rsid w:val="00402721"/>
    <w:rsid w:val="004078AA"/>
    <w:rsid w:val="00420840"/>
    <w:rsid w:val="004210C5"/>
    <w:rsid w:val="00423EB8"/>
    <w:rsid w:val="00424539"/>
    <w:rsid w:val="004249B4"/>
    <w:rsid w:val="0042561E"/>
    <w:rsid w:val="0042581D"/>
    <w:rsid w:val="00426736"/>
    <w:rsid w:val="00431689"/>
    <w:rsid w:val="00435054"/>
    <w:rsid w:val="004421F2"/>
    <w:rsid w:val="00442B47"/>
    <w:rsid w:val="00442BDF"/>
    <w:rsid w:val="00445382"/>
    <w:rsid w:val="004478AE"/>
    <w:rsid w:val="00450385"/>
    <w:rsid w:val="00452907"/>
    <w:rsid w:val="004564D7"/>
    <w:rsid w:val="00456A59"/>
    <w:rsid w:val="004617EA"/>
    <w:rsid w:val="00462308"/>
    <w:rsid w:val="00467669"/>
    <w:rsid w:val="00470D03"/>
    <w:rsid w:val="00473037"/>
    <w:rsid w:val="00473371"/>
    <w:rsid w:val="00473E76"/>
    <w:rsid w:val="00474B5D"/>
    <w:rsid w:val="00483327"/>
    <w:rsid w:val="00484351"/>
    <w:rsid w:val="00484DB6"/>
    <w:rsid w:val="004857AE"/>
    <w:rsid w:val="004869E4"/>
    <w:rsid w:val="00487558"/>
    <w:rsid w:val="004876EE"/>
    <w:rsid w:val="00487742"/>
    <w:rsid w:val="00493FE5"/>
    <w:rsid w:val="00494BDC"/>
    <w:rsid w:val="00494E6E"/>
    <w:rsid w:val="00495C1F"/>
    <w:rsid w:val="0049738C"/>
    <w:rsid w:val="004A1160"/>
    <w:rsid w:val="004A21B2"/>
    <w:rsid w:val="004A2F7B"/>
    <w:rsid w:val="004A383B"/>
    <w:rsid w:val="004A3FA5"/>
    <w:rsid w:val="004B3A59"/>
    <w:rsid w:val="004B3A79"/>
    <w:rsid w:val="004B451F"/>
    <w:rsid w:val="004B52C3"/>
    <w:rsid w:val="004B7A5A"/>
    <w:rsid w:val="004C1201"/>
    <w:rsid w:val="004C19AB"/>
    <w:rsid w:val="004C3C2F"/>
    <w:rsid w:val="004C3FBA"/>
    <w:rsid w:val="004C43FE"/>
    <w:rsid w:val="004C4B32"/>
    <w:rsid w:val="004C613C"/>
    <w:rsid w:val="004C7D80"/>
    <w:rsid w:val="004D0C3A"/>
    <w:rsid w:val="004D2C56"/>
    <w:rsid w:val="004D3E6C"/>
    <w:rsid w:val="004D4BD0"/>
    <w:rsid w:val="004D5EFD"/>
    <w:rsid w:val="004D6A36"/>
    <w:rsid w:val="004E084F"/>
    <w:rsid w:val="004E3F85"/>
    <w:rsid w:val="004E4612"/>
    <w:rsid w:val="004E4981"/>
    <w:rsid w:val="004E4DAC"/>
    <w:rsid w:val="004F08F8"/>
    <w:rsid w:val="004F3440"/>
    <w:rsid w:val="004F3763"/>
    <w:rsid w:val="004F4C0D"/>
    <w:rsid w:val="004F5B95"/>
    <w:rsid w:val="0050552A"/>
    <w:rsid w:val="0050796D"/>
    <w:rsid w:val="005117E4"/>
    <w:rsid w:val="00514048"/>
    <w:rsid w:val="0052640E"/>
    <w:rsid w:val="0052734A"/>
    <w:rsid w:val="00527A94"/>
    <w:rsid w:val="00531850"/>
    <w:rsid w:val="00532604"/>
    <w:rsid w:val="00535F75"/>
    <w:rsid w:val="00536B0A"/>
    <w:rsid w:val="0053746A"/>
    <w:rsid w:val="00540CE0"/>
    <w:rsid w:val="00541132"/>
    <w:rsid w:val="0054153B"/>
    <w:rsid w:val="00547D6F"/>
    <w:rsid w:val="00555355"/>
    <w:rsid w:val="00556A21"/>
    <w:rsid w:val="00560C34"/>
    <w:rsid w:val="00560CD8"/>
    <w:rsid w:val="00565115"/>
    <w:rsid w:val="0057752B"/>
    <w:rsid w:val="00581D67"/>
    <w:rsid w:val="00582BAA"/>
    <w:rsid w:val="00585D0A"/>
    <w:rsid w:val="00585DBC"/>
    <w:rsid w:val="00585E7B"/>
    <w:rsid w:val="005907BE"/>
    <w:rsid w:val="00591D6A"/>
    <w:rsid w:val="005922B4"/>
    <w:rsid w:val="005A14BF"/>
    <w:rsid w:val="005A201A"/>
    <w:rsid w:val="005A4675"/>
    <w:rsid w:val="005A62B7"/>
    <w:rsid w:val="005A69A9"/>
    <w:rsid w:val="005B552B"/>
    <w:rsid w:val="005B7D48"/>
    <w:rsid w:val="005C5A91"/>
    <w:rsid w:val="005C769A"/>
    <w:rsid w:val="005D12F6"/>
    <w:rsid w:val="005D1407"/>
    <w:rsid w:val="005D430F"/>
    <w:rsid w:val="005D58EE"/>
    <w:rsid w:val="005D6FE2"/>
    <w:rsid w:val="005E0AC0"/>
    <w:rsid w:val="005E0FF8"/>
    <w:rsid w:val="005E12BF"/>
    <w:rsid w:val="005E1BF9"/>
    <w:rsid w:val="005E2C6A"/>
    <w:rsid w:val="005E3B9D"/>
    <w:rsid w:val="005F6FA6"/>
    <w:rsid w:val="005F7A38"/>
    <w:rsid w:val="00615AA5"/>
    <w:rsid w:val="006225CF"/>
    <w:rsid w:val="006333A4"/>
    <w:rsid w:val="00633D23"/>
    <w:rsid w:val="00637A31"/>
    <w:rsid w:val="00641DCD"/>
    <w:rsid w:val="00643CF0"/>
    <w:rsid w:val="00644464"/>
    <w:rsid w:val="00644B26"/>
    <w:rsid w:val="00650041"/>
    <w:rsid w:val="00650062"/>
    <w:rsid w:val="00652A91"/>
    <w:rsid w:val="00655622"/>
    <w:rsid w:val="006603BE"/>
    <w:rsid w:val="00661C9D"/>
    <w:rsid w:val="0066261B"/>
    <w:rsid w:val="00674058"/>
    <w:rsid w:val="00675628"/>
    <w:rsid w:val="00676A1C"/>
    <w:rsid w:val="00682C45"/>
    <w:rsid w:val="00682EC3"/>
    <w:rsid w:val="00686499"/>
    <w:rsid w:val="00687A6D"/>
    <w:rsid w:val="006901EF"/>
    <w:rsid w:val="00691245"/>
    <w:rsid w:val="006920F7"/>
    <w:rsid w:val="0069414B"/>
    <w:rsid w:val="00694696"/>
    <w:rsid w:val="00695E2F"/>
    <w:rsid w:val="006A016E"/>
    <w:rsid w:val="006A0846"/>
    <w:rsid w:val="006A1D50"/>
    <w:rsid w:val="006A2923"/>
    <w:rsid w:val="006A3973"/>
    <w:rsid w:val="006A6F3A"/>
    <w:rsid w:val="006B2EE6"/>
    <w:rsid w:val="006B63A8"/>
    <w:rsid w:val="006C0B27"/>
    <w:rsid w:val="006C46AA"/>
    <w:rsid w:val="006D2F82"/>
    <w:rsid w:val="006D4733"/>
    <w:rsid w:val="006E3238"/>
    <w:rsid w:val="006E4B83"/>
    <w:rsid w:val="006E4C85"/>
    <w:rsid w:val="006F1D22"/>
    <w:rsid w:val="006F1DBA"/>
    <w:rsid w:val="006F5BA4"/>
    <w:rsid w:val="006F6BDC"/>
    <w:rsid w:val="006F7FCE"/>
    <w:rsid w:val="00706FAB"/>
    <w:rsid w:val="0070703D"/>
    <w:rsid w:val="007113A9"/>
    <w:rsid w:val="00714298"/>
    <w:rsid w:val="0071464D"/>
    <w:rsid w:val="007156F1"/>
    <w:rsid w:val="00715CDD"/>
    <w:rsid w:val="007207F3"/>
    <w:rsid w:val="00720E9A"/>
    <w:rsid w:val="00724814"/>
    <w:rsid w:val="00726740"/>
    <w:rsid w:val="00727D7D"/>
    <w:rsid w:val="0073491B"/>
    <w:rsid w:val="0073585A"/>
    <w:rsid w:val="00737A5A"/>
    <w:rsid w:val="00745C05"/>
    <w:rsid w:val="00746A2E"/>
    <w:rsid w:val="00753456"/>
    <w:rsid w:val="007548CD"/>
    <w:rsid w:val="00762226"/>
    <w:rsid w:val="00765476"/>
    <w:rsid w:val="00765BCC"/>
    <w:rsid w:val="00771C06"/>
    <w:rsid w:val="00775EDE"/>
    <w:rsid w:val="007826AA"/>
    <w:rsid w:val="00786DDF"/>
    <w:rsid w:val="0078704A"/>
    <w:rsid w:val="00787D25"/>
    <w:rsid w:val="0079324F"/>
    <w:rsid w:val="00794002"/>
    <w:rsid w:val="00794A2B"/>
    <w:rsid w:val="007A1860"/>
    <w:rsid w:val="007A3E89"/>
    <w:rsid w:val="007A4DEC"/>
    <w:rsid w:val="007B3205"/>
    <w:rsid w:val="007B3237"/>
    <w:rsid w:val="007B5A16"/>
    <w:rsid w:val="007C00FA"/>
    <w:rsid w:val="007C0A5D"/>
    <w:rsid w:val="007C10BC"/>
    <w:rsid w:val="007C3A0D"/>
    <w:rsid w:val="007C3FE6"/>
    <w:rsid w:val="007C6EC6"/>
    <w:rsid w:val="007D03A1"/>
    <w:rsid w:val="007D1888"/>
    <w:rsid w:val="007D259B"/>
    <w:rsid w:val="007D396A"/>
    <w:rsid w:val="007D7037"/>
    <w:rsid w:val="007D7BED"/>
    <w:rsid w:val="007E059C"/>
    <w:rsid w:val="007E05E0"/>
    <w:rsid w:val="007E180D"/>
    <w:rsid w:val="007E2918"/>
    <w:rsid w:val="007E4510"/>
    <w:rsid w:val="007E6104"/>
    <w:rsid w:val="007E6BEA"/>
    <w:rsid w:val="007F0085"/>
    <w:rsid w:val="007F3457"/>
    <w:rsid w:val="007F5638"/>
    <w:rsid w:val="007F5F25"/>
    <w:rsid w:val="00800DFF"/>
    <w:rsid w:val="00802A5A"/>
    <w:rsid w:val="00812835"/>
    <w:rsid w:val="00813877"/>
    <w:rsid w:val="00814B33"/>
    <w:rsid w:val="008160A7"/>
    <w:rsid w:val="00816159"/>
    <w:rsid w:val="0081697B"/>
    <w:rsid w:val="00821327"/>
    <w:rsid w:val="00821A94"/>
    <w:rsid w:val="00823012"/>
    <w:rsid w:val="0082652B"/>
    <w:rsid w:val="00826534"/>
    <w:rsid w:val="00830578"/>
    <w:rsid w:val="00836158"/>
    <w:rsid w:val="008421E0"/>
    <w:rsid w:val="00844712"/>
    <w:rsid w:val="00847203"/>
    <w:rsid w:val="00847516"/>
    <w:rsid w:val="00847620"/>
    <w:rsid w:val="00850F9E"/>
    <w:rsid w:val="008531B3"/>
    <w:rsid w:val="008544A7"/>
    <w:rsid w:val="008545AC"/>
    <w:rsid w:val="00857E5B"/>
    <w:rsid w:val="00860114"/>
    <w:rsid w:val="00860164"/>
    <w:rsid w:val="008612C1"/>
    <w:rsid w:val="0086359C"/>
    <w:rsid w:val="00867419"/>
    <w:rsid w:val="008707E7"/>
    <w:rsid w:val="00882232"/>
    <w:rsid w:val="00891BA0"/>
    <w:rsid w:val="00892643"/>
    <w:rsid w:val="008944F0"/>
    <w:rsid w:val="008964CD"/>
    <w:rsid w:val="008A0563"/>
    <w:rsid w:val="008A367D"/>
    <w:rsid w:val="008A3903"/>
    <w:rsid w:val="008A3DC6"/>
    <w:rsid w:val="008A4318"/>
    <w:rsid w:val="008A4F02"/>
    <w:rsid w:val="008A6FA9"/>
    <w:rsid w:val="008B12CE"/>
    <w:rsid w:val="008B459C"/>
    <w:rsid w:val="008B4FC8"/>
    <w:rsid w:val="008B69F9"/>
    <w:rsid w:val="008B7AB5"/>
    <w:rsid w:val="008B7AB8"/>
    <w:rsid w:val="008C25C2"/>
    <w:rsid w:val="008C2D30"/>
    <w:rsid w:val="008C7A94"/>
    <w:rsid w:val="008D249D"/>
    <w:rsid w:val="008D3186"/>
    <w:rsid w:val="008E0408"/>
    <w:rsid w:val="008E3746"/>
    <w:rsid w:val="008E3EE0"/>
    <w:rsid w:val="008E522D"/>
    <w:rsid w:val="008E536B"/>
    <w:rsid w:val="008E72AB"/>
    <w:rsid w:val="008E7C3E"/>
    <w:rsid w:val="008F1C90"/>
    <w:rsid w:val="008F47C0"/>
    <w:rsid w:val="008F68AE"/>
    <w:rsid w:val="008F7171"/>
    <w:rsid w:val="00900812"/>
    <w:rsid w:val="00905B45"/>
    <w:rsid w:val="00910130"/>
    <w:rsid w:val="0091259D"/>
    <w:rsid w:val="0091399D"/>
    <w:rsid w:val="00914524"/>
    <w:rsid w:val="0091507A"/>
    <w:rsid w:val="00915BD2"/>
    <w:rsid w:val="0091681A"/>
    <w:rsid w:val="00916829"/>
    <w:rsid w:val="00920841"/>
    <w:rsid w:val="0092482A"/>
    <w:rsid w:val="00925598"/>
    <w:rsid w:val="00925E70"/>
    <w:rsid w:val="00926C85"/>
    <w:rsid w:val="009307E2"/>
    <w:rsid w:val="00930885"/>
    <w:rsid w:val="00932AF4"/>
    <w:rsid w:val="009332ED"/>
    <w:rsid w:val="00934177"/>
    <w:rsid w:val="00936B50"/>
    <w:rsid w:val="009370D5"/>
    <w:rsid w:val="00937224"/>
    <w:rsid w:val="00937C74"/>
    <w:rsid w:val="00940623"/>
    <w:rsid w:val="00941AE5"/>
    <w:rsid w:val="009423CA"/>
    <w:rsid w:val="00942E03"/>
    <w:rsid w:val="00946BAC"/>
    <w:rsid w:val="00954E0E"/>
    <w:rsid w:val="0095645D"/>
    <w:rsid w:val="00961A68"/>
    <w:rsid w:val="00961FAB"/>
    <w:rsid w:val="00962BB2"/>
    <w:rsid w:val="00962D5E"/>
    <w:rsid w:val="00966650"/>
    <w:rsid w:val="00967D93"/>
    <w:rsid w:val="0097100E"/>
    <w:rsid w:val="00972C35"/>
    <w:rsid w:val="00974805"/>
    <w:rsid w:val="00975398"/>
    <w:rsid w:val="009776F0"/>
    <w:rsid w:val="00977940"/>
    <w:rsid w:val="00980972"/>
    <w:rsid w:val="00981783"/>
    <w:rsid w:val="00983703"/>
    <w:rsid w:val="00990A2D"/>
    <w:rsid w:val="009918CD"/>
    <w:rsid w:val="00991F14"/>
    <w:rsid w:val="00991FB6"/>
    <w:rsid w:val="00992C30"/>
    <w:rsid w:val="00993463"/>
    <w:rsid w:val="00993B65"/>
    <w:rsid w:val="009A4966"/>
    <w:rsid w:val="009A4A07"/>
    <w:rsid w:val="009A5E1A"/>
    <w:rsid w:val="009A65E9"/>
    <w:rsid w:val="009B04E7"/>
    <w:rsid w:val="009B370F"/>
    <w:rsid w:val="009B4C36"/>
    <w:rsid w:val="009B5347"/>
    <w:rsid w:val="009D0CF9"/>
    <w:rsid w:val="009D173F"/>
    <w:rsid w:val="009D40C4"/>
    <w:rsid w:val="009D413B"/>
    <w:rsid w:val="009D42E9"/>
    <w:rsid w:val="009D4D7F"/>
    <w:rsid w:val="009D7700"/>
    <w:rsid w:val="009E022D"/>
    <w:rsid w:val="009E3F16"/>
    <w:rsid w:val="009E4ACB"/>
    <w:rsid w:val="009E6A82"/>
    <w:rsid w:val="009F09D0"/>
    <w:rsid w:val="009F58A4"/>
    <w:rsid w:val="009F7935"/>
    <w:rsid w:val="00A0126B"/>
    <w:rsid w:val="00A01685"/>
    <w:rsid w:val="00A04200"/>
    <w:rsid w:val="00A04CB3"/>
    <w:rsid w:val="00A1566C"/>
    <w:rsid w:val="00A172F8"/>
    <w:rsid w:val="00A20176"/>
    <w:rsid w:val="00A257D9"/>
    <w:rsid w:val="00A26883"/>
    <w:rsid w:val="00A32B3D"/>
    <w:rsid w:val="00A33C47"/>
    <w:rsid w:val="00A35086"/>
    <w:rsid w:val="00A433A3"/>
    <w:rsid w:val="00A460A1"/>
    <w:rsid w:val="00A47BDF"/>
    <w:rsid w:val="00A54F3E"/>
    <w:rsid w:val="00A550A8"/>
    <w:rsid w:val="00A6013E"/>
    <w:rsid w:val="00A603AC"/>
    <w:rsid w:val="00A65D42"/>
    <w:rsid w:val="00A72576"/>
    <w:rsid w:val="00A74324"/>
    <w:rsid w:val="00A76FBF"/>
    <w:rsid w:val="00A77092"/>
    <w:rsid w:val="00A81295"/>
    <w:rsid w:val="00A81CE3"/>
    <w:rsid w:val="00A82095"/>
    <w:rsid w:val="00A84ECC"/>
    <w:rsid w:val="00A855AD"/>
    <w:rsid w:val="00A864B0"/>
    <w:rsid w:val="00A87A33"/>
    <w:rsid w:val="00A93CD2"/>
    <w:rsid w:val="00A93FC3"/>
    <w:rsid w:val="00A95D49"/>
    <w:rsid w:val="00A978AC"/>
    <w:rsid w:val="00A97E3C"/>
    <w:rsid w:val="00AA0BF9"/>
    <w:rsid w:val="00AA1166"/>
    <w:rsid w:val="00AA43E4"/>
    <w:rsid w:val="00AA5C3E"/>
    <w:rsid w:val="00AA7352"/>
    <w:rsid w:val="00AA7D45"/>
    <w:rsid w:val="00AB1713"/>
    <w:rsid w:val="00AB2BA1"/>
    <w:rsid w:val="00AB4B14"/>
    <w:rsid w:val="00AB4DE3"/>
    <w:rsid w:val="00AC0A66"/>
    <w:rsid w:val="00AC0ED6"/>
    <w:rsid w:val="00AC466A"/>
    <w:rsid w:val="00AC5430"/>
    <w:rsid w:val="00AD0FC3"/>
    <w:rsid w:val="00AD23EB"/>
    <w:rsid w:val="00AD3B25"/>
    <w:rsid w:val="00AD4BFC"/>
    <w:rsid w:val="00AD73E4"/>
    <w:rsid w:val="00AD7D22"/>
    <w:rsid w:val="00AE0F64"/>
    <w:rsid w:val="00AE15DB"/>
    <w:rsid w:val="00AE1E4C"/>
    <w:rsid w:val="00AE3564"/>
    <w:rsid w:val="00AE58EE"/>
    <w:rsid w:val="00AE6DE6"/>
    <w:rsid w:val="00AE7557"/>
    <w:rsid w:val="00AF13B8"/>
    <w:rsid w:val="00AF4DCA"/>
    <w:rsid w:val="00AF70F4"/>
    <w:rsid w:val="00B000F6"/>
    <w:rsid w:val="00B00914"/>
    <w:rsid w:val="00B01B77"/>
    <w:rsid w:val="00B04792"/>
    <w:rsid w:val="00B05BE1"/>
    <w:rsid w:val="00B12527"/>
    <w:rsid w:val="00B15E5E"/>
    <w:rsid w:val="00B166BF"/>
    <w:rsid w:val="00B2552C"/>
    <w:rsid w:val="00B30804"/>
    <w:rsid w:val="00B31AC1"/>
    <w:rsid w:val="00B3348B"/>
    <w:rsid w:val="00B365D7"/>
    <w:rsid w:val="00B37B5D"/>
    <w:rsid w:val="00B37E20"/>
    <w:rsid w:val="00B44A5B"/>
    <w:rsid w:val="00B44DED"/>
    <w:rsid w:val="00B5093D"/>
    <w:rsid w:val="00B517AE"/>
    <w:rsid w:val="00B52224"/>
    <w:rsid w:val="00B5488C"/>
    <w:rsid w:val="00B57C35"/>
    <w:rsid w:val="00B62558"/>
    <w:rsid w:val="00B63B95"/>
    <w:rsid w:val="00B67554"/>
    <w:rsid w:val="00B675FC"/>
    <w:rsid w:val="00B74B48"/>
    <w:rsid w:val="00B80436"/>
    <w:rsid w:val="00B80BC4"/>
    <w:rsid w:val="00B84170"/>
    <w:rsid w:val="00B84211"/>
    <w:rsid w:val="00B84846"/>
    <w:rsid w:val="00B90D94"/>
    <w:rsid w:val="00B91090"/>
    <w:rsid w:val="00B937D9"/>
    <w:rsid w:val="00B93BAE"/>
    <w:rsid w:val="00B94BCF"/>
    <w:rsid w:val="00B97D21"/>
    <w:rsid w:val="00BA0115"/>
    <w:rsid w:val="00BA2700"/>
    <w:rsid w:val="00BA52C9"/>
    <w:rsid w:val="00BB26A9"/>
    <w:rsid w:val="00BB2AC4"/>
    <w:rsid w:val="00BB51DD"/>
    <w:rsid w:val="00BB6E97"/>
    <w:rsid w:val="00BB78BA"/>
    <w:rsid w:val="00BC221E"/>
    <w:rsid w:val="00BC232B"/>
    <w:rsid w:val="00BC2797"/>
    <w:rsid w:val="00BC3EE3"/>
    <w:rsid w:val="00BC43C4"/>
    <w:rsid w:val="00BC6CE8"/>
    <w:rsid w:val="00BC7E94"/>
    <w:rsid w:val="00BD1290"/>
    <w:rsid w:val="00BD18E4"/>
    <w:rsid w:val="00BD5D60"/>
    <w:rsid w:val="00BD5D9B"/>
    <w:rsid w:val="00BD6299"/>
    <w:rsid w:val="00BE2AA0"/>
    <w:rsid w:val="00BE31DE"/>
    <w:rsid w:val="00BE3F32"/>
    <w:rsid w:val="00BE6531"/>
    <w:rsid w:val="00BE762A"/>
    <w:rsid w:val="00BE7BEE"/>
    <w:rsid w:val="00BE7FBA"/>
    <w:rsid w:val="00BF3D88"/>
    <w:rsid w:val="00BF4134"/>
    <w:rsid w:val="00BF5A48"/>
    <w:rsid w:val="00BF7239"/>
    <w:rsid w:val="00BF76F7"/>
    <w:rsid w:val="00BF7BCB"/>
    <w:rsid w:val="00C01BC9"/>
    <w:rsid w:val="00C0546D"/>
    <w:rsid w:val="00C05A30"/>
    <w:rsid w:val="00C05CBC"/>
    <w:rsid w:val="00C06015"/>
    <w:rsid w:val="00C115D2"/>
    <w:rsid w:val="00C125F7"/>
    <w:rsid w:val="00C13665"/>
    <w:rsid w:val="00C14659"/>
    <w:rsid w:val="00C14D67"/>
    <w:rsid w:val="00C23152"/>
    <w:rsid w:val="00C2366A"/>
    <w:rsid w:val="00C23DDB"/>
    <w:rsid w:val="00C25CE5"/>
    <w:rsid w:val="00C26E3A"/>
    <w:rsid w:val="00C27FA0"/>
    <w:rsid w:val="00C32A84"/>
    <w:rsid w:val="00C34460"/>
    <w:rsid w:val="00C355F9"/>
    <w:rsid w:val="00C40814"/>
    <w:rsid w:val="00C45B91"/>
    <w:rsid w:val="00C46051"/>
    <w:rsid w:val="00C477F4"/>
    <w:rsid w:val="00C47DEE"/>
    <w:rsid w:val="00C50195"/>
    <w:rsid w:val="00C5211C"/>
    <w:rsid w:val="00C52307"/>
    <w:rsid w:val="00C532DF"/>
    <w:rsid w:val="00C55882"/>
    <w:rsid w:val="00C577C1"/>
    <w:rsid w:val="00C578B0"/>
    <w:rsid w:val="00C57D4E"/>
    <w:rsid w:val="00C627C5"/>
    <w:rsid w:val="00C639D7"/>
    <w:rsid w:val="00C63D35"/>
    <w:rsid w:val="00C66157"/>
    <w:rsid w:val="00C66239"/>
    <w:rsid w:val="00C71A4D"/>
    <w:rsid w:val="00C74BE7"/>
    <w:rsid w:val="00C75575"/>
    <w:rsid w:val="00C8418E"/>
    <w:rsid w:val="00C846E4"/>
    <w:rsid w:val="00C87956"/>
    <w:rsid w:val="00C87A29"/>
    <w:rsid w:val="00C92E6F"/>
    <w:rsid w:val="00C9392E"/>
    <w:rsid w:val="00C957C4"/>
    <w:rsid w:val="00C9681A"/>
    <w:rsid w:val="00CA176C"/>
    <w:rsid w:val="00CA2349"/>
    <w:rsid w:val="00CA565D"/>
    <w:rsid w:val="00CA6562"/>
    <w:rsid w:val="00CA72C8"/>
    <w:rsid w:val="00CB53E6"/>
    <w:rsid w:val="00CB5CCB"/>
    <w:rsid w:val="00CB7E91"/>
    <w:rsid w:val="00CC18C4"/>
    <w:rsid w:val="00CC22E0"/>
    <w:rsid w:val="00CC5225"/>
    <w:rsid w:val="00CC64BF"/>
    <w:rsid w:val="00CD02A4"/>
    <w:rsid w:val="00CD0C4B"/>
    <w:rsid w:val="00CD5FF8"/>
    <w:rsid w:val="00CD66BA"/>
    <w:rsid w:val="00CE4F49"/>
    <w:rsid w:val="00CE5086"/>
    <w:rsid w:val="00CE7D0F"/>
    <w:rsid w:val="00CF015C"/>
    <w:rsid w:val="00CF1E71"/>
    <w:rsid w:val="00CF3A39"/>
    <w:rsid w:val="00CF5271"/>
    <w:rsid w:val="00CF7330"/>
    <w:rsid w:val="00D00206"/>
    <w:rsid w:val="00D00C63"/>
    <w:rsid w:val="00D03452"/>
    <w:rsid w:val="00D07C6A"/>
    <w:rsid w:val="00D07F6E"/>
    <w:rsid w:val="00D103FA"/>
    <w:rsid w:val="00D106A1"/>
    <w:rsid w:val="00D13462"/>
    <w:rsid w:val="00D13AAB"/>
    <w:rsid w:val="00D21A18"/>
    <w:rsid w:val="00D226F4"/>
    <w:rsid w:val="00D30299"/>
    <w:rsid w:val="00D332FF"/>
    <w:rsid w:val="00D34C4A"/>
    <w:rsid w:val="00D3688C"/>
    <w:rsid w:val="00D42405"/>
    <w:rsid w:val="00D42F75"/>
    <w:rsid w:val="00D433EF"/>
    <w:rsid w:val="00D5040D"/>
    <w:rsid w:val="00D50779"/>
    <w:rsid w:val="00D50E32"/>
    <w:rsid w:val="00D54711"/>
    <w:rsid w:val="00D54DA0"/>
    <w:rsid w:val="00D57107"/>
    <w:rsid w:val="00D571CD"/>
    <w:rsid w:val="00D60630"/>
    <w:rsid w:val="00D62A83"/>
    <w:rsid w:val="00D63057"/>
    <w:rsid w:val="00D6722F"/>
    <w:rsid w:val="00D71B1F"/>
    <w:rsid w:val="00D7219E"/>
    <w:rsid w:val="00D74199"/>
    <w:rsid w:val="00D778E1"/>
    <w:rsid w:val="00D8094E"/>
    <w:rsid w:val="00D8256F"/>
    <w:rsid w:val="00D873E2"/>
    <w:rsid w:val="00D87D38"/>
    <w:rsid w:val="00D929E6"/>
    <w:rsid w:val="00D9571A"/>
    <w:rsid w:val="00D96F65"/>
    <w:rsid w:val="00D973E5"/>
    <w:rsid w:val="00DA03C6"/>
    <w:rsid w:val="00DA0515"/>
    <w:rsid w:val="00DA353D"/>
    <w:rsid w:val="00DA42C2"/>
    <w:rsid w:val="00DA4A02"/>
    <w:rsid w:val="00DA4EAC"/>
    <w:rsid w:val="00DA7B73"/>
    <w:rsid w:val="00DB04A9"/>
    <w:rsid w:val="00DB1E63"/>
    <w:rsid w:val="00DB1E70"/>
    <w:rsid w:val="00DB2945"/>
    <w:rsid w:val="00DB2FA4"/>
    <w:rsid w:val="00DB55CC"/>
    <w:rsid w:val="00DB6A84"/>
    <w:rsid w:val="00DB7856"/>
    <w:rsid w:val="00DC111A"/>
    <w:rsid w:val="00DC2972"/>
    <w:rsid w:val="00DC451D"/>
    <w:rsid w:val="00DC4A76"/>
    <w:rsid w:val="00DC6DBB"/>
    <w:rsid w:val="00DD3CE0"/>
    <w:rsid w:val="00DD4545"/>
    <w:rsid w:val="00DD5F33"/>
    <w:rsid w:val="00DE0CB5"/>
    <w:rsid w:val="00DE4343"/>
    <w:rsid w:val="00DE6067"/>
    <w:rsid w:val="00DE67E6"/>
    <w:rsid w:val="00DF01D2"/>
    <w:rsid w:val="00DF3C59"/>
    <w:rsid w:val="00DF5014"/>
    <w:rsid w:val="00E0052C"/>
    <w:rsid w:val="00E01A50"/>
    <w:rsid w:val="00E01B5E"/>
    <w:rsid w:val="00E034AD"/>
    <w:rsid w:val="00E0395C"/>
    <w:rsid w:val="00E05BAC"/>
    <w:rsid w:val="00E05FCF"/>
    <w:rsid w:val="00E0652C"/>
    <w:rsid w:val="00E075D7"/>
    <w:rsid w:val="00E12856"/>
    <w:rsid w:val="00E15B0C"/>
    <w:rsid w:val="00E1680F"/>
    <w:rsid w:val="00E20373"/>
    <w:rsid w:val="00E208D2"/>
    <w:rsid w:val="00E213B9"/>
    <w:rsid w:val="00E21DC0"/>
    <w:rsid w:val="00E22A0C"/>
    <w:rsid w:val="00E22BFA"/>
    <w:rsid w:val="00E24CC2"/>
    <w:rsid w:val="00E24FC3"/>
    <w:rsid w:val="00E25A0A"/>
    <w:rsid w:val="00E261D6"/>
    <w:rsid w:val="00E31FCD"/>
    <w:rsid w:val="00E338D8"/>
    <w:rsid w:val="00E34F4D"/>
    <w:rsid w:val="00E408F0"/>
    <w:rsid w:val="00E512F7"/>
    <w:rsid w:val="00E522DD"/>
    <w:rsid w:val="00E52A02"/>
    <w:rsid w:val="00E54D85"/>
    <w:rsid w:val="00E557A8"/>
    <w:rsid w:val="00E57C9B"/>
    <w:rsid w:val="00E60F8D"/>
    <w:rsid w:val="00E60FAD"/>
    <w:rsid w:val="00E62F03"/>
    <w:rsid w:val="00E67064"/>
    <w:rsid w:val="00E67426"/>
    <w:rsid w:val="00E709CF"/>
    <w:rsid w:val="00E70C96"/>
    <w:rsid w:val="00E75009"/>
    <w:rsid w:val="00E750DC"/>
    <w:rsid w:val="00E76D3C"/>
    <w:rsid w:val="00E8126C"/>
    <w:rsid w:val="00E8786E"/>
    <w:rsid w:val="00E87A71"/>
    <w:rsid w:val="00E90C78"/>
    <w:rsid w:val="00E9266B"/>
    <w:rsid w:val="00E96630"/>
    <w:rsid w:val="00E97233"/>
    <w:rsid w:val="00EA153D"/>
    <w:rsid w:val="00EA3C7B"/>
    <w:rsid w:val="00EA5AB9"/>
    <w:rsid w:val="00EA62A9"/>
    <w:rsid w:val="00EB50D9"/>
    <w:rsid w:val="00EB7535"/>
    <w:rsid w:val="00EB7821"/>
    <w:rsid w:val="00EC0C69"/>
    <w:rsid w:val="00EC1595"/>
    <w:rsid w:val="00EC17E2"/>
    <w:rsid w:val="00EC4EF0"/>
    <w:rsid w:val="00EC7258"/>
    <w:rsid w:val="00ED23E9"/>
    <w:rsid w:val="00ED5D18"/>
    <w:rsid w:val="00ED72EB"/>
    <w:rsid w:val="00EE0318"/>
    <w:rsid w:val="00EE39AF"/>
    <w:rsid w:val="00EE5D02"/>
    <w:rsid w:val="00EE6148"/>
    <w:rsid w:val="00EE7C33"/>
    <w:rsid w:val="00EF0C8B"/>
    <w:rsid w:val="00EF10FB"/>
    <w:rsid w:val="00EF28EC"/>
    <w:rsid w:val="00EF7F66"/>
    <w:rsid w:val="00F01653"/>
    <w:rsid w:val="00F05CE4"/>
    <w:rsid w:val="00F062DC"/>
    <w:rsid w:val="00F07DCE"/>
    <w:rsid w:val="00F10A0B"/>
    <w:rsid w:val="00F13A11"/>
    <w:rsid w:val="00F156F5"/>
    <w:rsid w:val="00F171DA"/>
    <w:rsid w:val="00F178E2"/>
    <w:rsid w:val="00F35EFB"/>
    <w:rsid w:val="00F40502"/>
    <w:rsid w:val="00F407E2"/>
    <w:rsid w:val="00F412C8"/>
    <w:rsid w:val="00F423FB"/>
    <w:rsid w:val="00F43063"/>
    <w:rsid w:val="00F4692D"/>
    <w:rsid w:val="00F50D3D"/>
    <w:rsid w:val="00F51E31"/>
    <w:rsid w:val="00F57611"/>
    <w:rsid w:val="00F65C7B"/>
    <w:rsid w:val="00F65CEE"/>
    <w:rsid w:val="00F6741C"/>
    <w:rsid w:val="00F70B80"/>
    <w:rsid w:val="00F71CF0"/>
    <w:rsid w:val="00F71D85"/>
    <w:rsid w:val="00F72B00"/>
    <w:rsid w:val="00F80206"/>
    <w:rsid w:val="00F8090C"/>
    <w:rsid w:val="00F822B6"/>
    <w:rsid w:val="00F82303"/>
    <w:rsid w:val="00F83868"/>
    <w:rsid w:val="00F84141"/>
    <w:rsid w:val="00F8625B"/>
    <w:rsid w:val="00F8691D"/>
    <w:rsid w:val="00F877F9"/>
    <w:rsid w:val="00F9183B"/>
    <w:rsid w:val="00FA3356"/>
    <w:rsid w:val="00FA3871"/>
    <w:rsid w:val="00FA5A4E"/>
    <w:rsid w:val="00FA76AF"/>
    <w:rsid w:val="00FB0227"/>
    <w:rsid w:val="00FB0F48"/>
    <w:rsid w:val="00FB1C2D"/>
    <w:rsid w:val="00FB31DF"/>
    <w:rsid w:val="00FB67F8"/>
    <w:rsid w:val="00FB7E51"/>
    <w:rsid w:val="00FC1D84"/>
    <w:rsid w:val="00FD3666"/>
    <w:rsid w:val="00FD68F7"/>
    <w:rsid w:val="00FD764A"/>
    <w:rsid w:val="00FE01C3"/>
    <w:rsid w:val="00FE0824"/>
    <w:rsid w:val="00FE2B21"/>
    <w:rsid w:val="00FE3694"/>
    <w:rsid w:val="00FE3831"/>
    <w:rsid w:val="00FE4942"/>
    <w:rsid w:val="00FE5501"/>
    <w:rsid w:val="00FF564A"/>
    <w:rsid w:val="00FF5E57"/>
    <w:rsid w:val="00FF65AB"/>
    <w:rsid w:val="00FF798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6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4"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0"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0"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0"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0"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05A"/>
    <w:pPr>
      <w:spacing w:after="200" w:line="276" w:lineRule="auto"/>
    </w:pPr>
    <w:rPr>
      <w:sz w:val="22"/>
      <w:szCs w:val="22"/>
    </w:rPr>
  </w:style>
  <w:style w:type="paragraph" w:styleId="Heading1">
    <w:name w:val="heading 1"/>
    <w:basedOn w:val="Normal"/>
    <w:next w:val="Normal"/>
    <w:link w:val="Heading1Char"/>
    <w:uiPriority w:val="9"/>
    <w:qFormat/>
    <w:rsid w:val="000918F4"/>
    <w:pPr>
      <w:spacing w:before="480" w:after="0"/>
      <w:contextualSpacing/>
      <w:outlineLvl w:val="0"/>
    </w:pPr>
    <w:rPr>
      <w:rFonts w:ascii="Times New Roman" w:eastAsia="Times New Roman" w:hAnsi="Times New Roman"/>
      <w:b/>
      <w:bCs/>
      <w:sz w:val="28"/>
      <w:szCs w:val="28"/>
      <w:lang w:val="es-ES"/>
    </w:rPr>
  </w:style>
  <w:style w:type="paragraph" w:styleId="Heading2">
    <w:name w:val="heading 2"/>
    <w:basedOn w:val="Normal"/>
    <w:next w:val="Normal"/>
    <w:link w:val="Heading2Char"/>
    <w:uiPriority w:val="9"/>
    <w:semiHidden/>
    <w:unhideWhenUsed/>
    <w:qFormat/>
    <w:rsid w:val="000918F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FC0621"/>
    <w:rPr>
      <w:rFonts w:ascii="Tahoma" w:eastAsia="Times New Roman" w:hAnsi="Tahoma" w:cs="Tahoma"/>
      <w:sz w:val="16"/>
      <w:szCs w:val="16"/>
    </w:rPr>
  </w:style>
  <w:style w:type="paragraph" w:styleId="FootnoteText">
    <w:name w:val="footnote text"/>
    <w:aliases w:val="fn"/>
    <w:basedOn w:val="Normal"/>
    <w:link w:val="FootnoteTextChar"/>
    <w:uiPriority w:val="99"/>
    <w:unhideWhenUsed/>
    <w:rsid w:val="00902F77"/>
    <w:pPr>
      <w:spacing w:after="0" w:line="240" w:lineRule="auto"/>
    </w:pPr>
    <w:rPr>
      <w:sz w:val="24"/>
      <w:szCs w:val="24"/>
    </w:rPr>
  </w:style>
  <w:style w:type="character" w:customStyle="1" w:styleId="FootnoteTextChar">
    <w:name w:val="Footnote Text Char"/>
    <w:aliases w:val="fn Char"/>
    <w:basedOn w:val="DefaultParagraphFont"/>
    <w:link w:val="FootnoteText"/>
    <w:uiPriority w:val="99"/>
    <w:rsid w:val="00902F77"/>
    <w:rPr>
      <w:sz w:val="24"/>
      <w:szCs w:val="24"/>
    </w:rPr>
  </w:style>
  <w:style w:type="character" w:styleId="FootnoteReference">
    <w:name w:val="footnote reference"/>
    <w:aliases w:val="titulo 2,16 Point,Superscript 6 Point,ftref,Fußnotenzeichen DISS,BVI fnr, BVI fnr,Знак сноски 1,referencia nota al pie,FC,Footnote Referencefra,Ref. de nota al pie.,Style 24,pie pddes"/>
    <w:basedOn w:val="DefaultParagraphFont"/>
    <w:uiPriority w:val="99"/>
    <w:unhideWhenUsed/>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463BF"/>
    <w:rPr>
      <w:rFonts w:ascii="Arial" w:eastAsia="Times New Roman" w:hAnsi="Arial" w:cs="Arial"/>
      <w:vanish/>
      <w:sz w:val="16"/>
      <w:szCs w:val="16"/>
    </w:rPr>
  </w:style>
  <w:style w:type="character" w:styleId="CommentReference">
    <w:name w:val="annotation reference"/>
    <w:basedOn w:val="DefaultParagraphFont"/>
    <w:rsid w:val="009365EC"/>
    <w:rPr>
      <w:sz w:val="16"/>
      <w:szCs w:val="16"/>
    </w:rPr>
  </w:style>
  <w:style w:type="paragraph" w:styleId="CommentText">
    <w:name w:val="annotation text"/>
    <w:basedOn w:val="Normal"/>
    <w:link w:val="CommentTextChar"/>
    <w:rsid w:val="009365EC"/>
    <w:rPr>
      <w:sz w:val="20"/>
      <w:szCs w:val="20"/>
    </w:rPr>
  </w:style>
  <w:style w:type="character" w:customStyle="1" w:styleId="CommentTextChar">
    <w:name w:val="Comment Text Char"/>
    <w:basedOn w:val="DefaultParagraphFont"/>
    <w:link w:val="CommentText"/>
    <w:rsid w:val="009365EC"/>
  </w:style>
  <w:style w:type="paragraph" w:styleId="CommentSubject">
    <w:name w:val="annotation subject"/>
    <w:basedOn w:val="CommentText"/>
    <w:next w:val="CommentText"/>
    <w:link w:val="CommentSubjectChar"/>
    <w:rsid w:val="009365EC"/>
    <w:rPr>
      <w:b/>
      <w:bCs/>
    </w:rPr>
  </w:style>
  <w:style w:type="character" w:customStyle="1" w:styleId="CommentSubjectChar">
    <w:name w:val="Comment Subject Char"/>
    <w:basedOn w:val="CommentTextChar"/>
    <w:link w:val="CommentSubject"/>
    <w:rsid w:val="009365EC"/>
    <w:rPr>
      <w:b/>
      <w:bCs/>
    </w:rPr>
  </w:style>
  <w:style w:type="table" w:customStyle="1" w:styleId="NoteLevel31">
    <w:name w:val="Note Level 31"/>
    <w:basedOn w:val="TableNormal"/>
    <w:uiPriority w:val="60"/>
    <w:rsid w:val="004102C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eNormal"/>
    <w:uiPriority w:val="60"/>
    <w:rsid w:val="004102C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4102C3"/>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4102C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4102C3"/>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4102C3"/>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domedio2-nfasis11">
    <w:name w:val="Sombreado medio 2 - Énfasis 11"/>
    <w:basedOn w:val="TableNormal"/>
    <w:uiPriority w:val="64"/>
    <w:rsid w:val="004102C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PlaceholderText">
    <w:name w:val="Placeholder Text"/>
    <w:basedOn w:val="DefaultParagraphFont"/>
    <w:uiPriority w:val="67"/>
    <w:rsid w:val="00A0126B"/>
    <w:rPr>
      <w:color w:val="808080"/>
    </w:rPr>
  </w:style>
  <w:style w:type="paragraph" w:customStyle="1" w:styleId="Chapter">
    <w:name w:val="Chapter"/>
    <w:basedOn w:val="Normal"/>
    <w:next w:val="Normal"/>
    <w:rsid w:val="00E05BAC"/>
    <w:pPr>
      <w:numPr>
        <w:numId w:val="2"/>
      </w:numPr>
      <w:tabs>
        <w:tab w:val="left" w:pos="1440"/>
      </w:tabs>
      <w:spacing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qFormat/>
    <w:rsid w:val="00E05BAC"/>
    <w:pPr>
      <w:numPr>
        <w:ilvl w:val="1"/>
        <w:numId w:val="2"/>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E05BAC"/>
    <w:pPr>
      <w:numPr>
        <w:ilvl w:val="2"/>
        <w:numId w:val="2"/>
      </w:numPr>
      <w:tabs>
        <w:tab w:val="clear" w:pos="1152"/>
      </w:tabs>
      <w:spacing w:before="120" w:line="240" w:lineRule="auto"/>
      <w:ind w:left="2160" w:hanging="36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E05BAC"/>
    <w:pPr>
      <w:numPr>
        <w:ilvl w:val="3"/>
      </w:numPr>
      <w:tabs>
        <w:tab w:val="clear" w:pos="1584"/>
        <w:tab w:val="left" w:pos="0"/>
      </w:tabs>
      <w:ind w:left="2880" w:hanging="360"/>
    </w:pPr>
  </w:style>
  <w:style w:type="character" w:customStyle="1" w:styleId="ParagraphChar">
    <w:name w:val="Paragraph Char"/>
    <w:link w:val="Paragraph"/>
    <w:rsid w:val="00E05BAC"/>
    <w:rPr>
      <w:rFonts w:ascii="Times New Roman" w:eastAsia="Times New Roman" w:hAnsi="Times New Roman"/>
      <w:sz w:val="24"/>
      <w:lang w:val="es-ES"/>
    </w:rPr>
  </w:style>
  <w:style w:type="paragraph" w:styleId="BodyTextIndent">
    <w:name w:val="Body Text Indent"/>
    <w:basedOn w:val="Normal"/>
    <w:link w:val="BodyTextIndentChar"/>
    <w:uiPriority w:val="99"/>
    <w:semiHidden/>
    <w:unhideWhenUsed/>
    <w:rsid w:val="00E05BAC"/>
    <w:pPr>
      <w:spacing w:after="120"/>
      <w:ind w:left="360"/>
    </w:pPr>
  </w:style>
  <w:style w:type="character" w:customStyle="1" w:styleId="BodyTextIndentChar">
    <w:name w:val="Body Text Indent Char"/>
    <w:basedOn w:val="DefaultParagraphFont"/>
    <w:link w:val="BodyTextIndent"/>
    <w:uiPriority w:val="99"/>
    <w:semiHidden/>
    <w:rsid w:val="00E05BAC"/>
    <w:rPr>
      <w:sz w:val="22"/>
      <w:szCs w:val="22"/>
    </w:rPr>
  </w:style>
  <w:style w:type="paragraph" w:styleId="BodyTextIndent3">
    <w:name w:val="Body Text Indent 3"/>
    <w:basedOn w:val="Normal"/>
    <w:link w:val="BodyTextIndent3Char"/>
    <w:uiPriority w:val="99"/>
    <w:semiHidden/>
    <w:unhideWhenUsed/>
    <w:rsid w:val="00E05B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05BAC"/>
    <w:rPr>
      <w:sz w:val="16"/>
      <w:szCs w:val="16"/>
    </w:rPr>
  </w:style>
  <w:style w:type="paragraph" w:customStyle="1" w:styleId="RegheadTab">
    <w:name w:val="RegheadTab"/>
    <w:basedOn w:val="Normal"/>
    <w:rsid w:val="00E05BAC"/>
    <w:pPr>
      <w:keepNext/>
      <w:tabs>
        <w:tab w:val="left" w:pos="0"/>
        <w:tab w:val="left" w:pos="90"/>
        <w:tab w:val="num" w:pos="504"/>
      </w:tabs>
      <w:spacing w:before="120" w:after="0" w:line="240" w:lineRule="auto"/>
      <w:ind w:left="504" w:hanging="504"/>
      <w:jc w:val="center"/>
    </w:pPr>
    <w:rPr>
      <w:rFonts w:ascii="Times New Roman" w:eastAsia="Times New Roman" w:hAnsi="Times New Roman"/>
      <w:b/>
      <w:sz w:val="24"/>
      <w:szCs w:val="20"/>
      <w:lang w:val="es-ES"/>
    </w:rPr>
  </w:style>
  <w:style w:type="paragraph" w:styleId="BodyText2">
    <w:name w:val="Body Text 2"/>
    <w:basedOn w:val="Normal"/>
    <w:link w:val="BodyText2Char"/>
    <w:uiPriority w:val="99"/>
    <w:semiHidden/>
    <w:unhideWhenUsed/>
    <w:rsid w:val="000918F4"/>
    <w:pPr>
      <w:spacing w:after="120" w:line="480" w:lineRule="auto"/>
    </w:pPr>
  </w:style>
  <w:style w:type="character" w:customStyle="1" w:styleId="BodyText2Char">
    <w:name w:val="Body Text 2 Char"/>
    <w:basedOn w:val="DefaultParagraphFont"/>
    <w:link w:val="BodyText2"/>
    <w:uiPriority w:val="99"/>
    <w:semiHidden/>
    <w:rsid w:val="000918F4"/>
    <w:rPr>
      <w:sz w:val="22"/>
      <w:szCs w:val="22"/>
    </w:rPr>
  </w:style>
  <w:style w:type="paragraph" w:customStyle="1" w:styleId="Seccion">
    <w:name w:val="Seccion"/>
    <w:basedOn w:val="Heading2"/>
    <w:link w:val="SeccionCar"/>
    <w:qFormat/>
    <w:rsid w:val="000918F4"/>
    <w:pPr>
      <w:keepNext w:val="0"/>
      <w:keepLines w:val="0"/>
      <w:spacing w:before="240" w:line="480" w:lineRule="auto"/>
      <w:ind w:firstLine="709"/>
    </w:pPr>
    <w:rPr>
      <w:rFonts w:ascii="Times New Roman" w:eastAsia="Times New Roman" w:hAnsi="Times New Roman" w:cs="Times New Roman"/>
      <w:color w:val="auto"/>
      <w:sz w:val="24"/>
      <w:szCs w:val="24"/>
      <w:lang w:val="es-ES"/>
    </w:rPr>
  </w:style>
  <w:style w:type="character" w:customStyle="1" w:styleId="SeccionCar">
    <w:name w:val="Seccion Car"/>
    <w:link w:val="Seccion"/>
    <w:rsid w:val="000918F4"/>
    <w:rPr>
      <w:rFonts w:ascii="Times New Roman" w:eastAsia="Times New Roman" w:hAnsi="Times New Roman"/>
      <w:b/>
      <w:bCs/>
      <w:sz w:val="24"/>
      <w:szCs w:val="24"/>
      <w:lang w:val="es-ES"/>
    </w:rPr>
  </w:style>
  <w:style w:type="paragraph" w:customStyle="1" w:styleId="Titulo">
    <w:name w:val="Titulo"/>
    <w:basedOn w:val="Normal"/>
    <w:link w:val="TituloCar"/>
    <w:qFormat/>
    <w:rsid w:val="000918F4"/>
    <w:pPr>
      <w:shd w:val="clear" w:color="auto" w:fill="FFFFFF"/>
      <w:autoSpaceDE w:val="0"/>
      <w:autoSpaceDN w:val="0"/>
      <w:spacing w:after="0" w:line="240" w:lineRule="auto"/>
      <w:ind w:firstLine="425"/>
      <w:jc w:val="center"/>
    </w:pPr>
    <w:rPr>
      <w:rFonts w:ascii="Times New Roman" w:eastAsia="Times New Roman" w:hAnsi="Times New Roman"/>
      <w:b/>
      <w:kern w:val="2"/>
      <w:sz w:val="24"/>
      <w:szCs w:val="24"/>
      <w:lang w:val="es-ES" w:eastAsia="ko-KR"/>
    </w:rPr>
  </w:style>
  <w:style w:type="character" w:customStyle="1" w:styleId="TituloCar">
    <w:name w:val="Titulo Car"/>
    <w:link w:val="Titulo"/>
    <w:rsid w:val="000918F4"/>
    <w:rPr>
      <w:rFonts w:ascii="Times New Roman" w:eastAsia="Times New Roman" w:hAnsi="Times New Roman"/>
      <w:b/>
      <w:kern w:val="2"/>
      <w:sz w:val="24"/>
      <w:szCs w:val="24"/>
      <w:shd w:val="clear" w:color="auto" w:fill="FFFFFF"/>
      <w:lang w:val="es-ES" w:eastAsia="ko-KR"/>
    </w:rPr>
  </w:style>
  <w:style w:type="character" w:customStyle="1" w:styleId="Heading2Char">
    <w:name w:val="Heading 2 Char"/>
    <w:basedOn w:val="DefaultParagraphFont"/>
    <w:link w:val="Heading2"/>
    <w:uiPriority w:val="9"/>
    <w:semiHidden/>
    <w:rsid w:val="000918F4"/>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0918F4"/>
    <w:rPr>
      <w:rFonts w:ascii="Times New Roman" w:eastAsia="Times New Roman" w:hAnsi="Times New Roman"/>
      <w:b/>
      <w:bCs/>
      <w:sz w:val="28"/>
      <w:szCs w:val="28"/>
      <w:lang w:val="es-ES"/>
    </w:rPr>
  </w:style>
  <w:style w:type="table" w:customStyle="1" w:styleId="Tablaconcuadrcula1">
    <w:name w:val="Tabla con cuadrícula1"/>
    <w:basedOn w:val="TableNormal"/>
    <w:next w:val="TableGrid"/>
    <w:uiPriority w:val="59"/>
    <w:rsid w:val="000918F4"/>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0163C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163C5"/>
    <w:rPr>
      <w:rFonts w:ascii="Tahoma" w:hAnsi="Tahoma" w:cs="Tahoma"/>
      <w:sz w:val="16"/>
      <w:szCs w:val="16"/>
    </w:rPr>
  </w:style>
  <w:style w:type="table" w:customStyle="1" w:styleId="Sombreadoclaro-nfasis12">
    <w:name w:val="Sombreado claro - Énfasis 12"/>
    <w:basedOn w:val="TableNormal"/>
    <w:uiPriority w:val="60"/>
    <w:rsid w:val="00027BD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medio2-nfasis12">
    <w:name w:val="Sombreado medio 2 - Énfasis 12"/>
    <w:basedOn w:val="TableNormal"/>
    <w:uiPriority w:val="64"/>
    <w:rsid w:val="00027BD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Revision">
    <w:name w:val="Revision"/>
    <w:hidden/>
    <w:uiPriority w:val="71"/>
    <w:rsid w:val="00027BD0"/>
    <w:rPr>
      <w:sz w:val="22"/>
      <w:szCs w:val="22"/>
    </w:rPr>
  </w:style>
  <w:style w:type="paragraph" w:customStyle="1" w:styleId="TitulopostI">
    <w:name w:val="Titulo post I"/>
    <w:basedOn w:val="Normal"/>
    <w:link w:val="TitulopostICar"/>
    <w:qFormat/>
    <w:rsid w:val="0025036F"/>
    <w:pPr>
      <w:spacing w:after="0" w:line="480" w:lineRule="auto"/>
      <w:ind w:left="1134" w:hanging="567"/>
      <w:jc w:val="both"/>
    </w:pPr>
    <w:rPr>
      <w:rFonts w:ascii="Times New Roman" w:hAnsi="Times New Roman"/>
      <w:b/>
      <w:sz w:val="24"/>
      <w:szCs w:val="24"/>
      <w:lang w:val="es-ES"/>
    </w:rPr>
  </w:style>
  <w:style w:type="paragraph" w:customStyle="1" w:styleId="Vieta">
    <w:name w:val="Viñeta"/>
    <w:basedOn w:val="Paragraph"/>
    <w:link w:val="VietaCar"/>
    <w:qFormat/>
    <w:rsid w:val="00FD764A"/>
    <w:pPr>
      <w:numPr>
        <w:numId w:val="3"/>
      </w:numPr>
      <w:spacing w:before="0" w:after="0" w:line="480" w:lineRule="auto"/>
    </w:pPr>
    <w:rPr>
      <w:kern w:val="28"/>
    </w:rPr>
  </w:style>
  <w:style w:type="character" w:customStyle="1" w:styleId="TitulopostICar">
    <w:name w:val="Titulo post I Car"/>
    <w:basedOn w:val="DefaultParagraphFont"/>
    <w:link w:val="TitulopostI"/>
    <w:rsid w:val="0025036F"/>
    <w:rPr>
      <w:rFonts w:ascii="Times New Roman" w:hAnsi="Times New Roman"/>
      <w:b/>
      <w:sz w:val="24"/>
      <w:szCs w:val="24"/>
      <w:lang w:val="es-ES"/>
    </w:rPr>
  </w:style>
  <w:style w:type="paragraph" w:customStyle="1" w:styleId="Estilo1">
    <w:name w:val="Estilo1"/>
    <w:basedOn w:val="Paragraph"/>
    <w:link w:val="Estilo1Car"/>
    <w:qFormat/>
    <w:rsid w:val="00FD764A"/>
    <w:pPr>
      <w:numPr>
        <w:ilvl w:val="0"/>
        <w:numId w:val="0"/>
      </w:numPr>
      <w:spacing w:before="0" w:after="0" w:line="480" w:lineRule="auto"/>
      <w:ind w:left="567" w:hanging="567"/>
    </w:pPr>
    <w:rPr>
      <w:szCs w:val="24"/>
    </w:rPr>
  </w:style>
  <w:style w:type="character" w:customStyle="1" w:styleId="VietaCar">
    <w:name w:val="Viñeta Car"/>
    <w:basedOn w:val="ParagraphChar"/>
    <w:link w:val="Vieta"/>
    <w:rsid w:val="00FD764A"/>
    <w:rPr>
      <w:rFonts w:ascii="Times New Roman" w:eastAsia="Times New Roman" w:hAnsi="Times New Roman"/>
      <w:kern w:val="28"/>
      <w:sz w:val="24"/>
      <w:lang w:val="es-ES"/>
    </w:rPr>
  </w:style>
  <w:style w:type="paragraph" w:customStyle="1" w:styleId="Entabla">
    <w:name w:val="Entabla"/>
    <w:basedOn w:val="Normal"/>
    <w:link w:val="EntablaCar"/>
    <w:qFormat/>
    <w:rsid w:val="00FE2B21"/>
    <w:pPr>
      <w:spacing w:after="0" w:line="240" w:lineRule="auto"/>
    </w:pPr>
    <w:rPr>
      <w:rFonts w:ascii="Times New Roman" w:eastAsia="Times New Roman" w:hAnsi="Times New Roman"/>
      <w:color w:val="000000"/>
      <w:lang w:val="es-ES"/>
    </w:rPr>
  </w:style>
  <w:style w:type="character" w:customStyle="1" w:styleId="Estilo1Car">
    <w:name w:val="Estilo1 Car"/>
    <w:basedOn w:val="ParagraphChar"/>
    <w:link w:val="Estilo1"/>
    <w:rsid w:val="00FD764A"/>
    <w:rPr>
      <w:rFonts w:ascii="Times New Roman" w:eastAsia="Times New Roman" w:hAnsi="Times New Roman"/>
      <w:sz w:val="24"/>
      <w:szCs w:val="24"/>
      <w:lang w:val="es-ES"/>
    </w:rPr>
  </w:style>
  <w:style w:type="paragraph" w:customStyle="1" w:styleId="TituloTabla">
    <w:name w:val="Titulo Tabla"/>
    <w:basedOn w:val="Normal"/>
    <w:link w:val="TituloTablaCar"/>
    <w:qFormat/>
    <w:rsid w:val="00BB26A9"/>
    <w:pPr>
      <w:spacing w:after="0" w:line="240" w:lineRule="auto"/>
      <w:ind w:left="34"/>
    </w:pPr>
    <w:rPr>
      <w:rFonts w:ascii="Times New Roman" w:eastAsia="Times New Roman" w:hAnsi="Times New Roman"/>
      <w:b/>
      <w:bCs/>
      <w:color w:val="000000"/>
      <w:lang w:val="es-ES"/>
    </w:rPr>
  </w:style>
  <w:style w:type="character" w:customStyle="1" w:styleId="EntablaCar">
    <w:name w:val="Entabla Car"/>
    <w:basedOn w:val="DefaultParagraphFont"/>
    <w:link w:val="Entabla"/>
    <w:rsid w:val="00FE2B21"/>
    <w:rPr>
      <w:rFonts w:ascii="Times New Roman" w:eastAsia="Times New Roman" w:hAnsi="Times New Roman"/>
      <w:color w:val="000000"/>
      <w:sz w:val="22"/>
      <w:szCs w:val="22"/>
      <w:lang w:val="es-ES"/>
    </w:rPr>
  </w:style>
  <w:style w:type="paragraph" w:customStyle="1" w:styleId="Anexo">
    <w:name w:val="Anexo"/>
    <w:basedOn w:val="Paragraph"/>
    <w:link w:val="AnexoCar"/>
    <w:qFormat/>
    <w:rsid w:val="00F407E2"/>
    <w:pPr>
      <w:numPr>
        <w:ilvl w:val="0"/>
        <w:numId w:val="0"/>
      </w:numPr>
      <w:spacing w:before="0" w:after="0" w:line="480" w:lineRule="auto"/>
      <w:ind w:firstLine="709"/>
    </w:pPr>
    <w:rPr>
      <w:szCs w:val="24"/>
    </w:rPr>
  </w:style>
  <w:style w:type="character" w:customStyle="1" w:styleId="TituloTablaCar">
    <w:name w:val="Titulo Tabla Car"/>
    <w:basedOn w:val="DefaultParagraphFont"/>
    <w:link w:val="TituloTabla"/>
    <w:rsid w:val="00BB26A9"/>
    <w:rPr>
      <w:rFonts w:ascii="Times New Roman" w:eastAsia="Times New Roman" w:hAnsi="Times New Roman"/>
      <w:b/>
      <w:bCs/>
      <w:color w:val="000000"/>
      <w:sz w:val="22"/>
      <w:szCs w:val="22"/>
      <w:lang w:val="es-ES"/>
    </w:rPr>
  </w:style>
  <w:style w:type="paragraph" w:customStyle="1" w:styleId="Vietasanexo">
    <w:name w:val="Viñetas anexo"/>
    <w:basedOn w:val="Normal"/>
    <w:link w:val="VietasanexoCar"/>
    <w:qFormat/>
    <w:rsid w:val="00F407E2"/>
    <w:pPr>
      <w:numPr>
        <w:ilvl w:val="1"/>
        <w:numId w:val="6"/>
      </w:numPr>
      <w:autoSpaceDE w:val="0"/>
      <w:autoSpaceDN w:val="0"/>
      <w:spacing w:after="0" w:line="480" w:lineRule="auto"/>
      <w:ind w:left="1134" w:hanging="426"/>
      <w:jc w:val="both"/>
    </w:pPr>
    <w:rPr>
      <w:rFonts w:ascii="Times New Roman" w:hAnsi="Times New Roman"/>
      <w:sz w:val="24"/>
      <w:szCs w:val="24"/>
      <w:lang w:val="es-AR"/>
    </w:rPr>
  </w:style>
  <w:style w:type="character" w:customStyle="1" w:styleId="AnexoCar">
    <w:name w:val="Anexo Car"/>
    <w:basedOn w:val="ParagraphChar"/>
    <w:link w:val="Anexo"/>
    <w:rsid w:val="00F407E2"/>
    <w:rPr>
      <w:rFonts w:ascii="Times New Roman" w:eastAsia="Times New Roman" w:hAnsi="Times New Roman"/>
      <w:sz w:val="24"/>
      <w:szCs w:val="24"/>
      <w:lang w:val="es-ES"/>
    </w:rPr>
  </w:style>
  <w:style w:type="paragraph" w:customStyle="1" w:styleId="TItuloAnexo">
    <w:name w:val="TItulo Anexo"/>
    <w:basedOn w:val="Seccion"/>
    <w:link w:val="TItuloAnexoCar"/>
    <w:qFormat/>
    <w:rsid w:val="00B84211"/>
    <w:pPr>
      <w:numPr>
        <w:numId w:val="7"/>
      </w:numPr>
    </w:pPr>
  </w:style>
  <w:style w:type="character" w:customStyle="1" w:styleId="VietasanexoCar">
    <w:name w:val="Viñetas anexo Car"/>
    <w:basedOn w:val="DefaultParagraphFont"/>
    <w:link w:val="Vietasanexo"/>
    <w:rsid w:val="00F407E2"/>
    <w:rPr>
      <w:rFonts w:ascii="Times New Roman" w:hAnsi="Times New Roman"/>
      <w:sz w:val="24"/>
      <w:szCs w:val="24"/>
      <w:lang w:val="es-AR"/>
    </w:rPr>
  </w:style>
  <w:style w:type="character" w:customStyle="1" w:styleId="TItuloAnexoCar">
    <w:name w:val="TItulo Anexo Car"/>
    <w:basedOn w:val="SeccionCar"/>
    <w:link w:val="TItuloAnexo"/>
    <w:rsid w:val="00B84211"/>
    <w:rPr>
      <w:rFonts w:ascii="Times New Roman" w:eastAsia="Times New Roman" w:hAnsi="Times New Roman"/>
      <w:b/>
      <w:bCs/>
      <w:sz w:val="24"/>
      <w:szCs w:val="24"/>
      <w:lang w:val="es-ES"/>
    </w:rPr>
  </w:style>
  <w:style w:type="paragraph" w:customStyle="1" w:styleId="Titulobisanexo">
    <w:name w:val="Titulo bis anexo"/>
    <w:basedOn w:val="TItuloAnexo"/>
    <w:link w:val="TitulobisanexoCar"/>
    <w:qFormat/>
    <w:rsid w:val="00F8691D"/>
    <w:pPr>
      <w:numPr>
        <w:numId w:val="0"/>
      </w:numPr>
      <w:spacing w:before="0"/>
      <w:ind w:left="709"/>
    </w:pPr>
  </w:style>
  <w:style w:type="character" w:customStyle="1" w:styleId="TitulobisanexoCar">
    <w:name w:val="Titulo bis anexo Car"/>
    <w:basedOn w:val="TItuloAnexoCar"/>
    <w:link w:val="Titulobisanexo"/>
    <w:rsid w:val="00F8691D"/>
    <w:rPr>
      <w:rFonts w:ascii="Times New Roman" w:eastAsia="Times New Roman" w:hAnsi="Times New Roman"/>
      <w:b/>
      <w:bCs/>
      <w:sz w:val="24"/>
      <w:szCs w:val="24"/>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6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4"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0"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0"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0"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0"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05A"/>
    <w:pPr>
      <w:spacing w:after="200" w:line="276" w:lineRule="auto"/>
    </w:pPr>
    <w:rPr>
      <w:sz w:val="22"/>
      <w:szCs w:val="22"/>
    </w:rPr>
  </w:style>
  <w:style w:type="paragraph" w:styleId="Heading1">
    <w:name w:val="heading 1"/>
    <w:basedOn w:val="Normal"/>
    <w:next w:val="Normal"/>
    <w:link w:val="Heading1Char"/>
    <w:uiPriority w:val="9"/>
    <w:qFormat/>
    <w:rsid w:val="000918F4"/>
    <w:pPr>
      <w:spacing w:before="480" w:after="0"/>
      <w:contextualSpacing/>
      <w:outlineLvl w:val="0"/>
    </w:pPr>
    <w:rPr>
      <w:rFonts w:ascii="Times New Roman" w:eastAsia="Times New Roman" w:hAnsi="Times New Roman"/>
      <w:b/>
      <w:bCs/>
      <w:sz w:val="28"/>
      <w:szCs w:val="28"/>
      <w:lang w:val="es-ES"/>
    </w:rPr>
  </w:style>
  <w:style w:type="paragraph" w:styleId="Heading2">
    <w:name w:val="heading 2"/>
    <w:basedOn w:val="Normal"/>
    <w:next w:val="Normal"/>
    <w:link w:val="Heading2Char"/>
    <w:uiPriority w:val="9"/>
    <w:semiHidden/>
    <w:unhideWhenUsed/>
    <w:qFormat/>
    <w:rsid w:val="000918F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FC0621"/>
    <w:rPr>
      <w:rFonts w:ascii="Tahoma" w:eastAsia="Times New Roman" w:hAnsi="Tahoma" w:cs="Tahoma"/>
      <w:sz w:val="16"/>
      <w:szCs w:val="16"/>
    </w:rPr>
  </w:style>
  <w:style w:type="paragraph" w:styleId="FootnoteText">
    <w:name w:val="footnote text"/>
    <w:aliases w:val="fn"/>
    <w:basedOn w:val="Normal"/>
    <w:link w:val="FootnoteTextChar"/>
    <w:uiPriority w:val="99"/>
    <w:unhideWhenUsed/>
    <w:rsid w:val="00902F77"/>
    <w:pPr>
      <w:spacing w:after="0" w:line="240" w:lineRule="auto"/>
    </w:pPr>
    <w:rPr>
      <w:sz w:val="24"/>
      <w:szCs w:val="24"/>
    </w:rPr>
  </w:style>
  <w:style w:type="character" w:customStyle="1" w:styleId="FootnoteTextChar">
    <w:name w:val="Footnote Text Char"/>
    <w:aliases w:val="fn Char"/>
    <w:basedOn w:val="DefaultParagraphFont"/>
    <w:link w:val="FootnoteText"/>
    <w:uiPriority w:val="99"/>
    <w:rsid w:val="00902F77"/>
    <w:rPr>
      <w:sz w:val="24"/>
      <w:szCs w:val="24"/>
    </w:rPr>
  </w:style>
  <w:style w:type="character" w:styleId="FootnoteReference">
    <w:name w:val="footnote reference"/>
    <w:aliases w:val="titulo 2,16 Point,Superscript 6 Point,ftref,Fußnotenzeichen DISS,BVI fnr, BVI fnr,Знак сноски 1,referencia nota al pie,FC,Footnote Referencefra,Ref. de nota al pie.,Style 24,pie pddes"/>
    <w:basedOn w:val="DefaultParagraphFont"/>
    <w:uiPriority w:val="99"/>
    <w:unhideWhenUsed/>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463BF"/>
    <w:rPr>
      <w:rFonts w:ascii="Arial" w:eastAsia="Times New Roman" w:hAnsi="Arial" w:cs="Arial"/>
      <w:vanish/>
      <w:sz w:val="16"/>
      <w:szCs w:val="16"/>
    </w:rPr>
  </w:style>
  <w:style w:type="character" w:styleId="CommentReference">
    <w:name w:val="annotation reference"/>
    <w:basedOn w:val="DefaultParagraphFont"/>
    <w:rsid w:val="009365EC"/>
    <w:rPr>
      <w:sz w:val="16"/>
      <w:szCs w:val="16"/>
    </w:rPr>
  </w:style>
  <w:style w:type="paragraph" w:styleId="CommentText">
    <w:name w:val="annotation text"/>
    <w:basedOn w:val="Normal"/>
    <w:link w:val="CommentTextChar"/>
    <w:rsid w:val="009365EC"/>
    <w:rPr>
      <w:sz w:val="20"/>
      <w:szCs w:val="20"/>
    </w:rPr>
  </w:style>
  <w:style w:type="character" w:customStyle="1" w:styleId="CommentTextChar">
    <w:name w:val="Comment Text Char"/>
    <w:basedOn w:val="DefaultParagraphFont"/>
    <w:link w:val="CommentText"/>
    <w:rsid w:val="009365EC"/>
  </w:style>
  <w:style w:type="paragraph" w:styleId="CommentSubject">
    <w:name w:val="annotation subject"/>
    <w:basedOn w:val="CommentText"/>
    <w:next w:val="CommentText"/>
    <w:link w:val="CommentSubjectChar"/>
    <w:rsid w:val="009365EC"/>
    <w:rPr>
      <w:b/>
      <w:bCs/>
    </w:rPr>
  </w:style>
  <w:style w:type="character" w:customStyle="1" w:styleId="CommentSubjectChar">
    <w:name w:val="Comment Subject Char"/>
    <w:basedOn w:val="CommentTextChar"/>
    <w:link w:val="CommentSubject"/>
    <w:rsid w:val="009365EC"/>
    <w:rPr>
      <w:b/>
      <w:bCs/>
    </w:rPr>
  </w:style>
  <w:style w:type="table" w:customStyle="1" w:styleId="NoteLevel31">
    <w:name w:val="Note Level 31"/>
    <w:basedOn w:val="TableNormal"/>
    <w:uiPriority w:val="60"/>
    <w:rsid w:val="004102C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eNormal"/>
    <w:uiPriority w:val="60"/>
    <w:rsid w:val="004102C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4102C3"/>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4102C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4102C3"/>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4102C3"/>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domedio2-nfasis11">
    <w:name w:val="Sombreado medio 2 - Énfasis 11"/>
    <w:basedOn w:val="TableNormal"/>
    <w:uiPriority w:val="64"/>
    <w:rsid w:val="004102C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PlaceholderText">
    <w:name w:val="Placeholder Text"/>
    <w:basedOn w:val="DefaultParagraphFont"/>
    <w:uiPriority w:val="67"/>
    <w:rsid w:val="00A0126B"/>
    <w:rPr>
      <w:color w:val="808080"/>
    </w:rPr>
  </w:style>
  <w:style w:type="paragraph" w:customStyle="1" w:styleId="Chapter">
    <w:name w:val="Chapter"/>
    <w:basedOn w:val="Normal"/>
    <w:next w:val="Normal"/>
    <w:rsid w:val="00E05BAC"/>
    <w:pPr>
      <w:numPr>
        <w:numId w:val="2"/>
      </w:numPr>
      <w:tabs>
        <w:tab w:val="left" w:pos="1440"/>
      </w:tabs>
      <w:spacing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qFormat/>
    <w:rsid w:val="00E05BAC"/>
    <w:pPr>
      <w:numPr>
        <w:ilvl w:val="1"/>
        <w:numId w:val="2"/>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E05BAC"/>
    <w:pPr>
      <w:numPr>
        <w:ilvl w:val="2"/>
        <w:numId w:val="2"/>
      </w:numPr>
      <w:tabs>
        <w:tab w:val="clear" w:pos="1152"/>
      </w:tabs>
      <w:spacing w:before="120" w:line="240" w:lineRule="auto"/>
      <w:ind w:left="2160" w:hanging="36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E05BAC"/>
    <w:pPr>
      <w:numPr>
        <w:ilvl w:val="3"/>
      </w:numPr>
      <w:tabs>
        <w:tab w:val="clear" w:pos="1584"/>
        <w:tab w:val="left" w:pos="0"/>
      </w:tabs>
      <w:ind w:left="2880" w:hanging="360"/>
    </w:pPr>
  </w:style>
  <w:style w:type="character" w:customStyle="1" w:styleId="ParagraphChar">
    <w:name w:val="Paragraph Char"/>
    <w:link w:val="Paragraph"/>
    <w:rsid w:val="00E05BAC"/>
    <w:rPr>
      <w:rFonts w:ascii="Times New Roman" w:eastAsia="Times New Roman" w:hAnsi="Times New Roman"/>
      <w:sz w:val="24"/>
      <w:lang w:val="es-ES"/>
    </w:rPr>
  </w:style>
  <w:style w:type="paragraph" w:styleId="BodyTextIndent">
    <w:name w:val="Body Text Indent"/>
    <w:basedOn w:val="Normal"/>
    <w:link w:val="BodyTextIndentChar"/>
    <w:uiPriority w:val="99"/>
    <w:semiHidden/>
    <w:unhideWhenUsed/>
    <w:rsid w:val="00E05BAC"/>
    <w:pPr>
      <w:spacing w:after="120"/>
      <w:ind w:left="360"/>
    </w:pPr>
  </w:style>
  <w:style w:type="character" w:customStyle="1" w:styleId="BodyTextIndentChar">
    <w:name w:val="Body Text Indent Char"/>
    <w:basedOn w:val="DefaultParagraphFont"/>
    <w:link w:val="BodyTextIndent"/>
    <w:uiPriority w:val="99"/>
    <w:semiHidden/>
    <w:rsid w:val="00E05BAC"/>
    <w:rPr>
      <w:sz w:val="22"/>
      <w:szCs w:val="22"/>
    </w:rPr>
  </w:style>
  <w:style w:type="paragraph" w:styleId="BodyTextIndent3">
    <w:name w:val="Body Text Indent 3"/>
    <w:basedOn w:val="Normal"/>
    <w:link w:val="BodyTextIndent3Char"/>
    <w:uiPriority w:val="99"/>
    <w:semiHidden/>
    <w:unhideWhenUsed/>
    <w:rsid w:val="00E05B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05BAC"/>
    <w:rPr>
      <w:sz w:val="16"/>
      <w:szCs w:val="16"/>
    </w:rPr>
  </w:style>
  <w:style w:type="paragraph" w:customStyle="1" w:styleId="RegheadTab">
    <w:name w:val="RegheadTab"/>
    <w:basedOn w:val="Normal"/>
    <w:rsid w:val="00E05BAC"/>
    <w:pPr>
      <w:keepNext/>
      <w:tabs>
        <w:tab w:val="left" w:pos="0"/>
        <w:tab w:val="left" w:pos="90"/>
        <w:tab w:val="num" w:pos="504"/>
      </w:tabs>
      <w:spacing w:before="120" w:after="0" w:line="240" w:lineRule="auto"/>
      <w:ind w:left="504" w:hanging="504"/>
      <w:jc w:val="center"/>
    </w:pPr>
    <w:rPr>
      <w:rFonts w:ascii="Times New Roman" w:eastAsia="Times New Roman" w:hAnsi="Times New Roman"/>
      <w:b/>
      <w:sz w:val="24"/>
      <w:szCs w:val="20"/>
      <w:lang w:val="es-ES"/>
    </w:rPr>
  </w:style>
  <w:style w:type="paragraph" w:styleId="BodyText2">
    <w:name w:val="Body Text 2"/>
    <w:basedOn w:val="Normal"/>
    <w:link w:val="BodyText2Char"/>
    <w:uiPriority w:val="99"/>
    <w:semiHidden/>
    <w:unhideWhenUsed/>
    <w:rsid w:val="000918F4"/>
    <w:pPr>
      <w:spacing w:after="120" w:line="480" w:lineRule="auto"/>
    </w:pPr>
  </w:style>
  <w:style w:type="character" w:customStyle="1" w:styleId="BodyText2Char">
    <w:name w:val="Body Text 2 Char"/>
    <w:basedOn w:val="DefaultParagraphFont"/>
    <w:link w:val="BodyText2"/>
    <w:uiPriority w:val="99"/>
    <w:semiHidden/>
    <w:rsid w:val="000918F4"/>
    <w:rPr>
      <w:sz w:val="22"/>
      <w:szCs w:val="22"/>
    </w:rPr>
  </w:style>
  <w:style w:type="paragraph" w:customStyle="1" w:styleId="Seccion">
    <w:name w:val="Seccion"/>
    <w:basedOn w:val="Heading2"/>
    <w:link w:val="SeccionCar"/>
    <w:qFormat/>
    <w:rsid w:val="000918F4"/>
    <w:pPr>
      <w:keepNext w:val="0"/>
      <w:keepLines w:val="0"/>
      <w:spacing w:before="240" w:line="480" w:lineRule="auto"/>
      <w:ind w:firstLine="709"/>
    </w:pPr>
    <w:rPr>
      <w:rFonts w:ascii="Times New Roman" w:eastAsia="Times New Roman" w:hAnsi="Times New Roman" w:cs="Times New Roman"/>
      <w:color w:val="auto"/>
      <w:sz w:val="24"/>
      <w:szCs w:val="24"/>
      <w:lang w:val="es-ES"/>
    </w:rPr>
  </w:style>
  <w:style w:type="character" w:customStyle="1" w:styleId="SeccionCar">
    <w:name w:val="Seccion Car"/>
    <w:link w:val="Seccion"/>
    <w:rsid w:val="000918F4"/>
    <w:rPr>
      <w:rFonts w:ascii="Times New Roman" w:eastAsia="Times New Roman" w:hAnsi="Times New Roman"/>
      <w:b/>
      <w:bCs/>
      <w:sz w:val="24"/>
      <w:szCs w:val="24"/>
      <w:lang w:val="es-ES"/>
    </w:rPr>
  </w:style>
  <w:style w:type="paragraph" w:customStyle="1" w:styleId="Titulo">
    <w:name w:val="Titulo"/>
    <w:basedOn w:val="Normal"/>
    <w:link w:val="TituloCar"/>
    <w:qFormat/>
    <w:rsid w:val="000918F4"/>
    <w:pPr>
      <w:shd w:val="clear" w:color="auto" w:fill="FFFFFF"/>
      <w:autoSpaceDE w:val="0"/>
      <w:autoSpaceDN w:val="0"/>
      <w:spacing w:after="0" w:line="240" w:lineRule="auto"/>
      <w:ind w:firstLine="425"/>
      <w:jc w:val="center"/>
    </w:pPr>
    <w:rPr>
      <w:rFonts w:ascii="Times New Roman" w:eastAsia="Times New Roman" w:hAnsi="Times New Roman"/>
      <w:b/>
      <w:kern w:val="2"/>
      <w:sz w:val="24"/>
      <w:szCs w:val="24"/>
      <w:lang w:val="es-ES" w:eastAsia="ko-KR"/>
    </w:rPr>
  </w:style>
  <w:style w:type="character" w:customStyle="1" w:styleId="TituloCar">
    <w:name w:val="Titulo Car"/>
    <w:link w:val="Titulo"/>
    <w:rsid w:val="000918F4"/>
    <w:rPr>
      <w:rFonts w:ascii="Times New Roman" w:eastAsia="Times New Roman" w:hAnsi="Times New Roman"/>
      <w:b/>
      <w:kern w:val="2"/>
      <w:sz w:val="24"/>
      <w:szCs w:val="24"/>
      <w:shd w:val="clear" w:color="auto" w:fill="FFFFFF"/>
      <w:lang w:val="es-ES" w:eastAsia="ko-KR"/>
    </w:rPr>
  </w:style>
  <w:style w:type="character" w:customStyle="1" w:styleId="Heading2Char">
    <w:name w:val="Heading 2 Char"/>
    <w:basedOn w:val="DefaultParagraphFont"/>
    <w:link w:val="Heading2"/>
    <w:uiPriority w:val="9"/>
    <w:semiHidden/>
    <w:rsid w:val="000918F4"/>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0918F4"/>
    <w:rPr>
      <w:rFonts w:ascii="Times New Roman" w:eastAsia="Times New Roman" w:hAnsi="Times New Roman"/>
      <w:b/>
      <w:bCs/>
      <w:sz w:val="28"/>
      <w:szCs w:val="28"/>
      <w:lang w:val="es-ES"/>
    </w:rPr>
  </w:style>
  <w:style w:type="table" w:customStyle="1" w:styleId="Tablaconcuadrcula1">
    <w:name w:val="Tabla con cuadrícula1"/>
    <w:basedOn w:val="TableNormal"/>
    <w:next w:val="TableGrid"/>
    <w:uiPriority w:val="59"/>
    <w:rsid w:val="000918F4"/>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0163C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163C5"/>
    <w:rPr>
      <w:rFonts w:ascii="Tahoma" w:hAnsi="Tahoma" w:cs="Tahoma"/>
      <w:sz w:val="16"/>
      <w:szCs w:val="16"/>
    </w:rPr>
  </w:style>
  <w:style w:type="table" w:customStyle="1" w:styleId="Sombreadoclaro-nfasis12">
    <w:name w:val="Sombreado claro - Énfasis 12"/>
    <w:basedOn w:val="TableNormal"/>
    <w:uiPriority w:val="60"/>
    <w:rsid w:val="00027BD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medio2-nfasis12">
    <w:name w:val="Sombreado medio 2 - Énfasis 12"/>
    <w:basedOn w:val="TableNormal"/>
    <w:uiPriority w:val="64"/>
    <w:rsid w:val="00027BD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Revision">
    <w:name w:val="Revision"/>
    <w:hidden/>
    <w:uiPriority w:val="71"/>
    <w:rsid w:val="00027BD0"/>
    <w:rPr>
      <w:sz w:val="22"/>
      <w:szCs w:val="22"/>
    </w:rPr>
  </w:style>
  <w:style w:type="paragraph" w:customStyle="1" w:styleId="TitulopostI">
    <w:name w:val="Titulo post I"/>
    <w:basedOn w:val="Normal"/>
    <w:link w:val="TitulopostICar"/>
    <w:qFormat/>
    <w:rsid w:val="0025036F"/>
    <w:pPr>
      <w:spacing w:after="0" w:line="480" w:lineRule="auto"/>
      <w:ind w:left="1134" w:hanging="567"/>
      <w:jc w:val="both"/>
    </w:pPr>
    <w:rPr>
      <w:rFonts w:ascii="Times New Roman" w:hAnsi="Times New Roman"/>
      <w:b/>
      <w:sz w:val="24"/>
      <w:szCs w:val="24"/>
      <w:lang w:val="es-ES"/>
    </w:rPr>
  </w:style>
  <w:style w:type="paragraph" w:customStyle="1" w:styleId="Vieta">
    <w:name w:val="Viñeta"/>
    <w:basedOn w:val="Paragraph"/>
    <w:link w:val="VietaCar"/>
    <w:qFormat/>
    <w:rsid w:val="00FD764A"/>
    <w:pPr>
      <w:numPr>
        <w:numId w:val="3"/>
      </w:numPr>
      <w:spacing w:before="0" w:after="0" w:line="480" w:lineRule="auto"/>
    </w:pPr>
    <w:rPr>
      <w:kern w:val="28"/>
    </w:rPr>
  </w:style>
  <w:style w:type="character" w:customStyle="1" w:styleId="TitulopostICar">
    <w:name w:val="Titulo post I Car"/>
    <w:basedOn w:val="DefaultParagraphFont"/>
    <w:link w:val="TitulopostI"/>
    <w:rsid w:val="0025036F"/>
    <w:rPr>
      <w:rFonts w:ascii="Times New Roman" w:hAnsi="Times New Roman"/>
      <w:b/>
      <w:sz w:val="24"/>
      <w:szCs w:val="24"/>
      <w:lang w:val="es-ES"/>
    </w:rPr>
  </w:style>
  <w:style w:type="paragraph" w:customStyle="1" w:styleId="Estilo1">
    <w:name w:val="Estilo1"/>
    <w:basedOn w:val="Paragraph"/>
    <w:link w:val="Estilo1Car"/>
    <w:qFormat/>
    <w:rsid w:val="00FD764A"/>
    <w:pPr>
      <w:numPr>
        <w:ilvl w:val="0"/>
        <w:numId w:val="0"/>
      </w:numPr>
      <w:spacing w:before="0" w:after="0" w:line="480" w:lineRule="auto"/>
      <w:ind w:left="567" w:hanging="567"/>
    </w:pPr>
    <w:rPr>
      <w:szCs w:val="24"/>
    </w:rPr>
  </w:style>
  <w:style w:type="character" w:customStyle="1" w:styleId="VietaCar">
    <w:name w:val="Viñeta Car"/>
    <w:basedOn w:val="ParagraphChar"/>
    <w:link w:val="Vieta"/>
    <w:rsid w:val="00FD764A"/>
    <w:rPr>
      <w:rFonts w:ascii="Times New Roman" w:eastAsia="Times New Roman" w:hAnsi="Times New Roman"/>
      <w:kern w:val="28"/>
      <w:sz w:val="24"/>
      <w:lang w:val="es-ES"/>
    </w:rPr>
  </w:style>
  <w:style w:type="paragraph" w:customStyle="1" w:styleId="Entabla">
    <w:name w:val="Entabla"/>
    <w:basedOn w:val="Normal"/>
    <w:link w:val="EntablaCar"/>
    <w:qFormat/>
    <w:rsid w:val="00FE2B21"/>
    <w:pPr>
      <w:spacing w:after="0" w:line="240" w:lineRule="auto"/>
    </w:pPr>
    <w:rPr>
      <w:rFonts w:ascii="Times New Roman" w:eastAsia="Times New Roman" w:hAnsi="Times New Roman"/>
      <w:color w:val="000000"/>
      <w:lang w:val="es-ES"/>
    </w:rPr>
  </w:style>
  <w:style w:type="character" w:customStyle="1" w:styleId="Estilo1Car">
    <w:name w:val="Estilo1 Car"/>
    <w:basedOn w:val="ParagraphChar"/>
    <w:link w:val="Estilo1"/>
    <w:rsid w:val="00FD764A"/>
    <w:rPr>
      <w:rFonts w:ascii="Times New Roman" w:eastAsia="Times New Roman" w:hAnsi="Times New Roman"/>
      <w:sz w:val="24"/>
      <w:szCs w:val="24"/>
      <w:lang w:val="es-ES"/>
    </w:rPr>
  </w:style>
  <w:style w:type="paragraph" w:customStyle="1" w:styleId="TituloTabla">
    <w:name w:val="Titulo Tabla"/>
    <w:basedOn w:val="Normal"/>
    <w:link w:val="TituloTablaCar"/>
    <w:qFormat/>
    <w:rsid w:val="00BB26A9"/>
    <w:pPr>
      <w:spacing w:after="0" w:line="240" w:lineRule="auto"/>
      <w:ind w:left="34"/>
    </w:pPr>
    <w:rPr>
      <w:rFonts w:ascii="Times New Roman" w:eastAsia="Times New Roman" w:hAnsi="Times New Roman"/>
      <w:b/>
      <w:bCs/>
      <w:color w:val="000000"/>
      <w:lang w:val="es-ES"/>
    </w:rPr>
  </w:style>
  <w:style w:type="character" w:customStyle="1" w:styleId="EntablaCar">
    <w:name w:val="Entabla Car"/>
    <w:basedOn w:val="DefaultParagraphFont"/>
    <w:link w:val="Entabla"/>
    <w:rsid w:val="00FE2B21"/>
    <w:rPr>
      <w:rFonts w:ascii="Times New Roman" w:eastAsia="Times New Roman" w:hAnsi="Times New Roman"/>
      <w:color w:val="000000"/>
      <w:sz w:val="22"/>
      <w:szCs w:val="22"/>
      <w:lang w:val="es-ES"/>
    </w:rPr>
  </w:style>
  <w:style w:type="paragraph" w:customStyle="1" w:styleId="Anexo">
    <w:name w:val="Anexo"/>
    <w:basedOn w:val="Paragraph"/>
    <w:link w:val="AnexoCar"/>
    <w:qFormat/>
    <w:rsid w:val="00F407E2"/>
    <w:pPr>
      <w:numPr>
        <w:ilvl w:val="0"/>
        <w:numId w:val="0"/>
      </w:numPr>
      <w:spacing w:before="0" w:after="0" w:line="480" w:lineRule="auto"/>
      <w:ind w:firstLine="709"/>
    </w:pPr>
    <w:rPr>
      <w:szCs w:val="24"/>
    </w:rPr>
  </w:style>
  <w:style w:type="character" w:customStyle="1" w:styleId="TituloTablaCar">
    <w:name w:val="Titulo Tabla Car"/>
    <w:basedOn w:val="DefaultParagraphFont"/>
    <w:link w:val="TituloTabla"/>
    <w:rsid w:val="00BB26A9"/>
    <w:rPr>
      <w:rFonts w:ascii="Times New Roman" w:eastAsia="Times New Roman" w:hAnsi="Times New Roman"/>
      <w:b/>
      <w:bCs/>
      <w:color w:val="000000"/>
      <w:sz w:val="22"/>
      <w:szCs w:val="22"/>
      <w:lang w:val="es-ES"/>
    </w:rPr>
  </w:style>
  <w:style w:type="paragraph" w:customStyle="1" w:styleId="Vietasanexo">
    <w:name w:val="Viñetas anexo"/>
    <w:basedOn w:val="Normal"/>
    <w:link w:val="VietasanexoCar"/>
    <w:qFormat/>
    <w:rsid w:val="00F407E2"/>
    <w:pPr>
      <w:numPr>
        <w:ilvl w:val="1"/>
        <w:numId w:val="6"/>
      </w:numPr>
      <w:autoSpaceDE w:val="0"/>
      <w:autoSpaceDN w:val="0"/>
      <w:spacing w:after="0" w:line="480" w:lineRule="auto"/>
      <w:ind w:left="1134" w:hanging="426"/>
      <w:jc w:val="both"/>
    </w:pPr>
    <w:rPr>
      <w:rFonts w:ascii="Times New Roman" w:hAnsi="Times New Roman"/>
      <w:sz w:val="24"/>
      <w:szCs w:val="24"/>
      <w:lang w:val="es-AR"/>
    </w:rPr>
  </w:style>
  <w:style w:type="character" w:customStyle="1" w:styleId="AnexoCar">
    <w:name w:val="Anexo Car"/>
    <w:basedOn w:val="ParagraphChar"/>
    <w:link w:val="Anexo"/>
    <w:rsid w:val="00F407E2"/>
    <w:rPr>
      <w:rFonts w:ascii="Times New Roman" w:eastAsia="Times New Roman" w:hAnsi="Times New Roman"/>
      <w:sz w:val="24"/>
      <w:szCs w:val="24"/>
      <w:lang w:val="es-ES"/>
    </w:rPr>
  </w:style>
  <w:style w:type="paragraph" w:customStyle="1" w:styleId="TItuloAnexo">
    <w:name w:val="TItulo Anexo"/>
    <w:basedOn w:val="Seccion"/>
    <w:link w:val="TItuloAnexoCar"/>
    <w:qFormat/>
    <w:rsid w:val="00B84211"/>
    <w:pPr>
      <w:numPr>
        <w:numId w:val="7"/>
      </w:numPr>
    </w:pPr>
  </w:style>
  <w:style w:type="character" w:customStyle="1" w:styleId="VietasanexoCar">
    <w:name w:val="Viñetas anexo Car"/>
    <w:basedOn w:val="DefaultParagraphFont"/>
    <w:link w:val="Vietasanexo"/>
    <w:rsid w:val="00F407E2"/>
    <w:rPr>
      <w:rFonts w:ascii="Times New Roman" w:hAnsi="Times New Roman"/>
      <w:sz w:val="24"/>
      <w:szCs w:val="24"/>
      <w:lang w:val="es-AR"/>
    </w:rPr>
  </w:style>
  <w:style w:type="character" w:customStyle="1" w:styleId="TItuloAnexoCar">
    <w:name w:val="TItulo Anexo Car"/>
    <w:basedOn w:val="SeccionCar"/>
    <w:link w:val="TItuloAnexo"/>
    <w:rsid w:val="00B84211"/>
    <w:rPr>
      <w:rFonts w:ascii="Times New Roman" w:eastAsia="Times New Roman" w:hAnsi="Times New Roman"/>
      <w:b/>
      <w:bCs/>
      <w:sz w:val="24"/>
      <w:szCs w:val="24"/>
      <w:lang w:val="es-ES"/>
    </w:rPr>
  </w:style>
  <w:style w:type="paragraph" w:customStyle="1" w:styleId="Titulobisanexo">
    <w:name w:val="Titulo bis anexo"/>
    <w:basedOn w:val="TItuloAnexo"/>
    <w:link w:val="TitulobisanexoCar"/>
    <w:qFormat/>
    <w:rsid w:val="00F8691D"/>
    <w:pPr>
      <w:numPr>
        <w:numId w:val="0"/>
      </w:numPr>
      <w:spacing w:before="0"/>
      <w:ind w:left="709"/>
    </w:pPr>
  </w:style>
  <w:style w:type="character" w:customStyle="1" w:styleId="TitulobisanexoCar">
    <w:name w:val="Titulo bis anexo Car"/>
    <w:basedOn w:val="TItuloAnexoCar"/>
    <w:link w:val="Titulobisanexo"/>
    <w:rsid w:val="00F8691D"/>
    <w:rPr>
      <w:rFonts w:ascii="Times New Roman" w:eastAsia="Times New Roman" w:hAnsi="Times New Roman"/>
      <w:b/>
      <w:bCs/>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674786">
      <w:bodyDiv w:val="1"/>
      <w:marLeft w:val="0"/>
      <w:marRight w:val="0"/>
      <w:marTop w:val="0"/>
      <w:marBottom w:val="0"/>
      <w:divBdr>
        <w:top w:val="none" w:sz="0" w:space="0" w:color="auto"/>
        <w:left w:val="none" w:sz="0" w:space="0" w:color="auto"/>
        <w:bottom w:val="none" w:sz="0" w:space="0" w:color="auto"/>
        <w:right w:val="none" w:sz="0" w:space="0" w:color="auto"/>
      </w:divBdr>
    </w:div>
    <w:div w:id="577057355">
      <w:bodyDiv w:val="1"/>
      <w:marLeft w:val="0"/>
      <w:marRight w:val="0"/>
      <w:marTop w:val="0"/>
      <w:marBottom w:val="0"/>
      <w:divBdr>
        <w:top w:val="none" w:sz="0" w:space="0" w:color="auto"/>
        <w:left w:val="none" w:sz="0" w:space="0" w:color="auto"/>
        <w:bottom w:val="none" w:sz="0" w:space="0" w:color="auto"/>
        <w:right w:val="none" w:sz="0" w:space="0" w:color="auto"/>
      </w:divBdr>
    </w:div>
    <w:div w:id="678308865">
      <w:bodyDiv w:val="1"/>
      <w:marLeft w:val="0"/>
      <w:marRight w:val="0"/>
      <w:marTop w:val="0"/>
      <w:marBottom w:val="0"/>
      <w:divBdr>
        <w:top w:val="none" w:sz="0" w:space="0" w:color="auto"/>
        <w:left w:val="none" w:sz="0" w:space="0" w:color="auto"/>
        <w:bottom w:val="none" w:sz="0" w:space="0" w:color="auto"/>
        <w:right w:val="none" w:sz="0" w:space="0" w:color="auto"/>
      </w:divBdr>
    </w:div>
    <w:div w:id="702219344">
      <w:bodyDiv w:val="1"/>
      <w:marLeft w:val="0"/>
      <w:marRight w:val="0"/>
      <w:marTop w:val="0"/>
      <w:marBottom w:val="0"/>
      <w:divBdr>
        <w:top w:val="none" w:sz="0" w:space="0" w:color="auto"/>
        <w:left w:val="none" w:sz="0" w:space="0" w:color="auto"/>
        <w:bottom w:val="none" w:sz="0" w:space="0" w:color="auto"/>
        <w:right w:val="none" w:sz="0" w:space="0" w:color="auto"/>
      </w:divBdr>
    </w:div>
    <w:div w:id="829252475">
      <w:bodyDiv w:val="1"/>
      <w:marLeft w:val="0"/>
      <w:marRight w:val="0"/>
      <w:marTop w:val="0"/>
      <w:marBottom w:val="0"/>
      <w:divBdr>
        <w:top w:val="none" w:sz="0" w:space="0" w:color="auto"/>
        <w:left w:val="none" w:sz="0" w:space="0" w:color="auto"/>
        <w:bottom w:val="none" w:sz="0" w:space="0" w:color="auto"/>
        <w:right w:val="none" w:sz="0" w:space="0" w:color="auto"/>
      </w:divBdr>
    </w:div>
    <w:div w:id="902064866">
      <w:bodyDiv w:val="1"/>
      <w:marLeft w:val="0"/>
      <w:marRight w:val="0"/>
      <w:marTop w:val="0"/>
      <w:marBottom w:val="0"/>
      <w:divBdr>
        <w:top w:val="none" w:sz="0" w:space="0" w:color="auto"/>
        <w:left w:val="none" w:sz="0" w:space="0" w:color="auto"/>
        <w:bottom w:val="none" w:sz="0" w:space="0" w:color="auto"/>
        <w:right w:val="none" w:sz="0" w:space="0" w:color="auto"/>
      </w:divBdr>
    </w:div>
    <w:div w:id="1079789357">
      <w:bodyDiv w:val="1"/>
      <w:marLeft w:val="0"/>
      <w:marRight w:val="0"/>
      <w:marTop w:val="0"/>
      <w:marBottom w:val="0"/>
      <w:divBdr>
        <w:top w:val="none" w:sz="0" w:space="0" w:color="auto"/>
        <w:left w:val="none" w:sz="0" w:space="0" w:color="auto"/>
        <w:bottom w:val="none" w:sz="0" w:space="0" w:color="auto"/>
        <w:right w:val="none" w:sz="0" w:space="0" w:color="auto"/>
      </w:divBdr>
    </w:div>
    <w:div w:id="1197617549">
      <w:bodyDiv w:val="1"/>
      <w:marLeft w:val="0"/>
      <w:marRight w:val="0"/>
      <w:marTop w:val="0"/>
      <w:marBottom w:val="0"/>
      <w:divBdr>
        <w:top w:val="none" w:sz="0" w:space="0" w:color="auto"/>
        <w:left w:val="none" w:sz="0" w:space="0" w:color="auto"/>
        <w:bottom w:val="none" w:sz="0" w:space="0" w:color="auto"/>
        <w:right w:val="none" w:sz="0" w:space="0" w:color="auto"/>
      </w:divBdr>
    </w:div>
    <w:div w:id="1253122557">
      <w:bodyDiv w:val="1"/>
      <w:marLeft w:val="0"/>
      <w:marRight w:val="0"/>
      <w:marTop w:val="0"/>
      <w:marBottom w:val="0"/>
      <w:divBdr>
        <w:top w:val="none" w:sz="0" w:space="0" w:color="auto"/>
        <w:left w:val="none" w:sz="0" w:space="0" w:color="auto"/>
        <w:bottom w:val="none" w:sz="0" w:space="0" w:color="auto"/>
        <w:right w:val="none" w:sz="0" w:space="0" w:color="auto"/>
      </w:divBdr>
    </w:div>
    <w:div w:id="1297025908">
      <w:bodyDiv w:val="1"/>
      <w:marLeft w:val="0"/>
      <w:marRight w:val="0"/>
      <w:marTop w:val="0"/>
      <w:marBottom w:val="0"/>
      <w:divBdr>
        <w:top w:val="none" w:sz="0" w:space="0" w:color="auto"/>
        <w:left w:val="none" w:sz="0" w:space="0" w:color="auto"/>
        <w:bottom w:val="none" w:sz="0" w:space="0" w:color="auto"/>
        <w:right w:val="none" w:sz="0" w:space="0" w:color="auto"/>
      </w:divBdr>
    </w:div>
    <w:div w:id="1319724160">
      <w:bodyDiv w:val="1"/>
      <w:marLeft w:val="0"/>
      <w:marRight w:val="0"/>
      <w:marTop w:val="0"/>
      <w:marBottom w:val="0"/>
      <w:divBdr>
        <w:top w:val="none" w:sz="0" w:space="0" w:color="auto"/>
        <w:left w:val="none" w:sz="0" w:space="0" w:color="auto"/>
        <w:bottom w:val="none" w:sz="0" w:space="0" w:color="auto"/>
        <w:right w:val="none" w:sz="0" w:space="0" w:color="auto"/>
      </w:divBdr>
    </w:div>
    <w:div w:id="1328552620">
      <w:bodyDiv w:val="1"/>
      <w:marLeft w:val="0"/>
      <w:marRight w:val="0"/>
      <w:marTop w:val="0"/>
      <w:marBottom w:val="0"/>
      <w:divBdr>
        <w:top w:val="none" w:sz="0" w:space="0" w:color="auto"/>
        <w:left w:val="none" w:sz="0" w:space="0" w:color="auto"/>
        <w:bottom w:val="none" w:sz="0" w:space="0" w:color="auto"/>
        <w:right w:val="none" w:sz="0" w:space="0" w:color="auto"/>
      </w:divBdr>
    </w:div>
    <w:div w:id="1514151860">
      <w:bodyDiv w:val="1"/>
      <w:marLeft w:val="0"/>
      <w:marRight w:val="0"/>
      <w:marTop w:val="0"/>
      <w:marBottom w:val="0"/>
      <w:divBdr>
        <w:top w:val="none" w:sz="0" w:space="0" w:color="auto"/>
        <w:left w:val="none" w:sz="0" w:space="0" w:color="auto"/>
        <w:bottom w:val="none" w:sz="0" w:space="0" w:color="auto"/>
        <w:right w:val="none" w:sz="0" w:space="0" w:color="auto"/>
      </w:divBdr>
    </w:div>
    <w:div w:id="1527985811">
      <w:bodyDiv w:val="1"/>
      <w:marLeft w:val="0"/>
      <w:marRight w:val="0"/>
      <w:marTop w:val="0"/>
      <w:marBottom w:val="0"/>
      <w:divBdr>
        <w:top w:val="none" w:sz="0" w:space="0" w:color="auto"/>
        <w:left w:val="none" w:sz="0" w:space="0" w:color="auto"/>
        <w:bottom w:val="none" w:sz="0" w:space="0" w:color="auto"/>
        <w:right w:val="none" w:sz="0" w:space="0" w:color="auto"/>
      </w:divBdr>
    </w:div>
    <w:div w:id="1571379950">
      <w:bodyDiv w:val="1"/>
      <w:marLeft w:val="0"/>
      <w:marRight w:val="0"/>
      <w:marTop w:val="0"/>
      <w:marBottom w:val="0"/>
      <w:divBdr>
        <w:top w:val="none" w:sz="0" w:space="0" w:color="auto"/>
        <w:left w:val="none" w:sz="0" w:space="0" w:color="auto"/>
        <w:bottom w:val="none" w:sz="0" w:space="0" w:color="auto"/>
        <w:right w:val="none" w:sz="0" w:space="0" w:color="auto"/>
      </w:divBdr>
    </w:div>
    <w:div w:id="1577588185">
      <w:bodyDiv w:val="1"/>
      <w:marLeft w:val="0"/>
      <w:marRight w:val="0"/>
      <w:marTop w:val="0"/>
      <w:marBottom w:val="0"/>
      <w:divBdr>
        <w:top w:val="none" w:sz="0" w:space="0" w:color="auto"/>
        <w:left w:val="none" w:sz="0" w:space="0" w:color="auto"/>
        <w:bottom w:val="none" w:sz="0" w:space="0" w:color="auto"/>
        <w:right w:val="none" w:sz="0" w:space="0" w:color="auto"/>
      </w:divBdr>
    </w:div>
    <w:div w:id="1606619980">
      <w:bodyDiv w:val="1"/>
      <w:marLeft w:val="0"/>
      <w:marRight w:val="0"/>
      <w:marTop w:val="0"/>
      <w:marBottom w:val="0"/>
      <w:divBdr>
        <w:top w:val="none" w:sz="0" w:space="0" w:color="auto"/>
        <w:left w:val="none" w:sz="0" w:space="0" w:color="auto"/>
        <w:bottom w:val="none" w:sz="0" w:space="0" w:color="auto"/>
        <w:right w:val="none" w:sz="0" w:space="0" w:color="auto"/>
      </w:divBdr>
    </w:div>
    <w:div w:id="1712338276">
      <w:bodyDiv w:val="1"/>
      <w:marLeft w:val="0"/>
      <w:marRight w:val="0"/>
      <w:marTop w:val="0"/>
      <w:marBottom w:val="0"/>
      <w:divBdr>
        <w:top w:val="none" w:sz="0" w:space="0" w:color="auto"/>
        <w:left w:val="none" w:sz="0" w:space="0" w:color="auto"/>
        <w:bottom w:val="none" w:sz="0" w:space="0" w:color="auto"/>
        <w:right w:val="none" w:sz="0" w:space="0" w:color="auto"/>
      </w:divBdr>
    </w:div>
    <w:div w:id="1831019221">
      <w:bodyDiv w:val="1"/>
      <w:marLeft w:val="0"/>
      <w:marRight w:val="0"/>
      <w:marTop w:val="0"/>
      <w:marBottom w:val="0"/>
      <w:divBdr>
        <w:top w:val="none" w:sz="0" w:space="0" w:color="auto"/>
        <w:left w:val="none" w:sz="0" w:space="0" w:color="auto"/>
        <w:bottom w:val="none" w:sz="0" w:space="0" w:color="auto"/>
        <w:right w:val="none" w:sz="0" w:space="0" w:color="auto"/>
      </w:divBdr>
    </w:div>
    <w:div w:id="1860006825">
      <w:bodyDiv w:val="1"/>
      <w:marLeft w:val="0"/>
      <w:marRight w:val="0"/>
      <w:marTop w:val="0"/>
      <w:marBottom w:val="0"/>
      <w:divBdr>
        <w:top w:val="none" w:sz="0" w:space="0" w:color="auto"/>
        <w:left w:val="none" w:sz="0" w:space="0" w:color="auto"/>
        <w:bottom w:val="none" w:sz="0" w:space="0" w:color="auto"/>
        <w:right w:val="none" w:sz="0" w:space="0" w:color="auto"/>
      </w:divBdr>
    </w:div>
    <w:div w:id="1983347870">
      <w:bodyDiv w:val="1"/>
      <w:marLeft w:val="0"/>
      <w:marRight w:val="0"/>
      <w:marTop w:val="0"/>
      <w:marBottom w:val="0"/>
      <w:divBdr>
        <w:top w:val="none" w:sz="0" w:space="0" w:color="auto"/>
        <w:left w:val="none" w:sz="0" w:space="0" w:color="auto"/>
        <w:bottom w:val="none" w:sz="0" w:space="0" w:color="auto"/>
        <w:right w:val="none" w:sz="0" w:space="0" w:color="auto"/>
      </w:divBdr>
    </w:div>
    <w:div w:id="1999261257">
      <w:bodyDiv w:val="1"/>
      <w:marLeft w:val="0"/>
      <w:marRight w:val="0"/>
      <w:marTop w:val="0"/>
      <w:marBottom w:val="0"/>
      <w:divBdr>
        <w:top w:val="none" w:sz="0" w:space="0" w:color="auto"/>
        <w:left w:val="none" w:sz="0" w:space="0" w:color="auto"/>
        <w:bottom w:val="none" w:sz="0" w:space="0" w:color="auto"/>
        <w:right w:val="none" w:sz="0" w:space="0" w:color="auto"/>
      </w:divBdr>
    </w:div>
    <w:div w:id="20918510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18" Type="http://schemas.openxmlformats.org/officeDocument/2006/relationships/customXml" Target="../customXml/item7.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cf0be0ad-272c-4e7f-a157-3f0abda6cde5" ContentTypeId="0x01010046CF21643EE8D14686A648AA6DAD0892" PreviousValue="tru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D15263BFD7C584E82AFBB49A85B0C24" ma:contentTypeVersion="0" ma:contentTypeDescription="A content type to manage public (operations) IDB documents" ma:contentTypeScope="" ma:versionID="c72dd1783437035cf46423972e64d59c">
  <xsd:schema xmlns:xsd="http://www.w3.org/2001/XMLSchema" xmlns:xs="http://www.w3.org/2001/XMLSchema" xmlns:p="http://schemas.microsoft.com/office/2006/metadata/properties" xmlns:ns2="9c571b2f-e523-4ab2-ba2e-09e151a03ef4" targetNamespace="http://schemas.microsoft.com/office/2006/metadata/properties" ma:root="true" ma:fieldsID="00f02d04dbffc8223ab87bb0dcc9c1e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af76994-b145-4aa5-bae9-5834c8e755c3}" ma:internalName="TaxCatchAll" ma:showField="CatchAllData"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af76994-b145-4aa5-bae9-5834c8e755c3}" ma:internalName="TaxCatchAllLabel" ma:readOnly="true" ma:showField="CatchAllDataLabel"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38907997</IDBDocs_x0020_Number>
    <Document_x0020_Author xmlns="9c571b2f-e523-4ab2-ba2e-09e151a03ef4">Srur, Jorge Eduardo</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PR-L1077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Directors&lt;/APPROVAL_DESC&gt;&lt;PD_OBJ_TYPE&gt;0&lt;/PD_OBJ_TYPE&gt;&lt;DTAPPROVAL&gt;Nov 26 2014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DS-SEC</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DC5FD808-900E-4466-A4FC-B9EAD1903304}"/>
</file>

<file path=customXml/itemProps2.xml><?xml version="1.0" encoding="utf-8"?>
<ds:datastoreItem xmlns:ds="http://schemas.openxmlformats.org/officeDocument/2006/customXml" ds:itemID="{75904748-1E9F-4184-82BE-11CDE2B0EB21}"/>
</file>

<file path=customXml/itemProps3.xml><?xml version="1.0" encoding="utf-8"?>
<ds:datastoreItem xmlns:ds="http://schemas.openxmlformats.org/officeDocument/2006/customXml" ds:itemID="{EA7CB34C-7361-4274-B195-F5F0674B07DC}"/>
</file>

<file path=customXml/itemProps4.xml><?xml version="1.0" encoding="utf-8"?>
<ds:datastoreItem xmlns:ds="http://schemas.openxmlformats.org/officeDocument/2006/customXml" ds:itemID="{7AC94305-3F2C-4835-B030-B03595630917}"/>
</file>

<file path=customXml/itemProps5.xml><?xml version="1.0" encoding="utf-8"?>
<ds:datastoreItem xmlns:ds="http://schemas.openxmlformats.org/officeDocument/2006/customXml" ds:itemID="{A3AFFE57-84A4-4726-89CE-5F1996A60CED}"/>
</file>

<file path=customXml/itemProps6.xml><?xml version="1.0" encoding="utf-8"?>
<ds:datastoreItem xmlns:ds="http://schemas.openxmlformats.org/officeDocument/2006/customXml" ds:itemID="{7D73E1A2-7C60-4CE6-8F10-609F7402C4BC}"/>
</file>

<file path=customXml/itemProps7.xml><?xml version="1.0" encoding="utf-8"?>
<ds:datastoreItem xmlns:ds="http://schemas.openxmlformats.org/officeDocument/2006/customXml" ds:itemID="{F03B5464-6647-4EA0-BB0B-65E61204D05A}"/>
</file>

<file path=docProps/app.xml><?xml version="1.0" encoding="utf-8"?>
<Properties xmlns="http://schemas.openxmlformats.org/officeDocument/2006/extended-properties" xmlns:vt="http://schemas.openxmlformats.org/officeDocument/2006/docPropsVTypes">
  <Template>Normal.dotm</Template>
  <TotalTime>4</TotalTime>
  <Pages>13</Pages>
  <Words>4502</Words>
  <Characters>25667</Characters>
  <Application>Microsoft Office Word</Application>
  <DocSecurity>0</DocSecurity>
  <Lines>213</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30109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 ELO 1a - Análisis Económico - PR-L1077</dc:title>
  <dc:creator>Gibbons</dc:creator>
  <cp:lastModifiedBy>Test</cp:lastModifiedBy>
  <cp:revision>3</cp:revision>
  <cp:lastPrinted>2012-04-19T20:57:00Z</cp:lastPrinted>
  <dcterms:created xsi:type="dcterms:W3CDTF">2014-09-30T00:51:00Z</dcterms:created>
  <dcterms:modified xsi:type="dcterms:W3CDTF">2014-09-30T02:36:00Z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0x01010046CF21643EE8D14686A648AA6DAD0892005D15263BFD7C584E82AFBB49A85B0C24</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