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A0827" w14:textId="77777777" w:rsidR="001B5186" w:rsidRPr="00D82AFB" w:rsidRDefault="001B5186" w:rsidP="001B5186">
      <w:pPr>
        <w:pStyle w:val="Title"/>
        <w:tabs>
          <w:tab w:val="clear" w:pos="1440"/>
          <w:tab w:val="clear" w:pos="3060"/>
        </w:tabs>
        <w:spacing w:line="360" w:lineRule="auto"/>
        <w:outlineLvl w:val="9"/>
        <w:rPr>
          <w:smallCaps/>
          <w:sz w:val="22"/>
          <w:szCs w:val="22"/>
        </w:rPr>
      </w:pPr>
      <w:r w:rsidRPr="00D82AFB">
        <w:rPr>
          <w:smallCaps/>
          <w:sz w:val="22"/>
          <w:szCs w:val="22"/>
        </w:rPr>
        <w:t>Document of the Inter-American Development Bank</w:t>
      </w:r>
    </w:p>
    <w:p w14:paraId="4E47796A"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2709A8A8" w14:textId="77777777" w:rsidR="001B5186" w:rsidRPr="00D82AFB" w:rsidRDefault="001B5186" w:rsidP="001B5186">
      <w:pPr>
        <w:tabs>
          <w:tab w:val="left" w:pos="1440"/>
          <w:tab w:val="left" w:pos="3060"/>
        </w:tabs>
        <w:spacing w:after="0" w:line="360" w:lineRule="auto"/>
        <w:jc w:val="center"/>
        <w:rPr>
          <w:rFonts w:ascii="Times New Roman" w:hAnsi="Times New Roman"/>
          <w:b/>
          <w:smallCaps/>
        </w:rPr>
      </w:pPr>
    </w:p>
    <w:p w14:paraId="38980402" w14:textId="77777777" w:rsidR="001B5186" w:rsidRDefault="001B5186" w:rsidP="001B5186">
      <w:pPr>
        <w:tabs>
          <w:tab w:val="left" w:pos="1440"/>
          <w:tab w:val="left" w:pos="3060"/>
        </w:tabs>
        <w:spacing w:after="0" w:line="360" w:lineRule="auto"/>
        <w:jc w:val="center"/>
        <w:rPr>
          <w:rFonts w:ascii="Times New Roman" w:hAnsi="Times New Roman"/>
          <w:b/>
          <w:smallCaps/>
        </w:rPr>
      </w:pPr>
    </w:p>
    <w:p w14:paraId="7A10C802" w14:textId="77777777" w:rsidR="00192B65" w:rsidRDefault="00192B65" w:rsidP="001B5186">
      <w:pPr>
        <w:tabs>
          <w:tab w:val="left" w:pos="1440"/>
          <w:tab w:val="left" w:pos="3060"/>
        </w:tabs>
        <w:spacing w:after="0" w:line="360" w:lineRule="auto"/>
        <w:jc w:val="center"/>
        <w:rPr>
          <w:rFonts w:ascii="Times New Roman" w:hAnsi="Times New Roman"/>
          <w:b/>
          <w:smallCaps/>
        </w:rPr>
      </w:pPr>
    </w:p>
    <w:p w14:paraId="70D5F1C7" w14:textId="77777777" w:rsidR="00192B65" w:rsidRDefault="00192B65" w:rsidP="001B5186">
      <w:pPr>
        <w:tabs>
          <w:tab w:val="left" w:pos="1440"/>
          <w:tab w:val="left" w:pos="3060"/>
        </w:tabs>
        <w:spacing w:after="0" w:line="360" w:lineRule="auto"/>
        <w:jc w:val="center"/>
        <w:rPr>
          <w:rFonts w:ascii="Times New Roman" w:hAnsi="Times New Roman"/>
          <w:b/>
          <w:smallCaps/>
        </w:rPr>
      </w:pPr>
    </w:p>
    <w:p w14:paraId="5AA965A3" w14:textId="77777777" w:rsidR="00192B65" w:rsidRPr="00D82AFB" w:rsidRDefault="00192B65" w:rsidP="001B5186">
      <w:pPr>
        <w:tabs>
          <w:tab w:val="left" w:pos="1440"/>
          <w:tab w:val="left" w:pos="3060"/>
        </w:tabs>
        <w:spacing w:after="0" w:line="360" w:lineRule="auto"/>
        <w:jc w:val="center"/>
        <w:rPr>
          <w:rFonts w:ascii="Times New Roman" w:hAnsi="Times New Roman"/>
          <w:b/>
          <w:smallCaps/>
        </w:rPr>
      </w:pPr>
    </w:p>
    <w:p w14:paraId="3ADE8570" w14:textId="5AE31A46" w:rsidR="001B5186" w:rsidRPr="00462E6E" w:rsidRDefault="00D641A0" w:rsidP="001B5186">
      <w:pPr>
        <w:tabs>
          <w:tab w:val="left" w:pos="1440"/>
          <w:tab w:val="left" w:pos="3060"/>
        </w:tabs>
        <w:spacing w:after="0" w:line="360" w:lineRule="auto"/>
        <w:jc w:val="center"/>
        <w:rPr>
          <w:rFonts w:ascii="Times New Roman" w:hAnsi="Times New Roman"/>
          <w:b/>
          <w:smallCaps/>
        </w:rPr>
      </w:pPr>
      <w:r>
        <w:rPr>
          <w:rFonts w:ascii="Times New Roman" w:hAnsi="Times New Roman"/>
          <w:b/>
          <w:smallCaps/>
        </w:rPr>
        <w:t>SURINAME</w:t>
      </w:r>
    </w:p>
    <w:p w14:paraId="05B1E2D2" w14:textId="77777777" w:rsidR="001B5186" w:rsidRPr="00462E6E" w:rsidRDefault="001B5186" w:rsidP="001B5186">
      <w:pPr>
        <w:tabs>
          <w:tab w:val="left" w:pos="1440"/>
          <w:tab w:val="left" w:pos="3060"/>
        </w:tabs>
        <w:spacing w:after="0" w:line="360" w:lineRule="auto"/>
        <w:jc w:val="center"/>
        <w:rPr>
          <w:rFonts w:ascii="Times New Roman" w:hAnsi="Times New Roman"/>
          <w:b/>
          <w:smallCaps/>
        </w:rPr>
      </w:pPr>
    </w:p>
    <w:p w14:paraId="1457508F" w14:textId="77777777" w:rsidR="001B5186" w:rsidRPr="00462E6E" w:rsidRDefault="001B5186" w:rsidP="001B5186">
      <w:pPr>
        <w:tabs>
          <w:tab w:val="left" w:pos="1440"/>
          <w:tab w:val="left" w:pos="3060"/>
        </w:tabs>
        <w:spacing w:after="0" w:line="360" w:lineRule="auto"/>
        <w:jc w:val="center"/>
        <w:rPr>
          <w:rFonts w:ascii="Times New Roman" w:hAnsi="Times New Roman"/>
          <w:b/>
          <w:smallCaps/>
        </w:rPr>
      </w:pPr>
    </w:p>
    <w:p w14:paraId="5D57B256" w14:textId="1F141218" w:rsidR="00DE37A6" w:rsidRPr="00DE37A6" w:rsidRDefault="00056C7C" w:rsidP="00DE37A6">
      <w:pPr>
        <w:tabs>
          <w:tab w:val="left" w:pos="1440"/>
          <w:tab w:val="left" w:pos="3060"/>
        </w:tabs>
        <w:spacing w:after="0" w:line="360" w:lineRule="auto"/>
        <w:jc w:val="center"/>
        <w:rPr>
          <w:rFonts w:ascii="Times New Roman" w:hAnsi="Times New Roman"/>
          <w:b/>
          <w:smallCaps/>
        </w:rPr>
      </w:pPr>
      <w:bookmarkStart w:id="0" w:name="_Hlk515532971"/>
      <w:r w:rsidRPr="00056C7C">
        <w:rPr>
          <w:rFonts w:ascii="Times New Roman" w:hAnsi="Times New Roman"/>
          <w:b/>
          <w:smallCaps/>
        </w:rPr>
        <w:t>Improving Transport Logistics and Competitiveness in Suriname</w:t>
      </w:r>
    </w:p>
    <w:bookmarkEnd w:id="0"/>
    <w:p w14:paraId="25B39806" w14:textId="087BAD49" w:rsidR="001B5186" w:rsidRPr="00D82AFB" w:rsidRDefault="00DE37A6" w:rsidP="00DE37A6">
      <w:pPr>
        <w:tabs>
          <w:tab w:val="left" w:pos="1440"/>
          <w:tab w:val="left" w:pos="3060"/>
        </w:tabs>
        <w:spacing w:after="0" w:line="360" w:lineRule="auto"/>
        <w:jc w:val="center"/>
        <w:rPr>
          <w:rFonts w:ascii="Times New Roman" w:hAnsi="Times New Roman"/>
          <w:b/>
          <w:smallCaps/>
        </w:rPr>
      </w:pPr>
      <w:r w:rsidRPr="00462E6E">
        <w:rPr>
          <w:rFonts w:ascii="Times New Roman" w:hAnsi="Times New Roman"/>
          <w:b/>
          <w:smallCaps/>
        </w:rPr>
        <w:t xml:space="preserve"> </w:t>
      </w:r>
      <w:r w:rsidR="001B5186" w:rsidRPr="00462E6E">
        <w:rPr>
          <w:rFonts w:ascii="Times New Roman" w:hAnsi="Times New Roman"/>
          <w:b/>
          <w:smallCaps/>
        </w:rPr>
        <w:t>(</w:t>
      </w:r>
      <w:r w:rsidR="00D641A0">
        <w:rPr>
          <w:rFonts w:ascii="Times New Roman" w:hAnsi="Times New Roman"/>
          <w:b/>
          <w:smallCaps/>
        </w:rPr>
        <w:t>SU</w:t>
      </w:r>
      <w:r w:rsidR="00032931" w:rsidRPr="00462E6E">
        <w:rPr>
          <w:rFonts w:ascii="Times New Roman" w:hAnsi="Times New Roman"/>
          <w:b/>
          <w:smallCaps/>
        </w:rPr>
        <w:t>-</w:t>
      </w:r>
      <w:r w:rsidR="008943D7" w:rsidRPr="00462E6E">
        <w:rPr>
          <w:rFonts w:ascii="Times New Roman" w:hAnsi="Times New Roman"/>
          <w:b/>
          <w:smallCaps/>
        </w:rPr>
        <w:t>L</w:t>
      </w:r>
      <w:r w:rsidR="007C38CE" w:rsidRPr="00462E6E">
        <w:rPr>
          <w:rFonts w:ascii="Times New Roman" w:hAnsi="Times New Roman"/>
          <w:b/>
          <w:smallCaps/>
        </w:rPr>
        <w:t>10</w:t>
      </w:r>
      <w:r w:rsidR="00D641A0">
        <w:rPr>
          <w:rFonts w:ascii="Times New Roman" w:hAnsi="Times New Roman"/>
          <w:b/>
          <w:smallCaps/>
        </w:rPr>
        <w:t>57</w:t>
      </w:r>
      <w:r w:rsidR="001B5186" w:rsidRPr="00462E6E">
        <w:rPr>
          <w:rFonts w:ascii="Times New Roman" w:hAnsi="Times New Roman"/>
          <w:b/>
          <w:smallCaps/>
        </w:rPr>
        <w:t>)</w:t>
      </w:r>
    </w:p>
    <w:p w14:paraId="75DBD5B3" w14:textId="77777777" w:rsidR="001B5186" w:rsidRDefault="001B5186" w:rsidP="001B5186">
      <w:pPr>
        <w:pStyle w:val="Newpage"/>
        <w:spacing w:line="360" w:lineRule="auto"/>
        <w:rPr>
          <w:rFonts w:cs="Times New Roman"/>
          <w:b w:val="0"/>
          <w:caps/>
          <w:smallCaps w:val="0"/>
          <w:sz w:val="22"/>
          <w:szCs w:val="22"/>
        </w:rPr>
      </w:pPr>
    </w:p>
    <w:p w14:paraId="2FAD1248" w14:textId="77777777" w:rsidR="00192B65" w:rsidRDefault="00192B65" w:rsidP="001B5186">
      <w:pPr>
        <w:pStyle w:val="Newpage"/>
        <w:spacing w:line="360" w:lineRule="auto"/>
        <w:rPr>
          <w:rFonts w:cs="Times New Roman"/>
          <w:b w:val="0"/>
          <w:caps/>
          <w:smallCaps w:val="0"/>
          <w:sz w:val="22"/>
          <w:szCs w:val="22"/>
        </w:rPr>
      </w:pPr>
    </w:p>
    <w:p w14:paraId="1DA3157F" w14:textId="77777777" w:rsidR="00192B65" w:rsidRDefault="00192B65" w:rsidP="001B5186">
      <w:pPr>
        <w:pStyle w:val="Newpage"/>
        <w:spacing w:line="360" w:lineRule="auto"/>
        <w:rPr>
          <w:rFonts w:cs="Times New Roman"/>
          <w:b w:val="0"/>
          <w:caps/>
          <w:smallCaps w:val="0"/>
          <w:sz w:val="22"/>
          <w:szCs w:val="22"/>
        </w:rPr>
      </w:pPr>
    </w:p>
    <w:p w14:paraId="147C6B9A" w14:textId="77777777" w:rsidR="00192B65" w:rsidRDefault="00192B65" w:rsidP="001B5186">
      <w:pPr>
        <w:pStyle w:val="Newpage"/>
        <w:spacing w:line="360" w:lineRule="auto"/>
        <w:rPr>
          <w:rFonts w:cs="Times New Roman"/>
          <w:b w:val="0"/>
          <w:caps/>
          <w:smallCaps w:val="0"/>
          <w:sz w:val="22"/>
          <w:szCs w:val="22"/>
        </w:rPr>
      </w:pPr>
    </w:p>
    <w:p w14:paraId="0438AAD9" w14:textId="77777777" w:rsidR="00192B65" w:rsidRPr="00D82AFB" w:rsidRDefault="00192B65" w:rsidP="001B5186">
      <w:pPr>
        <w:pStyle w:val="Newpage"/>
        <w:spacing w:line="360" w:lineRule="auto"/>
        <w:rPr>
          <w:rFonts w:cs="Times New Roman"/>
          <w:b w:val="0"/>
          <w:caps/>
          <w:smallCaps w:val="0"/>
          <w:sz w:val="22"/>
          <w:szCs w:val="22"/>
        </w:rPr>
      </w:pPr>
    </w:p>
    <w:p w14:paraId="0DA224B9" w14:textId="77777777" w:rsidR="001B5186" w:rsidRPr="00D82AFB" w:rsidRDefault="001B5186" w:rsidP="001B5186">
      <w:pPr>
        <w:tabs>
          <w:tab w:val="left" w:pos="1440"/>
          <w:tab w:val="left" w:pos="3060"/>
        </w:tabs>
        <w:spacing w:after="0" w:line="360" w:lineRule="auto"/>
        <w:jc w:val="center"/>
        <w:rPr>
          <w:rFonts w:ascii="Times New Roman" w:hAnsi="Times New Roman"/>
          <w:smallCaps/>
        </w:rPr>
      </w:pPr>
    </w:p>
    <w:p w14:paraId="206787E1" w14:textId="77777777" w:rsidR="001B5186" w:rsidRPr="00D82AFB" w:rsidRDefault="001B5186" w:rsidP="001B5186">
      <w:pPr>
        <w:tabs>
          <w:tab w:val="left" w:pos="1440"/>
          <w:tab w:val="left" w:pos="3060"/>
        </w:tabs>
        <w:spacing w:after="0" w:line="360" w:lineRule="auto"/>
        <w:jc w:val="center"/>
        <w:outlineLvl w:val="0"/>
        <w:rPr>
          <w:rFonts w:ascii="Times New Roman" w:hAnsi="Times New Roman"/>
          <w:b/>
          <w:smallCaps/>
        </w:rPr>
      </w:pPr>
      <w:r w:rsidRPr="00D82AFB">
        <w:rPr>
          <w:rFonts w:ascii="Times New Roman" w:hAnsi="Times New Roman"/>
          <w:b/>
          <w:smallCaps/>
        </w:rPr>
        <w:t>monitoring and evaluation plan</w:t>
      </w:r>
    </w:p>
    <w:p w14:paraId="6BF9B208"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652FD829"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77849573"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346666F2"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578829A7"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1DB2E069"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7257CF78"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2DBF18B2" w14:textId="77777777" w:rsidR="001B5186" w:rsidRPr="00D82AFB" w:rsidRDefault="001B5186" w:rsidP="00192B65">
      <w:pPr>
        <w:pStyle w:val="ColorfulList-Accent11"/>
        <w:spacing w:after="0" w:line="360" w:lineRule="auto"/>
        <w:ind w:left="1080"/>
        <w:jc w:val="center"/>
        <w:rPr>
          <w:rFonts w:ascii="Times New Roman" w:hAnsi="Times New Roman"/>
          <w:b/>
        </w:rPr>
      </w:pPr>
    </w:p>
    <w:p w14:paraId="17231FEF" w14:textId="77777777" w:rsidR="001B5186" w:rsidRPr="00D82AFB" w:rsidRDefault="001B5186" w:rsidP="001B5186">
      <w:pPr>
        <w:tabs>
          <w:tab w:val="left" w:pos="1440"/>
          <w:tab w:val="left" w:pos="3060"/>
        </w:tabs>
        <w:spacing w:after="0" w:line="360" w:lineRule="auto"/>
        <w:jc w:val="center"/>
        <w:rPr>
          <w:rFonts w:ascii="Times New Roman" w:hAnsi="Times New Roman"/>
        </w:rPr>
      </w:pPr>
    </w:p>
    <w:p w14:paraId="16A08FC3" w14:textId="4AB02F2A" w:rsidR="00DE37A6" w:rsidRPr="000A6A5E" w:rsidRDefault="00DE37A6" w:rsidP="00D12EA7">
      <w:pPr>
        <w:pBdr>
          <w:top w:val="single" w:sz="4" w:space="1" w:color="auto"/>
          <w:left w:val="single" w:sz="4" w:space="4" w:color="auto"/>
          <w:bottom w:val="single" w:sz="4" w:space="1" w:color="auto"/>
          <w:right w:val="single" w:sz="4" w:space="4" w:color="auto"/>
        </w:pBdr>
        <w:jc w:val="both"/>
        <w:rPr>
          <w:rFonts w:ascii="Arial" w:hAnsi="Arial" w:cs="Arial"/>
          <w:b/>
          <w:smallCaps/>
        </w:rPr>
      </w:pPr>
      <w:r w:rsidRPr="000A6A5E">
        <w:rPr>
          <w:rFonts w:ascii="Arial" w:hAnsi="Arial" w:cs="Arial"/>
          <w:sz w:val="20"/>
        </w:rPr>
        <w:t xml:space="preserve">This document was prepared by the project team consisting of: </w:t>
      </w:r>
      <w:r w:rsidR="00D12EA7" w:rsidRPr="00D12EA7">
        <w:rPr>
          <w:rFonts w:ascii="Arial" w:hAnsi="Arial" w:cs="Arial"/>
          <w:sz w:val="20"/>
        </w:rPr>
        <w:t>Amado Crotte (TSP/CME), Team Leader; Krista Lucenti (TIN/CTT)</w:t>
      </w:r>
      <w:r w:rsidR="00D12EA7">
        <w:rPr>
          <w:rFonts w:ascii="Arial" w:hAnsi="Arial" w:cs="Arial"/>
          <w:sz w:val="20"/>
        </w:rPr>
        <w:t xml:space="preserve"> </w:t>
      </w:r>
      <w:r w:rsidR="00D12EA7" w:rsidRPr="00D12EA7">
        <w:rPr>
          <w:rFonts w:ascii="Arial" w:hAnsi="Arial" w:cs="Arial"/>
          <w:sz w:val="20"/>
        </w:rPr>
        <w:t>Alternate Team Leader; Christopher Persaud (TSP/CBH); Alejandro</w:t>
      </w:r>
      <w:r w:rsidR="00D12EA7">
        <w:rPr>
          <w:rFonts w:ascii="Arial" w:hAnsi="Arial" w:cs="Arial"/>
          <w:sz w:val="20"/>
        </w:rPr>
        <w:t xml:space="preserve"> </w:t>
      </w:r>
      <w:r w:rsidR="00D12EA7" w:rsidRPr="00D12EA7">
        <w:rPr>
          <w:rFonts w:ascii="Arial" w:hAnsi="Arial" w:cs="Arial"/>
          <w:sz w:val="20"/>
        </w:rPr>
        <w:t>Taddia, Reinaldo Fioravanti, Daniel Pérez, and Paola Rodríguez(INE/TSP); Karisa Ribeiro (TSP/CBR); Edgar Zamora (TSP/CSU);</w:t>
      </w:r>
      <w:r w:rsidR="00D12EA7">
        <w:rPr>
          <w:rFonts w:ascii="Arial" w:hAnsi="Arial" w:cs="Arial"/>
          <w:sz w:val="20"/>
        </w:rPr>
        <w:t xml:space="preserve"> </w:t>
      </w:r>
      <w:r w:rsidR="00D12EA7" w:rsidRPr="00D12EA7">
        <w:rPr>
          <w:rFonts w:ascii="Arial" w:hAnsi="Arial" w:cs="Arial"/>
          <w:sz w:val="20"/>
        </w:rPr>
        <w:t>Elizabeth Graybill and Erik Lindblom (VPS/ESG); Nadischia</w:t>
      </w:r>
      <w:r w:rsidR="00D12EA7">
        <w:rPr>
          <w:rFonts w:ascii="Arial" w:hAnsi="Arial" w:cs="Arial"/>
          <w:sz w:val="20"/>
        </w:rPr>
        <w:t xml:space="preserve"> </w:t>
      </w:r>
      <w:r w:rsidR="00D12EA7" w:rsidRPr="00D12EA7">
        <w:rPr>
          <w:rFonts w:ascii="Arial" w:hAnsi="Arial" w:cs="Arial"/>
          <w:sz w:val="20"/>
        </w:rPr>
        <w:t>Semmoh (CCB/CSU); Mónica Centeno (LEG/SGO); Gerardo</w:t>
      </w:r>
      <w:r w:rsidR="00D12EA7">
        <w:rPr>
          <w:rFonts w:ascii="Arial" w:hAnsi="Arial" w:cs="Arial"/>
          <w:sz w:val="20"/>
        </w:rPr>
        <w:t xml:space="preserve"> </w:t>
      </w:r>
      <w:r w:rsidR="00D12EA7" w:rsidRPr="00D12EA7">
        <w:rPr>
          <w:rFonts w:ascii="Arial" w:hAnsi="Arial" w:cs="Arial"/>
          <w:sz w:val="20"/>
        </w:rPr>
        <w:t>Reyes-Tagle (IFD/FMM); and Mariska Tjon-A-Loi</w:t>
      </w:r>
      <w:r w:rsidR="007D3FA7">
        <w:rPr>
          <w:rFonts w:ascii="Arial" w:hAnsi="Arial" w:cs="Arial"/>
          <w:sz w:val="20"/>
        </w:rPr>
        <w:t>,</w:t>
      </w:r>
      <w:r w:rsidR="00D12EA7">
        <w:rPr>
          <w:rFonts w:ascii="Arial" w:hAnsi="Arial" w:cs="Arial"/>
          <w:sz w:val="20"/>
        </w:rPr>
        <w:t xml:space="preserve"> </w:t>
      </w:r>
      <w:r w:rsidR="00D12EA7" w:rsidRPr="00D12EA7">
        <w:rPr>
          <w:rFonts w:ascii="Arial" w:hAnsi="Arial" w:cs="Arial"/>
          <w:sz w:val="20"/>
        </w:rPr>
        <w:t>and Vikash Bhagirath (FMP/CSU)</w:t>
      </w:r>
    </w:p>
    <w:p w14:paraId="6CAC19C4" w14:textId="77777777" w:rsidR="008943D7" w:rsidRDefault="001B5186" w:rsidP="00192B65">
      <w:pPr>
        <w:pStyle w:val="ColorfulList-Accent11"/>
        <w:spacing w:after="0" w:line="360" w:lineRule="auto"/>
        <w:ind w:left="1080"/>
        <w:jc w:val="center"/>
        <w:rPr>
          <w:rFonts w:ascii="Times New Roman" w:hAnsi="Times New Roman"/>
          <w:b/>
        </w:rPr>
      </w:pPr>
      <w:r w:rsidRPr="00D82AFB">
        <w:rPr>
          <w:rFonts w:ascii="Times New Roman" w:hAnsi="Times New Roman"/>
          <w:b/>
        </w:rPr>
        <w:br w:type="page"/>
      </w:r>
    </w:p>
    <w:p w14:paraId="29FB5B39" w14:textId="77777777" w:rsidR="00192B65" w:rsidRPr="00192B65" w:rsidRDefault="00192B65" w:rsidP="00192B65">
      <w:pPr>
        <w:pStyle w:val="ColorfulList-Accent11"/>
        <w:spacing w:after="0" w:line="360" w:lineRule="auto"/>
        <w:ind w:left="0"/>
        <w:jc w:val="center"/>
        <w:rPr>
          <w:rFonts w:ascii="Times New Roman" w:hAnsi="Times New Roman"/>
          <w:smallCaps/>
        </w:rPr>
      </w:pPr>
    </w:p>
    <w:p w14:paraId="1785B029" w14:textId="77777777" w:rsidR="001B5186" w:rsidRPr="00526C6B" w:rsidRDefault="001B5186" w:rsidP="00B77DE6">
      <w:pPr>
        <w:pStyle w:val="Heading1"/>
        <w:numPr>
          <w:ilvl w:val="0"/>
          <w:numId w:val="25"/>
        </w:numPr>
        <w:rPr>
          <w:b/>
          <w:color w:val="000000" w:themeColor="text1"/>
          <w:sz w:val="28"/>
        </w:rPr>
      </w:pPr>
      <w:r w:rsidRPr="00526C6B">
        <w:rPr>
          <w:b/>
          <w:color w:val="000000" w:themeColor="text1"/>
          <w:sz w:val="28"/>
        </w:rPr>
        <w:t>Introduction</w:t>
      </w:r>
    </w:p>
    <w:p w14:paraId="43EAAC08" w14:textId="6EB6B153" w:rsidR="002D7678" w:rsidRPr="00E8204B" w:rsidRDefault="00EF418D" w:rsidP="00100582">
      <w:pPr>
        <w:pStyle w:val="Paragraph"/>
        <w:numPr>
          <w:ilvl w:val="1"/>
          <w:numId w:val="4"/>
        </w:numPr>
        <w:tabs>
          <w:tab w:val="clear" w:pos="720"/>
          <w:tab w:val="num" w:pos="900"/>
        </w:tabs>
        <w:spacing w:before="80" w:after="80"/>
      </w:pPr>
      <w:r w:rsidRPr="00E8204B">
        <w:t xml:space="preserve">This document describes the </w:t>
      </w:r>
      <w:r w:rsidR="00991AEC" w:rsidRPr="00E8204B">
        <w:t xml:space="preserve">necessary </w:t>
      </w:r>
      <w:r w:rsidRPr="00E8204B">
        <w:t xml:space="preserve">monitoring and evaluation tasks regarding the activities, results </w:t>
      </w:r>
      <w:r w:rsidR="00B634E3" w:rsidRPr="00E8204B">
        <w:t xml:space="preserve">and impacts </w:t>
      </w:r>
      <w:r w:rsidR="00210C0B" w:rsidRPr="00E8204B">
        <w:t xml:space="preserve">of the </w:t>
      </w:r>
      <w:r w:rsidR="002D7678" w:rsidRPr="00E8204B">
        <w:t xml:space="preserve">loan program </w:t>
      </w:r>
      <w:r w:rsidR="003A2732" w:rsidRPr="00E8204B">
        <w:t>“</w:t>
      </w:r>
      <w:r w:rsidR="002D7678" w:rsidRPr="00E8204B">
        <w:t>Improving Transport Logistics and Competitiveness in Suriname</w:t>
      </w:r>
      <w:r w:rsidR="003A2732" w:rsidRPr="00E8204B">
        <w:t>”</w:t>
      </w:r>
      <w:r w:rsidR="002D7678" w:rsidRPr="00E8204B">
        <w:t xml:space="preserve"> (SU-L1057).</w:t>
      </w:r>
    </w:p>
    <w:p w14:paraId="04924C62" w14:textId="43857BCD" w:rsidR="000E0D6B" w:rsidRDefault="000E7781" w:rsidP="000E0D6B">
      <w:pPr>
        <w:pStyle w:val="Paragraph"/>
        <w:numPr>
          <w:ilvl w:val="1"/>
          <w:numId w:val="4"/>
        </w:numPr>
        <w:tabs>
          <w:tab w:val="clear" w:pos="720"/>
          <w:tab w:val="num" w:pos="900"/>
        </w:tabs>
        <w:spacing w:before="80" w:after="80"/>
      </w:pPr>
      <w:r w:rsidRPr="00680732">
        <w:rPr>
          <w:b/>
        </w:rPr>
        <w:t>The general objective</w:t>
      </w:r>
      <w:r w:rsidRPr="000E7781">
        <w:t xml:space="preserve"> of the operation is to enhance Suriname's competitiveness and logistics performance by improving efficiencies and reducing both costs and time to clear goods at the primary Port facility in Suriname. The specific objectives of the program are: (i) improving the infrastructure and operations of the Port of Paramaribo through the provision of port efficient infrastructure, and the acquisition and implementation of equipment and digital platforms to facilitate trade logistics and goods clearance processes; (ii) improving the level of service, capacity, and resilience of adjacent roads and access to the port; and (iii) strengthening institutional capacity to ensure optimal execution, sustainable asset management, and adequate operation.</w:t>
      </w:r>
      <w:r>
        <w:t xml:space="preserve"> </w:t>
      </w:r>
      <w:r w:rsidR="000E0D6B">
        <w:t xml:space="preserve">It is expected that the project will result in lower logistic costs and travel times, thus improving the ease of trade for economic activities such as agriculture. The operation will also take into consideration the need for improving resilience standards of road and port infrastructure.  The beneficiaries are transport and logistics companies, importers and exporters, and the population of Paramaribo that use the Van ‘t </w:t>
      </w:r>
      <w:proofErr w:type="spellStart"/>
      <w:r w:rsidR="000E0D6B">
        <w:t>Hogerhuysstraat</w:t>
      </w:r>
      <w:proofErr w:type="spellEnd"/>
      <w:r w:rsidR="000E0D6B">
        <w:t xml:space="preserve"> and adjacent roads.</w:t>
      </w:r>
    </w:p>
    <w:p w14:paraId="5586C847" w14:textId="77777777" w:rsidR="00642A94" w:rsidRPr="00642A94" w:rsidRDefault="00642A94" w:rsidP="00642A94">
      <w:pPr>
        <w:pStyle w:val="Paragraph"/>
        <w:numPr>
          <w:ilvl w:val="1"/>
          <w:numId w:val="4"/>
        </w:numPr>
        <w:spacing w:before="80" w:after="80"/>
        <w:rPr>
          <w:b/>
          <w:lang w:val="fr-FR"/>
        </w:rPr>
      </w:pPr>
      <w:r w:rsidRPr="00642A94">
        <w:rPr>
          <w:b/>
          <w:lang w:val="fr-FR"/>
        </w:rPr>
        <w:t xml:space="preserve">Component 1. Port interventions (US$4.5 </w:t>
      </w:r>
      <w:proofErr w:type="gramStart"/>
      <w:r w:rsidRPr="00642A94">
        <w:rPr>
          <w:b/>
          <w:lang w:val="fr-FR"/>
        </w:rPr>
        <w:t>million</w:t>
      </w:r>
      <w:proofErr w:type="gramEnd"/>
      <w:r w:rsidRPr="00642A94">
        <w:rPr>
          <w:b/>
          <w:lang w:val="fr-FR"/>
        </w:rPr>
        <w:t xml:space="preserve">). </w:t>
      </w:r>
      <w:r w:rsidRPr="00642A94">
        <w:rPr>
          <w:lang w:val="fr-FR"/>
        </w:rPr>
        <w:t xml:space="preserve">This component </w:t>
      </w:r>
      <w:proofErr w:type="spellStart"/>
      <w:r w:rsidRPr="00642A94">
        <w:rPr>
          <w:lang w:val="fr-FR"/>
        </w:rPr>
        <w:t>will</w:t>
      </w:r>
      <w:proofErr w:type="spellEnd"/>
      <w:r w:rsidRPr="00642A94">
        <w:rPr>
          <w:lang w:val="fr-FR"/>
        </w:rPr>
        <w:t xml:space="preserve"> finance the </w:t>
      </w:r>
      <w:proofErr w:type="spellStart"/>
      <w:r w:rsidRPr="00642A94">
        <w:rPr>
          <w:lang w:val="fr-FR"/>
        </w:rPr>
        <w:t>development</w:t>
      </w:r>
      <w:proofErr w:type="spellEnd"/>
      <w:r w:rsidRPr="00642A94">
        <w:rPr>
          <w:lang w:val="fr-FR"/>
        </w:rPr>
        <w:t xml:space="preserve"> </w:t>
      </w:r>
      <w:proofErr w:type="gramStart"/>
      <w:r w:rsidRPr="00642A94">
        <w:rPr>
          <w:lang w:val="fr-FR"/>
        </w:rPr>
        <w:t>of:</w:t>
      </w:r>
      <w:proofErr w:type="gramEnd"/>
      <w:r w:rsidRPr="00642A94">
        <w:rPr>
          <w:lang w:val="fr-FR"/>
        </w:rPr>
        <w:t xml:space="preserve"> (i) a </w:t>
      </w:r>
      <w:proofErr w:type="spellStart"/>
      <w:r w:rsidRPr="00642A94">
        <w:rPr>
          <w:lang w:val="fr-FR"/>
        </w:rPr>
        <w:t>logistics</w:t>
      </w:r>
      <w:proofErr w:type="spellEnd"/>
      <w:r w:rsidRPr="00642A94">
        <w:rPr>
          <w:lang w:val="fr-FR"/>
        </w:rPr>
        <w:t xml:space="preserve"> center </w:t>
      </w:r>
      <w:proofErr w:type="spellStart"/>
      <w:r w:rsidRPr="00642A94">
        <w:rPr>
          <w:lang w:val="fr-FR"/>
        </w:rPr>
        <w:t>within</w:t>
      </w:r>
      <w:proofErr w:type="spellEnd"/>
      <w:r w:rsidRPr="00642A94">
        <w:rPr>
          <w:lang w:val="fr-FR"/>
        </w:rPr>
        <w:t xml:space="preserve"> the port for the classification of cargo and the </w:t>
      </w:r>
      <w:proofErr w:type="spellStart"/>
      <w:r w:rsidRPr="00642A94">
        <w:rPr>
          <w:lang w:val="fr-FR"/>
        </w:rPr>
        <w:t>development</w:t>
      </w:r>
      <w:proofErr w:type="spellEnd"/>
      <w:r w:rsidRPr="00642A94">
        <w:rPr>
          <w:lang w:val="fr-FR"/>
        </w:rPr>
        <w:t xml:space="preserve"> of </w:t>
      </w:r>
      <w:proofErr w:type="spellStart"/>
      <w:r w:rsidRPr="00642A94">
        <w:rPr>
          <w:lang w:val="fr-FR"/>
        </w:rPr>
        <w:t>added</w:t>
      </w:r>
      <w:proofErr w:type="spellEnd"/>
      <w:r w:rsidRPr="00642A94">
        <w:rPr>
          <w:lang w:val="fr-FR"/>
        </w:rPr>
        <w:t xml:space="preserve">-value </w:t>
      </w:r>
      <w:proofErr w:type="spellStart"/>
      <w:r w:rsidRPr="00642A94">
        <w:rPr>
          <w:lang w:val="fr-FR"/>
        </w:rPr>
        <w:t>processes</w:t>
      </w:r>
      <w:proofErr w:type="spellEnd"/>
      <w:r w:rsidRPr="00642A94">
        <w:rPr>
          <w:lang w:val="fr-FR"/>
        </w:rPr>
        <w:t xml:space="preserve">. This </w:t>
      </w:r>
      <w:proofErr w:type="spellStart"/>
      <w:r w:rsidRPr="00642A94">
        <w:rPr>
          <w:lang w:val="fr-FR"/>
        </w:rPr>
        <w:t>includes</w:t>
      </w:r>
      <w:proofErr w:type="spellEnd"/>
      <w:r w:rsidRPr="00642A94">
        <w:rPr>
          <w:lang w:val="fr-FR"/>
        </w:rPr>
        <w:t xml:space="preserve"> the construction of a truck center, offices and light parking (1.53 hectares) and </w:t>
      </w:r>
      <w:proofErr w:type="spellStart"/>
      <w:r w:rsidRPr="00642A94">
        <w:rPr>
          <w:lang w:val="fr-FR"/>
        </w:rPr>
        <w:t>warehousing</w:t>
      </w:r>
      <w:proofErr w:type="spellEnd"/>
      <w:r w:rsidRPr="00642A94">
        <w:rPr>
          <w:lang w:val="fr-FR"/>
        </w:rPr>
        <w:t xml:space="preserve"> </w:t>
      </w:r>
      <w:proofErr w:type="spellStart"/>
      <w:r w:rsidRPr="00642A94">
        <w:rPr>
          <w:lang w:val="fr-FR"/>
        </w:rPr>
        <w:t>facilities</w:t>
      </w:r>
      <w:proofErr w:type="spellEnd"/>
      <w:r w:rsidRPr="00642A94">
        <w:rPr>
          <w:lang w:val="fr-FR"/>
        </w:rPr>
        <w:t xml:space="preserve"> (container </w:t>
      </w:r>
      <w:proofErr w:type="spellStart"/>
      <w:r w:rsidRPr="00642A94">
        <w:rPr>
          <w:lang w:val="fr-FR"/>
        </w:rPr>
        <w:t>stuffing</w:t>
      </w:r>
      <w:proofErr w:type="spellEnd"/>
      <w:r w:rsidRPr="00642A94">
        <w:rPr>
          <w:lang w:val="fr-FR"/>
        </w:rPr>
        <w:t xml:space="preserve"> and stripping, cross-</w:t>
      </w:r>
      <w:proofErr w:type="spellStart"/>
      <w:r w:rsidRPr="00642A94">
        <w:rPr>
          <w:lang w:val="fr-FR"/>
        </w:rPr>
        <w:t>docking</w:t>
      </w:r>
      <w:proofErr w:type="spellEnd"/>
      <w:r w:rsidRPr="00642A94">
        <w:rPr>
          <w:lang w:val="fr-FR"/>
        </w:rPr>
        <w:t xml:space="preserve">, consolidation, </w:t>
      </w:r>
      <w:proofErr w:type="spellStart"/>
      <w:r w:rsidRPr="00642A94">
        <w:rPr>
          <w:lang w:val="fr-FR"/>
        </w:rPr>
        <w:t>sacking</w:t>
      </w:r>
      <w:proofErr w:type="spellEnd"/>
      <w:r w:rsidRPr="00642A94">
        <w:rPr>
          <w:lang w:val="fr-FR"/>
        </w:rPr>
        <w:t xml:space="preserve">, etc.) (1.52 hectares) in compliance </w:t>
      </w:r>
      <w:proofErr w:type="spellStart"/>
      <w:r w:rsidRPr="00642A94">
        <w:rPr>
          <w:lang w:val="fr-FR"/>
        </w:rPr>
        <w:t>with</w:t>
      </w:r>
      <w:proofErr w:type="spellEnd"/>
      <w:r w:rsidRPr="00642A94">
        <w:rPr>
          <w:lang w:val="fr-FR"/>
        </w:rPr>
        <w:t xml:space="preserve"> the </w:t>
      </w:r>
      <w:proofErr w:type="spellStart"/>
      <w:r w:rsidRPr="00642A94">
        <w:rPr>
          <w:lang w:val="fr-FR"/>
        </w:rPr>
        <w:t>regulatory</w:t>
      </w:r>
      <w:proofErr w:type="spellEnd"/>
      <w:r w:rsidRPr="00642A94">
        <w:rPr>
          <w:lang w:val="fr-FR"/>
        </w:rPr>
        <w:t xml:space="preserve"> </w:t>
      </w:r>
      <w:proofErr w:type="spellStart"/>
      <w:r w:rsidRPr="00642A94">
        <w:rPr>
          <w:lang w:val="fr-FR"/>
        </w:rPr>
        <w:t>framework</w:t>
      </w:r>
      <w:proofErr w:type="spellEnd"/>
      <w:r w:rsidRPr="00642A94">
        <w:rPr>
          <w:lang w:val="fr-FR"/>
        </w:rPr>
        <w:t xml:space="preserve"> for </w:t>
      </w:r>
      <w:proofErr w:type="spellStart"/>
      <w:r w:rsidRPr="00642A94">
        <w:rPr>
          <w:lang w:val="fr-FR"/>
        </w:rPr>
        <w:t>PwD</w:t>
      </w:r>
      <w:proofErr w:type="spellEnd"/>
      <w:r w:rsidRPr="00642A94">
        <w:rPr>
          <w:lang w:val="fr-FR"/>
        </w:rPr>
        <w:t xml:space="preserve"> of Suriname or international </w:t>
      </w:r>
      <w:proofErr w:type="gramStart"/>
      <w:r w:rsidRPr="00642A94">
        <w:rPr>
          <w:lang w:val="fr-FR"/>
        </w:rPr>
        <w:t>standards;</w:t>
      </w:r>
      <w:proofErr w:type="gramEnd"/>
      <w:r w:rsidRPr="00642A94">
        <w:rPr>
          <w:lang w:val="fr-FR"/>
        </w:rPr>
        <w:t xml:space="preserve"> and (ii) </w:t>
      </w:r>
      <w:proofErr w:type="spellStart"/>
      <w:r w:rsidRPr="00642A94">
        <w:rPr>
          <w:lang w:val="fr-FR"/>
        </w:rPr>
        <w:t>implementation</w:t>
      </w:r>
      <w:proofErr w:type="spellEnd"/>
      <w:r w:rsidRPr="00642A94">
        <w:rPr>
          <w:lang w:val="fr-FR"/>
        </w:rPr>
        <w:t xml:space="preserve"> of a PCS to automate </w:t>
      </w:r>
      <w:proofErr w:type="spellStart"/>
      <w:r w:rsidRPr="00642A94">
        <w:rPr>
          <w:lang w:val="fr-FR"/>
        </w:rPr>
        <w:t>operational</w:t>
      </w:r>
      <w:proofErr w:type="spellEnd"/>
      <w:r w:rsidRPr="00642A94">
        <w:rPr>
          <w:lang w:val="fr-FR"/>
        </w:rPr>
        <w:t xml:space="preserve"> </w:t>
      </w:r>
      <w:proofErr w:type="spellStart"/>
      <w:r w:rsidRPr="00642A94">
        <w:rPr>
          <w:lang w:val="fr-FR"/>
        </w:rPr>
        <w:t>processes</w:t>
      </w:r>
      <w:proofErr w:type="spellEnd"/>
      <w:r w:rsidRPr="00642A94">
        <w:rPr>
          <w:lang w:val="fr-FR"/>
        </w:rPr>
        <w:t xml:space="preserve"> and </w:t>
      </w:r>
      <w:proofErr w:type="spellStart"/>
      <w:r w:rsidRPr="00642A94">
        <w:rPr>
          <w:lang w:val="fr-FR"/>
        </w:rPr>
        <w:t>improve</w:t>
      </w:r>
      <w:proofErr w:type="spellEnd"/>
      <w:r w:rsidRPr="00642A94">
        <w:rPr>
          <w:lang w:val="fr-FR"/>
        </w:rPr>
        <w:t xml:space="preserve"> </w:t>
      </w:r>
      <w:proofErr w:type="spellStart"/>
      <w:r w:rsidRPr="00642A94">
        <w:rPr>
          <w:lang w:val="fr-FR"/>
        </w:rPr>
        <w:t>documentary</w:t>
      </w:r>
      <w:proofErr w:type="spellEnd"/>
      <w:r w:rsidRPr="00642A94">
        <w:rPr>
          <w:lang w:val="fr-FR"/>
        </w:rPr>
        <w:t xml:space="preserve"> compliance for imports/exports.</w:t>
      </w:r>
    </w:p>
    <w:p w14:paraId="57E171E2" w14:textId="3C388823" w:rsidR="00642A94" w:rsidRPr="00642A94" w:rsidRDefault="00642A94" w:rsidP="00642A94">
      <w:pPr>
        <w:pStyle w:val="Paragraph"/>
        <w:numPr>
          <w:ilvl w:val="1"/>
          <w:numId w:val="4"/>
        </w:numPr>
        <w:spacing w:before="80" w:after="80"/>
        <w:rPr>
          <w:b/>
          <w:lang w:val="fr-FR"/>
        </w:rPr>
      </w:pPr>
      <w:r w:rsidRPr="00642A94">
        <w:rPr>
          <w:b/>
          <w:lang w:val="fr-FR"/>
        </w:rPr>
        <w:t xml:space="preserve">Component 2. Interventions on </w:t>
      </w:r>
      <w:proofErr w:type="spellStart"/>
      <w:r w:rsidRPr="00642A94">
        <w:rPr>
          <w:b/>
          <w:lang w:val="fr-FR"/>
        </w:rPr>
        <w:t>port’s</w:t>
      </w:r>
      <w:proofErr w:type="spellEnd"/>
      <w:r w:rsidRPr="00642A94">
        <w:rPr>
          <w:b/>
          <w:lang w:val="fr-FR"/>
        </w:rPr>
        <w:t xml:space="preserve"> adjacent road network (US$36.2 </w:t>
      </w:r>
      <w:proofErr w:type="gramStart"/>
      <w:r w:rsidRPr="00642A94">
        <w:rPr>
          <w:b/>
          <w:lang w:val="fr-FR"/>
        </w:rPr>
        <w:t>million</w:t>
      </w:r>
      <w:proofErr w:type="gramEnd"/>
      <w:r w:rsidRPr="00642A94">
        <w:rPr>
          <w:b/>
          <w:lang w:val="fr-FR"/>
        </w:rPr>
        <w:t xml:space="preserve">). </w:t>
      </w:r>
      <w:r w:rsidRPr="00642A94">
        <w:rPr>
          <w:lang w:val="fr-FR"/>
        </w:rPr>
        <w:t xml:space="preserve">This component </w:t>
      </w:r>
      <w:proofErr w:type="spellStart"/>
      <w:r w:rsidRPr="00642A94">
        <w:rPr>
          <w:lang w:val="fr-FR"/>
        </w:rPr>
        <w:t>will</w:t>
      </w:r>
      <w:proofErr w:type="spellEnd"/>
      <w:r w:rsidRPr="00642A94">
        <w:rPr>
          <w:lang w:val="fr-FR"/>
        </w:rPr>
        <w:t xml:space="preserve"> upgrade and </w:t>
      </w:r>
      <w:proofErr w:type="spellStart"/>
      <w:r w:rsidRPr="00642A94">
        <w:rPr>
          <w:lang w:val="fr-FR"/>
        </w:rPr>
        <w:t>improve</w:t>
      </w:r>
      <w:proofErr w:type="spellEnd"/>
      <w:r w:rsidRPr="00642A94">
        <w:rPr>
          <w:lang w:val="fr-FR"/>
        </w:rPr>
        <w:t xml:space="preserve"> the </w:t>
      </w:r>
      <w:proofErr w:type="spellStart"/>
      <w:r w:rsidRPr="00642A94">
        <w:rPr>
          <w:lang w:val="fr-FR"/>
        </w:rPr>
        <w:t>resilience</w:t>
      </w:r>
      <w:proofErr w:type="spellEnd"/>
      <w:r w:rsidRPr="00642A94">
        <w:rPr>
          <w:lang w:val="fr-FR"/>
        </w:rPr>
        <w:t xml:space="preserve"> and </w:t>
      </w:r>
      <w:proofErr w:type="spellStart"/>
      <w:r w:rsidRPr="00642A94">
        <w:rPr>
          <w:lang w:val="fr-FR"/>
        </w:rPr>
        <w:t>safety</w:t>
      </w:r>
      <w:proofErr w:type="spellEnd"/>
      <w:r w:rsidRPr="00642A94">
        <w:rPr>
          <w:lang w:val="fr-FR"/>
        </w:rPr>
        <w:t xml:space="preserve"> of the road sections </w:t>
      </w:r>
      <w:proofErr w:type="spellStart"/>
      <w:r w:rsidRPr="00642A94">
        <w:rPr>
          <w:lang w:val="fr-FR"/>
        </w:rPr>
        <w:t>shown</w:t>
      </w:r>
      <w:proofErr w:type="spellEnd"/>
      <w:r w:rsidRPr="00642A94">
        <w:rPr>
          <w:lang w:val="fr-FR"/>
        </w:rPr>
        <w:t xml:space="preserve"> in Table </w:t>
      </w:r>
      <w:proofErr w:type="gramStart"/>
      <w:r w:rsidRPr="00642A94">
        <w:rPr>
          <w:lang w:val="fr-FR"/>
        </w:rPr>
        <w:t>1:</w:t>
      </w:r>
      <w:proofErr w:type="gramEnd"/>
      <w:r w:rsidRPr="00642A94">
        <w:rPr>
          <w:lang w:val="fr-FR"/>
        </w:rPr>
        <w:t xml:space="preserve"> (i) Van ‘t </w:t>
      </w:r>
      <w:proofErr w:type="spellStart"/>
      <w:r w:rsidRPr="00642A94">
        <w:rPr>
          <w:lang w:val="fr-FR"/>
        </w:rPr>
        <w:t>Hogerhuysstraat</w:t>
      </w:r>
      <w:proofErr w:type="spellEnd"/>
      <w:r w:rsidRPr="00642A94">
        <w:rPr>
          <w:lang w:val="fr-FR"/>
        </w:rPr>
        <w:t xml:space="preserve"> (</w:t>
      </w:r>
      <w:proofErr w:type="spellStart"/>
      <w:r w:rsidRPr="00642A94">
        <w:rPr>
          <w:lang w:val="fr-FR"/>
        </w:rPr>
        <w:t>between</w:t>
      </w:r>
      <w:proofErr w:type="spellEnd"/>
      <w:r w:rsidRPr="00642A94">
        <w:rPr>
          <w:lang w:val="fr-FR"/>
        </w:rPr>
        <w:t xml:space="preserve"> </w:t>
      </w:r>
      <w:proofErr w:type="spellStart"/>
      <w:r w:rsidRPr="00642A94">
        <w:rPr>
          <w:lang w:val="fr-FR"/>
        </w:rPr>
        <w:t>Latourweg</w:t>
      </w:r>
      <w:proofErr w:type="spellEnd"/>
      <w:r w:rsidRPr="00642A94">
        <w:rPr>
          <w:lang w:val="fr-FR"/>
        </w:rPr>
        <w:t xml:space="preserve"> and </w:t>
      </w:r>
      <w:proofErr w:type="spellStart"/>
      <w:r w:rsidRPr="00642A94">
        <w:rPr>
          <w:lang w:val="fr-FR"/>
        </w:rPr>
        <w:t>Molenpad</w:t>
      </w:r>
      <w:proofErr w:type="spellEnd"/>
      <w:r w:rsidRPr="00642A94">
        <w:rPr>
          <w:lang w:val="fr-FR"/>
        </w:rPr>
        <w:t>), the Willem-</w:t>
      </w:r>
      <w:proofErr w:type="spellStart"/>
      <w:r w:rsidRPr="00642A94">
        <w:rPr>
          <w:lang w:val="fr-FR"/>
        </w:rPr>
        <w:t>Campagnestraat</w:t>
      </w:r>
      <w:proofErr w:type="spellEnd"/>
      <w:r w:rsidRPr="00642A94">
        <w:rPr>
          <w:lang w:val="fr-FR"/>
        </w:rPr>
        <w:t xml:space="preserve"> (</w:t>
      </w:r>
      <w:proofErr w:type="spellStart"/>
      <w:r w:rsidRPr="00642A94">
        <w:rPr>
          <w:lang w:val="fr-FR"/>
        </w:rPr>
        <w:t>between</w:t>
      </w:r>
      <w:proofErr w:type="spellEnd"/>
      <w:r w:rsidRPr="00642A94">
        <w:rPr>
          <w:lang w:val="fr-FR"/>
        </w:rPr>
        <w:t xml:space="preserve"> Van ‘t </w:t>
      </w:r>
      <w:proofErr w:type="spellStart"/>
      <w:r w:rsidRPr="00642A94">
        <w:rPr>
          <w:lang w:val="fr-FR"/>
        </w:rPr>
        <w:t>Hogerhuysstraat</w:t>
      </w:r>
      <w:proofErr w:type="spellEnd"/>
      <w:r w:rsidRPr="00642A94">
        <w:rPr>
          <w:lang w:val="fr-FR"/>
        </w:rPr>
        <w:t xml:space="preserve"> and </w:t>
      </w:r>
      <w:proofErr w:type="spellStart"/>
      <w:r w:rsidRPr="00642A94">
        <w:rPr>
          <w:lang w:val="fr-FR"/>
        </w:rPr>
        <w:t>Hernhutterstraat</w:t>
      </w:r>
      <w:proofErr w:type="spellEnd"/>
      <w:r w:rsidRPr="00642A94">
        <w:rPr>
          <w:lang w:val="fr-FR"/>
        </w:rPr>
        <w:t xml:space="preserve">); (ii) </w:t>
      </w:r>
      <w:proofErr w:type="spellStart"/>
      <w:r w:rsidRPr="00642A94">
        <w:rPr>
          <w:lang w:val="fr-FR"/>
        </w:rPr>
        <w:t>Slangenhoutstraat</w:t>
      </w:r>
      <w:proofErr w:type="spellEnd"/>
      <w:r w:rsidRPr="00642A94">
        <w:rPr>
          <w:lang w:val="fr-FR"/>
        </w:rPr>
        <w:t xml:space="preserve">, </w:t>
      </w:r>
      <w:proofErr w:type="spellStart"/>
      <w:r w:rsidRPr="00642A94">
        <w:rPr>
          <w:lang w:val="fr-FR"/>
        </w:rPr>
        <w:t>Hernhutterstraat</w:t>
      </w:r>
      <w:proofErr w:type="spellEnd"/>
      <w:r w:rsidRPr="00642A94">
        <w:rPr>
          <w:lang w:val="fr-FR"/>
        </w:rPr>
        <w:t xml:space="preserve">, and </w:t>
      </w:r>
      <w:proofErr w:type="spellStart"/>
      <w:r w:rsidRPr="00642A94">
        <w:rPr>
          <w:lang w:val="fr-FR"/>
        </w:rPr>
        <w:t>Molenpad</w:t>
      </w:r>
      <w:proofErr w:type="spellEnd"/>
      <w:r w:rsidRPr="00642A94">
        <w:rPr>
          <w:lang w:val="fr-FR"/>
        </w:rPr>
        <w:t xml:space="preserve">; and (iii) the Van ‘t </w:t>
      </w:r>
      <w:proofErr w:type="spellStart"/>
      <w:r w:rsidRPr="00642A94">
        <w:rPr>
          <w:lang w:val="fr-FR"/>
        </w:rPr>
        <w:t>Hogerhuysstraat</w:t>
      </w:r>
      <w:proofErr w:type="spellEnd"/>
      <w:r w:rsidRPr="00642A94">
        <w:rPr>
          <w:lang w:val="fr-FR"/>
        </w:rPr>
        <w:t xml:space="preserve"> bridge, </w:t>
      </w:r>
      <w:proofErr w:type="spellStart"/>
      <w:r w:rsidRPr="00642A94">
        <w:rPr>
          <w:lang w:val="fr-FR"/>
        </w:rPr>
        <w:t>replacing</w:t>
      </w:r>
      <w:proofErr w:type="spellEnd"/>
      <w:r w:rsidRPr="00642A94">
        <w:rPr>
          <w:lang w:val="fr-FR"/>
        </w:rPr>
        <w:t xml:space="preserve"> the </w:t>
      </w:r>
      <w:proofErr w:type="spellStart"/>
      <w:r w:rsidRPr="00642A94">
        <w:rPr>
          <w:lang w:val="fr-FR"/>
        </w:rPr>
        <w:t>current</w:t>
      </w:r>
      <w:proofErr w:type="spellEnd"/>
      <w:r w:rsidRPr="00642A94">
        <w:rPr>
          <w:lang w:val="fr-FR"/>
        </w:rPr>
        <w:t xml:space="preserve"> 3-lane bridge </w:t>
      </w:r>
      <w:proofErr w:type="spellStart"/>
      <w:r w:rsidRPr="00642A94">
        <w:rPr>
          <w:lang w:val="fr-FR"/>
        </w:rPr>
        <w:t>with</w:t>
      </w:r>
      <w:proofErr w:type="spellEnd"/>
      <w:r w:rsidRPr="00642A94">
        <w:rPr>
          <w:lang w:val="fr-FR"/>
        </w:rPr>
        <w:t xml:space="preserve"> an </w:t>
      </w:r>
      <w:proofErr w:type="spellStart"/>
      <w:r w:rsidRPr="00642A94">
        <w:rPr>
          <w:lang w:val="fr-FR"/>
        </w:rPr>
        <w:t>expanded</w:t>
      </w:r>
      <w:proofErr w:type="spellEnd"/>
      <w:r w:rsidRPr="00642A94">
        <w:rPr>
          <w:lang w:val="fr-FR"/>
        </w:rPr>
        <w:t xml:space="preserve"> 6-lane bridge. It </w:t>
      </w:r>
      <w:proofErr w:type="spellStart"/>
      <w:r w:rsidRPr="00642A94">
        <w:rPr>
          <w:lang w:val="fr-FR"/>
        </w:rPr>
        <w:t>will</w:t>
      </w:r>
      <w:proofErr w:type="spellEnd"/>
      <w:r w:rsidRPr="00642A94">
        <w:rPr>
          <w:lang w:val="fr-FR"/>
        </w:rPr>
        <w:t xml:space="preserve"> </w:t>
      </w:r>
      <w:proofErr w:type="spellStart"/>
      <w:r w:rsidRPr="00642A94">
        <w:rPr>
          <w:lang w:val="fr-FR"/>
        </w:rPr>
        <w:t>also</w:t>
      </w:r>
      <w:proofErr w:type="spellEnd"/>
      <w:r w:rsidRPr="00642A94">
        <w:rPr>
          <w:lang w:val="fr-FR"/>
        </w:rPr>
        <w:t xml:space="preserve"> finance the </w:t>
      </w:r>
      <w:proofErr w:type="spellStart"/>
      <w:r w:rsidRPr="00642A94">
        <w:rPr>
          <w:lang w:val="fr-FR"/>
        </w:rPr>
        <w:t>detailed</w:t>
      </w:r>
      <w:proofErr w:type="spellEnd"/>
      <w:r w:rsidRPr="00642A94">
        <w:rPr>
          <w:lang w:val="fr-FR"/>
        </w:rPr>
        <w:t xml:space="preserve"> designs for the civil </w:t>
      </w:r>
      <w:proofErr w:type="spellStart"/>
      <w:r w:rsidRPr="00642A94">
        <w:rPr>
          <w:lang w:val="fr-FR"/>
        </w:rPr>
        <w:t>works</w:t>
      </w:r>
      <w:proofErr w:type="spellEnd"/>
      <w:r w:rsidRPr="00642A94">
        <w:rPr>
          <w:lang w:val="fr-FR"/>
        </w:rPr>
        <w:t xml:space="preserve"> and the supervision </w:t>
      </w:r>
      <w:proofErr w:type="spellStart"/>
      <w:r w:rsidRPr="00642A94">
        <w:rPr>
          <w:lang w:val="fr-FR"/>
        </w:rPr>
        <w:t>activities</w:t>
      </w:r>
      <w:proofErr w:type="spellEnd"/>
      <w:r w:rsidRPr="00642A94">
        <w:rPr>
          <w:lang w:val="fr-FR"/>
        </w:rPr>
        <w:t xml:space="preserve"> of the civil </w:t>
      </w:r>
      <w:proofErr w:type="spellStart"/>
      <w:r w:rsidRPr="00642A94">
        <w:rPr>
          <w:lang w:val="fr-FR"/>
        </w:rPr>
        <w:t>works</w:t>
      </w:r>
      <w:proofErr w:type="spellEnd"/>
      <w:r w:rsidRPr="00642A94">
        <w:rPr>
          <w:lang w:val="fr-FR"/>
        </w:rPr>
        <w:t xml:space="preserve"> and </w:t>
      </w:r>
      <w:proofErr w:type="spellStart"/>
      <w:r w:rsidRPr="00642A94">
        <w:rPr>
          <w:lang w:val="fr-FR"/>
        </w:rPr>
        <w:t>proposed</w:t>
      </w:r>
      <w:proofErr w:type="spellEnd"/>
      <w:r w:rsidRPr="00642A94">
        <w:rPr>
          <w:lang w:val="fr-FR"/>
        </w:rPr>
        <w:t xml:space="preserve"> interventions. This component </w:t>
      </w:r>
      <w:proofErr w:type="spellStart"/>
      <w:r w:rsidRPr="00642A94">
        <w:rPr>
          <w:lang w:val="fr-FR"/>
        </w:rPr>
        <w:t>will</w:t>
      </w:r>
      <w:proofErr w:type="spellEnd"/>
      <w:r w:rsidRPr="00642A94">
        <w:rPr>
          <w:lang w:val="fr-FR"/>
        </w:rPr>
        <w:t xml:space="preserve"> </w:t>
      </w:r>
      <w:proofErr w:type="spellStart"/>
      <w:r w:rsidRPr="00642A94">
        <w:rPr>
          <w:lang w:val="fr-FR"/>
        </w:rPr>
        <w:t>implement</w:t>
      </w:r>
      <w:proofErr w:type="spellEnd"/>
      <w:r w:rsidRPr="00642A94">
        <w:rPr>
          <w:lang w:val="fr-FR"/>
        </w:rPr>
        <w:t xml:space="preserve"> ITS for </w:t>
      </w:r>
      <w:proofErr w:type="spellStart"/>
      <w:r w:rsidRPr="00642A94">
        <w:rPr>
          <w:lang w:val="fr-FR"/>
        </w:rPr>
        <w:t>traffic</w:t>
      </w:r>
      <w:proofErr w:type="spellEnd"/>
      <w:r w:rsidRPr="00642A94">
        <w:rPr>
          <w:lang w:val="fr-FR"/>
        </w:rPr>
        <w:t xml:space="preserve"> control, planning, and </w:t>
      </w:r>
      <w:proofErr w:type="spellStart"/>
      <w:r w:rsidRPr="00642A94">
        <w:rPr>
          <w:lang w:val="fr-FR"/>
        </w:rPr>
        <w:t>enforcement</w:t>
      </w:r>
      <w:proofErr w:type="spellEnd"/>
      <w:r w:rsidRPr="00642A94">
        <w:rPr>
          <w:lang w:val="fr-FR"/>
        </w:rPr>
        <w:t xml:space="preserve">, </w:t>
      </w:r>
      <w:proofErr w:type="spellStart"/>
      <w:r w:rsidRPr="00642A94">
        <w:rPr>
          <w:lang w:val="fr-FR"/>
        </w:rPr>
        <w:t>while</w:t>
      </w:r>
      <w:proofErr w:type="spellEnd"/>
      <w:r w:rsidRPr="00642A94">
        <w:rPr>
          <w:lang w:val="fr-FR"/>
        </w:rPr>
        <w:t xml:space="preserve"> </w:t>
      </w:r>
      <w:proofErr w:type="spellStart"/>
      <w:r w:rsidRPr="00642A94">
        <w:rPr>
          <w:lang w:val="fr-FR"/>
        </w:rPr>
        <w:t>integrating</w:t>
      </w:r>
      <w:proofErr w:type="spellEnd"/>
      <w:r w:rsidRPr="00642A94">
        <w:rPr>
          <w:lang w:val="fr-FR"/>
        </w:rPr>
        <w:t xml:space="preserve"> </w:t>
      </w:r>
      <w:proofErr w:type="spellStart"/>
      <w:r w:rsidRPr="00642A94">
        <w:rPr>
          <w:lang w:val="fr-FR"/>
        </w:rPr>
        <w:t>traffic</w:t>
      </w:r>
      <w:proofErr w:type="spellEnd"/>
      <w:r w:rsidRPr="00642A94">
        <w:rPr>
          <w:lang w:val="fr-FR"/>
        </w:rPr>
        <w:t xml:space="preserve"> lights and variable message </w:t>
      </w:r>
      <w:proofErr w:type="spellStart"/>
      <w:r w:rsidRPr="00642A94">
        <w:rPr>
          <w:lang w:val="fr-FR"/>
        </w:rPr>
        <w:t>signs</w:t>
      </w:r>
      <w:proofErr w:type="spellEnd"/>
      <w:r w:rsidRPr="00642A94">
        <w:rPr>
          <w:lang w:val="fr-FR"/>
        </w:rPr>
        <w:t xml:space="preserve"> for sections adjacent to the port and </w:t>
      </w:r>
      <w:proofErr w:type="spellStart"/>
      <w:r w:rsidRPr="00642A94">
        <w:rPr>
          <w:lang w:val="fr-FR"/>
        </w:rPr>
        <w:t>along</w:t>
      </w:r>
      <w:proofErr w:type="spellEnd"/>
      <w:r w:rsidRPr="00642A94">
        <w:rPr>
          <w:lang w:val="fr-FR"/>
        </w:rPr>
        <w:t xml:space="preserve"> the road section. The intervention </w:t>
      </w:r>
      <w:proofErr w:type="spellStart"/>
      <w:r w:rsidRPr="00642A94">
        <w:rPr>
          <w:lang w:val="fr-FR"/>
        </w:rPr>
        <w:t>will</w:t>
      </w:r>
      <w:proofErr w:type="spellEnd"/>
      <w:r w:rsidRPr="00642A94">
        <w:rPr>
          <w:lang w:val="fr-FR"/>
        </w:rPr>
        <w:t xml:space="preserve"> </w:t>
      </w:r>
      <w:proofErr w:type="spellStart"/>
      <w:r w:rsidRPr="00642A94">
        <w:rPr>
          <w:lang w:val="fr-FR"/>
        </w:rPr>
        <w:t>ensure</w:t>
      </w:r>
      <w:proofErr w:type="spellEnd"/>
      <w:r w:rsidRPr="00642A94">
        <w:rPr>
          <w:lang w:val="fr-FR"/>
        </w:rPr>
        <w:t xml:space="preserve"> </w:t>
      </w:r>
      <w:proofErr w:type="spellStart"/>
      <w:r w:rsidRPr="00642A94">
        <w:rPr>
          <w:lang w:val="fr-FR"/>
        </w:rPr>
        <w:t>that</w:t>
      </w:r>
      <w:proofErr w:type="spellEnd"/>
      <w:r w:rsidRPr="00642A94">
        <w:rPr>
          <w:lang w:val="fr-FR"/>
        </w:rPr>
        <w:t xml:space="preserve"> the </w:t>
      </w:r>
      <w:proofErr w:type="spellStart"/>
      <w:r w:rsidRPr="00642A94">
        <w:rPr>
          <w:lang w:val="fr-FR"/>
        </w:rPr>
        <w:t>related</w:t>
      </w:r>
      <w:proofErr w:type="spellEnd"/>
      <w:r w:rsidRPr="00642A94">
        <w:rPr>
          <w:lang w:val="fr-FR"/>
        </w:rPr>
        <w:t xml:space="preserve"> infrastructure </w:t>
      </w:r>
      <w:proofErr w:type="spellStart"/>
      <w:r w:rsidRPr="00642A94">
        <w:rPr>
          <w:lang w:val="fr-FR"/>
        </w:rPr>
        <w:t>will</w:t>
      </w:r>
      <w:proofErr w:type="spellEnd"/>
      <w:r w:rsidRPr="00642A94">
        <w:rPr>
          <w:lang w:val="fr-FR"/>
        </w:rPr>
        <w:t xml:space="preserve"> </w:t>
      </w:r>
      <w:proofErr w:type="spellStart"/>
      <w:r w:rsidRPr="00642A94">
        <w:rPr>
          <w:lang w:val="fr-FR"/>
        </w:rPr>
        <w:t>comply</w:t>
      </w:r>
      <w:proofErr w:type="spellEnd"/>
      <w:r w:rsidRPr="00642A94">
        <w:rPr>
          <w:lang w:val="fr-FR"/>
        </w:rPr>
        <w:t xml:space="preserve"> </w:t>
      </w:r>
      <w:proofErr w:type="spellStart"/>
      <w:r w:rsidRPr="00642A94">
        <w:rPr>
          <w:lang w:val="fr-FR"/>
        </w:rPr>
        <w:t>with</w:t>
      </w:r>
      <w:proofErr w:type="spellEnd"/>
      <w:r w:rsidRPr="00642A94">
        <w:rPr>
          <w:lang w:val="fr-FR"/>
        </w:rPr>
        <w:t xml:space="preserve"> </w:t>
      </w:r>
      <w:proofErr w:type="spellStart"/>
      <w:r w:rsidRPr="00642A94">
        <w:rPr>
          <w:lang w:val="fr-FR"/>
        </w:rPr>
        <w:t>universal</w:t>
      </w:r>
      <w:proofErr w:type="spellEnd"/>
      <w:r w:rsidRPr="00642A94">
        <w:rPr>
          <w:lang w:val="fr-FR"/>
        </w:rPr>
        <w:t xml:space="preserve"> </w:t>
      </w:r>
      <w:proofErr w:type="spellStart"/>
      <w:r w:rsidRPr="00642A94">
        <w:rPr>
          <w:lang w:val="fr-FR"/>
        </w:rPr>
        <w:t>accessibility</w:t>
      </w:r>
      <w:proofErr w:type="spellEnd"/>
      <w:r w:rsidRPr="00642A94">
        <w:rPr>
          <w:lang w:val="fr-FR"/>
        </w:rPr>
        <w:t xml:space="preserve"> design.</w:t>
      </w:r>
    </w:p>
    <w:p w14:paraId="3EB1B833" w14:textId="53D1E6BB" w:rsidR="00642A94" w:rsidRPr="00642A94" w:rsidRDefault="00642A94" w:rsidP="00642A94">
      <w:pPr>
        <w:pStyle w:val="Paragraph"/>
        <w:numPr>
          <w:ilvl w:val="1"/>
          <w:numId w:val="4"/>
        </w:numPr>
        <w:spacing w:before="80" w:after="80"/>
        <w:rPr>
          <w:b/>
          <w:lang w:val="fr-FR"/>
        </w:rPr>
      </w:pPr>
      <w:r w:rsidRPr="00642A94">
        <w:rPr>
          <w:b/>
          <w:lang w:val="fr-FR"/>
        </w:rPr>
        <w:t xml:space="preserve">Component 3. </w:t>
      </w:r>
      <w:proofErr w:type="spellStart"/>
      <w:r w:rsidRPr="00642A94">
        <w:rPr>
          <w:b/>
          <w:lang w:val="fr-FR"/>
        </w:rPr>
        <w:t>Institutional</w:t>
      </w:r>
      <w:proofErr w:type="spellEnd"/>
      <w:r w:rsidRPr="00642A94">
        <w:rPr>
          <w:b/>
          <w:lang w:val="fr-FR"/>
        </w:rPr>
        <w:t xml:space="preserve"> </w:t>
      </w:r>
      <w:proofErr w:type="spellStart"/>
      <w:r w:rsidRPr="00642A94">
        <w:rPr>
          <w:b/>
          <w:lang w:val="fr-FR"/>
        </w:rPr>
        <w:t>strengthening</w:t>
      </w:r>
      <w:proofErr w:type="spellEnd"/>
      <w:r w:rsidRPr="00642A94">
        <w:rPr>
          <w:b/>
          <w:lang w:val="fr-FR"/>
        </w:rPr>
        <w:t xml:space="preserve"> and administration (US$0.7 million). </w:t>
      </w:r>
      <w:r w:rsidRPr="00642A94">
        <w:rPr>
          <w:lang w:val="fr-FR"/>
        </w:rPr>
        <w:t xml:space="preserve">This component </w:t>
      </w:r>
      <w:proofErr w:type="spellStart"/>
      <w:r w:rsidRPr="00642A94">
        <w:rPr>
          <w:lang w:val="fr-FR"/>
        </w:rPr>
        <w:t>will</w:t>
      </w:r>
      <w:proofErr w:type="spellEnd"/>
      <w:r w:rsidRPr="00642A94">
        <w:rPr>
          <w:lang w:val="fr-FR"/>
        </w:rPr>
        <w:t xml:space="preserve"> finance: (i) the </w:t>
      </w:r>
      <w:proofErr w:type="spellStart"/>
      <w:r w:rsidRPr="00642A94">
        <w:rPr>
          <w:lang w:val="fr-FR"/>
        </w:rPr>
        <w:t>development</w:t>
      </w:r>
      <w:proofErr w:type="spellEnd"/>
      <w:r w:rsidRPr="00642A94">
        <w:rPr>
          <w:lang w:val="fr-FR"/>
        </w:rPr>
        <w:t xml:space="preserve"> of a Road Asset Management System (RAMS) for the national road network, </w:t>
      </w:r>
      <w:proofErr w:type="spellStart"/>
      <w:r w:rsidRPr="00642A94">
        <w:rPr>
          <w:lang w:val="fr-FR"/>
        </w:rPr>
        <w:t>allowing</w:t>
      </w:r>
      <w:proofErr w:type="spellEnd"/>
      <w:r w:rsidRPr="00642A94">
        <w:rPr>
          <w:lang w:val="fr-FR"/>
        </w:rPr>
        <w:t xml:space="preserve"> </w:t>
      </w:r>
      <w:proofErr w:type="spellStart"/>
      <w:r w:rsidRPr="00642A94">
        <w:rPr>
          <w:lang w:val="fr-FR"/>
        </w:rPr>
        <w:t>systematic</w:t>
      </w:r>
      <w:proofErr w:type="spellEnd"/>
      <w:r w:rsidRPr="00642A94">
        <w:rPr>
          <w:lang w:val="fr-FR"/>
        </w:rPr>
        <w:t xml:space="preserve"> planning and </w:t>
      </w:r>
      <w:proofErr w:type="spellStart"/>
      <w:r w:rsidRPr="00642A94">
        <w:rPr>
          <w:lang w:val="fr-FR"/>
        </w:rPr>
        <w:t>execution</w:t>
      </w:r>
      <w:proofErr w:type="spellEnd"/>
      <w:r w:rsidRPr="00642A94">
        <w:rPr>
          <w:lang w:val="fr-FR"/>
        </w:rPr>
        <w:t xml:space="preserve"> of </w:t>
      </w:r>
      <w:r w:rsidRPr="00642A94">
        <w:rPr>
          <w:lang w:val="fr-FR"/>
        </w:rPr>
        <w:lastRenderedPageBreak/>
        <w:t xml:space="preserve">maintenance practices, the road </w:t>
      </w:r>
      <w:proofErr w:type="spellStart"/>
      <w:r w:rsidRPr="00642A94">
        <w:rPr>
          <w:lang w:val="fr-FR"/>
        </w:rPr>
        <w:t>authority</w:t>
      </w:r>
      <w:proofErr w:type="spellEnd"/>
      <w:r w:rsidRPr="00642A94">
        <w:rPr>
          <w:lang w:val="fr-FR"/>
        </w:rPr>
        <w:t xml:space="preserve"> </w:t>
      </w:r>
      <w:proofErr w:type="spellStart"/>
      <w:r w:rsidRPr="00642A94">
        <w:rPr>
          <w:lang w:val="fr-FR"/>
        </w:rPr>
        <w:t>oversees</w:t>
      </w:r>
      <w:proofErr w:type="spellEnd"/>
      <w:r w:rsidRPr="00642A94">
        <w:rPr>
          <w:lang w:val="fr-FR"/>
        </w:rPr>
        <w:t xml:space="preserve"> road maintenance and </w:t>
      </w:r>
      <w:proofErr w:type="spellStart"/>
      <w:r w:rsidRPr="00642A94">
        <w:rPr>
          <w:lang w:val="fr-FR"/>
        </w:rPr>
        <w:t>will</w:t>
      </w:r>
      <w:proofErr w:type="spellEnd"/>
      <w:r w:rsidRPr="00642A94">
        <w:rPr>
          <w:lang w:val="fr-FR"/>
        </w:rPr>
        <w:t xml:space="preserve"> </w:t>
      </w:r>
      <w:proofErr w:type="spellStart"/>
      <w:r w:rsidRPr="00642A94">
        <w:rPr>
          <w:lang w:val="fr-FR"/>
        </w:rPr>
        <w:t>be</w:t>
      </w:r>
      <w:proofErr w:type="spellEnd"/>
      <w:r w:rsidRPr="00642A94">
        <w:rPr>
          <w:lang w:val="fr-FR"/>
        </w:rPr>
        <w:t xml:space="preserve"> the final </w:t>
      </w:r>
      <w:proofErr w:type="spellStart"/>
      <w:r w:rsidRPr="00642A94">
        <w:rPr>
          <w:lang w:val="fr-FR"/>
        </w:rPr>
        <w:t>beneficiary</w:t>
      </w:r>
      <w:proofErr w:type="spellEnd"/>
      <w:r w:rsidRPr="00642A94">
        <w:rPr>
          <w:lang w:val="fr-FR"/>
        </w:rPr>
        <w:t xml:space="preserve"> of the RAMS; (ii) training </w:t>
      </w:r>
      <w:proofErr w:type="spellStart"/>
      <w:r w:rsidRPr="00642A94">
        <w:rPr>
          <w:lang w:val="fr-FR"/>
        </w:rPr>
        <w:t>related</w:t>
      </w:r>
      <w:proofErr w:type="spellEnd"/>
      <w:r w:rsidRPr="00642A94">
        <w:rPr>
          <w:lang w:val="fr-FR"/>
        </w:rPr>
        <w:t xml:space="preserve"> to </w:t>
      </w:r>
      <w:proofErr w:type="spellStart"/>
      <w:r w:rsidRPr="00642A94">
        <w:rPr>
          <w:lang w:val="fr-FR"/>
        </w:rPr>
        <w:t>project</w:t>
      </w:r>
      <w:proofErr w:type="spellEnd"/>
      <w:r w:rsidRPr="00642A94">
        <w:rPr>
          <w:lang w:val="fr-FR"/>
        </w:rPr>
        <w:t xml:space="preserve"> management, engineering, monitoring, and </w:t>
      </w:r>
      <w:proofErr w:type="spellStart"/>
      <w:r w:rsidRPr="00642A94">
        <w:rPr>
          <w:lang w:val="fr-FR"/>
        </w:rPr>
        <w:t>evaluation</w:t>
      </w:r>
      <w:proofErr w:type="spellEnd"/>
      <w:r w:rsidRPr="00642A94">
        <w:rPr>
          <w:lang w:val="fr-FR"/>
        </w:rPr>
        <w:t xml:space="preserve">, and training for </w:t>
      </w:r>
      <w:proofErr w:type="spellStart"/>
      <w:r w:rsidRPr="00642A94">
        <w:rPr>
          <w:lang w:val="fr-FR"/>
        </w:rPr>
        <w:t>various</w:t>
      </w:r>
      <w:proofErr w:type="spellEnd"/>
      <w:r w:rsidRPr="00642A94">
        <w:rPr>
          <w:lang w:val="fr-FR"/>
        </w:rPr>
        <w:t xml:space="preserve"> stakeholders to </w:t>
      </w:r>
      <w:proofErr w:type="spellStart"/>
      <w:r w:rsidRPr="00642A94">
        <w:rPr>
          <w:lang w:val="fr-FR"/>
        </w:rPr>
        <w:t>be</w:t>
      </w:r>
      <w:proofErr w:type="spellEnd"/>
      <w:r w:rsidRPr="00642A94">
        <w:rPr>
          <w:lang w:val="fr-FR"/>
        </w:rPr>
        <w:t xml:space="preserve"> able to </w:t>
      </w:r>
      <w:proofErr w:type="spellStart"/>
      <w:r w:rsidRPr="00642A94">
        <w:rPr>
          <w:lang w:val="fr-FR"/>
        </w:rPr>
        <w:t>register</w:t>
      </w:r>
      <w:proofErr w:type="spellEnd"/>
      <w:r w:rsidRPr="00642A94">
        <w:rPr>
          <w:lang w:val="fr-FR"/>
        </w:rPr>
        <w:t xml:space="preserve"> and use the PCS; (iii) monitoring and </w:t>
      </w:r>
      <w:proofErr w:type="spellStart"/>
      <w:r w:rsidRPr="00642A94">
        <w:rPr>
          <w:lang w:val="fr-FR"/>
        </w:rPr>
        <w:t>evaluation</w:t>
      </w:r>
      <w:proofErr w:type="spellEnd"/>
      <w:r w:rsidRPr="00642A94">
        <w:rPr>
          <w:lang w:val="fr-FR"/>
        </w:rPr>
        <w:t xml:space="preserve">; (iv) </w:t>
      </w:r>
      <w:proofErr w:type="spellStart"/>
      <w:r w:rsidRPr="00642A94">
        <w:rPr>
          <w:lang w:val="fr-FR"/>
        </w:rPr>
        <w:t>execution</w:t>
      </w:r>
      <w:proofErr w:type="spellEnd"/>
      <w:r w:rsidRPr="00642A94">
        <w:rPr>
          <w:lang w:val="fr-FR"/>
        </w:rPr>
        <w:t xml:space="preserve"> of a </w:t>
      </w:r>
      <w:proofErr w:type="spellStart"/>
      <w:r w:rsidRPr="00642A94">
        <w:rPr>
          <w:lang w:val="fr-FR"/>
        </w:rPr>
        <w:t>comprehensive</w:t>
      </w:r>
      <w:proofErr w:type="spellEnd"/>
      <w:r w:rsidRPr="00642A94">
        <w:rPr>
          <w:lang w:val="fr-FR"/>
        </w:rPr>
        <w:t xml:space="preserve"> </w:t>
      </w:r>
      <w:proofErr w:type="spellStart"/>
      <w:r w:rsidRPr="00642A94">
        <w:rPr>
          <w:lang w:val="fr-FR"/>
        </w:rPr>
        <w:t>gender</w:t>
      </w:r>
      <w:proofErr w:type="spellEnd"/>
      <w:r w:rsidRPr="00642A94">
        <w:rPr>
          <w:lang w:val="fr-FR"/>
        </w:rPr>
        <w:t xml:space="preserve"> </w:t>
      </w:r>
      <w:proofErr w:type="spellStart"/>
      <w:r w:rsidRPr="00642A94">
        <w:rPr>
          <w:lang w:val="fr-FR"/>
        </w:rPr>
        <w:t>approach</w:t>
      </w:r>
      <w:proofErr w:type="spellEnd"/>
      <w:r w:rsidRPr="00642A94">
        <w:rPr>
          <w:lang w:val="fr-FR"/>
        </w:rPr>
        <w:t xml:space="preserve">, </w:t>
      </w:r>
      <w:proofErr w:type="spellStart"/>
      <w:r w:rsidRPr="00642A94">
        <w:rPr>
          <w:lang w:val="fr-FR"/>
        </w:rPr>
        <w:t>including</w:t>
      </w:r>
      <w:proofErr w:type="spellEnd"/>
      <w:r w:rsidRPr="00642A94">
        <w:rPr>
          <w:lang w:val="fr-FR"/>
        </w:rPr>
        <w:t xml:space="preserve"> training and </w:t>
      </w:r>
      <w:proofErr w:type="spellStart"/>
      <w:r w:rsidRPr="00642A94">
        <w:rPr>
          <w:lang w:val="fr-FR"/>
        </w:rPr>
        <w:t>empowering</w:t>
      </w:r>
      <w:proofErr w:type="spellEnd"/>
      <w:r w:rsidRPr="00642A94">
        <w:rPr>
          <w:lang w:val="fr-FR"/>
        </w:rPr>
        <w:t xml:space="preserve"> of </w:t>
      </w:r>
      <w:proofErr w:type="spellStart"/>
      <w:r w:rsidRPr="00642A94">
        <w:rPr>
          <w:lang w:val="fr-FR"/>
        </w:rPr>
        <w:t>women</w:t>
      </w:r>
      <w:proofErr w:type="spellEnd"/>
      <w:r w:rsidRPr="00642A94">
        <w:rPr>
          <w:lang w:val="fr-FR"/>
        </w:rPr>
        <w:t xml:space="preserve"> to </w:t>
      </w:r>
      <w:proofErr w:type="spellStart"/>
      <w:r w:rsidRPr="00642A94">
        <w:rPr>
          <w:lang w:val="fr-FR"/>
        </w:rPr>
        <w:t>conduct</w:t>
      </w:r>
      <w:proofErr w:type="spellEnd"/>
      <w:r w:rsidRPr="00642A94">
        <w:rPr>
          <w:lang w:val="fr-FR"/>
        </w:rPr>
        <w:t xml:space="preserve"> </w:t>
      </w:r>
      <w:proofErr w:type="spellStart"/>
      <w:r w:rsidRPr="00642A94">
        <w:rPr>
          <w:lang w:val="fr-FR"/>
        </w:rPr>
        <w:t>specialized</w:t>
      </w:r>
      <w:proofErr w:type="spellEnd"/>
      <w:r w:rsidRPr="00642A94">
        <w:rPr>
          <w:lang w:val="fr-FR"/>
        </w:rPr>
        <w:t xml:space="preserve"> </w:t>
      </w:r>
      <w:proofErr w:type="spellStart"/>
      <w:r w:rsidRPr="00642A94">
        <w:rPr>
          <w:lang w:val="fr-FR"/>
        </w:rPr>
        <w:t>logistic</w:t>
      </w:r>
      <w:proofErr w:type="spellEnd"/>
      <w:r w:rsidRPr="00642A94">
        <w:rPr>
          <w:lang w:val="fr-FR"/>
        </w:rPr>
        <w:t xml:space="preserve"> services and </w:t>
      </w:r>
      <w:proofErr w:type="spellStart"/>
      <w:r w:rsidRPr="00642A94">
        <w:rPr>
          <w:lang w:val="fr-FR"/>
        </w:rPr>
        <w:t>related</w:t>
      </w:r>
      <w:proofErr w:type="spellEnd"/>
      <w:r w:rsidRPr="00642A94">
        <w:rPr>
          <w:lang w:val="fr-FR"/>
        </w:rPr>
        <w:t xml:space="preserve"> </w:t>
      </w:r>
      <w:proofErr w:type="spellStart"/>
      <w:r w:rsidRPr="00642A94">
        <w:rPr>
          <w:lang w:val="fr-FR"/>
        </w:rPr>
        <w:t>activities</w:t>
      </w:r>
      <w:proofErr w:type="spellEnd"/>
      <w:r w:rsidRPr="00642A94">
        <w:rPr>
          <w:lang w:val="fr-FR"/>
        </w:rPr>
        <w:t xml:space="preserve"> </w:t>
      </w:r>
      <w:proofErr w:type="spellStart"/>
      <w:r w:rsidRPr="00642A94">
        <w:rPr>
          <w:lang w:val="fr-FR"/>
        </w:rPr>
        <w:t>under</w:t>
      </w:r>
      <w:proofErr w:type="spellEnd"/>
      <w:r w:rsidRPr="00642A94">
        <w:rPr>
          <w:lang w:val="fr-FR"/>
        </w:rPr>
        <w:t xml:space="preserve"> partnerships </w:t>
      </w:r>
      <w:proofErr w:type="spellStart"/>
      <w:r w:rsidRPr="00642A94">
        <w:rPr>
          <w:lang w:val="fr-FR"/>
        </w:rPr>
        <w:t>with</w:t>
      </w:r>
      <w:proofErr w:type="spellEnd"/>
      <w:r w:rsidRPr="00642A94">
        <w:rPr>
          <w:lang w:val="fr-FR"/>
        </w:rPr>
        <w:t xml:space="preserve"> stakeholders; and (v) initiatives </w:t>
      </w:r>
      <w:proofErr w:type="spellStart"/>
      <w:r w:rsidRPr="00642A94">
        <w:rPr>
          <w:lang w:val="fr-FR"/>
        </w:rPr>
        <w:t>targeting</w:t>
      </w:r>
      <w:proofErr w:type="spellEnd"/>
      <w:r w:rsidRPr="00642A94">
        <w:rPr>
          <w:lang w:val="fr-FR"/>
        </w:rPr>
        <w:t xml:space="preserve"> the inclusion of </w:t>
      </w:r>
      <w:proofErr w:type="spellStart"/>
      <w:r w:rsidRPr="00642A94">
        <w:rPr>
          <w:lang w:val="fr-FR"/>
        </w:rPr>
        <w:t>PwD</w:t>
      </w:r>
      <w:proofErr w:type="spellEnd"/>
      <w:r w:rsidRPr="00642A94">
        <w:rPr>
          <w:lang w:val="fr-FR"/>
        </w:rPr>
        <w:t xml:space="preserve"> in the </w:t>
      </w:r>
      <w:proofErr w:type="spellStart"/>
      <w:r w:rsidRPr="00642A94">
        <w:rPr>
          <w:lang w:val="fr-FR"/>
        </w:rPr>
        <w:t>labor</w:t>
      </w:r>
      <w:proofErr w:type="spellEnd"/>
      <w:r w:rsidRPr="00642A94">
        <w:rPr>
          <w:lang w:val="fr-FR"/>
        </w:rPr>
        <w:t xml:space="preserve"> force </w:t>
      </w:r>
      <w:proofErr w:type="spellStart"/>
      <w:r w:rsidRPr="00642A94">
        <w:rPr>
          <w:lang w:val="fr-FR"/>
        </w:rPr>
        <w:t>related</w:t>
      </w:r>
      <w:proofErr w:type="spellEnd"/>
      <w:r w:rsidRPr="00642A94">
        <w:rPr>
          <w:lang w:val="fr-FR"/>
        </w:rPr>
        <w:t xml:space="preserve"> to the </w:t>
      </w:r>
      <w:proofErr w:type="spellStart"/>
      <w:r w:rsidRPr="00642A94">
        <w:rPr>
          <w:lang w:val="fr-FR"/>
        </w:rPr>
        <w:t>economic</w:t>
      </w:r>
      <w:proofErr w:type="spellEnd"/>
      <w:r w:rsidRPr="00642A94">
        <w:rPr>
          <w:lang w:val="fr-FR"/>
        </w:rPr>
        <w:t xml:space="preserve"> </w:t>
      </w:r>
      <w:proofErr w:type="spellStart"/>
      <w:r w:rsidRPr="00642A94">
        <w:rPr>
          <w:lang w:val="fr-FR"/>
        </w:rPr>
        <w:t>activities</w:t>
      </w:r>
      <w:proofErr w:type="spellEnd"/>
      <w:r w:rsidRPr="00642A94">
        <w:rPr>
          <w:lang w:val="fr-FR"/>
        </w:rPr>
        <w:t xml:space="preserve"> of the port.</w:t>
      </w:r>
      <w:r w:rsidRPr="00642A94">
        <w:rPr>
          <w:b/>
          <w:lang w:val="fr-FR"/>
        </w:rPr>
        <w:t xml:space="preserve"> </w:t>
      </w:r>
    </w:p>
    <w:p w14:paraId="118EAB24" w14:textId="77777777" w:rsidR="00615DD3" w:rsidRDefault="00D8642E" w:rsidP="00615DD3">
      <w:pPr>
        <w:pStyle w:val="Paragraph"/>
        <w:numPr>
          <w:ilvl w:val="1"/>
          <w:numId w:val="4"/>
        </w:numPr>
        <w:spacing w:before="80" w:after="80"/>
      </w:pPr>
      <w:r w:rsidRPr="00615DD3">
        <w:rPr>
          <w:b/>
        </w:rPr>
        <w:t>Administration, management, audit, and contingencies (US$</w:t>
      </w:r>
      <w:r w:rsidR="00CC5B95" w:rsidRPr="00615DD3">
        <w:rPr>
          <w:b/>
        </w:rPr>
        <w:t>3.6</w:t>
      </w:r>
      <w:r w:rsidRPr="00615DD3">
        <w:rPr>
          <w:b/>
        </w:rPr>
        <w:t xml:space="preserve"> million).</w:t>
      </w:r>
      <w:r>
        <w:t xml:space="preserve"> </w:t>
      </w:r>
      <w:r w:rsidR="00615DD3">
        <w:t>The program will also finance an Executing Agency (US$1.895 million), the monitoring and evaluation (US$25,000), an external audit (US$80,000) and contingencies (US$1.6 million).</w:t>
      </w:r>
    </w:p>
    <w:p w14:paraId="741B466D" w14:textId="2A0B60D6" w:rsidR="00561892" w:rsidRDefault="00A61430" w:rsidP="00615DD3">
      <w:pPr>
        <w:pStyle w:val="Paragraph"/>
        <w:numPr>
          <w:ilvl w:val="1"/>
          <w:numId w:val="4"/>
        </w:numPr>
        <w:spacing w:before="80" w:after="80"/>
      </w:pPr>
      <w:r w:rsidRPr="00615DD3">
        <w:rPr>
          <w:b/>
        </w:rPr>
        <w:t>Program detailed budget.</w:t>
      </w:r>
      <w:r>
        <w:t xml:space="preserve"> </w:t>
      </w:r>
      <w:r w:rsidRPr="00A61430">
        <w:t>Table 1 shows the program costs by component and output, as well as the planned annual investment.</w:t>
      </w:r>
    </w:p>
    <w:p w14:paraId="0F773F2B" w14:textId="77777777" w:rsidR="00561892" w:rsidRDefault="00561892" w:rsidP="00561892">
      <w:pPr>
        <w:pStyle w:val="Paragraph"/>
        <w:spacing w:before="80" w:after="80"/>
        <w:ind w:left="720"/>
        <w:sectPr w:rsidR="00561892" w:rsidSect="00274105">
          <w:headerReference w:type="default" r:id="rId14"/>
          <w:footerReference w:type="default" r:id="rId15"/>
          <w:pgSz w:w="12240" w:h="15840"/>
          <w:pgMar w:top="1440" w:right="1440" w:bottom="1440" w:left="1440" w:header="720" w:footer="720" w:gutter="0"/>
          <w:cols w:space="720"/>
          <w:titlePg/>
          <w:docGrid w:linePitch="360"/>
        </w:sectPr>
      </w:pPr>
    </w:p>
    <w:p w14:paraId="5FECC626" w14:textId="79E46506" w:rsidR="00561892" w:rsidRPr="00A061C6" w:rsidRDefault="00561892" w:rsidP="00561892">
      <w:pPr>
        <w:spacing w:after="0" w:line="240" w:lineRule="auto"/>
        <w:ind w:left="1080" w:hanging="1166"/>
        <w:jc w:val="center"/>
        <w:rPr>
          <w:rFonts w:ascii="Arial" w:hAnsi="Arial" w:cs="Arial"/>
          <w:b/>
          <w:smallCaps/>
          <w:sz w:val="20"/>
          <w:szCs w:val="20"/>
        </w:rPr>
      </w:pPr>
      <w:r w:rsidRPr="00D8642E">
        <w:rPr>
          <w:rFonts w:ascii="Times New Roman" w:hAnsi="Times New Roman"/>
          <w:b/>
          <w:sz w:val="24"/>
          <w:szCs w:val="24"/>
        </w:rPr>
        <w:lastRenderedPageBreak/>
        <w:t xml:space="preserve">Table </w:t>
      </w:r>
      <w:r w:rsidR="00A61430">
        <w:rPr>
          <w:rFonts w:ascii="Times New Roman" w:hAnsi="Times New Roman"/>
          <w:b/>
          <w:sz w:val="24"/>
          <w:szCs w:val="24"/>
        </w:rPr>
        <w:t>1</w:t>
      </w:r>
      <w:r w:rsidRPr="00D8642E">
        <w:rPr>
          <w:rFonts w:ascii="Times New Roman" w:hAnsi="Times New Roman"/>
          <w:b/>
          <w:sz w:val="24"/>
          <w:szCs w:val="24"/>
        </w:rPr>
        <w:t xml:space="preserve">. </w:t>
      </w:r>
      <w:r>
        <w:rPr>
          <w:rFonts w:ascii="Times New Roman" w:hAnsi="Times New Roman"/>
          <w:b/>
          <w:sz w:val="24"/>
          <w:szCs w:val="24"/>
        </w:rPr>
        <w:t>Yearly costs by product</w:t>
      </w:r>
    </w:p>
    <w:tbl>
      <w:tblPr>
        <w:tblW w:w="12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3305"/>
        <w:gridCol w:w="1411"/>
        <w:gridCol w:w="1130"/>
        <w:gridCol w:w="1134"/>
        <w:gridCol w:w="1167"/>
        <w:gridCol w:w="1167"/>
        <w:gridCol w:w="1206"/>
        <w:gridCol w:w="1167"/>
      </w:tblGrid>
      <w:tr w:rsidR="00A61430" w:rsidRPr="00F84ECE" w14:paraId="0E2B6937" w14:textId="77777777" w:rsidTr="00975496">
        <w:trPr>
          <w:trHeight w:val="240"/>
        </w:trPr>
        <w:tc>
          <w:tcPr>
            <w:tcW w:w="1241" w:type="dxa"/>
            <w:shd w:val="clear" w:color="000000" w:fill="FFFFFF"/>
            <w:noWrap/>
            <w:vAlign w:val="center"/>
            <w:hideMark/>
          </w:tcPr>
          <w:p w14:paraId="197A8A81"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WBS</w:t>
            </w:r>
          </w:p>
        </w:tc>
        <w:tc>
          <w:tcPr>
            <w:tcW w:w="3305" w:type="dxa"/>
            <w:shd w:val="clear" w:color="000000" w:fill="FFFFFF"/>
            <w:vAlign w:val="center"/>
            <w:hideMark/>
          </w:tcPr>
          <w:p w14:paraId="0D204385"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Component/ Product</w:t>
            </w:r>
          </w:p>
        </w:tc>
        <w:tc>
          <w:tcPr>
            <w:tcW w:w="1411" w:type="dxa"/>
            <w:shd w:val="clear" w:color="auto" w:fill="auto"/>
            <w:vAlign w:val="center"/>
            <w:hideMark/>
          </w:tcPr>
          <w:p w14:paraId="29CAF1D3"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Unit of measure</w:t>
            </w:r>
          </w:p>
        </w:tc>
        <w:tc>
          <w:tcPr>
            <w:tcW w:w="1141" w:type="dxa"/>
            <w:shd w:val="clear" w:color="auto" w:fill="auto"/>
            <w:vAlign w:val="center"/>
            <w:hideMark/>
          </w:tcPr>
          <w:p w14:paraId="69AC0171"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Year 1</w:t>
            </w:r>
          </w:p>
        </w:tc>
        <w:tc>
          <w:tcPr>
            <w:tcW w:w="1141" w:type="dxa"/>
            <w:shd w:val="clear" w:color="auto" w:fill="auto"/>
            <w:vAlign w:val="center"/>
            <w:hideMark/>
          </w:tcPr>
          <w:p w14:paraId="06C04B6F"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Year 2</w:t>
            </w:r>
          </w:p>
        </w:tc>
        <w:tc>
          <w:tcPr>
            <w:tcW w:w="1155" w:type="dxa"/>
            <w:shd w:val="clear" w:color="auto" w:fill="auto"/>
            <w:vAlign w:val="center"/>
            <w:hideMark/>
          </w:tcPr>
          <w:p w14:paraId="1A1A8CB6"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Year 3</w:t>
            </w:r>
          </w:p>
        </w:tc>
        <w:tc>
          <w:tcPr>
            <w:tcW w:w="1155" w:type="dxa"/>
            <w:shd w:val="clear" w:color="auto" w:fill="auto"/>
            <w:vAlign w:val="center"/>
            <w:hideMark/>
          </w:tcPr>
          <w:p w14:paraId="0794DC1E"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Year 4</w:t>
            </w:r>
          </w:p>
        </w:tc>
        <w:tc>
          <w:tcPr>
            <w:tcW w:w="1224" w:type="dxa"/>
            <w:shd w:val="clear" w:color="auto" w:fill="auto"/>
            <w:vAlign w:val="center"/>
            <w:hideMark/>
          </w:tcPr>
          <w:p w14:paraId="74CD0EA3"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Year 5</w:t>
            </w:r>
          </w:p>
        </w:tc>
        <w:tc>
          <w:tcPr>
            <w:tcW w:w="1155" w:type="dxa"/>
            <w:shd w:val="clear" w:color="auto" w:fill="auto"/>
            <w:vAlign w:val="center"/>
            <w:hideMark/>
          </w:tcPr>
          <w:p w14:paraId="79B775B4"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Total</w:t>
            </w:r>
          </w:p>
        </w:tc>
      </w:tr>
      <w:tr w:rsidR="00A61430" w:rsidRPr="00A644C3" w14:paraId="6FB0681E" w14:textId="77777777" w:rsidTr="00975496">
        <w:trPr>
          <w:trHeight w:val="240"/>
        </w:trPr>
        <w:tc>
          <w:tcPr>
            <w:tcW w:w="1241" w:type="dxa"/>
            <w:shd w:val="clear" w:color="auto" w:fill="95B3D7" w:themeFill="accent1" w:themeFillTint="99"/>
            <w:vAlign w:val="center"/>
            <w:hideMark/>
          </w:tcPr>
          <w:p w14:paraId="327008F8" w14:textId="77777777" w:rsidR="00A61430" w:rsidRPr="00B369D9" w:rsidRDefault="00A61430" w:rsidP="00A61430">
            <w:pPr>
              <w:spacing w:after="0" w:line="240" w:lineRule="auto"/>
              <w:jc w:val="right"/>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1</w:t>
            </w:r>
          </w:p>
        </w:tc>
        <w:tc>
          <w:tcPr>
            <w:tcW w:w="3305" w:type="dxa"/>
            <w:shd w:val="clear" w:color="auto" w:fill="95B3D7" w:themeFill="accent1" w:themeFillTint="99"/>
            <w:noWrap/>
            <w:vAlign w:val="center"/>
            <w:hideMark/>
          </w:tcPr>
          <w:p w14:paraId="0F14EF75" w14:textId="77777777" w:rsidR="00A61430" w:rsidRPr="00B369D9" w:rsidRDefault="00A61430" w:rsidP="00A61430">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Component 1: Port interventions</w:t>
            </w:r>
          </w:p>
        </w:tc>
        <w:tc>
          <w:tcPr>
            <w:tcW w:w="1411" w:type="dxa"/>
            <w:shd w:val="clear" w:color="auto" w:fill="95B3D7" w:themeFill="accent1" w:themeFillTint="99"/>
            <w:vAlign w:val="center"/>
            <w:hideMark/>
          </w:tcPr>
          <w:p w14:paraId="31331B6B" w14:textId="77777777" w:rsidR="00A61430" w:rsidRPr="00B369D9" w:rsidRDefault="00A61430" w:rsidP="00A61430">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 </w:t>
            </w:r>
          </w:p>
        </w:tc>
        <w:tc>
          <w:tcPr>
            <w:tcW w:w="1141" w:type="dxa"/>
            <w:shd w:val="clear" w:color="auto" w:fill="95B3D7" w:themeFill="accent1" w:themeFillTint="99"/>
          </w:tcPr>
          <w:p w14:paraId="10AFAF64" w14:textId="285A8E90"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819,764 </w:t>
            </w:r>
          </w:p>
        </w:tc>
        <w:tc>
          <w:tcPr>
            <w:tcW w:w="1141" w:type="dxa"/>
            <w:shd w:val="clear" w:color="auto" w:fill="95B3D7" w:themeFill="accent1" w:themeFillTint="99"/>
          </w:tcPr>
          <w:p w14:paraId="3EE848CC" w14:textId="351BE0F0"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2,697,236 </w:t>
            </w:r>
          </w:p>
        </w:tc>
        <w:tc>
          <w:tcPr>
            <w:tcW w:w="1155" w:type="dxa"/>
            <w:shd w:val="clear" w:color="auto" w:fill="95B3D7" w:themeFill="accent1" w:themeFillTint="99"/>
          </w:tcPr>
          <w:p w14:paraId="703DA029" w14:textId="09911AA0"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943,000 </w:t>
            </w:r>
          </w:p>
        </w:tc>
        <w:tc>
          <w:tcPr>
            <w:tcW w:w="1155" w:type="dxa"/>
            <w:shd w:val="clear" w:color="auto" w:fill="95B3D7" w:themeFill="accent1" w:themeFillTint="99"/>
          </w:tcPr>
          <w:p w14:paraId="07362DDF" w14:textId="1EB731E3"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 </w:t>
            </w:r>
          </w:p>
        </w:tc>
        <w:tc>
          <w:tcPr>
            <w:tcW w:w="1224" w:type="dxa"/>
            <w:shd w:val="clear" w:color="auto" w:fill="95B3D7" w:themeFill="accent1" w:themeFillTint="99"/>
          </w:tcPr>
          <w:p w14:paraId="448A89EB" w14:textId="7501890F"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 </w:t>
            </w:r>
          </w:p>
        </w:tc>
        <w:tc>
          <w:tcPr>
            <w:tcW w:w="1155" w:type="dxa"/>
            <w:shd w:val="clear" w:color="auto" w:fill="95B3D7" w:themeFill="accent1" w:themeFillTint="99"/>
          </w:tcPr>
          <w:p w14:paraId="11D9E845" w14:textId="56F3FC1C" w:rsidR="00A61430" w:rsidRPr="00B369D9"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xml:space="preserve"> 4,460,000 </w:t>
            </w:r>
          </w:p>
        </w:tc>
      </w:tr>
      <w:tr w:rsidR="00A61430" w:rsidRPr="00F84ECE" w14:paraId="37C77C83" w14:textId="77777777" w:rsidTr="00975496">
        <w:trPr>
          <w:trHeight w:val="240"/>
        </w:trPr>
        <w:tc>
          <w:tcPr>
            <w:tcW w:w="1241" w:type="dxa"/>
            <w:shd w:val="clear" w:color="auto" w:fill="auto"/>
            <w:vAlign w:val="center"/>
            <w:hideMark/>
          </w:tcPr>
          <w:p w14:paraId="5D974AEC"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1.1</w:t>
            </w:r>
          </w:p>
        </w:tc>
        <w:tc>
          <w:tcPr>
            <w:tcW w:w="3305" w:type="dxa"/>
            <w:shd w:val="clear" w:color="auto" w:fill="auto"/>
            <w:vAlign w:val="center"/>
            <w:hideMark/>
          </w:tcPr>
          <w:p w14:paraId="10221BAD"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1: Logistics Center built</w:t>
            </w:r>
          </w:p>
        </w:tc>
        <w:tc>
          <w:tcPr>
            <w:tcW w:w="1411" w:type="dxa"/>
            <w:shd w:val="clear" w:color="auto" w:fill="auto"/>
            <w:vAlign w:val="center"/>
            <w:hideMark/>
          </w:tcPr>
          <w:p w14:paraId="078C6A75"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ha</w:t>
            </w:r>
          </w:p>
        </w:tc>
        <w:tc>
          <w:tcPr>
            <w:tcW w:w="1141" w:type="dxa"/>
            <w:shd w:val="clear" w:color="auto" w:fill="auto"/>
            <w:vAlign w:val="center"/>
            <w:hideMark/>
          </w:tcPr>
          <w:p w14:paraId="30DCBD3B"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819,764 </w:t>
            </w:r>
          </w:p>
        </w:tc>
        <w:tc>
          <w:tcPr>
            <w:tcW w:w="1141" w:type="dxa"/>
            <w:shd w:val="clear" w:color="auto" w:fill="auto"/>
            <w:vAlign w:val="center"/>
            <w:hideMark/>
          </w:tcPr>
          <w:p w14:paraId="1F54592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1,230,236 </w:t>
            </w:r>
          </w:p>
        </w:tc>
        <w:tc>
          <w:tcPr>
            <w:tcW w:w="1155" w:type="dxa"/>
            <w:shd w:val="clear" w:color="auto" w:fill="auto"/>
            <w:vAlign w:val="center"/>
            <w:hideMark/>
          </w:tcPr>
          <w:p w14:paraId="01ECE30C"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77CEE77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224" w:type="dxa"/>
            <w:shd w:val="clear" w:color="auto" w:fill="auto"/>
            <w:vAlign w:val="center"/>
            <w:hideMark/>
          </w:tcPr>
          <w:p w14:paraId="5792FBED"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3CD7A451"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2,050,000 </w:t>
            </w:r>
          </w:p>
        </w:tc>
      </w:tr>
      <w:tr w:rsidR="00A61430" w:rsidRPr="00F84ECE" w14:paraId="24D2F466" w14:textId="77777777" w:rsidTr="00975496">
        <w:trPr>
          <w:trHeight w:val="240"/>
        </w:trPr>
        <w:tc>
          <w:tcPr>
            <w:tcW w:w="1241" w:type="dxa"/>
            <w:shd w:val="clear" w:color="auto" w:fill="auto"/>
            <w:vAlign w:val="center"/>
            <w:hideMark/>
          </w:tcPr>
          <w:p w14:paraId="7B007332"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1.2</w:t>
            </w:r>
          </w:p>
        </w:tc>
        <w:tc>
          <w:tcPr>
            <w:tcW w:w="3305" w:type="dxa"/>
            <w:shd w:val="clear" w:color="auto" w:fill="auto"/>
            <w:vAlign w:val="center"/>
            <w:hideMark/>
          </w:tcPr>
          <w:p w14:paraId="5B503B8D"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2:  Access control system installed</w:t>
            </w:r>
          </w:p>
        </w:tc>
        <w:tc>
          <w:tcPr>
            <w:tcW w:w="1411" w:type="dxa"/>
            <w:shd w:val="clear" w:color="auto" w:fill="auto"/>
            <w:vAlign w:val="center"/>
            <w:hideMark/>
          </w:tcPr>
          <w:p w14:paraId="300969C3"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system</w:t>
            </w:r>
          </w:p>
        </w:tc>
        <w:tc>
          <w:tcPr>
            <w:tcW w:w="1141" w:type="dxa"/>
            <w:shd w:val="clear" w:color="auto" w:fill="auto"/>
            <w:vAlign w:val="center"/>
            <w:hideMark/>
          </w:tcPr>
          <w:p w14:paraId="742B3A00"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41" w:type="dxa"/>
            <w:shd w:val="clear" w:color="auto" w:fill="auto"/>
            <w:vAlign w:val="center"/>
            <w:hideMark/>
          </w:tcPr>
          <w:p w14:paraId="395CFBE0"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147,000 </w:t>
            </w:r>
          </w:p>
        </w:tc>
        <w:tc>
          <w:tcPr>
            <w:tcW w:w="1155" w:type="dxa"/>
            <w:shd w:val="clear" w:color="auto" w:fill="auto"/>
            <w:vAlign w:val="center"/>
            <w:hideMark/>
          </w:tcPr>
          <w:p w14:paraId="3F378D2D"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63,000 </w:t>
            </w:r>
          </w:p>
        </w:tc>
        <w:tc>
          <w:tcPr>
            <w:tcW w:w="1155" w:type="dxa"/>
            <w:shd w:val="clear" w:color="auto" w:fill="auto"/>
            <w:vAlign w:val="center"/>
            <w:hideMark/>
          </w:tcPr>
          <w:p w14:paraId="512FD82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224" w:type="dxa"/>
            <w:shd w:val="clear" w:color="auto" w:fill="auto"/>
            <w:vAlign w:val="center"/>
            <w:hideMark/>
          </w:tcPr>
          <w:p w14:paraId="33844415"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7434B364"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210,000 </w:t>
            </w:r>
          </w:p>
        </w:tc>
      </w:tr>
      <w:tr w:rsidR="00A61430" w:rsidRPr="00F84ECE" w14:paraId="49A166DA" w14:textId="77777777" w:rsidTr="00975496">
        <w:trPr>
          <w:trHeight w:val="240"/>
        </w:trPr>
        <w:tc>
          <w:tcPr>
            <w:tcW w:w="1241" w:type="dxa"/>
            <w:shd w:val="clear" w:color="auto" w:fill="auto"/>
            <w:vAlign w:val="center"/>
            <w:hideMark/>
          </w:tcPr>
          <w:p w14:paraId="4BF6A447"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1.3</w:t>
            </w:r>
          </w:p>
        </w:tc>
        <w:tc>
          <w:tcPr>
            <w:tcW w:w="3305" w:type="dxa"/>
            <w:shd w:val="clear" w:color="auto" w:fill="auto"/>
            <w:vAlign w:val="center"/>
            <w:hideMark/>
          </w:tcPr>
          <w:p w14:paraId="50090C9C"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 xml:space="preserve">Product 3: Port Community System implemented </w:t>
            </w:r>
          </w:p>
        </w:tc>
        <w:tc>
          <w:tcPr>
            <w:tcW w:w="1411" w:type="dxa"/>
            <w:shd w:val="clear" w:color="auto" w:fill="auto"/>
            <w:vAlign w:val="center"/>
            <w:hideMark/>
          </w:tcPr>
          <w:p w14:paraId="0635AE31"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system</w:t>
            </w:r>
          </w:p>
        </w:tc>
        <w:tc>
          <w:tcPr>
            <w:tcW w:w="1141" w:type="dxa"/>
            <w:shd w:val="clear" w:color="auto" w:fill="auto"/>
            <w:vAlign w:val="center"/>
            <w:hideMark/>
          </w:tcPr>
          <w:p w14:paraId="54684865"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41" w:type="dxa"/>
            <w:shd w:val="clear" w:color="auto" w:fill="auto"/>
            <w:vAlign w:val="center"/>
            <w:hideMark/>
          </w:tcPr>
          <w:p w14:paraId="3FAE262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1,320,000 </w:t>
            </w:r>
          </w:p>
        </w:tc>
        <w:tc>
          <w:tcPr>
            <w:tcW w:w="1155" w:type="dxa"/>
            <w:shd w:val="clear" w:color="auto" w:fill="auto"/>
            <w:vAlign w:val="center"/>
            <w:hideMark/>
          </w:tcPr>
          <w:p w14:paraId="16FB843C"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880,000 </w:t>
            </w:r>
          </w:p>
        </w:tc>
        <w:tc>
          <w:tcPr>
            <w:tcW w:w="1155" w:type="dxa"/>
            <w:shd w:val="clear" w:color="auto" w:fill="auto"/>
            <w:vAlign w:val="center"/>
            <w:hideMark/>
          </w:tcPr>
          <w:p w14:paraId="4A0CBD40"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224" w:type="dxa"/>
            <w:shd w:val="clear" w:color="auto" w:fill="auto"/>
            <w:vAlign w:val="center"/>
            <w:hideMark/>
          </w:tcPr>
          <w:p w14:paraId="65C516B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55055BD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2,200,000 </w:t>
            </w:r>
          </w:p>
        </w:tc>
      </w:tr>
      <w:tr w:rsidR="00561892" w:rsidRPr="00F84ECE" w14:paraId="5F3832E5" w14:textId="77777777" w:rsidTr="00975496">
        <w:trPr>
          <w:trHeight w:val="240"/>
        </w:trPr>
        <w:tc>
          <w:tcPr>
            <w:tcW w:w="1241" w:type="dxa"/>
            <w:shd w:val="clear" w:color="auto" w:fill="95B3D7" w:themeFill="accent1" w:themeFillTint="99"/>
            <w:vAlign w:val="center"/>
            <w:hideMark/>
          </w:tcPr>
          <w:p w14:paraId="4FF39CED" w14:textId="77777777" w:rsidR="00561892" w:rsidRPr="00B369D9" w:rsidRDefault="00561892" w:rsidP="00975496">
            <w:pPr>
              <w:spacing w:after="0" w:line="240" w:lineRule="auto"/>
              <w:jc w:val="right"/>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2</w:t>
            </w:r>
          </w:p>
        </w:tc>
        <w:tc>
          <w:tcPr>
            <w:tcW w:w="3305" w:type="dxa"/>
            <w:shd w:val="clear" w:color="auto" w:fill="95B3D7" w:themeFill="accent1" w:themeFillTint="99"/>
            <w:noWrap/>
            <w:vAlign w:val="center"/>
            <w:hideMark/>
          </w:tcPr>
          <w:p w14:paraId="4FD800DF" w14:textId="77777777" w:rsidR="00561892" w:rsidRPr="00B369D9" w:rsidRDefault="00561892" w:rsidP="00975496">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 xml:space="preserve">Component 2: Road interventions </w:t>
            </w:r>
          </w:p>
        </w:tc>
        <w:tc>
          <w:tcPr>
            <w:tcW w:w="1411" w:type="dxa"/>
            <w:shd w:val="clear" w:color="auto" w:fill="95B3D7" w:themeFill="accent1" w:themeFillTint="99"/>
            <w:vAlign w:val="center"/>
            <w:hideMark/>
          </w:tcPr>
          <w:p w14:paraId="2CA63D82" w14:textId="77777777" w:rsidR="00561892" w:rsidRPr="00B369D9" w:rsidRDefault="00561892" w:rsidP="00975496">
            <w:pPr>
              <w:spacing w:after="0" w:line="240" w:lineRule="auto"/>
              <w:jc w:val="center"/>
              <w:rPr>
                <w:rFonts w:ascii="Arial" w:eastAsia="Times New Roman" w:hAnsi="Arial" w:cs="Arial"/>
                <w:bCs/>
                <w:color w:val="FFFFFF"/>
                <w:sz w:val="18"/>
                <w:szCs w:val="20"/>
              </w:rPr>
            </w:pPr>
          </w:p>
        </w:tc>
        <w:tc>
          <w:tcPr>
            <w:tcW w:w="1141" w:type="dxa"/>
            <w:shd w:val="clear" w:color="auto" w:fill="95B3D7" w:themeFill="accent1" w:themeFillTint="99"/>
            <w:vAlign w:val="center"/>
            <w:hideMark/>
          </w:tcPr>
          <w:p w14:paraId="00927D8C" w14:textId="7E232B04" w:rsidR="00561892" w:rsidRPr="00680732" w:rsidRDefault="00A61430"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689,213</w:t>
            </w:r>
          </w:p>
        </w:tc>
        <w:tc>
          <w:tcPr>
            <w:tcW w:w="1141" w:type="dxa"/>
            <w:shd w:val="clear" w:color="auto" w:fill="95B3D7" w:themeFill="accent1" w:themeFillTint="99"/>
            <w:vAlign w:val="center"/>
            <w:hideMark/>
          </w:tcPr>
          <w:p w14:paraId="0EE704C2" w14:textId="109348DD" w:rsidR="00561892" w:rsidRPr="00680732" w:rsidRDefault="00561892" w:rsidP="00975496">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w:t>
            </w:r>
            <w:r w:rsidR="00A61430" w:rsidRPr="00680732">
              <w:rPr>
                <w:rFonts w:ascii="Arial" w:eastAsia="Times New Roman" w:hAnsi="Arial" w:cs="Arial"/>
                <w:b/>
                <w:bCs/>
                <w:color w:val="FFFFFF"/>
                <w:sz w:val="18"/>
                <w:szCs w:val="20"/>
              </w:rPr>
              <w:t>4,514,444</w:t>
            </w:r>
          </w:p>
        </w:tc>
        <w:tc>
          <w:tcPr>
            <w:tcW w:w="1155" w:type="dxa"/>
            <w:shd w:val="clear" w:color="auto" w:fill="95B3D7" w:themeFill="accent1" w:themeFillTint="99"/>
            <w:vAlign w:val="center"/>
            <w:hideMark/>
          </w:tcPr>
          <w:p w14:paraId="4FAE2FFD" w14:textId="655ADDED" w:rsidR="00561892" w:rsidRPr="00680732" w:rsidRDefault="00561892" w:rsidP="00975496">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w:t>
            </w:r>
            <w:r w:rsidR="00A61430" w:rsidRPr="00680732">
              <w:rPr>
                <w:rFonts w:ascii="Arial" w:eastAsia="Times New Roman" w:hAnsi="Arial" w:cs="Arial"/>
                <w:b/>
                <w:bCs/>
                <w:color w:val="FFFFFF"/>
                <w:sz w:val="18"/>
                <w:szCs w:val="20"/>
              </w:rPr>
              <w:t>11,157,799</w:t>
            </w:r>
          </w:p>
        </w:tc>
        <w:tc>
          <w:tcPr>
            <w:tcW w:w="1155" w:type="dxa"/>
            <w:shd w:val="clear" w:color="auto" w:fill="95B3D7" w:themeFill="accent1" w:themeFillTint="99"/>
            <w:vAlign w:val="center"/>
            <w:hideMark/>
          </w:tcPr>
          <w:p w14:paraId="6873D403" w14:textId="726127E3" w:rsidR="00561892" w:rsidRPr="00680732" w:rsidRDefault="00561892" w:rsidP="00975496">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w:t>
            </w:r>
            <w:r w:rsidR="00A61430" w:rsidRPr="00680732">
              <w:rPr>
                <w:rFonts w:ascii="Arial" w:eastAsia="Times New Roman" w:hAnsi="Arial" w:cs="Arial"/>
                <w:b/>
                <w:bCs/>
                <w:color w:val="FFFFFF"/>
                <w:sz w:val="18"/>
                <w:szCs w:val="20"/>
              </w:rPr>
              <w:t>19,838,545</w:t>
            </w:r>
          </w:p>
        </w:tc>
        <w:tc>
          <w:tcPr>
            <w:tcW w:w="1224" w:type="dxa"/>
            <w:shd w:val="clear" w:color="auto" w:fill="95B3D7" w:themeFill="accent1" w:themeFillTint="99"/>
            <w:vAlign w:val="center"/>
            <w:hideMark/>
          </w:tcPr>
          <w:p w14:paraId="3E996A2E" w14:textId="77777777" w:rsidR="00561892" w:rsidRPr="00680732" w:rsidRDefault="00561892" w:rsidP="00975496">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w:t>
            </w:r>
          </w:p>
        </w:tc>
        <w:tc>
          <w:tcPr>
            <w:tcW w:w="1155" w:type="dxa"/>
            <w:shd w:val="clear" w:color="auto" w:fill="95B3D7" w:themeFill="accent1" w:themeFillTint="99"/>
            <w:vAlign w:val="center"/>
            <w:hideMark/>
          </w:tcPr>
          <w:p w14:paraId="1E8B408D" w14:textId="039E6712" w:rsidR="00561892" w:rsidRPr="00680732" w:rsidRDefault="00561892" w:rsidP="00975496">
            <w:pPr>
              <w:spacing w:after="0" w:line="240" w:lineRule="auto"/>
              <w:jc w:val="right"/>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 </w:t>
            </w:r>
            <w:r w:rsidR="00A61430" w:rsidRPr="00680732">
              <w:rPr>
                <w:rFonts w:ascii="Arial" w:eastAsia="Times New Roman" w:hAnsi="Arial" w:cs="Arial"/>
                <w:b/>
                <w:bCs/>
                <w:color w:val="FFFFFF"/>
                <w:sz w:val="18"/>
                <w:szCs w:val="20"/>
              </w:rPr>
              <w:t>36,200,000</w:t>
            </w:r>
          </w:p>
        </w:tc>
      </w:tr>
      <w:tr w:rsidR="00A61430" w:rsidRPr="00F84ECE" w14:paraId="1B66CEBB" w14:textId="77777777" w:rsidTr="00975496">
        <w:trPr>
          <w:trHeight w:val="240"/>
        </w:trPr>
        <w:tc>
          <w:tcPr>
            <w:tcW w:w="1241" w:type="dxa"/>
            <w:shd w:val="clear" w:color="auto" w:fill="auto"/>
            <w:vAlign w:val="center"/>
            <w:hideMark/>
          </w:tcPr>
          <w:p w14:paraId="0A055496"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2.1</w:t>
            </w:r>
          </w:p>
        </w:tc>
        <w:tc>
          <w:tcPr>
            <w:tcW w:w="3305" w:type="dxa"/>
            <w:shd w:val="clear" w:color="auto" w:fill="auto"/>
            <w:vAlign w:val="center"/>
            <w:hideMark/>
          </w:tcPr>
          <w:p w14:paraId="098AA65C"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4: Primary urban roads rehabilitated</w:t>
            </w:r>
          </w:p>
        </w:tc>
        <w:tc>
          <w:tcPr>
            <w:tcW w:w="1411" w:type="dxa"/>
            <w:shd w:val="clear" w:color="auto" w:fill="auto"/>
            <w:vAlign w:val="center"/>
            <w:hideMark/>
          </w:tcPr>
          <w:p w14:paraId="271CBCD0"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km</w:t>
            </w:r>
          </w:p>
        </w:tc>
        <w:tc>
          <w:tcPr>
            <w:tcW w:w="1141" w:type="dxa"/>
            <w:shd w:val="clear" w:color="auto" w:fill="auto"/>
            <w:vAlign w:val="center"/>
            <w:hideMark/>
          </w:tcPr>
          <w:p w14:paraId="1484438B"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470,077 </w:t>
            </w:r>
          </w:p>
        </w:tc>
        <w:tc>
          <w:tcPr>
            <w:tcW w:w="1141" w:type="dxa"/>
            <w:shd w:val="clear" w:color="auto" w:fill="auto"/>
            <w:vAlign w:val="center"/>
            <w:hideMark/>
          </w:tcPr>
          <w:p w14:paraId="311FE604"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4,003,126 </w:t>
            </w:r>
          </w:p>
        </w:tc>
        <w:tc>
          <w:tcPr>
            <w:tcW w:w="1155" w:type="dxa"/>
            <w:shd w:val="clear" w:color="auto" w:fill="auto"/>
            <w:vAlign w:val="center"/>
            <w:hideMark/>
          </w:tcPr>
          <w:p w14:paraId="2FC7FBF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7,643,953 </w:t>
            </w:r>
          </w:p>
        </w:tc>
        <w:tc>
          <w:tcPr>
            <w:tcW w:w="1155" w:type="dxa"/>
            <w:shd w:val="clear" w:color="auto" w:fill="auto"/>
            <w:vAlign w:val="center"/>
            <w:hideMark/>
          </w:tcPr>
          <w:p w14:paraId="261A551A"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14,482,845 </w:t>
            </w:r>
          </w:p>
        </w:tc>
        <w:tc>
          <w:tcPr>
            <w:tcW w:w="1224" w:type="dxa"/>
            <w:shd w:val="clear" w:color="auto" w:fill="auto"/>
            <w:vAlign w:val="center"/>
            <w:hideMark/>
          </w:tcPr>
          <w:p w14:paraId="5B3F918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30BE9BAB"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26,600,000 </w:t>
            </w:r>
          </w:p>
        </w:tc>
      </w:tr>
      <w:tr w:rsidR="00A61430" w:rsidRPr="00F84ECE" w14:paraId="1BCF3BBA" w14:textId="77777777" w:rsidTr="00975496">
        <w:trPr>
          <w:trHeight w:val="240"/>
        </w:trPr>
        <w:tc>
          <w:tcPr>
            <w:tcW w:w="1241" w:type="dxa"/>
            <w:shd w:val="clear" w:color="auto" w:fill="auto"/>
            <w:vAlign w:val="center"/>
            <w:hideMark/>
          </w:tcPr>
          <w:p w14:paraId="5215AD15"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2.2</w:t>
            </w:r>
          </w:p>
        </w:tc>
        <w:tc>
          <w:tcPr>
            <w:tcW w:w="3305" w:type="dxa"/>
            <w:shd w:val="clear" w:color="auto" w:fill="auto"/>
            <w:vAlign w:val="center"/>
            <w:hideMark/>
          </w:tcPr>
          <w:p w14:paraId="249DCD9B"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 xml:space="preserve">Product 5: Bridge over </w:t>
            </w:r>
            <w:proofErr w:type="spellStart"/>
            <w:r w:rsidRPr="00B369D9">
              <w:rPr>
                <w:rFonts w:ascii="Arial" w:eastAsia="Times New Roman" w:hAnsi="Arial" w:cs="Arial"/>
                <w:sz w:val="18"/>
                <w:szCs w:val="20"/>
              </w:rPr>
              <w:t>Saramacca</w:t>
            </w:r>
            <w:proofErr w:type="spellEnd"/>
            <w:r w:rsidRPr="00B369D9">
              <w:rPr>
                <w:rFonts w:ascii="Arial" w:eastAsia="Times New Roman" w:hAnsi="Arial" w:cs="Arial"/>
                <w:sz w:val="18"/>
                <w:szCs w:val="20"/>
              </w:rPr>
              <w:t xml:space="preserve"> channel at </w:t>
            </w:r>
            <w:proofErr w:type="spellStart"/>
            <w:proofErr w:type="gramStart"/>
            <w:r w:rsidRPr="00B369D9">
              <w:rPr>
                <w:rFonts w:ascii="Arial" w:eastAsia="Times New Roman" w:hAnsi="Arial" w:cs="Arial"/>
                <w:sz w:val="18"/>
                <w:szCs w:val="20"/>
              </w:rPr>
              <w:t>Van‘</w:t>
            </w:r>
            <w:proofErr w:type="gramEnd"/>
            <w:r w:rsidRPr="00B369D9">
              <w:rPr>
                <w:rFonts w:ascii="Arial" w:eastAsia="Times New Roman" w:hAnsi="Arial" w:cs="Arial"/>
                <w:sz w:val="18"/>
                <w:szCs w:val="20"/>
              </w:rPr>
              <w:t>t</w:t>
            </w:r>
            <w:proofErr w:type="spellEnd"/>
            <w:r w:rsidRPr="00B369D9">
              <w:rPr>
                <w:rFonts w:ascii="Arial" w:eastAsia="Times New Roman" w:hAnsi="Arial" w:cs="Arial"/>
                <w:sz w:val="18"/>
                <w:szCs w:val="20"/>
              </w:rPr>
              <w:t xml:space="preserve"> </w:t>
            </w:r>
            <w:proofErr w:type="spellStart"/>
            <w:r w:rsidRPr="00B369D9">
              <w:rPr>
                <w:rFonts w:ascii="Arial" w:eastAsia="Times New Roman" w:hAnsi="Arial" w:cs="Arial"/>
                <w:sz w:val="18"/>
                <w:szCs w:val="20"/>
              </w:rPr>
              <w:t>Hogerhuysstraat</w:t>
            </w:r>
            <w:proofErr w:type="spellEnd"/>
            <w:r w:rsidRPr="00B369D9">
              <w:rPr>
                <w:rFonts w:ascii="Arial" w:eastAsia="Times New Roman" w:hAnsi="Arial" w:cs="Arial"/>
                <w:sz w:val="18"/>
                <w:szCs w:val="20"/>
              </w:rPr>
              <w:t xml:space="preserve"> built</w:t>
            </w:r>
          </w:p>
        </w:tc>
        <w:tc>
          <w:tcPr>
            <w:tcW w:w="1411" w:type="dxa"/>
            <w:shd w:val="clear" w:color="auto" w:fill="auto"/>
            <w:vAlign w:val="center"/>
            <w:hideMark/>
          </w:tcPr>
          <w:p w14:paraId="54E57804"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m</w:t>
            </w:r>
          </w:p>
        </w:tc>
        <w:tc>
          <w:tcPr>
            <w:tcW w:w="1141" w:type="dxa"/>
            <w:shd w:val="clear" w:color="auto" w:fill="auto"/>
            <w:vAlign w:val="center"/>
            <w:hideMark/>
          </w:tcPr>
          <w:p w14:paraId="023A20F3"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219,136 </w:t>
            </w:r>
          </w:p>
        </w:tc>
        <w:tc>
          <w:tcPr>
            <w:tcW w:w="1141" w:type="dxa"/>
            <w:shd w:val="clear" w:color="auto" w:fill="auto"/>
            <w:vAlign w:val="center"/>
            <w:hideMark/>
          </w:tcPr>
          <w:p w14:paraId="0B0EC88C"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511,318 </w:t>
            </w:r>
          </w:p>
        </w:tc>
        <w:tc>
          <w:tcPr>
            <w:tcW w:w="1155" w:type="dxa"/>
            <w:shd w:val="clear" w:color="auto" w:fill="auto"/>
            <w:vAlign w:val="center"/>
            <w:hideMark/>
          </w:tcPr>
          <w:p w14:paraId="5130542A"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3,513,845 </w:t>
            </w:r>
          </w:p>
        </w:tc>
        <w:tc>
          <w:tcPr>
            <w:tcW w:w="1155" w:type="dxa"/>
            <w:shd w:val="clear" w:color="auto" w:fill="auto"/>
            <w:vAlign w:val="center"/>
            <w:hideMark/>
          </w:tcPr>
          <w:p w14:paraId="4619ADA8"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5,355,700 </w:t>
            </w:r>
          </w:p>
        </w:tc>
        <w:tc>
          <w:tcPr>
            <w:tcW w:w="1224" w:type="dxa"/>
            <w:shd w:val="clear" w:color="auto" w:fill="auto"/>
            <w:vAlign w:val="center"/>
            <w:hideMark/>
          </w:tcPr>
          <w:p w14:paraId="6227F1DA"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317620A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9,600,000 </w:t>
            </w:r>
          </w:p>
        </w:tc>
      </w:tr>
      <w:tr w:rsidR="00561892" w:rsidRPr="00F84ECE" w14:paraId="1E1F5156" w14:textId="77777777" w:rsidTr="00975496">
        <w:trPr>
          <w:trHeight w:val="240"/>
        </w:trPr>
        <w:tc>
          <w:tcPr>
            <w:tcW w:w="1241" w:type="dxa"/>
            <w:shd w:val="clear" w:color="auto" w:fill="95B3D7" w:themeFill="accent1" w:themeFillTint="99"/>
            <w:vAlign w:val="center"/>
            <w:hideMark/>
          </w:tcPr>
          <w:p w14:paraId="7833039E" w14:textId="77777777" w:rsidR="00561892" w:rsidRPr="00B369D9" w:rsidRDefault="00561892" w:rsidP="00975496">
            <w:pPr>
              <w:spacing w:after="0" w:line="240" w:lineRule="auto"/>
              <w:jc w:val="right"/>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3</w:t>
            </w:r>
          </w:p>
        </w:tc>
        <w:tc>
          <w:tcPr>
            <w:tcW w:w="3305" w:type="dxa"/>
            <w:shd w:val="clear" w:color="auto" w:fill="95B3D7" w:themeFill="accent1" w:themeFillTint="99"/>
            <w:noWrap/>
            <w:vAlign w:val="center"/>
            <w:hideMark/>
          </w:tcPr>
          <w:p w14:paraId="581EB550" w14:textId="77777777" w:rsidR="00561892" w:rsidRPr="00B369D9" w:rsidRDefault="00561892" w:rsidP="00975496">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 xml:space="preserve">Component 3: Institutional strengthening </w:t>
            </w:r>
          </w:p>
        </w:tc>
        <w:tc>
          <w:tcPr>
            <w:tcW w:w="1411" w:type="dxa"/>
            <w:shd w:val="clear" w:color="auto" w:fill="95B3D7" w:themeFill="accent1" w:themeFillTint="99"/>
            <w:vAlign w:val="center"/>
            <w:hideMark/>
          </w:tcPr>
          <w:p w14:paraId="2D1EB413" w14:textId="77777777" w:rsidR="00561892" w:rsidRPr="00B369D9" w:rsidRDefault="00561892" w:rsidP="00975496">
            <w:pPr>
              <w:spacing w:after="0" w:line="240" w:lineRule="auto"/>
              <w:jc w:val="center"/>
              <w:rPr>
                <w:rFonts w:ascii="Arial" w:eastAsia="Times New Roman" w:hAnsi="Arial" w:cs="Arial"/>
                <w:bCs/>
                <w:color w:val="FFFFFF"/>
                <w:sz w:val="18"/>
                <w:szCs w:val="20"/>
              </w:rPr>
            </w:pPr>
          </w:p>
        </w:tc>
        <w:tc>
          <w:tcPr>
            <w:tcW w:w="1141" w:type="dxa"/>
            <w:shd w:val="clear" w:color="auto" w:fill="95B3D7" w:themeFill="accent1" w:themeFillTint="99"/>
            <w:vAlign w:val="center"/>
            <w:hideMark/>
          </w:tcPr>
          <w:p w14:paraId="0DEF19F7" w14:textId="209BBB49"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80,000</w:t>
            </w:r>
          </w:p>
        </w:tc>
        <w:tc>
          <w:tcPr>
            <w:tcW w:w="1141" w:type="dxa"/>
            <w:shd w:val="clear" w:color="auto" w:fill="95B3D7" w:themeFill="accent1" w:themeFillTint="99"/>
            <w:vAlign w:val="center"/>
            <w:hideMark/>
          </w:tcPr>
          <w:p w14:paraId="28C3E323" w14:textId="116CA189"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200,000</w:t>
            </w:r>
          </w:p>
        </w:tc>
        <w:tc>
          <w:tcPr>
            <w:tcW w:w="1155" w:type="dxa"/>
            <w:shd w:val="clear" w:color="auto" w:fill="95B3D7" w:themeFill="accent1" w:themeFillTint="99"/>
            <w:vAlign w:val="center"/>
            <w:hideMark/>
          </w:tcPr>
          <w:p w14:paraId="7DED7759" w14:textId="0F7DB939"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206,667</w:t>
            </w:r>
          </w:p>
        </w:tc>
        <w:tc>
          <w:tcPr>
            <w:tcW w:w="1155" w:type="dxa"/>
            <w:shd w:val="clear" w:color="auto" w:fill="95B3D7" w:themeFill="accent1" w:themeFillTint="99"/>
            <w:vAlign w:val="center"/>
            <w:hideMark/>
          </w:tcPr>
          <w:p w14:paraId="1A089608" w14:textId="653778E0"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106,667</w:t>
            </w:r>
          </w:p>
        </w:tc>
        <w:tc>
          <w:tcPr>
            <w:tcW w:w="1224" w:type="dxa"/>
            <w:shd w:val="clear" w:color="auto" w:fill="95B3D7" w:themeFill="accent1" w:themeFillTint="99"/>
            <w:vAlign w:val="center"/>
            <w:hideMark/>
          </w:tcPr>
          <w:p w14:paraId="56707EC1" w14:textId="1C2519EB"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106,667</w:t>
            </w:r>
          </w:p>
        </w:tc>
        <w:tc>
          <w:tcPr>
            <w:tcW w:w="1155" w:type="dxa"/>
            <w:shd w:val="clear" w:color="auto" w:fill="95B3D7" w:themeFill="accent1" w:themeFillTint="99"/>
            <w:vAlign w:val="center"/>
            <w:hideMark/>
          </w:tcPr>
          <w:p w14:paraId="34BBA7C0" w14:textId="56601F77" w:rsidR="00561892" w:rsidRPr="00680732" w:rsidRDefault="00561892" w:rsidP="0068073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700,000</w:t>
            </w:r>
          </w:p>
        </w:tc>
      </w:tr>
      <w:tr w:rsidR="00A61430" w:rsidRPr="00F84ECE" w14:paraId="642502A1" w14:textId="77777777" w:rsidTr="00975496">
        <w:trPr>
          <w:trHeight w:val="240"/>
        </w:trPr>
        <w:tc>
          <w:tcPr>
            <w:tcW w:w="1241" w:type="dxa"/>
            <w:shd w:val="clear" w:color="auto" w:fill="auto"/>
            <w:vAlign w:val="center"/>
            <w:hideMark/>
          </w:tcPr>
          <w:p w14:paraId="328008E4"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3.1</w:t>
            </w:r>
          </w:p>
        </w:tc>
        <w:tc>
          <w:tcPr>
            <w:tcW w:w="3305" w:type="dxa"/>
            <w:shd w:val="clear" w:color="auto" w:fill="auto"/>
            <w:vAlign w:val="center"/>
            <w:hideMark/>
          </w:tcPr>
          <w:p w14:paraId="74E1D297"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6: Road asset management system in operation</w:t>
            </w:r>
          </w:p>
        </w:tc>
        <w:tc>
          <w:tcPr>
            <w:tcW w:w="1411" w:type="dxa"/>
            <w:shd w:val="clear" w:color="auto" w:fill="auto"/>
            <w:vAlign w:val="center"/>
            <w:hideMark/>
          </w:tcPr>
          <w:p w14:paraId="1658DACD"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system</w:t>
            </w:r>
          </w:p>
        </w:tc>
        <w:tc>
          <w:tcPr>
            <w:tcW w:w="1141" w:type="dxa"/>
            <w:shd w:val="clear" w:color="auto" w:fill="auto"/>
            <w:vAlign w:val="center"/>
            <w:hideMark/>
          </w:tcPr>
          <w:p w14:paraId="69CEAC55"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41" w:type="dxa"/>
            <w:shd w:val="clear" w:color="auto" w:fill="auto"/>
            <w:vAlign w:val="center"/>
            <w:hideMark/>
          </w:tcPr>
          <w:p w14:paraId="38B62C1F"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100,000 </w:t>
            </w:r>
          </w:p>
        </w:tc>
        <w:tc>
          <w:tcPr>
            <w:tcW w:w="1155" w:type="dxa"/>
            <w:shd w:val="clear" w:color="auto" w:fill="auto"/>
            <w:vAlign w:val="center"/>
            <w:hideMark/>
          </w:tcPr>
          <w:p w14:paraId="3FC762AD"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100,000 </w:t>
            </w:r>
          </w:p>
        </w:tc>
        <w:tc>
          <w:tcPr>
            <w:tcW w:w="1155" w:type="dxa"/>
            <w:shd w:val="clear" w:color="auto" w:fill="auto"/>
            <w:vAlign w:val="center"/>
            <w:hideMark/>
          </w:tcPr>
          <w:p w14:paraId="5F21504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224" w:type="dxa"/>
            <w:shd w:val="clear" w:color="auto" w:fill="auto"/>
            <w:vAlign w:val="center"/>
            <w:hideMark/>
          </w:tcPr>
          <w:p w14:paraId="1C118DEF"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687ED101"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200,000 </w:t>
            </w:r>
          </w:p>
        </w:tc>
      </w:tr>
      <w:tr w:rsidR="00A61430" w:rsidRPr="00F84ECE" w14:paraId="163E0DD9" w14:textId="77777777" w:rsidTr="00975496">
        <w:trPr>
          <w:trHeight w:val="240"/>
        </w:trPr>
        <w:tc>
          <w:tcPr>
            <w:tcW w:w="1241" w:type="dxa"/>
            <w:shd w:val="clear" w:color="auto" w:fill="auto"/>
            <w:vAlign w:val="center"/>
            <w:hideMark/>
          </w:tcPr>
          <w:p w14:paraId="7AE2D092"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3.2</w:t>
            </w:r>
          </w:p>
        </w:tc>
        <w:tc>
          <w:tcPr>
            <w:tcW w:w="3305" w:type="dxa"/>
            <w:shd w:val="clear" w:color="auto" w:fill="auto"/>
            <w:vAlign w:val="center"/>
            <w:hideMark/>
          </w:tcPr>
          <w:p w14:paraId="6A687B6E"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7: Technical Training implemented</w:t>
            </w:r>
          </w:p>
        </w:tc>
        <w:tc>
          <w:tcPr>
            <w:tcW w:w="1411" w:type="dxa"/>
            <w:shd w:val="clear" w:color="auto" w:fill="auto"/>
            <w:vAlign w:val="center"/>
            <w:hideMark/>
          </w:tcPr>
          <w:p w14:paraId="455417AF"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w:t>
            </w:r>
          </w:p>
        </w:tc>
        <w:tc>
          <w:tcPr>
            <w:tcW w:w="1141" w:type="dxa"/>
            <w:shd w:val="clear" w:color="auto" w:fill="auto"/>
            <w:vAlign w:val="center"/>
            <w:hideMark/>
          </w:tcPr>
          <w:p w14:paraId="461D5D8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c>
          <w:tcPr>
            <w:tcW w:w="1141" w:type="dxa"/>
            <w:shd w:val="clear" w:color="auto" w:fill="auto"/>
            <w:vAlign w:val="center"/>
            <w:hideMark/>
          </w:tcPr>
          <w:p w14:paraId="6F9AE74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c>
          <w:tcPr>
            <w:tcW w:w="1155" w:type="dxa"/>
            <w:shd w:val="clear" w:color="auto" w:fill="auto"/>
            <w:vAlign w:val="center"/>
            <w:hideMark/>
          </w:tcPr>
          <w:p w14:paraId="24A76EB4"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c>
          <w:tcPr>
            <w:tcW w:w="1155" w:type="dxa"/>
            <w:shd w:val="clear" w:color="auto" w:fill="auto"/>
            <w:vAlign w:val="center"/>
            <w:hideMark/>
          </w:tcPr>
          <w:p w14:paraId="464EB60C"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c>
          <w:tcPr>
            <w:tcW w:w="1224" w:type="dxa"/>
            <w:shd w:val="clear" w:color="auto" w:fill="auto"/>
            <w:vAlign w:val="center"/>
            <w:hideMark/>
          </w:tcPr>
          <w:p w14:paraId="54AACF3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c>
          <w:tcPr>
            <w:tcW w:w="1155" w:type="dxa"/>
            <w:shd w:val="clear" w:color="auto" w:fill="auto"/>
            <w:vAlign w:val="center"/>
            <w:hideMark/>
          </w:tcPr>
          <w:p w14:paraId="37DC3730"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400,000 </w:t>
            </w:r>
          </w:p>
        </w:tc>
      </w:tr>
      <w:tr w:rsidR="00A61430" w:rsidRPr="00F84ECE" w14:paraId="551717D1" w14:textId="77777777" w:rsidTr="00975496">
        <w:trPr>
          <w:trHeight w:val="240"/>
        </w:trPr>
        <w:tc>
          <w:tcPr>
            <w:tcW w:w="1241" w:type="dxa"/>
            <w:shd w:val="clear" w:color="auto" w:fill="auto"/>
            <w:vAlign w:val="center"/>
            <w:hideMark/>
          </w:tcPr>
          <w:p w14:paraId="65A5F667"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3.3</w:t>
            </w:r>
          </w:p>
        </w:tc>
        <w:tc>
          <w:tcPr>
            <w:tcW w:w="3305" w:type="dxa"/>
            <w:shd w:val="clear" w:color="auto" w:fill="auto"/>
            <w:vAlign w:val="center"/>
            <w:hideMark/>
          </w:tcPr>
          <w:p w14:paraId="2AEAAC94"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Product 8: Programs to improve the participation of women in logistics services, implemented</w:t>
            </w:r>
          </w:p>
        </w:tc>
        <w:tc>
          <w:tcPr>
            <w:tcW w:w="1411" w:type="dxa"/>
            <w:shd w:val="clear" w:color="auto" w:fill="auto"/>
            <w:vAlign w:val="center"/>
            <w:hideMark/>
          </w:tcPr>
          <w:p w14:paraId="07EB7778"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w:t>
            </w:r>
          </w:p>
        </w:tc>
        <w:tc>
          <w:tcPr>
            <w:tcW w:w="1141" w:type="dxa"/>
            <w:shd w:val="clear" w:color="auto" w:fill="auto"/>
            <w:vAlign w:val="center"/>
            <w:hideMark/>
          </w:tcPr>
          <w:p w14:paraId="6F52F7E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41" w:type="dxa"/>
            <w:shd w:val="clear" w:color="auto" w:fill="auto"/>
            <w:vAlign w:val="center"/>
            <w:hideMark/>
          </w:tcPr>
          <w:p w14:paraId="5CFE4E4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20,000 </w:t>
            </w:r>
          </w:p>
        </w:tc>
        <w:tc>
          <w:tcPr>
            <w:tcW w:w="1155" w:type="dxa"/>
            <w:shd w:val="clear" w:color="auto" w:fill="auto"/>
            <w:vAlign w:val="center"/>
            <w:hideMark/>
          </w:tcPr>
          <w:p w14:paraId="230E24DB"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26,667 </w:t>
            </w:r>
          </w:p>
        </w:tc>
        <w:tc>
          <w:tcPr>
            <w:tcW w:w="1155" w:type="dxa"/>
            <w:shd w:val="clear" w:color="auto" w:fill="auto"/>
            <w:vAlign w:val="center"/>
            <w:hideMark/>
          </w:tcPr>
          <w:p w14:paraId="70A8B355"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26,667 </w:t>
            </w:r>
          </w:p>
        </w:tc>
        <w:tc>
          <w:tcPr>
            <w:tcW w:w="1224" w:type="dxa"/>
            <w:shd w:val="clear" w:color="auto" w:fill="auto"/>
            <w:vAlign w:val="center"/>
            <w:hideMark/>
          </w:tcPr>
          <w:p w14:paraId="12F4B28D"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26,667 </w:t>
            </w:r>
          </w:p>
        </w:tc>
        <w:tc>
          <w:tcPr>
            <w:tcW w:w="1155" w:type="dxa"/>
            <w:shd w:val="clear" w:color="auto" w:fill="auto"/>
            <w:vAlign w:val="center"/>
            <w:hideMark/>
          </w:tcPr>
          <w:p w14:paraId="507289A3"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100,000 </w:t>
            </w:r>
          </w:p>
        </w:tc>
      </w:tr>
      <w:tr w:rsidR="00561892" w:rsidRPr="00F84ECE" w14:paraId="6E757663" w14:textId="77777777" w:rsidTr="00975496">
        <w:trPr>
          <w:trHeight w:val="240"/>
        </w:trPr>
        <w:tc>
          <w:tcPr>
            <w:tcW w:w="1241" w:type="dxa"/>
            <w:shd w:val="clear" w:color="auto" w:fill="95B3D7" w:themeFill="accent1" w:themeFillTint="99"/>
            <w:vAlign w:val="center"/>
            <w:hideMark/>
          </w:tcPr>
          <w:p w14:paraId="71F99273" w14:textId="77777777" w:rsidR="00561892" w:rsidRPr="00B369D9" w:rsidRDefault="00561892" w:rsidP="00975496">
            <w:pPr>
              <w:spacing w:after="0" w:line="240" w:lineRule="auto"/>
              <w:jc w:val="right"/>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4</w:t>
            </w:r>
          </w:p>
        </w:tc>
        <w:tc>
          <w:tcPr>
            <w:tcW w:w="3305" w:type="dxa"/>
            <w:shd w:val="clear" w:color="auto" w:fill="95B3D7" w:themeFill="accent1" w:themeFillTint="99"/>
            <w:noWrap/>
            <w:vAlign w:val="center"/>
            <w:hideMark/>
          </w:tcPr>
          <w:p w14:paraId="0E744AB4" w14:textId="77777777" w:rsidR="00561892" w:rsidRPr="00B369D9" w:rsidRDefault="00561892" w:rsidP="00975496">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Administration, Monitoring, Evaluation and Audit</w:t>
            </w:r>
          </w:p>
        </w:tc>
        <w:tc>
          <w:tcPr>
            <w:tcW w:w="1411" w:type="dxa"/>
            <w:shd w:val="clear" w:color="auto" w:fill="95B3D7" w:themeFill="accent1" w:themeFillTint="99"/>
            <w:vAlign w:val="center"/>
            <w:hideMark/>
          </w:tcPr>
          <w:p w14:paraId="1E6297DC" w14:textId="77777777" w:rsidR="00561892" w:rsidRPr="00B369D9" w:rsidRDefault="00561892" w:rsidP="00975496">
            <w:pPr>
              <w:spacing w:after="0" w:line="240" w:lineRule="auto"/>
              <w:jc w:val="center"/>
              <w:rPr>
                <w:rFonts w:ascii="Arial" w:eastAsia="Times New Roman" w:hAnsi="Arial" w:cs="Arial"/>
                <w:bCs/>
                <w:color w:val="FFFFFF"/>
                <w:sz w:val="18"/>
                <w:szCs w:val="20"/>
              </w:rPr>
            </w:pPr>
          </w:p>
        </w:tc>
        <w:tc>
          <w:tcPr>
            <w:tcW w:w="1141" w:type="dxa"/>
            <w:shd w:val="clear" w:color="auto" w:fill="95B3D7" w:themeFill="accent1" w:themeFillTint="99"/>
            <w:vAlign w:val="center"/>
            <w:hideMark/>
          </w:tcPr>
          <w:p w14:paraId="47689CCD" w14:textId="40A402EE" w:rsidR="00561892" w:rsidRPr="00680732" w:rsidRDefault="00561892">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387,000</w:t>
            </w:r>
          </w:p>
        </w:tc>
        <w:tc>
          <w:tcPr>
            <w:tcW w:w="1141" w:type="dxa"/>
            <w:shd w:val="clear" w:color="auto" w:fill="95B3D7" w:themeFill="accent1" w:themeFillTint="99"/>
            <w:vAlign w:val="center"/>
            <w:hideMark/>
          </w:tcPr>
          <w:p w14:paraId="13544210" w14:textId="6F11311C" w:rsidR="00561892" w:rsidRPr="00680732" w:rsidRDefault="00561892">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395,000</w:t>
            </w:r>
          </w:p>
        </w:tc>
        <w:tc>
          <w:tcPr>
            <w:tcW w:w="1155" w:type="dxa"/>
            <w:shd w:val="clear" w:color="auto" w:fill="95B3D7" w:themeFill="accent1" w:themeFillTint="99"/>
            <w:vAlign w:val="center"/>
            <w:hideMark/>
          </w:tcPr>
          <w:p w14:paraId="22770E45" w14:textId="0195F869" w:rsidR="00561892" w:rsidRPr="00680732" w:rsidRDefault="00561892">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395,000</w:t>
            </w:r>
          </w:p>
        </w:tc>
        <w:tc>
          <w:tcPr>
            <w:tcW w:w="1155" w:type="dxa"/>
            <w:shd w:val="clear" w:color="auto" w:fill="95B3D7" w:themeFill="accent1" w:themeFillTint="99"/>
            <w:vAlign w:val="center"/>
            <w:hideMark/>
          </w:tcPr>
          <w:p w14:paraId="4C6B3838" w14:textId="716783B9" w:rsidR="00561892" w:rsidRPr="00680732" w:rsidRDefault="00561892">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395,000</w:t>
            </w:r>
          </w:p>
        </w:tc>
        <w:tc>
          <w:tcPr>
            <w:tcW w:w="1224" w:type="dxa"/>
            <w:shd w:val="clear" w:color="auto" w:fill="95B3D7" w:themeFill="accent1" w:themeFillTint="99"/>
            <w:vAlign w:val="center"/>
            <w:hideMark/>
          </w:tcPr>
          <w:p w14:paraId="48589D4D" w14:textId="22F10A64" w:rsidR="00561892" w:rsidRPr="00680732" w:rsidRDefault="00A61430">
            <w:pPr>
              <w:spacing w:after="0" w:line="240" w:lineRule="auto"/>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428,000</w:t>
            </w:r>
          </w:p>
        </w:tc>
        <w:tc>
          <w:tcPr>
            <w:tcW w:w="1155" w:type="dxa"/>
            <w:shd w:val="clear" w:color="auto" w:fill="95B3D7" w:themeFill="accent1" w:themeFillTint="99"/>
            <w:vAlign w:val="center"/>
            <w:hideMark/>
          </w:tcPr>
          <w:p w14:paraId="0A976E77" w14:textId="5D42345F" w:rsidR="00561892" w:rsidRPr="00680732" w:rsidRDefault="00A61430" w:rsidP="00680732">
            <w:pPr>
              <w:spacing w:after="0" w:line="240" w:lineRule="auto"/>
              <w:rPr>
                <w:rFonts w:ascii="Arial" w:eastAsia="Times New Roman" w:hAnsi="Arial" w:cs="Arial"/>
                <w:b/>
                <w:bCs/>
                <w:color w:val="FFFFFF"/>
                <w:sz w:val="18"/>
                <w:szCs w:val="20"/>
              </w:rPr>
            </w:pPr>
            <w:r>
              <w:rPr>
                <w:rFonts w:ascii="Arial" w:eastAsia="Times New Roman" w:hAnsi="Arial" w:cs="Arial"/>
                <w:b/>
                <w:bCs/>
                <w:color w:val="FFFFFF"/>
                <w:sz w:val="18"/>
                <w:szCs w:val="20"/>
              </w:rPr>
              <w:t>2,000,000</w:t>
            </w:r>
          </w:p>
        </w:tc>
      </w:tr>
      <w:tr w:rsidR="00A61430" w:rsidRPr="00F84ECE" w14:paraId="69AB6030" w14:textId="77777777" w:rsidTr="00975496">
        <w:trPr>
          <w:trHeight w:val="240"/>
        </w:trPr>
        <w:tc>
          <w:tcPr>
            <w:tcW w:w="1241" w:type="dxa"/>
            <w:shd w:val="clear" w:color="auto" w:fill="auto"/>
            <w:vAlign w:val="center"/>
            <w:hideMark/>
          </w:tcPr>
          <w:p w14:paraId="2B4BA5C8"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4.1</w:t>
            </w:r>
          </w:p>
        </w:tc>
        <w:tc>
          <w:tcPr>
            <w:tcW w:w="3305" w:type="dxa"/>
            <w:shd w:val="clear" w:color="auto" w:fill="auto"/>
            <w:vAlign w:val="center"/>
            <w:hideMark/>
          </w:tcPr>
          <w:p w14:paraId="1023C034"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Program Administration</w:t>
            </w:r>
          </w:p>
        </w:tc>
        <w:tc>
          <w:tcPr>
            <w:tcW w:w="1411" w:type="dxa"/>
            <w:shd w:val="clear" w:color="auto" w:fill="auto"/>
            <w:vAlign w:val="center"/>
            <w:hideMark/>
          </w:tcPr>
          <w:p w14:paraId="46913680"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N/a</w:t>
            </w:r>
          </w:p>
        </w:tc>
        <w:tc>
          <w:tcPr>
            <w:tcW w:w="1141" w:type="dxa"/>
            <w:shd w:val="clear" w:color="auto" w:fill="auto"/>
            <w:vAlign w:val="center"/>
            <w:hideMark/>
          </w:tcPr>
          <w:p w14:paraId="4BE49B6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379,000 </w:t>
            </w:r>
          </w:p>
        </w:tc>
        <w:tc>
          <w:tcPr>
            <w:tcW w:w="1141" w:type="dxa"/>
            <w:shd w:val="clear" w:color="auto" w:fill="auto"/>
            <w:vAlign w:val="center"/>
            <w:hideMark/>
          </w:tcPr>
          <w:p w14:paraId="1C2A7C2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379,000 </w:t>
            </w:r>
          </w:p>
        </w:tc>
        <w:tc>
          <w:tcPr>
            <w:tcW w:w="1155" w:type="dxa"/>
            <w:shd w:val="clear" w:color="auto" w:fill="auto"/>
            <w:vAlign w:val="center"/>
            <w:hideMark/>
          </w:tcPr>
          <w:p w14:paraId="24E9FE2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379,000 </w:t>
            </w:r>
          </w:p>
        </w:tc>
        <w:tc>
          <w:tcPr>
            <w:tcW w:w="1155" w:type="dxa"/>
            <w:shd w:val="clear" w:color="auto" w:fill="auto"/>
            <w:vAlign w:val="center"/>
            <w:hideMark/>
          </w:tcPr>
          <w:p w14:paraId="3FC7B5B2"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379,000 </w:t>
            </w:r>
          </w:p>
        </w:tc>
        <w:tc>
          <w:tcPr>
            <w:tcW w:w="1224" w:type="dxa"/>
            <w:shd w:val="clear" w:color="auto" w:fill="auto"/>
            <w:vAlign w:val="center"/>
            <w:hideMark/>
          </w:tcPr>
          <w:p w14:paraId="6B9248D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379,000 </w:t>
            </w:r>
          </w:p>
        </w:tc>
        <w:tc>
          <w:tcPr>
            <w:tcW w:w="1155" w:type="dxa"/>
            <w:shd w:val="clear" w:color="auto" w:fill="auto"/>
            <w:vAlign w:val="center"/>
            <w:hideMark/>
          </w:tcPr>
          <w:p w14:paraId="6601AF35"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1,895,000 </w:t>
            </w:r>
          </w:p>
        </w:tc>
      </w:tr>
      <w:tr w:rsidR="00A61430" w:rsidRPr="00F84ECE" w14:paraId="7FC3B42D" w14:textId="77777777" w:rsidTr="00975496">
        <w:trPr>
          <w:trHeight w:val="240"/>
        </w:trPr>
        <w:tc>
          <w:tcPr>
            <w:tcW w:w="1241" w:type="dxa"/>
            <w:shd w:val="clear" w:color="auto" w:fill="auto"/>
            <w:vAlign w:val="center"/>
            <w:hideMark/>
          </w:tcPr>
          <w:p w14:paraId="6E960CC4"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4.2</w:t>
            </w:r>
          </w:p>
        </w:tc>
        <w:tc>
          <w:tcPr>
            <w:tcW w:w="3305" w:type="dxa"/>
            <w:shd w:val="clear" w:color="auto" w:fill="auto"/>
            <w:vAlign w:val="center"/>
            <w:hideMark/>
          </w:tcPr>
          <w:p w14:paraId="0D74BAA9"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Monitoring and Evaluations of the Program</w:t>
            </w:r>
          </w:p>
        </w:tc>
        <w:tc>
          <w:tcPr>
            <w:tcW w:w="1411" w:type="dxa"/>
            <w:shd w:val="clear" w:color="auto" w:fill="auto"/>
            <w:vAlign w:val="center"/>
            <w:hideMark/>
          </w:tcPr>
          <w:p w14:paraId="522997D2"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N/a</w:t>
            </w:r>
          </w:p>
        </w:tc>
        <w:tc>
          <w:tcPr>
            <w:tcW w:w="1141" w:type="dxa"/>
            <w:shd w:val="clear" w:color="auto" w:fill="auto"/>
            <w:vAlign w:val="center"/>
            <w:hideMark/>
          </w:tcPr>
          <w:p w14:paraId="20B2367F"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41" w:type="dxa"/>
            <w:shd w:val="clear" w:color="auto" w:fill="auto"/>
            <w:vAlign w:val="center"/>
            <w:hideMark/>
          </w:tcPr>
          <w:p w14:paraId="6FE16C7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360C0D1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155" w:type="dxa"/>
            <w:shd w:val="clear" w:color="auto" w:fill="auto"/>
            <w:vAlign w:val="center"/>
            <w:hideMark/>
          </w:tcPr>
          <w:p w14:paraId="07600EBE"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 </w:t>
            </w:r>
          </w:p>
        </w:tc>
        <w:tc>
          <w:tcPr>
            <w:tcW w:w="1224" w:type="dxa"/>
            <w:shd w:val="clear" w:color="auto" w:fill="auto"/>
            <w:vAlign w:val="center"/>
            <w:hideMark/>
          </w:tcPr>
          <w:p w14:paraId="0B225682"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25,000 </w:t>
            </w:r>
          </w:p>
        </w:tc>
        <w:tc>
          <w:tcPr>
            <w:tcW w:w="1155" w:type="dxa"/>
            <w:shd w:val="clear" w:color="auto" w:fill="auto"/>
            <w:vAlign w:val="center"/>
            <w:hideMark/>
          </w:tcPr>
          <w:p w14:paraId="3F5D77A4"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25,000 </w:t>
            </w:r>
          </w:p>
        </w:tc>
      </w:tr>
      <w:tr w:rsidR="00A61430" w:rsidRPr="00F84ECE" w14:paraId="1F8E9A89" w14:textId="77777777" w:rsidTr="00975496">
        <w:trPr>
          <w:trHeight w:val="240"/>
        </w:trPr>
        <w:tc>
          <w:tcPr>
            <w:tcW w:w="1241" w:type="dxa"/>
            <w:shd w:val="clear" w:color="auto" w:fill="auto"/>
            <w:vAlign w:val="center"/>
            <w:hideMark/>
          </w:tcPr>
          <w:p w14:paraId="11E42E3E" w14:textId="77777777" w:rsidR="00561892" w:rsidRPr="00B369D9" w:rsidRDefault="00561892" w:rsidP="00975496">
            <w:pPr>
              <w:spacing w:after="0" w:line="240" w:lineRule="auto"/>
              <w:jc w:val="right"/>
              <w:rPr>
                <w:rFonts w:ascii="Arial" w:eastAsia="Times New Roman" w:hAnsi="Arial" w:cs="Arial"/>
                <w:sz w:val="18"/>
                <w:szCs w:val="20"/>
              </w:rPr>
            </w:pPr>
            <w:r w:rsidRPr="00B369D9">
              <w:rPr>
                <w:rFonts w:ascii="Arial" w:eastAsia="Times New Roman" w:hAnsi="Arial" w:cs="Arial"/>
                <w:sz w:val="18"/>
                <w:szCs w:val="20"/>
              </w:rPr>
              <w:t>4.3</w:t>
            </w:r>
          </w:p>
        </w:tc>
        <w:tc>
          <w:tcPr>
            <w:tcW w:w="3305" w:type="dxa"/>
            <w:shd w:val="clear" w:color="auto" w:fill="auto"/>
            <w:vAlign w:val="center"/>
            <w:hideMark/>
          </w:tcPr>
          <w:p w14:paraId="79CEB8CB" w14:textId="77777777" w:rsidR="00561892" w:rsidRPr="00B369D9" w:rsidRDefault="00561892" w:rsidP="00975496">
            <w:pPr>
              <w:spacing w:after="0" w:line="240" w:lineRule="auto"/>
              <w:rPr>
                <w:rFonts w:ascii="Arial" w:eastAsia="Times New Roman" w:hAnsi="Arial" w:cs="Arial"/>
                <w:sz w:val="18"/>
                <w:szCs w:val="20"/>
              </w:rPr>
            </w:pPr>
            <w:r w:rsidRPr="00B369D9">
              <w:rPr>
                <w:rFonts w:ascii="Arial" w:eastAsia="Times New Roman" w:hAnsi="Arial" w:cs="Arial"/>
                <w:sz w:val="18"/>
                <w:szCs w:val="20"/>
              </w:rPr>
              <w:t>External Audit of the Program</w:t>
            </w:r>
          </w:p>
        </w:tc>
        <w:tc>
          <w:tcPr>
            <w:tcW w:w="1411" w:type="dxa"/>
            <w:shd w:val="clear" w:color="auto" w:fill="auto"/>
            <w:vAlign w:val="center"/>
            <w:hideMark/>
          </w:tcPr>
          <w:p w14:paraId="0A942D66"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N/a</w:t>
            </w:r>
          </w:p>
        </w:tc>
        <w:tc>
          <w:tcPr>
            <w:tcW w:w="1141" w:type="dxa"/>
            <w:shd w:val="clear" w:color="auto" w:fill="auto"/>
            <w:vAlign w:val="center"/>
            <w:hideMark/>
          </w:tcPr>
          <w:p w14:paraId="719E5A06"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 </w:t>
            </w:r>
          </w:p>
        </w:tc>
        <w:tc>
          <w:tcPr>
            <w:tcW w:w="1141" w:type="dxa"/>
            <w:shd w:val="clear" w:color="auto" w:fill="auto"/>
            <w:vAlign w:val="center"/>
            <w:hideMark/>
          </w:tcPr>
          <w:p w14:paraId="62F08C51"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16,000 </w:t>
            </w:r>
          </w:p>
        </w:tc>
        <w:tc>
          <w:tcPr>
            <w:tcW w:w="1155" w:type="dxa"/>
            <w:shd w:val="clear" w:color="auto" w:fill="auto"/>
            <w:vAlign w:val="center"/>
            <w:hideMark/>
          </w:tcPr>
          <w:p w14:paraId="4143EE3F"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16,000 </w:t>
            </w:r>
          </w:p>
        </w:tc>
        <w:tc>
          <w:tcPr>
            <w:tcW w:w="1155" w:type="dxa"/>
            <w:shd w:val="clear" w:color="auto" w:fill="auto"/>
            <w:vAlign w:val="center"/>
            <w:hideMark/>
          </w:tcPr>
          <w:p w14:paraId="6617B329"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16,000 </w:t>
            </w:r>
          </w:p>
        </w:tc>
        <w:tc>
          <w:tcPr>
            <w:tcW w:w="1224" w:type="dxa"/>
            <w:shd w:val="clear" w:color="auto" w:fill="auto"/>
            <w:vAlign w:val="center"/>
            <w:hideMark/>
          </w:tcPr>
          <w:p w14:paraId="364128A7"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24,000 </w:t>
            </w:r>
          </w:p>
        </w:tc>
        <w:tc>
          <w:tcPr>
            <w:tcW w:w="1155" w:type="dxa"/>
            <w:shd w:val="clear" w:color="auto" w:fill="auto"/>
            <w:vAlign w:val="center"/>
            <w:hideMark/>
          </w:tcPr>
          <w:p w14:paraId="7CC152B3" w14:textId="77777777" w:rsidR="00561892" w:rsidRPr="00B369D9" w:rsidRDefault="00561892" w:rsidP="00975496">
            <w:pPr>
              <w:spacing w:after="0" w:line="240" w:lineRule="auto"/>
              <w:jc w:val="center"/>
              <w:rPr>
                <w:rFonts w:ascii="Arial" w:eastAsia="Times New Roman" w:hAnsi="Arial" w:cs="Arial"/>
                <w:bCs/>
                <w:sz w:val="18"/>
                <w:szCs w:val="20"/>
              </w:rPr>
            </w:pPr>
            <w:r w:rsidRPr="00B369D9">
              <w:rPr>
                <w:rFonts w:ascii="Arial" w:eastAsia="Times New Roman" w:hAnsi="Arial" w:cs="Arial"/>
                <w:bCs/>
                <w:sz w:val="18"/>
                <w:szCs w:val="20"/>
              </w:rPr>
              <w:t xml:space="preserve">                   80,000 </w:t>
            </w:r>
          </w:p>
        </w:tc>
      </w:tr>
      <w:tr w:rsidR="00561892" w:rsidRPr="00F84ECE" w14:paraId="3E243A6F" w14:textId="77777777" w:rsidTr="00975496">
        <w:trPr>
          <w:trHeight w:val="240"/>
        </w:trPr>
        <w:tc>
          <w:tcPr>
            <w:tcW w:w="1241" w:type="dxa"/>
            <w:shd w:val="clear" w:color="auto" w:fill="95B3D7" w:themeFill="accent1" w:themeFillTint="99"/>
            <w:vAlign w:val="center"/>
            <w:hideMark/>
          </w:tcPr>
          <w:p w14:paraId="3CCB36D6" w14:textId="77777777" w:rsidR="00561892" w:rsidRPr="00B369D9" w:rsidRDefault="00561892" w:rsidP="00975496">
            <w:pPr>
              <w:spacing w:after="0" w:line="240" w:lineRule="auto"/>
              <w:jc w:val="right"/>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5</w:t>
            </w:r>
          </w:p>
        </w:tc>
        <w:tc>
          <w:tcPr>
            <w:tcW w:w="3305" w:type="dxa"/>
            <w:shd w:val="clear" w:color="auto" w:fill="95B3D7" w:themeFill="accent1" w:themeFillTint="99"/>
            <w:noWrap/>
            <w:vAlign w:val="center"/>
            <w:hideMark/>
          </w:tcPr>
          <w:p w14:paraId="5B038B01" w14:textId="77777777" w:rsidR="00561892" w:rsidRPr="00B369D9" w:rsidRDefault="00561892" w:rsidP="00975496">
            <w:pPr>
              <w:spacing w:after="0" w:line="240" w:lineRule="auto"/>
              <w:rPr>
                <w:rFonts w:ascii="Arial" w:eastAsia="Times New Roman" w:hAnsi="Arial" w:cs="Arial"/>
                <w:b/>
                <w:bCs/>
                <w:color w:val="FFFFFF"/>
                <w:sz w:val="18"/>
                <w:szCs w:val="20"/>
              </w:rPr>
            </w:pPr>
            <w:r w:rsidRPr="00B369D9">
              <w:rPr>
                <w:rFonts w:ascii="Arial" w:eastAsia="Times New Roman" w:hAnsi="Arial" w:cs="Arial"/>
                <w:b/>
                <w:bCs/>
                <w:color w:val="FFFFFF"/>
                <w:sz w:val="18"/>
                <w:szCs w:val="20"/>
              </w:rPr>
              <w:t>Contingencies</w:t>
            </w:r>
          </w:p>
        </w:tc>
        <w:tc>
          <w:tcPr>
            <w:tcW w:w="1411" w:type="dxa"/>
            <w:shd w:val="clear" w:color="auto" w:fill="95B3D7" w:themeFill="accent1" w:themeFillTint="99"/>
            <w:vAlign w:val="center"/>
            <w:hideMark/>
          </w:tcPr>
          <w:p w14:paraId="31F88858" w14:textId="77777777" w:rsidR="00561892" w:rsidRPr="00B369D9" w:rsidRDefault="00561892" w:rsidP="00975496">
            <w:pPr>
              <w:spacing w:after="0" w:line="240" w:lineRule="auto"/>
              <w:rPr>
                <w:rFonts w:ascii="Arial" w:eastAsia="Times New Roman" w:hAnsi="Arial" w:cs="Arial"/>
                <w:bCs/>
                <w:color w:val="FFFFFF"/>
                <w:sz w:val="18"/>
                <w:szCs w:val="20"/>
              </w:rPr>
            </w:pPr>
            <w:r w:rsidRPr="00B369D9">
              <w:rPr>
                <w:rFonts w:ascii="Arial" w:eastAsia="Times New Roman" w:hAnsi="Arial" w:cs="Arial"/>
                <w:bCs/>
                <w:color w:val="FFFFFF"/>
                <w:sz w:val="18"/>
                <w:szCs w:val="20"/>
              </w:rPr>
              <w:t> </w:t>
            </w:r>
          </w:p>
        </w:tc>
        <w:tc>
          <w:tcPr>
            <w:tcW w:w="1141" w:type="dxa"/>
            <w:shd w:val="clear" w:color="auto" w:fill="95B3D7" w:themeFill="accent1" w:themeFillTint="99"/>
            <w:vAlign w:val="center"/>
            <w:hideMark/>
          </w:tcPr>
          <w:p w14:paraId="26936FC9" w14:textId="067AF47C"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w:t>
            </w:r>
          </w:p>
        </w:tc>
        <w:tc>
          <w:tcPr>
            <w:tcW w:w="1141" w:type="dxa"/>
            <w:shd w:val="clear" w:color="auto" w:fill="95B3D7" w:themeFill="accent1" w:themeFillTint="99"/>
            <w:vAlign w:val="center"/>
            <w:hideMark/>
          </w:tcPr>
          <w:p w14:paraId="0134475E" w14:textId="03460911"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w:t>
            </w:r>
          </w:p>
        </w:tc>
        <w:tc>
          <w:tcPr>
            <w:tcW w:w="1155" w:type="dxa"/>
            <w:shd w:val="clear" w:color="auto" w:fill="95B3D7" w:themeFill="accent1" w:themeFillTint="99"/>
            <w:vAlign w:val="center"/>
            <w:hideMark/>
          </w:tcPr>
          <w:p w14:paraId="4DA2905A" w14:textId="31CE1F48"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w:t>
            </w:r>
          </w:p>
        </w:tc>
        <w:tc>
          <w:tcPr>
            <w:tcW w:w="1155" w:type="dxa"/>
            <w:shd w:val="clear" w:color="auto" w:fill="95B3D7" w:themeFill="accent1" w:themeFillTint="99"/>
            <w:vAlign w:val="center"/>
            <w:hideMark/>
          </w:tcPr>
          <w:p w14:paraId="7088B72B" w14:textId="5C3367A3"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984,000</w:t>
            </w:r>
          </w:p>
        </w:tc>
        <w:tc>
          <w:tcPr>
            <w:tcW w:w="1224" w:type="dxa"/>
            <w:shd w:val="clear" w:color="auto" w:fill="95B3D7" w:themeFill="accent1" w:themeFillTint="99"/>
            <w:vAlign w:val="center"/>
            <w:hideMark/>
          </w:tcPr>
          <w:p w14:paraId="47E7D632" w14:textId="32BDFB69"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656,000</w:t>
            </w:r>
          </w:p>
        </w:tc>
        <w:tc>
          <w:tcPr>
            <w:tcW w:w="1155" w:type="dxa"/>
            <w:shd w:val="clear" w:color="auto" w:fill="95B3D7" w:themeFill="accent1" w:themeFillTint="99"/>
            <w:vAlign w:val="center"/>
            <w:hideMark/>
          </w:tcPr>
          <w:p w14:paraId="24111375" w14:textId="10CA0D9E" w:rsidR="00561892" w:rsidRPr="00680732" w:rsidRDefault="00561892">
            <w:pPr>
              <w:spacing w:after="0" w:line="240" w:lineRule="auto"/>
              <w:jc w:val="center"/>
              <w:rPr>
                <w:rFonts w:ascii="Arial" w:eastAsia="Times New Roman" w:hAnsi="Arial" w:cs="Arial"/>
                <w:b/>
                <w:bCs/>
                <w:color w:val="FFFFFF"/>
                <w:sz w:val="18"/>
                <w:szCs w:val="20"/>
              </w:rPr>
            </w:pPr>
            <w:r w:rsidRPr="00680732">
              <w:rPr>
                <w:rFonts w:ascii="Arial" w:eastAsia="Times New Roman" w:hAnsi="Arial" w:cs="Arial"/>
                <w:b/>
                <w:bCs/>
                <w:color w:val="FFFFFF"/>
                <w:sz w:val="18"/>
                <w:szCs w:val="20"/>
              </w:rPr>
              <w:t>1,640,000</w:t>
            </w:r>
          </w:p>
        </w:tc>
      </w:tr>
      <w:tr w:rsidR="00A61430" w:rsidRPr="00F84ECE" w14:paraId="4EDB45D2" w14:textId="77777777" w:rsidTr="00975496">
        <w:trPr>
          <w:trHeight w:val="240"/>
        </w:trPr>
        <w:tc>
          <w:tcPr>
            <w:tcW w:w="1241" w:type="dxa"/>
            <w:shd w:val="clear" w:color="auto" w:fill="auto"/>
            <w:noWrap/>
            <w:vAlign w:val="bottom"/>
            <w:hideMark/>
          </w:tcPr>
          <w:p w14:paraId="0EE28061" w14:textId="77777777" w:rsidR="00561892" w:rsidRPr="00B369D9" w:rsidRDefault="00561892" w:rsidP="00975496">
            <w:pPr>
              <w:spacing w:after="0" w:line="240" w:lineRule="auto"/>
              <w:jc w:val="center"/>
              <w:rPr>
                <w:rFonts w:ascii="Arial" w:eastAsia="Times New Roman" w:hAnsi="Arial" w:cs="Arial"/>
                <w:sz w:val="18"/>
                <w:szCs w:val="20"/>
              </w:rPr>
            </w:pPr>
            <w:r w:rsidRPr="00B369D9">
              <w:rPr>
                <w:rFonts w:ascii="Arial" w:eastAsia="Times New Roman" w:hAnsi="Arial" w:cs="Arial"/>
                <w:sz w:val="18"/>
                <w:szCs w:val="20"/>
              </w:rPr>
              <w:t> </w:t>
            </w:r>
          </w:p>
        </w:tc>
        <w:tc>
          <w:tcPr>
            <w:tcW w:w="4716" w:type="dxa"/>
            <w:gridSpan w:val="2"/>
            <w:shd w:val="clear" w:color="auto" w:fill="auto"/>
            <w:noWrap/>
            <w:vAlign w:val="center"/>
            <w:hideMark/>
          </w:tcPr>
          <w:p w14:paraId="2263CABA" w14:textId="77777777" w:rsidR="00561892" w:rsidRPr="00B369D9" w:rsidRDefault="00561892" w:rsidP="00975496">
            <w:pPr>
              <w:spacing w:after="0" w:line="240" w:lineRule="auto"/>
              <w:rPr>
                <w:rFonts w:ascii="Arial" w:eastAsia="Times New Roman" w:hAnsi="Arial" w:cs="Arial"/>
                <w:b/>
                <w:bCs/>
                <w:sz w:val="18"/>
                <w:szCs w:val="20"/>
              </w:rPr>
            </w:pPr>
            <w:r w:rsidRPr="00B369D9">
              <w:rPr>
                <w:rFonts w:ascii="Arial" w:eastAsia="Times New Roman" w:hAnsi="Arial" w:cs="Arial"/>
                <w:b/>
                <w:bCs/>
                <w:sz w:val="18"/>
                <w:szCs w:val="20"/>
              </w:rPr>
              <w:t>Total Costs</w:t>
            </w:r>
          </w:p>
        </w:tc>
        <w:tc>
          <w:tcPr>
            <w:tcW w:w="1141" w:type="dxa"/>
            <w:shd w:val="clear" w:color="auto" w:fill="auto"/>
            <w:vAlign w:val="center"/>
            <w:hideMark/>
          </w:tcPr>
          <w:p w14:paraId="696511F7"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1,975,978 </w:t>
            </w:r>
          </w:p>
        </w:tc>
        <w:tc>
          <w:tcPr>
            <w:tcW w:w="1141" w:type="dxa"/>
            <w:shd w:val="clear" w:color="auto" w:fill="auto"/>
            <w:vAlign w:val="center"/>
            <w:hideMark/>
          </w:tcPr>
          <w:p w14:paraId="656F2D1C"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7,806,679 </w:t>
            </w:r>
          </w:p>
        </w:tc>
        <w:tc>
          <w:tcPr>
            <w:tcW w:w="1155" w:type="dxa"/>
            <w:shd w:val="clear" w:color="auto" w:fill="auto"/>
            <w:vAlign w:val="center"/>
            <w:hideMark/>
          </w:tcPr>
          <w:p w14:paraId="75227917"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12,702,465 </w:t>
            </w:r>
          </w:p>
        </w:tc>
        <w:tc>
          <w:tcPr>
            <w:tcW w:w="1155" w:type="dxa"/>
            <w:shd w:val="clear" w:color="auto" w:fill="auto"/>
            <w:vAlign w:val="center"/>
            <w:hideMark/>
          </w:tcPr>
          <w:p w14:paraId="468C531A"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21,324,211 </w:t>
            </w:r>
          </w:p>
        </w:tc>
        <w:tc>
          <w:tcPr>
            <w:tcW w:w="1224" w:type="dxa"/>
            <w:shd w:val="clear" w:color="auto" w:fill="auto"/>
            <w:vAlign w:val="center"/>
            <w:hideMark/>
          </w:tcPr>
          <w:p w14:paraId="105CEE15"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1,190,667 </w:t>
            </w:r>
          </w:p>
        </w:tc>
        <w:tc>
          <w:tcPr>
            <w:tcW w:w="1155" w:type="dxa"/>
            <w:shd w:val="clear" w:color="auto" w:fill="auto"/>
            <w:vAlign w:val="center"/>
            <w:hideMark/>
          </w:tcPr>
          <w:p w14:paraId="582642BE" w14:textId="77777777" w:rsidR="00561892" w:rsidRPr="00B369D9" w:rsidRDefault="00561892" w:rsidP="00975496">
            <w:pPr>
              <w:spacing w:after="0" w:line="240" w:lineRule="auto"/>
              <w:jc w:val="center"/>
              <w:rPr>
                <w:rFonts w:ascii="Arial" w:eastAsia="Times New Roman" w:hAnsi="Arial" w:cs="Arial"/>
                <w:b/>
                <w:bCs/>
                <w:sz w:val="18"/>
                <w:szCs w:val="20"/>
              </w:rPr>
            </w:pPr>
            <w:r w:rsidRPr="00B369D9">
              <w:rPr>
                <w:rFonts w:ascii="Arial" w:eastAsia="Times New Roman" w:hAnsi="Arial" w:cs="Arial"/>
                <w:b/>
                <w:bCs/>
                <w:sz w:val="18"/>
                <w:szCs w:val="20"/>
              </w:rPr>
              <w:t xml:space="preserve">           45,000,000 </w:t>
            </w:r>
          </w:p>
        </w:tc>
      </w:tr>
    </w:tbl>
    <w:p w14:paraId="7A2D3BA7" w14:textId="77777777" w:rsidR="00561892" w:rsidRDefault="00561892" w:rsidP="00561892">
      <w:pPr>
        <w:pStyle w:val="Paragraph"/>
        <w:spacing w:before="80" w:after="80"/>
        <w:ind w:left="720"/>
        <w:sectPr w:rsidR="00561892" w:rsidSect="00680732">
          <w:pgSz w:w="15840" w:h="12240" w:orient="landscape"/>
          <w:pgMar w:top="1440" w:right="1440" w:bottom="1440" w:left="1440" w:header="720" w:footer="720" w:gutter="0"/>
          <w:cols w:space="720"/>
          <w:titlePg/>
          <w:docGrid w:linePitch="360"/>
        </w:sectPr>
      </w:pPr>
    </w:p>
    <w:p w14:paraId="007A2A5C" w14:textId="7ECF6221" w:rsidR="0028676A" w:rsidRPr="00EE53BB" w:rsidRDefault="009B7707" w:rsidP="00EE53BB">
      <w:pPr>
        <w:pStyle w:val="Paragraph"/>
        <w:numPr>
          <w:ilvl w:val="1"/>
          <w:numId w:val="4"/>
        </w:numPr>
        <w:tabs>
          <w:tab w:val="clear" w:pos="720"/>
          <w:tab w:val="num" w:pos="900"/>
        </w:tabs>
        <w:spacing w:before="80" w:after="80"/>
      </w:pPr>
      <w:r w:rsidRPr="00340361">
        <w:rPr>
          <w:b/>
        </w:rPr>
        <w:lastRenderedPageBreak/>
        <w:t>The M&amp;E plan</w:t>
      </w:r>
      <w:r w:rsidRPr="009B7707">
        <w:t xml:space="preserve"> presented in this document seeks to ensure the achievement of results and compliance with the targets set in the Results Matrix (RM) and is divided into</w:t>
      </w:r>
      <w:r w:rsidR="00340361">
        <w:t>: i)</w:t>
      </w:r>
      <w:r w:rsidRPr="009B7707">
        <w:t xml:space="preserve"> the Monitoring Plan and</w:t>
      </w:r>
      <w:r w:rsidR="00340361">
        <w:t>; ii) the</w:t>
      </w:r>
      <w:r w:rsidRPr="009B7707">
        <w:t xml:space="preserve"> Evaluation Plan. The Monitoring Plan (section II) lays out the monitoring responsibilities, tools and reports; output indicators, together with their baselines and targets; data sources; arrangements for the monitoring of results; the cost structure of the Program; and timeline and budget for monitoring activities. The Evaluation Plan (section III) presents the ex-post impact evaluation strategy, which includes the logic of the intervention, impact and outcome indicators, evaluation methodology, sampling strategy, data collection strategy, timeline of activities and budget. </w:t>
      </w:r>
    </w:p>
    <w:p w14:paraId="0AD5A12D" w14:textId="77777777" w:rsidR="00573A6D" w:rsidRPr="00AD2AEC" w:rsidRDefault="00573A6D" w:rsidP="00192B65">
      <w:pPr>
        <w:pStyle w:val="Paragraph"/>
        <w:tabs>
          <w:tab w:val="num" w:pos="900"/>
        </w:tabs>
        <w:ind w:left="900"/>
        <w:rPr>
          <w:szCs w:val="24"/>
        </w:rPr>
        <w:sectPr w:rsidR="00573A6D" w:rsidRPr="00AD2AEC" w:rsidSect="00274105">
          <w:pgSz w:w="12240" w:h="15840"/>
          <w:pgMar w:top="1440" w:right="1440" w:bottom="1440" w:left="1440" w:header="720" w:footer="720" w:gutter="0"/>
          <w:cols w:space="720"/>
          <w:titlePg/>
          <w:docGrid w:linePitch="360"/>
        </w:sectPr>
      </w:pPr>
    </w:p>
    <w:p w14:paraId="6CE2C17D" w14:textId="1B28746F" w:rsidR="004C39C6" w:rsidRDefault="001B5186" w:rsidP="00E3028B">
      <w:pPr>
        <w:pStyle w:val="Heading1"/>
        <w:numPr>
          <w:ilvl w:val="0"/>
          <w:numId w:val="25"/>
        </w:numPr>
        <w:rPr>
          <w:b/>
          <w:color w:val="000000" w:themeColor="text1"/>
          <w:sz w:val="28"/>
        </w:rPr>
      </w:pPr>
      <w:r w:rsidRPr="0022054C">
        <w:rPr>
          <w:b/>
          <w:color w:val="000000" w:themeColor="text1"/>
          <w:sz w:val="28"/>
        </w:rPr>
        <w:t>Monitoring</w:t>
      </w:r>
    </w:p>
    <w:p w14:paraId="7A07979E" w14:textId="77777777" w:rsidR="000813B3" w:rsidRPr="000813B3" w:rsidRDefault="000813B3" w:rsidP="000813B3">
      <w:pPr>
        <w:spacing w:after="0"/>
      </w:pPr>
    </w:p>
    <w:p w14:paraId="6094113D" w14:textId="7AFE9CF3" w:rsidR="00F469B3" w:rsidRPr="00DD490C" w:rsidRDefault="00992B0A" w:rsidP="000813B3">
      <w:pPr>
        <w:spacing w:after="0"/>
        <w:rPr>
          <w:rFonts w:ascii="Times New Roman" w:hAnsi="Times New Roman"/>
          <w:b/>
          <w:sz w:val="24"/>
        </w:rPr>
      </w:pPr>
      <w:r w:rsidRPr="00DD490C">
        <w:rPr>
          <w:rFonts w:ascii="Times New Roman" w:hAnsi="Times New Roman"/>
          <w:b/>
          <w:sz w:val="24"/>
        </w:rPr>
        <w:t xml:space="preserve">a. </w:t>
      </w:r>
      <w:r w:rsidR="00F469B3" w:rsidRPr="00DD490C">
        <w:rPr>
          <w:rFonts w:ascii="Times New Roman" w:hAnsi="Times New Roman"/>
          <w:b/>
          <w:sz w:val="24"/>
        </w:rPr>
        <w:t>Responsibility of monitoring</w:t>
      </w:r>
    </w:p>
    <w:p w14:paraId="2F202AD9" w14:textId="77777777" w:rsidR="00110FAA" w:rsidRPr="00110FAA" w:rsidRDefault="00110FAA" w:rsidP="00110FAA">
      <w:pPr>
        <w:pStyle w:val="ListParagraph"/>
        <w:keepNext/>
        <w:numPr>
          <w:ilvl w:val="0"/>
          <w:numId w:val="37"/>
        </w:numPr>
        <w:tabs>
          <w:tab w:val="left" w:pos="1440"/>
        </w:tabs>
        <w:spacing w:before="80" w:after="80" w:line="240" w:lineRule="auto"/>
        <w:jc w:val="center"/>
        <w:rPr>
          <w:rFonts w:ascii="Times New Roman" w:hAnsi="Times New Roman"/>
          <w:b/>
          <w:smallCaps/>
          <w:vanish/>
          <w:sz w:val="24"/>
          <w:szCs w:val="24"/>
        </w:rPr>
      </w:pPr>
      <w:bookmarkStart w:id="1" w:name="_Hlk515991948"/>
    </w:p>
    <w:p w14:paraId="4B1540F3" w14:textId="77777777" w:rsidR="00110FAA" w:rsidRPr="00110FAA" w:rsidRDefault="00110FAA" w:rsidP="00110FAA">
      <w:pPr>
        <w:pStyle w:val="ListParagraph"/>
        <w:keepNext/>
        <w:numPr>
          <w:ilvl w:val="0"/>
          <w:numId w:val="37"/>
        </w:numPr>
        <w:tabs>
          <w:tab w:val="left" w:pos="1440"/>
        </w:tabs>
        <w:spacing w:before="80" w:after="80" w:line="240" w:lineRule="auto"/>
        <w:jc w:val="center"/>
        <w:rPr>
          <w:rFonts w:ascii="Times New Roman" w:hAnsi="Times New Roman"/>
          <w:b/>
          <w:smallCaps/>
          <w:vanish/>
          <w:sz w:val="24"/>
          <w:szCs w:val="24"/>
        </w:rPr>
      </w:pPr>
    </w:p>
    <w:p w14:paraId="12DE2843" w14:textId="5D2DAF0B" w:rsidR="00E63D5E" w:rsidRPr="00110FAA" w:rsidRDefault="00E9502B" w:rsidP="00110FAA">
      <w:pPr>
        <w:pStyle w:val="Paragraph"/>
        <w:numPr>
          <w:ilvl w:val="1"/>
          <w:numId w:val="37"/>
        </w:numPr>
      </w:pPr>
      <w:r w:rsidRPr="00110FAA">
        <w:t>The borrower will be the Republic of Suriname</w:t>
      </w:r>
      <w:r w:rsidR="00B819F9">
        <w:t xml:space="preserve"> and the Executing Agency (EA) will be t</w:t>
      </w:r>
      <w:r w:rsidRPr="00110FAA">
        <w:t>he Ministry of Public Works, Transport and Communications (MPWTC)</w:t>
      </w:r>
      <w:r w:rsidR="00B819F9">
        <w:t>, which will act</w:t>
      </w:r>
      <w:r w:rsidRPr="00110FAA">
        <w:t xml:space="preserve"> through a Project Executing Unit (PEU)</w:t>
      </w:r>
      <w:r w:rsidR="00535605">
        <w:t xml:space="preserve"> specifically </w:t>
      </w:r>
      <w:r w:rsidR="00EF2165">
        <w:t>established for the execution of this program</w:t>
      </w:r>
      <w:r w:rsidR="00535605">
        <w:t>. The PEU</w:t>
      </w:r>
      <w:r w:rsidRPr="00110FAA">
        <w:t xml:space="preserve"> will be responsible for general and technical coordination; planning, monitoring and evaluation; financial management; procurement administration; environmental, health and safety management; and communications activities of the project. </w:t>
      </w:r>
      <w:r w:rsidR="00335E3E" w:rsidRPr="00110FAA">
        <w:t xml:space="preserve">As Executing agency of the program, the MPWTC will be responsible for the monitoring of the program through the PEU. </w:t>
      </w:r>
      <w:r w:rsidRPr="00110FAA">
        <w:t xml:space="preserve">The PEU will be financed by the project and will be composed, at least, </w:t>
      </w:r>
      <w:proofErr w:type="gramStart"/>
      <w:r w:rsidRPr="00110FAA">
        <w:t>of:</w:t>
      </w:r>
      <w:proofErr w:type="gramEnd"/>
      <w:r w:rsidRPr="00110FAA">
        <w:t xml:space="preserve"> a </w:t>
      </w:r>
      <w:r w:rsidR="007E68A2" w:rsidRPr="00110FAA">
        <w:t>Pro</w:t>
      </w:r>
      <w:r w:rsidR="007E68A2">
        <w:t>gram</w:t>
      </w:r>
      <w:r w:rsidR="007E68A2" w:rsidRPr="00110FAA">
        <w:t xml:space="preserve"> </w:t>
      </w:r>
      <w:r w:rsidRPr="00110FAA">
        <w:t xml:space="preserve">Director; two Technical Coordinators, one for each component (port and roads); one Financial Management Specialist; one Procurement Specialist and; one Environmental and Social Specialist. </w:t>
      </w:r>
    </w:p>
    <w:p w14:paraId="3CAD22D2" w14:textId="3CE1C0D5" w:rsidR="00042F34" w:rsidRPr="00BB0BEF" w:rsidRDefault="00E9502B" w:rsidP="00110FAA">
      <w:pPr>
        <w:pStyle w:val="Paragraph"/>
        <w:numPr>
          <w:ilvl w:val="1"/>
          <w:numId w:val="37"/>
        </w:numPr>
        <w:tabs>
          <w:tab w:val="left" w:pos="720"/>
        </w:tabs>
        <w:rPr>
          <w:b/>
          <w:szCs w:val="24"/>
        </w:rPr>
      </w:pPr>
      <w:r w:rsidRPr="00BB0BEF">
        <w:rPr>
          <w:szCs w:val="24"/>
        </w:rPr>
        <w:t>The Program Director will be responsible for strategic planning and overall management, monitoring and supervision of the Program. He/she will manage relations and accountability with the donors and the Minister of Public Works. The two Technical Coordinators, each one in his/her field, will be responsible for the good execution of the activities. They will support the planning of the activities, the negotiation and the management of the contracts. The Coordinator for Environmental and Social matters will be responsible for ensuring compliance with IDB’s environmental and social policies. He/she will manage the technical assistance contract on ES matters and will supervise the preparation and implementation of management and action plans for environmental and social safeguards, resettlement, gender mainstreaming and road safety</w:t>
      </w:r>
      <w:r w:rsidR="00E63D5E" w:rsidRPr="00BB0BEF">
        <w:rPr>
          <w:szCs w:val="24"/>
        </w:rPr>
        <w:t>.</w:t>
      </w:r>
    </w:p>
    <w:p w14:paraId="03536DB9" w14:textId="77777777" w:rsidR="002465EE" w:rsidRDefault="002465EE" w:rsidP="002465EE">
      <w:pPr>
        <w:spacing w:after="0"/>
        <w:rPr>
          <w:rFonts w:ascii="Times New Roman" w:hAnsi="Times New Roman"/>
          <w:b/>
          <w:sz w:val="24"/>
        </w:rPr>
      </w:pPr>
    </w:p>
    <w:p w14:paraId="3903ABFA" w14:textId="7C3D5945" w:rsidR="002465EE" w:rsidRPr="00DD490C" w:rsidRDefault="002465EE" w:rsidP="002465EE">
      <w:pPr>
        <w:spacing w:after="0"/>
        <w:rPr>
          <w:rFonts w:ascii="Times New Roman" w:hAnsi="Times New Roman"/>
          <w:b/>
          <w:sz w:val="24"/>
        </w:rPr>
      </w:pPr>
      <w:r>
        <w:rPr>
          <w:rFonts w:ascii="Times New Roman" w:hAnsi="Times New Roman"/>
          <w:b/>
          <w:sz w:val="24"/>
        </w:rPr>
        <w:t>b</w:t>
      </w:r>
      <w:r w:rsidRPr="00DD490C">
        <w:rPr>
          <w:rFonts w:ascii="Times New Roman" w:hAnsi="Times New Roman"/>
          <w:b/>
          <w:sz w:val="24"/>
        </w:rPr>
        <w:t xml:space="preserve">. </w:t>
      </w:r>
      <w:r>
        <w:rPr>
          <w:rFonts w:ascii="Times New Roman" w:hAnsi="Times New Roman"/>
          <w:b/>
          <w:sz w:val="24"/>
        </w:rPr>
        <w:t>M</w:t>
      </w:r>
      <w:r w:rsidRPr="00DD490C">
        <w:rPr>
          <w:rFonts w:ascii="Times New Roman" w:hAnsi="Times New Roman"/>
          <w:b/>
          <w:sz w:val="24"/>
        </w:rPr>
        <w:t>onitoring</w:t>
      </w:r>
      <w:r>
        <w:rPr>
          <w:rFonts w:ascii="Times New Roman" w:hAnsi="Times New Roman"/>
          <w:b/>
          <w:sz w:val="24"/>
        </w:rPr>
        <w:t xml:space="preserve"> and reporting tools</w:t>
      </w:r>
    </w:p>
    <w:p w14:paraId="2B8B773C" w14:textId="4A6327A8" w:rsidR="00CA5FCB" w:rsidRPr="00CA5FCB" w:rsidRDefault="00CA5FCB" w:rsidP="00CA5FCB">
      <w:pPr>
        <w:pStyle w:val="Paragraph"/>
        <w:numPr>
          <w:ilvl w:val="1"/>
          <w:numId w:val="37"/>
        </w:numPr>
        <w:tabs>
          <w:tab w:val="left" w:pos="720"/>
        </w:tabs>
        <w:rPr>
          <w:szCs w:val="24"/>
        </w:rPr>
      </w:pPr>
      <w:r w:rsidRPr="00CA5FCB">
        <w:rPr>
          <w:szCs w:val="24"/>
        </w:rPr>
        <w:t>The main tools and reports for the monitoring of the program are: (i) the Monitoring system; (ii) the monitoring of program management tools: Project Execution Plan (PEP), Annual Operations Plans (AOP), Procurement Plans (PP), Risk Matrix, and Results Matrix (RM); (iii) semi-annual progress reports and the Program Monitoring Reports (PMR); and (iv) final program evaluation.</w:t>
      </w:r>
    </w:p>
    <w:p w14:paraId="585E1F6E" w14:textId="088E9517" w:rsidR="00920A44" w:rsidRDefault="00CA5FCB" w:rsidP="00CA5FCB">
      <w:pPr>
        <w:pStyle w:val="Paragraph"/>
        <w:numPr>
          <w:ilvl w:val="1"/>
          <w:numId w:val="37"/>
        </w:numPr>
        <w:rPr>
          <w:szCs w:val="24"/>
        </w:rPr>
      </w:pPr>
      <w:r w:rsidRPr="00EB59D9">
        <w:rPr>
          <w:b/>
          <w:szCs w:val="24"/>
        </w:rPr>
        <w:lastRenderedPageBreak/>
        <w:t>The monitoring system</w:t>
      </w:r>
      <w:r w:rsidRPr="00CA5FCB">
        <w:rPr>
          <w:szCs w:val="24"/>
        </w:rPr>
        <w:t xml:space="preserve"> will consist of the following instruments: (i) the Loan Contract; (ii) the initial report; (iii) the Results Matrix (RM); (iv) the PEP; (v) the current AOP; (vi) the PP and the financial monitoring plan; (vii) the semi-annual progress reports; (viii) the PMR; (ix) the risk management analysis; (x) the monitoring and supervision missions; (xi) the administration missions; (xii) the aide memoires or reports resulting from the administration, supervision, and any other relevant missions; (xiii) the latest audited financial statements of the program; and (xiv) the technical supervision reports prepared by the </w:t>
      </w:r>
      <w:r w:rsidR="006F54B1">
        <w:rPr>
          <w:szCs w:val="24"/>
        </w:rPr>
        <w:t>PEU</w:t>
      </w:r>
      <w:r w:rsidRPr="00CA5FCB">
        <w:rPr>
          <w:szCs w:val="24"/>
        </w:rPr>
        <w:t xml:space="preserve"> at the request of the Bank.</w:t>
      </w:r>
    </w:p>
    <w:p w14:paraId="60FA38AB" w14:textId="7E46570E" w:rsidR="006F54B1" w:rsidRDefault="00EB59D9" w:rsidP="00CA5FCB">
      <w:pPr>
        <w:pStyle w:val="Paragraph"/>
        <w:numPr>
          <w:ilvl w:val="1"/>
          <w:numId w:val="37"/>
        </w:numPr>
        <w:rPr>
          <w:szCs w:val="24"/>
        </w:rPr>
      </w:pPr>
      <w:r w:rsidRPr="00EB59D9">
        <w:rPr>
          <w:b/>
          <w:szCs w:val="24"/>
        </w:rPr>
        <w:t>Monitoring of program management tools.</w:t>
      </w:r>
      <w:r w:rsidRPr="00EB59D9">
        <w:rPr>
          <w:szCs w:val="24"/>
        </w:rPr>
        <w:t xml:space="preserve"> Monitoring will be based on the program’s management tools: PEP, AOP, PP, risk matrix, RM, financial plans, audited financial statements, and semi-annual progress reports. The goal is to facilitate the accomplishment of the chronogram, budget, risk mitigation plans, and decision making to optimize the management of the Program. </w:t>
      </w:r>
    </w:p>
    <w:p w14:paraId="6B86B5C9" w14:textId="321CE135" w:rsidR="009C5A2B" w:rsidRDefault="009C5A2B" w:rsidP="00CA5FCB">
      <w:pPr>
        <w:pStyle w:val="Paragraph"/>
        <w:numPr>
          <w:ilvl w:val="1"/>
          <w:numId w:val="37"/>
        </w:numPr>
        <w:rPr>
          <w:szCs w:val="24"/>
        </w:rPr>
      </w:pPr>
      <w:r w:rsidRPr="009C5A2B">
        <w:rPr>
          <w:b/>
          <w:szCs w:val="24"/>
        </w:rPr>
        <w:t>Semi-annual progress reports and PMR.</w:t>
      </w:r>
      <w:r w:rsidRPr="009C5A2B">
        <w:rPr>
          <w:szCs w:val="24"/>
        </w:rPr>
        <w:t xml:space="preserve"> The preparation of the semi-annual progress report by the PEU and their approval by the Bank is a contractual condition of the loan. The objective of the semi-annual progress reports is to report on the progress achieved and to detect any deviations between programming and execution </w:t>
      </w:r>
      <w:proofErr w:type="gramStart"/>
      <w:r w:rsidRPr="009C5A2B">
        <w:rPr>
          <w:szCs w:val="24"/>
        </w:rPr>
        <w:t>so as to</w:t>
      </w:r>
      <w:proofErr w:type="gramEnd"/>
      <w:r w:rsidRPr="009C5A2B">
        <w:rPr>
          <w:szCs w:val="24"/>
        </w:rPr>
        <w:t xml:space="preserve"> identify the actions necessary to meet the targets and budget of the Program. Semi-annual progress reports incorporate the PMR as the </w:t>
      </w:r>
      <w:r w:rsidRPr="00A7168D">
        <w:rPr>
          <w:szCs w:val="24"/>
        </w:rPr>
        <w:t xml:space="preserve">tool to report on the Program’s execution and results. The semi-annual PRs </w:t>
      </w:r>
      <w:r w:rsidR="00136DC0">
        <w:rPr>
          <w:szCs w:val="24"/>
        </w:rPr>
        <w:t>and</w:t>
      </w:r>
      <w:r w:rsidRPr="00A7168D">
        <w:rPr>
          <w:szCs w:val="24"/>
        </w:rPr>
        <w:t xml:space="preserve"> the PEP will be presented </w:t>
      </w:r>
      <w:r w:rsidR="00A7168D" w:rsidRPr="00A7168D">
        <w:rPr>
          <w:szCs w:val="24"/>
        </w:rPr>
        <w:t>within 60 days after each semester of the calendar year during the disbursement period</w:t>
      </w:r>
      <w:r w:rsidRPr="00A7168D">
        <w:rPr>
          <w:szCs w:val="24"/>
        </w:rPr>
        <w:t>.</w:t>
      </w:r>
    </w:p>
    <w:p w14:paraId="2D7F7655" w14:textId="0421DB38" w:rsidR="00BF31D4" w:rsidRDefault="00BF31D4" w:rsidP="00CA5FCB">
      <w:pPr>
        <w:pStyle w:val="Paragraph"/>
        <w:numPr>
          <w:ilvl w:val="1"/>
          <w:numId w:val="37"/>
        </w:numPr>
        <w:rPr>
          <w:szCs w:val="24"/>
        </w:rPr>
      </w:pPr>
      <w:r w:rsidRPr="00BF31D4">
        <w:rPr>
          <w:szCs w:val="24"/>
        </w:rPr>
        <w:t>The semi-annual PR will focus on fulfillment of output indicators and progress towards achieving outcomes in the Results Matrix during the reporting period. It should also inform on any changes to the Results Matrix; the factors that have affected execution and their causes; any updates to the risk management matrix and their mitigation plans; the main lessons learned, and the challenges foreseen for the next execution period. Annexes that must be included in the semi-annual progress reports are: PMR, RM, risk matrix, PEP, AOP, PP, cash flow and disbursement programming, audited financial statements, and reports on the use of counterpart resources.</w:t>
      </w:r>
    </w:p>
    <w:bookmarkEnd w:id="1"/>
    <w:p w14:paraId="4BD71956" w14:textId="77777777" w:rsidR="00284D8F" w:rsidRDefault="00284D8F" w:rsidP="007E43E4">
      <w:pPr>
        <w:spacing w:after="0"/>
        <w:rPr>
          <w:rFonts w:ascii="Times New Roman" w:hAnsi="Times New Roman"/>
          <w:b/>
          <w:sz w:val="24"/>
        </w:rPr>
      </w:pPr>
    </w:p>
    <w:p w14:paraId="0FB7AAFF" w14:textId="4F7B64CE" w:rsidR="007E43E4" w:rsidRPr="007E43E4" w:rsidRDefault="007E43E4" w:rsidP="007E43E4">
      <w:pPr>
        <w:spacing w:after="0"/>
        <w:rPr>
          <w:rFonts w:ascii="Times New Roman" w:hAnsi="Times New Roman"/>
          <w:b/>
          <w:sz w:val="24"/>
        </w:rPr>
      </w:pPr>
      <w:r>
        <w:rPr>
          <w:rFonts w:ascii="Times New Roman" w:hAnsi="Times New Roman"/>
          <w:b/>
          <w:sz w:val="24"/>
        </w:rPr>
        <w:t>c</w:t>
      </w:r>
      <w:r w:rsidRPr="007E43E4">
        <w:rPr>
          <w:rFonts w:ascii="Times New Roman" w:hAnsi="Times New Roman"/>
          <w:b/>
          <w:sz w:val="24"/>
        </w:rPr>
        <w:t xml:space="preserve">. </w:t>
      </w:r>
      <w:r>
        <w:rPr>
          <w:rFonts w:ascii="Times New Roman" w:hAnsi="Times New Roman"/>
          <w:b/>
          <w:sz w:val="24"/>
        </w:rPr>
        <w:t>Arrangements for the monitoring of results</w:t>
      </w:r>
    </w:p>
    <w:p w14:paraId="1D1C927C" w14:textId="7E938D81" w:rsidR="00AB786F" w:rsidRPr="00A7168D" w:rsidRDefault="000028EC" w:rsidP="00110FAA">
      <w:pPr>
        <w:pStyle w:val="Paragraph"/>
        <w:numPr>
          <w:ilvl w:val="1"/>
          <w:numId w:val="37"/>
        </w:numPr>
      </w:pPr>
      <w:r w:rsidRPr="00462E6E">
        <w:rPr>
          <w:b/>
        </w:rPr>
        <w:t xml:space="preserve">Monitoring </w:t>
      </w:r>
      <w:r w:rsidR="00BD668E">
        <w:rPr>
          <w:b/>
        </w:rPr>
        <w:t>r</w:t>
      </w:r>
      <w:r w:rsidRPr="00462E6E">
        <w:rPr>
          <w:b/>
        </w:rPr>
        <w:t>esponsibilities.</w:t>
      </w:r>
      <w:r>
        <w:t xml:space="preserve"> </w:t>
      </w:r>
      <w:r w:rsidR="00AB786F">
        <w:t>The</w:t>
      </w:r>
      <w:r w:rsidR="00AB786F" w:rsidRPr="0098299C">
        <w:t xml:space="preserve"> monitoring</w:t>
      </w:r>
      <w:r w:rsidRPr="0098299C">
        <w:t xml:space="preserve"> </w:t>
      </w:r>
      <w:r w:rsidR="00E947B0">
        <w:t>p</w:t>
      </w:r>
      <w:r w:rsidRPr="0098299C">
        <w:t xml:space="preserve">lan will be carried out during project execution in agreement with the goals and performance indicators identified in the RF. The </w:t>
      </w:r>
      <w:r w:rsidR="008309E4">
        <w:t>Pro</w:t>
      </w:r>
      <w:r w:rsidR="004F246C">
        <w:t>ject</w:t>
      </w:r>
      <w:r w:rsidR="008309E4">
        <w:t xml:space="preserve"> Director</w:t>
      </w:r>
      <w:r>
        <w:t xml:space="preserve">, </w:t>
      </w:r>
      <w:r w:rsidRPr="0098299C">
        <w:t>will</w:t>
      </w:r>
      <w:r w:rsidR="008309E4">
        <w:t xml:space="preserve"> be</w:t>
      </w:r>
      <w:r w:rsidR="00AB1ADE">
        <w:t xml:space="preserve"> the person</w:t>
      </w:r>
      <w:r w:rsidR="008309E4">
        <w:t xml:space="preserve"> in charge of</w:t>
      </w:r>
      <w:r w:rsidRPr="0098299C">
        <w:t xml:space="preserve"> </w:t>
      </w:r>
      <w:r>
        <w:t>monitor</w:t>
      </w:r>
      <w:r w:rsidR="008309E4">
        <w:t>ing the</w:t>
      </w:r>
      <w:r>
        <w:t xml:space="preserve"> progress against the project’s indicator</w:t>
      </w:r>
      <w:r w:rsidRPr="0098299C">
        <w:t>s</w:t>
      </w:r>
      <w:r w:rsidR="00E947B0">
        <w:t>,</w:t>
      </w:r>
      <w:r w:rsidRPr="0098299C">
        <w:t xml:space="preserve"> will establish a monitoring system to verify the progress and impact of the </w:t>
      </w:r>
      <w:r w:rsidR="00FE38A7">
        <w:t>project</w:t>
      </w:r>
      <w:r w:rsidR="00FE38A7" w:rsidRPr="0098299C">
        <w:t xml:space="preserve"> </w:t>
      </w:r>
      <w:r w:rsidRPr="0098299C">
        <w:t>activities</w:t>
      </w:r>
      <w:r w:rsidR="00E947B0">
        <w:t xml:space="preserve"> and will train</w:t>
      </w:r>
      <w:r w:rsidRPr="0098299C">
        <w:t xml:space="preserve"> staff of the </w:t>
      </w:r>
      <w:r w:rsidR="008309E4">
        <w:t>PEU</w:t>
      </w:r>
      <w:r w:rsidR="00E947B0">
        <w:t xml:space="preserve"> to collect the required data. The </w:t>
      </w:r>
      <w:r w:rsidR="00CF771F">
        <w:t>Pro</w:t>
      </w:r>
      <w:r w:rsidR="004F246C">
        <w:t>ject</w:t>
      </w:r>
      <w:r w:rsidR="00CF771F">
        <w:t xml:space="preserve"> Director</w:t>
      </w:r>
      <w:r w:rsidRPr="0098299C">
        <w:t xml:space="preserve"> will</w:t>
      </w:r>
      <w:r w:rsidR="00D04CC9">
        <w:t>:</w:t>
      </w:r>
      <w:r w:rsidRPr="0098299C">
        <w:t xml:space="preserve"> (i) collect periodically the information about physical progress (activities) and financial progress (available and invested funds); and (ii) keep updated and </w:t>
      </w:r>
      <w:r w:rsidRPr="001320A4">
        <w:rPr>
          <w:noProof/>
        </w:rPr>
        <w:t>accessible</w:t>
      </w:r>
      <w:r w:rsidRPr="0098299C">
        <w:t xml:space="preserve"> the relevant information about the execution of the </w:t>
      </w:r>
      <w:r w:rsidRPr="001320A4">
        <w:rPr>
          <w:noProof/>
        </w:rPr>
        <w:t>operation</w:t>
      </w:r>
      <w:r w:rsidRPr="0098299C">
        <w:t xml:space="preserve"> activities and its resources. </w:t>
      </w:r>
      <w:r w:rsidR="00E947B0">
        <w:t>T</w:t>
      </w:r>
      <w:r w:rsidR="00EC57CE">
        <w:t>he IDB, through the p</w:t>
      </w:r>
      <w:r w:rsidRPr="0098299C">
        <w:t>roject team leader and members of the team</w:t>
      </w:r>
      <w:r w:rsidR="00EC57CE">
        <w:t>,</w:t>
      </w:r>
      <w:r w:rsidRPr="0098299C">
        <w:t xml:space="preserve"> is responsible for coordinating and ensuring that the </w:t>
      </w:r>
      <w:r w:rsidR="00E947B0">
        <w:t>m</w:t>
      </w:r>
      <w:r w:rsidRPr="0098299C">
        <w:t xml:space="preserve">onitoring </w:t>
      </w:r>
      <w:r w:rsidR="00E947B0">
        <w:t>p</w:t>
      </w:r>
      <w:r w:rsidRPr="0098299C">
        <w:t xml:space="preserve">lan is carried out with the established technical quality and timeframe. In order to accomplish this, it will carry out </w:t>
      </w:r>
      <w:r w:rsidRPr="0098299C">
        <w:lastRenderedPageBreak/>
        <w:t>periodic meeting</w:t>
      </w:r>
      <w:r w:rsidR="00E947B0">
        <w:t>s</w:t>
      </w:r>
      <w:r w:rsidRPr="0098299C">
        <w:t xml:space="preserve"> with th</w:t>
      </w:r>
      <w:r w:rsidR="00EC57CE">
        <w:t>ose</w:t>
      </w:r>
      <w:r w:rsidRPr="0098299C">
        <w:t xml:space="preserve"> responsible for </w:t>
      </w:r>
      <w:r w:rsidR="00E947B0">
        <w:t>monitoring</w:t>
      </w:r>
      <w:r w:rsidRPr="0098299C">
        <w:t xml:space="preserve"> </w:t>
      </w:r>
      <w:r w:rsidR="00E947B0" w:rsidRPr="0098299C">
        <w:t xml:space="preserve">and </w:t>
      </w:r>
      <w:r w:rsidR="00E947B0">
        <w:t>if</w:t>
      </w:r>
      <w:r w:rsidRPr="0098299C">
        <w:t xml:space="preserve"> needed will ask for </w:t>
      </w:r>
      <w:r w:rsidRPr="00A7168D">
        <w:t>additional reports or presentations</w:t>
      </w:r>
      <w:r w:rsidR="00E947B0" w:rsidRPr="00A7168D">
        <w:t xml:space="preserve"> of results</w:t>
      </w:r>
      <w:r w:rsidRPr="00A7168D">
        <w:t xml:space="preserve">. The monitoring of the plan will be carried out </w:t>
      </w:r>
      <w:r w:rsidR="00E947B0" w:rsidRPr="00A7168D">
        <w:t>continuously</w:t>
      </w:r>
      <w:r w:rsidRPr="00A7168D">
        <w:t xml:space="preserve"> once the operation becomes eligible until its completion</w:t>
      </w:r>
      <w:r w:rsidR="00A122FB" w:rsidRPr="00A7168D">
        <w:t>.</w:t>
      </w:r>
    </w:p>
    <w:p w14:paraId="7DA8765B" w14:textId="2DD41784" w:rsidR="00D36086" w:rsidRPr="00A7168D" w:rsidRDefault="00D36086" w:rsidP="00110FAA">
      <w:pPr>
        <w:pStyle w:val="Paragraph"/>
        <w:numPr>
          <w:ilvl w:val="1"/>
          <w:numId w:val="37"/>
        </w:numPr>
      </w:pPr>
      <w:r w:rsidRPr="00A7168D">
        <w:t xml:space="preserve">Monitoring activities will include: </w:t>
      </w:r>
      <w:r w:rsidR="00573A6D" w:rsidRPr="00A7168D">
        <w:t>(</w:t>
      </w:r>
      <w:r w:rsidRPr="00A7168D">
        <w:t>i) baseline data collection and analysis before project</w:t>
      </w:r>
      <w:r w:rsidR="00C12C64" w:rsidRPr="00A7168D">
        <w:t xml:space="preserve"> implementation</w:t>
      </w:r>
      <w:r w:rsidR="00EC57CE" w:rsidRPr="00A7168D">
        <w:t xml:space="preserve"> and</w:t>
      </w:r>
      <w:r w:rsidRPr="00A7168D">
        <w:t xml:space="preserve"> </w:t>
      </w:r>
      <w:r w:rsidR="00573A6D" w:rsidRPr="00A7168D">
        <w:t>(</w:t>
      </w:r>
      <w:r w:rsidRPr="00A7168D">
        <w:t>ii) monthly data collection and analysis f</w:t>
      </w:r>
      <w:r w:rsidR="00C154C8" w:rsidRPr="00A7168D">
        <w:t xml:space="preserve">or the duration of the </w:t>
      </w:r>
      <w:r w:rsidR="00FE38A7" w:rsidRPr="00A7168D">
        <w:t>project</w:t>
      </w:r>
      <w:r w:rsidR="00C154C8" w:rsidRPr="00A7168D">
        <w:t>.</w:t>
      </w:r>
      <w:r w:rsidR="008A0E18" w:rsidRPr="00A7168D">
        <w:t xml:space="preserve"> </w:t>
      </w:r>
      <w:r w:rsidRPr="00A7168D">
        <w:t xml:space="preserve">The monitoring </w:t>
      </w:r>
      <w:r w:rsidR="00C12C64" w:rsidRPr="00A7168D">
        <w:t xml:space="preserve">process </w:t>
      </w:r>
      <w:r w:rsidRPr="00A7168D">
        <w:t xml:space="preserve">will be validated with the support of </w:t>
      </w:r>
      <w:r w:rsidR="00BE0567" w:rsidRPr="00A7168D">
        <w:t xml:space="preserve">Technical </w:t>
      </w:r>
      <w:r w:rsidR="00FF1A19" w:rsidRPr="00A7168D">
        <w:t>Coordinators</w:t>
      </w:r>
      <w:r w:rsidRPr="00A7168D">
        <w:t xml:space="preserve">. Accordingly, all the output indicators will be measured directly. These measures and estimates will be compared with the expected outputs and outcomes presented in the </w:t>
      </w:r>
      <w:r w:rsidR="00EC57CE" w:rsidRPr="00A7168D">
        <w:t>RF</w:t>
      </w:r>
      <w:r w:rsidRPr="00A7168D">
        <w:t xml:space="preserve">. </w:t>
      </w:r>
      <w:r w:rsidR="00783276" w:rsidRPr="00A7168D">
        <w:t>The frequency of measurement is found in Table</w:t>
      </w:r>
      <w:r w:rsidR="00115EC9" w:rsidRPr="00A7168D">
        <w:t>s</w:t>
      </w:r>
      <w:r w:rsidR="00783276" w:rsidRPr="00A7168D">
        <w:t xml:space="preserve"> 1</w:t>
      </w:r>
      <w:r w:rsidR="00115EC9" w:rsidRPr="00A7168D">
        <w:t xml:space="preserve"> &amp; 2</w:t>
      </w:r>
      <w:r w:rsidR="00783276" w:rsidRPr="00A7168D">
        <w:t xml:space="preserve"> alongside the respective indicator.</w:t>
      </w:r>
    </w:p>
    <w:p w14:paraId="25194BEE" w14:textId="470BE5B1" w:rsidR="00623754" w:rsidRPr="00A7168D" w:rsidRDefault="00623754" w:rsidP="00623754">
      <w:pPr>
        <w:pStyle w:val="Paragraph"/>
        <w:numPr>
          <w:ilvl w:val="1"/>
          <w:numId w:val="37"/>
        </w:numPr>
      </w:pPr>
      <w:r w:rsidRPr="00A7168D">
        <w:rPr>
          <w:b/>
        </w:rPr>
        <w:t>Monitoring instruments.</w:t>
      </w:r>
      <w:r w:rsidRPr="00A7168D">
        <w:t xml:space="preserve"> Project monitoring will be based on Bank’s standards instruments, to be prepared by the PEU and presented to the Bank according to their corresponding periodicity.  These instruments include: </w:t>
      </w:r>
    </w:p>
    <w:p w14:paraId="046D86F8" w14:textId="77777777" w:rsidR="00D217F2" w:rsidRPr="00A7168D" w:rsidRDefault="00623754" w:rsidP="00D217F2">
      <w:pPr>
        <w:pStyle w:val="subpar"/>
        <w:numPr>
          <w:ilvl w:val="2"/>
          <w:numId w:val="37"/>
        </w:numPr>
      </w:pPr>
      <w:r w:rsidRPr="00A7168D">
        <w:rPr>
          <w:u w:val="single"/>
        </w:rPr>
        <w:t>Annual Operations Plan (AOP)</w:t>
      </w:r>
      <w:r w:rsidRPr="00A7168D">
        <w:t xml:space="preserve">: </w:t>
      </w:r>
      <w:r w:rsidR="00D217F2" w:rsidRPr="00A7168D">
        <w:t>The PEU shall submit to the satisfaction of the Bank, within thirty (30) days prior the conclusion of each calendar year during the execution of the project, the corresponding Annual Operation Plan (AOP) for the next year. The AOP consolidates all the activities to be implemented over a determined period of execution, by products and with a financial schedule. The PEU will submit, semi-annually, as an integral part of the semi-annual progress reports, the AOP and the Project Execution Plan (PEP) for the following two semesters, including the activities, schedules and estimated budgets for the projects funded the previous year and those proposed for the following year. The final AOP and PEP from the first year will be included in the initial report. The AOP and PEP will include at least the following elements: (i) the execution status of the project, describing in detail the status of each component; (ii) the procurement plan for the works, goods and services, as well as consulting services including budget and disbursement projections; (iii) the progress in meeting the goals and outcomes of the project; (iv) the progress in meeting output indicators for each component, in accordance with the Results Matrix and its schedule; (v) the problems encountered; (vi) the solutions implemented.</w:t>
      </w:r>
    </w:p>
    <w:p w14:paraId="6EF8F042" w14:textId="6B74FD5E" w:rsidR="00623754" w:rsidRPr="00A7168D" w:rsidRDefault="00623754" w:rsidP="00680732">
      <w:pPr>
        <w:pStyle w:val="subpar"/>
        <w:numPr>
          <w:ilvl w:val="2"/>
          <w:numId w:val="37"/>
        </w:numPr>
      </w:pPr>
      <w:r w:rsidRPr="00A7168D">
        <w:rPr>
          <w:u w:val="single"/>
        </w:rPr>
        <w:t>Project Execution Plan (PEP):</w:t>
      </w:r>
      <w:r w:rsidRPr="00A7168D">
        <w:t xml:space="preserve"> Consists of a planning tool for scheduling and costing of all program activities, which includes the individual products that are included in the Results Matrix.  The PEP matrix contains beginning and ending period of each product, their costs, and the intermediary activities required for their completion.  The PEP shall be updated through the implementation period, reflecting the adjustments and changes in the original plans. These adjusted PEPs </w:t>
      </w:r>
      <w:r w:rsidR="00136DC0">
        <w:t xml:space="preserve">and the </w:t>
      </w:r>
      <w:r w:rsidR="009847DC">
        <w:t xml:space="preserve">program </w:t>
      </w:r>
      <w:bookmarkStart w:id="2" w:name="_GoBack"/>
      <w:bookmarkEnd w:id="2"/>
      <w:r w:rsidR="00136DC0">
        <w:t xml:space="preserve">semi-annual report </w:t>
      </w:r>
      <w:r w:rsidRPr="00A7168D">
        <w:t xml:space="preserve">shall be </w:t>
      </w:r>
      <w:r w:rsidR="00136DC0">
        <w:t>present</w:t>
      </w:r>
      <w:r w:rsidRPr="00A7168D">
        <w:t xml:space="preserve">ed </w:t>
      </w:r>
      <w:r w:rsidR="00AB4A79" w:rsidRPr="00A7168D">
        <w:t>within 60 days after each semester of the calendar year during the disbursement period.</w:t>
      </w:r>
    </w:p>
    <w:p w14:paraId="1C83D843" w14:textId="2226215B" w:rsidR="00623754" w:rsidRDefault="00623754" w:rsidP="00680732">
      <w:pPr>
        <w:pStyle w:val="subpar"/>
        <w:numPr>
          <w:ilvl w:val="2"/>
          <w:numId w:val="37"/>
        </w:numPr>
      </w:pPr>
      <w:r w:rsidRPr="00A7168D">
        <w:rPr>
          <w:u w:val="single"/>
        </w:rPr>
        <w:t>Semi-annual progress reports</w:t>
      </w:r>
      <w:r w:rsidRPr="00A7168D">
        <w:t>: which will include an updating of the PEP will be presented within 60 days after each semester of the calendar year during the disbursement period.  They will focus on fulfillment of output indicators and progress towards achieving outcomes in the Results Framework, an analysis of problems encountered and proposed corrective measures. The semi-annual</w:t>
      </w:r>
      <w:r>
        <w:t xml:space="preserve"> reports will include: </w:t>
      </w:r>
      <w:r>
        <w:lastRenderedPageBreak/>
        <w:t>i) advances in the fulfillment of the goals established in the Results Matrix, through the PMR system; ii) evaluation of the PEP, the progress in its execution, the problems that have arisen and suggestions to solve them; iii) description of the activities executed by each component of the program; iv) evaluation of compliance with the Procurement Plan; v) description of the procurement processes carried out in the reporting period; vi) information on the performance of contractors, consultants and supervisory firms; vii) summary of the financial statements of the Program; viii) updated schedule of advances in physical-financial matters (disbursements); i</w:t>
      </w:r>
      <w:r w:rsidR="00D217F2">
        <w:t>x</w:t>
      </w:r>
      <w:r>
        <w:t>) follow-up of the institutional strengthening plan;</w:t>
      </w:r>
      <w:r w:rsidR="00D217F2">
        <w:t xml:space="preserve"> x)</w:t>
      </w:r>
      <w:r>
        <w:t xml:space="preserve"> </w:t>
      </w:r>
      <w:r w:rsidR="00D217F2">
        <w:t>p</w:t>
      </w:r>
      <w:r>
        <w:t>rogress with respect to the implementation of environmental audits, including schedule, results and measures implemented to comply with the Environmental and Social Management Report (ESMR);</w:t>
      </w:r>
      <w:r w:rsidR="00D217F2">
        <w:t xml:space="preserve"> xi) i</w:t>
      </w:r>
      <w:r>
        <w:t>dentification of new risks / events that may affect the implementation of the Program and an update of the Risk Matrix;</w:t>
      </w:r>
      <w:r w:rsidR="00D217F2">
        <w:t xml:space="preserve"> xii) e</w:t>
      </w:r>
      <w:r>
        <w:t>xecution plan corresponding to the next two semesters;</w:t>
      </w:r>
      <w:r w:rsidR="00D217F2">
        <w:t xml:space="preserve"> xiii) m</w:t>
      </w:r>
      <w:r>
        <w:t>aintenance plan for works corresponding to the next two semesters;</w:t>
      </w:r>
      <w:r w:rsidR="00D217F2">
        <w:t xml:space="preserve"> xiv) e</w:t>
      </w:r>
      <w:r>
        <w:t>stimated Financial Plan for the next two semesters.</w:t>
      </w:r>
    </w:p>
    <w:p w14:paraId="76E360EA" w14:textId="7F740073" w:rsidR="00A473E6" w:rsidRPr="00A7168D" w:rsidRDefault="00A473E6" w:rsidP="00D217F2">
      <w:pPr>
        <w:pStyle w:val="subpar"/>
      </w:pPr>
      <w:r w:rsidRPr="00680732">
        <w:rPr>
          <w:u w:val="single"/>
        </w:rPr>
        <w:t>Procurement Plan (PP)</w:t>
      </w:r>
      <w:r w:rsidR="00D217F2">
        <w:rPr>
          <w:u w:val="single"/>
        </w:rPr>
        <w:t>:</w:t>
      </w:r>
      <w:r w:rsidRPr="00462E6E">
        <w:t xml:space="preserve"> </w:t>
      </w:r>
      <w:r w:rsidRPr="007C4BF4">
        <w:t xml:space="preserve">This instrument is intended to present to the Bank and to publish the </w:t>
      </w:r>
      <w:r w:rsidRPr="00A7168D">
        <w:t xml:space="preserve">details of all procurement to be made in a given period of execution of the </w:t>
      </w:r>
      <w:r w:rsidR="00FE38A7" w:rsidRPr="00A7168D">
        <w:t>project</w:t>
      </w:r>
      <w:r w:rsidRPr="00A7168D">
        <w:t xml:space="preserve">. The PP informs about all acquisitions and contracts that will be executed in conformance with the Policies for Procurement of goods and works financed by the Bank (GN-2349-9) and the Policies for the Selection and contracting of consultants financed by the Bank (GN-2350-9), and in accordance with the Loan Agreement. In order to be considered by the Bank, the PP should be presented with the AOP, as an integral part of the semi-annual progress reports, and should be updated annually or when necessary during the entire period of execution of the </w:t>
      </w:r>
      <w:r w:rsidR="00FE38A7" w:rsidRPr="00A7168D">
        <w:t>project</w:t>
      </w:r>
      <w:r w:rsidRPr="00A7168D">
        <w:t>.</w:t>
      </w:r>
    </w:p>
    <w:p w14:paraId="3D67CEBB" w14:textId="62FC23FE" w:rsidR="00D217F2" w:rsidRPr="00A7168D" w:rsidRDefault="00D217F2" w:rsidP="00D217F2">
      <w:pPr>
        <w:pStyle w:val="subpar"/>
      </w:pPr>
      <w:r w:rsidRPr="00A7168D">
        <w:rPr>
          <w:u w:val="single"/>
        </w:rPr>
        <w:t>Final Report</w:t>
      </w:r>
      <w:r w:rsidRPr="00A7168D">
        <w:t>: within 60 days of the last disbursement date, MPWTC will prepare a final report, summarizing all the progress reports prepared during the program’s life.  It will also organize a closing workshop to present and discuss the Bank’s Project Completion Report (</w:t>
      </w:r>
      <w:r w:rsidR="00CC5B95" w:rsidRPr="00A7168D">
        <w:t>PCR</w:t>
      </w:r>
      <w:r w:rsidRPr="00A7168D">
        <w:t xml:space="preserve">). </w:t>
      </w:r>
    </w:p>
    <w:p w14:paraId="27C732F8" w14:textId="29A78090" w:rsidR="00E71020" w:rsidRPr="00A7168D" w:rsidRDefault="00E71020" w:rsidP="00E71020">
      <w:pPr>
        <w:pStyle w:val="Paragraph"/>
        <w:numPr>
          <w:ilvl w:val="1"/>
          <w:numId w:val="4"/>
        </w:numPr>
      </w:pPr>
      <w:r w:rsidRPr="00A7168D">
        <w:rPr>
          <w:b/>
        </w:rPr>
        <w:t>Collection of Monitoring Data.</w:t>
      </w:r>
      <w:r w:rsidRPr="00A7168D">
        <w:t xml:space="preserve"> The establishment of the monitoring system will be designed and implemented by the Project Director who will among other things commission the PEU members to collect information to monitor the outputs.</w:t>
      </w:r>
    </w:p>
    <w:p w14:paraId="1FFB26F7" w14:textId="74CB1CE0" w:rsidR="00E71020" w:rsidRPr="00A7168D" w:rsidRDefault="00E71020" w:rsidP="00E71020">
      <w:pPr>
        <w:pStyle w:val="Paragraph"/>
        <w:numPr>
          <w:ilvl w:val="1"/>
          <w:numId w:val="4"/>
        </w:numPr>
      </w:pPr>
      <w:r w:rsidRPr="00A7168D">
        <w:t>Accordingly, all the output indicators will be measured directly. These measures and estimates will be compared with the expected outputs and outcomes presented in the Table 2. The frequency of measurement is found in table 2.</w:t>
      </w:r>
    </w:p>
    <w:p w14:paraId="1409FDF4" w14:textId="663A6FB6" w:rsidR="0091679C" w:rsidRPr="00A7168D" w:rsidRDefault="0091679C" w:rsidP="00110FAA">
      <w:pPr>
        <w:pStyle w:val="Paragraph"/>
        <w:numPr>
          <w:ilvl w:val="1"/>
          <w:numId w:val="37"/>
        </w:numPr>
        <w:rPr>
          <w:b/>
        </w:rPr>
      </w:pPr>
      <w:r w:rsidRPr="00A7168D">
        <w:rPr>
          <w:b/>
        </w:rPr>
        <w:t xml:space="preserve">Inspection </w:t>
      </w:r>
      <w:r w:rsidR="00A14EC8" w:rsidRPr="00A7168D">
        <w:rPr>
          <w:b/>
        </w:rPr>
        <w:t>V</w:t>
      </w:r>
      <w:r w:rsidRPr="00A7168D">
        <w:rPr>
          <w:b/>
        </w:rPr>
        <w:t xml:space="preserve">isits.  </w:t>
      </w:r>
      <w:r w:rsidRPr="00A7168D">
        <w:t xml:space="preserve">The Bank will perform </w:t>
      </w:r>
      <w:r w:rsidR="00E97AFB" w:rsidRPr="00A7168D">
        <w:t>periodic</w:t>
      </w:r>
      <w:r w:rsidRPr="00A7168D">
        <w:t xml:space="preserve"> visits with the </w:t>
      </w:r>
      <w:r w:rsidR="001320A4" w:rsidRPr="00A7168D">
        <w:t>PEU</w:t>
      </w:r>
      <w:r w:rsidRPr="00A7168D">
        <w:t xml:space="preserve">, to discuss: </w:t>
      </w:r>
      <w:r w:rsidR="00573A6D" w:rsidRPr="00A7168D">
        <w:t>(</w:t>
      </w:r>
      <w:r w:rsidRPr="00A7168D">
        <w:t>1)</w:t>
      </w:r>
      <w:r w:rsidR="00573A6D" w:rsidRPr="00A7168D">
        <w:t> </w:t>
      </w:r>
      <w:r w:rsidRPr="00A7168D">
        <w:t xml:space="preserve">the progress of the activities identified in the AOP and the PEP, </w:t>
      </w:r>
      <w:r w:rsidR="00573A6D" w:rsidRPr="00A7168D">
        <w:t>(</w:t>
      </w:r>
      <w:r w:rsidRPr="00A7168D">
        <w:t xml:space="preserve">2) the level of compliance with the indicators established in the </w:t>
      </w:r>
      <w:r w:rsidR="00EC57CE" w:rsidRPr="00A7168D">
        <w:t>RF</w:t>
      </w:r>
      <w:r w:rsidRPr="00A7168D">
        <w:t xml:space="preserve">; and </w:t>
      </w:r>
      <w:r w:rsidR="00573A6D" w:rsidRPr="00A7168D">
        <w:t>(</w:t>
      </w:r>
      <w:r w:rsidRPr="00A7168D">
        <w:t>3) the AOP of the following 12 months.</w:t>
      </w:r>
    </w:p>
    <w:p w14:paraId="2A8D2B20" w14:textId="6EB0AEFC" w:rsidR="008871DA" w:rsidRPr="00A7168D" w:rsidRDefault="00853880" w:rsidP="00110FAA">
      <w:pPr>
        <w:pStyle w:val="Paragraph"/>
        <w:numPr>
          <w:ilvl w:val="1"/>
          <w:numId w:val="37"/>
        </w:numPr>
        <w:rPr>
          <w:rFonts w:eastAsia="Times New Roman"/>
        </w:rPr>
      </w:pPr>
      <w:r w:rsidRPr="00A7168D">
        <w:rPr>
          <w:b/>
        </w:rPr>
        <w:t>Indicator Measurement Frequency</w:t>
      </w:r>
      <w:r w:rsidR="00B846FA" w:rsidRPr="00A7168D">
        <w:rPr>
          <w:b/>
        </w:rPr>
        <w:t>.</w:t>
      </w:r>
      <w:r w:rsidRPr="00A7168D">
        <w:t xml:space="preserve"> </w:t>
      </w:r>
      <w:r w:rsidR="0091679C" w:rsidRPr="00A7168D">
        <w:t xml:space="preserve">The indicators that will be followed up on are included in the </w:t>
      </w:r>
      <w:r w:rsidR="00EC57CE" w:rsidRPr="00A7168D">
        <w:t>RF</w:t>
      </w:r>
      <w:r w:rsidR="0091679C" w:rsidRPr="00A7168D">
        <w:t>.  These indicators, in Table</w:t>
      </w:r>
      <w:r w:rsidR="00591CD6" w:rsidRPr="00A7168D">
        <w:t>s 1</w:t>
      </w:r>
      <w:r w:rsidR="0091679C" w:rsidRPr="00A7168D">
        <w:t xml:space="preserve"> </w:t>
      </w:r>
      <w:r w:rsidR="00A61430" w:rsidRPr="00A7168D">
        <w:t>2</w:t>
      </w:r>
      <w:r w:rsidR="0091679C" w:rsidRPr="00A7168D">
        <w:t xml:space="preserve">, will be monitored and recorded in the </w:t>
      </w:r>
      <w:r w:rsidR="0091679C" w:rsidRPr="00A7168D">
        <w:lastRenderedPageBreak/>
        <w:t>PMR showing the number of cycles of data collection and the timing or frequency of measurement and data collection.</w:t>
      </w:r>
    </w:p>
    <w:p w14:paraId="6AC4E324" w14:textId="0B35E958" w:rsidR="00573A6D" w:rsidRPr="00A7168D" w:rsidRDefault="001B2097" w:rsidP="00750005">
      <w:pPr>
        <w:pStyle w:val="Paragraph"/>
        <w:numPr>
          <w:ilvl w:val="1"/>
          <w:numId w:val="37"/>
        </w:numPr>
        <w:tabs>
          <w:tab w:val="left" w:pos="720"/>
        </w:tabs>
      </w:pPr>
      <w:r w:rsidRPr="00A7168D">
        <w:rPr>
          <w:b/>
        </w:rPr>
        <w:t>Monitoring, Coordination, Work Plan, and Budgets.</w:t>
      </w:r>
      <w:r w:rsidRPr="00A7168D">
        <w:t xml:space="preserve"> </w:t>
      </w:r>
      <w:r w:rsidR="00115EC9" w:rsidRPr="00A7168D">
        <w:t xml:space="preserve">The monitoring work plan </w:t>
      </w:r>
      <w:r w:rsidR="00983F4B" w:rsidRPr="00A7168D">
        <w:t xml:space="preserve">and budget </w:t>
      </w:r>
      <w:r w:rsidR="00115EC9" w:rsidRPr="00A7168D">
        <w:t>is presented in</w:t>
      </w:r>
      <w:r w:rsidRPr="00A7168D">
        <w:t xml:space="preserve"> Table </w:t>
      </w:r>
      <w:r w:rsidR="00591CD6" w:rsidRPr="00A7168D">
        <w:t>3</w:t>
      </w:r>
      <w:r w:rsidRPr="00A7168D">
        <w:t xml:space="preserve">. </w:t>
      </w:r>
      <w:r w:rsidR="00127825" w:rsidRPr="00A7168D">
        <w:t>The Program’s monitoring activities have been budgeted as part of the Administration and Evaluation activities in the PEP, which include management expenses (staff and operational costs of the PEU)</w:t>
      </w:r>
      <w:r w:rsidR="00983F4B" w:rsidRPr="00A7168D">
        <w:t xml:space="preserve">, </w:t>
      </w:r>
      <w:r w:rsidR="00127825" w:rsidRPr="00A7168D">
        <w:t>and external audits.</w:t>
      </w:r>
    </w:p>
    <w:p w14:paraId="12FB78D5" w14:textId="77777777" w:rsidR="006A3214" w:rsidRPr="00A7168D" w:rsidRDefault="006A3214" w:rsidP="001B5186">
      <w:pPr>
        <w:spacing w:after="0" w:line="360" w:lineRule="auto"/>
        <w:ind w:left="1080" w:hanging="1166"/>
        <w:jc w:val="center"/>
        <w:rPr>
          <w:rFonts w:ascii="Times New Roman" w:hAnsi="Times New Roman"/>
          <w:b/>
          <w:sz w:val="24"/>
          <w:szCs w:val="24"/>
        </w:rPr>
      </w:pPr>
    </w:p>
    <w:p w14:paraId="3175BA82" w14:textId="77777777" w:rsidR="006A3214" w:rsidRPr="00A7168D" w:rsidRDefault="006A3214" w:rsidP="001B5186">
      <w:pPr>
        <w:spacing w:after="0" w:line="360" w:lineRule="auto"/>
        <w:ind w:left="1080" w:hanging="1166"/>
        <w:jc w:val="center"/>
        <w:rPr>
          <w:rFonts w:ascii="Times New Roman" w:hAnsi="Times New Roman"/>
          <w:b/>
          <w:sz w:val="24"/>
          <w:szCs w:val="24"/>
        </w:rPr>
      </w:pPr>
    </w:p>
    <w:p w14:paraId="44BDB06C" w14:textId="77777777" w:rsidR="006A3214" w:rsidRPr="00A7168D" w:rsidRDefault="006A3214" w:rsidP="001B5186">
      <w:pPr>
        <w:spacing w:after="0" w:line="360" w:lineRule="auto"/>
        <w:ind w:left="1080" w:hanging="1166"/>
        <w:jc w:val="center"/>
        <w:rPr>
          <w:rFonts w:ascii="Times New Roman" w:hAnsi="Times New Roman"/>
          <w:b/>
          <w:sz w:val="24"/>
          <w:szCs w:val="24"/>
        </w:rPr>
      </w:pPr>
    </w:p>
    <w:p w14:paraId="4173CAC1" w14:textId="2E4588BF" w:rsidR="001B5186" w:rsidRPr="00A7168D" w:rsidRDefault="00EC57CE" w:rsidP="001B5186">
      <w:pPr>
        <w:spacing w:after="0" w:line="360" w:lineRule="auto"/>
        <w:ind w:left="1080" w:hanging="1166"/>
        <w:jc w:val="center"/>
        <w:rPr>
          <w:rFonts w:ascii="Times New Roman" w:hAnsi="Times New Roman"/>
          <w:b/>
          <w:sz w:val="24"/>
          <w:szCs w:val="24"/>
        </w:rPr>
      </w:pPr>
      <w:r w:rsidRPr="00A7168D">
        <w:rPr>
          <w:rFonts w:ascii="Times New Roman" w:hAnsi="Times New Roman"/>
          <w:b/>
          <w:sz w:val="24"/>
          <w:szCs w:val="24"/>
        </w:rPr>
        <w:t>T</w:t>
      </w:r>
      <w:r w:rsidR="001B5186" w:rsidRPr="00A7168D">
        <w:rPr>
          <w:rFonts w:ascii="Times New Roman" w:hAnsi="Times New Roman"/>
          <w:b/>
          <w:sz w:val="24"/>
          <w:szCs w:val="24"/>
        </w:rPr>
        <w:t xml:space="preserve">able </w:t>
      </w:r>
      <w:r w:rsidR="00A61430" w:rsidRPr="00A7168D">
        <w:rPr>
          <w:rFonts w:ascii="Times New Roman" w:hAnsi="Times New Roman"/>
          <w:b/>
          <w:sz w:val="24"/>
          <w:szCs w:val="24"/>
        </w:rPr>
        <w:t>2</w:t>
      </w:r>
      <w:r w:rsidR="0091679C" w:rsidRPr="00A7168D">
        <w:rPr>
          <w:rFonts w:ascii="Times New Roman" w:hAnsi="Times New Roman"/>
          <w:b/>
          <w:sz w:val="24"/>
          <w:szCs w:val="24"/>
        </w:rPr>
        <w:t xml:space="preserve">: </w:t>
      </w:r>
      <w:r w:rsidR="001B5186" w:rsidRPr="00A7168D">
        <w:rPr>
          <w:rFonts w:ascii="Times New Roman" w:hAnsi="Times New Roman"/>
          <w:b/>
          <w:sz w:val="24"/>
          <w:szCs w:val="24"/>
        </w:rPr>
        <w:t>Monitoring</w:t>
      </w:r>
      <w:r w:rsidRPr="00A7168D">
        <w:rPr>
          <w:rFonts w:ascii="Times New Roman" w:hAnsi="Times New Roman"/>
          <w:b/>
          <w:sz w:val="24"/>
          <w:szCs w:val="24"/>
        </w:rPr>
        <w:t xml:space="preserve"> Output</w:t>
      </w:r>
      <w:r w:rsidR="001B5186" w:rsidRPr="00A7168D">
        <w:rPr>
          <w:rFonts w:ascii="Times New Roman" w:hAnsi="Times New Roman"/>
          <w:b/>
          <w:sz w:val="24"/>
          <w:szCs w:val="24"/>
        </w:rPr>
        <w:t xml:space="preserve"> Indicators</w:t>
      </w:r>
      <w:r w:rsidR="00853880" w:rsidRPr="00A7168D">
        <w:rPr>
          <w:rFonts w:ascii="Times New Roman" w:hAnsi="Times New Roman"/>
          <w:b/>
          <w:sz w:val="24"/>
          <w:szCs w:val="24"/>
        </w:rPr>
        <w:t xml:space="preserve"> </w:t>
      </w:r>
    </w:p>
    <w:tbl>
      <w:tblPr>
        <w:tblW w:w="106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4590"/>
        <w:gridCol w:w="1530"/>
        <w:gridCol w:w="2520"/>
      </w:tblGrid>
      <w:tr w:rsidR="0091679C" w:rsidRPr="00A7168D" w14:paraId="1E0407CB" w14:textId="77777777" w:rsidTr="0050170A">
        <w:trPr>
          <w:trHeight w:val="289"/>
        </w:trPr>
        <w:tc>
          <w:tcPr>
            <w:tcW w:w="6570" w:type="dxa"/>
            <w:gridSpan w:val="2"/>
            <w:tcBorders>
              <w:bottom w:val="thinThickThinSmallGap" w:sz="24" w:space="0" w:color="auto"/>
            </w:tcBorders>
            <w:shd w:val="clear" w:color="auto" w:fill="DBE5F1" w:themeFill="accent1" w:themeFillTint="33"/>
            <w:vAlign w:val="center"/>
          </w:tcPr>
          <w:p w14:paraId="12361DC4" w14:textId="50F4D1B5" w:rsidR="0091679C" w:rsidRPr="00A7168D" w:rsidRDefault="00765020" w:rsidP="00E3295E">
            <w:pPr>
              <w:spacing w:after="0" w:line="360" w:lineRule="auto"/>
              <w:jc w:val="center"/>
              <w:rPr>
                <w:rFonts w:ascii="Times New Roman" w:hAnsi="Times New Roman"/>
                <w:b/>
                <w:sz w:val="20"/>
                <w:szCs w:val="20"/>
              </w:rPr>
            </w:pPr>
            <w:r w:rsidRPr="00A7168D">
              <w:rPr>
                <w:rFonts w:ascii="Times New Roman" w:hAnsi="Times New Roman"/>
                <w:b/>
                <w:sz w:val="20"/>
                <w:szCs w:val="20"/>
              </w:rPr>
              <w:t xml:space="preserve">Output and Activities </w:t>
            </w:r>
            <w:r w:rsidR="0091679C" w:rsidRPr="00A7168D">
              <w:rPr>
                <w:rFonts w:ascii="Times New Roman" w:hAnsi="Times New Roman"/>
                <w:b/>
                <w:sz w:val="20"/>
                <w:szCs w:val="20"/>
              </w:rPr>
              <w:t>Indicator</w:t>
            </w:r>
            <w:r w:rsidRPr="00A7168D">
              <w:rPr>
                <w:rFonts w:ascii="Times New Roman" w:hAnsi="Times New Roman"/>
                <w:b/>
                <w:sz w:val="20"/>
                <w:szCs w:val="20"/>
              </w:rPr>
              <w:t>s</w:t>
            </w:r>
          </w:p>
        </w:tc>
        <w:tc>
          <w:tcPr>
            <w:tcW w:w="1530" w:type="dxa"/>
            <w:tcBorders>
              <w:bottom w:val="thinThickThinSmallGap" w:sz="24" w:space="0" w:color="auto"/>
            </w:tcBorders>
            <w:shd w:val="clear" w:color="auto" w:fill="DBE5F1" w:themeFill="accent1" w:themeFillTint="33"/>
            <w:vAlign w:val="center"/>
          </w:tcPr>
          <w:p w14:paraId="41209EE7" w14:textId="77777777" w:rsidR="0091679C" w:rsidRPr="00A7168D" w:rsidRDefault="0091679C" w:rsidP="00E3295E">
            <w:pPr>
              <w:spacing w:after="0" w:line="360" w:lineRule="auto"/>
              <w:jc w:val="center"/>
              <w:rPr>
                <w:rFonts w:ascii="Times New Roman" w:hAnsi="Times New Roman"/>
                <w:b/>
                <w:sz w:val="20"/>
                <w:szCs w:val="20"/>
              </w:rPr>
            </w:pPr>
            <w:r w:rsidRPr="00A7168D">
              <w:rPr>
                <w:rFonts w:ascii="Times New Roman" w:hAnsi="Times New Roman"/>
                <w:b/>
                <w:sz w:val="20"/>
                <w:szCs w:val="20"/>
              </w:rPr>
              <w:t>Frequency of Measurement</w:t>
            </w:r>
          </w:p>
        </w:tc>
        <w:tc>
          <w:tcPr>
            <w:tcW w:w="2520" w:type="dxa"/>
            <w:tcBorders>
              <w:bottom w:val="thinThickThinSmallGap" w:sz="24" w:space="0" w:color="auto"/>
            </w:tcBorders>
            <w:shd w:val="clear" w:color="auto" w:fill="DBE5F1" w:themeFill="accent1" w:themeFillTint="33"/>
            <w:vAlign w:val="center"/>
          </w:tcPr>
          <w:p w14:paraId="1B7CCE53" w14:textId="77777777" w:rsidR="0091679C" w:rsidRPr="00A7168D" w:rsidRDefault="0091679C" w:rsidP="00E3295E">
            <w:pPr>
              <w:spacing w:after="0" w:line="360" w:lineRule="auto"/>
              <w:jc w:val="center"/>
              <w:rPr>
                <w:rFonts w:ascii="Times New Roman" w:hAnsi="Times New Roman"/>
                <w:b/>
                <w:sz w:val="20"/>
                <w:szCs w:val="20"/>
              </w:rPr>
            </w:pPr>
            <w:r w:rsidRPr="00A7168D">
              <w:rPr>
                <w:rFonts w:ascii="Times New Roman" w:hAnsi="Times New Roman"/>
                <w:b/>
                <w:sz w:val="20"/>
                <w:szCs w:val="20"/>
              </w:rPr>
              <w:t>Primary Source of Verification</w:t>
            </w:r>
          </w:p>
        </w:tc>
      </w:tr>
      <w:tr w:rsidR="00AD3672" w:rsidRPr="00A7168D" w14:paraId="6DB94277" w14:textId="77777777" w:rsidTr="00462E6E">
        <w:trPr>
          <w:trHeight w:val="289"/>
        </w:trPr>
        <w:tc>
          <w:tcPr>
            <w:tcW w:w="1980" w:type="dxa"/>
            <w:vMerge w:val="restart"/>
            <w:tcBorders>
              <w:top w:val="thinThickThinSmallGap" w:sz="24" w:space="0" w:color="auto"/>
            </w:tcBorders>
            <w:vAlign w:val="center"/>
          </w:tcPr>
          <w:p w14:paraId="1BABAEB8" w14:textId="77777777" w:rsidR="00AD3672" w:rsidRPr="00A7168D" w:rsidRDefault="00AD3672"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Component #1</w:t>
            </w:r>
          </w:p>
          <w:p w14:paraId="245A969F" w14:textId="17D50EF4" w:rsidR="00AD3672" w:rsidRPr="00A7168D" w:rsidRDefault="00E37255"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Port Interventions</w:t>
            </w:r>
          </w:p>
          <w:p w14:paraId="42511A11" w14:textId="77777777" w:rsidR="00AD3672" w:rsidRPr="00A7168D" w:rsidRDefault="00AD3672"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(Outputs)</w:t>
            </w:r>
          </w:p>
          <w:p w14:paraId="3C61E2E1" w14:textId="77777777" w:rsidR="00AD3672" w:rsidRPr="00A7168D" w:rsidRDefault="00AD3672" w:rsidP="00E3295E">
            <w:pPr>
              <w:spacing w:after="0" w:line="240" w:lineRule="auto"/>
              <w:jc w:val="center"/>
              <w:rPr>
                <w:rFonts w:ascii="Times New Roman" w:hAnsi="Times New Roman"/>
                <w:smallCaps/>
                <w:sz w:val="16"/>
                <w:szCs w:val="16"/>
              </w:rPr>
            </w:pPr>
          </w:p>
        </w:tc>
        <w:tc>
          <w:tcPr>
            <w:tcW w:w="4590" w:type="dxa"/>
            <w:tcBorders>
              <w:top w:val="thinThickThinSmallGap" w:sz="24" w:space="0" w:color="auto"/>
            </w:tcBorders>
            <w:vAlign w:val="center"/>
          </w:tcPr>
          <w:p w14:paraId="1249B060" w14:textId="1C3240D7" w:rsidR="00AD3672" w:rsidRPr="00A7168D" w:rsidRDefault="00507ACC" w:rsidP="00E3295E">
            <w:pPr>
              <w:spacing w:after="0" w:line="240" w:lineRule="auto"/>
              <w:rPr>
                <w:rFonts w:ascii="Times New Roman" w:hAnsi="Times New Roman"/>
                <w:sz w:val="16"/>
              </w:rPr>
            </w:pPr>
            <w:r w:rsidRPr="00A7168D">
              <w:rPr>
                <w:rFonts w:ascii="Times New Roman" w:hAnsi="Times New Roman"/>
                <w:sz w:val="16"/>
              </w:rPr>
              <w:t xml:space="preserve">1. </w:t>
            </w:r>
            <w:r w:rsidR="00652A07" w:rsidRPr="00A7168D">
              <w:rPr>
                <w:rFonts w:ascii="Times New Roman" w:hAnsi="Times New Roman"/>
                <w:sz w:val="16"/>
              </w:rPr>
              <w:t>Truck center constructed</w:t>
            </w:r>
          </w:p>
        </w:tc>
        <w:tc>
          <w:tcPr>
            <w:tcW w:w="1530" w:type="dxa"/>
            <w:tcBorders>
              <w:top w:val="thinThickThinSmallGap" w:sz="24" w:space="0" w:color="auto"/>
            </w:tcBorders>
            <w:vAlign w:val="center"/>
          </w:tcPr>
          <w:p w14:paraId="30001629" w14:textId="4FF5EF13" w:rsidR="00AD3672" w:rsidRPr="00A7168D" w:rsidRDefault="0062427D" w:rsidP="00E3295E">
            <w:pPr>
              <w:spacing w:after="0" w:line="240" w:lineRule="auto"/>
              <w:jc w:val="center"/>
              <w:rPr>
                <w:rFonts w:ascii="Times New Roman" w:hAnsi="Times New Roman"/>
                <w:sz w:val="16"/>
              </w:rPr>
            </w:pPr>
            <w:r w:rsidRPr="00A7168D">
              <w:rPr>
                <w:rFonts w:ascii="Times New Roman" w:hAnsi="Times New Roman"/>
                <w:sz w:val="16"/>
              </w:rPr>
              <w:t>Semi-</w:t>
            </w:r>
            <w:r w:rsidR="002D1A38" w:rsidRPr="00A7168D">
              <w:rPr>
                <w:rFonts w:ascii="Times New Roman" w:hAnsi="Times New Roman"/>
                <w:sz w:val="16"/>
              </w:rPr>
              <w:t>annually</w:t>
            </w:r>
          </w:p>
        </w:tc>
        <w:tc>
          <w:tcPr>
            <w:tcW w:w="2520" w:type="dxa"/>
            <w:vMerge w:val="restart"/>
            <w:tcBorders>
              <w:top w:val="thinThickThinSmallGap" w:sz="24" w:space="0" w:color="auto"/>
            </w:tcBorders>
            <w:vAlign w:val="center"/>
          </w:tcPr>
          <w:p w14:paraId="0E5F0115" w14:textId="7D4FBA76" w:rsidR="00AD3672" w:rsidRPr="00A7168D" w:rsidRDefault="00E37255" w:rsidP="00E3295E">
            <w:pPr>
              <w:spacing w:line="240" w:lineRule="auto"/>
              <w:rPr>
                <w:rFonts w:ascii="Times New Roman" w:hAnsi="Times New Roman"/>
                <w:sz w:val="16"/>
              </w:rPr>
            </w:pPr>
            <w:r w:rsidRPr="00A7168D">
              <w:rPr>
                <w:rFonts w:ascii="Times New Roman" w:hAnsi="Times New Roman"/>
                <w:sz w:val="16"/>
              </w:rPr>
              <w:t>Supervision’s</w:t>
            </w:r>
            <w:r w:rsidR="00AD3672" w:rsidRPr="00A7168D">
              <w:rPr>
                <w:rFonts w:ascii="Times New Roman" w:hAnsi="Times New Roman"/>
                <w:sz w:val="16"/>
              </w:rPr>
              <w:t xml:space="preserve"> payment certificates and semi-annual reports.</w:t>
            </w:r>
          </w:p>
        </w:tc>
      </w:tr>
      <w:tr w:rsidR="00AD3672" w:rsidRPr="00A7168D" w14:paraId="3264B9A8" w14:textId="77777777" w:rsidTr="00462E6E">
        <w:trPr>
          <w:trHeight w:val="289"/>
        </w:trPr>
        <w:tc>
          <w:tcPr>
            <w:tcW w:w="1980" w:type="dxa"/>
            <w:vMerge/>
            <w:vAlign w:val="center"/>
          </w:tcPr>
          <w:p w14:paraId="7737C623" w14:textId="77777777" w:rsidR="00AD3672" w:rsidRPr="00A7168D" w:rsidRDefault="00AD3672" w:rsidP="00E3295E">
            <w:pPr>
              <w:spacing w:after="0" w:line="240" w:lineRule="auto"/>
              <w:rPr>
                <w:rFonts w:ascii="Times New Roman" w:hAnsi="Times New Roman"/>
                <w:sz w:val="16"/>
                <w:szCs w:val="16"/>
              </w:rPr>
            </w:pPr>
          </w:p>
        </w:tc>
        <w:tc>
          <w:tcPr>
            <w:tcW w:w="4590" w:type="dxa"/>
            <w:vAlign w:val="center"/>
          </w:tcPr>
          <w:p w14:paraId="31B9371C" w14:textId="3CFD481F" w:rsidR="00AD3672" w:rsidRPr="00A7168D" w:rsidRDefault="00507ACC" w:rsidP="006077B0">
            <w:pPr>
              <w:spacing w:after="0" w:line="240" w:lineRule="auto"/>
              <w:rPr>
                <w:rFonts w:ascii="Times New Roman" w:hAnsi="Times New Roman"/>
                <w:sz w:val="16"/>
              </w:rPr>
            </w:pPr>
            <w:r w:rsidRPr="00A7168D">
              <w:rPr>
                <w:rFonts w:ascii="Times New Roman" w:hAnsi="Times New Roman"/>
                <w:sz w:val="16"/>
              </w:rPr>
              <w:t xml:space="preserve">2. </w:t>
            </w:r>
            <w:r w:rsidR="006077B0" w:rsidRPr="00A7168D">
              <w:rPr>
                <w:rFonts w:ascii="Times New Roman" w:hAnsi="Times New Roman"/>
                <w:sz w:val="16"/>
              </w:rPr>
              <w:t>Warehousing facilities constructed</w:t>
            </w:r>
            <w:r w:rsidR="006077B0" w:rsidRPr="00A7168D">
              <w:rPr>
                <w:rStyle w:val="FootnoteReference"/>
                <w:rFonts w:ascii="Times New Roman" w:hAnsi="Times New Roman"/>
                <w:sz w:val="16"/>
              </w:rPr>
              <w:footnoteReference w:id="2"/>
            </w:r>
          </w:p>
        </w:tc>
        <w:tc>
          <w:tcPr>
            <w:tcW w:w="1530" w:type="dxa"/>
            <w:vAlign w:val="center"/>
          </w:tcPr>
          <w:p w14:paraId="2983F388" w14:textId="693BF54C" w:rsidR="00AD3672" w:rsidRPr="00A7168D" w:rsidRDefault="0062427D" w:rsidP="00E3295E">
            <w:pPr>
              <w:spacing w:after="0" w:line="240" w:lineRule="auto"/>
              <w:jc w:val="center"/>
              <w:rPr>
                <w:rFonts w:ascii="Times New Roman" w:hAnsi="Times New Roman"/>
                <w:sz w:val="16"/>
              </w:rPr>
            </w:pPr>
            <w:r w:rsidRPr="00A7168D">
              <w:rPr>
                <w:rFonts w:ascii="Times New Roman" w:hAnsi="Times New Roman"/>
                <w:sz w:val="16"/>
              </w:rPr>
              <w:t>Semi-</w:t>
            </w:r>
            <w:r w:rsidR="002D1A38" w:rsidRPr="00A7168D">
              <w:rPr>
                <w:rFonts w:ascii="Times New Roman" w:hAnsi="Times New Roman"/>
                <w:sz w:val="16"/>
              </w:rPr>
              <w:t>annually</w:t>
            </w:r>
          </w:p>
        </w:tc>
        <w:tc>
          <w:tcPr>
            <w:tcW w:w="2520" w:type="dxa"/>
            <w:vMerge/>
            <w:vAlign w:val="center"/>
          </w:tcPr>
          <w:p w14:paraId="46227163" w14:textId="77777777" w:rsidR="00AD3672" w:rsidRPr="00A7168D" w:rsidRDefault="00AD3672" w:rsidP="00E3295E">
            <w:pPr>
              <w:spacing w:line="240" w:lineRule="auto"/>
              <w:rPr>
                <w:rFonts w:ascii="Times New Roman" w:hAnsi="Times New Roman"/>
                <w:sz w:val="16"/>
              </w:rPr>
            </w:pPr>
          </w:p>
        </w:tc>
      </w:tr>
      <w:tr w:rsidR="00475708" w:rsidRPr="00A7168D" w14:paraId="49E0F8B0" w14:textId="77777777" w:rsidTr="00192B65">
        <w:trPr>
          <w:trHeight w:val="289"/>
        </w:trPr>
        <w:tc>
          <w:tcPr>
            <w:tcW w:w="1980" w:type="dxa"/>
            <w:vMerge/>
            <w:vAlign w:val="center"/>
          </w:tcPr>
          <w:p w14:paraId="11F62BFD" w14:textId="77777777" w:rsidR="00475708" w:rsidRPr="00A7168D" w:rsidRDefault="00475708" w:rsidP="00E3295E">
            <w:pPr>
              <w:spacing w:after="0" w:line="240" w:lineRule="auto"/>
              <w:rPr>
                <w:rFonts w:ascii="Times New Roman" w:hAnsi="Times New Roman"/>
                <w:sz w:val="16"/>
                <w:szCs w:val="16"/>
              </w:rPr>
            </w:pPr>
          </w:p>
        </w:tc>
        <w:tc>
          <w:tcPr>
            <w:tcW w:w="4590" w:type="dxa"/>
            <w:tcBorders>
              <w:top w:val="single" w:sz="4" w:space="0" w:color="auto"/>
              <w:bottom w:val="single" w:sz="4" w:space="0" w:color="auto"/>
            </w:tcBorders>
            <w:shd w:val="clear" w:color="auto" w:fill="auto"/>
            <w:vAlign w:val="center"/>
          </w:tcPr>
          <w:p w14:paraId="2C023917" w14:textId="3B1476B7" w:rsidR="00475708" w:rsidRPr="00A7168D" w:rsidRDefault="00507ACC" w:rsidP="00E3295E">
            <w:pPr>
              <w:spacing w:after="0" w:line="240" w:lineRule="auto"/>
              <w:rPr>
                <w:rFonts w:ascii="Times New Roman" w:hAnsi="Times New Roman"/>
                <w:sz w:val="16"/>
              </w:rPr>
            </w:pPr>
            <w:r w:rsidRPr="00A7168D">
              <w:rPr>
                <w:rFonts w:ascii="Times New Roman" w:hAnsi="Times New Roman"/>
                <w:sz w:val="16"/>
                <w:szCs w:val="16"/>
                <w:lang w:eastAsia="es-PY"/>
              </w:rPr>
              <w:t xml:space="preserve">3. </w:t>
            </w:r>
            <w:r w:rsidR="006077B0" w:rsidRPr="00A7168D">
              <w:rPr>
                <w:rFonts w:ascii="Times New Roman" w:hAnsi="Times New Roman"/>
                <w:sz w:val="16"/>
                <w:szCs w:val="16"/>
                <w:lang w:eastAsia="es-PY"/>
              </w:rPr>
              <w:t xml:space="preserve">Port </w:t>
            </w:r>
            <w:r w:rsidR="00E37255" w:rsidRPr="00A7168D">
              <w:rPr>
                <w:rFonts w:ascii="Times New Roman" w:hAnsi="Times New Roman"/>
                <w:sz w:val="16"/>
                <w:szCs w:val="16"/>
                <w:lang w:eastAsia="es-PY"/>
              </w:rPr>
              <w:t>Community</w:t>
            </w:r>
            <w:r w:rsidR="006077B0" w:rsidRPr="00A7168D">
              <w:rPr>
                <w:rFonts w:ascii="Times New Roman" w:hAnsi="Times New Roman"/>
                <w:sz w:val="16"/>
                <w:szCs w:val="16"/>
                <w:lang w:eastAsia="es-PY"/>
              </w:rPr>
              <w:t xml:space="preserve"> System </w:t>
            </w:r>
            <w:r w:rsidR="00E37255" w:rsidRPr="00A7168D">
              <w:rPr>
                <w:rFonts w:ascii="Times New Roman" w:hAnsi="Times New Roman"/>
                <w:sz w:val="16"/>
                <w:szCs w:val="16"/>
                <w:lang w:eastAsia="es-PY"/>
              </w:rPr>
              <w:t xml:space="preserve">(PCS) </w:t>
            </w:r>
            <w:r w:rsidR="006077B0" w:rsidRPr="00A7168D">
              <w:rPr>
                <w:rFonts w:ascii="Times New Roman" w:hAnsi="Times New Roman"/>
                <w:sz w:val="16"/>
                <w:szCs w:val="16"/>
                <w:lang w:eastAsia="es-PY"/>
              </w:rPr>
              <w:t>implemented</w:t>
            </w:r>
          </w:p>
        </w:tc>
        <w:tc>
          <w:tcPr>
            <w:tcW w:w="1530" w:type="dxa"/>
            <w:tcBorders>
              <w:top w:val="single" w:sz="4" w:space="0" w:color="auto"/>
              <w:bottom w:val="single" w:sz="4" w:space="0" w:color="auto"/>
            </w:tcBorders>
            <w:shd w:val="clear" w:color="auto" w:fill="auto"/>
            <w:vAlign w:val="center"/>
          </w:tcPr>
          <w:p w14:paraId="6C54F953" w14:textId="3552F41A" w:rsidR="00475708" w:rsidRPr="00A7168D" w:rsidRDefault="00616BE8" w:rsidP="00E3295E">
            <w:pPr>
              <w:spacing w:after="0" w:line="240" w:lineRule="auto"/>
              <w:jc w:val="center"/>
              <w:rPr>
                <w:rFonts w:ascii="Times New Roman" w:hAnsi="Times New Roman"/>
                <w:sz w:val="16"/>
              </w:rPr>
            </w:pPr>
            <w:r w:rsidRPr="00A7168D">
              <w:rPr>
                <w:rFonts w:ascii="Times New Roman" w:hAnsi="Times New Roman"/>
                <w:sz w:val="16"/>
              </w:rPr>
              <w:t>Semi-</w:t>
            </w:r>
            <w:r w:rsidR="002D1A38" w:rsidRPr="00A7168D">
              <w:rPr>
                <w:rFonts w:ascii="Times New Roman" w:hAnsi="Times New Roman"/>
                <w:sz w:val="16"/>
              </w:rPr>
              <w:t>annually</w:t>
            </w:r>
          </w:p>
        </w:tc>
        <w:tc>
          <w:tcPr>
            <w:tcW w:w="2520" w:type="dxa"/>
            <w:shd w:val="clear" w:color="auto" w:fill="auto"/>
            <w:vAlign w:val="center"/>
          </w:tcPr>
          <w:p w14:paraId="12EDDA6B" w14:textId="50AEFD9D" w:rsidR="00475708" w:rsidRPr="00A7168D" w:rsidRDefault="003B1B09" w:rsidP="00E3295E">
            <w:pPr>
              <w:spacing w:line="240" w:lineRule="auto"/>
              <w:rPr>
                <w:rFonts w:ascii="Times New Roman" w:hAnsi="Times New Roman"/>
                <w:sz w:val="16"/>
              </w:rPr>
            </w:pPr>
            <w:r w:rsidRPr="00A7168D">
              <w:rPr>
                <w:rFonts w:ascii="Times New Roman" w:hAnsi="Times New Roman"/>
                <w:sz w:val="16"/>
              </w:rPr>
              <w:t>Semi-annual reports</w:t>
            </w:r>
          </w:p>
        </w:tc>
      </w:tr>
      <w:tr w:rsidR="00A0473C" w:rsidRPr="00A7168D" w14:paraId="73A0A27F" w14:textId="77777777" w:rsidTr="00462E6E">
        <w:trPr>
          <w:trHeight w:val="752"/>
        </w:trPr>
        <w:tc>
          <w:tcPr>
            <w:tcW w:w="1980" w:type="dxa"/>
            <w:vMerge w:val="restart"/>
            <w:tcBorders>
              <w:top w:val="thinThickThinSmallGap" w:sz="24" w:space="0" w:color="auto"/>
              <w:bottom w:val="thinThickThinSmallGap" w:sz="24" w:space="0" w:color="auto"/>
            </w:tcBorders>
            <w:shd w:val="clear" w:color="auto" w:fill="auto"/>
            <w:vAlign w:val="center"/>
          </w:tcPr>
          <w:p w14:paraId="56B14C28" w14:textId="77777777" w:rsidR="00A0473C" w:rsidRPr="00A7168D" w:rsidRDefault="00A0473C"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Component #2</w:t>
            </w:r>
          </w:p>
          <w:p w14:paraId="6AC37AA9" w14:textId="62364390" w:rsidR="00A0473C" w:rsidRPr="00A7168D" w:rsidRDefault="00E37255"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Road Interventions</w:t>
            </w:r>
          </w:p>
          <w:p w14:paraId="6845A751" w14:textId="77777777" w:rsidR="00A0473C" w:rsidRPr="00A7168D" w:rsidRDefault="00A0473C" w:rsidP="00E3295E">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(Outputs)</w:t>
            </w:r>
          </w:p>
          <w:p w14:paraId="5330CD47" w14:textId="77777777" w:rsidR="00A0473C" w:rsidRPr="00A7168D" w:rsidRDefault="00A0473C" w:rsidP="00E3295E">
            <w:pPr>
              <w:spacing w:after="0" w:line="240" w:lineRule="auto"/>
              <w:jc w:val="center"/>
              <w:rPr>
                <w:rFonts w:ascii="Times New Roman" w:hAnsi="Times New Roman"/>
                <w:sz w:val="16"/>
                <w:szCs w:val="16"/>
              </w:rPr>
            </w:pPr>
          </w:p>
        </w:tc>
        <w:tc>
          <w:tcPr>
            <w:tcW w:w="4590" w:type="dxa"/>
            <w:tcBorders>
              <w:top w:val="thinThickThinSmallGap" w:sz="24" w:space="0" w:color="auto"/>
            </w:tcBorders>
            <w:shd w:val="clear" w:color="auto" w:fill="auto"/>
            <w:vAlign w:val="center"/>
          </w:tcPr>
          <w:p w14:paraId="7E327D1E" w14:textId="59B82B9E" w:rsidR="00A0473C" w:rsidRPr="00A7168D" w:rsidRDefault="00507ACC" w:rsidP="00A8422C">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 xml:space="preserve">1. </w:t>
            </w:r>
            <w:r w:rsidR="008E546B" w:rsidRPr="00A7168D">
              <w:rPr>
                <w:rFonts w:ascii="Times New Roman" w:hAnsi="Times New Roman"/>
                <w:sz w:val="16"/>
                <w:szCs w:val="16"/>
                <w:lang w:eastAsia="es-PY"/>
              </w:rPr>
              <w:t>Primary urban roads rehabilitated.</w:t>
            </w:r>
            <w:r w:rsidR="008A0519" w:rsidRPr="00A7168D">
              <w:rPr>
                <w:rFonts w:ascii="Times New Roman" w:hAnsi="Times New Roman"/>
                <w:sz w:val="16"/>
                <w:szCs w:val="16"/>
                <w:lang w:eastAsia="es-PY"/>
              </w:rPr>
              <w:t xml:space="preserve"> Includes the following milestones:</w:t>
            </w:r>
          </w:p>
          <w:p w14:paraId="5F1EFE20" w14:textId="77777777"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a) Designs (road and bridge) approved by Project Executing Unit</w:t>
            </w:r>
          </w:p>
          <w:p w14:paraId="4307E864" w14:textId="77777777"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b) Primary roads widened and paved</w:t>
            </w:r>
          </w:p>
          <w:p w14:paraId="216B2B35" w14:textId="77777777"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c) Drainage systems with design considerations for climate change constructed</w:t>
            </w:r>
          </w:p>
          <w:p w14:paraId="276552CB" w14:textId="77777777"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d) Dedicated lanes for pedestrians and bikes constructed</w:t>
            </w:r>
          </w:p>
          <w:p w14:paraId="7525F49C" w14:textId="77777777"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e) Intelligent Traffic System installed</w:t>
            </w:r>
          </w:p>
          <w:p w14:paraId="12400A7E" w14:textId="2235E508" w:rsidR="008A0519" w:rsidRPr="00A7168D" w:rsidRDefault="008A0519" w:rsidP="007909D9">
            <w:pPr>
              <w:spacing w:after="0" w:line="240" w:lineRule="auto"/>
              <w:ind w:left="320"/>
              <w:rPr>
                <w:rFonts w:ascii="Times New Roman" w:hAnsi="Times New Roman"/>
                <w:sz w:val="16"/>
                <w:szCs w:val="16"/>
              </w:rPr>
            </w:pPr>
            <w:r w:rsidRPr="00A7168D">
              <w:rPr>
                <w:rFonts w:ascii="Times New Roman" w:hAnsi="Times New Roman"/>
                <w:sz w:val="16"/>
                <w:szCs w:val="16"/>
              </w:rPr>
              <w:t>f) Signalization and road safety measures installed</w:t>
            </w:r>
          </w:p>
        </w:tc>
        <w:tc>
          <w:tcPr>
            <w:tcW w:w="1530" w:type="dxa"/>
            <w:tcBorders>
              <w:top w:val="thinThickThinSmallGap" w:sz="24" w:space="0" w:color="auto"/>
            </w:tcBorders>
            <w:shd w:val="clear" w:color="auto" w:fill="auto"/>
            <w:vAlign w:val="center"/>
          </w:tcPr>
          <w:p w14:paraId="3DDF3441" w14:textId="4A6B5187" w:rsidR="00A0473C" w:rsidRPr="00A7168D" w:rsidRDefault="00616BE8" w:rsidP="00E3295E">
            <w:pPr>
              <w:spacing w:after="0" w:line="240" w:lineRule="auto"/>
              <w:jc w:val="center"/>
              <w:rPr>
                <w:rFonts w:ascii="Times New Roman" w:hAnsi="Times New Roman"/>
                <w:sz w:val="16"/>
                <w:szCs w:val="16"/>
              </w:rPr>
            </w:pPr>
            <w:r w:rsidRPr="00A7168D">
              <w:rPr>
                <w:rFonts w:ascii="Times New Roman" w:hAnsi="Times New Roman"/>
                <w:sz w:val="16"/>
              </w:rPr>
              <w:t>Semi-</w:t>
            </w:r>
            <w:r w:rsidR="002D1A38" w:rsidRPr="00A7168D">
              <w:rPr>
                <w:rFonts w:ascii="Times New Roman" w:hAnsi="Times New Roman"/>
                <w:sz w:val="16"/>
              </w:rPr>
              <w:t>annually</w:t>
            </w:r>
          </w:p>
        </w:tc>
        <w:tc>
          <w:tcPr>
            <w:tcW w:w="2520" w:type="dxa"/>
            <w:vMerge w:val="restart"/>
            <w:tcBorders>
              <w:top w:val="thinThickThinSmallGap" w:sz="24" w:space="0" w:color="auto"/>
              <w:bottom w:val="thinThickThinSmallGap" w:sz="24" w:space="0" w:color="auto"/>
            </w:tcBorders>
            <w:shd w:val="clear" w:color="auto" w:fill="auto"/>
            <w:vAlign w:val="center"/>
          </w:tcPr>
          <w:p w14:paraId="36E46919" w14:textId="3ABC19DB" w:rsidR="00A0473C" w:rsidRPr="00A7168D" w:rsidRDefault="005A5149" w:rsidP="00E3295E">
            <w:pPr>
              <w:spacing w:line="240" w:lineRule="auto"/>
              <w:rPr>
                <w:rFonts w:ascii="Times New Roman" w:hAnsi="Times New Roman"/>
                <w:sz w:val="16"/>
                <w:szCs w:val="16"/>
              </w:rPr>
            </w:pPr>
            <w:r w:rsidRPr="00A7168D">
              <w:rPr>
                <w:rFonts w:ascii="Times New Roman" w:hAnsi="Times New Roman"/>
                <w:sz w:val="16"/>
              </w:rPr>
              <w:t>Supervision’s payment certificates and semi-annual reports.</w:t>
            </w:r>
          </w:p>
        </w:tc>
      </w:tr>
      <w:tr w:rsidR="00A0473C" w:rsidRPr="00A7168D" w14:paraId="6322BA7E" w14:textId="77777777" w:rsidTr="00AA16F7">
        <w:trPr>
          <w:trHeight w:val="289"/>
        </w:trPr>
        <w:tc>
          <w:tcPr>
            <w:tcW w:w="1980" w:type="dxa"/>
            <w:vMerge/>
            <w:tcBorders>
              <w:bottom w:val="thinThickThinSmallGap" w:sz="24" w:space="0" w:color="auto"/>
            </w:tcBorders>
            <w:shd w:val="clear" w:color="auto" w:fill="FFFFFF"/>
            <w:vAlign w:val="center"/>
          </w:tcPr>
          <w:p w14:paraId="7486C7BD" w14:textId="77777777" w:rsidR="00A0473C" w:rsidRPr="00A7168D" w:rsidRDefault="00A0473C" w:rsidP="00E3295E">
            <w:pPr>
              <w:spacing w:after="0" w:line="240" w:lineRule="auto"/>
              <w:rPr>
                <w:rFonts w:ascii="Times New Roman" w:hAnsi="Times New Roman"/>
                <w:sz w:val="16"/>
                <w:szCs w:val="16"/>
              </w:rPr>
            </w:pPr>
          </w:p>
        </w:tc>
        <w:tc>
          <w:tcPr>
            <w:tcW w:w="4590" w:type="dxa"/>
            <w:tcBorders>
              <w:bottom w:val="thinThickThinSmallGap" w:sz="24" w:space="0" w:color="auto"/>
            </w:tcBorders>
            <w:shd w:val="clear" w:color="auto" w:fill="auto"/>
            <w:vAlign w:val="center"/>
          </w:tcPr>
          <w:p w14:paraId="71A9832F" w14:textId="1DEDDA81" w:rsidR="00A0473C" w:rsidRPr="00A7168D" w:rsidRDefault="00507ACC" w:rsidP="00462E6E">
            <w:pPr>
              <w:spacing w:after="0" w:line="240" w:lineRule="auto"/>
              <w:rPr>
                <w:rFonts w:ascii="Times New Roman" w:hAnsi="Times New Roman"/>
                <w:sz w:val="16"/>
              </w:rPr>
            </w:pPr>
            <w:r w:rsidRPr="00A7168D">
              <w:rPr>
                <w:rFonts w:ascii="Times New Roman" w:hAnsi="Times New Roman"/>
                <w:sz w:val="16"/>
              </w:rPr>
              <w:t xml:space="preserve">2. Bridge over </w:t>
            </w:r>
            <w:proofErr w:type="spellStart"/>
            <w:r w:rsidRPr="00A7168D">
              <w:rPr>
                <w:rFonts w:ascii="Times New Roman" w:hAnsi="Times New Roman"/>
                <w:sz w:val="16"/>
              </w:rPr>
              <w:t>Saramacca</w:t>
            </w:r>
            <w:proofErr w:type="spellEnd"/>
            <w:r w:rsidRPr="00A7168D">
              <w:rPr>
                <w:rFonts w:ascii="Times New Roman" w:hAnsi="Times New Roman"/>
                <w:sz w:val="16"/>
              </w:rPr>
              <w:t xml:space="preserve"> channel at </w:t>
            </w:r>
            <w:proofErr w:type="spellStart"/>
            <w:proofErr w:type="gramStart"/>
            <w:r w:rsidRPr="00A7168D">
              <w:rPr>
                <w:rFonts w:ascii="Times New Roman" w:hAnsi="Times New Roman"/>
                <w:sz w:val="16"/>
              </w:rPr>
              <w:t>Van‘</w:t>
            </w:r>
            <w:proofErr w:type="gramEnd"/>
            <w:r w:rsidRPr="00A7168D">
              <w:rPr>
                <w:rFonts w:ascii="Times New Roman" w:hAnsi="Times New Roman"/>
                <w:sz w:val="16"/>
              </w:rPr>
              <w:t>t</w:t>
            </w:r>
            <w:proofErr w:type="spellEnd"/>
            <w:r w:rsidRPr="00A7168D">
              <w:rPr>
                <w:rFonts w:ascii="Times New Roman" w:hAnsi="Times New Roman"/>
                <w:sz w:val="16"/>
              </w:rPr>
              <w:t xml:space="preserve"> </w:t>
            </w:r>
            <w:proofErr w:type="spellStart"/>
            <w:r w:rsidRPr="00A7168D">
              <w:rPr>
                <w:rFonts w:ascii="Times New Roman" w:hAnsi="Times New Roman"/>
                <w:sz w:val="16"/>
              </w:rPr>
              <w:t>Hogerhuysstraat</w:t>
            </w:r>
            <w:proofErr w:type="spellEnd"/>
            <w:r w:rsidRPr="00A7168D">
              <w:rPr>
                <w:rFonts w:ascii="Times New Roman" w:hAnsi="Times New Roman"/>
                <w:sz w:val="16"/>
              </w:rPr>
              <w:t xml:space="preserve"> reconstructed</w:t>
            </w:r>
          </w:p>
        </w:tc>
        <w:tc>
          <w:tcPr>
            <w:tcW w:w="1530" w:type="dxa"/>
            <w:tcBorders>
              <w:bottom w:val="thinThickThinSmallGap" w:sz="24" w:space="0" w:color="auto"/>
            </w:tcBorders>
            <w:shd w:val="clear" w:color="auto" w:fill="auto"/>
            <w:vAlign w:val="center"/>
          </w:tcPr>
          <w:p w14:paraId="0F1AA713" w14:textId="122377D8" w:rsidR="00A0473C" w:rsidRPr="00A7168D" w:rsidRDefault="00616BE8" w:rsidP="00E3295E">
            <w:pPr>
              <w:spacing w:after="0" w:line="240" w:lineRule="auto"/>
              <w:jc w:val="center"/>
              <w:rPr>
                <w:rFonts w:ascii="Times New Roman" w:hAnsi="Times New Roman"/>
                <w:sz w:val="16"/>
                <w:szCs w:val="16"/>
              </w:rPr>
            </w:pPr>
            <w:r w:rsidRPr="00A7168D">
              <w:rPr>
                <w:rFonts w:ascii="Times New Roman" w:hAnsi="Times New Roman"/>
                <w:sz w:val="16"/>
              </w:rPr>
              <w:t>Semi-</w:t>
            </w:r>
            <w:r w:rsidR="002D1A38" w:rsidRPr="00A7168D">
              <w:rPr>
                <w:rFonts w:ascii="Times New Roman" w:hAnsi="Times New Roman"/>
                <w:sz w:val="16"/>
              </w:rPr>
              <w:t>annually</w:t>
            </w:r>
          </w:p>
        </w:tc>
        <w:tc>
          <w:tcPr>
            <w:tcW w:w="2520" w:type="dxa"/>
            <w:vMerge/>
            <w:tcBorders>
              <w:bottom w:val="thinThickThinSmallGap" w:sz="24" w:space="0" w:color="auto"/>
            </w:tcBorders>
            <w:shd w:val="clear" w:color="auto" w:fill="auto"/>
          </w:tcPr>
          <w:p w14:paraId="0C884744" w14:textId="77777777" w:rsidR="00A0473C" w:rsidRPr="00A7168D" w:rsidRDefault="00A0473C" w:rsidP="00E3295E">
            <w:pPr>
              <w:spacing w:line="240" w:lineRule="auto"/>
              <w:rPr>
                <w:rFonts w:ascii="Times New Roman" w:hAnsi="Times New Roman"/>
                <w:sz w:val="16"/>
                <w:szCs w:val="16"/>
              </w:rPr>
            </w:pPr>
          </w:p>
        </w:tc>
      </w:tr>
      <w:tr w:rsidR="001803A6" w:rsidRPr="00A7168D" w14:paraId="38BB700E" w14:textId="77777777" w:rsidTr="00585E92">
        <w:trPr>
          <w:trHeight w:val="321"/>
        </w:trPr>
        <w:tc>
          <w:tcPr>
            <w:tcW w:w="1980" w:type="dxa"/>
            <w:vMerge w:val="restart"/>
            <w:tcBorders>
              <w:top w:val="thinThickThinSmallGap" w:sz="24" w:space="0" w:color="auto"/>
              <w:bottom w:val="thinThickThinSmallGap" w:sz="24" w:space="0" w:color="auto"/>
              <w:right w:val="single" w:sz="4" w:space="0" w:color="auto"/>
            </w:tcBorders>
            <w:shd w:val="clear" w:color="auto" w:fill="auto"/>
            <w:vAlign w:val="center"/>
          </w:tcPr>
          <w:p w14:paraId="2A3F20D9" w14:textId="4910793B" w:rsidR="001803A6" w:rsidRPr="00A7168D" w:rsidRDefault="001803A6" w:rsidP="00750005">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Component #</w:t>
            </w:r>
            <w:r w:rsidR="004C034A" w:rsidRPr="00A7168D">
              <w:rPr>
                <w:rFonts w:ascii="Times New Roman" w:hAnsi="Times New Roman"/>
                <w:smallCaps/>
                <w:sz w:val="16"/>
                <w:szCs w:val="16"/>
              </w:rPr>
              <w:t>3</w:t>
            </w:r>
          </w:p>
          <w:p w14:paraId="58C68C32" w14:textId="0CE45597" w:rsidR="001803A6" w:rsidRPr="00A7168D" w:rsidRDefault="00AA16F7" w:rsidP="00750005">
            <w:pPr>
              <w:spacing w:after="0" w:line="240" w:lineRule="auto"/>
              <w:jc w:val="center"/>
              <w:rPr>
                <w:rFonts w:ascii="Times New Roman" w:hAnsi="Times New Roman"/>
                <w:smallCaps/>
                <w:sz w:val="16"/>
                <w:szCs w:val="16"/>
              </w:rPr>
            </w:pPr>
            <w:r w:rsidRPr="00A7168D">
              <w:rPr>
                <w:rFonts w:ascii="Times New Roman" w:hAnsi="Times New Roman"/>
                <w:smallCaps/>
                <w:sz w:val="16"/>
                <w:szCs w:val="16"/>
              </w:rPr>
              <w:t xml:space="preserve">Institutional strengthening and administration </w:t>
            </w:r>
            <w:r w:rsidR="001803A6" w:rsidRPr="00A7168D">
              <w:rPr>
                <w:rFonts w:ascii="Times New Roman" w:hAnsi="Times New Roman"/>
                <w:smallCaps/>
                <w:sz w:val="16"/>
                <w:szCs w:val="16"/>
              </w:rPr>
              <w:t>(Outputs)</w:t>
            </w:r>
          </w:p>
          <w:p w14:paraId="53FD3CD8" w14:textId="77777777" w:rsidR="001803A6" w:rsidRPr="00A7168D" w:rsidRDefault="001803A6" w:rsidP="00750005">
            <w:pPr>
              <w:spacing w:after="0" w:line="240" w:lineRule="auto"/>
              <w:jc w:val="center"/>
              <w:rPr>
                <w:rFonts w:ascii="Times New Roman" w:hAnsi="Times New Roman"/>
                <w:sz w:val="16"/>
                <w:szCs w:val="16"/>
              </w:rPr>
            </w:pPr>
          </w:p>
        </w:tc>
        <w:tc>
          <w:tcPr>
            <w:tcW w:w="4590" w:type="dxa"/>
            <w:tcBorders>
              <w:top w:val="thinThickThinSmallGap" w:sz="24" w:space="0" w:color="auto"/>
              <w:left w:val="single" w:sz="4" w:space="0" w:color="auto"/>
              <w:bottom w:val="single" w:sz="4" w:space="0" w:color="auto"/>
            </w:tcBorders>
            <w:shd w:val="clear" w:color="auto" w:fill="auto"/>
            <w:vAlign w:val="center"/>
          </w:tcPr>
          <w:p w14:paraId="35140CC7" w14:textId="2A5978CA" w:rsidR="001803A6" w:rsidRPr="00A7168D" w:rsidRDefault="00CA7B41"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1. Road asset management system in place</w:t>
            </w:r>
          </w:p>
        </w:tc>
        <w:tc>
          <w:tcPr>
            <w:tcW w:w="1530" w:type="dxa"/>
            <w:tcBorders>
              <w:top w:val="thinThickThinSmallGap" w:sz="24" w:space="0" w:color="auto"/>
              <w:bottom w:val="single" w:sz="4" w:space="0" w:color="auto"/>
            </w:tcBorders>
            <w:shd w:val="clear" w:color="auto" w:fill="auto"/>
            <w:vAlign w:val="center"/>
          </w:tcPr>
          <w:p w14:paraId="5D3AEDC1" w14:textId="77777777" w:rsidR="001803A6" w:rsidRPr="00A7168D" w:rsidRDefault="001803A6" w:rsidP="00750005">
            <w:pPr>
              <w:spacing w:after="0" w:line="240" w:lineRule="auto"/>
              <w:jc w:val="center"/>
              <w:rPr>
                <w:rFonts w:ascii="Times New Roman" w:hAnsi="Times New Roman"/>
                <w:sz w:val="16"/>
                <w:szCs w:val="16"/>
              </w:rPr>
            </w:pPr>
            <w:r w:rsidRPr="00A7168D">
              <w:rPr>
                <w:rFonts w:ascii="Times New Roman" w:hAnsi="Times New Roman"/>
                <w:sz w:val="16"/>
              </w:rPr>
              <w:t>Semi-annually</w:t>
            </w:r>
          </w:p>
        </w:tc>
        <w:tc>
          <w:tcPr>
            <w:tcW w:w="2520" w:type="dxa"/>
            <w:vMerge w:val="restart"/>
            <w:tcBorders>
              <w:top w:val="thinThickThinSmallGap" w:sz="24" w:space="0" w:color="auto"/>
              <w:bottom w:val="thinThickThinSmallGap" w:sz="24" w:space="0" w:color="auto"/>
            </w:tcBorders>
            <w:shd w:val="clear" w:color="auto" w:fill="auto"/>
            <w:vAlign w:val="center"/>
          </w:tcPr>
          <w:p w14:paraId="6727AB02" w14:textId="77777777" w:rsidR="001803A6" w:rsidRPr="00A7168D" w:rsidRDefault="003B1B09" w:rsidP="00750005">
            <w:pPr>
              <w:spacing w:line="240" w:lineRule="auto"/>
              <w:rPr>
                <w:rFonts w:ascii="Times New Roman" w:hAnsi="Times New Roman"/>
                <w:sz w:val="16"/>
              </w:rPr>
            </w:pPr>
            <w:r w:rsidRPr="00A7168D">
              <w:rPr>
                <w:rFonts w:ascii="Times New Roman" w:hAnsi="Times New Roman"/>
                <w:sz w:val="16"/>
              </w:rPr>
              <w:t>Semi-annual reports</w:t>
            </w:r>
          </w:p>
          <w:p w14:paraId="38BFFF8C" w14:textId="2D5CD422" w:rsidR="003B1B09" w:rsidRPr="00A7168D" w:rsidRDefault="003B1B09" w:rsidP="00750005">
            <w:pPr>
              <w:spacing w:line="240" w:lineRule="auto"/>
              <w:rPr>
                <w:rFonts w:ascii="Times New Roman" w:hAnsi="Times New Roman"/>
                <w:sz w:val="16"/>
                <w:szCs w:val="16"/>
              </w:rPr>
            </w:pPr>
            <w:r w:rsidRPr="00A7168D">
              <w:rPr>
                <w:rFonts w:ascii="Times New Roman" w:hAnsi="Times New Roman"/>
                <w:sz w:val="16"/>
                <w:szCs w:val="16"/>
              </w:rPr>
              <w:t>Attendance lists</w:t>
            </w:r>
          </w:p>
        </w:tc>
      </w:tr>
      <w:tr w:rsidR="00AA16F7" w:rsidRPr="00A7168D" w14:paraId="1F671BFA" w14:textId="77777777" w:rsidTr="00585E92">
        <w:trPr>
          <w:trHeight w:val="258"/>
        </w:trPr>
        <w:tc>
          <w:tcPr>
            <w:tcW w:w="1980" w:type="dxa"/>
            <w:vMerge/>
            <w:tcBorders>
              <w:top w:val="thinThickThinSmallGap" w:sz="24" w:space="0" w:color="auto"/>
              <w:bottom w:val="thinThickThinSmallGap" w:sz="24" w:space="0" w:color="auto"/>
              <w:right w:val="single" w:sz="4" w:space="0" w:color="auto"/>
            </w:tcBorders>
            <w:shd w:val="clear" w:color="auto" w:fill="auto"/>
            <w:vAlign w:val="center"/>
          </w:tcPr>
          <w:p w14:paraId="4D73CC05" w14:textId="77777777" w:rsidR="00AA16F7" w:rsidRPr="00A7168D" w:rsidRDefault="00AA16F7" w:rsidP="00750005">
            <w:pPr>
              <w:spacing w:after="0" w:line="240" w:lineRule="auto"/>
              <w:jc w:val="center"/>
              <w:rPr>
                <w:rFonts w:ascii="Times New Roman" w:hAnsi="Times New Roman"/>
                <w:smallCaps/>
                <w:sz w:val="16"/>
                <w:szCs w:val="16"/>
              </w:rPr>
            </w:pPr>
          </w:p>
        </w:tc>
        <w:tc>
          <w:tcPr>
            <w:tcW w:w="4590" w:type="dxa"/>
            <w:tcBorders>
              <w:top w:val="single" w:sz="4" w:space="0" w:color="auto"/>
              <w:left w:val="single" w:sz="4" w:space="0" w:color="auto"/>
              <w:bottom w:val="single" w:sz="4" w:space="0" w:color="auto"/>
            </w:tcBorders>
            <w:shd w:val="clear" w:color="auto" w:fill="auto"/>
            <w:vAlign w:val="center"/>
          </w:tcPr>
          <w:p w14:paraId="6E66BD25" w14:textId="12EFECB8" w:rsidR="00AA16F7" w:rsidRPr="00A7168D" w:rsidRDefault="0022471B"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 xml:space="preserve">2. </w:t>
            </w:r>
            <w:r w:rsidR="00905869" w:rsidRPr="00A7168D">
              <w:rPr>
                <w:rFonts w:ascii="Times New Roman" w:hAnsi="Times New Roman"/>
                <w:sz w:val="16"/>
                <w:szCs w:val="16"/>
                <w:lang w:eastAsia="es-PY"/>
              </w:rPr>
              <w:t>Training events in road design and maintenance</w:t>
            </w:r>
          </w:p>
        </w:tc>
        <w:tc>
          <w:tcPr>
            <w:tcW w:w="1530" w:type="dxa"/>
            <w:tcBorders>
              <w:top w:val="single" w:sz="4" w:space="0" w:color="auto"/>
              <w:bottom w:val="single" w:sz="4" w:space="0" w:color="auto"/>
            </w:tcBorders>
            <w:shd w:val="clear" w:color="auto" w:fill="auto"/>
            <w:vAlign w:val="center"/>
          </w:tcPr>
          <w:p w14:paraId="767332C4" w14:textId="4475D4B1" w:rsidR="00AA16F7" w:rsidRPr="00A7168D" w:rsidRDefault="009D0E84" w:rsidP="00750005">
            <w:pPr>
              <w:spacing w:after="0" w:line="240" w:lineRule="auto"/>
              <w:jc w:val="center"/>
              <w:rPr>
                <w:rFonts w:ascii="Times New Roman" w:hAnsi="Times New Roman"/>
                <w:sz w:val="16"/>
              </w:rPr>
            </w:pPr>
            <w:r w:rsidRPr="00A7168D">
              <w:rPr>
                <w:rFonts w:ascii="Times New Roman" w:hAnsi="Times New Roman"/>
                <w:sz w:val="16"/>
              </w:rPr>
              <w:t>Semi-annually</w:t>
            </w:r>
          </w:p>
        </w:tc>
        <w:tc>
          <w:tcPr>
            <w:tcW w:w="2520" w:type="dxa"/>
            <w:vMerge/>
            <w:tcBorders>
              <w:top w:val="thinThickThinSmallGap" w:sz="24" w:space="0" w:color="auto"/>
              <w:bottom w:val="thinThickThinSmallGap" w:sz="24" w:space="0" w:color="auto"/>
            </w:tcBorders>
            <w:shd w:val="clear" w:color="auto" w:fill="auto"/>
            <w:vAlign w:val="center"/>
          </w:tcPr>
          <w:p w14:paraId="3C6F92FF" w14:textId="77777777" w:rsidR="00AA16F7" w:rsidRPr="00A7168D" w:rsidRDefault="00AA16F7" w:rsidP="00750005">
            <w:pPr>
              <w:spacing w:line="240" w:lineRule="auto"/>
              <w:rPr>
                <w:rFonts w:ascii="Times New Roman" w:hAnsi="Times New Roman"/>
                <w:sz w:val="16"/>
                <w:szCs w:val="16"/>
              </w:rPr>
            </w:pPr>
          </w:p>
        </w:tc>
      </w:tr>
      <w:tr w:rsidR="00AA16F7" w:rsidRPr="00A7168D" w14:paraId="3118ABC1" w14:textId="77777777" w:rsidTr="00585E92">
        <w:trPr>
          <w:trHeight w:val="312"/>
        </w:trPr>
        <w:tc>
          <w:tcPr>
            <w:tcW w:w="1980" w:type="dxa"/>
            <w:vMerge/>
            <w:tcBorders>
              <w:top w:val="thinThickThinSmallGap" w:sz="24" w:space="0" w:color="auto"/>
              <w:bottom w:val="thinThickThinSmallGap" w:sz="24" w:space="0" w:color="auto"/>
              <w:right w:val="single" w:sz="4" w:space="0" w:color="auto"/>
            </w:tcBorders>
            <w:shd w:val="clear" w:color="auto" w:fill="auto"/>
            <w:vAlign w:val="center"/>
          </w:tcPr>
          <w:p w14:paraId="482A4A14" w14:textId="77777777" w:rsidR="00AA16F7" w:rsidRPr="00A7168D" w:rsidRDefault="00AA16F7" w:rsidP="00750005">
            <w:pPr>
              <w:spacing w:after="0" w:line="240" w:lineRule="auto"/>
              <w:jc w:val="center"/>
              <w:rPr>
                <w:rFonts w:ascii="Times New Roman" w:hAnsi="Times New Roman"/>
                <w:smallCaps/>
                <w:sz w:val="16"/>
                <w:szCs w:val="16"/>
              </w:rPr>
            </w:pPr>
          </w:p>
        </w:tc>
        <w:tc>
          <w:tcPr>
            <w:tcW w:w="4590" w:type="dxa"/>
            <w:tcBorders>
              <w:top w:val="single" w:sz="4" w:space="0" w:color="auto"/>
              <w:left w:val="single" w:sz="4" w:space="0" w:color="auto"/>
              <w:bottom w:val="single" w:sz="4" w:space="0" w:color="auto"/>
            </w:tcBorders>
            <w:shd w:val="clear" w:color="auto" w:fill="auto"/>
            <w:vAlign w:val="center"/>
          </w:tcPr>
          <w:p w14:paraId="1968C140" w14:textId="25E9E88D" w:rsidR="00AA16F7" w:rsidRPr="00A7168D" w:rsidRDefault="00585E92"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 xml:space="preserve">3. </w:t>
            </w:r>
            <w:r w:rsidR="00BA6B29" w:rsidRPr="00A7168D">
              <w:rPr>
                <w:rFonts w:ascii="Times New Roman" w:hAnsi="Times New Roman"/>
                <w:sz w:val="16"/>
                <w:szCs w:val="16"/>
                <w:lang w:eastAsia="es-PY"/>
              </w:rPr>
              <w:t>Training events in project management</w:t>
            </w:r>
          </w:p>
        </w:tc>
        <w:tc>
          <w:tcPr>
            <w:tcW w:w="1530" w:type="dxa"/>
            <w:tcBorders>
              <w:top w:val="single" w:sz="4" w:space="0" w:color="auto"/>
              <w:bottom w:val="single" w:sz="4" w:space="0" w:color="auto"/>
            </w:tcBorders>
            <w:shd w:val="clear" w:color="auto" w:fill="auto"/>
            <w:vAlign w:val="center"/>
          </w:tcPr>
          <w:p w14:paraId="62CA81E0" w14:textId="41DFEEBD" w:rsidR="00AA16F7" w:rsidRPr="00A7168D" w:rsidRDefault="00C17A1B" w:rsidP="00750005">
            <w:pPr>
              <w:spacing w:after="0" w:line="240" w:lineRule="auto"/>
              <w:jc w:val="center"/>
              <w:rPr>
                <w:rFonts w:ascii="Times New Roman" w:hAnsi="Times New Roman"/>
                <w:sz w:val="16"/>
              </w:rPr>
            </w:pPr>
            <w:r w:rsidRPr="00A7168D">
              <w:rPr>
                <w:rFonts w:ascii="Times New Roman" w:hAnsi="Times New Roman"/>
                <w:sz w:val="16"/>
              </w:rPr>
              <w:t>Semi-annually</w:t>
            </w:r>
          </w:p>
        </w:tc>
        <w:tc>
          <w:tcPr>
            <w:tcW w:w="2520" w:type="dxa"/>
            <w:vMerge/>
            <w:tcBorders>
              <w:top w:val="thinThickThinSmallGap" w:sz="24" w:space="0" w:color="auto"/>
              <w:bottom w:val="thinThickThinSmallGap" w:sz="24" w:space="0" w:color="auto"/>
            </w:tcBorders>
            <w:shd w:val="clear" w:color="auto" w:fill="auto"/>
            <w:vAlign w:val="center"/>
          </w:tcPr>
          <w:p w14:paraId="0DE54F1C" w14:textId="77777777" w:rsidR="00AA16F7" w:rsidRPr="00A7168D" w:rsidRDefault="00AA16F7" w:rsidP="00750005">
            <w:pPr>
              <w:spacing w:line="240" w:lineRule="auto"/>
              <w:rPr>
                <w:rFonts w:ascii="Times New Roman" w:hAnsi="Times New Roman"/>
                <w:sz w:val="16"/>
                <w:szCs w:val="16"/>
              </w:rPr>
            </w:pPr>
          </w:p>
        </w:tc>
      </w:tr>
      <w:tr w:rsidR="00B56F8D" w:rsidRPr="00A7168D" w14:paraId="0DFC4757" w14:textId="77777777" w:rsidTr="00585E92">
        <w:trPr>
          <w:trHeight w:val="240"/>
        </w:trPr>
        <w:tc>
          <w:tcPr>
            <w:tcW w:w="1980" w:type="dxa"/>
            <w:vMerge/>
            <w:tcBorders>
              <w:top w:val="thinThickThinSmallGap" w:sz="24" w:space="0" w:color="auto"/>
              <w:bottom w:val="thinThickThinSmallGap" w:sz="24" w:space="0" w:color="auto"/>
              <w:right w:val="single" w:sz="4" w:space="0" w:color="auto"/>
            </w:tcBorders>
            <w:shd w:val="clear" w:color="auto" w:fill="auto"/>
            <w:vAlign w:val="center"/>
          </w:tcPr>
          <w:p w14:paraId="58D9B155" w14:textId="77777777" w:rsidR="00B56F8D" w:rsidRPr="00A7168D" w:rsidRDefault="00B56F8D" w:rsidP="00750005">
            <w:pPr>
              <w:spacing w:after="0" w:line="240" w:lineRule="auto"/>
              <w:jc w:val="center"/>
              <w:rPr>
                <w:rFonts w:ascii="Times New Roman" w:hAnsi="Times New Roman"/>
                <w:smallCaps/>
                <w:sz w:val="16"/>
                <w:szCs w:val="16"/>
              </w:rPr>
            </w:pPr>
          </w:p>
        </w:tc>
        <w:tc>
          <w:tcPr>
            <w:tcW w:w="4590" w:type="dxa"/>
            <w:tcBorders>
              <w:top w:val="single" w:sz="4" w:space="0" w:color="auto"/>
              <w:left w:val="single" w:sz="4" w:space="0" w:color="auto"/>
              <w:bottom w:val="single" w:sz="4" w:space="0" w:color="auto"/>
            </w:tcBorders>
            <w:shd w:val="clear" w:color="auto" w:fill="auto"/>
            <w:vAlign w:val="center"/>
          </w:tcPr>
          <w:p w14:paraId="3274ED03" w14:textId="0FA5059C" w:rsidR="00B56F8D" w:rsidRPr="00A7168D" w:rsidRDefault="00585E92"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 xml:space="preserve">4. </w:t>
            </w:r>
            <w:r w:rsidR="00B56F8D" w:rsidRPr="00A7168D">
              <w:rPr>
                <w:rFonts w:ascii="Times New Roman" w:hAnsi="Times New Roman"/>
                <w:sz w:val="16"/>
                <w:szCs w:val="16"/>
                <w:lang w:eastAsia="es-PY"/>
              </w:rPr>
              <w:t>Training events in Port Community System and new port processes</w:t>
            </w:r>
          </w:p>
        </w:tc>
        <w:tc>
          <w:tcPr>
            <w:tcW w:w="1530" w:type="dxa"/>
            <w:tcBorders>
              <w:top w:val="single" w:sz="4" w:space="0" w:color="auto"/>
              <w:bottom w:val="single" w:sz="4" w:space="0" w:color="auto"/>
            </w:tcBorders>
            <w:shd w:val="clear" w:color="auto" w:fill="auto"/>
            <w:vAlign w:val="center"/>
          </w:tcPr>
          <w:p w14:paraId="4AB54B7B" w14:textId="46D69C5B" w:rsidR="00B56F8D" w:rsidRPr="00A7168D" w:rsidRDefault="00C17A1B" w:rsidP="00750005">
            <w:pPr>
              <w:spacing w:after="0" w:line="240" w:lineRule="auto"/>
              <w:jc w:val="center"/>
              <w:rPr>
                <w:rFonts w:ascii="Times New Roman" w:hAnsi="Times New Roman"/>
                <w:sz w:val="16"/>
              </w:rPr>
            </w:pPr>
            <w:r w:rsidRPr="00A7168D">
              <w:rPr>
                <w:rFonts w:ascii="Times New Roman" w:hAnsi="Times New Roman"/>
                <w:sz w:val="16"/>
              </w:rPr>
              <w:t>Semi-annually</w:t>
            </w:r>
          </w:p>
        </w:tc>
        <w:tc>
          <w:tcPr>
            <w:tcW w:w="2520" w:type="dxa"/>
            <w:vMerge/>
            <w:tcBorders>
              <w:top w:val="thinThickThinSmallGap" w:sz="24" w:space="0" w:color="auto"/>
              <w:bottom w:val="thinThickThinSmallGap" w:sz="24" w:space="0" w:color="auto"/>
            </w:tcBorders>
            <w:shd w:val="clear" w:color="auto" w:fill="auto"/>
            <w:vAlign w:val="center"/>
          </w:tcPr>
          <w:p w14:paraId="281D7AC9" w14:textId="77777777" w:rsidR="00B56F8D" w:rsidRPr="00A7168D" w:rsidRDefault="00B56F8D" w:rsidP="00750005">
            <w:pPr>
              <w:spacing w:line="240" w:lineRule="auto"/>
              <w:rPr>
                <w:rFonts w:ascii="Times New Roman" w:hAnsi="Times New Roman"/>
                <w:sz w:val="16"/>
                <w:szCs w:val="16"/>
              </w:rPr>
            </w:pPr>
          </w:p>
        </w:tc>
      </w:tr>
      <w:tr w:rsidR="00B00F19" w:rsidRPr="00A7168D" w14:paraId="5BAE0E36" w14:textId="77777777" w:rsidTr="00013473">
        <w:trPr>
          <w:trHeight w:val="501"/>
        </w:trPr>
        <w:tc>
          <w:tcPr>
            <w:tcW w:w="1980" w:type="dxa"/>
            <w:vMerge/>
            <w:tcBorders>
              <w:top w:val="thinThickThinSmallGap" w:sz="24" w:space="0" w:color="auto"/>
              <w:bottom w:val="thinThickThinSmallGap" w:sz="24" w:space="0" w:color="auto"/>
              <w:right w:val="single" w:sz="4" w:space="0" w:color="auto"/>
            </w:tcBorders>
            <w:shd w:val="clear" w:color="auto" w:fill="auto"/>
            <w:vAlign w:val="center"/>
          </w:tcPr>
          <w:p w14:paraId="4DAA459E" w14:textId="77777777" w:rsidR="00B00F19" w:rsidRPr="00A7168D" w:rsidRDefault="00B00F19" w:rsidP="00750005">
            <w:pPr>
              <w:spacing w:after="0" w:line="240" w:lineRule="auto"/>
              <w:jc w:val="center"/>
              <w:rPr>
                <w:rFonts w:ascii="Times New Roman" w:hAnsi="Times New Roman"/>
                <w:smallCaps/>
                <w:sz w:val="16"/>
                <w:szCs w:val="16"/>
              </w:rPr>
            </w:pPr>
          </w:p>
        </w:tc>
        <w:tc>
          <w:tcPr>
            <w:tcW w:w="4590" w:type="dxa"/>
            <w:tcBorders>
              <w:top w:val="single" w:sz="4" w:space="0" w:color="auto"/>
              <w:left w:val="single" w:sz="4" w:space="0" w:color="auto"/>
              <w:bottom w:val="single" w:sz="4" w:space="0" w:color="auto"/>
            </w:tcBorders>
            <w:shd w:val="clear" w:color="auto" w:fill="auto"/>
            <w:vAlign w:val="center"/>
          </w:tcPr>
          <w:p w14:paraId="183D98C4" w14:textId="3EBB9BEA" w:rsidR="00B00F19" w:rsidRPr="00A7168D" w:rsidRDefault="00013473"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5. Training events focus on women for empowering in specialized logistic services</w:t>
            </w:r>
          </w:p>
        </w:tc>
        <w:tc>
          <w:tcPr>
            <w:tcW w:w="1530" w:type="dxa"/>
            <w:tcBorders>
              <w:top w:val="single" w:sz="4" w:space="0" w:color="auto"/>
              <w:bottom w:val="single" w:sz="4" w:space="0" w:color="auto"/>
            </w:tcBorders>
            <w:shd w:val="clear" w:color="auto" w:fill="auto"/>
            <w:vAlign w:val="center"/>
          </w:tcPr>
          <w:p w14:paraId="0E1A4CEE" w14:textId="4AD94788" w:rsidR="00B00F19" w:rsidRPr="00A7168D" w:rsidRDefault="007E5B5C" w:rsidP="00750005">
            <w:pPr>
              <w:spacing w:after="0" w:line="240" w:lineRule="auto"/>
              <w:jc w:val="center"/>
              <w:rPr>
                <w:rFonts w:ascii="Times New Roman" w:hAnsi="Times New Roman"/>
                <w:sz w:val="16"/>
              </w:rPr>
            </w:pPr>
            <w:r w:rsidRPr="00A7168D">
              <w:rPr>
                <w:rFonts w:ascii="Times New Roman" w:hAnsi="Times New Roman"/>
                <w:sz w:val="16"/>
              </w:rPr>
              <w:t>Semi-annually</w:t>
            </w:r>
          </w:p>
        </w:tc>
        <w:tc>
          <w:tcPr>
            <w:tcW w:w="2520" w:type="dxa"/>
            <w:vMerge/>
            <w:tcBorders>
              <w:top w:val="thinThickThinSmallGap" w:sz="24" w:space="0" w:color="auto"/>
              <w:bottom w:val="thinThickThinSmallGap" w:sz="24" w:space="0" w:color="auto"/>
            </w:tcBorders>
            <w:shd w:val="clear" w:color="auto" w:fill="auto"/>
            <w:vAlign w:val="center"/>
          </w:tcPr>
          <w:p w14:paraId="22060301" w14:textId="77777777" w:rsidR="00B00F19" w:rsidRPr="00A7168D" w:rsidRDefault="00B00F19" w:rsidP="00750005">
            <w:pPr>
              <w:spacing w:line="240" w:lineRule="auto"/>
              <w:rPr>
                <w:rFonts w:ascii="Times New Roman" w:hAnsi="Times New Roman"/>
                <w:sz w:val="16"/>
                <w:szCs w:val="16"/>
              </w:rPr>
            </w:pPr>
          </w:p>
        </w:tc>
      </w:tr>
      <w:tr w:rsidR="00B92600" w:rsidRPr="00A7168D" w14:paraId="1978118A" w14:textId="77777777" w:rsidTr="00585E92">
        <w:trPr>
          <w:trHeight w:val="384"/>
        </w:trPr>
        <w:tc>
          <w:tcPr>
            <w:tcW w:w="1980" w:type="dxa"/>
            <w:vMerge/>
            <w:tcBorders>
              <w:top w:val="thinThickThinSmallGap" w:sz="24" w:space="0" w:color="auto"/>
              <w:bottom w:val="thinThickThinSmallGap" w:sz="24" w:space="0" w:color="auto"/>
            </w:tcBorders>
            <w:shd w:val="clear" w:color="auto" w:fill="auto"/>
            <w:vAlign w:val="center"/>
          </w:tcPr>
          <w:p w14:paraId="74907261" w14:textId="77777777" w:rsidR="00B92600" w:rsidRPr="00A7168D" w:rsidRDefault="00B92600" w:rsidP="00750005">
            <w:pPr>
              <w:spacing w:after="0" w:line="240" w:lineRule="auto"/>
              <w:jc w:val="center"/>
              <w:rPr>
                <w:rFonts w:ascii="Times New Roman" w:hAnsi="Times New Roman"/>
                <w:smallCaps/>
                <w:sz w:val="16"/>
                <w:szCs w:val="16"/>
              </w:rPr>
            </w:pPr>
          </w:p>
        </w:tc>
        <w:tc>
          <w:tcPr>
            <w:tcW w:w="4590" w:type="dxa"/>
            <w:tcBorders>
              <w:top w:val="single" w:sz="4" w:space="0" w:color="auto"/>
              <w:bottom w:val="thinThickThinSmallGap" w:sz="24" w:space="0" w:color="auto"/>
            </w:tcBorders>
            <w:shd w:val="clear" w:color="auto" w:fill="auto"/>
            <w:vAlign w:val="center"/>
          </w:tcPr>
          <w:p w14:paraId="6480F47D" w14:textId="5F3E7A22" w:rsidR="00B92600" w:rsidRPr="00A7168D" w:rsidRDefault="00013473" w:rsidP="00750005">
            <w:pPr>
              <w:spacing w:after="0" w:line="240" w:lineRule="auto"/>
              <w:rPr>
                <w:rFonts w:ascii="Times New Roman" w:hAnsi="Times New Roman"/>
                <w:sz w:val="16"/>
                <w:szCs w:val="16"/>
                <w:lang w:eastAsia="es-PY"/>
              </w:rPr>
            </w:pPr>
            <w:r w:rsidRPr="00A7168D">
              <w:rPr>
                <w:rFonts w:ascii="Times New Roman" w:hAnsi="Times New Roman"/>
                <w:sz w:val="16"/>
                <w:szCs w:val="16"/>
                <w:lang w:eastAsia="es-PY"/>
              </w:rPr>
              <w:t>6. Programs for the improvement of employability and working conditions of women in logistic activities in the port</w:t>
            </w:r>
          </w:p>
        </w:tc>
        <w:tc>
          <w:tcPr>
            <w:tcW w:w="1530" w:type="dxa"/>
            <w:tcBorders>
              <w:top w:val="single" w:sz="4" w:space="0" w:color="auto"/>
              <w:bottom w:val="thinThickThinSmallGap" w:sz="24" w:space="0" w:color="auto"/>
            </w:tcBorders>
            <w:shd w:val="clear" w:color="auto" w:fill="auto"/>
            <w:vAlign w:val="center"/>
          </w:tcPr>
          <w:p w14:paraId="423045FD" w14:textId="338FD4B9" w:rsidR="00B92600" w:rsidRPr="00A7168D" w:rsidRDefault="00C17A1B" w:rsidP="00750005">
            <w:pPr>
              <w:spacing w:after="0" w:line="240" w:lineRule="auto"/>
              <w:jc w:val="center"/>
              <w:rPr>
                <w:rFonts w:ascii="Times New Roman" w:hAnsi="Times New Roman"/>
                <w:sz w:val="16"/>
              </w:rPr>
            </w:pPr>
            <w:r w:rsidRPr="00A7168D">
              <w:rPr>
                <w:rFonts w:ascii="Times New Roman" w:hAnsi="Times New Roman"/>
                <w:sz w:val="16"/>
              </w:rPr>
              <w:t>Semi-annually</w:t>
            </w:r>
          </w:p>
        </w:tc>
        <w:tc>
          <w:tcPr>
            <w:tcW w:w="2520" w:type="dxa"/>
            <w:vMerge/>
            <w:tcBorders>
              <w:top w:val="thinThickThinSmallGap" w:sz="24" w:space="0" w:color="auto"/>
              <w:bottom w:val="thinThickThinSmallGap" w:sz="24" w:space="0" w:color="auto"/>
            </w:tcBorders>
            <w:shd w:val="clear" w:color="auto" w:fill="auto"/>
            <w:vAlign w:val="center"/>
          </w:tcPr>
          <w:p w14:paraId="50F9C7F0" w14:textId="77777777" w:rsidR="00B92600" w:rsidRPr="00A7168D" w:rsidRDefault="00B92600" w:rsidP="00750005">
            <w:pPr>
              <w:spacing w:line="240" w:lineRule="auto"/>
              <w:rPr>
                <w:rFonts w:ascii="Times New Roman" w:hAnsi="Times New Roman"/>
                <w:sz w:val="16"/>
                <w:szCs w:val="16"/>
              </w:rPr>
            </w:pPr>
          </w:p>
        </w:tc>
      </w:tr>
    </w:tbl>
    <w:p w14:paraId="5392FB55" w14:textId="77777777" w:rsidR="002D1A38" w:rsidRPr="00A7168D" w:rsidRDefault="002D1A38" w:rsidP="00192B65">
      <w:pPr>
        <w:pStyle w:val="ColorfulList-Accent11"/>
        <w:spacing w:after="0" w:line="360" w:lineRule="auto"/>
        <w:ind w:left="0"/>
        <w:rPr>
          <w:rFonts w:ascii="Times New Roman" w:hAnsi="Times New Roman"/>
        </w:rPr>
        <w:sectPr w:rsidR="002D1A38" w:rsidRPr="00A7168D" w:rsidSect="00573A6D">
          <w:type w:val="continuous"/>
          <w:pgSz w:w="12240" w:h="15840"/>
          <w:pgMar w:top="1440" w:right="1440" w:bottom="1440" w:left="1440" w:header="720" w:footer="720" w:gutter="0"/>
          <w:cols w:space="720"/>
          <w:docGrid w:linePitch="360"/>
        </w:sectPr>
      </w:pPr>
    </w:p>
    <w:p w14:paraId="447C8B03" w14:textId="36607602" w:rsidR="002D1A38" w:rsidRPr="00A7168D" w:rsidRDefault="002D1A38" w:rsidP="00DD7EAD">
      <w:pPr>
        <w:spacing w:after="0" w:line="240" w:lineRule="auto"/>
        <w:ind w:left="1080" w:hanging="1166"/>
        <w:jc w:val="center"/>
        <w:rPr>
          <w:rFonts w:ascii="Times New Roman" w:hAnsi="Times New Roman"/>
          <w:b/>
          <w:sz w:val="24"/>
          <w:szCs w:val="24"/>
        </w:rPr>
      </w:pPr>
      <w:r w:rsidRPr="00A7168D">
        <w:rPr>
          <w:rFonts w:ascii="Times New Roman" w:hAnsi="Times New Roman"/>
          <w:b/>
          <w:sz w:val="24"/>
          <w:szCs w:val="24"/>
        </w:rPr>
        <w:lastRenderedPageBreak/>
        <w:t xml:space="preserve">Table </w:t>
      </w:r>
      <w:r w:rsidR="00A61430" w:rsidRPr="00A7168D">
        <w:rPr>
          <w:rFonts w:ascii="Times New Roman" w:hAnsi="Times New Roman"/>
          <w:b/>
          <w:sz w:val="24"/>
          <w:szCs w:val="24"/>
        </w:rPr>
        <w:t>3</w:t>
      </w:r>
      <w:r w:rsidRPr="00A7168D">
        <w:rPr>
          <w:rFonts w:ascii="Times New Roman" w:hAnsi="Times New Roman"/>
          <w:b/>
          <w:sz w:val="24"/>
          <w:szCs w:val="24"/>
        </w:rPr>
        <w:t>. Monitoring</w:t>
      </w:r>
      <w:r w:rsidR="006A3214" w:rsidRPr="00A7168D">
        <w:rPr>
          <w:rFonts w:ascii="Times New Roman" w:hAnsi="Times New Roman"/>
          <w:b/>
          <w:sz w:val="24"/>
          <w:szCs w:val="24"/>
        </w:rPr>
        <w:t xml:space="preserve"> p</w:t>
      </w:r>
      <w:r w:rsidR="00C93071" w:rsidRPr="00A7168D">
        <w:rPr>
          <w:rFonts w:ascii="Times New Roman" w:hAnsi="Times New Roman"/>
          <w:b/>
          <w:sz w:val="24"/>
          <w:szCs w:val="24"/>
        </w:rPr>
        <w:t>lan</w:t>
      </w:r>
      <w:r w:rsidR="006A3214" w:rsidRPr="00A7168D">
        <w:rPr>
          <w:rFonts w:ascii="Times New Roman" w:hAnsi="Times New Roman"/>
          <w:b/>
          <w:sz w:val="24"/>
          <w:szCs w:val="24"/>
        </w:rPr>
        <w:t xml:space="preserve"> and budget</w:t>
      </w:r>
      <w:r w:rsidRPr="00A7168D">
        <w:rPr>
          <w:rFonts w:ascii="Times New Roman" w:hAnsi="Times New Roman"/>
          <w:b/>
          <w:sz w:val="24"/>
          <w:szCs w:val="24"/>
        </w:rPr>
        <w:t xml:space="preserve"> </w:t>
      </w:r>
    </w:p>
    <w:p w14:paraId="1A921DFB" w14:textId="7294E62B" w:rsidR="00B25F38" w:rsidRPr="00A7168D" w:rsidRDefault="00B25F38" w:rsidP="00DD7EAD">
      <w:pPr>
        <w:spacing w:after="0" w:line="240" w:lineRule="auto"/>
        <w:ind w:left="1080" w:hanging="1166"/>
        <w:jc w:val="center"/>
        <w:rPr>
          <w:rFonts w:ascii="Times New Roman" w:hAnsi="Times New Roman"/>
          <w:smallCaps/>
          <w:sz w:val="24"/>
          <w:szCs w:val="24"/>
        </w:rPr>
      </w:pPr>
    </w:p>
    <w:tbl>
      <w:tblPr>
        <w:tblStyle w:val="TableGrid"/>
        <w:tblW w:w="0" w:type="auto"/>
        <w:jc w:val="center"/>
        <w:tblLook w:val="04A0" w:firstRow="1" w:lastRow="0" w:firstColumn="1" w:lastColumn="0" w:noHBand="0" w:noVBand="1"/>
      </w:tblPr>
      <w:tblGrid>
        <w:gridCol w:w="1122"/>
        <w:gridCol w:w="444"/>
        <w:gridCol w:w="445"/>
        <w:gridCol w:w="445"/>
        <w:gridCol w:w="445"/>
        <w:gridCol w:w="445"/>
        <w:gridCol w:w="446"/>
        <w:gridCol w:w="445"/>
        <w:gridCol w:w="446"/>
        <w:gridCol w:w="446"/>
        <w:gridCol w:w="445"/>
        <w:gridCol w:w="446"/>
        <w:gridCol w:w="445"/>
        <w:gridCol w:w="446"/>
        <w:gridCol w:w="445"/>
        <w:gridCol w:w="446"/>
        <w:gridCol w:w="446"/>
        <w:gridCol w:w="431"/>
        <w:gridCol w:w="431"/>
        <w:gridCol w:w="456"/>
        <w:gridCol w:w="546"/>
        <w:gridCol w:w="739"/>
        <w:gridCol w:w="1173"/>
        <w:gridCol w:w="926"/>
      </w:tblGrid>
      <w:tr w:rsidR="00CC5B95" w:rsidRPr="00A7168D" w14:paraId="6FA40DF9" w14:textId="3DCBBFB4" w:rsidTr="00CC5B95">
        <w:trPr>
          <w:jc w:val="center"/>
        </w:trPr>
        <w:tc>
          <w:tcPr>
            <w:tcW w:w="1137" w:type="dxa"/>
            <w:vMerge w:val="restart"/>
            <w:shd w:val="clear" w:color="auto" w:fill="DBE5F1" w:themeFill="accent1" w:themeFillTint="33"/>
          </w:tcPr>
          <w:p w14:paraId="0633D78D" w14:textId="66469C14" w:rsidR="00CC5B95" w:rsidRPr="00A7168D" w:rsidRDefault="00CC5B95" w:rsidP="00DD7EAD">
            <w:pPr>
              <w:spacing w:after="0" w:line="240" w:lineRule="auto"/>
              <w:jc w:val="center"/>
              <w:rPr>
                <w:rFonts w:asciiTheme="minorHAnsi" w:hAnsiTheme="minorHAnsi" w:cstheme="minorHAnsi"/>
                <w:smallCaps/>
                <w:sz w:val="18"/>
                <w:szCs w:val="16"/>
                <w:lang w:val="es-ES_tradnl"/>
              </w:rPr>
            </w:pPr>
            <w:bookmarkStart w:id="3" w:name="OLE_LINK1"/>
            <w:bookmarkStart w:id="4" w:name="OLE_LINK2"/>
            <w:proofErr w:type="spellStart"/>
            <w:r w:rsidRPr="00A7168D">
              <w:rPr>
                <w:rFonts w:asciiTheme="minorHAnsi" w:hAnsiTheme="minorHAnsi" w:cstheme="minorHAnsi"/>
                <w:b/>
                <w:smallCaps/>
                <w:sz w:val="18"/>
                <w:szCs w:val="16"/>
                <w:lang w:val="es-ES_tradnl"/>
              </w:rPr>
              <w:t>Activities</w:t>
            </w:r>
            <w:proofErr w:type="spellEnd"/>
          </w:p>
        </w:tc>
        <w:tc>
          <w:tcPr>
            <w:tcW w:w="1791" w:type="dxa"/>
            <w:gridSpan w:val="4"/>
            <w:shd w:val="clear" w:color="auto" w:fill="DBE5F1" w:themeFill="accent1" w:themeFillTint="33"/>
          </w:tcPr>
          <w:p w14:paraId="78BFB45C" w14:textId="3855104B"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Year</w:t>
            </w:r>
            <w:proofErr w:type="spellEnd"/>
            <w:r w:rsidRPr="00A7168D">
              <w:rPr>
                <w:rFonts w:asciiTheme="minorHAnsi" w:hAnsiTheme="minorHAnsi" w:cstheme="minorHAnsi"/>
                <w:b/>
                <w:smallCaps/>
                <w:sz w:val="18"/>
                <w:szCs w:val="16"/>
                <w:lang w:val="es-ES_tradnl"/>
              </w:rPr>
              <w:t xml:space="preserve"> 1</w:t>
            </w:r>
          </w:p>
        </w:tc>
        <w:tc>
          <w:tcPr>
            <w:tcW w:w="1790" w:type="dxa"/>
            <w:gridSpan w:val="4"/>
            <w:shd w:val="clear" w:color="auto" w:fill="DBE5F1" w:themeFill="accent1" w:themeFillTint="33"/>
          </w:tcPr>
          <w:p w14:paraId="6ACAD60E" w14:textId="5935CCBC"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Year</w:t>
            </w:r>
            <w:proofErr w:type="spellEnd"/>
            <w:r w:rsidRPr="00A7168D">
              <w:rPr>
                <w:rFonts w:asciiTheme="minorHAnsi" w:hAnsiTheme="minorHAnsi" w:cstheme="minorHAnsi"/>
                <w:b/>
                <w:smallCaps/>
                <w:sz w:val="18"/>
                <w:szCs w:val="16"/>
                <w:lang w:val="es-ES_tradnl"/>
              </w:rPr>
              <w:t xml:space="preserve"> 2</w:t>
            </w:r>
          </w:p>
        </w:tc>
        <w:tc>
          <w:tcPr>
            <w:tcW w:w="1790" w:type="dxa"/>
            <w:gridSpan w:val="4"/>
            <w:shd w:val="clear" w:color="auto" w:fill="DBE5F1" w:themeFill="accent1" w:themeFillTint="33"/>
          </w:tcPr>
          <w:p w14:paraId="2FA29790" w14:textId="2F486864"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Year</w:t>
            </w:r>
            <w:proofErr w:type="spellEnd"/>
            <w:r w:rsidRPr="00A7168D">
              <w:rPr>
                <w:rFonts w:asciiTheme="minorHAnsi" w:hAnsiTheme="minorHAnsi" w:cstheme="minorHAnsi"/>
                <w:b/>
                <w:smallCaps/>
                <w:sz w:val="18"/>
                <w:szCs w:val="16"/>
                <w:lang w:val="es-ES_tradnl"/>
              </w:rPr>
              <w:t xml:space="preserve"> 3</w:t>
            </w:r>
          </w:p>
        </w:tc>
        <w:tc>
          <w:tcPr>
            <w:tcW w:w="1791" w:type="dxa"/>
            <w:gridSpan w:val="4"/>
            <w:shd w:val="clear" w:color="auto" w:fill="DBE5F1" w:themeFill="accent1" w:themeFillTint="33"/>
          </w:tcPr>
          <w:p w14:paraId="1675D8E1" w14:textId="3050965A"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Year</w:t>
            </w:r>
            <w:proofErr w:type="spellEnd"/>
            <w:r w:rsidRPr="00A7168D">
              <w:rPr>
                <w:rFonts w:asciiTheme="minorHAnsi" w:hAnsiTheme="minorHAnsi" w:cstheme="minorHAnsi"/>
                <w:b/>
                <w:smallCaps/>
                <w:sz w:val="18"/>
                <w:szCs w:val="16"/>
                <w:lang w:val="es-ES_tradnl"/>
              </w:rPr>
              <w:t xml:space="preserve"> 4</w:t>
            </w:r>
          </w:p>
        </w:tc>
        <w:tc>
          <w:tcPr>
            <w:tcW w:w="1802" w:type="dxa"/>
            <w:gridSpan w:val="4"/>
            <w:shd w:val="clear" w:color="auto" w:fill="DBE5F1" w:themeFill="accent1" w:themeFillTint="33"/>
          </w:tcPr>
          <w:p w14:paraId="3AA20D18" w14:textId="517321A2"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Year</w:t>
            </w:r>
            <w:proofErr w:type="spellEnd"/>
            <w:r w:rsidRPr="00A7168D">
              <w:rPr>
                <w:rFonts w:asciiTheme="minorHAnsi" w:hAnsiTheme="minorHAnsi" w:cstheme="minorHAnsi"/>
                <w:b/>
                <w:smallCaps/>
                <w:sz w:val="18"/>
                <w:szCs w:val="16"/>
                <w:lang w:val="es-ES_tradnl"/>
              </w:rPr>
              <w:t xml:space="preserve"> 5</w:t>
            </w:r>
          </w:p>
        </w:tc>
        <w:tc>
          <w:tcPr>
            <w:tcW w:w="743" w:type="dxa"/>
            <w:vMerge w:val="restart"/>
            <w:shd w:val="clear" w:color="auto" w:fill="DBE5F1" w:themeFill="accent1" w:themeFillTint="33"/>
          </w:tcPr>
          <w:p w14:paraId="420DF486" w14:textId="2D373968"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Cost</w:t>
            </w:r>
            <w:proofErr w:type="spellEnd"/>
            <w:r w:rsidRPr="00A7168D">
              <w:rPr>
                <w:rFonts w:asciiTheme="minorHAnsi" w:hAnsiTheme="minorHAnsi" w:cstheme="minorHAnsi"/>
                <w:b/>
                <w:smallCaps/>
                <w:sz w:val="18"/>
                <w:szCs w:val="16"/>
                <w:lang w:val="es-ES_tradnl"/>
              </w:rPr>
              <w:t xml:space="preserve"> (US$)</w:t>
            </w:r>
          </w:p>
        </w:tc>
        <w:tc>
          <w:tcPr>
            <w:tcW w:w="1173" w:type="dxa"/>
            <w:vMerge w:val="restart"/>
            <w:shd w:val="clear" w:color="auto" w:fill="DBE5F1" w:themeFill="accent1" w:themeFillTint="33"/>
          </w:tcPr>
          <w:p w14:paraId="2D8DE0DA" w14:textId="0FB66107"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Responsible</w:t>
            </w:r>
            <w:proofErr w:type="spellEnd"/>
          </w:p>
        </w:tc>
        <w:tc>
          <w:tcPr>
            <w:tcW w:w="933" w:type="dxa"/>
            <w:vMerge w:val="restart"/>
            <w:shd w:val="clear" w:color="auto" w:fill="DBE5F1" w:themeFill="accent1" w:themeFillTint="33"/>
          </w:tcPr>
          <w:p w14:paraId="4C863E3F" w14:textId="1F26C630" w:rsidR="00CC5B95" w:rsidRPr="00A7168D" w:rsidRDefault="00CC5B95" w:rsidP="00DD7EAD">
            <w:pPr>
              <w:spacing w:after="0" w:line="240" w:lineRule="auto"/>
              <w:jc w:val="center"/>
              <w:rPr>
                <w:rFonts w:asciiTheme="minorHAnsi" w:hAnsiTheme="minorHAnsi" w:cstheme="minorHAnsi"/>
                <w:b/>
                <w:smallCaps/>
                <w:sz w:val="18"/>
                <w:szCs w:val="16"/>
                <w:lang w:val="es-ES_tradnl"/>
              </w:rPr>
            </w:pPr>
            <w:proofErr w:type="spellStart"/>
            <w:r w:rsidRPr="00A7168D">
              <w:rPr>
                <w:rFonts w:asciiTheme="minorHAnsi" w:hAnsiTheme="minorHAnsi" w:cstheme="minorHAnsi"/>
                <w:b/>
                <w:smallCaps/>
                <w:sz w:val="18"/>
                <w:szCs w:val="16"/>
                <w:lang w:val="es-ES_tradnl"/>
              </w:rPr>
              <w:t>Source</w:t>
            </w:r>
            <w:proofErr w:type="spellEnd"/>
            <w:r w:rsidRPr="00A7168D">
              <w:rPr>
                <w:rFonts w:asciiTheme="minorHAnsi" w:hAnsiTheme="minorHAnsi" w:cstheme="minorHAnsi"/>
                <w:b/>
                <w:smallCaps/>
                <w:sz w:val="18"/>
                <w:szCs w:val="16"/>
                <w:lang w:val="es-ES_tradnl"/>
              </w:rPr>
              <w:t xml:space="preserve"> of </w:t>
            </w:r>
            <w:proofErr w:type="spellStart"/>
            <w:r w:rsidRPr="00A7168D">
              <w:rPr>
                <w:rFonts w:asciiTheme="minorHAnsi" w:hAnsiTheme="minorHAnsi" w:cstheme="minorHAnsi"/>
                <w:b/>
                <w:smallCaps/>
                <w:sz w:val="18"/>
                <w:szCs w:val="16"/>
                <w:lang w:val="es-ES_tradnl"/>
              </w:rPr>
              <w:t>financing</w:t>
            </w:r>
            <w:proofErr w:type="spellEnd"/>
          </w:p>
        </w:tc>
      </w:tr>
      <w:tr w:rsidR="00324AB9" w:rsidRPr="00A7168D" w14:paraId="35E42CF2" w14:textId="06B0E874" w:rsidTr="00CC5B95">
        <w:trPr>
          <w:jc w:val="center"/>
        </w:trPr>
        <w:tc>
          <w:tcPr>
            <w:tcW w:w="1137" w:type="dxa"/>
            <w:vMerge/>
            <w:shd w:val="clear" w:color="auto" w:fill="DBE5F1" w:themeFill="accent1" w:themeFillTint="33"/>
          </w:tcPr>
          <w:p w14:paraId="03B90099" w14:textId="36C986C1" w:rsidR="00CC5B95" w:rsidRPr="00A7168D" w:rsidRDefault="00CC5B95" w:rsidP="00CC5B95">
            <w:pPr>
              <w:spacing w:after="0" w:line="240" w:lineRule="auto"/>
              <w:jc w:val="center"/>
              <w:rPr>
                <w:rFonts w:asciiTheme="minorHAnsi" w:hAnsiTheme="minorHAnsi" w:cstheme="minorHAnsi"/>
                <w:b/>
                <w:smallCaps/>
                <w:sz w:val="18"/>
                <w:szCs w:val="16"/>
                <w:lang w:val="es-ES_tradnl"/>
              </w:rPr>
            </w:pPr>
          </w:p>
        </w:tc>
        <w:tc>
          <w:tcPr>
            <w:tcW w:w="447" w:type="dxa"/>
            <w:shd w:val="clear" w:color="auto" w:fill="DBE5F1" w:themeFill="accent1" w:themeFillTint="33"/>
          </w:tcPr>
          <w:p w14:paraId="6B58B0CA" w14:textId="6AF504F2"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Q1</w:t>
            </w:r>
          </w:p>
        </w:tc>
        <w:tc>
          <w:tcPr>
            <w:tcW w:w="448" w:type="dxa"/>
            <w:shd w:val="clear" w:color="auto" w:fill="DBE5F1" w:themeFill="accent1" w:themeFillTint="33"/>
          </w:tcPr>
          <w:p w14:paraId="448332F6" w14:textId="06C4B279"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Q2</w:t>
            </w:r>
          </w:p>
        </w:tc>
        <w:tc>
          <w:tcPr>
            <w:tcW w:w="448" w:type="dxa"/>
            <w:shd w:val="clear" w:color="auto" w:fill="DBE5F1" w:themeFill="accent1" w:themeFillTint="33"/>
          </w:tcPr>
          <w:p w14:paraId="7846F1B0" w14:textId="53713CDE"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Q3</w:t>
            </w:r>
          </w:p>
        </w:tc>
        <w:tc>
          <w:tcPr>
            <w:tcW w:w="448" w:type="dxa"/>
            <w:shd w:val="clear" w:color="auto" w:fill="DBE5F1" w:themeFill="accent1" w:themeFillTint="33"/>
          </w:tcPr>
          <w:p w14:paraId="54B2E379" w14:textId="516CDBB6"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Q4</w:t>
            </w:r>
          </w:p>
        </w:tc>
        <w:tc>
          <w:tcPr>
            <w:tcW w:w="447" w:type="dxa"/>
            <w:shd w:val="clear" w:color="auto" w:fill="DBE5F1" w:themeFill="accent1" w:themeFillTint="33"/>
          </w:tcPr>
          <w:p w14:paraId="6DCD8095" w14:textId="51C7A35F"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Q1</w:t>
            </w:r>
          </w:p>
        </w:tc>
        <w:tc>
          <w:tcPr>
            <w:tcW w:w="448" w:type="dxa"/>
            <w:shd w:val="clear" w:color="auto" w:fill="DBE5F1" w:themeFill="accent1" w:themeFillTint="33"/>
          </w:tcPr>
          <w:p w14:paraId="7FCAB5FB" w14:textId="5E94D953"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Q2</w:t>
            </w:r>
          </w:p>
        </w:tc>
        <w:tc>
          <w:tcPr>
            <w:tcW w:w="447" w:type="dxa"/>
            <w:shd w:val="clear" w:color="auto" w:fill="DBE5F1" w:themeFill="accent1" w:themeFillTint="33"/>
          </w:tcPr>
          <w:p w14:paraId="1EB46714" w14:textId="33059C6F"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Q3</w:t>
            </w:r>
          </w:p>
        </w:tc>
        <w:tc>
          <w:tcPr>
            <w:tcW w:w="448" w:type="dxa"/>
            <w:shd w:val="clear" w:color="auto" w:fill="DBE5F1" w:themeFill="accent1" w:themeFillTint="33"/>
          </w:tcPr>
          <w:p w14:paraId="09E33EB7" w14:textId="794F0E62"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Q4</w:t>
            </w:r>
          </w:p>
        </w:tc>
        <w:tc>
          <w:tcPr>
            <w:tcW w:w="448" w:type="dxa"/>
            <w:shd w:val="clear" w:color="auto" w:fill="DBE5F1" w:themeFill="accent1" w:themeFillTint="33"/>
          </w:tcPr>
          <w:p w14:paraId="6DE99ACA" w14:textId="1FE6585F"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Q1</w:t>
            </w:r>
          </w:p>
        </w:tc>
        <w:tc>
          <w:tcPr>
            <w:tcW w:w="447" w:type="dxa"/>
            <w:shd w:val="clear" w:color="auto" w:fill="DBE5F1" w:themeFill="accent1" w:themeFillTint="33"/>
          </w:tcPr>
          <w:p w14:paraId="352904EB" w14:textId="41D8CD1E"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Q2</w:t>
            </w:r>
          </w:p>
        </w:tc>
        <w:tc>
          <w:tcPr>
            <w:tcW w:w="448" w:type="dxa"/>
            <w:shd w:val="clear" w:color="auto" w:fill="DBE5F1" w:themeFill="accent1" w:themeFillTint="33"/>
          </w:tcPr>
          <w:p w14:paraId="01AE8E6E" w14:textId="3B3F2D6C"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Q3</w:t>
            </w:r>
          </w:p>
        </w:tc>
        <w:tc>
          <w:tcPr>
            <w:tcW w:w="447" w:type="dxa"/>
            <w:shd w:val="clear" w:color="auto" w:fill="DBE5F1" w:themeFill="accent1" w:themeFillTint="33"/>
          </w:tcPr>
          <w:p w14:paraId="209ACA62" w14:textId="01BE4F32"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Q4</w:t>
            </w:r>
          </w:p>
        </w:tc>
        <w:tc>
          <w:tcPr>
            <w:tcW w:w="448" w:type="dxa"/>
            <w:shd w:val="clear" w:color="auto" w:fill="DBE5F1" w:themeFill="accent1" w:themeFillTint="33"/>
          </w:tcPr>
          <w:p w14:paraId="499845D7" w14:textId="2A5EC85C"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Q1</w:t>
            </w:r>
          </w:p>
        </w:tc>
        <w:tc>
          <w:tcPr>
            <w:tcW w:w="447" w:type="dxa"/>
            <w:shd w:val="clear" w:color="auto" w:fill="DBE5F1" w:themeFill="accent1" w:themeFillTint="33"/>
          </w:tcPr>
          <w:p w14:paraId="58E22887" w14:textId="3ABBBE73"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Q2</w:t>
            </w:r>
          </w:p>
        </w:tc>
        <w:tc>
          <w:tcPr>
            <w:tcW w:w="448" w:type="dxa"/>
            <w:shd w:val="clear" w:color="auto" w:fill="DBE5F1" w:themeFill="accent1" w:themeFillTint="33"/>
          </w:tcPr>
          <w:p w14:paraId="54A51602" w14:textId="5A182867"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Q3</w:t>
            </w:r>
          </w:p>
        </w:tc>
        <w:tc>
          <w:tcPr>
            <w:tcW w:w="448" w:type="dxa"/>
            <w:shd w:val="clear" w:color="auto" w:fill="DBE5F1" w:themeFill="accent1" w:themeFillTint="33"/>
          </w:tcPr>
          <w:p w14:paraId="71BC124F" w14:textId="6BD2EBDB"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Q4</w:t>
            </w:r>
          </w:p>
        </w:tc>
        <w:tc>
          <w:tcPr>
            <w:tcW w:w="382" w:type="dxa"/>
            <w:shd w:val="clear" w:color="auto" w:fill="DBE5F1" w:themeFill="accent1" w:themeFillTint="33"/>
          </w:tcPr>
          <w:p w14:paraId="210C0574" w14:textId="4E55CA3D"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Q1</w:t>
            </w:r>
          </w:p>
        </w:tc>
        <w:tc>
          <w:tcPr>
            <w:tcW w:w="395" w:type="dxa"/>
            <w:shd w:val="clear" w:color="auto" w:fill="DBE5F1" w:themeFill="accent1" w:themeFillTint="33"/>
          </w:tcPr>
          <w:p w14:paraId="11ACFFEB" w14:textId="4C3C7042"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Q2</w:t>
            </w:r>
          </w:p>
        </w:tc>
        <w:tc>
          <w:tcPr>
            <w:tcW w:w="460" w:type="dxa"/>
            <w:shd w:val="clear" w:color="auto" w:fill="DBE5F1" w:themeFill="accent1" w:themeFillTint="33"/>
          </w:tcPr>
          <w:p w14:paraId="3BC8473F" w14:textId="45AB759C"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Q3</w:t>
            </w:r>
          </w:p>
        </w:tc>
        <w:tc>
          <w:tcPr>
            <w:tcW w:w="565" w:type="dxa"/>
            <w:shd w:val="clear" w:color="auto" w:fill="DBE5F1" w:themeFill="accent1" w:themeFillTint="33"/>
          </w:tcPr>
          <w:p w14:paraId="3F6FCF0C" w14:textId="5DCBAF25" w:rsidR="00CC5B95" w:rsidRPr="00A7168D" w:rsidRDefault="00CC5B95" w:rsidP="00CC5B95">
            <w:pPr>
              <w:spacing w:after="0" w:line="240" w:lineRule="auto"/>
              <w:jc w:val="center"/>
              <w:rPr>
                <w:rFonts w:asciiTheme="minorHAnsi" w:hAnsiTheme="minorHAnsi" w:cstheme="minorHAnsi"/>
                <w:b/>
                <w:smallCaps/>
                <w:sz w:val="18"/>
                <w:szCs w:val="16"/>
                <w:lang w:val="es-ES_tradnl"/>
              </w:rPr>
            </w:pPr>
            <w:r w:rsidRPr="00A7168D">
              <w:rPr>
                <w:rFonts w:asciiTheme="minorHAnsi" w:hAnsiTheme="minorHAnsi" w:cstheme="minorHAnsi"/>
                <w:b/>
                <w:smallCaps/>
                <w:sz w:val="18"/>
                <w:szCs w:val="16"/>
                <w:lang w:val="es-ES_tradnl"/>
              </w:rPr>
              <w:t>Q4</w:t>
            </w:r>
          </w:p>
        </w:tc>
        <w:tc>
          <w:tcPr>
            <w:tcW w:w="743" w:type="dxa"/>
            <w:vMerge/>
            <w:shd w:val="clear" w:color="auto" w:fill="DBE5F1" w:themeFill="accent1" w:themeFillTint="33"/>
          </w:tcPr>
          <w:p w14:paraId="57174C4C" w14:textId="75DD220A" w:rsidR="00CC5B95" w:rsidRPr="00A7168D" w:rsidRDefault="00CC5B95" w:rsidP="00CC5B95">
            <w:pPr>
              <w:spacing w:after="0" w:line="240" w:lineRule="auto"/>
              <w:jc w:val="center"/>
              <w:rPr>
                <w:rFonts w:asciiTheme="minorHAnsi" w:hAnsiTheme="minorHAnsi" w:cstheme="minorHAnsi"/>
                <w:b/>
                <w:smallCaps/>
                <w:sz w:val="18"/>
                <w:szCs w:val="16"/>
                <w:lang w:val="es-ES_tradnl"/>
              </w:rPr>
            </w:pPr>
          </w:p>
        </w:tc>
        <w:tc>
          <w:tcPr>
            <w:tcW w:w="1173" w:type="dxa"/>
            <w:vMerge/>
            <w:shd w:val="clear" w:color="auto" w:fill="DBE5F1" w:themeFill="accent1" w:themeFillTint="33"/>
          </w:tcPr>
          <w:p w14:paraId="7416205E" w14:textId="77777777" w:rsidR="00CC5B95" w:rsidRPr="00A7168D" w:rsidRDefault="00CC5B95" w:rsidP="00CC5B95">
            <w:pPr>
              <w:spacing w:after="0" w:line="240" w:lineRule="auto"/>
              <w:jc w:val="center"/>
              <w:rPr>
                <w:rFonts w:asciiTheme="minorHAnsi" w:hAnsiTheme="minorHAnsi" w:cstheme="minorHAnsi"/>
                <w:b/>
                <w:smallCaps/>
                <w:sz w:val="18"/>
                <w:szCs w:val="16"/>
                <w:lang w:val="es-ES_tradnl"/>
              </w:rPr>
            </w:pPr>
          </w:p>
        </w:tc>
        <w:tc>
          <w:tcPr>
            <w:tcW w:w="933" w:type="dxa"/>
            <w:vMerge/>
            <w:shd w:val="clear" w:color="auto" w:fill="DBE5F1" w:themeFill="accent1" w:themeFillTint="33"/>
          </w:tcPr>
          <w:p w14:paraId="4BD25659" w14:textId="3B096FE3" w:rsidR="00CC5B95" w:rsidRPr="00A7168D" w:rsidRDefault="00CC5B95" w:rsidP="00CC5B95">
            <w:pPr>
              <w:spacing w:after="0" w:line="240" w:lineRule="auto"/>
              <w:jc w:val="center"/>
              <w:rPr>
                <w:rFonts w:asciiTheme="minorHAnsi" w:hAnsiTheme="minorHAnsi" w:cstheme="minorHAnsi"/>
                <w:b/>
                <w:smallCaps/>
                <w:sz w:val="18"/>
                <w:szCs w:val="16"/>
                <w:lang w:val="es-ES_tradnl"/>
              </w:rPr>
            </w:pPr>
          </w:p>
        </w:tc>
      </w:tr>
      <w:tr w:rsidR="001B0910" w:rsidRPr="00A7168D" w14:paraId="04B65BFD" w14:textId="7BBC1C04" w:rsidTr="001B0910">
        <w:trPr>
          <w:trHeight w:val="377"/>
          <w:jc w:val="center"/>
        </w:trPr>
        <w:tc>
          <w:tcPr>
            <w:tcW w:w="1137" w:type="dxa"/>
          </w:tcPr>
          <w:p w14:paraId="0D9D199B" w14:textId="708AD2C5" w:rsidR="00CC5B95" w:rsidRPr="00A7168D" w:rsidRDefault="00CC5B95" w:rsidP="00CC5B95">
            <w:pPr>
              <w:spacing w:after="0" w:line="240" w:lineRule="auto"/>
              <w:jc w:val="center"/>
              <w:rPr>
                <w:rFonts w:asciiTheme="minorHAnsi" w:hAnsiTheme="minorHAnsi" w:cstheme="minorHAnsi"/>
                <w:smallCaps/>
                <w:sz w:val="18"/>
                <w:szCs w:val="16"/>
                <w:lang w:val="es-ES_tradnl"/>
              </w:rPr>
            </w:pPr>
            <w:proofErr w:type="spellStart"/>
            <w:r w:rsidRPr="00A7168D">
              <w:rPr>
                <w:rFonts w:asciiTheme="minorHAnsi" w:hAnsiTheme="minorHAnsi" w:cstheme="minorHAnsi"/>
                <w:smallCaps/>
                <w:sz w:val="18"/>
                <w:szCs w:val="16"/>
                <w:lang w:val="es-ES_tradnl"/>
              </w:rPr>
              <w:t>Monitoring</w:t>
            </w:r>
            <w:proofErr w:type="spellEnd"/>
          </w:p>
        </w:tc>
        <w:tc>
          <w:tcPr>
            <w:tcW w:w="447" w:type="dxa"/>
            <w:shd w:val="clear" w:color="auto" w:fill="BFBFBF" w:themeFill="background1" w:themeFillShade="BF"/>
          </w:tcPr>
          <w:p w14:paraId="5EEC130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21A36EA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5D7E3F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6514D8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481802D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5C32DBC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26267F6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2DF2033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871E6F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5E0DD1AA"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53313F8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235FC11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C0001D0"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0BC2AAFD"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05816A4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67526F96" w14:textId="4768408E"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shd w:val="clear" w:color="auto" w:fill="BFBFBF" w:themeFill="background1" w:themeFillShade="BF"/>
          </w:tcPr>
          <w:p w14:paraId="7CCF04D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shd w:val="clear" w:color="auto" w:fill="BFBFBF" w:themeFill="background1" w:themeFillShade="BF"/>
          </w:tcPr>
          <w:p w14:paraId="74205BB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shd w:val="clear" w:color="auto" w:fill="BFBFBF" w:themeFill="background1" w:themeFillShade="BF"/>
          </w:tcPr>
          <w:p w14:paraId="03C65654"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shd w:val="clear" w:color="auto" w:fill="BFBFBF" w:themeFill="background1" w:themeFillShade="BF"/>
          </w:tcPr>
          <w:p w14:paraId="658AE38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608FC454" w14:textId="3F66CB1D"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w:t>
            </w:r>
          </w:p>
        </w:tc>
        <w:tc>
          <w:tcPr>
            <w:tcW w:w="1173" w:type="dxa"/>
          </w:tcPr>
          <w:p w14:paraId="1B0ACFFD" w14:textId="2EB4B52B"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MPWTC/PEU</w:t>
            </w:r>
          </w:p>
        </w:tc>
        <w:tc>
          <w:tcPr>
            <w:tcW w:w="933" w:type="dxa"/>
          </w:tcPr>
          <w:p w14:paraId="7A8BB3E5" w14:textId="530C544C"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SU-L1057</w:t>
            </w:r>
          </w:p>
        </w:tc>
      </w:tr>
      <w:tr w:rsidR="00324AB9" w:rsidRPr="00A7168D" w14:paraId="178DA673" w14:textId="379335C3" w:rsidTr="00CC5B95">
        <w:trPr>
          <w:jc w:val="center"/>
        </w:trPr>
        <w:tc>
          <w:tcPr>
            <w:tcW w:w="1137" w:type="dxa"/>
          </w:tcPr>
          <w:p w14:paraId="78FE46D3" w14:textId="3A6683FF" w:rsidR="00CC5B95" w:rsidRPr="00A7168D" w:rsidRDefault="00CC5B95" w:rsidP="00CC5B95">
            <w:pPr>
              <w:spacing w:after="0" w:line="240" w:lineRule="auto"/>
              <w:jc w:val="center"/>
              <w:rPr>
                <w:rFonts w:asciiTheme="minorHAnsi" w:hAnsiTheme="minorHAnsi" w:cstheme="minorHAnsi"/>
                <w:smallCaps/>
                <w:sz w:val="18"/>
                <w:szCs w:val="16"/>
                <w:lang w:val="es-ES_tradnl"/>
              </w:rPr>
            </w:pPr>
            <w:proofErr w:type="spellStart"/>
            <w:r w:rsidRPr="00A7168D">
              <w:rPr>
                <w:rFonts w:asciiTheme="minorHAnsi" w:hAnsiTheme="minorHAnsi" w:cstheme="minorHAnsi"/>
                <w:smallCaps/>
                <w:sz w:val="18"/>
                <w:szCs w:val="16"/>
                <w:lang w:val="es-ES_tradnl"/>
              </w:rPr>
              <w:t>Semi-annual</w:t>
            </w:r>
            <w:proofErr w:type="spellEnd"/>
            <w:r w:rsidRPr="00A7168D">
              <w:rPr>
                <w:rFonts w:asciiTheme="minorHAnsi" w:hAnsiTheme="minorHAnsi" w:cstheme="minorHAnsi"/>
                <w:smallCaps/>
                <w:sz w:val="18"/>
                <w:szCs w:val="16"/>
                <w:lang w:val="es-ES_tradnl"/>
              </w:rPr>
              <w:t xml:space="preserve"> </w:t>
            </w:r>
            <w:proofErr w:type="spellStart"/>
            <w:r w:rsidRPr="00A7168D">
              <w:rPr>
                <w:rFonts w:asciiTheme="minorHAnsi" w:hAnsiTheme="minorHAnsi" w:cstheme="minorHAnsi"/>
                <w:smallCaps/>
                <w:sz w:val="18"/>
                <w:szCs w:val="16"/>
                <w:lang w:val="es-ES_tradnl"/>
              </w:rPr>
              <w:t>reports</w:t>
            </w:r>
            <w:proofErr w:type="spellEnd"/>
          </w:p>
        </w:tc>
        <w:tc>
          <w:tcPr>
            <w:tcW w:w="447" w:type="dxa"/>
          </w:tcPr>
          <w:p w14:paraId="4DF0180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0ED64BF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4E2CF58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2DD4421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42F8447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4967A0C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279110A6"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033875E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2810620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21F140C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F4F69B6"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64974D4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6106673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1C8BE1FA"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C3E369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4DB32198" w14:textId="20DEBE7B"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shd w:val="clear" w:color="auto" w:fill="A6A6A6" w:themeFill="background1" w:themeFillShade="A6"/>
          </w:tcPr>
          <w:p w14:paraId="0A699BC0"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tcPr>
          <w:p w14:paraId="6BE2780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shd w:val="clear" w:color="auto" w:fill="A6A6A6" w:themeFill="background1" w:themeFillShade="A6"/>
          </w:tcPr>
          <w:p w14:paraId="42338FA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tcPr>
          <w:p w14:paraId="69DD6B7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6C1C91EB" w14:textId="1C46F97A"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w:t>
            </w:r>
          </w:p>
        </w:tc>
        <w:tc>
          <w:tcPr>
            <w:tcW w:w="1173" w:type="dxa"/>
          </w:tcPr>
          <w:p w14:paraId="6FC20A64" w14:textId="6F29B3B6"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MPWTC/PEU</w:t>
            </w:r>
          </w:p>
        </w:tc>
        <w:tc>
          <w:tcPr>
            <w:tcW w:w="933" w:type="dxa"/>
          </w:tcPr>
          <w:p w14:paraId="25824332" w14:textId="1254F244"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SU-L1057</w:t>
            </w:r>
          </w:p>
        </w:tc>
      </w:tr>
      <w:tr w:rsidR="001B0910" w:rsidRPr="00A7168D" w14:paraId="1568EAE1" w14:textId="77777777" w:rsidTr="001B0910">
        <w:trPr>
          <w:jc w:val="center"/>
        </w:trPr>
        <w:tc>
          <w:tcPr>
            <w:tcW w:w="1137" w:type="dxa"/>
          </w:tcPr>
          <w:p w14:paraId="16EAD6A4" w14:textId="4222564A"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 xml:space="preserve">Final </w:t>
            </w:r>
            <w:proofErr w:type="spellStart"/>
            <w:r w:rsidRPr="00A7168D">
              <w:rPr>
                <w:rFonts w:asciiTheme="minorHAnsi" w:hAnsiTheme="minorHAnsi" w:cstheme="minorHAnsi"/>
                <w:smallCaps/>
                <w:sz w:val="18"/>
                <w:szCs w:val="16"/>
                <w:lang w:val="es-ES_tradnl"/>
              </w:rPr>
              <w:t>Report</w:t>
            </w:r>
            <w:proofErr w:type="spellEnd"/>
          </w:p>
        </w:tc>
        <w:tc>
          <w:tcPr>
            <w:tcW w:w="447" w:type="dxa"/>
          </w:tcPr>
          <w:p w14:paraId="4A391BC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0BEAB49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461E2FBD"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0F1A325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7B08F9E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22691B9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3555557D"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25BD752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704328D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5B8370C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5C89D7F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2F2EBA2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2EA8567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0B08F296"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714F2D8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05933186"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tcPr>
          <w:p w14:paraId="6AF1C52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tcPr>
          <w:p w14:paraId="576D7384"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tcPr>
          <w:p w14:paraId="601A9F2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shd w:val="clear" w:color="auto" w:fill="A6A6A6" w:themeFill="background1" w:themeFillShade="A6"/>
          </w:tcPr>
          <w:p w14:paraId="7FA55AC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7ADF9740" w14:textId="6E70FCF6"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w:t>
            </w:r>
          </w:p>
        </w:tc>
        <w:tc>
          <w:tcPr>
            <w:tcW w:w="1173" w:type="dxa"/>
          </w:tcPr>
          <w:p w14:paraId="6EBA6D94" w14:textId="1F5392F8"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MPWTC/PEU</w:t>
            </w:r>
          </w:p>
        </w:tc>
        <w:tc>
          <w:tcPr>
            <w:tcW w:w="933" w:type="dxa"/>
          </w:tcPr>
          <w:p w14:paraId="010AC65F" w14:textId="6439EE50"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SU-L1057</w:t>
            </w:r>
          </w:p>
        </w:tc>
      </w:tr>
      <w:tr w:rsidR="00324AB9" w:rsidRPr="00A7168D" w14:paraId="014A502A" w14:textId="77777777" w:rsidTr="00CC5B95">
        <w:trPr>
          <w:trHeight w:val="314"/>
          <w:jc w:val="center"/>
        </w:trPr>
        <w:tc>
          <w:tcPr>
            <w:tcW w:w="1137" w:type="dxa"/>
          </w:tcPr>
          <w:p w14:paraId="4AFAFEBF" w14:textId="07208DB6" w:rsidR="00CC5B95" w:rsidRPr="00A7168D" w:rsidRDefault="00CC5B95" w:rsidP="00CC5B95">
            <w:pPr>
              <w:spacing w:after="0" w:line="240" w:lineRule="auto"/>
              <w:jc w:val="center"/>
              <w:rPr>
                <w:rFonts w:asciiTheme="minorHAnsi" w:hAnsiTheme="minorHAnsi" w:cstheme="minorHAnsi"/>
                <w:smallCaps/>
                <w:sz w:val="18"/>
                <w:szCs w:val="16"/>
                <w:lang w:val="es-ES_tradnl"/>
              </w:rPr>
            </w:pPr>
            <w:proofErr w:type="spellStart"/>
            <w:r w:rsidRPr="00A7168D">
              <w:rPr>
                <w:rFonts w:asciiTheme="minorHAnsi" w:hAnsiTheme="minorHAnsi" w:cstheme="minorHAnsi"/>
                <w:smallCaps/>
                <w:sz w:val="18"/>
                <w:szCs w:val="16"/>
                <w:lang w:val="es-ES_tradnl"/>
              </w:rPr>
              <w:t>Fiduciary</w:t>
            </w:r>
            <w:proofErr w:type="spellEnd"/>
            <w:r w:rsidRPr="00A7168D">
              <w:rPr>
                <w:rFonts w:asciiTheme="minorHAnsi" w:hAnsiTheme="minorHAnsi" w:cstheme="minorHAnsi"/>
                <w:smallCaps/>
                <w:sz w:val="18"/>
                <w:szCs w:val="16"/>
                <w:lang w:val="es-ES_tradnl"/>
              </w:rPr>
              <w:t xml:space="preserve"> </w:t>
            </w:r>
            <w:proofErr w:type="spellStart"/>
            <w:r w:rsidRPr="00A7168D">
              <w:rPr>
                <w:rFonts w:asciiTheme="minorHAnsi" w:hAnsiTheme="minorHAnsi" w:cstheme="minorHAnsi"/>
                <w:smallCaps/>
                <w:sz w:val="18"/>
                <w:szCs w:val="16"/>
                <w:lang w:val="es-ES_tradnl"/>
              </w:rPr>
              <w:t>visits</w:t>
            </w:r>
            <w:proofErr w:type="spellEnd"/>
          </w:p>
        </w:tc>
        <w:tc>
          <w:tcPr>
            <w:tcW w:w="447" w:type="dxa"/>
            <w:shd w:val="clear" w:color="auto" w:fill="auto"/>
          </w:tcPr>
          <w:p w14:paraId="1A0BD02A"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523D8884"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1DAAFEB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43FA158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6C19E47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85DA68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auto"/>
          </w:tcPr>
          <w:p w14:paraId="7BCB77D0"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47C06BC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3BF3D65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1473672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2A4A2EC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7AF20ED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333039E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5C2B219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auto"/>
          </w:tcPr>
          <w:p w14:paraId="7DB5B98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F9AADE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tcPr>
          <w:p w14:paraId="52E5ED7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shd w:val="clear" w:color="auto" w:fill="BFBFBF" w:themeFill="background1" w:themeFillShade="BF"/>
          </w:tcPr>
          <w:p w14:paraId="0DF8A2F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tcPr>
          <w:p w14:paraId="13E7365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shd w:val="clear" w:color="auto" w:fill="BFBFBF" w:themeFill="background1" w:themeFillShade="BF"/>
          </w:tcPr>
          <w:p w14:paraId="6F697DD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2C0D821B" w14:textId="05999158"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10,000</w:t>
            </w:r>
          </w:p>
        </w:tc>
        <w:tc>
          <w:tcPr>
            <w:tcW w:w="1173" w:type="dxa"/>
          </w:tcPr>
          <w:p w14:paraId="1D4518D5" w14:textId="1481A2EE"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IDB</w:t>
            </w:r>
          </w:p>
        </w:tc>
        <w:tc>
          <w:tcPr>
            <w:tcW w:w="933" w:type="dxa"/>
          </w:tcPr>
          <w:p w14:paraId="7ED660BE" w14:textId="0665D579"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IDB</w:t>
            </w:r>
          </w:p>
        </w:tc>
      </w:tr>
      <w:tr w:rsidR="00324AB9" w:rsidRPr="00A7168D" w14:paraId="5D480786" w14:textId="77777777" w:rsidTr="00CC5B95">
        <w:trPr>
          <w:jc w:val="center"/>
        </w:trPr>
        <w:tc>
          <w:tcPr>
            <w:tcW w:w="1137" w:type="dxa"/>
          </w:tcPr>
          <w:p w14:paraId="51C35CD1" w14:textId="2431D8EF" w:rsidR="00CC5B95" w:rsidRPr="00A7168D" w:rsidRDefault="00CC5B95" w:rsidP="00CC5B95">
            <w:pPr>
              <w:spacing w:after="0" w:line="240" w:lineRule="auto"/>
              <w:jc w:val="center"/>
              <w:rPr>
                <w:rFonts w:asciiTheme="minorHAnsi" w:hAnsiTheme="minorHAnsi" w:cstheme="minorHAnsi"/>
                <w:smallCaps/>
                <w:sz w:val="18"/>
                <w:szCs w:val="16"/>
                <w:lang w:val="es-ES_tradnl"/>
              </w:rPr>
            </w:pPr>
            <w:proofErr w:type="spellStart"/>
            <w:r w:rsidRPr="00A7168D">
              <w:rPr>
                <w:rFonts w:asciiTheme="minorHAnsi" w:hAnsiTheme="minorHAnsi" w:cstheme="minorHAnsi"/>
                <w:smallCaps/>
                <w:sz w:val="18"/>
                <w:szCs w:val="16"/>
                <w:lang w:val="es-ES_tradnl"/>
              </w:rPr>
              <w:t>Technical</w:t>
            </w:r>
            <w:proofErr w:type="spellEnd"/>
            <w:r w:rsidRPr="00A7168D">
              <w:rPr>
                <w:rFonts w:asciiTheme="minorHAnsi" w:hAnsiTheme="minorHAnsi" w:cstheme="minorHAnsi"/>
                <w:smallCaps/>
                <w:sz w:val="18"/>
                <w:szCs w:val="16"/>
                <w:lang w:val="es-ES_tradnl"/>
              </w:rPr>
              <w:t xml:space="preserve"> </w:t>
            </w:r>
            <w:proofErr w:type="spellStart"/>
            <w:r w:rsidRPr="00A7168D">
              <w:rPr>
                <w:rFonts w:asciiTheme="minorHAnsi" w:hAnsiTheme="minorHAnsi" w:cstheme="minorHAnsi"/>
                <w:smallCaps/>
                <w:sz w:val="18"/>
                <w:szCs w:val="16"/>
                <w:lang w:val="es-ES_tradnl"/>
              </w:rPr>
              <w:t>Inspection</w:t>
            </w:r>
            <w:proofErr w:type="spellEnd"/>
            <w:r w:rsidRPr="00A7168D">
              <w:rPr>
                <w:rFonts w:asciiTheme="minorHAnsi" w:hAnsiTheme="minorHAnsi" w:cstheme="minorHAnsi"/>
                <w:smallCaps/>
                <w:sz w:val="18"/>
                <w:szCs w:val="16"/>
                <w:lang w:val="es-ES_tradnl"/>
              </w:rPr>
              <w:t xml:space="preserve"> </w:t>
            </w:r>
            <w:proofErr w:type="spellStart"/>
            <w:r w:rsidRPr="00A7168D">
              <w:rPr>
                <w:rFonts w:asciiTheme="minorHAnsi" w:hAnsiTheme="minorHAnsi" w:cstheme="minorHAnsi"/>
                <w:smallCaps/>
                <w:sz w:val="18"/>
                <w:szCs w:val="16"/>
                <w:lang w:val="es-ES_tradnl"/>
              </w:rPr>
              <w:t>visits</w:t>
            </w:r>
            <w:proofErr w:type="spellEnd"/>
          </w:p>
        </w:tc>
        <w:tc>
          <w:tcPr>
            <w:tcW w:w="447" w:type="dxa"/>
            <w:shd w:val="clear" w:color="auto" w:fill="BFBFBF" w:themeFill="background1" w:themeFillShade="BF"/>
          </w:tcPr>
          <w:p w14:paraId="4ECCAA0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CA46C5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6ADC571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2205C3E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523957B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7CE82AA0"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71B8401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447EEDC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54757D4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3A54FD24"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698025D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7437B7A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88DCE73"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1335D59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134FC41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7622961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shd w:val="clear" w:color="auto" w:fill="BFBFBF" w:themeFill="background1" w:themeFillShade="BF"/>
          </w:tcPr>
          <w:p w14:paraId="19A127A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shd w:val="clear" w:color="auto" w:fill="BFBFBF" w:themeFill="background1" w:themeFillShade="BF"/>
          </w:tcPr>
          <w:p w14:paraId="42D1D36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shd w:val="clear" w:color="auto" w:fill="BFBFBF" w:themeFill="background1" w:themeFillShade="BF"/>
          </w:tcPr>
          <w:p w14:paraId="4C478A8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shd w:val="clear" w:color="auto" w:fill="BFBFBF" w:themeFill="background1" w:themeFillShade="BF"/>
          </w:tcPr>
          <w:p w14:paraId="6A328BA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27E42A13" w14:textId="3D0E5729"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20,000</w:t>
            </w:r>
          </w:p>
        </w:tc>
        <w:tc>
          <w:tcPr>
            <w:tcW w:w="1173" w:type="dxa"/>
          </w:tcPr>
          <w:p w14:paraId="2E8B9D30" w14:textId="1FBF3485"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IDB</w:t>
            </w:r>
          </w:p>
        </w:tc>
        <w:tc>
          <w:tcPr>
            <w:tcW w:w="933" w:type="dxa"/>
          </w:tcPr>
          <w:p w14:paraId="772EE65A" w14:textId="3693713D"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IDB</w:t>
            </w:r>
          </w:p>
        </w:tc>
      </w:tr>
      <w:tr w:rsidR="00324AB9" w:rsidRPr="00D76F8D" w14:paraId="29D68172" w14:textId="220D3B78" w:rsidTr="00CC5B95">
        <w:trPr>
          <w:trHeight w:val="341"/>
          <w:jc w:val="center"/>
        </w:trPr>
        <w:tc>
          <w:tcPr>
            <w:tcW w:w="1137" w:type="dxa"/>
          </w:tcPr>
          <w:p w14:paraId="30375695" w14:textId="120DFB8D" w:rsidR="00CC5B95" w:rsidRPr="00A7168D" w:rsidRDefault="00CC5B95" w:rsidP="00CC5B95">
            <w:pPr>
              <w:spacing w:after="0" w:line="240" w:lineRule="auto"/>
              <w:jc w:val="center"/>
              <w:rPr>
                <w:rFonts w:asciiTheme="minorHAnsi" w:hAnsiTheme="minorHAnsi" w:cstheme="minorHAnsi"/>
                <w:smallCaps/>
                <w:sz w:val="18"/>
                <w:szCs w:val="16"/>
                <w:lang w:val="es-ES_tradnl"/>
              </w:rPr>
            </w:pPr>
            <w:proofErr w:type="spellStart"/>
            <w:r w:rsidRPr="00A7168D">
              <w:rPr>
                <w:rFonts w:asciiTheme="minorHAnsi" w:hAnsiTheme="minorHAnsi" w:cstheme="minorHAnsi"/>
                <w:smallCaps/>
                <w:sz w:val="18"/>
                <w:szCs w:val="16"/>
                <w:lang w:val="es-ES_tradnl"/>
              </w:rPr>
              <w:t>External</w:t>
            </w:r>
            <w:proofErr w:type="spellEnd"/>
            <w:r w:rsidRPr="00A7168D">
              <w:rPr>
                <w:rFonts w:asciiTheme="minorHAnsi" w:hAnsiTheme="minorHAnsi" w:cstheme="minorHAnsi"/>
                <w:smallCaps/>
                <w:sz w:val="18"/>
                <w:szCs w:val="16"/>
                <w:lang w:val="es-ES_tradnl"/>
              </w:rPr>
              <w:t xml:space="preserve"> </w:t>
            </w:r>
            <w:proofErr w:type="spellStart"/>
            <w:r w:rsidRPr="00A7168D">
              <w:rPr>
                <w:rFonts w:asciiTheme="minorHAnsi" w:hAnsiTheme="minorHAnsi" w:cstheme="minorHAnsi"/>
                <w:smallCaps/>
                <w:sz w:val="18"/>
                <w:szCs w:val="16"/>
                <w:lang w:val="es-ES_tradnl"/>
              </w:rPr>
              <w:t>Audits</w:t>
            </w:r>
            <w:proofErr w:type="spellEnd"/>
          </w:p>
        </w:tc>
        <w:tc>
          <w:tcPr>
            <w:tcW w:w="447" w:type="dxa"/>
          </w:tcPr>
          <w:p w14:paraId="56014C92"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0AE370F5"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52711A67"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580ED27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4BADBC8F"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632787CC"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7E9192B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31B789F8"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6934CE2D"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0D6F8FAE"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0BE7BA7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shd w:val="clear" w:color="auto" w:fill="BFBFBF" w:themeFill="background1" w:themeFillShade="BF"/>
          </w:tcPr>
          <w:p w14:paraId="53E82551"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66E1182A"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7" w:type="dxa"/>
          </w:tcPr>
          <w:p w14:paraId="7DE15410"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tcPr>
          <w:p w14:paraId="221DF564"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48" w:type="dxa"/>
            <w:shd w:val="clear" w:color="auto" w:fill="BFBFBF" w:themeFill="background1" w:themeFillShade="BF"/>
          </w:tcPr>
          <w:p w14:paraId="6468F60C" w14:textId="75178388"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82" w:type="dxa"/>
          </w:tcPr>
          <w:p w14:paraId="6D948BD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395" w:type="dxa"/>
          </w:tcPr>
          <w:p w14:paraId="0A14042A"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460" w:type="dxa"/>
          </w:tcPr>
          <w:p w14:paraId="686C130B"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565" w:type="dxa"/>
            <w:shd w:val="clear" w:color="auto" w:fill="BFBFBF" w:themeFill="background1" w:themeFillShade="BF"/>
          </w:tcPr>
          <w:p w14:paraId="769D4A09" w14:textId="77777777" w:rsidR="00CC5B95" w:rsidRPr="00A7168D" w:rsidRDefault="00CC5B95" w:rsidP="00CC5B95">
            <w:pPr>
              <w:spacing w:after="0" w:line="240" w:lineRule="auto"/>
              <w:jc w:val="center"/>
              <w:rPr>
                <w:rFonts w:asciiTheme="minorHAnsi" w:hAnsiTheme="minorHAnsi" w:cstheme="minorHAnsi"/>
                <w:smallCaps/>
                <w:sz w:val="18"/>
                <w:szCs w:val="16"/>
                <w:lang w:val="es-ES_tradnl"/>
              </w:rPr>
            </w:pPr>
          </w:p>
        </w:tc>
        <w:tc>
          <w:tcPr>
            <w:tcW w:w="743" w:type="dxa"/>
          </w:tcPr>
          <w:p w14:paraId="29B40EB1" w14:textId="30242B49"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80,000</w:t>
            </w:r>
          </w:p>
        </w:tc>
        <w:tc>
          <w:tcPr>
            <w:tcW w:w="1173" w:type="dxa"/>
          </w:tcPr>
          <w:p w14:paraId="3EB2BE39" w14:textId="2B1BC66D" w:rsidR="00CC5B95" w:rsidRPr="00A7168D"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MPWTC/PEU</w:t>
            </w:r>
          </w:p>
        </w:tc>
        <w:tc>
          <w:tcPr>
            <w:tcW w:w="933" w:type="dxa"/>
          </w:tcPr>
          <w:p w14:paraId="70AF2868" w14:textId="5FDED2D3" w:rsidR="00CC5B95" w:rsidRPr="006A3214" w:rsidRDefault="00CC5B95" w:rsidP="00CC5B95">
            <w:pPr>
              <w:spacing w:after="0" w:line="240" w:lineRule="auto"/>
              <w:jc w:val="center"/>
              <w:rPr>
                <w:rFonts w:asciiTheme="minorHAnsi" w:hAnsiTheme="minorHAnsi" w:cstheme="minorHAnsi"/>
                <w:smallCaps/>
                <w:sz w:val="18"/>
                <w:szCs w:val="16"/>
                <w:lang w:val="es-ES_tradnl"/>
              </w:rPr>
            </w:pPr>
            <w:r w:rsidRPr="00A7168D">
              <w:rPr>
                <w:rFonts w:asciiTheme="minorHAnsi" w:hAnsiTheme="minorHAnsi" w:cstheme="minorHAnsi"/>
                <w:smallCaps/>
                <w:sz w:val="18"/>
                <w:szCs w:val="16"/>
                <w:lang w:val="es-ES_tradnl"/>
              </w:rPr>
              <w:t>SU-L1057</w:t>
            </w:r>
          </w:p>
        </w:tc>
      </w:tr>
      <w:bookmarkEnd w:id="3"/>
      <w:bookmarkEnd w:id="4"/>
    </w:tbl>
    <w:p w14:paraId="554F0478" w14:textId="536B4B61" w:rsidR="00B25F38" w:rsidRDefault="00B25F38" w:rsidP="00DD7EAD">
      <w:pPr>
        <w:spacing w:after="0" w:line="240" w:lineRule="auto"/>
        <w:ind w:left="1080" w:hanging="1166"/>
        <w:jc w:val="center"/>
        <w:rPr>
          <w:rFonts w:ascii="Times New Roman" w:hAnsi="Times New Roman"/>
          <w:smallCaps/>
          <w:sz w:val="24"/>
          <w:szCs w:val="24"/>
          <w:lang w:val="es-ES_tradnl"/>
        </w:rPr>
      </w:pPr>
    </w:p>
    <w:p w14:paraId="5637B5A2" w14:textId="323FE92F" w:rsidR="00B25F38" w:rsidRDefault="00B25F38" w:rsidP="00DD7EAD">
      <w:pPr>
        <w:spacing w:after="0" w:line="240" w:lineRule="auto"/>
        <w:ind w:left="1080" w:hanging="1166"/>
        <w:jc w:val="center"/>
        <w:rPr>
          <w:rFonts w:ascii="Times New Roman" w:hAnsi="Times New Roman"/>
          <w:smallCaps/>
          <w:sz w:val="24"/>
          <w:szCs w:val="24"/>
          <w:lang w:val="es-ES_tradnl"/>
        </w:rPr>
      </w:pPr>
    </w:p>
    <w:p w14:paraId="58E1880A" w14:textId="77777777" w:rsidR="00B25F38" w:rsidRPr="00DD7EAD" w:rsidRDefault="00B25F38" w:rsidP="00DD7EAD">
      <w:pPr>
        <w:spacing w:after="0" w:line="240" w:lineRule="auto"/>
        <w:ind w:left="1080" w:hanging="1166"/>
        <w:jc w:val="center"/>
        <w:rPr>
          <w:rFonts w:ascii="Times New Roman" w:hAnsi="Times New Roman"/>
          <w:smallCaps/>
          <w:sz w:val="24"/>
          <w:szCs w:val="24"/>
          <w:lang w:val="es-ES_tradnl"/>
        </w:rPr>
      </w:pPr>
    </w:p>
    <w:p w14:paraId="5CA04BC4" w14:textId="77777777" w:rsidR="002D1A38" w:rsidRDefault="002D1A38" w:rsidP="00192B65">
      <w:pPr>
        <w:pStyle w:val="ColorfulList-Accent11"/>
        <w:spacing w:after="0" w:line="360" w:lineRule="auto"/>
        <w:ind w:left="0"/>
        <w:rPr>
          <w:rFonts w:ascii="Times New Roman" w:hAnsi="Times New Roman"/>
        </w:rPr>
        <w:sectPr w:rsidR="002D1A38" w:rsidSect="002D1A38">
          <w:pgSz w:w="15840" w:h="12240" w:orient="landscape"/>
          <w:pgMar w:top="1440" w:right="1440" w:bottom="1440" w:left="1440" w:header="720" w:footer="720" w:gutter="0"/>
          <w:cols w:space="720"/>
          <w:docGrid w:linePitch="360"/>
        </w:sectPr>
      </w:pPr>
    </w:p>
    <w:p w14:paraId="6E630DC5" w14:textId="77777777" w:rsidR="001B5186" w:rsidRPr="00C616FC" w:rsidRDefault="001B5186" w:rsidP="00C616FC">
      <w:pPr>
        <w:pStyle w:val="Heading1"/>
        <w:numPr>
          <w:ilvl w:val="0"/>
          <w:numId w:val="25"/>
        </w:numPr>
        <w:rPr>
          <w:b/>
          <w:color w:val="000000" w:themeColor="text1"/>
          <w:sz w:val="28"/>
        </w:rPr>
      </w:pPr>
      <w:r w:rsidRPr="00C616FC">
        <w:rPr>
          <w:b/>
          <w:color w:val="000000" w:themeColor="text1"/>
          <w:sz w:val="28"/>
        </w:rPr>
        <w:lastRenderedPageBreak/>
        <w:t>Evaluation</w:t>
      </w:r>
    </w:p>
    <w:p w14:paraId="7E0C823A" w14:textId="77777777" w:rsidR="00110FAA" w:rsidRPr="00110FAA" w:rsidRDefault="00110FAA" w:rsidP="00110FAA">
      <w:pPr>
        <w:pStyle w:val="ListParagraph"/>
        <w:keepNext/>
        <w:numPr>
          <w:ilvl w:val="0"/>
          <w:numId w:val="37"/>
        </w:numPr>
        <w:tabs>
          <w:tab w:val="left" w:pos="1440"/>
        </w:tabs>
        <w:spacing w:before="240" w:after="240" w:line="240" w:lineRule="auto"/>
        <w:jc w:val="center"/>
        <w:rPr>
          <w:rFonts w:ascii="Times New Roman" w:hAnsi="Times New Roman"/>
          <w:b/>
          <w:smallCaps/>
          <w:vanish/>
          <w:sz w:val="24"/>
        </w:rPr>
      </w:pPr>
    </w:p>
    <w:p w14:paraId="5002A541" w14:textId="652E31BD" w:rsidR="00646B18" w:rsidRDefault="00646B18" w:rsidP="00262937">
      <w:pPr>
        <w:spacing w:after="0"/>
        <w:rPr>
          <w:rFonts w:ascii="Times New Roman" w:hAnsi="Times New Roman"/>
          <w:b/>
          <w:sz w:val="24"/>
        </w:rPr>
      </w:pPr>
    </w:p>
    <w:p w14:paraId="3494E10E" w14:textId="2EC6C25F" w:rsidR="00975496" w:rsidRPr="00324F7D" w:rsidRDefault="00975496" w:rsidP="00975496">
      <w:pPr>
        <w:pStyle w:val="Paragraph"/>
        <w:spacing w:after="0"/>
        <w:rPr>
          <w:b/>
        </w:rPr>
      </w:pPr>
      <w:r>
        <w:rPr>
          <w:b/>
        </w:rPr>
        <w:t>a. E</w:t>
      </w:r>
      <w:r w:rsidRPr="00324F7D">
        <w:rPr>
          <w:b/>
        </w:rPr>
        <w:t>valuation</w:t>
      </w:r>
      <w:r>
        <w:rPr>
          <w:b/>
        </w:rPr>
        <w:t xml:space="preserve"> methodology</w:t>
      </w:r>
    </w:p>
    <w:p w14:paraId="4E8AA44F" w14:textId="3F9A6D1E" w:rsidR="00975496" w:rsidRDefault="00975496" w:rsidP="00975496">
      <w:pPr>
        <w:pStyle w:val="Paragraph"/>
        <w:numPr>
          <w:ilvl w:val="1"/>
          <w:numId w:val="37"/>
        </w:numPr>
      </w:pPr>
      <w:r>
        <w:t xml:space="preserve">The proposed methodologies consist of: i) a </w:t>
      </w:r>
      <w:r w:rsidR="00CC5B95">
        <w:t>quasi</w:t>
      </w:r>
      <w:r>
        <w:t>-experimental Impact Evaluation using the synthetic control method; and iii) a before-after evaluation to measure the scope of the results.</w:t>
      </w:r>
    </w:p>
    <w:p w14:paraId="09483691" w14:textId="16A051BF" w:rsidR="00AE3981" w:rsidRDefault="00975496" w:rsidP="00AE3981">
      <w:pPr>
        <w:pStyle w:val="subpar"/>
        <w:rPr>
          <w:rFonts w:eastAsia="Times New Roman"/>
          <w:color w:val="000000"/>
          <w:szCs w:val="24"/>
        </w:rPr>
      </w:pPr>
      <w:r w:rsidRPr="00AE3981">
        <w:rPr>
          <w:b/>
        </w:rPr>
        <w:t>Impact Evaluation.</w:t>
      </w:r>
      <w:r w:rsidRPr="00291F43">
        <w:t xml:space="preserve"> An </w:t>
      </w:r>
      <w:r w:rsidRPr="00291F43">
        <w:rPr>
          <w:noProof/>
        </w:rPr>
        <w:t>ex-post</w:t>
      </w:r>
      <w:r w:rsidRPr="00291F43">
        <w:t xml:space="preserve"> impact evaluation will be carried out using the synthetic control method to evaluate the </w:t>
      </w:r>
      <w:r w:rsidRPr="00680732">
        <w:rPr>
          <w:u w:val="single"/>
        </w:rPr>
        <w:t>impact</w:t>
      </w:r>
      <w:r w:rsidRPr="00291F43">
        <w:t xml:space="preserve"> in the performance of </w:t>
      </w:r>
      <w:r w:rsidRPr="00291F43">
        <w:rPr>
          <w:noProof/>
        </w:rPr>
        <w:t>the port</w:t>
      </w:r>
      <w:r w:rsidRPr="00291F43">
        <w:t xml:space="preserve"> as a result of the improvements financed with the project. </w:t>
      </w:r>
      <w:r w:rsidR="00324AB9">
        <w:t>The evaluation will attempt to answer the following question:</w:t>
      </w:r>
      <w:r w:rsidR="00324AB9" w:rsidRPr="00AC37A8">
        <w:t xml:space="preserve"> </w:t>
      </w:r>
      <w:r w:rsidR="00324AB9">
        <w:t>h</w:t>
      </w:r>
      <w:r w:rsidR="00324AB9" w:rsidRPr="00AC37A8">
        <w:t xml:space="preserve">as </w:t>
      </w:r>
      <w:r w:rsidR="00324AB9">
        <w:t xml:space="preserve">there been any productivity gains as a result of port interventions? </w:t>
      </w:r>
      <w:r w:rsidR="00324AB9" w:rsidRPr="00AE3981">
        <w:rPr>
          <w:rFonts w:eastAsia="Times New Roman"/>
          <w:color w:val="000000"/>
          <w:szCs w:val="24"/>
        </w:rPr>
        <w:t>Specifically</w:t>
      </w:r>
      <w:r w:rsidR="00324AB9" w:rsidRPr="00680732">
        <w:rPr>
          <w:rFonts w:eastAsia="Times New Roman"/>
          <w:color w:val="000000"/>
          <w:szCs w:val="24"/>
        </w:rPr>
        <w:t xml:space="preserve">, the assessment will consider as a potential output variable the costs to import </w:t>
      </w:r>
      <w:r w:rsidR="00324AB9">
        <w:rPr>
          <w:rFonts w:eastAsia="Times New Roman"/>
          <w:color w:val="000000"/>
          <w:szCs w:val="24"/>
        </w:rPr>
        <w:t>in accordance with the results matrix</w:t>
      </w:r>
      <w:r w:rsidR="00324AB9" w:rsidRPr="00680732">
        <w:rPr>
          <w:rFonts w:eastAsia="Times New Roman"/>
          <w:color w:val="000000"/>
          <w:szCs w:val="24"/>
        </w:rPr>
        <w:t xml:space="preserve">. </w:t>
      </w:r>
      <w:r w:rsidR="00324AB9">
        <w:rPr>
          <w:rFonts w:eastAsia="Times New Roman"/>
          <w:color w:val="000000"/>
          <w:szCs w:val="24"/>
        </w:rPr>
        <w:t xml:space="preserve">Other indicators can be used to answer the same question </w:t>
      </w:r>
      <w:proofErr w:type="gramStart"/>
      <w:r w:rsidR="00324AB9">
        <w:rPr>
          <w:rFonts w:eastAsia="Times New Roman"/>
          <w:color w:val="000000"/>
          <w:szCs w:val="24"/>
        </w:rPr>
        <w:t>and also</w:t>
      </w:r>
      <w:proofErr w:type="gramEnd"/>
      <w:r w:rsidR="00324AB9">
        <w:rPr>
          <w:rFonts w:eastAsia="Times New Roman"/>
          <w:color w:val="000000"/>
          <w:szCs w:val="24"/>
        </w:rPr>
        <w:t xml:space="preserve"> to address how the ease of trade is being improved by the port interventions. Those indicators include cost to export, time to export and time to import, among others. </w:t>
      </w:r>
      <w:r w:rsidRPr="00291F43">
        <w:t>The empirical strategy is based on the synthetic method and will compare the performance of the treated port versus a synthetic unit, generated from a group of ports with similar conditions and constraints.</w:t>
      </w:r>
      <w:r>
        <w:t xml:space="preserve"> </w:t>
      </w:r>
      <w:r w:rsidRPr="00AE3981">
        <w:rPr>
          <w:rFonts w:eastAsia="Times New Roman"/>
          <w:bCs/>
          <w:color w:val="000000"/>
          <w:szCs w:val="24"/>
        </w:rPr>
        <w:t xml:space="preserve">The impact evaluation </w:t>
      </w:r>
      <w:r w:rsidRPr="00680732">
        <w:rPr>
          <w:rFonts w:eastAsia="Times New Roman"/>
          <w:bCs/>
          <w:color w:val="000000"/>
          <w:szCs w:val="24"/>
        </w:rPr>
        <w:t>will follow a similar approach of</w:t>
      </w:r>
      <w:r w:rsidRPr="00680732">
        <w:rPr>
          <w:rFonts w:eastAsia="Times New Roman"/>
          <w:b/>
          <w:bCs/>
          <w:color w:val="000000"/>
          <w:szCs w:val="24"/>
        </w:rPr>
        <w:t xml:space="preserve"> </w:t>
      </w:r>
      <w:hyperlink r:id="rId16" w:history="1">
        <w:proofErr w:type="spellStart"/>
        <w:r w:rsidRPr="00680732">
          <w:rPr>
            <w:rStyle w:val="Hyperlink"/>
            <w:rFonts w:eastAsia="Times New Roman"/>
            <w:szCs w:val="24"/>
            <w:u w:val="none"/>
          </w:rPr>
          <w:t>Lanzalot</w:t>
        </w:r>
        <w:proofErr w:type="spellEnd"/>
        <w:r w:rsidRPr="00680732">
          <w:rPr>
            <w:rStyle w:val="Hyperlink"/>
            <w:rFonts w:eastAsia="Times New Roman"/>
            <w:szCs w:val="24"/>
            <w:u w:val="none"/>
          </w:rPr>
          <w:t xml:space="preserve"> </w:t>
        </w:r>
        <w:r w:rsidRPr="00680732">
          <w:rPr>
            <w:rStyle w:val="Hyperlink"/>
            <w:rFonts w:eastAsia="Times New Roman"/>
            <w:i/>
            <w:szCs w:val="24"/>
            <w:u w:val="none"/>
          </w:rPr>
          <w:t>et al</w:t>
        </w:r>
        <w:r w:rsidRPr="00680732">
          <w:rPr>
            <w:rStyle w:val="Hyperlink"/>
            <w:rFonts w:eastAsia="Times New Roman"/>
            <w:szCs w:val="24"/>
            <w:u w:val="none"/>
          </w:rPr>
          <w:t>. (2018)</w:t>
        </w:r>
      </w:hyperlink>
      <w:r w:rsidRPr="00680732">
        <w:rPr>
          <w:rStyle w:val="Hyperlink"/>
          <w:rFonts w:eastAsia="Times New Roman"/>
          <w:color w:val="000000"/>
          <w:szCs w:val="24"/>
          <w:u w:val="none"/>
        </w:rPr>
        <w:t xml:space="preserve"> to assess the impact of the intervention by building a synthetic Port of Par</w:t>
      </w:r>
      <w:r w:rsidR="00703773">
        <w:rPr>
          <w:rStyle w:val="Hyperlink"/>
          <w:rFonts w:eastAsia="Times New Roman"/>
          <w:color w:val="000000"/>
          <w:szCs w:val="24"/>
          <w:u w:val="none"/>
        </w:rPr>
        <w:t>a</w:t>
      </w:r>
      <w:r w:rsidRPr="00680732">
        <w:rPr>
          <w:rStyle w:val="Hyperlink"/>
          <w:rFonts w:eastAsia="Times New Roman"/>
          <w:color w:val="000000"/>
          <w:szCs w:val="24"/>
          <w:u w:val="none"/>
        </w:rPr>
        <w:t xml:space="preserve">maribo. As described in POD, the problem with inefficiencies is reflected on productivity and ease of trade. Therefore, the evaluation will address the question on how this Intervention enhances Logistic Productivity for Suriname and how it improves the ease of trade. Following </w:t>
      </w:r>
      <w:hyperlink r:id="rId17" w:history="1">
        <w:proofErr w:type="spellStart"/>
        <w:r w:rsidRPr="00680732">
          <w:rPr>
            <w:rStyle w:val="Hyperlink"/>
            <w:rFonts w:eastAsia="Times New Roman"/>
            <w:szCs w:val="24"/>
            <w:u w:val="none"/>
          </w:rPr>
          <w:t>Esfahani</w:t>
        </w:r>
        <w:proofErr w:type="spellEnd"/>
        <w:r w:rsidRPr="00680732">
          <w:rPr>
            <w:rStyle w:val="Hyperlink"/>
            <w:rFonts w:eastAsia="Times New Roman"/>
            <w:szCs w:val="24"/>
            <w:u w:val="none"/>
          </w:rPr>
          <w:t xml:space="preserve"> and Ramirez (2003</w:t>
        </w:r>
      </w:hyperlink>
      <w:r w:rsidRPr="00680732">
        <w:rPr>
          <w:rFonts w:eastAsia="Times New Roman"/>
          <w:color w:val="000000"/>
          <w:szCs w:val="24"/>
        </w:rPr>
        <w:t xml:space="preserve">), </w:t>
      </w:r>
      <w:hyperlink r:id="rId18" w:history="1">
        <w:r w:rsidRPr="00680732">
          <w:rPr>
            <w:rStyle w:val="Hyperlink"/>
            <w:rFonts w:eastAsia="Times New Roman"/>
            <w:szCs w:val="24"/>
            <w:u w:val="none"/>
          </w:rPr>
          <w:t xml:space="preserve">Ismail and </w:t>
        </w:r>
        <w:proofErr w:type="spellStart"/>
        <w:r w:rsidRPr="00680732">
          <w:rPr>
            <w:rStyle w:val="Hyperlink"/>
            <w:rFonts w:eastAsia="Times New Roman"/>
            <w:szCs w:val="24"/>
            <w:u w:val="none"/>
          </w:rPr>
          <w:t>Mahyideen</w:t>
        </w:r>
        <w:proofErr w:type="spellEnd"/>
        <w:r w:rsidRPr="00680732">
          <w:rPr>
            <w:rStyle w:val="Hyperlink"/>
            <w:rFonts w:eastAsia="Times New Roman"/>
            <w:szCs w:val="24"/>
            <w:u w:val="none"/>
          </w:rPr>
          <w:t xml:space="preserve"> (2015)</w:t>
        </w:r>
      </w:hyperlink>
      <w:r w:rsidRPr="00680732">
        <w:rPr>
          <w:rFonts w:eastAsia="Times New Roman"/>
          <w:color w:val="000000"/>
          <w:szCs w:val="24"/>
        </w:rPr>
        <w:t xml:space="preserve"> and </w:t>
      </w:r>
      <w:hyperlink r:id="rId19" w:history="1">
        <w:r w:rsidRPr="00680732">
          <w:rPr>
            <w:rStyle w:val="Hyperlink"/>
            <w:rFonts w:eastAsia="Times New Roman"/>
            <w:szCs w:val="24"/>
            <w:u w:val="none"/>
          </w:rPr>
          <w:t>Suarez</w:t>
        </w:r>
        <w:r w:rsidRPr="00680732">
          <w:rPr>
            <w:rStyle w:val="Hyperlink"/>
            <w:rFonts w:eastAsia="Times New Roman"/>
            <w:i/>
            <w:szCs w:val="24"/>
            <w:u w:val="none"/>
          </w:rPr>
          <w:t xml:space="preserve"> et al</w:t>
        </w:r>
        <w:r w:rsidRPr="00680732">
          <w:rPr>
            <w:rStyle w:val="Hyperlink"/>
            <w:rFonts w:eastAsia="Times New Roman"/>
            <w:szCs w:val="24"/>
            <w:u w:val="none"/>
          </w:rPr>
          <w:t xml:space="preserve"> (2015)</w:t>
        </w:r>
      </w:hyperlink>
      <w:r w:rsidRPr="00680732">
        <w:rPr>
          <w:rFonts w:eastAsia="Times New Roman"/>
          <w:color w:val="000000"/>
          <w:szCs w:val="24"/>
        </w:rPr>
        <w:t xml:space="preserve">, the evaluation will estimate, if data permits, a structural model or at least consider covariates that are referenced in previous studies. In order to assess the impact, productivity indicators associated with time and costs savings are going to be considered as output variable and consistently with the Results Matrix of the program. Data </w:t>
      </w:r>
      <w:r w:rsidR="00A8104E">
        <w:rPr>
          <w:rFonts w:eastAsia="Times New Roman"/>
          <w:color w:val="000000"/>
          <w:szCs w:val="24"/>
        </w:rPr>
        <w:t>about</w:t>
      </w:r>
      <w:r w:rsidRPr="00680732">
        <w:rPr>
          <w:rFonts w:eastAsia="Times New Roman"/>
          <w:color w:val="000000"/>
          <w:szCs w:val="24"/>
        </w:rPr>
        <w:t xml:space="preserve"> Trading Across Borders is openly available on a yearly basis, both for Suriname and similar economies in the Caribbean and other regions. Other data provided by the Port Authority (Havenbeheer), Customs and data gathered during site visits for the pre-feasibility studies, as well as secondary data (World Development Indicators, logistic aggregated performance information) will also be considered to assess the impact of the intervention. In order to estimate the impact, a Synthetic Control Method (SCM) is going to be implemented, following </w:t>
      </w:r>
      <w:hyperlink r:id="rId20" w:history="1">
        <w:r w:rsidRPr="00680732">
          <w:rPr>
            <w:rStyle w:val="Hyperlink"/>
            <w:rFonts w:eastAsia="Times New Roman"/>
            <w:szCs w:val="24"/>
          </w:rPr>
          <w:t xml:space="preserve">Abadie and </w:t>
        </w:r>
        <w:proofErr w:type="spellStart"/>
        <w:r w:rsidRPr="00680732">
          <w:rPr>
            <w:rStyle w:val="Hyperlink"/>
            <w:rFonts w:eastAsia="Times New Roman"/>
            <w:szCs w:val="24"/>
          </w:rPr>
          <w:t>Gardeazabal</w:t>
        </w:r>
        <w:proofErr w:type="spellEnd"/>
        <w:r w:rsidRPr="00680732">
          <w:rPr>
            <w:rStyle w:val="Hyperlink"/>
            <w:rFonts w:eastAsia="Times New Roman"/>
            <w:szCs w:val="24"/>
          </w:rPr>
          <w:t xml:space="preserve"> (2003)</w:t>
        </w:r>
      </w:hyperlink>
      <w:r w:rsidRPr="00680732">
        <w:rPr>
          <w:rFonts w:eastAsia="Times New Roman"/>
          <w:color w:val="000000"/>
          <w:szCs w:val="24"/>
        </w:rPr>
        <w:t xml:space="preserve"> and </w:t>
      </w:r>
      <w:hyperlink r:id="rId21" w:history="1">
        <w:r w:rsidRPr="00680732">
          <w:rPr>
            <w:rStyle w:val="Hyperlink"/>
            <w:rFonts w:eastAsia="Times New Roman"/>
            <w:szCs w:val="24"/>
          </w:rPr>
          <w:t xml:space="preserve">Abadie </w:t>
        </w:r>
        <w:r w:rsidRPr="00680732">
          <w:rPr>
            <w:rStyle w:val="Hyperlink"/>
            <w:rFonts w:eastAsia="Times New Roman"/>
            <w:i/>
            <w:szCs w:val="24"/>
          </w:rPr>
          <w:t>et al</w:t>
        </w:r>
        <w:r w:rsidRPr="00680732">
          <w:rPr>
            <w:rStyle w:val="Hyperlink"/>
            <w:rFonts w:eastAsia="Times New Roman"/>
            <w:szCs w:val="24"/>
          </w:rPr>
          <w:t xml:space="preserve"> (2010)</w:t>
        </w:r>
      </w:hyperlink>
      <w:r w:rsidRPr="00680732">
        <w:rPr>
          <w:rFonts w:eastAsia="Times New Roman"/>
          <w:color w:val="000000"/>
          <w:szCs w:val="24"/>
        </w:rPr>
        <w:t>.</w:t>
      </w:r>
      <w:r w:rsidR="006D3434">
        <w:rPr>
          <w:rFonts w:eastAsia="Times New Roman"/>
          <w:color w:val="000000"/>
          <w:szCs w:val="24"/>
        </w:rPr>
        <w:t xml:space="preserve"> </w:t>
      </w:r>
    </w:p>
    <w:p w14:paraId="44FE1298" w14:textId="7D35E3F4" w:rsidR="00664CE4" w:rsidRDefault="006859A0" w:rsidP="00664CE4">
      <w:pPr>
        <w:pStyle w:val="subpar"/>
        <w:rPr>
          <w:rStyle w:val="Hyperlink"/>
          <w:rFonts w:eastAsia="Times New Roman"/>
          <w:color w:val="000000"/>
          <w:szCs w:val="24"/>
          <w:u w:val="none"/>
        </w:rPr>
      </w:pPr>
      <w:r>
        <w:rPr>
          <w:b/>
        </w:rPr>
        <w:t xml:space="preserve">Preliminary Donor Pool for the Synthetic Unit and Availability of Data. </w:t>
      </w:r>
      <w:r>
        <w:t xml:space="preserve">Following </w:t>
      </w:r>
      <w:hyperlink r:id="rId22" w:history="1">
        <w:r w:rsidRPr="00680732">
          <w:rPr>
            <w:rStyle w:val="Hyperlink"/>
            <w:rFonts w:eastAsia="Times New Roman"/>
            <w:szCs w:val="24"/>
          </w:rPr>
          <w:t xml:space="preserve">Abadie and </w:t>
        </w:r>
        <w:proofErr w:type="spellStart"/>
        <w:r w:rsidRPr="00680732">
          <w:rPr>
            <w:rStyle w:val="Hyperlink"/>
            <w:rFonts w:eastAsia="Times New Roman"/>
            <w:szCs w:val="24"/>
          </w:rPr>
          <w:t>Gardeazabal</w:t>
        </w:r>
        <w:proofErr w:type="spellEnd"/>
        <w:r w:rsidRPr="00680732">
          <w:rPr>
            <w:rStyle w:val="Hyperlink"/>
            <w:rFonts w:eastAsia="Times New Roman"/>
            <w:szCs w:val="24"/>
          </w:rPr>
          <w:t xml:space="preserve"> (2003)</w:t>
        </w:r>
      </w:hyperlink>
      <w:r>
        <w:rPr>
          <w:rStyle w:val="Hyperlink"/>
          <w:rFonts w:eastAsia="Times New Roman"/>
          <w:szCs w:val="24"/>
        </w:rPr>
        <w:t xml:space="preserve">  </w:t>
      </w:r>
      <w:r>
        <w:rPr>
          <w:rStyle w:val="Hyperlink"/>
          <w:rFonts w:eastAsia="Times New Roman"/>
          <w:color w:val="000000"/>
          <w:szCs w:val="24"/>
          <w:u w:val="none"/>
        </w:rPr>
        <w:t>, the SCM uses weighted averages from a donor pool to build a synthetic unit that can be compared to the treated unit. We constrained the donor pool with countries where ports have a berth depth and length similar to that of Suriname</w:t>
      </w:r>
      <w:r w:rsidR="00AC3FCA">
        <w:rPr>
          <w:rStyle w:val="Hyperlink"/>
          <w:rFonts w:eastAsia="Times New Roman"/>
          <w:color w:val="000000"/>
          <w:szCs w:val="24"/>
          <w:u w:val="none"/>
        </w:rPr>
        <w:t xml:space="preserve"> (</w:t>
      </w:r>
      <w:hyperlink r:id="rId23" w:history="1">
        <w:r w:rsidR="00AC3FCA" w:rsidRPr="00AC3FCA">
          <w:rPr>
            <w:rStyle w:val="Hyperlink"/>
            <w:rFonts w:eastAsia="Times New Roman"/>
            <w:szCs w:val="24"/>
          </w:rPr>
          <w:t>Lloyd Directory of Ports</w:t>
        </w:r>
      </w:hyperlink>
      <w:r w:rsidR="00AC3FCA">
        <w:rPr>
          <w:rStyle w:val="Hyperlink"/>
          <w:rFonts w:eastAsia="Times New Roman"/>
          <w:color w:val="000000"/>
          <w:szCs w:val="24"/>
          <w:u w:val="none"/>
        </w:rPr>
        <w:t>)</w:t>
      </w:r>
      <w:r>
        <w:rPr>
          <w:rStyle w:val="Hyperlink"/>
          <w:rFonts w:eastAsia="Times New Roman"/>
          <w:color w:val="000000"/>
          <w:szCs w:val="24"/>
          <w:u w:val="none"/>
        </w:rPr>
        <w:t xml:space="preserve">. Moreover, we propose including predictors to account for specific characteristics of the country regarding its trade performance. Since Suriname has an imbalance between exports and imports, </w:t>
      </w:r>
      <w:r>
        <w:rPr>
          <w:rStyle w:val="Hyperlink"/>
          <w:rFonts w:eastAsia="Times New Roman"/>
          <w:color w:val="000000"/>
          <w:szCs w:val="24"/>
          <w:u w:val="none"/>
        </w:rPr>
        <w:lastRenderedPageBreak/>
        <w:t xml:space="preserve">other ports with such an imbalance are considered candidates for the donor pool. Since imports take a major share of the trade between Suriname and its performance, we include </w:t>
      </w:r>
      <w:r w:rsidR="00AC3FCA">
        <w:rPr>
          <w:rStyle w:val="Hyperlink"/>
          <w:rFonts w:eastAsia="Times New Roman"/>
          <w:color w:val="000000"/>
          <w:szCs w:val="24"/>
          <w:u w:val="none"/>
        </w:rPr>
        <w:t xml:space="preserve">a variable that captures how much the country spends in transportations services for imports. </w:t>
      </w:r>
      <w:r w:rsidR="00AC3FCA" w:rsidRPr="00AC3FCA">
        <w:rPr>
          <w:rStyle w:val="Hyperlink"/>
          <w:rFonts w:eastAsia="Times New Roman"/>
          <w:color w:val="000000"/>
          <w:szCs w:val="24"/>
          <w:u w:val="none"/>
        </w:rPr>
        <w:t xml:space="preserve">Following </w:t>
      </w:r>
      <w:proofErr w:type="spellStart"/>
      <w:r w:rsidR="00AC3FCA" w:rsidRPr="00AC3FCA">
        <w:rPr>
          <w:rStyle w:val="Hyperlink"/>
          <w:rFonts w:eastAsia="Times New Roman"/>
          <w:color w:val="000000"/>
          <w:szCs w:val="24"/>
          <w:u w:val="none"/>
        </w:rPr>
        <w:t>Esfahani</w:t>
      </w:r>
      <w:proofErr w:type="spellEnd"/>
      <w:r w:rsidR="00AC3FCA" w:rsidRPr="00AC3FCA">
        <w:rPr>
          <w:rStyle w:val="Hyperlink"/>
          <w:rFonts w:eastAsia="Times New Roman"/>
          <w:color w:val="000000"/>
          <w:szCs w:val="24"/>
          <w:u w:val="none"/>
        </w:rPr>
        <w:t xml:space="preserve"> and Ramirez (2003), Ismail and </w:t>
      </w:r>
      <w:proofErr w:type="spellStart"/>
      <w:r w:rsidR="00AC3FCA" w:rsidRPr="00AC3FCA">
        <w:rPr>
          <w:rStyle w:val="Hyperlink"/>
          <w:rFonts w:eastAsia="Times New Roman"/>
          <w:color w:val="000000"/>
          <w:szCs w:val="24"/>
          <w:u w:val="none"/>
        </w:rPr>
        <w:t>Mahyideen</w:t>
      </w:r>
      <w:proofErr w:type="spellEnd"/>
      <w:r w:rsidR="00AC3FCA" w:rsidRPr="00AC3FCA">
        <w:rPr>
          <w:rStyle w:val="Hyperlink"/>
          <w:rFonts w:eastAsia="Times New Roman"/>
          <w:color w:val="000000"/>
          <w:szCs w:val="24"/>
          <w:u w:val="none"/>
        </w:rPr>
        <w:t xml:space="preserve"> (2015) and Suarez et al (2015),</w:t>
      </w:r>
      <w:r w:rsidR="00AC3FCA">
        <w:rPr>
          <w:rStyle w:val="Hyperlink"/>
          <w:rFonts w:eastAsia="Times New Roman"/>
          <w:color w:val="000000"/>
          <w:szCs w:val="24"/>
          <w:u w:val="none"/>
        </w:rPr>
        <w:t xml:space="preserve"> we consider other predictors that are related to the performance of the port and that explain costs to import or the ease of trade between Suriname and its partners. Other covariates account for the scale of the economic performance of the country such as trade as a share of GDP and population. These preliminary covariates are available from 2005 on a yearly basis and from different sources, including Doing Business, World Integrated Trade Solutions and World Development Indicators Databases. The only caveat to be considered is that some indicators in the Doing Business database were adjusted after 2015 with a new methodology. Nonetheless, the indicators can be manipulated in such a way that the time series is consistent for the impact analysis. The following table summarizes the availability of Data for the </w:t>
      </w:r>
      <w:r w:rsidR="00664CE4">
        <w:rPr>
          <w:rStyle w:val="Hyperlink"/>
          <w:rFonts w:eastAsia="Times New Roman"/>
          <w:color w:val="000000"/>
          <w:szCs w:val="24"/>
          <w:u w:val="none"/>
        </w:rPr>
        <w:t>SCM</w:t>
      </w:r>
      <w:r w:rsidR="00324AB9">
        <w:rPr>
          <w:rStyle w:val="Hyperlink"/>
          <w:rFonts w:eastAsia="Times New Roman"/>
          <w:color w:val="000000"/>
          <w:szCs w:val="24"/>
          <w:u w:val="none"/>
        </w:rPr>
        <w:t xml:space="preserve"> for all countries listed in the donor pool</w:t>
      </w:r>
      <w:r w:rsidR="00664CE4">
        <w:rPr>
          <w:rStyle w:val="Hyperlink"/>
          <w:rFonts w:eastAsia="Times New Roman"/>
          <w:color w:val="000000"/>
          <w:szCs w:val="24"/>
          <w:u w:val="none"/>
        </w:rPr>
        <w:t>:</w:t>
      </w:r>
    </w:p>
    <w:tbl>
      <w:tblPr>
        <w:tblW w:w="9900" w:type="dxa"/>
        <w:tblLook w:val="04A0" w:firstRow="1" w:lastRow="0" w:firstColumn="1" w:lastColumn="0" w:noHBand="0" w:noVBand="1"/>
      </w:tblPr>
      <w:tblGrid>
        <w:gridCol w:w="5240"/>
        <w:gridCol w:w="3100"/>
        <w:gridCol w:w="1560"/>
      </w:tblGrid>
      <w:tr w:rsidR="007A60C9" w:rsidRPr="007A60C9" w14:paraId="5F62BE78" w14:textId="77777777" w:rsidTr="007A60C9">
        <w:trPr>
          <w:trHeight w:val="288"/>
        </w:trPr>
        <w:tc>
          <w:tcPr>
            <w:tcW w:w="524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17AC3AA" w14:textId="77777777" w:rsidR="007A60C9" w:rsidRPr="007A60C9" w:rsidRDefault="007A60C9" w:rsidP="007A60C9">
            <w:pPr>
              <w:spacing w:after="0" w:line="240" w:lineRule="auto"/>
              <w:jc w:val="center"/>
              <w:rPr>
                <w:rFonts w:ascii="Times New Roman" w:eastAsia="Times New Roman" w:hAnsi="Times New Roman"/>
                <w:b/>
                <w:bCs/>
                <w:color w:val="000000"/>
                <w:sz w:val="20"/>
                <w:szCs w:val="20"/>
              </w:rPr>
            </w:pPr>
            <w:r w:rsidRPr="007A60C9">
              <w:rPr>
                <w:rFonts w:ascii="Times New Roman" w:eastAsia="Times New Roman" w:hAnsi="Times New Roman"/>
                <w:b/>
                <w:bCs/>
                <w:color w:val="000000"/>
                <w:sz w:val="20"/>
                <w:szCs w:val="20"/>
              </w:rPr>
              <w:t>Variable</w:t>
            </w:r>
          </w:p>
        </w:tc>
        <w:tc>
          <w:tcPr>
            <w:tcW w:w="3100" w:type="dxa"/>
            <w:tcBorders>
              <w:top w:val="single" w:sz="4" w:space="0" w:color="auto"/>
              <w:left w:val="nil"/>
              <w:bottom w:val="single" w:sz="4" w:space="0" w:color="auto"/>
              <w:right w:val="single" w:sz="4" w:space="0" w:color="auto"/>
            </w:tcBorders>
            <w:shd w:val="clear" w:color="000000" w:fill="BFBFBF"/>
            <w:vAlign w:val="center"/>
            <w:hideMark/>
          </w:tcPr>
          <w:p w14:paraId="3DB12BA5" w14:textId="77777777" w:rsidR="007A60C9" w:rsidRPr="007A60C9" w:rsidRDefault="007A60C9" w:rsidP="007A60C9">
            <w:pPr>
              <w:spacing w:after="0" w:line="240" w:lineRule="auto"/>
              <w:jc w:val="center"/>
              <w:rPr>
                <w:rFonts w:ascii="Times New Roman" w:eastAsia="Times New Roman" w:hAnsi="Times New Roman"/>
                <w:b/>
                <w:bCs/>
                <w:color w:val="000000"/>
                <w:sz w:val="20"/>
                <w:szCs w:val="20"/>
              </w:rPr>
            </w:pPr>
            <w:r w:rsidRPr="007A60C9">
              <w:rPr>
                <w:rFonts w:ascii="Times New Roman" w:eastAsia="Times New Roman" w:hAnsi="Times New Roman"/>
                <w:b/>
                <w:bCs/>
                <w:color w:val="000000"/>
                <w:sz w:val="20"/>
                <w:szCs w:val="20"/>
              </w:rPr>
              <w:t>Source</w:t>
            </w:r>
          </w:p>
        </w:tc>
        <w:tc>
          <w:tcPr>
            <w:tcW w:w="1560" w:type="dxa"/>
            <w:tcBorders>
              <w:top w:val="single" w:sz="4" w:space="0" w:color="auto"/>
              <w:left w:val="nil"/>
              <w:bottom w:val="single" w:sz="4" w:space="0" w:color="auto"/>
              <w:right w:val="single" w:sz="4" w:space="0" w:color="auto"/>
            </w:tcBorders>
            <w:shd w:val="clear" w:color="000000" w:fill="BFBFBF"/>
            <w:vAlign w:val="center"/>
            <w:hideMark/>
          </w:tcPr>
          <w:p w14:paraId="50E43F71" w14:textId="77777777" w:rsidR="007A60C9" w:rsidRPr="007A60C9" w:rsidRDefault="007A60C9" w:rsidP="007A60C9">
            <w:pPr>
              <w:spacing w:after="0" w:line="240" w:lineRule="auto"/>
              <w:jc w:val="center"/>
              <w:rPr>
                <w:rFonts w:ascii="Times New Roman" w:eastAsia="Times New Roman" w:hAnsi="Times New Roman"/>
                <w:b/>
                <w:bCs/>
                <w:color w:val="000000"/>
                <w:sz w:val="20"/>
                <w:szCs w:val="20"/>
              </w:rPr>
            </w:pPr>
            <w:r w:rsidRPr="007A60C9">
              <w:rPr>
                <w:rFonts w:ascii="Times New Roman" w:eastAsia="Times New Roman" w:hAnsi="Times New Roman"/>
                <w:b/>
                <w:bCs/>
                <w:color w:val="000000"/>
                <w:sz w:val="20"/>
                <w:szCs w:val="20"/>
              </w:rPr>
              <w:t>Period included</w:t>
            </w:r>
          </w:p>
        </w:tc>
      </w:tr>
      <w:tr w:rsidR="007A60C9" w:rsidRPr="007A60C9" w14:paraId="583E6957"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6A31FB6D"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Country</w:t>
            </w:r>
          </w:p>
        </w:tc>
        <w:tc>
          <w:tcPr>
            <w:tcW w:w="4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76BC7" w14:textId="77777777" w:rsidR="007A60C9" w:rsidRPr="007A60C9" w:rsidRDefault="007A60C9" w:rsidP="007A60C9">
            <w:pPr>
              <w:spacing w:after="0" w:line="240" w:lineRule="auto"/>
              <w:jc w:val="center"/>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Reference for output variables and covariates</w:t>
            </w:r>
          </w:p>
        </w:tc>
      </w:tr>
      <w:tr w:rsidR="007A60C9" w:rsidRPr="007A60C9" w14:paraId="61AD37F7"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6D5C0359"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2.</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Year</w:t>
            </w:r>
          </w:p>
        </w:tc>
        <w:tc>
          <w:tcPr>
            <w:tcW w:w="4660" w:type="dxa"/>
            <w:gridSpan w:val="2"/>
            <w:vMerge/>
            <w:tcBorders>
              <w:top w:val="nil"/>
              <w:left w:val="single" w:sz="4" w:space="0" w:color="auto"/>
              <w:bottom w:val="single" w:sz="4" w:space="0" w:color="auto"/>
              <w:right w:val="single" w:sz="4" w:space="0" w:color="auto"/>
            </w:tcBorders>
            <w:vAlign w:val="center"/>
            <w:hideMark/>
          </w:tcPr>
          <w:p w14:paraId="7DF957E0"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1AF4C334"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4D48E7DB"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3.</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 xml:space="preserve">Cost to </w:t>
            </w:r>
            <w:proofErr w:type="gramStart"/>
            <w:r w:rsidRPr="007A60C9">
              <w:rPr>
                <w:rFonts w:ascii="Times New Roman" w:eastAsia="Times New Roman" w:hAnsi="Times New Roman"/>
                <w:color w:val="000000"/>
                <w:sz w:val="20"/>
                <w:szCs w:val="20"/>
              </w:rPr>
              <w:t>Import(</w:t>
            </w:r>
            <w:proofErr w:type="gramEnd"/>
            <w:r w:rsidRPr="007A60C9">
              <w:rPr>
                <w:rFonts w:ascii="Times New Roman" w:eastAsia="Times New Roman" w:hAnsi="Times New Roman"/>
                <w:color w:val="000000"/>
                <w:sz w:val="20"/>
                <w:szCs w:val="20"/>
              </w:rPr>
              <w:t>USD per container)</w:t>
            </w:r>
          </w:p>
        </w:tc>
        <w:tc>
          <w:tcPr>
            <w:tcW w:w="4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39055" w14:textId="77777777" w:rsidR="007A60C9" w:rsidRPr="007A60C9" w:rsidRDefault="007A60C9" w:rsidP="007A60C9">
            <w:pPr>
              <w:spacing w:after="0" w:line="240" w:lineRule="auto"/>
              <w:jc w:val="center"/>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Output variables</w:t>
            </w:r>
            <w:r w:rsidRPr="007A60C9">
              <w:rPr>
                <w:rFonts w:eastAsia="Times New Roman" w:cs="Calibri"/>
                <w:color w:val="000000"/>
                <w:sz w:val="16"/>
                <w:szCs w:val="16"/>
              </w:rPr>
              <w:t> </w:t>
            </w:r>
          </w:p>
        </w:tc>
      </w:tr>
      <w:tr w:rsidR="007A60C9" w:rsidRPr="007A60C9" w14:paraId="614A3944"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3AF16FD1"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4.</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Cost to Export (USD per container)</w:t>
            </w:r>
          </w:p>
        </w:tc>
        <w:tc>
          <w:tcPr>
            <w:tcW w:w="4660" w:type="dxa"/>
            <w:gridSpan w:val="2"/>
            <w:vMerge/>
            <w:tcBorders>
              <w:top w:val="nil"/>
              <w:left w:val="single" w:sz="4" w:space="0" w:color="auto"/>
              <w:bottom w:val="single" w:sz="4" w:space="0" w:color="auto"/>
              <w:right w:val="single" w:sz="4" w:space="0" w:color="auto"/>
            </w:tcBorders>
            <w:vAlign w:val="center"/>
            <w:hideMark/>
          </w:tcPr>
          <w:p w14:paraId="5B5B86AB"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1D76923F"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7783DC29"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5.</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Time for border compliance (hours)</w:t>
            </w:r>
          </w:p>
        </w:tc>
        <w:tc>
          <w:tcPr>
            <w:tcW w:w="4660" w:type="dxa"/>
            <w:gridSpan w:val="2"/>
            <w:vMerge/>
            <w:tcBorders>
              <w:top w:val="nil"/>
              <w:left w:val="single" w:sz="4" w:space="0" w:color="auto"/>
              <w:bottom w:val="single" w:sz="4" w:space="0" w:color="auto"/>
              <w:right w:val="single" w:sz="4" w:space="0" w:color="auto"/>
            </w:tcBorders>
            <w:vAlign w:val="center"/>
            <w:hideMark/>
          </w:tcPr>
          <w:p w14:paraId="18A217C5"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0443C7" w:rsidRPr="007A60C9" w14:paraId="6392F02B"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tcPr>
          <w:p w14:paraId="4CC92D4B" w14:textId="64BDDC8D" w:rsidR="000443C7" w:rsidRPr="000443C7" w:rsidRDefault="000443C7" w:rsidP="007A60C9">
            <w:pPr>
              <w:spacing w:after="0" w:line="240" w:lineRule="auto"/>
              <w:jc w:val="both"/>
              <w:rPr>
                <w:rFonts w:ascii="Times New Roman" w:eastAsia="Times New Roman" w:hAnsi="Times New Roman"/>
                <w:color w:val="000000"/>
                <w:sz w:val="20"/>
                <w:szCs w:val="20"/>
              </w:rPr>
            </w:pPr>
            <w:r w:rsidRPr="000443C7">
              <w:rPr>
                <w:rFonts w:ascii="Times New Roman" w:eastAsia="Times New Roman" w:hAnsi="Times New Roman"/>
                <w:color w:val="000000"/>
                <w:sz w:val="20"/>
                <w:szCs w:val="20"/>
              </w:rPr>
              <w:t xml:space="preserve">6.     Berth </w:t>
            </w:r>
            <w:proofErr w:type="spellStart"/>
            <w:r w:rsidRPr="000443C7">
              <w:rPr>
                <w:rFonts w:ascii="Times New Roman" w:eastAsia="Times New Roman" w:hAnsi="Times New Roman"/>
                <w:color w:val="000000"/>
                <w:sz w:val="20"/>
                <w:szCs w:val="20"/>
              </w:rPr>
              <w:t>Lenght</w:t>
            </w:r>
            <w:proofErr w:type="spellEnd"/>
            <w:r w:rsidRPr="000443C7">
              <w:rPr>
                <w:rFonts w:ascii="Times New Roman" w:eastAsia="Times New Roman" w:hAnsi="Times New Roman"/>
                <w:color w:val="000000"/>
                <w:sz w:val="20"/>
                <w:szCs w:val="20"/>
              </w:rPr>
              <w:t xml:space="preserve"> and Depth </w:t>
            </w:r>
            <w:r>
              <w:rPr>
                <w:rFonts w:ascii="Times New Roman" w:eastAsia="Times New Roman" w:hAnsi="Times New Roman"/>
                <w:color w:val="000000"/>
                <w:sz w:val="20"/>
                <w:szCs w:val="20"/>
              </w:rPr>
              <w:t>(m)</w:t>
            </w:r>
          </w:p>
        </w:tc>
        <w:tc>
          <w:tcPr>
            <w:tcW w:w="3100" w:type="dxa"/>
            <w:tcBorders>
              <w:top w:val="nil"/>
              <w:left w:val="nil"/>
              <w:bottom w:val="single" w:sz="4" w:space="0" w:color="auto"/>
              <w:right w:val="single" w:sz="4" w:space="0" w:color="auto"/>
            </w:tcBorders>
            <w:shd w:val="clear" w:color="auto" w:fill="auto"/>
            <w:vAlign w:val="center"/>
          </w:tcPr>
          <w:p w14:paraId="5CDB7F25" w14:textId="0F33AD8D" w:rsidR="000443C7" w:rsidRPr="007A60C9" w:rsidRDefault="000443C7" w:rsidP="007A60C9">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Lloyd Port Directory</w:t>
            </w:r>
          </w:p>
        </w:tc>
        <w:tc>
          <w:tcPr>
            <w:tcW w:w="1560" w:type="dxa"/>
            <w:tcBorders>
              <w:top w:val="nil"/>
              <w:left w:val="single" w:sz="4" w:space="0" w:color="auto"/>
              <w:bottom w:val="single" w:sz="4" w:space="0" w:color="auto"/>
              <w:right w:val="single" w:sz="4" w:space="0" w:color="auto"/>
            </w:tcBorders>
            <w:shd w:val="clear" w:color="auto" w:fill="auto"/>
            <w:vAlign w:val="center"/>
          </w:tcPr>
          <w:p w14:paraId="6BA993AB" w14:textId="0C543CC1" w:rsidR="000443C7" w:rsidRPr="007A60C9" w:rsidRDefault="000443C7" w:rsidP="007A60C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2019</w:t>
            </w:r>
          </w:p>
        </w:tc>
      </w:tr>
      <w:tr w:rsidR="007A60C9" w:rsidRPr="007A60C9" w14:paraId="537F67D2"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68D53EC5"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lang w:val="es-ES_tradnl"/>
              </w:rPr>
              <w:t>6.</w:t>
            </w:r>
            <w:r w:rsidRPr="007A60C9">
              <w:rPr>
                <w:rFonts w:ascii="Times New Roman" w:eastAsia="Times New Roman" w:hAnsi="Times New Roman"/>
                <w:color w:val="000000"/>
                <w:sz w:val="14"/>
                <w:szCs w:val="14"/>
                <w:lang w:val="es-ES_tradnl"/>
              </w:rPr>
              <w:t xml:space="preserve">      </w:t>
            </w:r>
            <w:proofErr w:type="spellStart"/>
            <w:r w:rsidRPr="007A60C9">
              <w:rPr>
                <w:rFonts w:ascii="Times New Roman" w:eastAsia="Times New Roman" w:hAnsi="Times New Roman"/>
                <w:color w:val="000000"/>
                <w:sz w:val="20"/>
                <w:szCs w:val="20"/>
                <w:lang w:val="es-ES_tradnl"/>
              </w:rPr>
              <w:t>Documents</w:t>
            </w:r>
            <w:proofErr w:type="spellEnd"/>
            <w:r w:rsidRPr="007A60C9">
              <w:rPr>
                <w:rFonts w:ascii="Times New Roman" w:eastAsia="Times New Roman" w:hAnsi="Times New Roman"/>
                <w:color w:val="000000"/>
                <w:sz w:val="20"/>
                <w:szCs w:val="20"/>
                <w:lang w:val="es-ES_tradnl"/>
              </w:rPr>
              <w:t xml:space="preserve"> </w:t>
            </w:r>
            <w:proofErr w:type="spellStart"/>
            <w:r w:rsidRPr="007A60C9">
              <w:rPr>
                <w:rFonts w:ascii="Times New Roman" w:eastAsia="Times New Roman" w:hAnsi="Times New Roman"/>
                <w:color w:val="000000"/>
                <w:sz w:val="20"/>
                <w:szCs w:val="20"/>
                <w:lang w:val="es-ES_tradnl"/>
              </w:rPr>
              <w:t>to</w:t>
            </w:r>
            <w:proofErr w:type="spellEnd"/>
            <w:r w:rsidRPr="007A60C9">
              <w:rPr>
                <w:rFonts w:ascii="Times New Roman" w:eastAsia="Times New Roman" w:hAnsi="Times New Roman"/>
                <w:color w:val="000000"/>
                <w:sz w:val="20"/>
                <w:szCs w:val="20"/>
                <w:lang w:val="es-ES_tradnl"/>
              </w:rPr>
              <w:t xml:space="preserve"> </w:t>
            </w:r>
            <w:proofErr w:type="spellStart"/>
            <w:r w:rsidRPr="007A60C9">
              <w:rPr>
                <w:rFonts w:ascii="Times New Roman" w:eastAsia="Times New Roman" w:hAnsi="Times New Roman"/>
                <w:color w:val="000000"/>
                <w:sz w:val="20"/>
                <w:szCs w:val="20"/>
                <w:lang w:val="es-ES_tradnl"/>
              </w:rPr>
              <w:t>export</w:t>
            </w:r>
            <w:proofErr w:type="spellEnd"/>
            <w:r w:rsidRPr="007A60C9">
              <w:rPr>
                <w:rFonts w:ascii="Times New Roman" w:eastAsia="Times New Roman" w:hAnsi="Times New Roman"/>
                <w:color w:val="000000"/>
                <w:sz w:val="20"/>
                <w:szCs w:val="20"/>
                <w:lang w:val="es-ES_tradnl"/>
              </w:rPr>
              <w:t xml:space="preserve"> (#)</w:t>
            </w:r>
          </w:p>
        </w:tc>
        <w:tc>
          <w:tcPr>
            <w:tcW w:w="3100" w:type="dxa"/>
            <w:tcBorders>
              <w:top w:val="nil"/>
              <w:left w:val="nil"/>
              <w:bottom w:val="single" w:sz="4" w:space="0" w:color="auto"/>
              <w:right w:val="single" w:sz="4" w:space="0" w:color="auto"/>
            </w:tcBorders>
            <w:shd w:val="clear" w:color="auto" w:fill="auto"/>
            <w:vAlign w:val="center"/>
            <w:hideMark/>
          </w:tcPr>
          <w:p w14:paraId="57D5FB22"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Doing Business</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471032F3" w14:textId="77777777" w:rsidR="007A60C9" w:rsidRPr="007A60C9" w:rsidRDefault="007A60C9" w:rsidP="007A60C9">
            <w:pPr>
              <w:spacing w:after="0" w:line="240" w:lineRule="auto"/>
              <w:jc w:val="center"/>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2006-2019</w:t>
            </w:r>
          </w:p>
        </w:tc>
      </w:tr>
      <w:tr w:rsidR="007A60C9" w:rsidRPr="007A60C9" w14:paraId="06A49C33"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59BED16F"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7.</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Documents to import (#)</w:t>
            </w:r>
          </w:p>
        </w:tc>
        <w:tc>
          <w:tcPr>
            <w:tcW w:w="3100" w:type="dxa"/>
            <w:tcBorders>
              <w:top w:val="nil"/>
              <w:left w:val="nil"/>
              <w:bottom w:val="single" w:sz="4" w:space="0" w:color="auto"/>
              <w:right w:val="single" w:sz="4" w:space="0" w:color="auto"/>
            </w:tcBorders>
            <w:shd w:val="clear" w:color="auto" w:fill="auto"/>
            <w:vAlign w:val="center"/>
            <w:hideMark/>
          </w:tcPr>
          <w:p w14:paraId="0875699E"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Doing Business</w:t>
            </w:r>
          </w:p>
        </w:tc>
        <w:tc>
          <w:tcPr>
            <w:tcW w:w="1560" w:type="dxa"/>
            <w:vMerge/>
            <w:tcBorders>
              <w:top w:val="nil"/>
              <w:left w:val="single" w:sz="4" w:space="0" w:color="auto"/>
              <w:bottom w:val="single" w:sz="4" w:space="0" w:color="auto"/>
              <w:right w:val="single" w:sz="4" w:space="0" w:color="auto"/>
            </w:tcBorders>
            <w:vAlign w:val="center"/>
            <w:hideMark/>
          </w:tcPr>
          <w:p w14:paraId="1B618128"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620DCE25"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7408FAA2"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lang w:val="es-ES_tradnl"/>
              </w:rPr>
              <w:t>8.</w:t>
            </w:r>
            <w:r w:rsidRPr="007A60C9">
              <w:rPr>
                <w:rFonts w:ascii="Times New Roman" w:eastAsia="Times New Roman" w:hAnsi="Times New Roman"/>
                <w:color w:val="000000"/>
                <w:sz w:val="14"/>
                <w:szCs w:val="14"/>
                <w:lang w:val="es-ES_tradnl"/>
              </w:rPr>
              <w:t xml:space="preserve">      </w:t>
            </w:r>
            <w:r w:rsidRPr="007A60C9">
              <w:rPr>
                <w:rFonts w:ascii="Times New Roman" w:eastAsia="Times New Roman" w:hAnsi="Times New Roman"/>
                <w:color w:val="000000"/>
                <w:sz w:val="20"/>
                <w:szCs w:val="20"/>
                <w:lang w:val="es-ES_tradnl"/>
              </w:rPr>
              <w:t xml:space="preserve">Time </w:t>
            </w:r>
            <w:proofErr w:type="spellStart"/>
            <w:r w:rsidRPr="007A60C9">
              <w:rPr>
                <w:rFonts w:ascii="Times New Roman" w:eastAsia="Times New Roman" w:hAnsi="Times New Roman"/>
                <w:color w:val="000000"/>
                <w:sz w:val="20"/>
                <w:szCs w:val="20"/>
                <w:lang w:val="es-ES_tradnl"/>
              </w:rPr>
              <w:t>to</w:t>
            </w:r>
            <w:proofErr w:type="spellEnd"/>
            <w:r w:rsidRPr="007A60C9">
              <w:rPr>
                <w:rFonts w:ascii="Times New Roman" w:eastAsia="Times New Roman" w:hAnsi="Times New Roman"/>
                <w:color w:val="000000"/>
                <w:sz w:val="20"/>
                <w:szCs w:val="20"/>
                <w:lang w:val="es-ES_tradnl"/>
              </w:rPr>
              <w:t xml:space="preserve"> </w:t>
            </w:r>
            <w:proofErr w:type="spellStart"/>
            <w:r w:rsidRPr="007A60C9">
              <w:rPr>
                <w:rFonts w:ascii="Times New Roman" w:eastAsia="Times New Roman" w:hAnsi="Times New Roman"/>
                <w:color w:val="000000"/>
                <w:sz w:val="20"/>
                <w:szCs w:val="20"/>
                <w:lang w:val="es-ES_tradnl"/>
              </w:rPr>
              <w:t>export</w:t>
            </w:r>
            <w:proofErr w:type="spellEnd"/>
            <w:r w:rsidRPr="007A60C9">
              <w:rPr>
                <w:rFonts w:ascii="Times New Roman" w:eastAsia="Times New Roman" w:hAnsi="Times New Roman"/>
                <w:color w:val="000000"/>
                <w:sz w:val="20"/>
                <w:szCs w:val="20"/>
                <w:lang w:val="es-ES_tradnl"/>
              </w:rPr>
              <w:t xml:space="preserve"> (</w:t>
            </w:r>
            <w:proofErr w:type="spellStart"/>
            <w:r w:rsidRPr="007A60C9">
              <w:rPr>
                <w:rFonts w:ascii="Times New Roman" w:eastAsia="Times New Roman" w:hAnsi="Times New Roman"/>
                <w:color w:val="000000"/>
                <w:sz w:val="20"/>
                <w:szCs w:val="20"/>
                <w:lang w:val="es-ES_tradnl"/>
              </w:rPr>
              <w:t>days</w:t>
            </w:r>
            <w:proofErr w:type="spellEnd"/>
            <w:r w:rsidRPr="007A60C9">
              <w:rPr>
                <w:rFonts w:ascii="Times New Roman" w:eastAsia="Times New Roman" w:hAnsi="Times New Roman"/>
                <w:color w:val="000000"/>
                <w:sz w:val="20"/>
                <w:szCs w:val="20"/>
                <w:lang w:val="es-ES_tradnl"/>
              </w:rPr>
              <w:t>)</w:t>
            </w:r>
          </w:p>
        </w:tc>
        <w:tc>
          <w:tcPr>
            <w:tcW w:w="3100" w:type="dxa"/>
            <w:tcBorders>
              <w:top w:val="nil"/>
              <w:left w:val="nil"/>
              <w:bottom w:val="single" w:sz="4" w:space="0" w:color="auto"/>
              <w:right w:val="single" w:sz="4" w:space="0" w:color="auto"/>
            </w:tcBorders>
            <w:shd w:val="clear" w:color="auto" w:fill="auto"/>
            <w:vAlign w:val="center"/>
            <w:hideMark/>
          </w:tcPr>
          <w:p w14:paraId="17841C34"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Doing Business</w:t>
            </w:r>
          </w:p>
        </w:tc>
        <w:tc>
          <w:tcPr>
            <w:tcW w:w="1560" w:type="dxa"/>
            <w:vMerge/>
            <w:tcBorders>
              <w:top w:val="nil"/>
              <w:left w:val="single" w:sz="4" w:space="0" w:color="auto"/>
              <w:bottom w:val="single" w:sz="4" w:space="0" w:color="auto"/>
              <w:right w:val="single" w:sz="4" w:space="0" w:color="auto"/>
            </w:tcBorders>
            <w:vAlign w:val="center"/>
            <w:hideMark/>
          </w:tcPr>
          <w:p w14:paraId="423ABA67"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7228A401"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46AA3B48"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9.</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Time to import (days)</w:t>
            </w:r>
          </w:p>
        </w:tc>
        <w:tc>
          <w:tcPr>
            <w:tcW w:w="3100" w:type="dxa"/>
            <w:tcBorders>
              <w:top w:val="nil"/>
              <w:left w:val="nil"/>
              <w:bottom w:val="single" w:sz="4" w:space="0" w:color="auto"/>
              <w:right w:val="single" w:sz="4" w:space="0" w:color="auto"/>
            </w:tcBorders>
            <w:shd w:val="clear" w:color="auto" w:fill="auto"/>
            <w:vAlign w:val="center"/>
            <w:hideMark/>
          </w:tcPr>
          <w:p w14:paraId="0BB10AD5"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Doing Business</w:t>
            </w:r>
          </w:p>
        </w:tc>
        <w:tc>
          <w:tcPr>
            <w:tcW w:w="1560" w:type="dxa"/>
            <w:vMerge/>
            <w:tcBorders>
              <w:top w:val="nil"/>
              <w:left w:val="single" w:sz="4" w:space="0" w:color="auto"/>
              <w:bottom w:val="single" w:sz="4" w:space="0" w:color="auto"/>
              <w:right w:val="single" w:sz="4" w:space="0" w:color="auto"/>
            </w:tcBorders>
            <w:vAlign w:val="center"/>
            <w:hideMark/>
          </w:tcPr>
          <w:p w14:paraId="21F94068"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4878AC34"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1C28AC7B"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10.</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GDP per capita (constant 2010 USD)</w:t>
            </w:r>
          </w:p>
        </w:tc>
        <w:tc>
          <w:tcPr>
            <w:tcW w:w="3100" w:type="dxa"/>
            <w:tcBorders>
              <w:top w:val="nil"/>
              <w:left w:val="nil"/>
              <w:bottom w:val="single" w:sz="4" w:space="0" w:color="auto"/>
              <w:right w:val="single" w:sz="4" w:space="0" w:color="auto"/>
            </w:tcBorders>
            <w:shd w:val="clear" w:color="auto" w:fill="auto"/>
            <w:vAlign w:val="center"/>
            <w:hideMark/>
          </w:tcPr>
          <w:p w14:paraId="5F6DB6BC"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World Development Indicators</w:t>
            </w:r>
          </w:p>
        </w:tc>
        <w:tc>
          <w:tcPr>
            <w:tcW w:w="1560" w:type="dxa"/>
            <w:vMerge/>
            <w:tcBorders>
              <w:top w:val="nil"/>
              <w:left w:val="single" w:sz="4" w:space="0" w:color="auto"/>
              <w:bottom w:val="single" w:sz="4" w:space="0" w:color="auto"/>
              <w:right w:val="single" w:sz="4" w:space="0" w:color="auto"/>
            </w:tcBorders>
            <w:vAlign w:val="center"/>
            <w:hideMark/>
          </w:tcPr>
          <w:p w14:paraId="0F083227"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17EBFCEA"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58731CE8"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11.</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Transport services (% of commercial service exports)</w:t>
            </w:r>
          </w:p>
        </w:tc>
        <w:tc>
          <w:tcPr>
            <w:tcW w:w="3100" w:type="dxa"/>
            <w:tcBorders>
              <w:top w:val="nil"/>
              <w:left w:val="nil"/>
              <w:bottom w:val="single" w:sz="4" w:space="0" w:color="auto"/>
              <w:right w:val="single" w:sz="4" w:space="0" w:color="auto"/>
            </w:tcBorders>
            <w:shd w:val="clear" w:color="auto" w:fill="auto"/>
            <w:vAlign w:val="center"/>
            <w:hideMark/>
          </w:tcPr>
          <w:p w14:paraId="5328DE33" w14:textId="77777777" w:rsidR="007A60C9" w:rsidRPr="007A60C9" w:rsidRDefault="007A60C9" w:rsidP="007A60C9">
            <w:pPr>
              <w:spacing w:after="0" w:line="240" w:lineRule="auto"/>
              <w:rPr>
                <w:rFonts w:ascii="Times New Roman" w:eastAsia="Times New Roman" w:hAnsi="Times New Roman"/>
                <w:color w:val="000000"/>
                <w:sz w:val="20"/>
                <w:szCs w:val="20"/>
              </w:rPr>
            </w:pPr>
            <w:proofErr w:type="spellStart"/>
            <w:r w:rsidRPr="007A60C9">
              <w:rPr>
                <w:rFonts w:ascii="Times New Roman" w:eastAsia="Times New Roman" w:hAnsi="Times New Roman"/>
                <w:color w:val="000000"/>
                <w:sz w:val="20"/>
                <w:szCs w:val="20"/>
              </w:rPr>
              <w:t>Worlt</w:t>
            </w:r>
            <w:proofErr w:type="spellEnd"/>
            <w:r w:rsidRPr="007A60C9">
              <w:rPr>
                <w:rFonts w:ascii="Times New Roman" w:eastAsia="Times New Roman" w:hAnsi="Times New Roman"/>
                <w:color w:val="000000"/>
                <w:sz w:val="20"/>
                <w:szCs w:val="20"/>
              </w:rPr>
              <w:t xml:space="preserve"> Integrated Trade Solutions</w:t>
            </w:r>
          </w:p>
        </w:tc>
        <w:tc>
          <w:tcPr>
            <w:tcW w:w="1560" w:type="dxa"/>
            <w:vMerge/>
            <w:tcBorders>
              <w:top w:val="nil"/>
              <w:left w:val="single" w:sz="4" w:space="0" w:color="auto"/>
              <w:bottom w:val="single" w:sz="4" w:space="0" w:color="auto"/>
              <w:right w:val="single" w:sz="4" w:space="0" w:color="auto"/>
            </w:tcBorders>
            <w:vAlign w:val="center"/>
            <w:hideMark/>
          </w:tcPr>
          <w:p w14:paraId="61E13646"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7EDC1EAA"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53525C8C"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12.</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Transport services (% of commercial service imports)</w:t>
            </w:r>
          </w:p>
        </w:tc>
        <w:tc>
          <w:tcPr>
            <w:tcW w:w="3100" w:type="dxa"/>
            <w:tcBorders>
              <w:top w:val="nil"/>
              <w:left w:val="nil"/>
              <w:bottom w:val="single" w:sz="4" w:space="0" w:color="auto"/>
              <w:right w:val="single" w:sz="4" w:space="0" w:color="auto"/>
            </w:tcBorders>
            <w:shd w:val="clear" w:color="auto" w:fill="auto"/>
            <w:vAlign w:val="center"/>
            <w:hideMark/>
          </w:tcPr>
          <w:p w14:paraId="19B541E6"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World Integrated Trade Solutions</w:t>
            </w:r>
          </w:p>
        </w:tc>
        <w:tc>
          <w:tcPr>
            <w:tcW w:w="1560" w:type="dxa"/>
            <w:vMerge/>
            <w:tcBorders>
              <w:top w:val="nil"/>
              <w:left w:val="single" w:sz="4" w:space="0" w:color="auto"/>
              <w:bottom w:val="single" w:sz="4" w:space="0" w:color="auto"/>
              <w:right w:val="single" w:sz="4" w:space="0" w:color="auto"/>
            </w:tcBorders>
            <w:vAlign w:val="center"/>
            <w:hideMark/>
          </w:tcPr>
          <w:p w14:paraId="59ADE2A1"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6562CC32"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5D915A57"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13.</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Trade (% of GDP)</w:t>
            </w:r>
          </w:p>
        </w:tc>
        <w:tc>
          <w:tcPr>
            <w:tcW w:w="3100" w:type="dxa"/>
            <w:tcBorders>
              <w:top w:val="nil"/>
              <w:left w:val="nil"/>
              <w:bottom w:val="single" w:sz="4" w:space="0" w:color="auto"/>
              <w:right w:val="single" w:sz="4" w:space="0" w:color="auto"/>
            </w:tcBorders>
            <w:shd w:val="clear" w:color="auto" w:fill="auto"/>
            <w:vAlign w:val="center"/>
            <w:hideMark/>
          </w:tcPr>
          <w:p w14:paraId="2C439BBD"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World Integrated Trade Solutions</w:t>
            </w:r>
          </w:p>
        </w:tc>
        <w:tc>
          <w:tcPr>
            <w:tcW w:w="1560" w:type="dxa"/>
            <w:vMerge/>
            <w:tcBorders>
              <w:top w:val="nil"/>
              <w:left w:val="single" w:sz="4" w:space="0" w:color="auto"/>
              <w:bottom w:val="single" w:sz="4" w:space="0" w:color="auto"/>
              <w:right w:val="single" w:sz="4" w:space="0" w:color="auto"/>
            </w:tcBorders>
            <w:vAlign w:val="center"/>
            <w:hideMark/>
          </w:tcPr>
          <w:p w14:paraId="38BA7D39"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46E24D5A"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1A4087DD"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14.</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Trade in services (% of GDP)</w:t>
            </w:r>
          </w:p>
        </w:tc>
        <w:tc>
          <w:tcPr>
            <w:tcW w:w="3100" w:type="dxa"/>
            <w:tcBorders>
              <w:top w:val="nil"/>
              <w:left w:val="nil"/>
              <w:bottom w:val="single" w:sz="4" w:space="0" w:color="auto"/>
              <w:right w:val="single" w:sz="4" w:space="0" w:color="auto"/>
            </w:tcBorders>
            <w:shd w:val="clear" w:color="auto" w:fill="auto"/>
            <w:vAlign w:val="center"/>
            <w:hideMark/>
          </w:tcPr>
          <w:p w14:paraId="38A8D9C4"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World Integrated Trade Solutions</w:t>
            </w:r>
          </w:p>
        </w:tc>
        <w:tc>
          <w:tcPr>
            <w:tcW w:w="1560" w:type="dxa"/>
            <w:vMerge/>
            <w:tcBorders>
              <w:top w:val="nil"/>
              <w:left w:val="single" w:sz="4" w:space="0" w:color="auto"/>
              <w:bottom w:val="single" w:sz="4" w:space="0" w:color="auto"/>
              <w:right w:val="single" w:sz="4" w:space="0" w:color="auto"/>
            </w:tcBorders>
            <w:vAlign w:val="center"/>
            <w:hideMark/>
          </w:tcPr>
          <w:p w14:paraId="40B6FBAF"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r w:rsidR="007A60C9" w:rsidRPr="007A60C9" w14:paraId="41C2E0FB" w14:textId="77777777" w:rsidTr="007A60C9">
        <w:trPr>
          <w:trHeight w:val="288"/>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72BE5B4C" w14:textId="77777777" w:rsidR="007A60C9" w:rsidRPr="007A60C9" w:rsidRDefault="007A60C9" w:rsidP="007A60C9">
            <w:pPr>
              <w:spacing w:after="0" w:line="240" w:lineRule="auto"/>
              <w:jc w:val="both"/>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15.</w:t>
            </w:r>
            <w:r w:rsidRPr="007A60C9">
              <w:rPr>
                <w:rFonts w:ascii="Times New Roman" w:eastAsia="Times New Roman" w:hAnsi="Times New Roman"/>
                <w:color w:val="000000"/>
                <w:sz w:val="14"/>
                <w:szCs w:val="14"/>
              </w:rPr>
              <w:t xml:space="preserve">   </w:t>
            </w:r>
            <w:r w:rsidRPr="007A60C9">
              <w:rPr>
                <w:rFonts w:ascii="Times New Roman" w:eastAsia="Times New Roman" w:hAnsi="Times New Roman"/>
                <w:color w:val="000000"/>
                <w:sz w:val="20"/>
                <w:szCs w:val="20"/>
              </w:rPr>
              <w:t>Population</w:t>
            </w:r>
          </w:p>
        </w:tc>
        <w:tc>
          <w:tcPr>
            <w:tcW w:w="3100" w:type="dxa"/>
            <w:tcBorders>
              <w:top w:val="nil"/>
              <w:left w:val="nil"/>
              <w:bottom w:val="single" w:sz="4" w:space="0" w:color="auto"/>
              <w:right w:val="single" w:sz="4" w:space="0" w:color="auto"/>
            </w:tcBorders>
            <w:shd w:val="clear" w:color="auto" w:fill="auto"/>
            <w:vAlign w:val="center"/>
            <w:hideMark/>
          </w:tcPr>
          <w:p w14:paraId="0BC15824" w14:textId="77777777" w:rsidR="007A60C9" w:rsidRPr="007A60C9" w:rsidRDefault="007A60C9" w:rsidP="007A60C9">
            <w:pPr>
              <w:spacing w:after="0" w:line="240" w:lineRule="auto"/>
              <w:rPr>
                <w:rFonts w:ascii="Times New Roman" w:eastAsia="Times New Roman" w:hAnsi="Times New Roman"/>
                <w:color w:val="000000"/>
                <w:sz w:val="20"/>
                <w:szCs w:val="20"/>
              </w:rPr>
            </w:pPr>
            <w:r w:rsidRPr="007A60C9">
              <w:rPr>
                <w:rFonts w:ascii="Times New Roman" w:eastAsia="Times New Roman" w:hAnsi="Times New Roman"/>
                <w:color w:val="000000"/>
                <w:sz w:val="20"/>
                <w:szCs w:val="20"/>
              </w:rPr>
              <w:t>World Development Indicators</w:t>
            </w:r>
          </w:p>
        </w:tc>
        <w:tc>
          <w:tcPr>
            <w:tcW w:w="1560" w:type="dxa"/>
            <w:vMerge/>
            <w:tcBorders>
              <w:top w:val="nil"/>
              <w:left w:val="single" w:sz="4" w:space="0" w:color="auto"/>
              <w:bottom w:val="single" w:sz="4" w:space="0" w:color="auto"/>
              <w:right w:val="single" w:sz="4" w:space="0" w:color="auto"/>
            </w:tcBorders>
            <w:vAlign w:val="center"/>
            <w:hideMark/>
          </w:tcPr>
          <w:p w14:paraId="135F155A" w14:textId="77777777" w:rsidR="007A60C9" w:rsidRPr="007A60C9" w:rsidRDefault="007A60C9" w:rsidP="007A60C9">
            <w:pPr>
              <w:spacing w:after="0" w:line="240" w:lineRule="auto"/>
              <w:rPr>
                <w:rFonts w:ascii="Times New Roman" w:eastAsia="Times New Roman" w:hAnsi="Times New Roman"/>
                <w:color w:val="000000"/>
                <w:sz w:val="20"/>
                <w:szCs w:val="20"/>
              </w:rPr>
            </w:pPr>
          </w:p>
        </w:tc>
      </w:tr>
    </w:tbl>
    <w:p w14:paraId="17770B4B" w14:textId="2C5DEAE5" w:rsidR="00324AB9" w:rsidRDefault="00324AB9" w:rsidP="00324AB9">
      <w:pPr>
        <w:pStyle w:val="Chapter"/>
        <w:numPr>
          <w:ilvl w:val="0"/>
          <w:numId w:val="0"/>
        </w:numPr>
        <w:jc w:val="left"/>
      </w:pPr>
    </w:p>
    <w:p w14:paraId="2A090CF6" w14:textId="77777777" w:rsidR="00324AB9" w:rsidRPr="00324AB9" w:rsidRDefault="00324AB9" w:rsidP="001B0910"/>
    <w:p w14:paraId="7E054CBD" w14:textId="77777777" w:rsidR="00324AB9" w:rsidRPr="00324AB9" w:rsidRDefault="00324AB9" w:rsidP="001B0910"/>
    <w:p w14:paraId="287CD042" w14:textId="2FC19B83" w:rsidR="00664CE4" w:rsidRDefault="00664CE4" w:rsidP="00664CE4">
      <w:pPr>
        <w:pStyle w:val="subpar"/>
        <w:numPr>
          <w:ilvl w:val="0"/>
          <w:numId w:val="0"/>
        </w:numPr>
        <w:ind w:left="1152" w:hanging="432"/>
        <w:rPr>
          <w:rFonts w:eastAsia="Times New Roman"/>
          <w:color w:val="000000"/>
          <w:szCs w:val="24"/>
          <w:lang w:val="es-ES_tradnl"/>
        </w:rPr>
      </w:pPr>
    </w:p>
    <w:p w14:paraId="3177B9B9" w14:textId="47FD7DE6" w:rsidR="00A62FAD" w:rsidRDefault="00A62FAD" w:rsidP="00664CE4">
      <w:pPr>
        <w:pStyle w:val="subpar"/>
        <w:numPr>
          <w:ilvl w:val="0"/>
          <w:numId w:val="0"/>
        </w:numPr>
        <w:ind w:left="1152" w:hanging="432"/>
        <w:rPr>
          <w:rFonts w:eastAsia="Times New Roman"/>
          <w:color w:val="000000"/>
          <w:szCs w:val="24"/>
        </w:rPr>
      </w:pPr>
      <w:r w:rsidRPr="00A62FAD">
        <w:rPr>
          <w:rFonts w:eastAsia="Times New Roman"/>
          <w:color w:val="000000"/>
          <w:szCs w:val="24"/>
        </w:rPr>
        <w:t xml:space="preserve">Moreover, </w:t>
      </w:r>
      <w:r w:rsidR="007A5000">
        <w:rPr>
          <w:rFonts w:eastAsia="Times New Roman"/>
          <w:color w:val="000000"/>
          <w:szCs w:val="24"/>
        </w:rPr>
        <w:t>a preliminary</w:t>
      </w:r>
      <w:r w:rsidRPr="00A62FAD">
        <w:rPr>
          <w:rFonts w:eastAsia="Times New Roman"/>
          <w:color w:val="000000"/>
          <w:szCs w:val="24"/>
        </w:rPr>
        <w:t xml:space="preserve"> </w:t>
      </w:r>
      <w:proofErr w:type="spellStart"/>
      <w:r>
        <w:rPr>
          <w:rFonts w:eastAsia="Times New Roman"/>
          <w:color w:val="000000"/>
          <w:szCs w:val="24"/>
        </w:rPr>
        <w:t>preliminary</w:t>
      </w:r>
      <w:proofErr w:type="spellEnd"/>
      <w:r>
        <w:rPr>
          <w:rFonts w:eastAsia="Times New Roman"/>
          <w:color w:val="000000"/>
          <w:szCs w:val="24"/>
        </w:rPr>
        <w:t xml:space="preserve"> estimation of the synthetic control </w:t>
      </w:r>
      <w:r w:rsidR="007A5000">
        <w:rPr>
          <w:rFonts w:eastAsia="Times New Roman"/>
          <w:color w:val="000000"/>
          <w:szCs w:val="24"/>
        </w:rPr>
        <w:t xml:space="preserve">was conducted </w:t>
      </w:r>
      <w:r>
        <w:rPr>
          <w:rFonts w:eastAsia="Times New Roman"/>
          <w:color w:val="000000"/>
          <w:szCs w:val="24"/>
        </w:rPr>
        <w:t xml:space="preserve">to assess what predictors should be used to build a synthetic control for Suriname and </w:t>
      </w:r>
      <w:r>
        <w:rPr>
          <w:rFonts w:eastAsia="Times New Roman"/>
          <w:color w:val="000000"/>
          <w:szCs w:val="24"/>
        </w:rPr>
        <w:lastRenderedPageBreak/>
        <w:t>wh</w:t>
      </w:r>
      <w:r w:rsidR="00B471A2">
        <w:rPr>
          <w:rFonts w:eastAsia="Times New Roman"/>
          <w:color w:val="000000"/>
          <w:szCs w:val="24"/>
        </w:rPr>
        <w:t xml:space="preserve">ich countries from the donor pool provide valuable information for the impact assessment. </w:t>
      </w:r>
      <w:r w:rsidR="007A60C9">
        <w:rPr>
          <w:rFonts w:eastAsia="Times New Roman"/>
          <w:color w:val="000000"/>
          <w:szCs w:val="24"/>
        </w:rPr>
        <w:t xml:space="preserve">The estimation was conducted following </w:t>
      </w:r>
      <w:hyperlink r:id="rId24" w:history="1">
        <w:r w:rsidR="007A60C9" w:rsidRPr="00680732">
          <w:rPr>
            <w:rStyle w:val="Hyperlink"/>
            <w:rFonts w:eastAsia="Times New Roman"/>
            <w:szCs w:val="24"/>
          </w:rPr>
          <w:t xml:space="preserve">Abadie and </w:t>
        </w:r>
        <w:proofErr w:type="spellStart"/>
        <w:r w:rsidR="007A60C9" w:rsidRPr="00680732">
          <w:rPr>
            <w:rStyle w:val="Hyperlink"/>
            <w:rFonts w:eastAsia="Times New Roman"/>
            <w:szCs w:val="24"/>
          </w:rPr>
          <w:t>Gardeazabal</w:t>
        </w:r>
        <w:proofErr w:type="spellEnd"/>
        <w:r w:rsidR="007A60C9" w:rsidRPr="00680732">
          <w:rPr>
            <w:rStyle w:val="Hyperlink"/>
            <w:rFonts w:eastAsia="Times New Roman"/>
            <w:szCs w:val="24"/>
          </w:rPr>
          <w:t xml:space="preserve"> (2003)</w:t>
        </w:r>
      </w:hyperlink>
      <w:r w:rsidR="007A60C9">
        <w:rPr>
          <w:rStyle w:val="Hyperlink"/>
          <w:rFonts w:eastAsia="Times New Roman"/>
          <w:szCs w:val="24"/>
        </w:rPr>
        <w:t>. The countries in the donor pool and the covariates included in the estimation are presented in the following tables.</w:t>
      </w:r>
      <w:r w:rsidR="007A60C9">
        <w:rPr>
          <w:rFonts w:eastAsia="Times New Roman"/>
          <w:color w:val="000000"/>
          <w:szCs w:val="24"/>
        </w:rPr>
        <w:t xml:space="preserve"> </w:t>
      </w:r>
      <w:r w:rsidR="0090034A">
        <w:rPr>
          <w:rFonts w:eastAsia="Times New Roman"/>
          <w:color w:val="000000"/>
          <w:szCs w:val="24"/>
        </w:rPr>
        <w:t xml:space="preserve">Berth depth and length were only used </w:t>
      </w:r>
      <w:r w:rsidR="00477A66">
        <w:rPr>
          <w:rFonts w:eastAsia="Times New Roman"/>
          <w:color w:val="000000"/>
          <w:szCs w:val="24"/>
        </w:rPr>
        <w:t>to limit the donor pool to those countries with ports like the Paramaribo Port. The</w:t>
      </w:r>
      <w:r w:rsidR="00477A66">
        <w:t xml:space="preserve"> key idea behind SCM is that a weighted combination of unaffected units may resemble the characteristics of the treated unit substantially better than any untreated unit alone. The methodology works by assigning an analytical weight to each untreated country to construct the synthetic version of the treated unit. These weights are chosen in order to minimize the difference in pre-intervention characteristics between the treated unit and the pool of potential comparison countries.</w:t>
      </w:r>
      <w:r w:rsidR="00477A66">
        <w:rPr>
          <w:rFonts w:eastAsia="Times New Roman"/>
          <w:color w:val="000000"/>
          <w:szCs w:val="24"/>
        </w:rPr>
        <w:t xml:space="preserve"> </w:t>
      </w:r>
      <w:r w:rsidR="00477A66">
        <w:t xml:space="preserve">The values of W, the vector of weights, are chosen such that the characteristics of the treated unit are best resembled by the characteristics of the synthetic control. The latter is done by minimizing a squared difference of the covariates </w:t>
      </w:r>
      <w:r w:rsidR="006843D0">
        <w:t xml:space="preserve">between the treated and synthetic unit. </w:t>
      </w:r>
      <w:r w:rsidR="007A60C9">
        <w:rPr>
          <w:rFonts w:eastAsia="Times New Roman"/>
          <w:color w:val="000000"/>
          <w:szCs w:val="24"/>
        </w:rPr>
        <w:t>A</w:t>
      </w:r>
      <w:r w:rsidR="00B471A2">
        <w:rPr>
          <w:rFonts w:eastAsia="Times New Roman"/>
          <w:color w:val="000000"/>
          <w:szCs w:val="24"/>
        </w:rPr>
        <w:t xml:space="preserve"> comparison of the covariates and outcome variable </w:t>
      </w:r>
      <w:proofErr w:type="gramStart"/>
      <w:r w:rsidR="007A60C9">
        <w:rPr>
          <w:rFonts w:eastAsia="Times New Roman"/>
          <w:color w:val="000000"/>
          <w:szCs w:val="24"/>
        </w:rPr>
        <w:t>for  the</w:t>
      </w:r>
      <w:proofErr w:type="gramEnd"/>
      <w:r w:rsidR="007A60C9">
        <w:rPr>
          <w:rFonts w:eastAsia="Times New Roman"/>
          <w:color w:val="000000"/>
          <w:szCs w:val="24"/>
        </w:rPr>
        <w:t xml:space="preserve"> </w:t>
      </w:r>
      <w:r w:rsidR="00B471A2">
        <w:rPr>
          <w:rFonts w:eastAsia="Times New Roman"/>
          <w:color w:val="000000"/>
          <w:szCs w:val="24"/>
        </w:rPr>
        <w:t>treated and synthetic units</w:t>
      </w:r>
      <w:r w:rsidR="007A60C9">
        <w:rPr>
          <w:rFonts w:eastAsia="Times New Roman"/>
          <w:color w:val="000000"/>
          <w:szCs w:val="24"/>
        </w:rPr>
        <w:t xml:space="preserve"> is also presented</w:t>
      </w:r>
      <w:r w:rsidR="00B471A2">
        <w:rPr>
          <w:rFonts w:eastAsia="Times New Roman"/>
          <w:color w:val="000000"/>
          <w:szCs w:val="24"/>
        </w:rPr>
        <w:t>.</w:t>
      </w:r>
    </w:p>
    <w:tbl>
      <w:tblPr>
        <w:tblStyle w:val="TableGrid"/>
        <w:tblW w:w="7122" w:type="dxa"/>
        <w:jc w:val="center"/>
        <w:tblLook w:val="04A0" w:firstRow="1" w:lastRow="0" w:firstColumn="1" w:lastColumn="0" w:noHBand="0" w:noVBand="1"/>
      </w:tblPr>
      <w:tblGrid>
        <w:gridCol w:w="1940"/>
        <w:gridCol w:w="960"/>
        <w:gridCol w:w="1760"/>
        <w:gridCol w:w="1231"/>
        <w:gridCol w:w="1231"/>
      </w:tblGrid>
      <w:tr w:rsidR="00B471A2" w:rsidRPr="00B471A2" w14:paraId="73294D20" w14:textId="77777777" w:rsidTr="00A3201B">
        <w:trPr>
          <w:gridAfter w:val="3"/>
          <w:wAfter w:w="4222" w:type="dxa"/>
          <w:trHeight w:val="288"/>
          <w:jc w:val="center"/>
        </w:trPr>
        <w:tc>
          <w:tcPr>
            <w:tcW w:w="1940" w:type="dxa"/>
            <w:shd w:val="clear" w:color="auto" w:fill="BFBFBF" w:themeFill="background1" w:themeFillShade="BF"/>
            <w:noWrap/>
            <w:hideMark/>
          </w:tcPr>
          <w:p w14:paraId="5F44068A" w14:textId="77777777" w:rsidR="00B471A2" w:rsidRPr="00B471A2" w:rsidRDefault="00B471A2" w:rsidP="00B471A2">
            <w:pPr>
              <w:spacing w:after="0" w:line="240" w:lineRule="auto"/>
              <w:rPr>
                <w:rFonts w:ascii="Times New Roman" w:eastAsia="Times New Roman" w:hAnsi="Times New Roman"/>
                <w:b/>
                <w:color w:val="000000"/>
              </w:rPr>
            </w:pPr>
            <w:r w:rsidRPr="00B471A2">
              <w:rPr>
                <w:rFonts w:ascii="Times New Roman" w:eastAsia="Times New Roman" w:hAnsi="Times New Roman"/>
                <w:b/>
                <w:color w:val="000000"/>
              </w:rPr>
              <w:t>Country (Donor)</w:t>
            </w:r>
          </w:p>
        </w:tc>
        <w:tc>
          <w:tcPr>
            <w:tcW w:w="960" w:type="dxa"/>
            <w:shd w:val="clear" w:color="auto" w:fill="BFBFBF" w:themeFill="background1" w:themeFillShade="BF"/>
            <w:noWrap/>
            <w:hideMark/>
          </w:tcPr>
          <w:p w14:paraId="4FBBD00C" w14:textId="77777777" w:rsidR="00B471A2" w:rsidRPr="00B471A2" w:rsidRDefault="00B471A2" w:rsidP="00B471A2">
            <w:pPr>
              <w:spacing w:after="0" w:line="240" w:lineRule="auto"/>
              <w:rPr>
                <w:rFonts w:ascii="Times New Roman" w:eastAsia="Times New Roman" w:hAnsi="Times New Roman"/>
                <w:b/>
                <w:color w:val="000000"/>
              </w:rPr>
            </w:pPr>
            <w:r w:rsidRPr="00B471A2">
              <w:rPr>
                <w:rFonts w:ascii="Times New Roman" w:eastAsia="Times New Roman" w:hAnsi="Times New Roman"/>
                <w:b/>
                <w:color w:val="000000"/>
              </w:rPr>
              <w:t>Weight</w:t>
            </w:r>
          </w:p>
        </w:tc>
      </w:tr>
      <w:tr w:rsidR="00B471A2" w:rsidRPr="00B471A2" w14:paraId="499400A4" w14:textId="77777777" w:rsidTr="00A3201B">
        <w:trPr>
          <w:gridAfter w:val="3"/>
          <w:wAfter w:w="4222" w:type="dxa"/>
          <w:trHeight w:val="288"/>
          <w:jc w:val="center"/>
        </w:trPr>
        <w:tc>
          <w:tcPr>
            <w:tcW w:w="1940" w:type="dxa"/>
            <w:noWrap/>
            <w:hideMark/>
          </w:tcPr>
          <w:p w14:paraId="1280ACA1"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Antigua and Barbuda</w:t>
            </w:r>
          </w:p>
        </w:tc>
        <w:tc>
          <w:tcPr>
            <w:tcW w:w="960" w:type="dxa"/>
            <w:noWrap/>
            <w:hideMark/>
          </w:tcPr>
          <w:p w14:paraId="6D6B5475"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0.542</w:t>
            </w:r>
          </w:p>
        </w:tc>
      </w:tr>
      <w:tr w:rsidR="00B471A2" w:rsidRPr="00B471A2" w14:paraId="2EBC4646" w14:textId="77777777" w:rsidTr="00A3201B">
        <w:trPr>
          <w:gridAfter w:val="3"/>
          <w:wAfter w:w="4222" w:type="dxa"/>
          <w:trHeight w:val="288"/>
          <w:jc w:val="center"/>
        </w:trPr>
        <w:tc>
          <w:tcPr>
            <w:tcW w:w="1940" w:type="dxa"/>
            <w:noWrap/>
            <w:hideMark/>
          </w:tcPr>
          <w:p w14:paraId="4DE98266"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Argentina</w:t>
            </w:r>
          </w:p>
        </w:tc>
        <w:tc>
          <w:tcPr>
            <w:tcW w:w="960" w:type="dxa"/>
            <w:noWrap/>
            <w:hideMark/>
          </w:tcPr>
          <w:p w14:paraId="123C4F56"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246402DE" w14:textId="77777777" w:rsidTr="00A3201B">
        <w:trPr>
          <w:gridAfter w:val="3"/>
          <w:wAfter w:w="4222" w:type="dxa"/>
          <w:trHeight w:val="288"/>
          <w:jc w:val="center"/>
        </w:trPr>
        <w:tc>
          <w:tcPr>
            <w:tcW w:w="1940" w:type="dxa"/>
            <w:noWrap/>
            <w:hideMark/>
          </w:tcPr>
          <w:p w14:paraId="07E0AF78"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Belize</w:t>
            </w:r>
          </w:p>
        </w:tc>
        <w:tc>
          <w:tcPr>
            <w:tcW w:w="960" w:type="dxa"/>
            <w:noWrap/>
            <w:hideMark/>
          </w:tcPr>
          <w:p w14:paraId="51B83F5F"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06F9341D" w14:textId="77777777" w:rsidTr="00A3201B">
        <w:trPr>
          <w:gridAfter w:val="3"/>
          <w:wAfter w:w="4222" w:type="dxa"/>
          <w:trHeight w:val="288"/>
          <w:jc w:val="center"/>
        </w:trPr>
        <w:tc>
          <w:tcPr>
            <w:tcW w:w="1940" w:type="dxa"/>
            <w:noWrap/>
            <w:hideMark/>
          </w:tcPr>
          <w:p w14:paraId="2BCED2F2"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Cabo Verde</w:t>
            </w:r>
          </w:p>
        </w:tc>
        <w:tc>
          <w:tcPr>
            <w:tcW w:w="960" w:type="dxa"/>
            <w:noWrap/>
            <w:hideMark/>
          </w:tcPr>
          <w:p w14:paraId="387F4EA7"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473CD5A7" w14:textId="77777777" w:rsidTr="00A3201B">
        <w:trPr>
          <w:gridAfter w:val="3"/>
          <w:wAfter w:w="4222" w:type="dxa"/>
          <w:trHeight w:val="288"/>
          <w:jc w:val="center"/>
        </w:trPr>
        <w:tc>
          <w:tcPr>
            <w:tcW w:w="1940" w:type="dxa"/>
            <w:noWrap/>
            <w:hideMark/>
          </w:tcPr>
          <w:p w14:paraId="2150EF0A"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Costa Rica</w:t>
            </w:r>
          </w:p>
        </w:tc>
        <w:tc>
          <w:tcPr>
            <w:tcW w:w="960" w:type="dxa"/>
            <w:noWrap/>
            <w:hideMark/>
          </w:tcPr>
          <w:p w14:paraId="38EF1672"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0.063</w:t>
            </w:r>
          </w:p>
        </w:tc>
      </w:tr>
      <w:tr w:rsidR="00B471A2" w:rsidRPr="00B471A2" w14:paraId="5D64F5FF" w14:textId="77777777" w:rsidTr="00A3201B">
        <w:trPr>
          <w:gridAfter w:val="3"/>
          <w:wAfter w:w="4222" w:type="dxa"/>
          <w:trHeight w:val="288"/>
          <w:jc w:val="center"/>
        </w:trPr>
        <w:tc>
          <w:tcPr>
            <w:tcW w:w="1940" w:type="dxa"/>
            <w:noWrap/>
            <w:hideMark/>
          </w:tcPr>
          <w:p w14:paraId="03DD3107"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Cote d'Ivoire</w:t>
            </w:r>
          </w:p>
        </w:tc>
        <w:tc>
          <w:tcPr>
            <w:tcW w:w="960" w:type="dxa"/>
            <w:noWrap/>
            <w:hideMark/>
          </w:tcPr>
          <w:p w14:paraId="57AE8659"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3DC792F1" w14:textId="77777777" w:rsidTr="00A3201B">
        <w:trPr>
          <w:gridAfter w:val="3"/>
          <w:wAfter w:w="4222" w:type="dxa"/>
          <w:trHeight w:val="288"/>
          <w:jc w:val="center"/>
        </w:trPr>
        <w:tc>
          <w:tcPr>
            <w:tcW w:w="1940" w:type="dxa"/>
            <w:noWrap/>
            <w:hideMark/>
          </w:tcPr>
          <w:p w14:paraId="053E2689"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Dominican Republic</w:t>
            </w:r>
          </w:p>
        </w:tc>
        <w:tc>
          <w:tcPr>
            <w:tcW w:w="960" w:type="dxa"/>
            <w:noWrap/>
            <w:hideMark/>
          </w:tcPr>
          <w:p w14:paraId="3C5902A7"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1FD32BA9" w14:textId="77777777" w:rsidTr="00A3201B">
        <w:trPr>
          <w:gridAfter w:val="3"/>
          <w:wAfter w:w="4222" w:type="dxa"/>
          <w:trHeight w:val="288"/>
          <w:jc w:val="center"/>
        </w:trPr>
        <w:tc>
          <w:tcPr>
            <w:tcW w:w="1940" w:type="dxa"/>
            <w:noWrap/>
            <w:hideMark/>
          </w:tcPr>
          <w:p w14:paraId="2C5CEBF6"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Ecuador</w:t>
            </w:r>
          </w:p>
        </w:tc>
        <w:tc>
          <w:tcPr>
            <w:tcW w:w="960" w:type="dxa"/>
            <w:noWrap/>
            <w:hideMark/>
          </w:tcPr>
          <w:p w14:paraId="03D50FFE"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3034EF58" w14:textId="77777777" w:rsidTr="00A3201B">
        <w:trPr>
          <w:gridAfter w:val="3"/>
          <w:wAfter w:w="4222" w:type="dxa"/>
          <w:trHeight w:val="288"/>
          <w:jc w:val="center"/>
        </w:trPr>
        <w:tc>
          <w:tcPr>
            <w:tcW w:w="1940" w:type="dxa"/>
            <w:noWrap/>
            <w:hideMark/>
          </w:tcPr>
          <w:p w14:paraId="033EC891"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El Salvador</w:t>
            </w:r>
          </w:p>
        </w:tc>
        <w:tc>
          <w:tcPr>
            <w:tcW w:w="960" w:type="dxa"/>
            <w:noWrap/>
            <w:hideMark/>
          </w:tcPr>
          <w:p w14:paraId="1AA111CF"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6C2146A4" w14:textId="77777777" w:rsidTr="00A3201B">
        <w:trPr>
          <w:gridAfter w:val="3"/>
          <w:wAfter w:w="4222" w:type="dxa"/>
          <w:trHeight w:val="288"/>
          <w:jc w:val="center"/>
        </w:trPr>
        <w:tc>
          <w:tcPr>
            <w:tcW w:w="1940" w:type="dxa"/>
            <w:noWrap/>
            <w:hideMark/>
          </w:tcPr>
          <w:p w14:paraId="79CED5D6"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Guatemala</w:t>
            </w:r>
          </w:p>
        </w:tc>
        <w:tc>
          <w:tcPr>
            <w:tcW w:w="960" w:type="dxa"/>
            <w:noWrap/>
            <w:hideMark/>
          </w:tcPr>
          <w:p w14:paraId="0EEE6EE7"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65DE668B" w14:textId="77777777" w:rsidTr="00A3201B">
        <w:trPr>
          <w:gridAfter w:val="3"/>
          <w:wAfter w:w="4222" w:type="dxa"/>
          <w:trHeight w:val="288"/>
          <w:jc w:val="center"/>
        </w:trPr>
        <w:tc>
          <w:tcPr>
            <w:tcW w:w="1940" w:type="dxa"/>
            <w:noWrap/>
            <w:hideMark/>
          </w:tcPr>
          <w:p w14:paraId="53A000A8"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Guyana</w:t>
            </w:r>
          </w:p>
        </w:tc>
        <w:tc>
          <w:tcPr>
            <w:tcW w:w="960" w:type="dxa"/>
            <w:noWrap/>
            <w:hideMark/>
          </w:tcPr>
          <w:p w14:paraId="3C460945"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0.395</w:t>
            </w:r>
          </w:p>
        </w:tc>
      </w:tr>
      <w:tr w:rsidR="00B471A2" w:rsidRPr="00B471A2" w14:paraId="09BE8F91" w14:textId="77777777" w:rsidTr="00A3201B">
        <w:trPr>
          <w:gridAfter w:val="3"/>
          <w:wAfter w:w="4222" w:type="dxa"/>
          <w:trHeight w:val="288"/>
          <w:jc w:val="center"/>
        </w:trPr>
        <w:tc>
          <w:tcPr>
            <w:tcW w:w="1940" w:type="dxa"/>
            <w:noWrap/>
            <w:hideMark/>
          </w:tcPr>
          <w:p w14:paraId="2010D178"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Honduras</w:t>
            </w:r>
          </w:p>
        </w:tc>
        <w:tc>
          <w:tcPr>
            <w:tcW w:w="960" w:type="dxa"/>
            <w:noWrap/>
            <w:hideMark/>
          </w:tcPr>
          <w:p w14:paraId="40409C72"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70432C4F" w14:textId="77777777" w:rsidTr="00A3201B">
        <w:trPr>
          <w:gridAfter w:val="3"/>
          <w:wAfter w:w="4222" w:type="dxa"/>
          <w:trHeight w:val="288"/>
          <w:jc w:val="center"/>
        </w:trPr>
        <w:tc>
          <w:tcPr>
            <w:tcW w:w="1940" w:type="dxa"/>
            <w:noWrap/>
            <w:hideMark/>
          </w:tcPr>
          <w:p w14:paraId="6E967275"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Jamaica</w:t>
            </w:r>
          </w:p>
        </w:tc>
        <w:tc>
          <w:tcPr>
            <w:tcW w:w="960" w:type="dxa"/>
            <w:noWrap/>
            <w:hideMark/>
          </w:tcPr>
          <w:p w14:paraId="1CB1E8F8"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750139B3" w14:textId="77777777" w:rsidTr="00A3201B">
        <w:trPr>
          <w:gridAfter w:val="3"/>
          <w:wAfter w:w="4222" w:type="dxa"/>
          <w:trHeight w:val="288"/>
          <w:jc w:val="center"/>
        </w:trPr>
        <w:tc>
          <w:tcPr>
            <w:tcW w:w="1940" w:type="dxa"/>
            <w:noWrap/>
            <w:hideMark/>
          </w:tcPr>
          <w:p w14:paraId="5C07D812"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Namibia</w:t>
            </w:r>
          </w:p>
        </w:tc>
        <w:tc>
          <w:tcPr>
            <w:tcW w:w="960" w:type="dxa"/>
            <w:noWrap/>
            <w:hideMark/>
          </w:tcPr>
          <w:p w14:paraId="33F910AB"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5310C146" w14:textId="77777777" w:rsidTr="00A3201B">
        <w:trPr>
          <w:gridAfter w:val="3"/>
          <w:wAfter w:w="4222" w:type="dxa"/>
          <w:trHeight w:val="288"/>
          <w:jc w:val="center"/>
        </w:trPr>
        <w:tc>
          <w:tcPr>
            <w:tcW w:w="1940" w:type="dxa"/>
            <w:noWrap/>
            <w:hideMark/>
          </w:tcPr>
          <w:p w14:paraId="4B0F701A"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Nicaragua</w:t>
            </w:r>
          </w:p>
        </w:tc>
        <w:tc>
          <w:tcPr>
            <w:tcW w:w="960" w:type="dxa"/>
            <w:noWrap/>
            <w:hideMark/>
          </w:tcPr>
          <w:p w14:paraId="2A4C7AD3"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4BE3171F" w14:textId="77777777" w:rsidTr="00A3201B">
        <w:trPr>
          <w:gridAfter w:val="3"/>
          <w:wAfter w:w="4222" w:type="dxa"/>
          <w:trHeight w:val="288"/>
          <w:jc w:val="center"/>
        </w:trPr>
        <w:tc>
          <w:tcPr>
            <w:tcW w:w="1940" w:type="dxa"/>
            <w:noWrap/>
            <w:hideMark/>
          </w:tcPr>
          <w:p w14:paraId="44D3855A"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Papua New Guinea</w:t>
            </w:r>
          </w:p>
        </w:tc>
        <w:tc>
          <w:tcPr>
            <w:tcW w:w="960" w:type="dxa"/>
            <w:noWrap/>
            <w:hideMark/>
          </w:tcPr>
          <w:p w14:paraId="01AFAF42"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68ED53D9" w14:textId="77777777" w:rsidTr="00A3201B">
        <w:trPr>
          <w:gridAfter w:val="3"/>
          <w:wAfter w:w="4222" w:type="dxa"/>
          <w:trHeight w:val="288"/>
          <w:jc w:val="center"/>
        </w:trPr>
        <w:tc>
          <w:tcPr>
            <w:tcW w:w="1940" w:type="dxa"/>
            <w:noWrap/>
            <w:hideMark/>
          </w:tcPr>
          <w:p w14:paraId="61FAD72E"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Peru</w:t>
            </w:r>
          </w:p>
        </w:tc>
        <w:tc>
          <w:tcPr>
            <w:tcW w:w="960" w:type="dxa"/>
            <w:noWrap/>
            <w:hideMark/>
          </w:tcPr>
          <w:p w14:paraId="6F1DE529"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7C0375E5" w14:textId="77777777" w:rsidTr="00A3201B">
        <w:trPr>
          <w:gridAfter w:val="3"/>
          <w:wAfter w:w="4222" w:type="dxa"/>
          <w:trHeight w:val="288"/>
          <w:jc w:val="center"/>
        </w:trPr>
        <w:tc>
          <w:tcPr>
            <w:tcW w:w="1940" w:type="dxa"/>
            <w:noWrap/>
            <w:hideMark/>
          </w:tcPr>
          <w:p w14:paraId="73B692B5"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Tunisia</w:t>
            </w:r>
          </w:p>
        </w:tc>
        <w:tc>
          <w:tcPr>
            <w:tcW w:w="960" w:type="dxa"/>
            <w:noWrap/>
            <w:hideMark/>
          </w:tcPr>
          <w:p w14:paraId="3E2712A7"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43EF3EB3" w14:textId="77777777" w:rsidTr="00A3201B">
        <w:trPr>
          <w:gridAfter w:val="3"/>
          <w:wAfter w:w="4222" w:type="dxa"/>
          <w:trHeight w:val="288"/>
          <w:jc w:val="center"/>
        </w:trPr>
        <w:tc>
          <w:tcPr>
            <w:tcW w:w="1940" w:type="dxa"/>
            <w:noWrap/>
            <w:hideMark/>
          </w:tcPr>
          <w:p w14:paraId="2BCEBB3E"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Ukraine</w:t>
            </w:r>
          </w:p>
        </w:tc>
        <w:tc>
          <w:tcPr>
            <w:tcW w:w="960" w:type="dxa"/>
            <w:noWrap/>
            <w:hideMark/>
          </w:tcPr>
          <w:p w14:paraId="34F2067A"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0</w:t>
            </w:r>
          </w:p>
        </w:tc>
      </w:tr>
      <w:tr w:rsidR="00B471A2" w:rsidRPr="00B471A2" w14:paraId="1B99C297" w14:textId="77777777" w:rsidTr="00A3201B">
        <w:trPr>
          <w:trHeight w:val="288"/>
          <w:jc w:val="center"/>
        </w:trPr>
        <w:tc>
          <w:tcPr>
            <w:tcW w:w="4660" w:type="dxa"/>
            <w:gridSpan w:val="3"/>
            <w:shd w:val="clear" w:color="auto" w:fill="BFBFBF" w:themeFill="background1" w:themeFillShade="BF"/>
            <w:noWrap/>
            <w:hideMark/>
          </w:tcPr>
          <w:p w14:paraId="4FDA1010" w14:textId="67226BBC" w:rsidR="00B471A2" w:rsidRPr="00B471A2" w:rsidRDefault="00B471A2" w:rsidP="00B471A2">
            <w:pPr>
              <w:spacing w:after="0" w:line="240" w:lineRule="auto"/>
              <w:rPr>
                <w:rFonts w:ascii="Times New Roman" w:eastAsia="Times New Roman" w:hAnsi="Times New Roman"/>
                <w:b/>
                <w:color w:val="000000"/>
              </w:rPr>
            </w:pPr>
            <w:r w:rsidRPr="00B471A2">
              <w:rPr>
                <w:rFonts w:ascii="Times New Roman" w:eastAsia="Times New Roman" w:hAnsi="Times New Roman"/>
                <w:b/>
                <w:color w:val="000000"/>
              </w:rPr>
              <w:t>Variable</w:t>
            </w:r>
          </w:p>
        </w:tc>
        <w:tc>
          <w:tcPr>
            <w:tcW w:w="1231" w:type="dxa"/>
            <w:shd w:val="clear" w:color="auto" w:fill="BFBFBF" w:themeFill="background1" w:themeFillShade="BF"/>
            <w:noWrap/>
            <w:hideMark/>
          </w:tcPr>
          <w:p w14:paraId="7BA70C80" w14:textId="50BB5710" w:rsidR="00B471A2" w:rsidRPr="00B471A2" w:rsidRDefault="00B471A2" w:rsidP="00B471A2">
            <w:pPr>
              <w:spacing w:after="0" w:line="240" w:lineRule="auto"/>
              <w:rPr>
                <w:rFonts w:ascii="Times New Roman" w:eastAsia="Times New Roman" w:hAnsi="Times New Roman"/>
                <w:b/>
                <w:color w:val="000000"/>
              </w:rPr>
            </w:pPr>
            <w:r w:rsidRPr="00B471A2">
              <w:rPr>
                <w:rFonts w:ascii="Times New Roman" w:eastAsia="Times New Roman" w:hAnsi="Times New Roman"/>
                <w:b/>
                <w:color w:val="000000"/>
              </w:rPr>
              <w:t>Treated</w:t>
            </w:r>
            <w:r w:rsidR="002B1109">
              <w:rPr>
                <w:rFonts w:ascii="Times New Roman" w:eastAsia="Times New Roman" w:hAnsi="Times New Roman"/>
                <w:b/>
                <w:color w:val="000000"/>
              </w:rPr>
              <w:t xml:space="preserve"> (average 2006/2015)</w:t>
            </w:r>
          </w:p>
        </w:tc>
        <w:tc>
          <w:tcPr>
            <w:tcW w:w="1231" w:type="dxa"/>
            <w:shd w:val="clear" w:color="auto" w:fill="BFBFBF" w:themeFill="background1" w:themeFillShade="BF"/>
            <w:noWrap/>
            <w:hideMark/>
          </w:tcPr>
          <w:p w14:paraId="0F4D877F" w14:textId="77777777" w:rsidR="002B1109" w:rsidRDefault="00B471A2" w:rsidP="00B471A2">
            <w:pPr>
              <w:spacing w:after="0" w:line="240" w:lineRule="auto"/>
              <w:rPr>
                <w:rFonts w:ascii="Times New Roman" w:eastAsia="Times New Roman" w:hAnsi="Times New Roman"/>
                <w:b/>
                <w:color w:val="000000"/>
              </w:rPr>
            </w:pPr>
            <w:r w:rsidRPr="00B471A2">
              <w:rPr>
                <w:rFonts w:ascii="Times New Roman" w:eastAsia="Times New Roman" w:hAnsi="Times New Roman"/>
                <w:b/>
                <w:color w:val="000000"/>
              </w:rPr>
              <w:t>Synthetic</w:t>
            </w:r>
          </w:p>
          <w:p w14:paraId="529790C5" w14:textId="5E4D384A" w:rsidR="00B471A2" w:rsidRPr="00B471A2" w:rsidRDefault="002B1109" w:rsidP="00B471A2">
            <w:pPr>
              <w:spacing w:after="0" w:line="240" w:lineRule="auto"/>
              <w:rPr>
                <w:rFonts w:ascii="Times New Roman" w:eastAsia="Times New Roman" w:hAnsi="Times New Roman"/>
                <w:b/>
                <w:color w:val="000000"/>
              </w:rPr>
            </w:pPr>
            <w:r>
              <w:rPr>
                <w:rFonts w:ascii="Times New Roman" w:eastAsia="Times New Roman" w:hAnsi="Times New Roman"/>
                <w:b/>
                <w:color w:val="000000"/>
              </w:rPr>
              <w:t>(average 2006/2015)</w:t>
            </w:r>
            <w:r w:rsidR="00B471A2" w:rsidRPr="00B471A2">
              <w:rPr>
                <w:rFonts w:ascii="Times New Roman" w:eastAsia="Times New Roman" w:hAnsi="Times New Roman"/>
                <w:b/>
                <w:color w:val="000000"/>
              </w:rPr>
              <w:t xml:space="preserve"> </w:t>
            </w:r>
          </w:p>
        </w:tc>
      </w:tr>
      <w:tr w:rsidR="002B1109" w:rsidRPr="00B471A2" w14:paraId="4D0ADE1F" w14:textId="77777777" w:rsidTr="00A3201B">
        <w:trPr>
          <w:trHeight w:val="288"/>
          <w:jc w:val="center"/>
        </w:trPr>
        <w:tc>
          <w:tcPr>
            <w:tcW w:w="4660" w:type="dxa"/>
            <w:gridSpan w:val="3"/>
            <w:noWrap/>
            <w:hideMark/>
          </w:tcPr>
          <w:p w14:paraId="0A5BEBF2" w14:textId="6BDF5B89" w:rsidR="002B1109" w:rsidRPr="00B471A2" w:rsidRDefault="002B1109" w:rsidP="002B1109">
            <w:pPr>
              <w:spacing w:after="0" w:line="240" w:lineRule="auto"/>
              <w:rPr>
                <w:rFonts w:ascii="Times New Roman" w:eastAsia="Times New Roman" w:hAnsi="Times New Roman"/>
                <w:color w:val="000000"/>
              </w:rPr>
            </w:pPr>
            <w:r>
              <w:rPr>
                <w:rFonts w:ascii="Times New Roman" w:eastAsia="Times New Roman" w:hAnsi="Times New Roman"/>
                <w:color w:val="000000"/>
              </w:rPr>
              <w:t>Cost to Import (USD per container)</w:t>
            </w:r>
          </w:p>
        </w:tc>
        <w:tc>
          <w:tcPr>
            <w:tcW w:w="1231" w:type="dxa"/>
            <w:noWrap/>
            <w:hideMark/>
          </w:tcPr>
          <w:p w14:paraId="03775485" w14:textId="534BEA6D" w:rsidR="002B1109" w:rsidRPr="00B471A2" w:rsidRDefault="002B1109" w:rsidP="002B1109">
            <w:pPr>
              <w:spacing w:after="0" w:line="240" w:lineRule="auto"/>
              <w:jc w:val="right"/>
              <w:rPr>
                <w:rFonts w:ascii="Times New Roman" w:eastAsia="Times New Roman" w:hAnsi="Times New Roman"/>
                <w:color w:val="000000"/>
              </w:rPr>
            </w:pPr>
            <w:r w:rsidRPr="002B1109">
              <w:rPr>
                <w:rFonts w:ascii="Times New Roman" w:eastAsia="Times New Roman" w:hAnsi="Times New Roman"/>
                <w:color w:val="000000"/>
              </w:rPr>
              <w:t>1528.11</w:t>
            </w:r>
          </w:p>
        </w:tc>
        <w:tc>
          <w:tcPr>
            <w:tcW w:w="1231" w:type="dxa"/>
            <w:noWrap/>
            <w:hideMark/>
          </w:tcPr>
          <w:p w14:paraId="13F22F3C" w14:textId="7331A4B6" w:rsidR="002B1109" w:rsidRPr="00B471A2" w:rsidRDefault="002B1109" w:rsidP="002B1109">
            <w:pPr>
              <w:spacing w:after="0" w:line="240" w:lineRule="auto"/>
              <w:jc w:val="right"/>
              <w:rPr>
                <w:rFonts w:ascii="Times New Roman" w:eastAsia="Times New Roman" w:hAnsi="Times New Roman"/>
                <w:color w:val="000000"/>
              </w:rPr>
            </w:pPr>
            <w:r w:rsidRPr="002B1109">
              <w:rPr>
                <w:rFonts w:ascii="Times New Roman" w:eastAsia="Times New Roman" w:hAnsi="Times New Roman"/>
                <w:color w:val="000000"/>
              </w:rPr>
              <w:t>1528.5</w:t>
            </w:r>
            <w:r>
              <w:rPr>
                <w:rFonts w:ascii="Times New Roman" w:eastAsia="Times New Roman" w:hAnsi="Times New Roman"/>
                <w:color w:val="000000"/>
              </w:rPr>
              <w:t>3</w:t>
            </w:r>
          </w:p>
        </w:tc>
      </w:tr>
      <w:tr w:rsidR="00B471A2" w:rsidRPr="00B471A2" w14:paraId="304DCB27" w14:textId="77777777" w:rsidTr="00A3201B">
        <w:trPr>
          <w:trHeight w:val="288"/>
          <w:jc w:val="center"/>
        </w:trPr>
        <w:tc>
          <w:tcPr>
            <w:tcW w:w="4660" w:type="dxa"/>
            <w:gridSpan w:val="3"/>
            <w:noWrap/>
            <w:hideMark/>
          </w:tcPr>
          <w:p w14:paraId="3CAD0A3A" w14:textId="2A673BA1"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Documents to export</w:t>
            </w:r>
            <w:r w:rsidR="00A8104E">
              <w:rPr>
                <w:rFonts w:ascii="Times New Roman" w:eastAsia="Times New Roman" w:hAnsi="Times New Roman"/>
                <w:color w:val="000000"/>
              </w:rPr>
              <w:t xml:space="preserve"> (#)</w:t>
            </w:r>
          </w:p>
        </w:tc>
        <w:tc>
          <w:tcPr>
            <w:tcW w:w="1231" w:type="dxa"/>
            <w:noWrap/>
            <w:hideMark/>
          </w:tcPr>
          <w:p w14:paraId="556E2125"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8</w:t>
            </w:r>
          </w:p>
        </w:tc>
        <w:tc>
          <w:tcPr>
            <w:tcW w:w="1231" w:type="dxa"/>
            <w:noWrap/>
            <w:hideMark/>
          </w:tcPr>
          <w:p w14:paraId="7CFA7B01"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5.395</w:t>
            </w:r>
          </w:p>
        </w:tc>
      </w:tr>
      <w:tr w:rsidR="00B471A2" w:rsidRPr="00B471A2" w14:paraId="5A1810C9" w14:textId="77777777" w:rsidTr="00A3201B">
        <w:trPr>
          <w:trHeight w:val="288"/>
          <w:jc w:val="center"/>
        </w:trPr>
        <w:tc>
          <w:tcPr>
            <w:tcW w:w="4660" w:type="dxa"/>
            <w:gridSpan w:val="3"/>
            <w:noWrap/>
            <w:hideMark/>
          </w:tcPr>
          <w:p w14:paraId="33775F53" w14:textId="4ECF7716"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Documents to import</w:t>
            </w:r>
            <w:r w:rsidR="00A8104E">
              <w:rPr>
                <w:rFonts w:ascii="Times New Roman" w:eastAsia="Times New Roman" w:hAnsi="Times New Roman"/>
                <w:color w:val="000000"/>
              </w:rPr>
              <w:t xml:space="preserve"> (#)</w:t>
            </w:r>
          </w:p>
        </w:tc>
        <w:tc>
          <w:tcPr>
            <w:tcW w:w="1231" w:type="dxa"/>
            <w:noWrap/>
            <w:hideMark/>
          </w:tcPr>
          <w:p w14:paraId="0590C9EC"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6</w:t>
            </w:r>
          </w:p>
        </w:tc>
        <w:tc>
          <w:tcPr>
            <w:tcW w:w="1231" w:type="dxa"/>
            <w:noWrap/>
            <w:hideMark/>
          </w:tcPr>
          <w:p w14:paraId="1E9F2340"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6.030889</w:t>
            </w:r>
          </w:p>
        </w:tc>
      </w:tr>
      <w:tr w:rsidR="00B471A2" w:rsidRPr="00B471A2" w14:paraId="0F28A6B9" w14:textId="77777777" w:rsidTr="00A3201B">
        <w:trPr>
          <w:trHeight w:val="288"/>
          <w:jc w:val="center"/>
        </w:trPr>
        <w:tc>
          <w:tcPr>
            <w:tcW w:w="4660" w:type="dxa"/>
            <w:gridSpan w:val="3"/>
            <w:noWrap/>
            <w:hideMark/>
          </w:tcPr>
          <w:p w14:paraId="6848D43F"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lastRenderedPageBreak/>
              <w:t>Time to import (days)</w:t>
            </w:r>
          </w:p>
        </w:tc>
        <w:tc>
          <w:tcPr>
            <w:tcW w:w="1231" w:type="dxa"/>
            <w:noWrap/>
            <w:hideMark/>
          </w:tcPr>
          <w:p w14:paraId="4D035DF0"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19.22222</w:t>
            </w:r>
          </w:p>
        </w:tc>
        <w:tc>
          <w:tcPr>
            <w:tcW w:w="1231" w:type="dxa"/>
            <w:noWrap/>
            <w:hideMark/>
          </w:tcPr>
          <w:p w14:paraId="15378CFE"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20.04644</w:t>
            </w:r>
          </w:p>
        </w:tc>
      </w:tr>
      <w:tr w:rsidR="00B471A2" w:rsidRPr="00B471A2" w14:paraId="193337C4" w14:textId="77777777" w:rsidTr="00A3201B">
        <w:trPr>
          <w:trHeight w:val="288"/>
          <w:jc w:val="center"/>
        </w:trPr>
        <w:tc>
          <w:tcPr>
            <w:tcW w:w="4660" w:type="dxa"/>
            <w:gridSpan w:val="3"/>
            <w:noWrap/>
            <w:hideMark/>
          </w:tcPr>
          <w:p w14:paraId="2590AE65"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GDP per capita (2010 constant)</w:t>
            </w:r>
          </w:p>
        </w:tc>
        <w:tc>
          <w:tcPr>
            <w:tcW w:w="1231" w:type="dxa"/>
            <w:noWrap/>
            <w:hideMark/>
          </w:tcPr>
          <w:p w14:paraId="3A7F3275"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8277.976</w:t>
            </w:r>
          </w:p>
        </w:tc>
        <w:tc>
          <w:tcPr>
            <w:tcW w:w="1231" w:type="dxa"/>
            <w:noWrap/>
            <w:hideMark/>
          </w:tcPr>
          <w:p w14:paraId="3CBF7D35"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8885.533</w:t>
            </w:r>
          </w:p>
        </w:tc>
      </w:tr>
      <w:tr w:rsidR="00B471A2" w:rsidRPr="00B471A2" w14:paraId="60E0B75F" w14:textId="77777777" w:rsidTr="00A3201B">
        <w:trPr>
          <w:trHeight w:val="288"/>
          <w:jc w:val="center"/>
        </w:trPr>
        <w:tc>
          <w:tcPr>
            <w:tcW w:w="4660" w:type="dxa"/>
            <w:gridSpan w:val="3"/>
            <w:noWrap/>
            <w:hideMark/>
          </w:tcPr>
          <w:p w14:paraId="5CEF280D"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Transport services (% of imported services)</w:t>
            </w:r>
          </w:p>
        </w:tc>
        <w:tc>
          <w:tcPr>
            <w:tcW w:w="1231" w:type="dxa"/>
            <w:noWrap/>
            <w:hideMark/>
          </w:tcPr>
          <w:p w14:paraId="5DE0705C"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21.18474</w:t>
            </w:r>
          </w:p>
        </w:tc>
        <w:tc>
          <w:tcPr>
            <w:tcW w:w="1231" w:type="dxa"/>
            <w:noWrap/>
            <w:hideMark/>
          </w:tcPr>
          <w:p w14:paraId="06435A02"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34.16444</w:t>
            </w:r>
          </w:p>
        </w:tc>
      </w:tr>
      <w:tr w:rsidR="00B471A2" w:rsidRPr="00B471A2" w14:paraId="2952C3B0" w14:textId="77777777" w:rsidTr="00A3201B">
        <w:trPr>
          <w:trHeight w:val="288"/>
          <w:jc w:val="center"/>
        </w:trPr>
        <w:tc>
          <w:tcPr>
            <w:tcW w:w="4660" w:type="dxa"/>
            <w:gridSpan w:val="3"/>
            <w:noWrap/>
            <w:hideMark/>
          </w:tcPr>
          <w:p w14:paraId="27E79DA4"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Trade services (% of GDP)</w:t>
            </w:r>
          </w:p>
        </w:tc>
        <w:tc>
          <w:tcPr>
            <w:tcW w:w="1231" w:type="dxa"/>
            <w:noWrap/>
            <w:hideMark/>
          </w:tcPr>
          <w:p w14:paraId="7B976628"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16.86509</w:t>
            </w:r>
          </w:p>
        </w:tc>
        <w:tc>
          <w:tcPr>
            <w:tcW w:w="1231" w:type="dxa"/>
            <w:noWrap/>
            <w:hideMark/>
          </w:tcPr>
          <w:p w14:paraId="7A36F49A"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46.51519</w:t>
            </w:r>
          </w:p>
        </w:tc>
      </w:tr>
      <w:tr w:rsidR="00B471A2" w:rsidRPr="00B471A2" w14:paraId="4CC1CEC0" w14:textId="77777777" w:rsidTr="00A3201B">
        <w:trPr>
          <w:trHeight w:val="288"/>
          <w:jc w:val="center"/>
        </w:trPr>
        <w:tc>
          <w:tcPr>
            <w:tcW w:w="4660" w:type="dxa"/>
            <w:gridSpan w:val="3"/>
            <w:noWrap/>
            <w:hideMark/>
          </w:tcPr>
          <w:p w14:paraId="672A07A2" w14:textId="77777777" w:rsidR="00B471A2" w:rsidRPr="00B471A2" w:rsidRDefault="00B471A2" w:rsidP="00B471A2">
            <w:pPr>
              <w:spacing w:after="0" w:line="240" w:lineRule="auto"/>
              <w:rPr>
                <w:rFonts w:ascii="Times New Roman" w:eastAsia="Times New Roman" w:hAnsi="Times New Roman"/>
                <w:color w:val="000000"/>
              </w:rPr>
            </w:pPr>
            <w:r w:rsidRPr="00B471A2">
              <w:rPr>
                <w:rFonts w:ascii="Times New Roman" w:eastAsia="Times New Roman" w:hAnsi="Times New Roman"/>
                <w:color w:val="000000"/>
              </w:rPr>
              <w:t>Population</w:t>
            </w:r>
          </w:p>
        </w:tc>
        <w:tc>
          <w:tcPr>
            <w:tcW w:w="1231" w:type="dxa"/>
            <w:noWrap/>
            <w:hideMark/>
          </w:tcPr>
          <w:p w14:paraId="5273C3BE"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526112.9</w:t>
            </w:r>
          </w:p>
        </w:tc>
        <w:tc>
          <w:tcPr>
            <w:tcW w:w="1231" w:type="dxa"/>
            <w:noWrap/>
            <w:hideMark/>
          </w:tcPr>
          <w:p w14:paraId="3E292D76" w14:textId="77777777" w:rsidR="00B471A2" w:rsidRPr="00B471A2" w:rsidRDefault="00B471A2" w:rsidP="00B471A2">
            <w:pPr>
              <w:spacing w:after="0" w:line="240" w:lineRule="auto"/>
              <w:jc w:val="right"/>
              <w:rPr>
                <w:rFonts w:ascii="Times New Roman" w:eastAsia="Times New Roman" w:hAnsi="Times New Roman"/>
                <w:color w:val="000000"/>
              </w:rPr>
            </w:pPr>
            <w:r w:rsidRPr="00B471A2">
              <w:rPr>
                <w:rFonts w:ascii="Times New Roman" w:eastAsia="Times New Roman" w:hAnsi="Times New Roman"/>
                <w:color w:val="000000"/>
              </w:rPr>
              <w:t>633979.9</w:t>
            </w:r>
          </w:p>
        </w:tc>
      </w:tr>
    </w:tbl>
    <w:p w14:paraId="3C5CC5E2" w14:textId="1A28BA14" w:rsidR="00AE3981" w:rsidRPr="00680732" w:rsidRDefault="00975496" w:rsidP="00680732">
      <w:pPr>
        <w:pStyle w:val="subpar"/>
      </w:pPr>
      <w:r w:rsidRPr="00E71020">
        <w:rPr>
          <w:b/>
        </w:rPr>
        <w:t>Method before - after.</w:t>
      </w:r>
      <w:r w:rsidRPr="00D07D9D">
        <w:t xml:space="preserve"> To define if the results have been reached, a before-after measurement will be carried out, according to the </w:t>
      </w:r>
      <w:r w:rsidRPr="00680732">
        <w:rPr>
          <w:u w:val="single"/>
        </w:rPr>
        <w:t>result</w:t>
      </w:r>
      <w:r w:rsidR="00AE3981">
        <w:rPr>
          <w:u w:val="single"/>
        </w:rPr>
        <w:t>s</w:t>
      </w:r>
      <w:r w:rsidRPr="00D07D9D">
        <w:t xml:space="preserve"> indicators established in the matrix (see </w:t>
      </w:r>
      <w:r>
        <w:t>T</w:t>
      </w:r>
      <w:r w:rsidRPr="00D07D9D">
        <w:t>able</w:t>
      </w:r>
      <w:r>
        <w:t xml:space="preserve"> 3</w:t>
      </w:r>
      <w:r w:rsidRPr="00D07D9D">
        <w:t>)</w:t>
      </w:r>
      <w:r>
        <w:t>.</w:t>
      </w:r>
      <w:r w:rsidR="00AE3981">
        <w:t xml:space="preserve"> The objective of the evaluation is to verify that the results of the project were achieved, through a reflexive evaluation based on the results matrix. The evaluation will attempt to answer the following questions:</w:t>
      </w:r>
      <w:r w:rsidR="00AE3981" w:rsidRPr="00AC37A8">
        <w:t xml:space="preserve"> (i) </w:t>
      </w:r>
      <w:r w:rsidR="00AE3981">
        <w:t>h</w:t>
      </w:r>
      <w:r w:rsidR="00AE3981" w:rsidRPr="00AC37A8">
        <w:t xml:space="preserve">as </w:t>
      </w:r>
      <w:r w:rsidR="00AE3981">
        <w:t>average time for cargo operations at port</w:t>
      </w:r>
      <w:r w:rsidR="00AE3981" w:rsidRPr="00AC37A8">
        <w:t xml:space="preserve"> </w:t>
      </w:r>
      <w:r w:rsidR="00AE3981">
        <w:t>b</w:t>
      </w:r>
      <w:r w:rsidR="00AE3981" w:rsidRPr="00AC37A8">
        <w:t>een reduced</w:t>
      </w:r>
      <w:r w:rsidR="00AE3981">
        <w:t>?;</w:t>
      </w:r>
      <w:r w:rsidR="00AE3981" w:rsidRPr="00AC37A8">
        <w:t xml:space="preserve"> (ii) </w:t>
      </w:r>
      <w:r w:rsidR="00AE3981">
        <w:t>h</w:t>
      </w:r>
      <w:r w:rsidR="00AE3981" w:rsidRPr="00AC37A8">
        <w:t>a</w:t>
      </w:r>
      <w:r w:rsidR="00AE3981">
        <w:t>ve</w:t>
      </w:r>
      <w:r w:rsidR="00AE3981" w:rsidRPr="00AC37A8">
        <w:t xml:space="preserve"> travel</w:t>
      </w:r>
      <w:r w:rsidR="00AE3981">
        <w:t xml:space="preserve"> times and</w:t>
      </w:r>
      <w:r w:rsidR="00AE3981" w:rsidRPr="00AC37A8">
        <w:t xml:space="preserve"> cost</w:t>
      </w:r>
      <w:r w:rsidR="00AE3981">
        <w:t>s</w:t>
      </w:r>
      <w:r w:rsidR="00AE3981" w:rsidRPr="00AC37A8">
        <w:t xml:space="preserve"> been reduced</w:t>
      </w:r>
      <w:r w:rsidR="00AE3981">
        <w:t xml:space="preserve">?; (iii) were the sectorial institutions strengthened through training of key </w:t>
      </w:r>
      <w:r w:rsidR="00841B6E">
        <w:t>personnel</w:t>
      </w:r>
      <w:r w:rsidR="00AE3981">
        <w:t>?; and (iv) are more women</w:t>
      </w:r>
      <w:r w:rsidR="00A8104E">
        <w:t xml:space="preserve"> and people with </w:t>
      </w:r>
      <w:r w:rsidR="007A5000">
        <w:t>disabilities</w:t>
      </w:r>
      <w:r w:rsidR="00AE3981">
        <w:t xml:space="preserve"> accessing to jobs related with logistic activities in the port?</w:t>
      </w:r>
      <w:r w:rsidR="00AE3981" w:rsidRPr="00AC37A8">
        <w:t xml:space="preserve"> </w:t>
      </w:r>
      <w:r w:rsidR="00AE3981" w:rsidRPr="005C48C5">
        <w:t xml:space="preserve">To answer the above questions the </w:t>
      </w:r>
      <w:r w:rsidR="00AE3981">
        <w:t>PEU</w:t>
      </w:r>
      <w:r w:rsidR="00AE3981" w:rsidRPr="005C48C5">
        <w:t xml:space="preserve"> will hire an independent evaluator to conduct a final evaluation of the </w:t>
      </w:r>
      <w:r w:rsidR="00AE3981">
        <w:t xml:space="preserve">project.  The results of this evaluation will be used by the Project team to complete the Bank’s Project Completion Report (PCR). </w:t>
      </w:r>
      <w:r w:rsidR="00AE3981" w:rsidRPr="005C48C5">
        <w:t xml:space="preserve">The Bank will closely support the </w:t>
      </w:r>
      <w:r w:rsidR="00AE3981">
        <w:t>PEU</w:t>
      </w:r>
      <w:r w:rsidR="00AE3981" w:rsidRPr="005C48C5">
        <w:t xml:space="preserve"> on the definition of terms of reference and on the supervision of the study.</w:t>
      </w:r>
      <w:r w:rsidR="00AE3981">
        <w:t xml:space="preserve"> </w:t>
      </w:r>
    </w:p>
    <w:p w14:paraId="557643CD" w14:textId="77777777" w:rsidR="00975496" w:rsidRPr="00850300" w:rsidRDefault="00975496" w:rsidP="00975496">
      <w:pPr>
        <w:pStyle w:val="Paragraph"/>
        <w:numPr>
          <w:ilvl w:val="1"/>
          <w:numId w:val="37"/>
        </w:numPr>
        <w:spacing w:before="80" w:after="80"/>
      </w:pPr>
      <w:r w:rsidRPr="00850300">
        <w:rPr>
          <w:b/>
        </w:rPr>
        <w:t>Project´s Ex-Ante and Ex-Post Cost Benefits Analysis.</w:t>
      </w:r>
      <w:r w:rsidRPr="00850300">
        <w:t xml:space="preserve"> The expected results will be monitored and evaluated using ex-post and ex-ante methodologies such as an ex-post cost-benefit analysis. This methodology includes the analysis of the costs and benefits results of two scenarios: i) With interventions and ii) Without Interventions. The estimation of the benefits of the project was done throughout the estimation of the reduction of</w:t>
      </w:r>
      <w:r>
        <w:t>:</w:t>
      </w:r>
      <w:r w:rsidRPr="00850300">
        <w:t xml:space="preserve"> </w:t>
      </w:r>
      <w:r>
        <w:t xml:space="preserve">i) travel times and; ii) </w:t>
      </w:r>
      <w:r w:rsidRPr="00850300">
        <w:t xml:space="preserve">the </w:t>
      </w:r>
      <w:r>
        <w:t>vehicle operation costs (VOC)</w:t>
      </w:r>
      <w:r w:rsidRPr="00850300">
        <w:t xml:space="preserve"> due to the implementation of the project. To achieve this, we have compared the results between both scenarios. The Generalized Travel Costs was estimated based in the following parameters:</w:t>
      </w:r>
    </w:p>
    <w:p w14:paraId="3513E3FF" w14:textId="77777777" w:rsidR="00975496" w:rsidRPr="00850300" w:rsidRDefault="00975496" w:rsidP="00975496">
      <w:pPr>
        <w:pStyle w:val="SubSubPar"/>
        <w:numPr>
          <w:ilvl w:val="3"/>
          <w:numId w:val="37"/>
        </w:numPr>
      </w:pPr>
      <w:r w:rsidRPr="00850300">
        <w:rPr>
          <w:b/>
        </w:rPr>
        <w:t xml:space="preserve">Value of time: </w:t>
      </w:r>
      <w:r w:rsidRPr="00850300">
        <w:t xml:space="preserve">according to the economic evaluation of transport projects model published by the World Bank, written by Kenneth M. </w:t>
      </w:r>
      <w:proofErr w:type="spellStart"/>
      <w:r w:rsidRPr="00850300">
        <w:t>Gwilliam</w:t>
      </w:r>
      <w:proofErr w:type="spellEnd"/>
      <w:r w:rsidRPr="00850300">
        <w:rPr>
          <w:rStyle w:val="FootnoteReference"/>
        </w:rPr>
        <w:footnoteReference w:id="3"/>
      </w:r>
      <w:r w:rsidRPr="00850300">
        <w:t xml:space="preserve">. This model was further developed by the Mexican Transport Institute to propose a time valuing estimation based on the working time spent on transport and the leisure time spent on transport. This re-revised method </w:t>
      </w:r>
      <w:proofErr w:type="gramStart"/>
      <w:r w:rsidRPr="00850300">
        <w:t>takes into account</w:t>
      </w:r>
      <w:proofErr w:type="gramEnd"/>
      <w:r w:rsidRPr="00850300">
        <w:t xml:space="preserve"> the minim wage, the number of average working hours in a week by employed citizens and an adjustment factor based on the times the minimum wage is earned by a vehicle type occupant.</w:t>
      </w:r>
    </w:p>
    <w:p w14:paraId="571E73EB" w14:textId="77777777" w:rsidR="00975496" w:rsidRPr="00850300" w:rsidRDefault="00975496" w:rsidP="00975496">
      <w:pPr>
        <w:pStyle w:val="SubSubPar"/>
        <w:numPr>
          <w:ilvl w:val="3"/>
          <w:numId w:val="37"/>
        </w:numPr>
      </w:pPr>
      <w:r w:rsidRPr="00850300">
        <w:rPr>
          <w:b/>
        </w:rPr>
        <w:t>Vehicle Operation Costs:</w:t>
      </w:r>
      <w:r w:rsidRPr="00850300">
        <w:t xml:space="preserve"> based on fuel consumption by vehicle type per average speed and non-fuel related costs by vehicle type per kilometer. These inputs were obtained from the California Department of Transport Life-Cycle Benefit/Cost Analysis Model</w:t>
      </w:r>
      <w:r w:rsidRPr="00850300">
        <w:rPr>
          <w:rStyle w:val="FootnoteReference"/>
        </w:rPr>
        <w:footnoteReference w:id="4"/>
      </w:r>
      <w:r w:rsidRPr="00850300">
        <w:t>, using specific calibration parameters for Suriname.</w:t>
      </w:r>
    </w:p>
    <w:p w14:paraId="4651E6BF" w14:textId="77777777" w:rsidR="00975496" w:rsidRPr="00850300" w:rsidRDefault="00975496" w:rsidP="00975496">
      <w:pPr>
        <w:pStyle w:val="Paragraph"/>
        <w:numPr>
          <w:ilvl w:val="1"/>
          <w:numId w:val="37"/>
        </w:numPr>
        <w:spacing w:before="80" w:after="80"/>
      </w:pPr>
      <w:r w:rsidRPr="00850300">
        <w:lastRenderedPageBreak/>
        <w:t xml:space="preserve">The ex post cost benefit analysis of the works financed by the project will replicate the model used ex ante, held as part of the technical feasibility studies. This analysis will be conducted for  two scenarios: i) Measuring and updating the expected benefits and costs of the intervention (CAPEX), holding constant the conditions and prices considered in appraisal; this allows measurement of whether the actual costs incurred, the benefits actually realized and measured at constant prices are sufficient to justify the investment in economic terms </w:t>
      </w:r>
      <w:r>
        <w:t xml:space="preserve">and; </w:t>
      </w:r>
      <w:r w:rsidRPr="00850300">
        <w:t xml:space="preserve">ii) the second scenario will consider both the benefits and the actual project costs, updated to current prices, thus obtaining an update on whether the project results are an economically worthwhile investment given the real costs and benefits. This analysis permits isolation of an exogenous increase in costs that may </w:t>
      </w:r>
      <w:r w:rsidRPr="00850300">
        <w:rPr>
          <w:noProof/>
        </w:rPr>
        <w:t>effect</w:t>
      </w:r>
      <w:r w:rsidRPr="00850300">
        <w:t xml:space="preserve"> changes in the benefits achieved. </w:t>
      </w:r>
    </w:p>
    <w:p w14:paraId="383717B2" w14:textId="2BEAC9C2" w:rsidR="00975496" w:rsidRDefault="00975496" w:rsidP="00262937">
      <w:pPr>
        <w:spacing w:after="0"/>
        <w:rPr>
          <w:rFonts w:ascii="Times New Roman" w:hAnsi="Times New Roman"/>
          <w:b/>
          <w:sz w:val="24"/>
        </w:rPr>
      </w:pPr>
    </w:p>
    <w:p w14:paraId="694ADE48" w14:textId="783E62F1" w:rsidR="006F2178" w:rsidRDefault="006F2178" w:rsidP="00262937">
      <w:pPr>
        <w:spacing w:after="0"/>
        <w:rPr>
          <w:rFonts w:ascii="Times New Roman" w:hAnsi="Times New Roman"/>
          <w:b/>
          <w:sz w:val="24"/>
        </w:rPr>
      </w:pPr>
    </w:p>
    <w:p w14:paraId="0C66C23F" w14:textId="5D36A6C1" w:rsidR="006F2178" w:rsidRDefault="006F2178" w:rsidP="00262937">
      <w:pPr>
        <w:spacing w:after="0"/>
        <w:rPr>
          <w:rFonts w:ascii="Times New Roman" w:hAnsi="Times New Roman"/>
          <w:b/>
          <w:sz w:val="24"/>
        </w:rPr>
      </w:pPr>
    </w:p>
    <w:p w14:paraId="14A818FA" w14:textId="77777777" w:rsidR="006F2178" w:rsidRDefault="006F2178" w:rsidP="00262937">
      <w:pPr>
        <w:spacing w:after="0"/>
        <w:rPr>
          <w:rFonts w:ascii="Times New Roman" w:hAnsi="Times New Roman"/>
          <w:b/>
          <w:sz w:val="24"/>
        </w:rPr>
      </w:pPr>
    </w:p>
    <w:p w14:paraId="7FC3E3D6" w14:textId="02692079" w:rsidR="00324F7D" w:rsidRPr="00413F42" w:rsidRDefault="00AE3981">
      <w:pPr>
        <w:pStyle w:val="Paragraph"/>
        <w:spacing w:after="0"/>
        <w:rPr>
          <w:b/>
        </w:rPr>
      </w:pPr>
      <w:r>
        <w:rPr>
          <w:b/>
        </w:rPr>
        <w:t>b</w:t>
      </w:r>
      <w:r w:rsidR="00324F7D" w:rsidRPr="00413F42">
        <w:rPr>
          <w:b/>
        </w:rPr>
        <w:t xml:space="preserve">. </w:t>
      </w:r>
      <w:r w:rsidR="00A20409" w:rsidRPr="00413F42">
        <w:rPr>
          <w:b/>
        </w:rPr>
        <w:t>Main indicator</w:t>
      </w:r>
      <w:r w:rsidR="00C45263" w:rsidRPr="00413F42">
        <w:rPr>
          <w:b/>
        </w:rPr>
        <w:t>s</w:t>
      </w:r>
      <w:r w:rsidR="00A20409" w:rsidRPr="00413F42">
        <w:rPr>
          <w:b/>
        </w:rPr>
        <w:t xml:space="preserve"> for the evaluation</w:t>
      </w:r>
    </w:p>
    <w:p w14:paraId="0392B24C" w14:textId="160F6267" w:rsidR="005E1991" w:rsidRDefault="00A20409" w:rsidP="00283223">
      <w:pPr>
        <w:pStyle w:val="Paragraph"/>
        <w:numPr>
          <w:ilvl w:val="1"/>
          <w:numId w:val="37"/>
        </w:numPr>
        <w:sectPr w:rsidR="005E1991" w:rsidSect="00A16F7D">
          <w:pgSz w:w="12240" w:h="15840"/>
          <w:pgMar w:top="1440" w:right="1440" w:bottom="1440" w:left="1440" w:header="720" w:footer="720" w:gutter="0"/>
          <w:cols w:space="720"/>
          <w:docGrid w:linePitch="360"/>
        </w:sectPr>
      </w:pPr>
      <w:r w:rsidRPr="00C45263">
        <w:t xml:space="preserve">The main of indicators </w:t>
      </w:r>
      <w:r w:rsidR="008B23A4" w:rsidRPr="00C45263">
        <w:t xml:space="preserve">for the evaluation of the program are </w:t>
      </w:r>
      <w:r w:rsidR="008F0F0E">
        <w:t xml:space="preserve">detailed in Table 4.  The method for collection of data for each indicator are detailed in the </w:t>
      </w:r>
      <w:r w:rsidR="006F2178">
        <w:t xml:space="preserve">  last column.</w:t>
      </w:r>
    </w:p>
    <w:p w14:paraId="68448582" w14:textId="436BDCA7" w:rsidR="00B6705C" w:rsidRDefault="00B6705C" w:rsidP="00B6705C">
      <w:pPr>
        <w:spacing w:after="0" w:line="240" w:lineRule="auto"/>
        <w:ind w:left="1080" w:hanging="1166"/>
        <w:jc w:val="center"/>
        <w:rPr>
          <w:rFonts w:ascii="Times New Roman" w:hAnsi="Times New Roman"/>
          <w:b/>
          <w:sz w:val="24"/>
          <w:szCs w:val="24"/>
        </w:rPr>
      </w:pPr>
      <w:r w:rsidRPr="00D8642E">
        <w:rPr>
          <w:rFonts w:ascii="Times New Roman" w:hAnsi="Times New Roman"/>
          <w:b/>
          <w:sz w:val="24"/>
          <w:szCs w:val="24"/>
        </w:rPr>
        <w:lastRenderedPageBreak/>
        <w:t xml:space="preserve">Table </w:t>
      </w:r>
      <w:r w:rsidR="00591CD6">
        <w:rPr>
          <w:rFonts w:ascii="Times New Roman" w:hAnsi="Times New Roman"/>
          <w:b/>
          <w:sz w:val="24"/>
          <w:szCs w:val="24"/>
        </w:rPr>
        <w:t>4</w:t>
      </w:r>
      <w:r w:rsidRPr="00D8642E">
        <w:rPr>
          <w:rFonts w:ascii="Times New Roman" w:hAnsi="Times New Roman"/>
          <w:b/>
          <w:sz w:val="24"/>
          <w:szCs w:val="24"/>
        </w:rPr>
        <w:t xml:space="preserve">. </w:t>
      </w:r>
      <w:r w:rsidRPr="00D01953">
        <w:rPr>
          <w:rFonts w:ascii="Times New Roman" w:hAnsi="Times New Roman"/>
          <w:b/>
          <w:sz w:val="24"/>
          <w:szCs w:val="24"/>
        </w:rPr>
        <w:t xml:space="preserve">Impact and </w:t>
      </w:r>
      <w:r w:rsidR="00DA723D" w:rsidRPr="00D01953">
        <w:rPr>
          <w:rFonts w:ascii="Times New Roman" w:hAnsi="Times New Roman"/>
          <w:b/>
          <w:sz w:val="24"/>
          <w:szCs w:val="24"/>
        </w:rPr>
        <w:t>ou</w:t>
      </w:r>
      <w:r w:rsidR="009A7CB4" w:rsidRPr="00D01953">
        <w:rPr>
          <w:rFonts w:ascii="Times New Roman" w:hAnsi="Times New Roman"/>
          <w:b/>
          <w:sz w:val="24"/>
          <w:szCs w:val="24"/>
        </w:rPr>
        <w:t>tcome</w:t>
      </w:r>
      <w:r w:rsidRPr="00D01953">
        <w:rPr>
          <w:rFonts w:ascii="Times New Roman" w:hAnsi="Times New Roman"/>
          <w:b/>
          <w:sz w:val="24"/>
          <w:szCs w:val="24"/>
        </w:rPr>
        <w:t xml:space="preserve"> indicators </w:t>
      </w:r>
    </w:p>
    <w:p w14:paraId="3FFAF323" w14:textId="77777777" w:rsidR="00F03231" w:rsidRDefault="00F03231" w:rsidP="00B6705C">
      <w:pPr>
        <w:spacing w:after="0" w:line="240" w:lineRule="auto"/>
        <w:ind w:left="1080" w:hanging="1166"/>
        <w:jc w:val="center"/>
        <w:rPr>
          <w:rFonts w:ascii="Times New Roman" w:hAnsi="Times New Roman"/>
          <w:b/>
          <w:sz w:val="24"/>
          <w:szCs w:val="24"/>
        </w:rPr>
      </w:pPr>
    </w:p>
    <w:p w14:paraId="5775BC70" w14:textId="6899E03B" w:rsidR="00F03231" w:rsidRDefault="00F03231" w:rsidP="00F03231">
      <w:pPr>
        <w:autoSpaceDE w:val="0"/>
        <w:autoSpaceDN w:val="0"/>
        <w:adjustRightInd w:val="0"/>
        <w:spacing w:after="120" w:line="240" w:lineRule="auto"/>
        <w:jc w:val="center"/>
        <w:rPr>
          <w:rFonts w:ascii="Arial" w:hAnsi="Arial" w:cs="Arial"/>
          <w:b/>
          <w:smallCaps/>
          <w:sz w:val="20"/>
          <w:szCs w:val="20"/>
        </w:rPr>
      </w:pPr>
      <w:r w:rsidRPr="00F03231">
        <w:rPr>
          <w:rFonts w:ascii="Arial" w:hAnsi="Arial" w:cs="Arial"/>
          <w:b/>
          <w:smallCaps/>
          <w:sz w:val="20"/>
          <w:szCs w:val="20"/>
        </w:rPr>
        <w:t>Expected Impact</w:t>
      </w:r>
    </w:p>
    <w:tbl>
      <w:tblPr>
        <w:tblW w:w="13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422"/>
        <w:gridCol w:w="1188"/>
        <w:gridCol w:w="1170"/>
        <w:gridCol w:w="1057"/>
        <w:gridCol w:w="3780"/>
        <w:gridCol w:w="2700"/>
      </w:tblGrid>
      <w:tr w:rsidR="00DA0BB8" w:rsidRPr="007278E5" w14:paraId="48C4A516" w14:textId="77777777" w:rsidTr="00CB08F5">
        <w:trPr>
          <w:trHeight w:val="703"/>
          <w:jc w:val="center"/>
        </w:trPr>
        <w:tc>
          <w:tcPr>
            <w:tcW w:w="1998" w:type="dxa"/>
            <w:shd w:val="clear" w:color="auto" w:fill="D9D9D9" w:themeFill="background1" w:themeFillShade="D9"/>
            <w:vAlign w:val="center"/>
          </w:tcPr>
          <w:p w14:paraId="0524D321"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Indicators</w:t>
            </w:r>
          </w:p>
        </w:tc>
        <w:tc>
          <w:tcPr>
            <w:tcW w:w="1422" w:type="dxa"/>
            <w:shd w:val="clear" w:color="auto" w:fill="D9D9D9" w:themeFill="background1" w:themeFillShade="D9"/>
            <w:vAlign w:val="center"/>
          </w:tcPr>
          <w:p w14:paraId="70C4451F"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Unit of measure</w:t>
            </w:r>
          </w:p>
        </w:tc>
        <w:tc>
          <w:tcPr>
            <w:tcW w:w="1188" w:type="dxa"/>
            <w:shd w:val="clear" w:color="auto" w:fill="D9D9D9" w:themeFill="background1" w:themeFillShade="D9"/>
            <w:vAlign w:val="center"/>
          </w:tcPr>
          <w:p w14:paraId="349CA692"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 xml:space="preserve">Baseline </w:t>
            </w:r>
          </w:p>
        </w:tc>
        <w:tc>
          <w:tcPr>
            <w:tcW w:w="1170" w:type="dxa"/>
            <w:shd w:val="clear" w:color="auto" w:fill="D9D9D9" w:themeFill="background1" w:themeFillShade="D9"/>
            <w:vAlign w:val="center"/>
          </w:tcPr>
          <w:p w14:paraId="78AF0461"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Baseline Year</w:t>
            </w:r>
          </w:p>
        </w:tc>
        <w:tc>
          <w:tcPr>
            <w:tcW w:w="1057" w:type="dxa"/>
            <w:shd w:val="clear" w:color="auto" w:fill="D9D9D9" w:themeFill="background1" w:themeFillShade="D9"/>
            <w:vAlign w:val="center"/>
          </w:tcPr>
          <w:p w14:paraId="6D47F92B"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End of Project</w:t>
            </w:r>
          </w:p>
          <w:p w14:paraId="7D2ED13E"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w:t>
            </w:r>
            <w:r w:rsidRPr="007278E5">
              <w:rPr>
                <w:rFonts w:ascii="Arial" w:hAnsi="Arial" w:cs="Arial"/>
                <w:b/>
                <w:noProof/>
                <w:sz w:val="18"/>
                <w:szCs w:val="18"/>
              </w:rPr>
              <w:t>Year</w:t>
            </w:r>
            <w:r w:rsidRPr="007278E5">
              <w:rPr>
                <w:rFonts w:ascii="Arial" w:hAnsi="Arial" w:cs="Arial"/>
                <w:b/>
                <w:sz w:val="18"/>
                <w:szCs w:val="18"/>
              </w:rPr>
              <w:t xml:space="preserve"> 2024)</w:t>
            </w:r>
          </w:p>
        </w:tc>
        <w:tc>
          <w:tcPr>
            <w:tcW w:w="3780" w:type="dxa"/>
            <w:shd w:val="clear" w:color="auto" w:fill="D9D9D9" w:themeFill="background1" w:themeFillShade="D9"/>
            <w:vAlign w:val="center"/>
          </w:tcPr>
          <w:p w14:paraId="081E23A6"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Means of verification</w:t>
            </w:r>
          </w:p>
        </w:tc>
        <w:tc>
          <w:tcPr>
            <w:tcW w:w="2700" w:type="dxa"/>
            <w:shd w:val="clear" w:color="auto" w:fill="D9D9D9" w:themeFill="background1" w:themeFillShade="D9"/>
            <w:vAlign w:val="center"/>
          </w:tcPr>
          <w:p w14:paraId="074A4EFB" w14:textId="77777777" w:rsidR="00DA0BB8" w:rsidRPr="007278E5" w:rsidRDefault="00DA0BB8" w:rsidP="00CB08F5">
            <w:pPr>
              <w:spacing w:after="0" w:line="240" w:lineRule="auto"/>
              <w:jc w:val="center"/>
              <w:rPr>
                <w:rFonts w:ascii="Arial" w:hAnsi="Arial" w:cs="Arial"/>
                <w:b/>
                <w:sz w:val="18"/>
                <w:szCs w:val="18"/>
              </w:rPr>
            </w:pPr>
            <w:r w:rsidRPr="007278E5">
              <w:rPr>
                <w:rFonts w:ascii="Arial" w:hAnsi="Arial" w:cs="Arial"/>
                <w:b/>
                <w:sz w:val="18"/>
                <w:szCs w:val="18"/>
              </w:rPr>
              <w:t>Observations</w:t>
            </w:r>
          </w:p>
        </w:tc>
      </w:tr>
      <w:tr w:rsidR="00DA0BB8" w:rsidRPr="007278E5" w14:paraId="5914D64F" w14:textId="77777777" w:rsidTr="00CB08F5">
        <w:trPr>
          <w:trHeight w:val="64"/>
          <w:jc w:val="center"/>
        </w:trPr>
        <w:tc>
          <w:tcPr>
            <w:tcW w:w="1998" w:type="dxa"/>
            <w:vAlign w:val="center"/>
          </w:tcPr>
          <w:p w14:paraId="3AFE15C8" w14:textId="77777777" w:rsidR="00DA0BB8" w:rsidRPr="007278E5" w:rsidRDefault="00DA0BB8" w:rsidP="00CB08F5">
            <w:pPr>
              <w:pStyle w:val="ListParagraph"/>
              <w:spacing w:after="0" w:line="240" w:lineRule="auto"/>
              <w:ind w:left="0"/>
              <w:rPr>
                <w:rFonts w:ascii="Arial" w:hAnsi="Arial" w:cs="Arial"/>
                <w:sz w:val="18"/>
                <w:szCs w:val="18"/>
                <w:lang w:val="en-CA"/>
              </w:rPr>
            </w:pPr>
            <w:r w:rsidRPr="007278E5">
              <w:rPr>
                <w:rFonts w:ascii="Arial" w:hAnsi="Arial" w:cs="Arial"/>
                <w:sz w:val="18"/>
                <w:szCs w:val="18"/>
                <w:lang w:val="en-CA"/>
              </w:rPr>
              <w:t>Suriname’s quality of ports</w:t>
            </w:r>
          </w:p>
        </w:tc>
        <w:tc>
          <w:tcPr>
            <w:tcW w:w="1422" w:type="dxa"/>
            <w:vAlign w:val="center"/>
          </w:tcPr>
          <w:p w14:paraId="40967CDD"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index</w:t>
            </w:r>
          </w:p>
        </w:tc>
        <w:tc>
          <w:tcPr>
            <w:tcW w:w="1188" w:type="dxa"/>
            <w:vAlign w:val="center"/>
          </w:tcPr>
          <w:p w14:paraId="6840F0A4"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4.4</w:t>
            </w:r>
          </w:p>
        </w:tc>
        <w:tc>
          <w:tcPr>
            <w:tcW w:w="1170" w:type="dxa"/>
            <w:vAlign w:val="center"/>
          </w:tcPr>
          <w:p w14:paraId="1E5CB2ED"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2014</w:t>
            </w:r>
            <w:r w:rsidRPr="007278E5">
              <w:rPr>
                <w:rStyle w:val="FootnoteReference"/>
                <w:sz w:val="18"/>
                <w:szCs w:val="18"/>
              </w:rPr>
              <w:footnoteReference w:id="5"/>
            </w:r>
          </w:p>
        </w:tc>
        <w:tc>
          <w:tcPr>
            <w:tcW w:w="1057" w:type="dxa"/>
            <w:vAlign w:val="center"/>
          </w:tcPr>
          <w:p w14:paraId="6548DE6D" w14:textId="77777777" w:rsidR="00DA0BB8" w:rsidRPr="007278E5" w:rsidRDefault="00DA0BB8" w:rsidP="00CB08F5">
            <w:pPr>
              <w:spacing w:after="0" w:line="240" w:lineRule="auto"/>
              <w:jc w:val="center"/>
              <w:rPr>
                <w:rFonts w:ascii="Arial" w:hAnsi="Arial" w:cs="Arial"/>
                <w:sz w:val="18"/>
                <w:szCs w:val="18"/>
                <w:highlight w:val="yellow"/>
              </w:rPr>
            </w:pPr>
            <w:r w:rsidRPr="007278E5">
              <w:rPr>
                <w:rFonts w:ascii="Arial" w:hAnsi="Arial" w:cs="Arial"/>
                <w:sz w:val="18"/>
                <w:szCs w:val="18"/>
              </w:rPr>
              <w:t>4.6</w:t>
            </w:r>
          </w:p>
        </w:tc>
        <w:tc>
          <w:tcPr>
            <w:tcW w:w="3780" w:type="dxa"/>
          </w:tcPr>
          <w:p w14:paraId="3789DB82" w14:textId="77777777" w:rsidR="00DA0BB8" w:rsidRPr="007278E5" w:rsidRDefault="00DA0BB8" w:rsidP="00CB08F5">
            <w:pPr>
              <w:rPr>
                <w:rFonts w:ascii="Arial" w:hAnsi="Arial" w:cs="Arial"/>
                <w:sz w:val="18"/>
                <w:szCs w:val="18"/>
                <w:lang w:eastAsia="zh-CN"/>
              </w:rPr>
            </w:pPr>
            <w:r w:rsidRPr="007278E5">
              <w:rPr>
                <w:rFonts w:ascii="Arial" w:hAnsi="Arial" w:cs="Arial"/>
                <w:sz w:val="18"/>
                <w:szCs w:val="18"/>
                <w:lang w:eastAsia="zh-CN"/>
              </w:rPr>
              <w:t>Evaluation: before and after</w:t>
            </w:r>
            <w:r>
              <w:rPr>
                <w:rFonts w:ascii="Arial" w:hAnsi="Arial" w:cs="Arial"/>
                <w:sz w:val="18"/>
                <w:szCs w:val="18"/>
                <w:lang w:eastAsia="zh-CN"/>
              </w:rPr>
              <w:t xml:space="preserve">. </w:t>
            </w:r>
            <w:r w:rsidRPr="007278E5">
              <w:rPr>
                <w:rFonts w:ascii="Arial" w:hAnsi="Arial" w:cs="Arial"/>
                <w:sz w:val="18"/>
                <w:szCs w:val="18"/>
                <w:lang w:eastAsia="zh-CN"/>
              </w:rPr>
              <w:t xml:space="preserve">Source: </w:t>
            </w:r>
            <w:proofErr w:type="gramStart"/>
            <w:r>
              <w:rPr>
                <w:rFonts w:ascii="Arial" w:hAnsi="Arial" w:cs="Arial"/>
                <w:sz w:val="18"/>
                <w:szCs w:val="18"/>
                <w:lang w:eastAsia="zh-CN"/>
              </w:rPr>
              <w:t>t</w:t>
            </w:r>
            <w:r w:rsidRPr="007278E5">
              <w:rPr>
                <w:rFonts w:ascii="Arial" w:hAnsi="Arial" w:cs="Arial"/>
                <w:sz w:val="18"/>
                <w:szCs w:val="18"/>
                <w:lang w:eastAsia="zh-CN"/>
              </w:rPr>
              <w:t>he</w:t>
            </w:r>
            <w:proofErr w:type="gramEnd"/>
            <w:r w:rsidRPr="007278E5">
              <w:rPr>
                <w:rFonts w:ascii="Arial" w:hAnsi="Arial" w:cs="Arial"/>
                <w:sz w:val="18"/>
                <w:szCs w:val="18"/>
                <w:lang w:eastAsia="zh-CN"/>
              </w:rPr>
              <w:t xml:space="preserve"> Global Competitiveness</w:t>
            </w:r>
            <w:r>
              <w:rPr>
                <w:rFonts w:ascii="Arial" w:hAnsi="Arial" w:cs="Arial"/>
                <w:sz w:val="18"/>
                <w:szCs w:val="18"/>
                <w:lang w:eastAsia="zh-CN"/>
              </w:rPr>
              <w:t xml:space="preserve"> </w:t>
            </w:r>
            <w:r w:rsidRPr="007278E5">
              <w:rPr>
                <w:rFonts w:ascii="Arial" w:hAnsi="Arial" w:cs="Arial"/>
                <w:sz w:val="18"/>
                <w:szCs w:val="18"/>
                <w:lang w:eastAsia="zh-CN"/>
              </w:rPr>
              <w:t xml:space="preserve">Report – </w:t>
            </w:r>
            <w:hyperlink r:id="rId25" w:history="1">
              <w:r w:rsidRPr="007278E5">
                <w:rPr>
                  <w:rStyle w:val="Hyperlink"/>
                  <w:rFonts w:ascii="Arial" w:hAnsi="Arial" w:cs="Arial"/>
                  <w:sz w:val="18"/>
                  <w:szCs w:val="18"/>
                  <w:lang w:eastAsia="zh-CN"/>
                </w:rPr>
                <w:t>World Economic Forum</w:t>
              </w:r>
            </w:hyperlink>
            <w:r w:rsidRPr="007278E5">
              <w:rPr>
                <w:rStyle w:val="FootnoteReference"/>
                <w:sz w:val="18"/>
                <w:szCs w:val="18"/>
                <w:lang w:eastAsia="zh-CN"/>
              </w:rPr>
              <w:footnoteReference w:id="6"/>
            </w:r>
            <w:r w:rsidRPr="007278E5">
              <w:rPr>
                <w:rFonts w:ascii="Arial" w:hAnsi="Arial" w:cs="Arial"/>
                <w:sz w:val="18"/>
                <w:szCs w:val="18"/>
              </w:rPr>
              <w:t xml:space="preserve"> </w:t>
            </w:r>
          </w:p>
          <w:p w14:paraId="3EB6D0E2" w14:textId="77777777" w:rsidR="00DA0BB8" w:rsidRPr="007278E5" w:rsidRDefault="00DA0BB8" w:rsidP="00CB08F5">
            <w:pPr>
              <w:rPr>
                <w:rFonts w:ascii="Arial" w:hAnsi="Arial" w:cs="Arial"/>
                <w:sz w:val="18"/>
                <w:szCs w:val="18"/>
              </w:rPr>
            </w:pPr>
            <w:r w:rsidRPr="007278E5">
              <w:rPr>
                <w:rFonts w:ascii="Arial" w:hAnsi="Arial" w:cs="Arial"/>
                <w:sz w:val="18"/>
                <w:szCs w:val="18"/>
              </w:rPr>
              <w:t>2</w:t>
            </w:r>
            <w:r w:rsidRPr="007278E5">
              <w:rPr>
                <w:rFonts w:ascii="Arial" w:hAnsi="Arial" w:cs="Arial"/>
                <w:sz w:val="18"/>
                <w:szCs w:val="18"/>
                <w:vertAlign w:val="superscript"/>
              </w:rPr>
              <w:t>nd</w:t>
            </w:r>
            <w:r w:rsidRPr="007278E5">
              <w:rPr>
                <w:rFonts w:ascii="Arial" w:hAnsi="Arial" w:cs="Arial"/>
                <w:sz w:val="18"/>
                <w:szCs w:val="18"/>
              </w:rPr>
              <w:t xml:space="preserve"> </w:t>
            </w:r>
            <w:r>
              <w:rPr>
                <w:rFonts w:ascii="Arial" w:hAnsi="Arial" w:cs="Arial"/>
                <w:sz w:val="18"/>
                <w:szCs w:val="18"/>
              </w:rPr>
              <w:t>p</w:t>
            </w:r>
            <w:r w:rsidRPr="007278E5">
              <w:rPr>
                <w:rFonts w:ascii="Arial" w:hAnsi="Arial" w:cs="Arial"/>
                <w:sz w:val="18"/>
                <w:szCs w:val="18"/>
              </w:rPr>
              <w:t xml:space="preserve">illar: </w:t>
            </w:r>
            <w:r>
              <w:rPr>
                <w:rFonts w:ascii="Arial" w:hAnsi="Arial" w:cs="Arial"/>
                <w:sz w:val="18"/>
                <w:szCs w:val="18"/>
              </w:rPr>
              <w:t>i</w:t>
            </w:r>
            <w:r w:rsidRPr="007278E5">
              <w:rPr>
                <w:rFonts w:ascii="Arial" w:hAnsi="Arial" w:cs="Arial"/>
                <w:sz w:val="18"/>
                <w:szCs w:val="18"/>
              </w:rPr>
              <w:t>nfrastructure</w:t>
            </w:r>
          </w:p>
          <w:p w14:paraId="067852F5" w14:textId="77777777" w:rsidR="00DA0BB8" w:rsidRPr="007278E5" w:rsidRDefault="00DA0BB8" w:rsidP="00CB08F5">
            <w:pPr>
              <w:rPr>
                <w:rFonts w:ascii="Arial" w:hAnsi="Arial" w:cs="Arial"/>
                <w:sz w:val="18"/>
                <w:szCs w:val="18"/>
              </w:rPr>
            </w:pPr>
            <w:r w:rsidRPr="007278E5">
              <w:rPr>
                <w:rFonts w:ascii="Arial" w:hAnsi="Arial" w:cs="Arial"/>
                <w:sz w:val="18"/>
                <w:szCs w:val="18"/>
              </w:rPr>
              <w:t>Indicator: quality of port infrastructure</w:t>
            </w:r>
          </w:p>
          <w:p w14:paraId="51134736" w14:textId="77777777" w:rsidR="00DA0BB8" w:rsidRPr="007278E5" w:rsidRDefault="00DA0BB8" w:rsidP="00CB08F5">
            <w:pPr>
              <w:rPr>
                <w:rFonts w:ascii="Arial" w:hAnsi="Arial" w:cs="Arial"/>
                <w:sz w:val="18"/>
                <w:szCs w:val="18"/>
              </w:rPr>
            </w:pPr>
            <w:r w:rsidRPr="007278E5">
              <w:rPr>
                <w:rFonts w:ascii="Arial" w:hAnsi="Arial" w:cs="Arial"/>
                <w:sz w:val="18"/>
                <w:szCs w:val="18"/>
              </w:rPr>
              <w:t xml:space="preserve">Frequency: </w:t>
            </w:r>
            <w:r w:rsidRPr="007278E5">
              <w:rPr>
                <w:rFonts w:ascii="Arial" w:hAnsi="Arial" w:cs="Arial"/>
                <w:noProof/>
                <w:sz w:val="18"/>
                <w:szCs w:val="18"/>
              </w:rPr>
              <w:t>yearly</w:t>
            </w:r>
          </w:p>
          <w:p w14:paraId="6B9FC406" w14:textId="77777777" w:rsidR="00DA0BB8" w:rsidRPr="007278E5" w:rsidRDefault="00DA0BB8" w:rsidP="00CB08F5">
            <w:pPr>
              <w:rPr>
                <w:rFonts w:ascii="Arial" w:hAnsi="Arial" w:cs="Arial"/>
                <w:sz w:val="18"/>
                <w:szCs w:val="18"/>
              </w:rPr>
            </w:pPr>
          </w:p>
        </w:tc>
        <w:tc>
          <w:tcPr>
            <w:tcW w:w="2700" w:type="dxa"/>
          </w:tcPr>
          <w:p w14:paraId="6B2FF91D" w14:textId="77777777" w:rsidR="00DA0BB8" w:rsidRPr="007278E5" w:rsidRDefault="00DA0BB8" w:rsidP="00CB08F5">
            <w:pPr>
              <w:spacing w:before="120" w:after="120" w:line="240" w:lineRule="auto"/>
              <w:jc w:val="both"/>
              <w:rPr>
                <w:rFonts w:ascii="Arial" w:hAnsi="Arial" w:cs="Arial"/>
                <w:sz w:val="18"/>
                <w:szCs w:val="18"/>
              </w:rPr>
            </w:pPr>
            <w:r w:rsidRPr="007278E5">
              <w:rPr>
                <w:rFonts w:ascii="Arial" w:hAnsi="Arial" w:cs="Arial"/>
                <w:sz w:val="18"/>
                <w:szCs w:val="18"/>
              </w:rPr>
              <w:t xml:space="preserve">The index varies from </w:t>
            </w:r>
            <w:r w:rsidRPr="007278E5">
              <w:rPr>
                <w:rFonts w:ascii="Arial" w:hAnsi="Arial" w:cs="Arial"/>
                <w:sz w:val="18"/>
                <w:szCs w:val="18"/>
              </w:rPr>
              <w:br/>
              <w:t xml:space="preserve">1–7 (poor–excellent). The goal was estimated by comparison with the index for the Bank’s countries within Central America and the </w:t>
            </w:r>
            <w:r w:rsidRPr="007278E5">
              <w:rPr>
                <w:rFonts w:ascii="Arial" w:hAnsi="Arial" w:cs="Arial"/>
                <w:noProof/>
                <w:sz w:val="18"/>
                <w:szCs w:val="18"/>
              </w:rPr>
              <w:t>Caribbean</w:t>
            </w:r>
            <w:r w:rsidRPr="007278E5">
              <w:rPr>
                <w:rFonts w:ascii="Arial" w:hAnsi="Arial" w:cs="Arial"/>
                <w:sz w:val="18"/>
                <w:szCs w:val="18"/>
              </w:rPr>
              <w:t xml:space="preserve"> region with similar </w:t>
            </w:r>
            <w:r w:rsidRPr="00EB0FEC">
              <w:rPr>
                <w:rFonts w:ascii="Arial" w:hAnsi="Arial" w:cs="Arial"/>
                <w:sz w:val="18"/>
                <w:szCs w:val="18"/>
              </w:rPr>
              <w:t xml:space="preserve">Gross Domestic Product </w:t>
            </w:r>
            <w:r>
              <w:rPr>
                <w:rFonts w:ascii="Arial" w:hAnsi="Arial" w:cs="Arial"/>
                <w:sz w:val="18"/>
                <w:szCs w:val="18"/>
              </w:rPr>
              <w:t>(</w:t>
            </w:r>
            <w:r w:rsidRPr="007278E5">
              <w:rPr>
                <w:rFonts w:ascii="Arial" w:hAnsi="Arial" w:cs="Arial"/>
                <w:sz w:val="18"/>
                <w:szCs w:val="18"/>
              </w:rPr>
              <w:t>GDP</w:t>
            </w:r>
            <w:r>
              <w:rPr>
                <w:rFonts w:ascii="Arial" w:hAnsi="Arial" w:cs="Arial"/>
                <w:sz w:val="18"/>
                <w:szCs w:val="18"/>
              </w:rPr>
              <w:t>)</w:t>
            </w:r>
            <w:r w:rsidRPr="007278E5">
              <w:rPr>
                <w:rFonts w:ascii="Arial" w:hAnsi="Arial" w:cs="Arial"/>
                <w:sz w:val="18"/>
                <w:szCs w:val="18"/>
              </w:rPr>
              <w:t xml:space="preserve"> and sea cargo volumes</w:t>
            </w:r>
            <w:r w:rsidRPr="007278E5">
              <w:rPr>
                <w:rStyle w:val="FootnoteReference"/>
                <w:sz w:val="18"/>
                <w:szCs w:val="18"/>
              </w:rPr>
              <w:footnoteReference w:id="7"/>
            </w:r>
          </w:p>
          <w:p w14:paraId="2A74ACC5" w14:textId="77777777" w:rsidR="00DA0BB8" w:rsidRPr="007278E5" w:rsidRDefault="00DA0BB8" w:rsidP="00CB08F5">
            <w:pPr>
              <w:spacing w:before="120" w:after="120" w:line="240" w:lineRule="auto"/>
              <w:jc w:val="both"/>
              <w:rPr>
                <w:rFonts w:ascii="Arial" w:hAnsi="Arial" w:cs="Arial"/>
                <w:sz w:val="18"/>
                <w:szCs w:val="18"/>
              </w:rPr>
            </w:pPr>
            <w:r>
              <w:rPr>
                <w:rFonts w:ascii="Arial" w:hAnsi="Arial" w:cs="Arial"/>
                <w:sz w:val="18"/>
                <w:szCs w:val="18"/>
              </w:rPr>
              <w:t>It w</w:t>
            </w:r>
            <w:r w:rsidRPr="007278E5">
              <w:rPr>
                <w:rFonts w:ascii="Arial" w:hAnsi="Arial" w:cs="Arial"/>
                <w:sz w:val="18"/>
                <w:szCs w:val="18"/>
              </w:rPr>
              <w:t xml:space="preserve">ill be evaluated by comparing the reported index vs the </w:t>
            </w:r>
            <w:r>
              <w:rPr>
                <w:rFonts w:ascii="Arial" w:hAnsi="Arial" w:cs="Arial"/>
                <w:sz w:val="18"/>
                <w:szCs w:val="18"/>
              </w:rPr>
              <w:t>e</w:t>
            </w:r>
            <w:r w:rsidRPr="007278E5">
              <w:rPr>
                <w:rFonts w:ascii="Arial" w:hAnsi="Arial" w:cs="Arial"/>
                <w:sz w:val="18"/>
                <w:szCs w:val="18"/>
              </w:rPr>
              <w:t xml:space="preserve">nd of </w:t>
            </w:r>
            <w:r>
              <w:rPr>
                <w:rFonts w:ascii="Arial" w:hAnsi="Arial" w:cs="Arial"/>
                <w:sz w:val="18"/>
                <w:szCs w:val="18"/>
              </w:rPr>
              <w:t>the p</w:t>
            </w:r>
            <w:r w:rsidRPr="007278E5">
              <w:rPr>
                <w:rFonts w:ascii="Arial" w:hAnsi="Arial" w:cs="Arial"/>
                <w:sz w:val="18"/>
                <w:szCs w:val="18"/>
              </w:rPr>
              <w:t>roject goal</w:t>
            </w:r>
          </w:p>
        </w:tc>
      </w:tr>
      <w:tr w:rsidR="00DA0BB8" w:rsidRPr="007278E5" w14:paraId="055A05F7" w14:textId="77777777" w:rsidTr="00CB08F5">
        <w:trPr>
          <w:trHeight w:val="2987"/>
          <w:jc w:val="center"/>
        </w:trPr>
        <w:tc>
          <w:tcPr>
            <w:tcW w:w="1998" w:type="dxa"/>
            <w:vAlign w:val="center"/>
          </w:tcPr>
          <w:p w14:paraId="0F6E7F40" w14:textId="77777777" w:rsidR="00DA0BB8" w:rsidRPr="007278E5" w:rsidRDefault="00DA0BB8" w:rsidP="00CB08F5">
            <w:pPr>
              <w:pStyle w:val="ListParagraph"/>
              <w:spacing w:after="0" w:line="240" w:lineRule="auto"/>
              <w:ind w:left="0"/>
              <w:rPr>
                <w:rFonts w:ascii="Arial" w:hAnsi="Arial" w:cs="Arial"/>
                <w:sz w:val="18"/>
                <w:szCs w:val="18"/>
                <w:lang w:val="en-CA"/>
              </w:rPr>
            </w:pPr>
            <w:r w:rsidRPr="007278E5">
              <w:rPr>
                <w:rFonts w:ascii="Arial" w:hAnsi="Arial" w:cs="Arial"/>
                <w:sz w:val="18"/>
                <w:szCs w:val="18"/>
                <w:lang w:val="en-CA"/>
              </w:rPr>
              <w:lastRenderedPageBreak/>
              <w:t>Trading Across Borders Ranking (out of 190)</w:t>
            </w:r>
          </w:p>
        </w:tc>
        <w:tc>
          <w:tcPr>
            <w:tcW w:w="1422" w:type="dxa"/>
            <w:vAlign w:val="center"/>
          </w:tcPr>
          <w:p w14:paraId="1D1478F8"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Position</w:t>
            </w:r>
          </w:p>
        </w:tc>
        <w:tc>
          <w:tcPr>
            <w:tcW w:w="1188" w:type="dxa"/>
            <w:vAlign w:val="center"/>
          </w:tcPr>
          <w:p w14:paraId="357176D8"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87</w:t>
            </w:r>
          </w:p>
        </w:tc>
        <w:tc>
          <w:tcPr>
            <w:tcW w:w="1170" w:type="dxa"/>
            <w:vAlign w:val="center"/>
          </w:tcPr>
          <w:p w14:paraId="5CE91183"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2018</w:t>
            </w:r>
          </w:p>
        </w:tc>
        <w:tc>
          <w:tcPr>
            <w:tcW w:w="1057" w:type="dxa"/>
            <w:vAlign w:val="center"/>
          </w:tcPr>
          <w:p w14:paraId="7451AEA5"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85</w:t>
            </w:r>
          </w:p>
        </w:tc>
        <w:tc>
          <w:tcPr>
            <w:tcW w:w="3780" w:type="dxa"/>
          </w:tcPr>
          <w:p w14:paraId="7CA5EAE5" w14:textId="77777777" w:rsidR="00DA0BB8" w:rsidRPr="00EB0FEC" w:rsidRDefault="00DA0BB8" w:rsidP="00CB08F5">
            <w:pPr>
              <w:rPr>
                <w:rStyle w:val="Hyperlink"/>
                <w:rFonts w:ascii="Arial" w:hAnsi="Arial" w:cs="Arial"/>
                <w:sz w:val="18"/>
                <w:szCs w:val="18"/>
                <w:lang w:eastAsia="zh-CN"/>
              </w:rPr>
            </w:pPr>
            <w:r w:rsidRPr="007278E5">
              <w:rPr>
                <w:rFonts w:ascii="Arial" w:hAnsi="Arial" w:cs="Arial"/>
                <w:sz w:val="18"/>
                <w:szCs w:val="18"/>
                <w:lang w:eastAsia="zh-CN"/>
              </w:rPr>
              <w:t xml:space="preserve">Evaluation: </w:t>
            </w:r>
            <w:r>
              <w:rPr>
                <w:rFonts w:ascii="Arial" w:hAnsi="Arial" w:cs="Arial"/>
                <w:sz w:val="18"/>
                <w:szCs w:val="18"/>
                <w:lang w:eastAsia="zh-CN"/>
              </w:rPr>
              <w:t>b</w:t>
            </w:r>
            <w:r w:rsidRPr="00EB0FEC">
              <w:rPr>
                <w:rFonts w:ascii="Arial" w:hAnsi="Arial" w:cs="Arial"/>
                <w:sz w:val="18"/>
                <w:szCs w:val="18"/>
                <w:lang w:eastAsia="zh-CN"/>
              </w:rPr>
              <w:t xml:space="preserve">efore and after. Source: </w:t>
            </w:r>
            <w:hyperlink r:id="rId26" w:history="1">
              <w:r w:rsidRPr="00EB0FEC">
                <w:rPr>
                  <w:rStyle w:val="Hyperlink"/>
                  <w:rFonts w:ascii="Arial" w:hAnsi="Arial" w:cs="Arial"/>
                  <w:sz w:val="18"/>
                  <w:szCs w:val="18"/>
                  <w:lang w:eastAsia="zh-CN"/>
                </w:rPr>
                <w:t>Doing Business Survey</w:t>
              </w:r>
            </w:hyperlink>
          </w:p>
          <w:p w14:paraId="0431563F" w14:textId="77777777" w:rsidR="00DA0BB8" w:rsidRPr="00EB0FEC" w:rsidRDefault="00DA0BB8" w:rsidP="00CB08F5">
            <w:pPr>
              <w:rPr>
                <w:rFonts w:ascii="Arial" w:hAnsi="Arial" w:cs="Arial"/>
                <w:sz w:val="18"/>
                <w:szCs w:val="18"/>
                <w:lang w:eastAsia="zh-CN"/>
              </w:rPr>
            </w:pPr>
            <w:r w:rsidRPr="00EB0FEC">
              <w:rPr>
                <w:rFonts w:ascii="Arial" w:hAnsi="Arial" w:cs="Arial"/>
                <w:sz w:val="18"/>
                <w:szCs w:val="18"/>
                <w:lang w:eastAsia="zh-CN"/>
              </w:rPr>
              <w:t xml:space="preserve">Frequency: </w:t>
            </w:r>
            <w:r w:rsidRPr="00EB0FEC">
              <w:rPr>
                <w:rFonts w:ascii="Arial" w:hAnsi="Arial" w:cs="Arial"/>
                <w:noProof/>
                <w:sz w:val="18"/>
                <w:szCs w:val="18"/>
                <w:lang w:eastAsia="zh-CN"/>
              </w:rPr>
              <w:t>yearly</w:t>
            </w:r>
          </w:p>
          <w:p w14:paraId="73C65685" w14:textId="77777777" w:rsidR="00DA0BB8" w:rsidRPr="00EB0FEC" w:rsidRDefault="00DA0BB8" w:rsidP="00CB08F5">
            <w:pPr>
              <w:rPr>
                <w:rFonts w:ascii="Arial" w:hAnsi="Arial" w:cs="Arial"/>
                <w:sz w:val="18"/>
                <w:szCs w:val="18"/>
                <w:lang w:eastAsia="zh-CN"/>
              </w:rPr>
            </w:pPr>
            <w:r w:rsidRPr="00EB0FEC">
              <w:rPr>
                <w:rFonts w:ascii="Arial" w:hAnsi="Arial" w:cs="Arial"/>
                <w:sz w:val="18"/>
                <w:szCs w:val="18"/>
                <w:lang w:eastAsia="zh-CN"/>
              </w:rPr>
              <w:t xml:space="preserve">Synthetic Control Method (SCM) impact evaluation (see </w:t>
            </w:r>
            <w:hyperlink r:id="rId27" w:history="1">
              <w:r w:rsidRPr="00EB0FEC">
                <w:rPr>
                  <w:rStyle w:val="Hyperlink"/>
                  <w:rFonts w:ascii="Arial" w:hAnsi="Arial" w:cs="Arial"/>
                  <w:sz w:val="18"/>
                  <w:szCs w:val="18"/>
                  <w:lang w:eastAsia="zh-CN"/>
                </w:rPr>
                <w:t>OEL#2</w:t>
              </w:r>
            </w:hyperlink>
            <w:r w:rsidRPr="00EB0FEC">
              <w:rPr>
                <w:rFonts w:ascii="Arial" w:hAnsi="Arial" w:cs="Arial"/>
                <w:sz w:val="18"/>
                <w:szCs w:val="18"/>
                <w:lang w:eastAsia="zh-CN"/>
              </w:rPr>
              <w:t>, section III)</w:t>
            </w:r>
          </w:p>
          <w:p w14:paraId="1AF22FE5" w14:textId="77777777" w:rsidR="00DA0BB8" w:rsidRPr="007278E5" w:rsidRDefault="00DA0BB8" w:rsidP="00CB08F5">
            <w:pPr>
              <w:autoSpaceDE w:val="0"/>
              <w:autoSpaceDN w:val="0"/>
              <w:adjustRightInd w:val="0"/>
              <w:spacing w:after="0" w:line="240" w:lineRule="auto"/>
              <w:rPr>
                <w:rFonts w:ascii="Arial" w:hAnsi="Arial" w:cs="Arial"/>
                <w:sz w:val="18"/>
                <w:szCs w:val="18"/>
                <w:lang w:eastAsia="zh-CN"/>
              </w:rPr>
            </w:pPr>
          </w:p>
        </w:tc>
        <w:tc>
          <w:tcPr>
            <w:tcW w:w="2700" w:type="dxa"/>
          </w:tcPr>
          <w:p w14:paraId="5824162B" w14:textId="77777777" w:rsidR="00DA0BB8" w:rsidRPr="007278E5" w:rsidRDefault="00DA0BB8" w:rsidP="00CB08F5">
            <w:pPr>
              <w:spacing w:before="120" w:after="120" w:line="240" w:lineRule="auto"/>
              <w:jc w:val="both"/>
              <w:rPr>
                <w:rFonts w:ascii="Arial" w:hAnsi="Arial" w:cs="Arial"/>
                <w:sz w:val="18"/>
                <w:szCs w:val="18"/>
              </w:rPr>
            </w:pPr>
            <w:r w:rsidRPr="007278E5">
              <w:rPr>
                <w:rFonts w:ascii="Arial" w:hAnsi="Arial" w:cs="Arial"/>
                <w:sz w:val="18"/>
                <w:szCs w:val="18"/>
              </w:rPr>
              <w:t xml:space="preserve">The ranking of economies in the ease of trading across borders is determined by sorting their distance to frontier scores for trading across borders. These scores are </w:t>
            </w:r>
            <w:r w:rsidRPr="007278E5">
              <w:rPr>
                <w:rFonts w:ascii="Arial" w:hAnsi="Arial" w:cs="Arial"/>
                <w:noProof/>
                <w:sz w:val="18"/>
                <w:szCs w:val="18"/>
              </w:rPr>
              <w:t>the average</w:t>
            </w:r>
            <w:r w:rsidRPr="007278E5">
              <w:rPr>
                <w:rFonts w:ascii="Arial" w:hAnsi="Arial" w:cs="Arial"/>
                <w:sz w:val="18"/>
                <w:szCs w:val="18"/>
              </w:rPr>
              <w:t xml:space="preserve"> of the distance to frontier scores for the time and cost for documentary and border compliance to export and import. The ranking compares 190 countries</w:t>
            </w:r>
          </w:p>
          <w:p w14:paraId="7B734F60" w14:textId="77777777" w:rsidR="00DA0BB8" w:rsidRPr="007278E5" w:rsidRDefault="00DA0BB8" w:rsidP="00CB08F5">
            <w:pPr>
              <w:spacing w:before="120" w:after="120" w:line="240" w:lineRule="auto"/>
              <w:jc w:val="both"/>
              <w:rPr>
                <w:rFonts w:ascii="Arial" w:hAnsi="Arial" w:cs="Arial"/>
                <w:sz w:val="18"/>
                <w:szCs w:val="18"/>
              </w:rPr>
            </w:pPr>
            <w:r w:rsidRPr="007278E5">
              <w:rPr>
                <w:rFonts w:ascii="Arial" w:hAnsi="Arial" w:cs="Arial"/>
                <w:sz w:val="18"/>
                <w:szCs w:val="18"/>
              </w:rPr>
              <w:t xml:space="preserve">Goal: </w:t>
            </w:r>
            <w:r>
              <w:rPr>
                <w:rFonts w:ascii="Arial" w:hAnsi="Arial" w:cs="Arial"/>
                <w:sz w:val="18"/>
                <w:szCs w:val="18"/>
              </w:rPr>
              <w:t>i</w:t>
            </w:r>
            <w:r w:rsidRPr="007278E5">
              <w:rPr>
                <w:rFonts w:ascii="Arial" w:hAnsi="Arial" w:cs="Arial"/>
                <w:sz w:val="18"/>
                <w:szCs w:val="18"/>
              </w:rPr>
              <w:t xml:space="preserve">t is expected that in </w:t>
            </w:r>
            <w:r>
              <w:rPr>
                <w:rFonts w:ascii="Arial" w:hAnsi="Arial" w:cs="Arial"/>
                <w:sz w:val="18"/>
                <w:szCs w:val="18"/>
              </w:rPr>
              <w:br/>
            </w:r>
            <w:r w:rsidRPr="007278E5">
              <w:rPr>
                <w:rFonts w:ascii="Arial" w:hAnsi="Arial" w:cs="Arial"/>
                <w:noProof/>
                <w:sz w:val="18"/>
                <w:szCs w:val="18"/>
              </w:rPr>
              <w:t>long-term</w:t>
            </w:r>
            <w:r w:rsidRPr="007278E5">
              <w:rPr>
                <w:rFonts w:ascii="Arial" w:hAnsi="Arial" w:cs="Arial"/>
                <w:sz w:val="18"/>
                <w:szCs w:val="18"/>
              </w:rPr>
              <w:t xml:space="preserve"> Suriname’s improvement in trade facilitation will be reflected in the country’s ranking in the indicators by improving at least </w:t>
            </w:r>
            <w:r>
              <w:rPr>
                <w:rFonts w:ascii="Arial" w:hAnsi="Arial" w:cs="Arial"/>
                <w:sz w:val="18"/>
                <w:szCs w:val="18"/>
              </w:rPr>
              <w:t>two</w:t>
            </w:r>
            <w:r w:rsidRPr="007278E5">
              <w:rPr>
                <w:rFonts w:ascii="Arial" w:hAnsi="Arial" w:cs="Arial"/>
                <w:sz w:val="18"/>
                <w:szCs w:val="18"/>
              </w:rPr>
              <w:t xml:space="preserve"> positions</w:t>
            </w:r>
          </w:p>
          <w:p w14:paraId="11B91B53" w14:textId="77777777" w:rsidR="00DA0BB8" w:rsidRPr="007278E5" w:rsidRDefault="00DA0BB8" w:rsidP="00CB08F5">
            <w:pPr>
              <w:spacing w:before="120" w:after="120" w:line="240" w:lineRule="auto"/>
              <w:jc w:val="both"/>
              <w:rPr>
                <w:rFonts w:ascii="Arial" w:hAnsi="Arial" w:cs="Arial"/>
                <w:sz w:val="18"/>
                <w:szCs w:val="18"/>
              </w:rPr>
            </w:pPr>
          </w:p>
        </w:tc>
      </w:tr>
      <w:tr w:rsidR="00DA0BB8" w:rsidRPr="007278E5" w14:paraId="44913B7A" w14:textId="77777777" w:rsidTr="00CB08F5">
        <w:trPr>
          <w:trHeight w:val="64"/>
          <w:jc w:val="center"/>
        </w:trPr>
        <w:tc>
          <w:tcPr>
            <w:tcW w:w="1998" w:type="dxa"/>
            <w:vAlign w:val="center"/>
          </w:tcPr>
          <w:p w14:paraId="69A37ACB" w14:textId="77777777" w:rsidR="00DA0BB8" w:rsidRPr="007278E5" w:rsidRDefault="00DA0BB8" w:rsidP="00CB08F5">
            <w:pPr>
              <w:pStyle w:val="ListParagraph"/>
              <w:spacing w:after="0" w:line="240" w:lineRule="auto"/>
              <w:ind w:left="0"/>
              <w:rPr>
                <w:rFonts w:ascii="Arial" w:hAnsi="Arial" w:cs="Arial"/>
                <w:sz w:val="18"/>
                <w:szCs w:val="18"/>
                <w:lang w:val="en-CA"/>
              </w:rPr>
            </w:pPr>
            <w:r w:rsidRPr="007278E5">
              <w:rPr>
                <w:rFonts w:ascii="Arial" w:hAnsi="Arial" w:cs="Arial"/>
                <w:noProof/>
                <w:sz w:val="18"/>
                <w:szCs w:val="18"/>
                <w:lang w:val="en-CA"/>
              </w:rPr>
              <w:t>Cost</w:t>
            </w:r>
            <w:r w:rsidRPr="007278E5">
              <w:rPr>
                <w:rFonts w:ascii="Arial" w:hAnsi="Arial" w:cs="Arial"/>
                <w:sz w:val="18"/>
                <w:szCs w:val="18"/>
                <w:lang w:val="en-CA"/>
              </w:rPr>
              <w:t xml:space="preserve"> to import (</w:t>
            </w:r>
            <w:r>
              <w:rPr>
                <w:rFonts w:ascii="Arial" w:hAnsi="Arial" w:cs="Arial"/>
                <w:sz w:val="18"/>
                <w:szCs w:val="18"/>
                <w:lang w:val="en-CA"/>
              </w:rPr>
              <w:t>b</w:t>
            </w:r>
            <w:r w:rsidRPr="007278E5">
              <w:rPr>
                <w:rFonts w:ascii="Arial" w:hAnsi="Arial" w:cs="Arial"/>
                <w:sz w:val="18"/>
                <w:szCs w:val="18"/>
                <w:lang w:val="en-CA"/>
              </w:rPr>
              <w:t xml:space="preserve">order </w:t>
            </w:r>
            <w:r>
              <w:rPr>
                <w:rFonts w:ascii="Arial" w:hAnsi="Arial" w:cs="Arial"/>
                <w:sz w:val="18"/>
                <w:szCs w:val="18"/>
                <w:lang w:val="en-CA"/>
              </w:rPr>
              <w:t>c</w:t>
            </w:r>
            <w:r w:rsidRPr="007278E5">
              <w:rPr>
                <w:rFonts w:ascii="Arial" w:hAnsi="Arial" w:cs="Arial"/>
                <w:sz w:val="18"/>
                <w:szCs w:val="18"/>
                <w:lang w:val="en-CA"/>
              </w:rPr>
              <w:t>ompliance)</w:t>
            </w:r>
          </w:p>
        </w:tc>
        <w:tc>
          <w:tcPr>
            <w:tcW w:w="1422" w:type="dxa"/>
            <w:vAlign w:val="center"/>
          </w:tcPr>
          <w:p w14:paraId="3FAAA213"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USD</w:t>
            </w:r>
          </w:p>
        </w:tc>
        <w:tc>
          <w:tcPr>
            <w:tcW w:w="1188" w:type="dxa"/>
            <w:vAlign w:val="center"/>
          </w:tcPr>
          <w:p w14:paraId="10189510"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658</w:t>
            </w:r>
          </w:p>
        </w:tc>
        <w:tc>
          <w:tcPr>
            <w:tcW w:w="1170" w:type="dxa"/>
            <w:vAlign w:val="center"/>
          </w:tcPr>
          <w:p w14:paraId="1A1B3858"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2019</w:t>
            </w:r>
          </w:p>
        </w:tc>
        <w:tc>
          <w:tcPr>
            <w:tcW w:w="1057" w:type="dxa"/>
            <w:vAlign w:val="center"/>
          </w:tcPr>
          <w:p w14:paraId="214D3DEB" w14:textId="77777777" w:rsidR="00DA0BB8" w:rsidRPr="007278E5" w:rsidRDefault="00DA0BB8" w:rsidP="00CB08F5">
            <w:pPr>
              <w:spacing w:after="0" w:line="240" w:lineRule="auto"/>
              <w:jc w:val="center"/>
              <w:rPr>
                <w:rFonts w:ascii="Arial" w:hAnsi="Arial" w:cs="Arial"/>
                <w:sz w:val="18"/>
                <w:szCs w:val="18"/>
              </w:rPr>
            </w:pPr>
            <w:r w:rsidRPr="007278E5">
              <w:rPr>
                <w:rFonts w:ascii="Arial" w:hAnsi="Arial" w:cs="Arial"/>
                <w:sz w:val="18"/>
                <w:szCs w:val="18"/>
              </w:rPr>
              <w:t>647.2</w:t>
            </w:r>
          </w:p>
        </w:tc>
        <w:tc>
          <w:tcPr>
            <w:tcW w:w="3780" w:type="dxa"/>
          </w:tcPr>
          <w:p w14:paraId="2B4D31D2" w14:textId="77777777" w:rsidR="00DA0BB8" w:rsidRPr="007278E5" w:rsidRDefault="00DA0BB8" w:rsidP="00CB08F5">
            <w:pPr>
              <w:autoSpaceDE w:val="0"/>
              <w:autoSpaceDN w:val="0"/>
              <w:adjustRightInd w:val="0"/>
              <w:spacing w:after="0" w:line="240" w:lineRule="auto"/>
              <w:rPr>
                <w:rFonts w:ascii="Arial" w:hAnsi="Arial" w:cs="Arial"/>
                <w:sz w:val="18"/>
                <w:szCs w:val="18"/>
                <w:lang w:eastAsia="zh-CN"/>
              </w:rPr>
            </w:pPr>
            <w:r>
              <w:rPr>
                <w:rFonts w:ascii="Arial" w:hAnsi="Arial" w:cs="Arial"/>
                <w:sz w:val="18"/>
                <w:szCs w:val="18"/>
                <w:lang w:eastAsia="zh-CN"/>
              </w:rPr>
              <w:t>SCM,</w:t>
            </w:r>
            <w:r w:rsidRPr="007278E5">
              <w:rPr>
                <w:rFonts w:ascii="Arial" w:hAnsi="Arial" w:cs="Arial"/>
                <w:sz w:val="18"/>
                <w:szCs w:val="18"/>
                <w:lang w:eastAsia="zh-CN"/>
              </w:rPr>
              <w:t xml:space="preserve"> </w:t>
            </w:r>
            <w:r>
              <w:rPr>
                <w:rFonts w:ascii="Arial" w:hAnsi="Arial" w:cs="Arial"/>
                <w:sz w:val="18"/>
                <w:szCs w:val="18"/>
                <w:lang w:eastAsia="zh-CN"/>
              </w:rPr>
              <w:t>f</w:t>
            </w:r>
            <w:r w:rsidRPr="007278E5">
              <w:rPr>
                <w:rFonts w:ascii="Arial" w:hAnsi="Arial" w:cs="Arial"/>
                <w:sz w:val="18"/>
                <w:szCs w:val="18"/>
                <w:lang w:eastAsia="zh-CN"/>
              </w:rPr>
              <w:t xml:space="preserve">or more details refer to </w:t>
            </w:r>
            <w:hyperlink r:id="rId28" w:history="1">
              <w:r w:rsidRPr="007278E5">
                <w:rPr>
                  <w:rStyle w:val="Hyperlink"/>
                  <w:rFonts w:ascii="Arial" w:hAnsi="Arial" w:cs="Arial"/>
                  <w:sz w:val="18"/>
                  <w:szCs w:val="18"/>
                  <w:lang w:eastAsia="zh-CN"/>
                </w:rPr>
                <w:t>OEL#2</w:t>
              </w:r>
            </w:hyperlink>
            <w:r w:rsidRPr="007278E5">
              <w:rPr>
                <w:rFonts w:ascii="Arial" w:hAnsi="Arial" w:cs="Arial"/>
                <w:sz w:val="18"/>
                <w:szCs w:val="18"/>
                <w:lang w:eastAsia="zh-CN"/>
              </w:rPr>
              <w:t>, section III</w:t>
            </w:r>
            <w:r>
              <w:rPr>
                <w:rFonts w:ascii="Arial" w:hAnsi="Arial" w:cs="Arial"/>
                <w:sz w:val="18"/>
                <w:szCs w:val="18"/>
                <w:lang w:eastAsia="zh-CN"/>
              </w:rPr>
              <w:t xml:space="preserve">. </w:t>
            </w:r>
            <w:r w:rsidRPr="007278E5">
              <w:rPr>
                <w:rFonts w:ascii="Arial" w:hAnsi="Arial" w:cs="Arial"/>
                <w:sz w:val="18"/>
                <w:szCs w:val="18"/>
                <w:lang w:eastAsia="zh-CN"/>
              </w:rPr>
              <w:t xml:space="preserve">Source: </w:t>
            </w:r>
            <w:hyperlink r:id="rId29" w:history="1">
              <w:r w:rsidRPr="007278E5">
                <w:rPr>
                  <w:rStyle w:val="Hyperlink"/>
                  <w:rFonts w:ascii="Arial" w:hAnsi="Arial" w:cs="Arial"/>
                  <w:sz w:val="18"/>
                  <w:szCs w:val="18"/>
                  <w:lang w:eastAsia="zh-CN"/>
                </w:rPr>
                <w:t>Doing Business Survey</w:t>
              </w:r>
            </w:hyperlink>
          </w:p>
          <w:p w14:paraId="4B7D09C6" w14:textId="77777777" w:rsidR="00DA0BB8" w:rsidRPr="007278E5" w:rsidRDefault="00DA0BB8" w:rsidP="00CB08F5">
            <w:pPr>
              <w:autoSpaceDE w:val="0"/>
              <w:autoSpaceDN w:val="0"/>
              <w:adjustRightInd w:val="0"/>
              <w:spacing w:after="0" w:line="240" w:lineRule="auto"/>
              <w:rPr>
                <w:rFonts w:ascii="Arial" w:hAnsi="Arial" w:cs="Arial"/>
                <w:sz w:val="18"/>
                <w:szCs w:val="18"/>
                <w:lang w:eastAsia="zh-CN"/>
              </w:rPr>
            </w:pPr>
          </w:p>
          <w:p w14:paraId="16ECCB85" w14:textId="77777777" w:rsidR="00DA0BB8" w:rsidRPr="007278E5" w:rsidRDefault="00DA0BB8" w:rsidP="00CB08F5">
            <w:pPr>
              <w:autoSpaceDE w:val="0"/>
              <w:autoSpaceDN w:val="0"/>
              <w:adjustRightInd w:val="0"/>
              <w:spacing w:after="0" w:line="240" w:lineRule="auto"/>
              <w:rPr>
                <w:rFonts w:ascii="Arial" w:hAnsi="Arial" w:cs="Arial"/>
                <w:sz w:val="18"/>
                <w:szCs w:val="18"/>
                <w:lang w:eastAsia="zh-CN"/>
              </w:rPr>
            </w:pPr>
            <w:r w:rsidRPr="007278E5">
              <w:rPr>
                <w:rFonts w:ascii="Arial" w:hAnsi="Arial" w:cs="Arial"/>
                <w:sz w:val="18"/>
                <w:szCs w:val="18"/>
                <w:lang w:eastAsia="zh-CN"/>
              </w:rPr>
              <w:t xml:space="preserve">Frequency: </w:t>
            </w:r>
            <w:r w:rsidRPr="007278E5">
              <w:rPr>
                <w:rFonts w:ascii="Arial" w:hAnsi="Arial" w:cs="Arial"/>
                <w:noProof/>
                <w:sz w:val="18"/>
                <w:szCs w:val="18"/>
                <w:lang w:eastAsia="zh-CN"/>
              </w:rPr>
              <w:t>yearly</w:t>
            </w:r>
          </w:p>
          <w:p w14:paraId="154877F3" w14:textId="77777777" w:rsidR="00DA0BB8" w:rsidRPr="007278E5" w:rsidRDefault="00DA0BB8" w:rsidP="00CB08F5">
            <w:pPr>
              <w:autoSpaceDE w:val="0"/>
              <w:autoSpaceDN w:val="0"/>
              <w:adjustRightInd w:val="0"/>
              <w:spacing w:after="0" w:line="240" w:lineRule="auto"/>
              <w:rPr>
                <w:rFonts w:ascii="Arial" w:hAnsi="Arial" w:cs="Arial"/>
                <w:sz w:val="18"/>
                <w:szCs w:val="18"/>
                <w:lang w:eastAsia="zh-CN"/>
              </w:rPr>
            </w:pPr>
          </w:p>
        </w:tc>
        <w:tc>
          <w:tcPr>
            <w:tcW w:w="2700" w:type="dxa"/>
          </w:tcPr>
          <w:p w14:paraId="182E5576" w14:textId="77777777" w:rsidR="00DA0BB8" w:rsidRPr="007278E5" w:rsidRDefault="00DA0BB8" w:rsidP="00CB08F5">
            <w:pPr>
              <w:spacing w:before="120" w:after="120" w:line="240" w:lineRule="auto"/>
              <w:jc w:val="both"/>
              <w:rPr>
                <w:rFonts w:ascii="Arial" w:hAnsi="Arial" w:cs="Arial"/>
                <w:sz w:val="18"/>
                <w:szCs w:val="18"/>
              </w:rPr>
            </w:pPr>
            <w:r w:rsidRPr="007278E5">
              <w:rPr>
                <w:rFonts w:ascii="Arial" w:hAnsi="Arial" w:cs="Arial"/>
                <w:sz w:val="18"/>
                <w:szCs w:val="18"/>
              </w:rPr>
              <w:t xml:space="preserve">Target is set based on the average for the region. Following </w:t>
            </w:r>
            <w:hyperlink r:id="rId30" w:history="1">
              <w:r w:rsidRPr="007278E5">
                <w:rPr>
                  <w:rStyle w:val="Hyperlink"/>
                  <w:rFonts w:ascii="Arial" w:hAnsi="Arial" w:cs="Arial"/>
                  <w:sz w:val="18"/>
                  <w:szCs w:val="18"/>
                </w:rPr>
                <w:t xml:space="preserve">Abadie and </w:t>
              </w:r>
              <w:proofErr w:type="spellStart"/>
              <w:r w:rsidRPr="007278E5">
                <w:rPr>
                  <w:rStyle w:val="Hyperlink"/>
                  <w:rFonts w:ascii="Arial" w:hAnsi="Arial" w:cs="Arial"/>
                  <w:sz w:val="18"/>
                  <w:szCs w:val="18"/>
                </w:rPr>
                <w:t>Gardeazabal</w:t>
              </w:r>
              <w:proofErr w:type="spellEnd"/>
              <w:r w:rsidRPr="007278E5">
                <w:rPr>
                  <w:rStyle w:val="Hyperlink"/>
                  <w:rFonts w:ascii="Arial" w:hAnsi="Arial" w:cs="Arial"/>
                  <w:sz w:val="18"/>
                  <w:szCs w:val="18"/>
                </w:rPr>
                <w:t xml:space="preserve"> (2003)</w:t>
              </w:r>
            </w:hyperlink>
            <w:r w:rsidRPr="007278E5">
              <w:rPr>
                <w:rFonts w:ascii="Arial" w:hAnsi="Arial" w:cs="Arial"/>
                <w:sz w:val="18"/>
                <w:szCs w:val="18"/>
              </w:rPr>
              <w:t xml:space="preserve"> and </w:t>
            </w:r>
            <w:hyperlink r:id="rId31" w:history="1">
              <w:r w:rsidRPr="007278E5">
                <w:rPr>
                  <w:rStyle w:val="Hyperlink"/>
                  <w:rFonts w:ascii="Arial" w:hAnsi="Arial" w:cs="Arial"/>
                  <w:sz w:val="18"/>
                  <w:szCs w:val="18"/>
                </w:rPr>
                <w:t xml:space="preserve">Abadie </w:t>
              </w:r>
              <w:r w:rsidRPr="00A8182A">
                <w:rPr>
                  <w:rStyle w:val="Hyperlink"/>
                  <w:rFonts w:ascii="Arial" w:hAnsi="Arial" w:cs="Arial"/>
                  <w:sz w:val="18"/>
                  <w:szCs w:val="18"/>
                </w:rPr>
                <w:t>et al</w:t>
              </w:r>
              <w:r>
                <w:rPr>
                  <w:rStyle w:val="Hyperlink"/>
                  <w:rFonts w:ascii="Arial" w:hAnsi="Arial" w:cs="Arial"/>
                  <w:i/>
                  <w:sz w:val="18"/>
                  <w:szCs w:val="18"/>
                </w:rPr>
                <w:t>.</w:t>
              </w:r>
              <w:r w:rsidRPr="007278E5">
                <w:rPr>
                  <w:rStyle w:val="Hyperlink"/>
                  <w:rFonts w:ascii="Arial" w:hAnsi="Arial" w:cs="Arial"/>
                  <w:sz w:val="18"/>
                  <w:szCs w:val="18"/>
                </w:rPr>
                <w:t xml:space="preserve"> (2010)</w:t>
              </w:r>
            </w:hyperlink>
            <w:r w:rsidRPr="007278E5">
              <w:rPr>
                <w:rFonts w:ascii="Arial" w:hAnsi="Arial" w:cs="Arial"/>
                <w:sz w:val="18"/>
                <w:szCs w:val="18"/>
              </w:rPr>
              <w:t>, will follow a</w:t>
            </w:r>
            <w:r>
              <w:rPr>
                <w:rFonts w:ascii="Arial" w:hAnsi="Arial" w:cs="Arial"/>
                <w:sz w:val="18"/>
                <w:szCs w:val="18"/>
              </w:rPr>
              <w:t>n</w:t>
            </w:r>
            <w:r w:rsidRPr="007278E5">
              <w:rPr>
                <w:rFonts w:ascii="Arial" w:hAnsi="Arial" w:cs="Arial"/>
                <w:sz w:val="18"/>
                <w:szCs w:val="18"/>
              </w:rPr>
              <w:t xml:space="preserve"> SCM to estimate the impact of the intervention by building a synthetic control group. Data to be used include yearly published Doing Business </w:t>
            </w:r>
            <w:r>
              <w:rPr>
                <w:rFonts w:ascii="Arial" w:hAnsi="Arial" w:cs="Arial"/>
                <w:sz w:val="18"/>
                <w:szCs w:val="18"/>
              </w:rPr>
              <w:t>I</w:t>
            </w:r>
            <w:r w:rsidRPr="007278E5">
              <w:rPr>
                <w:rFonts w:ascii="Arial" w:hAnsi="Arial" w:cs="Arial"/>
                <w:sz w:val="18"/>
                <w:szCs w:val="18"/>
              </w:rPr>
              <w:t>ndicators, World Development Indicators,</w:t>
            </w:r>
            <w:r>
              <w:rPr>
                <w:rFonts w:ascii="Arial" w:hAnsi="Arial" w:cs="Arial"/>
                <w:sz w:val="18"/>
                <w:szCs w:val="18"/>
              </w:rPr>
              <w:t xml:space="preserve"> and</w:t>
            </w:r>
            <w:r w:rsidRPr="007278E5">
              <w:rPr>
                <w:rFonts w:ascii="Arial" w:hAnsi="Arial" w:cs="Arial"/>
                <w:sz w:val="18"/>
                <w:szCs w:val="18"/>
              </w:rPr>
              <w:t xml:space="preserve"> Global Competitiveness Indicators</w:t>
            </w:r>
          </w:p>
        </w:tc>
      </w:tr>
    </w:tbl>
    <w:p w14:paraId="723C322A" w14:textId="05F50B5E" w:rsidR="00E468C2" w:rsidRDefault="00E468C2" w:rsidP="00F03231">
      <w:pPr>
        <w:autoSpaceDE w:val="0"/>
        <w:autoSpaceDN w:val="0"/>
        <w:adjustRightInd w:val="0"/>
        <w:spacing w:after="120" w:line="240" w:lineRule="auto"/>
        <w:jc w:val="center"/>
        <w:rPr>
          <w:rFonts w:ascii="Arial" w:hAnsi="Arial" w:cs="Arial"/>
          <w:b/>
          <w:smallCaps/>
          <w:sz w:val="20"/>
          <w:szCs w:val="20"/>
        </w:rPr>
      </w:pPr>
    </w:p>
    <w:p w14:paraId="24C1C2A2" w14:textId="77777777" w:rsidR="00DA0BB8" w:rsidRDefault="00DA0BB8" w:rsidP="00F03231">
      <w:pPr>
        <w:autoSpaceDE w:val="0"/>
        <w:autoSpaceDN w:val="0"/>
        <w:adjustRightInd w:val="0"/>
        <w:spacing w:after="120" w:line="240" w:lineRule="auto"/>
        <w:jc w:val="center"/>
        <w:rPr>
          <w:rFonts w:ascii="Arial" w:hAnsi="Arial" w:cs="Arial"/>
          <w:b/>
          <w:smallCaps/>
          <w:sz w:val="20"/>
          <w:szCs w:val="20"/>
        </w:rPr>
      </w:pPr>
    </w:p>
    <w:p w14:paraId="64E83B61" w14:textId="77777777" w:rsidR="00622C6B" w:rsidRPr="00F03231" w:rsidRDefault="00622C6B" w:rsidP="00F03231">
      <w:pPr>
        <w:autoSpaceDE w:val="0"/>
        <w:autoSpaceDN w:val="0"/>
        <w:adjustRightInd w:val="0"/>
        <w:spacing w:after="120" w:line="240" w:lineRule="auto"/>
        <w:jc w:val="center"/>
        <w:rPr>
          <w:rFonts w:ascii="Arial" w:hAnsi="Arial" w:cs="Arial"/>
          <w:b/>
          <w:smallCaps/>
          <w:sz w:val="20"/>
          <w:szCs w:val="20"/>
        </w:rPr>
      </w:pPr>
    </w:p>
    <w:p w14:paraId="2F95BADF" w14:textId="77777777" w:rsidR="001E0779" w:rsidRDefault="001E0779" w:rsidP="00F03231">
      <w:pPr>
        <w:autoSpaceDE w:val="0"/>
        <w:autoSpaceDN w:val="0"/>
        <w:adjustRightInd w:val="0"/>
        <w:spacing w:after="120" w:line="240" w:lineRule="auto"/>
        <w:jc w:val="center"/>
        <w:rPr>
          <w:rFonts w:ascii="Arial" w:hAnsi="Arial" w:cs="Arial"/>
          <w:b/>
          <w:smallCaps/>
          <w:color w:val="000000"/>
          <w:sz w:val="20"/>
          <w:szCs w:val="20"/>
        </w:rPr>
      </w:pPr>
    </w:p>
    <w:p w14:paraId="03516356" w14:textId="7D7FEC35" w:rsidR="00F03231" w:rsidRDefault="00F03231" w:rsidP="00F03231">
      <w:pPr>
        <w:autoSpaceDE w:val="0"/>
        <w:autoSpaceDN w:val="0"/>
        <w:adjustRightInd w:val="0"/>
        <w:spacing w:after="120" w:line="240" w:lineRule="auto"/>
        <w:jc w:val="center"/>
        <w:rPr>
          <w:rFonts w:ascii="Arial" w:hAnsi="Arial" w:cs="Arial"/>
          <w:b/>
          <w:smallCaps/>
          <w:color w:val="000000"/>
          <w:sz w:val="20"/>
          <w:szCs w:val="20"/>
        </w:rPr>
      </w:pPr>
      <w:r w:rsidRPr="00F03231">
        <w:rPr>
          <w:rFonts w:ascii="Arial" w:hAnsi="Arial" w:cs="Arial"/>
          <w:b/>
          <w:smallCaps/>
          <w:color w:val="000000"/>
          <w:sz w:val="20"/>
          <w:szCs w:val="20"/>
        </w:rPr>
        <w:lastRenderedPageBreak/>
        <w:t>Expected Outcomes</w:t>
      </w:r>
    </w:p>
    <w:p w14:paraId="6E3D1C0C" w14:textId="14B2D587" w:rsidR="005E1991" w:rsidRDefault="005E1991" w:rsidP="00B6705C">
      <w:pPr>
        <w:spacing w:after="0" w:line="240" w:lineRule="auto"/>
        <w:ind w:left="1080" w:hanging="1166"/>
        <w:jc w:val="center"/>
        <w:rPr>
          <w:rFonts w:ascii="Times New Roman" w:hAnsi="Times New Roman"/>
          <w:b/>
          <w:sz w:val="24"/>
          <w:szCs w:val="24"/>
        </w:rPr>
      </w:pPr>
    </w:p>
    <w:tbl>
      <w:tblPr>
        <w:tblW w:w="1314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350"/>
        <w:gridCol w:w="1260"/>
        <w:gridCol w:w="1170"/>
        <w:gridCol w:w="1260"/>
        <w:gridCol w:w="3600"/>
        <w:gridCol w:w="2520"/>
      </w:tblGrid>
      <w:tr w:rsidR="000A7418" w:rsidRPr="003E14A8" w14:paraId="2F48D236" w14:textId="77777777" w:rsidTr="00CB08F5">
        <w:trPr>
          <w:trHeight w:val="791"/>
          <w:tblHeader/>
        </w:trPr>
        <w:tc>
          <w:tcPr>
            <w:tcW w:w="1980" w:type="dxa"/>
            <w:shd w:val="clear" w:color="auto" w:fill="D9D9D9" w:themeFill="background1" w:themeFillShade="D9"/>
            <w:vAlign w:val="center"/>
          </w:tcPr>
          <w:p w14:paraId="67760C8E"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Indicators</w:t>
            </w:r>
          </w:p>
        </w:tc>
        <w:tc>
          <w:tcPr>
            <w:tcW w:w="1350" w:type="dxa"/>
            <w:shd w:val="clear" w:color="auto" w:fill="D9D9D9" w:themeFill="background1" w:themeFillShade="D9"/>
            <w:vAlign w:val="center"/>
          </w:tcPr>
          <w:p w14:paraId="36CC969A"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Unit of</w:t>
            </w:r>
          </w:p>
          <w:p w14:paraId="61BA64D0"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measure</w:t>
            </w:r>
          </w:p>
        </w:tc>
        <w:tc>
          <w:tcPr>
            <w:tcW w:w="1260" w:type="dxa"/>
            <w:shd w:val="clear" w:color="auto" w:fill="D9D9D9" w:themeFill="background1" w:themeFillShade="D9"/>
            <w:vAlign w:val="center"/>
          </w:tcPr>
          <w:p w14:paraId="46BA7BB8"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Baseline</w:t>
            </w:r>
          </w:p>
          <w:p w14:paraId="7B291ADB"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Value</w:t>
            </w:r>
          </w:p>
        </w:tc>
        <w:tc>
          <w:tcPr>
            <w:tcW w:w="1170" w:type="dxa"/>
            <w:shd w:val="clear" w:color="auto" w:fill="D9D9D9" w:themeFill="background1" w:themeFillShade="D9"/>
            <w:vAlign w:val="center"/>
          </w:tcPr>
          <w:p w14:paraId="72F83BAA"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Baseline</w:t>
            </w:r>
          </w:p>
          <w:p w14:paraId="3815EF8E"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Year</w:t>
            </w:r>
          </w:p>
        </w:tc>
        <w:tc>
          <w:tcPr>
            <w:tcW w:w="1260" w:type="dxa"/>
            <w:shd w:val="clear" w:color="auto" w:fill="D9D9D9" w:themeFill="background1" w:themeFillShade="D9"/>
            <w:vAlign w:val="center"/>
          </w:tcPr>
          <w:p w14:paraId="3C93EBBC"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End of Project (</w:t>
            </w:r>
            <w:r w:rsidRPr="003E14A8">
              <w:rPr>
                <w:rFonts w:ascii="Arial" w:hAnsi="Arial" w:cs="Arial"/>
                <w:b/>
                <w:noProof/>
                <w:sz w:val="18"/>
                <w:szCs w:val="18"/>
              </w:rPr>
              <w:t>Year</w:t>
            </w:r>
            <w:r w:rsidRPr="003E14A8">
              <w:rPr>
                <w:rFonts w:ascii="Arial" w:hAnsi="Arial" w:cs="Arial"/>
                <w:b/>
                <w:sz w:val="18"/>
                <w:szCs w:val="18"/>
              </w:rPr>
              <w:t xml:space="preserve"> 2024)</w:t>
            </w:r>
          </w:p>
        </w:tc>
        <w:tc>
          <w:tcPr>
            <w:tcW w:w="3600" w:type="dxa"/>
            <w:shd w:val="clear" w:color="auto" w:fill="D9D9D9" w:themeFill="background1" w:themeFillShade="D9"/>
            <w:vAlign w:val="center"/>
          </w:tcPr>
          <w:p w14:paraId="11C75A46"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Means of verification</w:t>
            </w:r>
          </w:p>
        </w:tc>
        <w:tc>
          <w:tcPr>
            <w:tcW w:w="2520" w:type="dxa"/>
            <w:shd w:val="clear" w:color="auto" w:fill="D9D9D9" w:themeFill="background1" w:themeFillShade="D9"/>
            <w:vAlign w:val="center"/>
          </w:tcPr>
          <w:p w14:paraId="27DEF424" w14:textId="77777777" w:rsidR="000A7418" w:rsidRPr="003E14A8" w:rsidRDefault="000A7418" w:rsidP="00CB08F5">
            <w:pPr>
              <w:spacing w:after="0" w:line="240" w:lineRule="auto"/>
              <w:jc w:val="center"/>
              <w:rPr>
                <w:rFonts w:ascii="Arial" w:hAnsi="Arial" w:cs="Arial"/>
                <w:b/>
                <w:sz w:val="18"/>
                <w:szCs w:val="18"/>
              </w:rPr>
            </w:pPr>
            <w:r w:rsidRPr="003E14A8">
              <w:rPr>
                <w:rFonts w:ascii="Arial" w:hAnsi="Arial" w:cs="Arial"/>
                <w:b/>
                <w:sz w:val="18"/>
                <w:szCs w:val="18"/>
              </w:rPr>
              <w:t>Observations</w:t>
            </w:r>
          </w:p>
        </w:tc>
      </w:tr>
      <w:tr w:rsidR="000A7418" w:rsidRPr="003E14A8" w14:paraId="1A94F8C5" w14:textId="77777777" w:rsidTr="00CB08F5">
        <w:trPr>
          <w:trHeight w:val="547"/>
        </w:trPr>
        <w:tc>
          <w:tcPr>
            <w:tcW w:w="13140" w:type="dxa"/>
            <w:gridSpan w:val="7"/>
            <w:shd w:val="clear" w:color="auto" w:fill="548DD4" w:themeFill="text2" w:themeFillTint="99"/>
            <w:vAlign w:val="center"/>
          </w:tcPr>
          <w:p w14:paraId="17B51FE3" w14:textId="77777777" w:rsidR="000A7418" w:rsidRPr="003E14A8" w:rsidRDefault="000A7418" w:rsidP="00CB08F5">
            <w:pPr>
              <w:spacing w:before="120" w:after="120" w:line="240" w:lineRule="auto"/>
              <w:rPr>
                <w:rFonts w:ascii="Arial" w:hAnsi="Arial" w:cs="Arial"/>
                <w:b/>
                <w:sz w:val="18"/>
                <w:szCs w:val="18"/>
              </w:rPr>
            </w:pPr>
            <w:r w:rsidRPr="003E14A8">
              <w:rPr>
                <w:rFonts w:ascii="Arial" w:hAnsi="Arial" w:cs="Arial"/>
                <w:b/>
                <w:sz w:val="18"/>
                <w:szCs w:val="18"/>
              </w:rPr>
              <w:t>Specific objective: Improving the infrastructure and operations of the port</w:t>
            </w:r>
          </w:p>
        </w:tc>
      </w:tr>
      <w:tr w:rsidR="000A7418" w:rsidRPr="003E14A8" w14:paraId="22E68245" w14:textId="77777777" w:rsidTr="00CB08F5">
        <w:trPr>
          <w:trHeight w:val="547"/>
        </w:trPr>
        <w:tc>
          <w:tcPr>
            <w:tcW w:w="13140" w:type="dxa"/>
            <w:gridSpan w:val="7"/>
            <w:shd w:val="clear" w:color="auto" w:fill="C6D9F1" w:themeFill="text2" w:themeFillTint="33"/>
            <w:vAlign w:val="center"/>
          </w:tcPr>
          <w:p w14:paraId="601864F9" w14:textId="77777777" w:rsidR="000A7418" w:rsidRPr="003E14A8" w:rsidRDefault="000A7418" w:rsidP="00CB08F5">
            <w:pPr>
              <w:spacing w:before="120" w:after="120" w:line="240" w:lineRule="auto"/>
              <w:rPr>
                <w:rFonts w:ascii="Arial" w:hAnsi="Arial" w:cs="Arial"/>
                <w:b/>
                <w:sz w:val="18"/>
                <w:szCs w:val="18"/>
              </w:rPr>
            </w:pPr>
            <w:r w:rsidRPr="003E14A8">
              <w:rPr>
                <w:rFonts w:ascii="Arial" w:hAnsi="Arial" w:cs="Arial"/>
                <w:b/>
                <w:sz w:val="18"/>
                <w:szCs w:val="18"/>
              </w:rPr>
              <w:t>Result 1. Reduction in cargo operations time</w:t>
            </w:r>
          </w:p>
        </w:tc>
      </w:tr>
      <w:tr w:rsidR="000A7418" w:rsidRPr="003E14A8" w14:paraId="7153B6DE" w14:textId="77777777" w:rsidTr="00CB08F5">
        <w:trPr>
          <w:trHeight w:val="547"/>
        </w:trPr>
        <w:tc>
          <w:tcPr>
            <w:tcW w:w="1980" w:type="dxa"/>
            <w:vAlign w:val="center"/>
          </w:tcPr>
          <w:p w14:paraId="0020546E" w14:textId="77777777" w:rsidR="000A7418" w:rsidRPr="003E14A8" w:rsidRDefault="000A7418" w:rsidP="00CB08F5">
            <w:pPr>
              <w:pStyle w:val="ListParagraph"/>
              <w:spacing w:after="0" w:line="240" w:lineRule="auto"/>
              <w:ind w:left="0"/>
              <w:jc w:val="both"/>
              <w:rPr>
                <w:rFonts w:ascii="Arial" w:hAnsi="Arial" w:cs="Arial"/>
                <w:sz w:val="18"/>
                <w:szCs w:val="18"/>
                <w:lang w:val="en-CA"/>
              </w:rPr>
            </w:pPr>
            <w:r w:rsidRPr="003E14A8">
              <w:rPr>
                <w:rFonts w:ascii="Arial" w:hAnsi="Arial" w:cs="Arial"/>
                <w:noProof/>
                <w:sz w:val="18"/>
                <w:szCs w:val="18"/>
                <w:lang w:val="en-CA"/>
              </w:rPr>
              <w:t>Average</w:t>
            </w:r>
            <w:r w:rsidRPr="003E14A8">
              <w:rPr>
                <w:rFonts w:ascii="Arial" w:hAnsi="Arial" w:cs="Arial"/>
                <w:sz w:val="18"/>
                <w:szCs w:val="18"/>
                <w:lang w:val="en-CA"/>
              </w:rPr>
              <w:t xml:space="preserve"> time for cargo operations of trucks at the port</w:t>
            </w:r>
            <w:r w:rsidRPr="003E14A8">
              <w:rPr>
                <w:rStyle w:val="FootnoteReference"/>
                <w:sz w:val="18"/>
                <w:szCs w:val="18"/>
                <w:lang w:val="en-CA"/>
              </w:rPr>
              <w:footnoteReference w:id="8"/>
            </w:r>
          </w:p>
        </w:tc>
        <w:tc>
          <w:tcPr>
            <w:tcW w:w="1350" w:type="dxa"/>
            <w:vAlign w:val="center"/>
          </w:tcPr>
          <w:p w14:paraId="7353BEBF" w14:textId="77777777" w:rsidR="000A7418" w:rsidRPr="003E14A8" w:rsidRDefault="000A7418" w:rsidP="00CB08F5">
            <w:pPr>
              <w:spacing w:after="0" w:line="240" w:lineRule="auto"/>
              <w:jc w:val="center"/>
              <w:rPr>
                <w:rFonts w:ascii="Arial" w:hAnsi="Arial" w:cs="Arial"/>
                <w:sz w:val="18"/>
                <w:szCs w:val="18"/>
                <w:lang w:val="en-CA"/>
              </w:rPr>
            </w:pPr>
            <w:r w:rsidRPr="003E14A8">
              <w:rPr>
                <w:rFonts w:ascii="Arial" w:hAnsi="Arial" w:cs="Arial"/>
                <w:sz w:val="18"/>
                <w:szCs w:val="18"/>
                <w:lang w:val="en-CA"/>
              </w:rPr>
              <w:t>minutes</w:t>
            </w:r>
          </w:p>
        </w:tc>
        <w:tc>
          <w:tcPr>
            <w:tcW w:w="1260" w:type="dxa"/>
            <w:vAlign w:val="center"/>
          </w:tcPr>
          <w:p w14:paraId="6EC9ADD4"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300</w:t>
            </w:r>
          </w:p>
        </w:tc>
        <w:tc>
          <w:tcPr>
            <w:tcW w:w="1170" w:type="dxa"/>
            <w:vAlign w:val="center"/>
          </w:tcPr>
          <w:p w14:paraId="4A1EA3C3" w14:textId="77777777" w:rsidR="000A7418" w:rsidRPr="003E14A8" w:rsidRDefault="000A7418" w:rsidP="00CB08F5">
            <w:pPr>
              <w:spacing w:after="0" w:line="240" w:lineRule="auto"/>
              <w:jc w:val="center"/>
              <w:rPr>
                <w:rFonts w:ascii="Arial" w:hAnsi="Arial" w:cs="Arial"/>
                <w:sz w:val="18"/>
                <w:szCs w:val="18"/>
                <w:lang w:val="en-CA"/>
              </w:rPr>
            </w:pPr>
            <w:r w:rsidRPr="003E14A8">
              <w:rPr>
                <w:rFonts w:ascii="Arial" w:hAnsi="Arial" w:cs="Arial"/>
                <w:sz w:val="18"/>
                <w:szCs w:val="18"/>
                <w:lang w:val="en-CA"/>
              </w:rPr>
              <w:t>2018</w:t>
            </w:r>
          </w:p>
        </w:tc>
        <w:tc>
          <w:tcPr>
            <w:tcW w:w="1260" w:type="dxa"/>
            <w:vAlign w:val="center"/>
          </w:tcPr>
          <w:p w14:paraId="147D5286" w14:textId="77777777" w:rsidR="000A7418" w:rsidRPr="003E14A8" w:rsidRDefault="000A7418" w:rsidP="00CB08F5">
            <w:pPr>
              <w:spacing w:after="0" w:line="240" w:lineRule="auto"/>
              <w:jc w:val="center"/>
              <w:rPr>
                <w:rFonts w:ascii="Arial" w:hAnsi="Arial" w:cs="Arial"/>
                <w:sz w:val="18"/>
                <w:szCs w:val="18"/>
                <w:lang w:val="en-CA"/>
              </w:rPr>
            </w:pPr>
            <w:r w:rsidRPr="003E14A8">
              <w:rPr>
                <w:rFonts w:ascii="Arial" w:hAnsi="Arial" w:cs="Arial"/>
                <w:sz w:val="18"/>
                <w:szCs w:val="18"/>
                <w:lang w:val="en-CA"/>
              </w:rPr>
              <w:t>120</w:t>
            </w:r>
          </w:p>
        </w:tc>
        <w:tc>
          <w:tcPr>
            <w:tcW w:w="3600" w:type="dxa"/>
          </w:tcPr>
          <w:p w14:paraId="26D39AA0"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1EDFAB97"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r w:rsidRPr="003E14A8">
              <w:rPr>
                <w:rFonts w:ascii="Arial" w:hAnsi="Arial" w:cs="Arial"/>
                <w:sz w:val="18"/>
                <w:szCs w:val="18"/>
                <w:lang w:eastAsia="zh-CN"/>
              </w:rPr>
              <w:t xml:space="preserve">Source and methodology: </w:t>
            </w:r>
            <w:r>
              <w:rPr>
                <w:rFonts w:ascii="Arial" w:hAnsi="Arial" w:cs="Arial"/>
                <w:sz w:val="18"/>
                <w:szCs w:val="18"/>
                <w:lang w:eastAsia="zh-CN"/>
              </w:rPr>
              <w:t>b</w:t>
            </w:r>
            <w:r w:rsidRPr="003E14A8">
              <w:rPr>
                <w:rFonts w:ascii="Arial" w:hAnsi="Arial" w:cs="Arial"/>
                <w:sz w:val="18"/>
                <w:szCs w:val="18"/>
                <w:lang w:eastAsia="zh-CN"/>
              </w:rPr>
              <w:t xml:space="preserve">aseline values based on </w:t>
            </w:r>
            <w:r>
              <w:rPr>
                <w:rFonts w:ascii="Arial" w:hAnsi="Arial" w:cs="Arial"/>
                <w:sz w:val="18"/>
                <w:szCs w:val="18"/>
                <w:lang w:eastAsia="zh-CN"/>
              </w:rPr>
              <w:t>i</w:t>
            </w:r>
            <w:r w:rsidRPr="003E14A8">
              <w:rPr>
                <w:rFonts w:ascii="Arial" w:hAnsi="Arial" w:cs="Arial"/>
                <w:sz w:val="18"/>
                <w:szCs w:val="18"/>
                <w:lang w:eastAsia="zh-CN"/>
              </w:rPr>
              <w:t xml:space="preserve">nterviews with </w:t>
            </w:r>
            <w:r>
              <w:rPr>
                <w:rFonts w:ascii="Arial" w:hAnsi="Arial" w:cs="Arial"/>
                <w:sz w:val="18"/>
                <w:szCs w:val="18"/>
                <w:lang w:eastAsia="zh-CN"/>
              </w:rPr>
              <w:t xml:space="preserve">the </w:t>
            </w:r>
            <w:r w:rsidRPr="003E14A8">
              <w:rPr>
                <w:rFonts w:ascii="Arial" w:hAnsi="Arial" w:cs="Arial"/>
                <w:sz w:val="18"/>
                <w:szCs w:val="18"/>
                <w:lang w:eastAsia="zh-CN"/>
              </w:rPr>
              <w:t>Port Authority, port operators’ personnel, and transport companies</w:t>
            </w:r>
          </w:p>
          <w:p w14:paraId="05C693EE"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p>
          <w:p w14:paraId="2E25BD4C"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r w:rsidRPr="003E14A8">
              <w:rPr>
                <w:rFonts w:ascii="Arial" w:hAnsi="Arial" w:cs="Arial"/>
                <w:sz w:val="18"/>
                <w:szCs w:val="18"/>
                <w:lang w:eastAsia="zh-CN"/>
              </w:rPr>
              <w:t>Goals values based on analysis of bottlenecks and optimization of processes according to international best practices</w:t>
            </w:r>
          </w:p>
          <w:p w14:paraId="78DBCA0C"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p>
          <w:p w14:paraId="22E32C77"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r w:rsidRPr="003E14A8">
              <w:rPr>
                <w:rFonts w:ascii="Arial" w:hAnsi="Arial" w:cs="Arial"/>
                <w:sz w:val="18"/>
                <w:szCs w:val="18"/>
                <w:lang w:eastAsia="zh-CN"/>
              </w:rPr>
              <w:t xml:space="preserve">See </w:t>
            </w:r>
            <w:hyperlink r:id="rId32" w:history="1">
              <w:r w:rsidRPr="003E14A8">
                <w:rPr>
                  <w:rStyle w:val="Hyperlink"/>
                  <w:rFonts w:ascii="Arial" w:hAnsi="Arial" w:cs="Arial"/>
                  <w:sz w:val="18"/>
                  <w:szCs w:val="18"/>
                  <w:lang w:eastAsia="zh-CN"/>
                </w:rPr>
                <w:t>OEL#2</w:t>
              </w:r>
            </w:hyperlink>
            <w:r w:rsidRPr="003E14A8">
              <w:rPr>
                <w:rFonts w:ascii="Arial" w:hAnsi="Arial" w:cs="Arial"/>
                <w:sz w:val="18"/>
                <w:szCs w:val="18"/>
                <w:lang w:eastAsia="zh-CN"/>
              </w:rPr>
              <w:t>, section III</w:t>
            </w:r>
          </w:p>
        </w:tc>
        <w:tc>
          <w:tcPr>
            <w:tcW w:w="2520" w:type="dxa"/>
          </w:tcPr>
          <w:p w14:paraId="002D9FAF" w14:textId="77777777" w:rsidR="000A7418" w:rsidRPr="003E14A8" w:rsidRDefault="000A7418" w:rsidP="00CB08F5">
            <w:pPr>
              <w:spacing w:before="120" w:after="120" w:line="240" w:lineRule="auto"/>
              <w:jc w:val="both"/>
              <w:rPr>
                <w:rFonts w:ascii="Arial" w:hAnsi="Arial" w:cs="Arial"/>
                <w:sz w:val="18"/>
                <w:szCs w:val="18"/>
              </w:rPr>
            </w:pPr>
            <w:r w:rsidRPr="003E14A8">
              <w:rPr>
                <w:rFonts w:ascii="Arial" w:hAnsi="Arial" w:cs="Arial"/>
                <w:sz w:val="18"/>
                <w:szCs w:val="18"/>
              </w:rPr>
              <w:t>Average time for cargo operation will be calculated based on the same procedures considered to calculate the baseline.</w:t>
            </w:r>
            <w:r w:rsidRPr="003E14A8">
              <w:rPr>
                <w:rFonts w:ascii="Arial" w:hAnsi="Arial" w:cs="Arial"/>
                <w:sz w:val="18"/>
                <w:szCs w:val="18"/>
                <w:lang w:eastAsia="zh-CN"/>
              </w:rPr>
              <w:t xml:space="preserve"> The import process is the one presenting benefit if the inspection is carried out before the truck arrival</w:t>
            </w:r>
          </w:p>
        </w:tc>
      </w:tr>
      <w:tr w:rsidR="000A7418" w:rsidRPr="003E14A8" w14:paraId="673E1297" w14:textId="77777777" w:rsidTr="00CB08F5">
        <w:trPr>
          <w:trHeight w:val="64"/>
        </w:trPr>
        <w:tc>
          <w:tcPr>
            <w:tcW w:w="13140" w:type="dxa"/>
            <w:gridSpan w:val="7"/>
            <w:shd w:val="clear" w:color="auto" w:fill="548DD4" w:themeFill="text2" w:themeFillTint="99"/>
            <w:vAlign w:val="center"/>
          </w:tcPr>
          <w:p w14:paraId="339B48A1" w14:textId="77777777" w:rsidR="000A7418" w:rsidRPr="003E14A8" w:rsidRDefault="000A7418" w:rsidP="00CB08F5">
            <w:pPr>
              <w:spacing w:before="120" w:after="120" w:line="240" w:lineRule="auto"/>
              <w:jc w:val="both"/>
              <w:rPr>
                <w:rFonts w:ascii="Arial" w:hAnsi="Arial" w:cs="Arial"/>
                <w:b/>
                <w:sz w:val="18"/>
                <w:szCs w:val="18"/>
              </w:rPr>
            </w:pPr>
            <w:r w:rsidRPr="003E14A8">
              <w:rPr>
                <w:rFonts w:ascii="Arial" w:hAnsi="Arial" w:cs="Arial"/>
                <w:b/>
                <w:sz w:val="18"/>
                <w:szCs w:val="18"/>
              </w:rPr>
              <w:t>Specific objective: Improving the level of service, capacity, and resilience of adjacent roads and access to the port</w:t>
            </w:r>
          </w:p>
        </w:tc>
      </w:tr>
      <w:tr w:rsidR="000A7418" w:rsidRPr="003E14A8" w14:paraId="0FDEA7CA" w14:textId="77777777" w:rsidTr="00CB08F5">
        <w:trPr>
          <w:trHeight w:val="64"/>
        </w:trPr>
        <w:tc>
          <w:tcPr>
            <w:tcW w:w="13140" w:type="dxa"/>
            <w:gridSpan w:val="7"/>
            <w:shd w:val="clear" w:color="auto" w:fill="C6D9F1" w:themeFill="text2" w:themeFillTint="33"/>
            <w:vAlign w:val="center"/>
          </w:tcPr>
          <w:p w14:paraId="535C1D58" w14:textId="77777777" w:rsidR="000A7418" w:rsidRPr="003E14A8" w:rsidRDefault="000A7418" w:rsidP="00CB08F5">
            <w:pPr>
              <w:spacing w:before="120" w:after="120" w:line="240" w:lineRule="auto"/>
              <w:jc w:val="both"/>
              <w:rPr>
                <w:rFonts w:ascii="Arial" w:hAnsi="Arial" w:cs="Arial"/>
                <w:b/>
                <w:sz w:val="18"/>
                <w:szCs w:val="18"/>
              </w:rPr>
            </w:pPr>
            <w:r w:rsidRPr="003E14A8">
              <w:rPr>
                <w:rFonts w:ascii="Arial" w:hAnsi="Arial" w:cs="Arial"/>
                <w:b/>
                <w:sz w:val="18"/>
                <w:szCs w:val="18"/>
              </w:rPr>
              <w:t>Result 2. Reduction in travel time for road users</w:t>
            </w:r>
          </w:p>
        </w:tc>
      </w:tr>
      <w:tr w:rsidR="000A7418" w:rsidRPr="003E14A8" w14:paraId="07640CA7" w14:textId="77777777" w:rsidTr="00CB08F5">
        <w:trPr>
          <w:trHeight w:val="64"/>
        </w:trPr>
        <w:tc>
          <w:tcPr>
            <w:tcW w:w="1980" w:type="dxa"/>
          </w:tcPr>
          <w:p w14:paraId="6BD7BCA8" w14:textId="77777777" w:rsidR="000A7418" w:rsidRPr="003E14A8" w:rsidRDefault="000A7418" w:rsidP="00CB08F5">
            <w:pPr>
              <w:pStyle w:val="ListParagraph"/>
              <w:spacing w:after="0" w:line="240" w:lineRule="auto"/>
              <w:ind w:left="0"/>
              <w:rPr>
                <w:rFonts w:ascii="Arial" w:hAnsi="Arial" w:cs="Arial"/>
                <w:sz w:val="18"/>
                <w:szCs w:val="18"/>
              </w:rPr>
            </w:pPr>
            <w:r w:rsidRPr="003E14A8">
              <w:rPr>
                <w:rFonts w:ascii="Arial" w:hAnsi="Arial" w:cs="Arial"/>
                <w:sz w:val="18"/>
                <w:szCs w:val="18"/>
              </w:rPr>
              <w:t xml:space="preserve">Average travel time along the section </w:t>
            </w:r>
            <w:r w:rsidRPr="003E14A8">
              <w:rPr>
                <w:rFonts w:ascii="Arial" w:hAnsi="Arial" w:cs="Arial"/>
                <w:i/>
                <w:sz w:val="18"/>
                <w:szCs w:val="18"/>
              </w:rPr>
              <w:t xml:space="preserve">Van ‘t </w:t>
            </w:r>
            <w:proofErr w:type="spellStart"/>
            <w:r w:rsidRPr="003E14A8">
              <w:rPr>
                <w:rFonts w:ascii="Arial" w:hAnsi="Arial" w:cs="Arial"/>
                <w:i/>
                <w:sz w:val="18"/>
                <w:szCs w:val="18"/>
              </w:rPr>
              <w:t>Hogerhuysstraat</w:t>
            </w:r>
            <w:proofErr w:type="spellEnd"/>
            <w:r w:rsidRPr="003E14A8">
              <w:rPr>
                <w:rFonts w:ascii="Arial" w:hAnsi="Arial" w:cs="Arial"/>
                <w:sz w:val="18"/>
                <w:szCs w:val="18"/>
              </w:rPr>
              <w:t xml:space="preserve"> (between </w:t>
            </w:r>
            <w:proofErr w:type="spellStart"/>
            <w:r w:rsidRPr="003E14A8">
              <w:rPr>
                <w:rFonts w:ascii="Arial" w:hAnsi="Arial" w:cs="Arial"/>
                <w:i/>
                <w:sz w:val="18"/>
                <w:szCs w:val="18"/>
              </w:rPr>
              <w:t>Latourweg</w:t>
            </w:r>
            <w:proofErr w:type="spellEnd"/>
            <w:r w:rsidRPr="003E14A8">
              <w:rPr>
                <w:rFonts w:ascii="Arial" w:hAnsi="Arial" w:cs="Arial"/>
                <w:sz w:val="18"/>
                <w:szCs w:val="18"/>
              </w:rPr>
              <w:t xml:space="preserve"> and </w:t>
            </w:r>
            <w:proofErr w:type="spellStart"/>
            <w:r w:rsidRPr="003E14A8">
              <w:rPr>
                <w:rFonts w:ascii="Arial" w:hAnsi="Arial" w:cs="Arial"/>
                <w:i/>
                <w:sz w:val="18"/>
                <w:szCs w:val="18"/>
              </w:rPr>
              <w:t>Molenpad</w:t>
            </w:r>
            <w:proofErr w:type="spellEnd"/>
            <w:r w:rsidRPr="003E14A8">
              <w:rPr>
                <w:rFonts w:ascii="Arial" w:hAnsi="Arial" w:cs="Arial"/>
                <w:sz w:val="18"/>
                <w:szCs w:val="18"/>
              </w:rPr>
              <w:t>) from south to north</w:t>
            </w:r>
          </w:p>
        </w:tc>
        <w:tc>
          <w:tcPr>
            <w:tcW w:w="1350" w:type="dxa"/>
            <w:vAlign w:val="center"/>
          </w:tcPr>
          <w:p w14:paraId="4E6D75C9"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minutes</w:t>
            </w:r>
          </w:p>
        </w:tc>
        <w:tc>
          <w:tcPr>
            <w:tcW w:w="1260" w:type="dxa"/>
            <w:vAlign w:val="center"/>
          </w:tcPr>
          <w:p w14:paraId="584C8A7E"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12</w:t>
            </w:r>
          </w:p>
        </w:tc>
        <w:tc>
          <w:tcPr>
            <w:tcW w:w="1170" w:type="dxa"/>
            <w:vAlign w:val="center"/>
          </w:tcPr>
          <w:p w14:paraId="0B69E1E3"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vAlign w:val="center"/>
          </w:tcPr>
          <w:p w14:paraId="780B7A55"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9</w:t>
            </w:r>
          </w:p>
        </w:tc>
        <w:tc>
          <w:tcPr>
            <w:tcW w:w="3600" w:type="dxa"/>
            <w:vMerge w:val="restart"/>
          </w:tcPr>
          <w:p w14:paraId="6B6109E9"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04C61361" w14:textId="77777777" w:rsidR="000A7418" w:rsidRDefault="000A7418" w:rsidP="00CB08F5">
            <w:pPr>
              <w:jc w:val="both"/>
              <w:rPr>
                <w:rFonts w:ascii="Arial" w:hAnsi="Arial" w:cs="Arial"/>
                <w:sz w:val="18"/>
                <w:szCs w:val="18"/>
              </w:rPr>
            </w:pPr>
            <w:r w:rsidRPr="003E14A8">
              <w:rPr>
                <w:rFonts w:ascii="Arial" w:hAnsi="Arial" w:cs="Arial"/>
                <w:sz w:val="18"/>
                <w:szCs w:val="18"/>
              </w:rPr>
              <w:t xml:space="preserve">Source and methodology: as estimated for the baseline scenario, the average travel times will be estimated through a microsimulation process, entering vehicle counts, directions, turns, the </w:t>
            </w:r>
            <w:r w:rsidRPr="003E14A8">
              <w:rPr>
                <w:rFonts w:ascii="Arial" w:hAnsi="Arial" w:cs="Arial"/>
                <w:noProof/>
                <w:sz w:val="18"/>
                <w:szCs w:val="18"/>
              </w:rPr>
              <w:t>geometry</w:t>
            </w:r>
            <w:r w:rsidRPr="003E14A8">
              <w:rPr>
                <w:rFonts w:ascii="Arial" w:hAnsi="Arial" w:cs="Arial"/>
                <w:sz w:val="18"/>
                <w:szCs w:val="18"/>
              </w:rPr>
              <w:t xml:space="preserve"> of </w:t>
            </w:r>
            <w:r w:rsidRPr="003E14A8">
              <w:rPr>
                <w:rFonts w:ascii="Arial" w:hAnsi="Arial" w:cs="Arial"/>
                <w:sz w:val="18"/>
                <w:szCs w:val="18"/>
              </w:rPr>
              <w:lastRenderedPageBreak/>
              <w:t>roads, and other key characteristics, to model a traffic flow situation in a road</w:t>
            </w:r>
          </w:p>
          <w:p w14:paraId="3DE21AB9" w14:textId="77777777" w:rsidR="000A7418" w:rsidRPr="003E14A8" w:rsidRDefault="000A7418" w:rsidP="00CB08F5">
            <w:pPr>
              <w:jc w:val="both"/>
              <w:rPr>
                <w:rFonts w:ascii="Arial" w:hAnsi="Arial" w:cs="Arial"/>
                <w:sz w:val="18"/>
                <w:szCs w:val="18"/>
              </w:rPr>
            </w:pPr>
            <w:r w:rsidRPr="003E14A8">
              <w:rPr>
                <w:rFonts w:ascii="Arial" w:hAnsi="Arial" w:cs="Arial"/>
                <w:sz w:val="18"/>
                <w:szCs w:val="18"/>
              </w:rPr>
              <w:t xml:space="preserve">Collection of data for the microsimulation will be supported using in field pneumatic counters, manual counting, </w:t>
            </w:r>
            <w:r w:rsidRPr="003E14A8">
              <w:rPr>
                <w:rFonts w:ascii="Arial" w:hAnsi="Arial" w:cs="Arial"/>
                <w:noProof/>
                <w:sz w:val="18"/>
                <w:szCs w:val="18"/>
              </w:rPr>
              <w:t>and</w:t>
            </w:r>
            <w:r w:rsidRPr="003E14A8">
              <w:rPr>
                <w:rFonts w:ascii="Arial" w:hAnsi="Arial" w:cs="Arial"/>
                <w:sz w:val="18"/>
                <w:szCs w:val="18"/>
              </w:rPr>
              <w:t xml:space="preserve"> drone flights</w:t>
            </w:r>
          </w:p>
          <w:p w14:paraId="262804AC" w14:textId="77777777" w:rsidR="000A7418" w:rsidRPr="003E14A8" w:rsidRDefault="000A7418" w:rsidP="00CB08F5">
            <w:pPr>
              <w:jc w:val="both"/>
              <w:rPr>
                <w:rFonts w:ascii="Arial" w:hAnsi="Arial" w:cs="Arial"/>
                <w:b/>
                <w:sz w:val="18"/>
                <w:szCs w:val="18"/>
              </w:rPr>
            </w:pPr>
          </w:p>
        </w:tc>
        <w:tc>
          <w:tcPr>
            <w:tcW w:w="2520" w:type="dxa"/>
            <w:vMerge w:val="restart"/>
          </w:tcPr>
          <w:p w14:paraId="68480FAD" w14:textId="77777777" w:rsidR="000A7418" w:rsidRPr="003E14A8" w:rsidRDefault="000A7418" w:rsidP="00CB08F5">
            <w:pPr>
              <w:jc w:val="both"/>
              <w:rPr>
                <w:rFonts w:ascii="Arial" w:hAnsi="Arial" w:cs="Arial"/>
                <w:sz w:val="18"/>
                <w:szCs w:val="18"/>
              </w:rPr>
            </w:pPr>
            <w:r w:rsidRPr="003E14A8">
              <w:rPr>
                <w:rFonts w:ascii="Arial" w:hAnsi="Arial" w:cs="Arial"/>
                <w:sz w:val="18"/>
                <w:szCs w:val="18"/>
              </w:rPr>
              <w:lastRenderedPageBreak/>
              <w:t xml:space="preserve">For the baseline, the software </w:t>
            </w:r>
            <w:hyperlink r:id="rId33" w:history="1">
              <w:proofErr w:type="spellStart"/>
              <w:r w:rsidRPr="003E14A8">
                <w:rPr>
                  <w:rStyle w:val="Hyperlink"/>
                  <w:rFonts w:ascii="Arial" w:hAnsi="Arial" w:cs="Arial"/>
                  <w:i/>
                  <w:sz w:val="18"/>
                  <w:szCs w:val="18"/>
                </w:rPr>
                <w:t>Vissim</w:t>
              </w:r>
              <w:proofErr w:type="spellEnd"/>
            </w:hyperlink>
            <w:r w:rsidRPr="003E14A8">
              <w:rPr>
                <w:rFonts w:ascii="Arial" w:hAnsi="Arial" w:cs="Arial"/>
                <w:sz w:val="18"/>
                <w:szCs w:val="18"/>
              </w:rPr>
              <w:t xml:space="preserve"> was used. </w:t>
            </w:r>
            <w:r w:rsidRPr="003E14A8">
              <w:rPr>
                <w:rFonts w:ascii="Arial" w:hAnsi="Arial" w:cs="Arial"/>
                <w:noProof/>
                <w:sz w:val="18"/>
                <w:szCs w:val="18"/>
              </w:rPr>
              <w:t>Software</w:t>
            </w:r>
            <w:r w:rsidRPr="003E14A8">
              <w:rPr>
                <w:rFonts w:ascii="Arial" w:hAnsi="Arial" w:cs="Arial"/>
                <w:sz w:val="18"/>
                <w:szCs w:val="18"/>
              </w:rPr>
              <w:t xml:space="preserve"> with similar capabilities will be used for the ex</w:t>
            </w:r>
            <w:r>
              <w:rPr>
                <w:rFonts w:ascii="Arial" w:hAnsi="Arial" w:cs="Arial"/>
                <w:sz w:val="18"/>
                <w:szCs w:val="18"/>
              </w:rPr>
              <w:t xml:space="preserve"> </w:t>
            </w:r>
            <w:r w:rsidRPr="003E14A8">
              <w:rPr>
                <w:rFonts w:ascii="Arial" w:hAnsi="Arial" w:cs="Arial"/>
                <w:sz w:val="18"/>
                <w:szCs w:val="18"/>
              </w:rPr>
              <w:t>post evaluation</w:t>
            </w:r>
          </w:p>
          <w:p w14:paraId="2F8E4DD8" w14:textId="77777777" w:rsidR="000A7418" w:rsidRPr="003E14A8" w:rsidRDefault="000A7418" w:rsidP="00CB08F5">
            <w:pPr>
              <w:jc w:val="both"/>
              <w:rPr>
                <w:rFonts w:ascii="Arial" w:hAnsi="Arial" w:cs="Arial"/>
                <w:sz w:val="18"/>
                <w:szCs w:val="18"/>
              </w:rPr>
            </w:pPr>
          </w:p>
          <w:p w14:paraId="014D23D3" w14:textId="77777777" w:rsidR="000A7418" w:rsidRPr="003E14A8" w:rsidRDefault="000A7418" w:rsidP="00CB08F5">
            <w:pPr>
              <w:jc w:val="both"/>
              <w:rPr>
                <w:rFonts w:ascii="Arial" w:hAnsi="Arial" w:cs="Arial"/>
                <w:sz w:val="18"/>
                <w:szCs w:val="18"/>
              </w:rPr>
            </w:pPr>
          </w:p>
        </w:tc>
      </w:tr>
      <w:tr w:rsidR="000A7418" w:rsidRPr="003E14A8" w14:paraId="2B7A9A49" w14:textId="77777777" w:rsidTr="00CB08F5">
        <w:trPr>
          <w:trHeight w:val="64"/>
        </w:trPr>
        <w:tc>
          <w:tcPr>
            <w:tcW w:w="1980" w:type="dxa"/>
            <w:shd w:val="clear" w:color="auto" w:fill="auto"/>
          </w:tcPr>
          <w:p w14:paraId="24462296"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rPr>
              <w:t xml:space="preserve">Average travel time along the section </w:t>
            </w:r>
            <w:r w:rsidRPr="003E14A8">
              <w:rPr>
                <w:rFonts w:ascii="Arial" w:hAnsi="Arial" w:cs="Arial"/>
                <w:i/>
                <w:sz w:val="18"/>
                <w:szCs w:val="18"/>
              </w:rPr>
              <w:t xml:space="preserve">Van ‘t </w:t>
            </w:r>
            <w:proofErr w:type="spellStart"/>
            <w:r w:rsidRPr="003E14A8">
              <w:rPr>
                <w:rFonts w:ascii="Arial" w:hAnsi="Arial" w:cs="Arial"/>
                <w:i/>
                <w:sz w:val="18"/>
                <w:szCs w:val="18"/>
              </w:rPr>
              <w:t>Hogerhuysstraat</w:t>
            </w:r>
            <w:proofErr w:type="spellEnd"/>
            <w:r w:rsidRPr="003E14A8">
              <w:rPr>
                <w:rFonts w:ascii="Arial" w:hAnsi="Arial" w:cs="Arial"/>
                <w:sz w:val="18"/>
                <w:szCs w:val="18"/>
              </w:rPr>
              <w:t xml:space="preserve"> (between </w:t>
            </w:r>
            <w:proofErr w:type="spellStart"/>
            <w:r w:rsidRPr="003E14A8">
              <w:rPr>
                <w:rFonts w:ascii="Arial" w:hAnsi="Arial" w:cs="Arial"/>
                <w:i/>
                <w:sz w:val="18"/>
                <w:szCs w:val="18"/>
              </w:rPr>
              <w:t>Latourweg</w:t>
            </w:r>
            <w:proofErr w:type="spellEnd"/>
            <w:r w:rsidRPr="003E14A8">
              <w:rPr>
                <w:rFonts w:ascii="Arial" w:hAnsi="Arial" w:cs="Arial"/>
                <w:sz w:val="18"/>
                <w:szCs w:val="18"/>
              </w:rPr>
              <w:t xml:space="preserve"> </w:t>
            </w:r>
            <w:r w:rsidRPr="003E14A8">
              <w:rPr>
                <w:rFonts w:ascii="Arial" w:hAnsi="Arial" w:cs="Arial"/>
                <w:sz w:val="18"/>
                <w:szCs w:val="18"/>
              </w:rPr>
              <w:lastRenderedPageBreak/>
              <w:t xml:space="preserve">and </w:t>
            </w:r>
            <w:proofErr w:type="spellStart"/>
            <w:r w:rsidRPr="003E14A8">
              <w:rPr>
                <w:rFonts w:ascii="Arial" w:hAnsi="Arial" w:cs="Arial"/>
                <w:i/>
                <w:sz w:val="18"/>
                <w:szCs w:val="18"/>
              </w:rPr>
              <w:t>Molenpad</w:t>
            </w:r>
            <w:proofErr w:type="spellEnd"/>
            <w:r w:rsidRPr="003E14A8">
              <w:rPr>
                <w:rFonts w:ascii="Arial" w:hAnsi="Arial" w:cs="Arial"/>
                <w:sz w:val="18"/>
                <w:szCs w:val="18"/>
              </w:rPr>
              <w:t>) from north to south</w:t>
            </w:r>
          </w:p>
        </w:tc>
        <w:tc>
          <w:tcPr>
            <w:tcW w:w="1350" w:type="dxa"/>
            <w:shd w:val="clear" w:color="auto" w:fill="auto"/>
            <w:vAlign w:val="center"/>
          </w:tcPr>
          <w:p w14:paraId="31A99126"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lastRenderedPageBreak/>
              <w:t>minutes</w:t>
            </w:r>
          </w:p>
        </w:tc>
        <w:tc>
          <w:tcPr>
            <w:tcW w:w="1260" w:type="dxa"/>
            <w:shd w:val="clear" w:color="auto" w:fill="auto"/>
            <w:vAlign w:val="center"/>
          </w:tcPr>
          <w:p w14:paraId="513226EC"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11</w:t>
            </w:r>
          </w:p>
        </w:tc>
        <w:tc>
          <w:tcPr>
            <w:tcW w:w="1170" w:type="dxa"/>
            <w:shd w:val="clear" w:color="auto" w:fill="auto"/>
            <w:vAlign w:val="center"/>
          </w:tcPr>
          <w:p w14:paraId="0C0C1234"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shd w:val="clear" w:color="auto" w:fill="auto"/>
            <w:vAlign w:val="center"/>
          </w:tcPr>
          <w:p w14:paraId="4623043F"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9</w:t>
            </w:r>
          </w:p>
        </w:tc>
        <w:tc>
          <w:tcPr>
            <w:tcW w:w="3600" w:type="dxa"/>
            <w:vMerge/>
            <w:shd w:val="clear" w:color="auto" w:fill="auto"/>
          </w:tcPr>
          <w:p w14:paraId="4866B6EF" w14:textId="77777777" w:rsidR="000A7418" w:rsidRPr="003E14A8" w:rsidRDefault="000A7418" w:rsidP="00CB08F5">
            <w:pPr>
              <w:rPr>
                <w:rFonts w:ascii="Arial" w:hAnsi="Arial" w:cs="Arial"/>
                <w:sz w:val="18"/>
                <w:szCs w:val="18"/>
                <w:lang w:eastAsia="zh-CN"/>
              </w:rPr>
            </w:pPr>
          </w:p>
        </w:tc>
        <w:tc>
          <w:tcPr>
            <w:tcW w:w="2520" w:type="dxa"/>
            <w:vMerge/>
            <w:shd w:val="clear" w:color="auto" w:fill="auto"/>
          </w:tcPr>
          <w:p w14:paraId="2784C4B2" w14:textId="77777777" w:rsidR="000A7418" w:rsidRPr="003E14A8" w:rsidRDefault="000A7418" w:rsidP="00CB08F5">
            <w:pPr>
              <w:rPr>
                <w:rFonts w:ascii="Arial" w:hAnsi="Arial" w:cs="Arial"/>
                <w:sz w:val="18"/>
                <w:szCs w:val="18"/>
              </w:rPr>
            </w:pPr>
          </w:p>
        </w:tc>
      </w:tr>
      <w:tr w:rsidR="000A7418" w:rsidRPr="003E14A8" w14:paraId="5D65EA7C" w14:textId="77777777" w:rsidTr="00CB08F5">
        <w:trPr>
          <w:trHeight w:val="64"/>
        </w:trPr>
        <w:tc>
          <w:tcPr>
            <w:tcW w:w="1980" w:type="dxa"/>
            <w:shd w:val="clear" w:color="auto" w:fill="auto"/>
          </w:tcPr>
          <w:p w14:paraId="197DB026"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rPr>
              <w:t xml:space="preserve">Average travel time in </w:t>
            </w:r>
            <w:r w:rsidRPr="003E14A8">
              <w:rPr>
                <w:rFonts w:ascii="Arial" w:hAnsi="Arial" w:cs="Arial"/>
                <w:i/>
                <w:sz w:val="18"/>
                <w:szCs w:val="18"/>
              </w:rPr>
              <w:t xml:space="preserve">Willem </w:t>
            </w:r>
            <w:proofErr w:type="spellStart"/>
            <w:r w:rsidRPr="003E14A8">
              <w:rPr>
                <w:rFonts w:ascii="Arial" w:hAnsi="Arial" w:cs="Arial"/>
                <w:i/>
                <w:sz w:val="18"/>
                <w:szCs w:val="18"/>
              </w:rPr>
              <w:t>Campagnestraat</w:t>
            </w:r>
            <w:proofErr w:type="spellEnd"/>
            <w:r w:rsidRPr="003E14A8">
              <w:rPr>
                <w:rFonts w:ascii="Arial" w:hAnsi="Arial" w:cs="Arial"/>
                <w:sz w:val="18"/>
                <w:szCs w:val="18"/>
              </w:rPr>
              <w:t xml:space="preserve"> circuit</w:t>
            </w:r>
          </w:p>
        </w:tc>
        <w:tc>
          <w:tcPr>
            <w:tcW w:w="1350" w:type="dxa"/>
            <w:shd w:val="clear" w:color="auto" w:fill="auto"/>
            <w:vAlign w:val="center"/>
          </w:tcPr>
          <w:p w14:paraId="05DB5C2D"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minutes</w:t>
            </w:r>
          </w:p>
        </w:tc>
        <w:tc>
          <w:tcPr>
            <w:tcW w:w="1260" w:type="dxa"/>
            <w:shd w:val="clear" w:color="auto" w:fill="auto"/>
            <w:vAlign w:val="center"/>
          </w:tcPr>
          <w:p w14:paraId="4B6BF0EE"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9</w:t>
            </w:r>
          </w:p>
        </w:tc>
        <w:tc>
          <w:tcPr>
            <w:tcW w:w="1170" w:type="dxa"/>
            <w:shd w:val="clear" w:color="auto" w:fill="auto"/>
            <w:vAlign w:val="center"/>
          </w:tcPr>
          <w:p w14:paraId="0706B85A"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shd w:val="clear" w:color="auto" w:fill="auto"/>
            <w:vAlign w:val="center"/>
          </w:tcPr>
          <w:p w14:paraId="27DAF8AA"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6</w:t>
            </w:r>
          </w:p>
        </w:tc>
        <w:tc>
          <w:tcPr>
            <w:tcW w:w="3600" w:type="dxa"/>
            <w:vMerge/>
            <w:shd w:val="clear" w:color="auto" w:fill="auto"/>
          </w:tcPr>
          <w:p w14:paraId="16824C6E" w14:textId="77777777" w:rsidR="000A7418" w:rsidRPr="003E14A8" w:rsidRDefault="000A7418" w:rsidP="00CB08F5">
            <w:pPr>
              <w:rPr>
                <w:rFonts w:ascii="Arial" w:hAnsi="Arial" w:cs="Arial"/>
                <w:sz w:val="18"/>
                <w:szCs w:val="18"/>
                <w:lang w:eastAsia="zh-CN"/>
              </w:rPr>
            </w:pPr>
          </w:p>
        </w:tc>
        <w:tc>
          <w:tcPr>
            <w:tcW w:w="2520" w:type="dxa"/>
            <w:vMerge/>
            <w:shd w:val="clear" w:color="auto" w:fill="auto"/>
          </w:tcPr>
          <w:p w14:paraId="1FBAD40E" w14:textId="77777777" w:rsidR="000A7418" w:rsidRPr="003E14A8" w:rsidRDefault="000A7418" w:rsidP="00CB08F5">
            <w:pPr>
              <w:rPr>
                <w:rFonts w:ascii="Arial" w:hAnsi="Arial" w:cs="Arial"/>
                <w:sz w:val="18"/>
                <w:szCs w:val="18"/>
              </w:rPr>
            </w:pPr>
          </w:p>
        </w:tc>
      </w:tr>
      <w:tr w:rsidR="000A7418" w:rsidRPr="003E14A8" w14:paraId="72AB052F" w14:textId="77777777" w:rsidTr="00CB08F5">
        <w:trPr>
          <w:trHeight w:val="64"/>
        </w:trPr>
        <w:tc>
          <w:tcPr>
            <w:tcW w:w="1980" w:type="dxa"/>
            <w:shd w:val="clear" w:color="auto" w:fill="auto"/>
          </w:tcPr>
          <w:p w14:paraId="29E1893D"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rPr>
              <w:t xml:space="preserve">Average travel time in </w:t>
            </w:r>
            <w:proofErr w:type="spellStart"/>
            <w:r w:rsidRPr="003E14A8">
              <w:rPr>
                <w:rFonts w:ascii="Arial" w:hAnsi="Arial" w:cs="Arial"/>
                <w:i/>
                <w:sz w:val="18"/>
                <w:szCs w:val="18"/>
              </w:rPr>
              <w:t>Latourweg</w:t>
            </w:r>
            <w:proofErr w:type="spellEnd"/>
            <w:r w:rsidRPr="003E14A8">
              <w:rPr>
                <w:rFonts w:ascii="Arial" w:hAnsi="Arial" w:cs="Arial"/>
                <w:sz w:val="18"/>
                <w:szCs w:val="18"/>
              </w:rPr>
              <w:t xml:space="preserve">, </w:t>
            </w:r>
            <w:proofErr w:type="spellStart"/>
            <w:r w:rsidRPr="003E14A8">
              <w:rPr>
                <w:rFonts w:ascii="Arial" w:hAnsi="Arial" w:cs="Arial"/>
                <w:i/>
                <w:sz w:val="18"/>
                <w:szCs w:val="18"/>
              </w:rPr>
              <w:t>Molenpad</w:t>
            </w:r>
            <w:proofErr w:type="spellEnd"/>
            <w:r w:rsidRPr="003E14A8">
              <w:rPr>
                <w:rFonts w:ascii="Arial" w:hAnsi="Arial" w:cs="Arial"/>
                <w:sz w:val="18"/>
                <w:szCs w:val="18"/>
              </w:rPr>
              <w:t xml:space="preserve">, and </w:t>
            </w:r>
            <w:r w:rsidRPr="003E14A8">
              <w:rPr>
                <w:rFonts w:ascii="Arial" w:hAnsi="Arial" w:cs="Arial"/>
                <w:i/>
                <w:sz w:val="18"/>
                <w:szCs w:val="18"/>
              </w:rPr>
              <w:t xml:space="preserve">Jules </w:t>
            </w:r>
            <w:proofErr w:type="spellStart"/>
            <w:r w:rsidRPr="003E14A8">
              <w:rPr>
                <w:rFonts w:ascii="Arial" w:hAnsi="Arial" w:cs="Arial"/>
                <w:i/>
                <w:sz w:val="18"/>
                <w:szCs w:val="18"/>
              </w:rPr>
              <w:t>Wijdenboschbrug</w:t>
            </w:r>
            <w:proofErr w:type="spellEnd"/>
            <w:r w:rsidRPr="003E14A8">
              <w:rPr>
                <w:rFonts w:ascii="Arial" w:hAnsi="Arial" w:cs="Arial"/>
                <w:sz w:val="18"/>
                <w:szCs w:val="18"/>
              </w:rPr>
              <w:t xml:space="preserve"> circuits</w:t>
            </w:r>
          </w:p>
        </w:tc>
        <w:tc>
          <w:tcPr>
            <w:tcW w:w="1350" w:type="dxa"/>
            <w:shd w:val="clear" w:color="auto" w:fill="auto"/>
            <w:vAlign w:val="center"/>
          </w:tcPr>
          <w:p w14:paraId="4C5ABC1B"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minutes</w:t>
            </w:r>
          </w:p>
        </w:tc>
        <w:tc>
          <w:tcPr>
            <w:tcW w:w="1260" w:type="dxa"/>
            <w:shd w:val="clear" w:color="auto" w:fill="auto"/>
            <w:vAlign w:val="center"/>
          </w:tcPr>
          <w:p w14:paraId="4FEF3492"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13</w:t>
            </w:r>
          </w:p>
        </w:tc>
        <w:tc>
          <w:tcPr>
            <w:tcW w:w="1170" w:type="dxa"/>
            <w:shd w:val="clear" w:color="auto" w:fill="auto"/>
            <w:vAlign w:val="center"/>
          </w:tcPr>
          <w:p w14:paraId="26C099EF"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shd w:val="clear" w:color="auto" w:fill="auto"/>
            <w:vAlign w:val="center"/>
          </w:tcPr>
          <w:p w14:paraId="45DE37F2"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8</w:t>
            </w:r>
          </w:p>
        </w:tc>
        <w:tc>
          <w:tcPr>
            <w:tcW w:w="3600" w:type="dxa"/>
            <w:vMerge/>
            <w:shd w:val="clear" w:color="auto" w:fill="auto"/>
          </w:tcPr>
          <w:p w14:paraId="79151BBF" w14:textId="77777777" w:rsidR="000A7418" w:rsidRPr="003E14A8" w:rsidRDefault="000A7418" w:rsidP="00CB08F5">
            <w:pPr>
              <w:rPr>
                <w:rFonts w:ascii="Arial" w:hAnsi="Arial" w:cs="Arial"/>
                <w:sz w:val="18"/>
                <w:szCs w:val="18"/>
                <w:lang w:eastAsia="zh-CN"/>
              </w:rPr>
            </w:pPr>
          </w:p>
        </w:tc>
        <w:tc>
          <w:tcPr>
            <w:tcW w:w="2520" w:type="dxa"/>
            <w:vMerge/>
            <w:shd w:val="clear" w:color="auto" w:fill="auto"/>
          </w:tcPr>
          <w:p w14:paraId="39D6709D" w14:textId="77777777" w:rsidR="000A7418" w:rsidRPr="003E14A8" w:rsidRDefault="000A7418" w:rsidP="00CB08F5">
            <w:pPr>
              <w:rPr>
                <w:rFonts w:ascii="Arial" w:hAnsi="Arial" w:cs="Arial"/>
                <w:sz w:val="18"/>
                <w:szCs w:val="18"/>
              </w:rPr>
            </w:pPr>
          </w:p>
        </w:tc>
      </w:tr>
      <w:tr w:rsidR="000A7418" w:rsidRPr="003E14A8" w14:paraId="6DD1A5F4" w14:textId="77777777" w:rsidTr="00CB08F5">
        <w:trPr>
          <w:trHeight w:val="64"/>
        </w:trPr>
        <w:tc>
          <w:tcPr>
            <w:tcW w:w="13140" w:type="dxa"/>
            <w:gridSpan w:val="7"/>
            <w:shd w:val="clear" w:color="auto" w:fill="C6D9F1" w:themeFill="text2" w:themeFillTint="33"/>
            <w:vAlign w:val="center"/>
          </w:tcPr>
          <w:p w14:paraId="25F2C739" w14:textId="77777777" w:rsidR="000A7418" w:rsidRPr="003E14A8" w:rsidRDefault="000A7418" w:rsidP="00CB08F5">
            <w:pPr>
              <w:spacing w:before="120" w:after="120" w:line="240" w:lineRule="auto"/>
              <w:rPr>
                <w:rFonts w:ascii="Arial" w:hAnsi="Arial" w:cs="Arial"/>
                <w:sz w:val="18"/>
                <w:szCs w:val="18"/>
              </w:rPr>
            </w:pPr>
            <w:r w:rsidRPr="003E14A8">
              <w:rPr>
                <w:rFonts w:ascii="Arial" w:hAnsi="Arial" w:cs="Arial"/>
                <w:b/>
                <w:sz w:val="18"/>
                <w:szCs w:val="18"/>
              </w:rPr>
              <w:t>Result 3. Reduction in generalized travel costs for road users</w:t>
            </w:r>
          </w:p>
        </w:tc>
      </w:tr>
      <w:tr w:rsidR="000A7418" w:rsidRPr="003E14A8" w14:paraId="6B571D23" w14:textId="77777777" w:rsidTr="00CB08F5">
        <w:trPr>
          <w:trHeight w:val="64"/>
        </w:trPr>
        <w:tc>
          <w:tcPr>
            <w:tcW w:w="1980" w:type="dxa"/>
            <w:vAlign w:val="center"/>
          </w:tcPr>
          <w:p w14:paraId="1ED87016"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lang w:val="en-CA"/>
              </w:rPr>
              <w:t xml:space="preserve">Generalised Travel Costs (GTC) in section </w:t>
            </w:r>
            <w:r w:rsidRPr="003E14A8">
              <w:rPr>
                <w:rFonts w:ascii="Arial" w:hAnsi="Arial" w:cs="Arial"/>
                <w:i/>
                <w:sz w:val="18"/>
                <w:szCs w:val="18"/>
                <w:lang w:val="en-CA"/>
              </w:rPr>
              <w:t xml:space="preserve">Van ‘t </w:t>
            </w:r>
            <w:proofErr w:type="spellStart"/>
            <w:r w:rsidRPr="003E14A8">
              <w:rPr>
                <w:rFonts w:ascii="Arial" w:hAnsi="Arial" w:cs="Arial"/>
                <w:i/>
                <w:sz w:val="18"/>
                <w:szCs w:val="18"/>
                <w:lang w:val="en-CA"/>
              </w:rPr>
              <w:t>Hogerhuysstraat</w:t>
            </w:r>
            <w:proofErr w:type="spellEnd"/>
            <w:r w:rsidRPr="003E14A8">
              <w:rPr>
                <w:rFonts w:ascii="Arial" w:hAnsi="Arial" w:cs="Arial"/>
                <w:sz w:val="18"/>
                <w:szCs w:val="18"/>
                <w:lang w:val="en-CA"/>
              </w:rPr>
              <w:t xml:space="preserve"> (between </w:t>
            </w:r>
            <w:proofErr w:type="spellStart"/>
            <w:r w:rsidRPr="003E14A8">
              <w:rPr>
                <w:rFonts w:ascii="Arial" w:hAnsi="Arial" w:cs="Arial"/>
                <w:i/>
                <w:sz w:val="18"/>
                <w:szCs w:val="18"/>
                <w:lang w:val="en-CA"/>
              </w:rPr>
              <w:t>Latourweg</w:t>
            </w:r>
            <w:proofErr w:type="spellEnd"/>
            <w:r w:rsidRPr="003E14A8">
              <w:rPr>
                <w:rFonts w:ascii="Arial" w:hAnsi="Arial" w:cs="Arial"/>
                <w:i/>
                <w:sz w:val="18"/>
                <w:szCs w:val="18"/>
                <w:lang w:val="en-CA"/>
              </w:rPr>
              <w:t xml:space="preserve"> </w:t>
            </w:r>
            <w:r w:rsidRPr="003E14A8">
              <w:rPr>
                <w:rFonts w:ascii="Arial" w:hAnsi="Arial" w:cs="Arial"/>
                <w:sz w:val="18"/>
                <w:szCs w:val="18"/>
                <w:lang w:val="en-CA"/>
              </w:rPr>
              <w:t xml:space="preserve">and </w:t>
            </w:r>
            <w:proofErr w:type="spellStart"/>
            <w:r w:rsidRPr="003E14A8">
              <w:rPr>
                <w:rFonts w:ascii="Arial" w:hAnsi="Arial" w:cs="Arial"/>
                <w:i/>
                <w:sz w:val="18"/>
                <w:szCs w:val="18"/>
                <w:lang w:val="en-CA"/>
              </w:rPr>
              <w:t>Molenpad</w:t>
            </w:r>
            <w:proofErr w:type="spellEnd"/>
            <w:r w:rsidRPr="003E14A8">
              <w:rPr>
                <w:rFonts w:ascii="Arial" w:hAnsi="Arial" w:cs="Arial"/>
                <w:sz w:val="18"/>
                <w:szCs w:val="18"/>
                <w:lang w:val="en-CA"/>
              </w:rPr>
              <w:t>)</w:t>
            </w:r>
          </w:p>
          <w:p w14:paraId="7050CBF0" w14:textId="77777777" w:rsidR="000A7418" w:rsidRPr="003E14A8" w:rsidRDefault="000A7418" w:rsidP="00CB08F5">
            <w:pPr>
              <w:pStyle w:val="ListParagraph"/>
              <w:spacing w:after="0" w:line="240" w:lineRule="auto"/>
              <w:ind w:left="0"/>
              <w:rPr>
                <w:rFonts w:ascii="Arial" w:hAnsi="Arial" w:cs="Arial"/>
                <w:sz w:val="18"/>
                <w:szCs w:val="18"/>
                <w:lang w:val="en-CA"/>
              </w:rPr>
            </w:pPr>
          </w:p>
          <w:p w14:paraId="66ACAF1F" w14:textId="77777777" w:rsidR="000A7418" w:rsidRPr="003E14A8" w:rsidRDefault="000A7418" w:rsidP="00CB08F5">
            <w:pPr>
              <w:pStyle w:val="ListParagraph"/>
              <w:spacing w:after="0" w:line="240" w:lineRule="auto"/>
              <w:ind w:left="0"/>
              <w:rPr>
                <w:rFonts w:ascii="Arial" w:hAnsi="Arial" w:cs="Arial"/>
                <w:sz w:val="18"/>
                <w:szCs w:val="18"/>
              </w:rPr>
            </w:pPr>
            <w:r w:rsidRPr="003E14A8">
              <w:rPr>
                <w:rFonts w:ascii="Arial" w:hAnsi="Arial" w:cs="Arial"/>
                <w:sz w:val="18"/>
                <w:szCs w:val="18"/>
              </w:rPr>
              <w:t>South to north</w:t>
            </w:r>
          </w:p>
        </w:tc>
        <w:tc>
          <w:tcPr>
            <w:tcW w:w="1350" w:type="dxa"/>
            <w:vAlign w:val="center"/>
          </w:tcPr>
          <w:p w14:paraId="09C718B3"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US$/km</w:t>
            </w:r>
          </w:p>
        </w:tc>
        <w:tc>
          <w:tcPr>
            <w:tcW w:w="1260" w:type="dxa"/>
            <w:vAlign w:val="center"/>
          </w:tcPr>
          <w:p w14:paraId="360B35BD" w14:textId="77777777" w:rsidR="000A7418" w:rsidRPr="003E14A8" w:rsidRDefault="000A7418" w:rsidP="00CB08F5">
            <w:pPr>
              <w:rPr>
                <w:rFonts w:ascii="Arial" w:hAnsi="Arial" w:cs="Arial"/>
                <w:sz w:val="18"/>
                <w:szCs w:val="18"/>
              </w:rPr>
            </w:pPr>
            <w:r w:rsidRPr="003E14A8">
              <w:rPr>
                <w:rFonts w:ascii="Arial" w:hAnsi="Arial" w:cs="Arial"/>
                <w:sz w:val="18"/>
                <w:szCs w:val="18"/>
              </w:rPr>
              <w:t>Car: 0.28</w:t>
            </w:r>
          </w:p>
          <w:p w14:paraId="67195BAA" w14:textId="77777777" w:rsidR="000A7418" w:rsidRPr="003E14A8" w:rsidRDefault="000A7418" w:rsidP="00CB08F5">
            <w:pPr>
              <w:rPr>
                <w:rFonts w:ascii="Arial" w:hAnsi="Arial" w:cs="Arial"/>
                <w:sz w:val="18"/>
                <w:szCs w:val="18"/>
              </w:rPr>
            </w:pPr>
            <w:r w:rsidRPr="003E14A8">
              <w:rPr>
                <w:rFonts w:ascii="Arial" w:hAnsi="Arial" w:cs="Arial"/>
                <w:sz w:val="18"/>
                <w:szCs w:val="18"/>
              </w:rPr>
              <w:t>Bus: 1.04</w:t>
            </w:r>
          </w:p>
          <w:p w14:paraId="52DE77F3" w14:textId="77777777" w:rsidR="000A7418" w:rsidRPr="003E14A8" w:rsidRDefault="000A7418" w:rsidP="00CB08F5">
            <w:pPr>
              <w:rPr>
                <w:rFonts w:ascii="Arial" w:hAnsi="Arial" w:cs="Arial"/>
                <w:sz w:val="18"/>
                <w:szCs w:val="18"/>
              </w:rPr>
            </w:pPr>
            <w:r w:rsidRPr="003E14A8">
              <w:rPr>
                <w:rFonts w:ascii="Arial" w:hAnsi="Arial" w:cs="Arial"/>
                <w:sz w:val="18"/>
                <w:szCs w:val="18"/>
              </w:rPr>
              <w:t>Truck: 0.23</w:t>
            </w:r>
          </w:p>
          <w:p w14:paraId="3BAC9466" w14:textId="77777777" w:rsidR="000A7418" w:rsidRPr="003E14A8" w:rsidRDefault="000A7418" w:rsidP="00CB08F5">
            <w:pPr>
              <w:rPr>
                <w:rFonts w:ascii="Arial" w:hAnsi="Arial" w:cs="Arial"/>
                <w:sz w:val="18"/>
                <w:szCs w:val="18"/>
              </w:rPr>
            </w:pPr>
            <w:r w:rsidRPr="003E14A8">
              <w:rPr>
                <w:rFonts w:ascii="Arial" w:hAnsi="Arial" w:cs="Arial"/>
                <w:sz w:val="18"/>
                <w:szCs w:val="18"/>
              </w:rPr>
              <w:t>Moto: 0.14</w:t>
            </w:r>
          </w:p>
        </w:tc>
        <w:tc>
          <w:tcPr>
            <w:tcW w:w="1170" w:type="dxa"/>
            <w:vAlign w:val="center"/>
          </w:tcPr>
          <w:p w14:paraId="66C5CED7"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vAlign w:val="center"/>
          </w:tcPr>
          <w:p w14:paraId="4D9CFA60" w14:textId="77777777" w:rsidR="000A7418" w:rsidRPr="003E14A8" w:rsidRDefault="000A7418" w:rsidP="00CB08F5">
            <w:pPr>
              <w:rPr>
                <w:rFonts w:ascii="Arial" w:hAnsi="Arial" w:cs="Arial"/>
                <w:sz w:val="18"/>
                <w:szCs w:val="18"/>
              </w:rPr>
            </w:pPr>
            <w:r w:rsidRPr="003E14A8">
              <w:rPr>
                <w:rFonts w:ascii="Arial" w:hAnsi="Arial" w:cs="Arial"/>
                <w:sz w:val="18"/>
                <w:szCs w:val="18"/>
              </w:rPr>
              <w:t>Car: 0.21</w:t>
            </w:r>
          </w:p>
          <w:p w14:paraId="1A3E20C6" w14:textId="77777777" w:rsidR="000A7418" w:rsidRPr="003E14A8" w:rsidRDefault="000A7418" w:rsidP="00CB08F5">
            <w:pPr>
              <w:rPr>
                <w:rFonts w:ascii="Arial" w:hAnsi="Arial" w:cs="Arial"/>
                <w:sz w:val="18"/>
                <w:szCs w:val="18"/>
              </w:rPr>
            </w:pPr>
            <w:r w:rsidRPr="003E14A8">
              <w:rPr>
                <w:rFonts w:ascii="Arial" w:hAnsi="Arial" w:cs="Arial"/>
                <w:sz w:val="18"/>
                <w:szCs w:val="18"/>
              </w:rPr>
              <w:t>Bus: 0.76</w:t>
            </w:r>
          </w:p>
          <w:p w14:paraId="5C7C14FC" w14:textId="77777777" w:rsidR="000A7418" w:rsidRPr="003E14A8" w:rsidRDefault="000A7418" w:rsidP="00CB08F5">
            <w:pPr>
              <w:rPr>
                <w:rFonts w:ascii="Arial" w:hAnsi="Arial" w:cs="Arial"/>
                <w:sz w:val="18"/>
                <w:szCs w:val="18"/>
              </w:rPr>
            </w:pPr>
            <w:r w:rsidRPr="003E14A8">
              <w:rPr>
                <w:rFonts w:ascii="Arial" w:hAnsi="Arial" w:cs="Arial"/>
                <w:sz w:val="18"/>
                <w:szCs w:val="18"/>
              </w:rPr>
              <w:t>Truck: 0.19</w:t>
            </w:r>
          </w:p>
          <w:p w14:paraId="1F3DE536" w14:textId="77777777" w:rsidR="000A7418" w:rsidRPr="003E14A8" w:rsidRDefault="000A7418" w:rsidP="00CB08F5">
            <w:pPr>
              <w:rPr>
                <w:rFonts w:ascii="Arial" w:hAnsi="Arial" w:cs="Arial"/>
                <w:sz w:val="18"/>
                <w:szCs w:val="18"/>
              </w:rPr>
            </w:pPr>
            <w:r w:rsidRPr="003E14A8">
              <w:rPr>
                <w:rFonts w:ascii="Arial" w:hAnsi="Arial" w:cs="Arial"/>
                <w:sz w:val="18"/>
                <w:szCs w:val="18"/>
              </w:rPr>
              <w:t>Moto: 0.11</w:t>
            </w:r>
          </w:p>
        </w:tc>
        <w:tc>
          <w:tcPr>
            <w:tcW w:w="3600" w:type="dxa"/>
            <w:vMerge w:val="restart"/>
          </w:tcPr>
          <w:p w14:paraId="248EFE0B"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1CB4B308" w14:textId="77777777" w:rsidR="000A7418" w:rsidRPr="003E14A8" w:rsidRDefault="000A7418" w:rsidP="00CB08F5">
            <w:pPr>
              <w:jc w:val="both"/>
              <w:rPr>
                <w:rFonts w:ascii="Arial" w:hAnsi="Arial" w:cs="Arial"/>
                <w:sz w:val="18"/>
                <w:szCs w:val="18"/>
              </w:rPr>
            </w:pPr>
            <w:r w:rsidRPr="003E14A8">
              <w:rPr>
                <w:rFonts w:ascii="Arial" w:hAnsi="Arial" w:cs="Arial"/>
                <w:sz w:val="18"/>
                <w:szCs w:val="18"/>
              </w:rPr>
              <w:t xml:space="preserve">Source and methodology: </w:t>
            </w:r>
            <w:r>
              <w:rPr>
                <w:rFonts w:ascii="Arial" w:hAnsi="Arial" w:cs="Arial"/>
                <w:sz w:val="18"/>
                <w:szCs w:val="18"/>
              </w:rPr>
              <w:t>t</w:t>
            </w:r>
            <w:r w:rsidRPr="003E14A8">
              <w:rPr>
                <w:rFonts w:ascii="Arial" w:hAnsi="Arial" w:cs="Arial"/>
                <w:sz w:val="18"/>
                <w:szCs w:val="18"/>
              </w:rPr>
              <w:t xml:space="preserve">ravel costs will be calculated using the same methodology as for the baseline scenario, </w:t>
            </w:r>
            <w:r w:rsidRPr="003E14A8">
              <w:rPr>
                <w:rFonts w:ascii="Arial" w:hAnsi="Arial" w:cs="Arial"/>
                <w:noProof/>
                <w:sz w:val="18"/>
                <w:szCs w:val="18"/>
              </w:rPr>
              <w:t>based on</w:t>
            </w:r>
            <w:r w:rsidRPr="003E14A8">
              <w:rPr>
                <w:rFonts w:ascii="Arial" w:hAnsi="Arial" w:cs="Arial"/>
                <w:sz w:val="18"/>
                <w:szCs w:val="18"/>
              </w:rPr>
              <w:t xml:space="preserve"> the estimation of Value of Travel Time (VTT) and Vehicle Operation Costs (VOC)</w:t>
            </w:r>
          </w:p>
          <w:p w14:paraId="5B44F4E0"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rPr>
              <w:t xml:space="preserve">See </w:t>
            </w:r>
            <w:hyperlink r:id="rId34" w:history="1">
              <w:r w:rsidRPr="003E14A8">
                <w:rPr>
                  <w:rStyle w:val="Hyperlink"/>
                  <w:rFonts w:ascii="Arial" w:hAnsi="Arial" w:cs="Arial"/>
                  <w:sz w:val="18"/>
                  <w:szCs w:val="18"/>
                </w:rPr>
                <w:t>OEL#1</w:t>
              </w:r>
            </w:hyperlink>
            <w:r w:rsidRPr="003E14A8" w:rsidDel="00813A21">
              <w:rPr>
                <w:rStyle w:val="Hyperlink"/>
                <w:rFonts w:ascii="Arial" w:hAnsi="Arial" w:cs="Arial"/>
                <w:sz w:val="18"/>
                <w:szCs w:val="18"/>
              </w:rPr>
              <w:t xml:space="preserve"> </w:t>
            </w:r>
          </w:p>
        </w:tc>
        <w:tc>
          <w:tcPr>
            <w:tcW w:w="2520" w:type="dxa"/>
            <w:vMerge w:val="restart"/>
          </w:tcPr>
          <w:p w14:paraId="7F730D56" w14:textId="77777777" w:rsidR="000A7418" w:rsidRPr="003E14A8" w:rsidRDefault="000A7418" w:rsidP="00CB08F5">
            <w:pPr>
              <w:jc w:val="both"/>
              <w:rPr>
                <w:rFonts w:ascii="Arial" w:hAnsi="Arial" w:cs="Arial"/>
                <w:sz w:val="18"/>
                <w:szCs w:val="18"/>
              </w:rPr>
            </w:pPr>
            <w:r w:rsidRPr="003E14A8">
              <w:rPr>
                <w:rFonts w:ascii="Arial" w:hAnsi="Arial" w:cs="Arial"/>
                <w:sz w:val="18"/>
                <w:szCs w:val="18"/>
              </w:rPr>
              <w:t>The costs quantified were the VTT and the VOC, using parameters for Suriname</w:t>
            </w:r>
          </w:p>
          <w:p w14:paraId="7BD3A5E2" w14:textId="77777777" w:rsidR="000A7418" w:rsidRDefault="000A7418" w:rsidP="00CB08F5">
            <w:pPr>
              <w:pStyle w:val="Default"/>
              <w:spacing w:after="13"/>
              <w:jc w:val="both"/>
              <w:rPr>
                <w:rFonts w:ascii="Arial" w:hAnsi="Arial" w:cs="Arial"/>
                <w:sz w:val="18"/>
                <w:szCs w:val="18"/>
              </w:rPr>
            </w:pPr>
            <w:r w:rsidRPr="003E14A8">
              <w:rPr>
                <w:rFonts w:ascii="Arial" w:hAnsi="Arial" w:cs="Arial"/>
                <w:b/>
                <w:bCs/>
                <w:sz w:val="18"/>
                <w:szCs w:val="18"/>
              </w:rPr>
              <w:t xml:space="preserve">VTT </w:t>
            </w:r>
            <w:r w:rsidRPr="003E14A8">
              <w:rPr>
                <w:rFonts w:ascii="Arial" w:hAnsi="Arial" w:cs="Arial"/>
                <w:bCs/>
                <w:sz w:val="18"/>
                <w:szCs w:val="18"/>
              </w:rPr>
              <w:t xml:space="preserve">estimated using the </w:t>
            </w:r>
            <w:r w:rsidRPr="003E14A8">
              <w:rPr>
                <w:rFonts w:ascii="Arial" w:hAnsi="Arial" w:cs="Arial"/>
                <w:sz w:val="18"/>
                <w:szCs w:val="18"/>
              </w:rPr>
              <w:t xml:space="preserve">World Bank </w:t>
            </w:r>
            <w:r>
              <w:rPr>
                <w:rFonts w:ascii="Arial" w:hAnsi="Arial" w:cs="Arial"/>
                <w:sz w:val="18"/>
                <w:szCs w:val="18"/>
              </w:rPr>
              <w:br/>
            </w:r>
            <w:r w:rsidRPr="003E14A8">
              <w:rPr>
                <w:rFonts w:ascii="Arial" w:hAnsi="Arial" w:cs="Arial"/>
                <w:sz w:val="18"/>
                <w:szCs w:val="18"/>
              </w:rPr>
              <w:t>methodology</w:t>
            </w:r>
            <w:r>
              <w:rPr>
                <w:rFonts w:ascii="Arial" w:hAnsi="Arial" w:cs="Arial"/>
                <w:sz w:val="18"/>
                <w:szCs w:val="18"/>
              </w:rPr>
              <w:t>.</w:t>
            </w:r>
            <w:r w:rsidRPr="003E14A8">
              <w:rPr>
                <w:rStyle w:val="FootnoteReference"/>
                <w:sz w:val="18"/>
                <w:szCs w:val="18"/>
              </w:rPr>
              <w:footnoteReference w:id="9"/>
            </w:r>
            <w:r w:rsidRPr="003E14A8">
              <w:rPr>
                <w:rFonts w:ascii="Arial" w:hAnsi="Arial" w:cs="Arial"/>
                <w:sz w:val="18"/>
                <w:szCs w:val="18"/>
              </w:rPr>
              <w:t xml:space="preserve"> This model was further developed by the Mexican Transport Institute to propose a time valuing estimation based on the working time spent on transport and the leisure time spent on transport. This method considers the minim</w:t>
            </w:r>
            <w:r>
              <w:rPr>
                <w:rFonts w:ascii="Arial" w:hAnsi="Arial" w:cs="Arial"/>
                <w:sz w:val="18"/>
                <w:szCs w:val="18"/>
              </w:rPr>
              <w:t>um</w:t>
            </w:r>
            <w:r w:rsidRPr="003E14A8">
              <w:rPr>
                <w:rFonts w:ascii="Arial" w:hAnsi="Arial" w:cs="Arial"/>
                <w:sz w:val="18"/>
                <w:szCs w:val="18"/>
              </w:rPr>
              <w:t xml:space="preserve"> wage, the number of average working hours in a week by employed citizens</w:t>
            </w:r>
            <w:r>
              <w:rPr>
                <w:rFonts w:ascii="Arial" w:hAnsi="Arial" w:cs="Arial"/>
                <w:sz w:val="18"/>
                <w:szCs w:val="18"/>
              </w:rPr>
              <w:t>,</w:t>
            </w:r>
            <w:r w:rsidRPr="003E14A8">
              <w:rPr>
                <w:rFonts w:ascii="Arial" w:hAnsi="Arial" w:cs="Arial"/>
                <w:sz w:val="18"/>
                <w:szCs w:val="18"/>
              </w:rPr>
              <w:t xml:space="preserve"> and an adjustment factor based on the times the minimum wage is earned by a vehicle type occupant</w:t>
            </w:r>
          </w:p>
          <w:p w14:paraId="018FC2DF" w14:textId="77777777" w:rsidR="000A7418" w:rsidRPr="003E14A8" w:rsidRDefault="000A7418" w:rsidP="00CB08F5">
            <w:pPr>
              <w:pStyle w:val="Default"/>
              <w:spacing w:after="13"/>
              <w:jc w:val="both"/>
              <w:rPr>
                <w:rFonts w:ascii="Arial" w:hAnsi="Arial" w:cs="Arial"/>
                <w:sz w:val="18"/>
                <w:szCs w:val="18"/>
              </w:rPr>
            </w:pPr>
          </w:p>
          <w:p w14:paraId="03338A8E" w14:textId="77777777" w:rsidR="000A7418" w:rsidRPr="003E14A8" w:rsidRDefault="000A7418" w:rsidP="00CB08F5">
            <w:pPr>
              <w:pStyle w:val="Default"/>
              <w:jc w:val="both"/>
              <w:rPr>
                <w:rFonts w:ascii="Arial" w:hAnsi="Arial" w:cs="Arial"/>
                <w:sz w:val="18"/>
                <w:szCs w:val="18"/>
              </w:rPr>
            </w:pPr>
            <w:r w:rsidRPr="003E14A8">
              <w:rPr>
                <w:rFonts w:ascii="Arial" w:hAnsi="Arial" w:cs="Arial"/>
                <w:b/>
                <w:bCs/>
                <w:sz w:val="18"/>
                <w:szCs w:val="18"/>
              </w:rPr>
              <w:t xml:space="preserve">VOC </w:t>
            </w:r>
            <w:r w:rsidRPr="003E14A8">
              <w:rPr>
                <w:rFonts w:ascii="Arial" w:hAnsi="Arial" w:cs="Arial"/>
                <w:sz w:val="18"/>
                <w:szCs w:val="18"/>
              </w:rPr>
              <w:t>based on parameters of fuel consumption by vehicle type per average speed and non-fuel related costs by vehicle type per kilometer. These inputs were obtained from the California Life-Cycle Benefit-Cost Analysis Model for the 2018 BUILD Applications</w:t>
            </w:r>
            <w:r w:rsidRPr="003E14A8">
              <w:rPr>
                <w:rFonts w:ascii="Arial" w:hAnsi="Arial" w:cs="Arial"/>
                <w:sz w:val="18"/>
                <w:szCs w:val="18"/>
                <w:vertAlign w:val="superscript"/>
              </w:rPr>
              <w:footnoteReference w:id="10"/>
            </w:r>
          </w:p>
        </w:tc>
      </w:tr>
      <w:tr w:rsidR="000A7418" w:rsidRPr="003E14A8" w14:paraId="27C1AC0C" w14:textId="77777777" w:rsidTr="00CB08F5">
        <w:trPr>
          <w:trHeight w:val="64"/>
        </w:trPr>
        <w:tc>
          <w:tcPr>
            <w:tcW w:w="1980" w:type="dxa"/>
            <w:vAlign w:val="center"/>
          </w:tcPr>
          <w:p w14:paraId="0805ABDC"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lang w:val="en-CA"/>
              </w:rPr>
              <w:t xml:space="preserve">GTC in section </w:t>
            </w:r>
            <w:r w:rsidRPr="003E14A8">
              <w:rPr>
                <w:rFonts w:ascii="Arial" w:hAnsi="Arial" w:cs="Arial"/>
                <w:i/>
                <w:sz w:val="18"/>
                <w:szCs w:val="18"/>
                <w:lang w:val="en-CA"/>
              </w:rPr>
              <w:t xml:space="preserve">Van ‘t </w:t>
            </w:r>
            <w:proofErr w:type="spellStart"/>
            <w:r w:rsidRPr="003E14A8">
              <w:rPr>
                <w:rFonts w:ascii="Arial" w:hAnsi="Arial" w:cs="Arial"/>
                <w:i/>
                <w:sz w:val="18"/>
                <w:szCs w:val="18"/>
                <w:lang w:val="en-CA"/>
              </w:rPr>
              <w:t>Hogerhuysstraat</w:t>
            </w:r>
            <w:proofErr w:type="spellEnd"/>
            <w:r w:rsidRPr="003E14A8">
              <w:rPr>
                <w:rFonts w:ascii="Arial" w:hAnsi="Arial" w:cs="Arial"/>
                <w:sz w:val="18"/>
                <w:szCs w:val="18"/>
                <w:lang w:val="en-CA"/>
              </w:rPr>
              <w:t xml:space="preserve"> (between </w:t>
            </w:r>
            <w:proofErr w:type="spellStart"/>
            <w:r w:rsidRPr="003E14A8">
              <w:rPr>
                <w:rFonts w:ascii="Arial" w:hAnsi="Arial" w:cs="Arial"/>
                <w:i/>
                <w:sz w:val="18"/>
                <w:szCs w:val="18"/>
                <w:lang w:val="en-CA"/>
              </w:rPr>
              <w:t>Latourweg</w:t>
            </w:r>
            <w:proofErr w:type="spellEnd"/>
            <w:r w:rsidRPr="003E14A8">
              <w:rPr>
                <w:rFonts w:ascii="Arial" w:hAnsi="Arial" w:cs="Arial"/>
                <w:i/>
                <w:sz w:val="18"/>
                <w:szCs w:val="18"/>
                <w:lang w:val="en-CA"/>
              </w:rPr>
              <w:t xml:space="preserve"> and </w:t>
            </w:r>
            <w:proofErr w:type="spellStart"/>
            <w:r w:rsidRPr="003E14A8">
              <w:rPr>
                <w:rFonts w:ascii="Arial" w:hAnsi="Arial" w:cs="Arial"/>
                <w:i/>
                <w:sz w:val="18"/>
                <w:szCs w:val="18"/>
                <w:lang w:val="en-CA"/>
              </w:rPr>
              <w:t>Molenpad</w:t>
            </w:r>
            <w:proofErr w:type="spellEnd"/>
            <w:r w:rsidRPr="003E14A8">
              <w:rPr>
                <w:rFonts w:ascii="Arial" w:hAnsi="Arial" w:cs="Arial"/>
                <w:sz w:val="18"/>
                <w:szCs w:val="18"/>
                <w:lang w:val="en-CA"/>
              </w:rPr>
              <w:t xml:space="preserve">) </w:t>
            </w:r>
          </w:p>
          <w:p w14:paraId="5C9EBD82" w14:textId="77777777" w:rsidR="000A7418" w:rsidRPr="003E14A8" w:rsidRDefault="000A7418" w:rsidP="00CB08F5">
            <w:pPr>
              <w:pStyle w:val="ListParagraph"/>
              <w:spacing w:after="0" w:line="240" w:lineRule="auto"/>
              <w:ind w:left="0"/>
              <w:rPr>
                <w:rFonts w:ascii="Arial" w:hAnsi="Arial" w:cs="Arial"/>
                <w:sz w:val="18"/>
                <w:szCs w:val="18"/>
                <w:lang w:val="en-CA"/>
              </w:rPr>
            </w:pPr>
          </w:p>
          <w:p w14:paraId="50D912F8"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lang w:val="en-CA"/>
              </w:rPr>
              <w:t>North to south</w:t>
            </w:r>
          </w:p>
        </w:tc>
        <w:tc>
          <w:tcPr>
            <w:tcW w:w="1350" w:type="dxa"/>
            <w:vAlign w:val="center"/>
          </w:tcPr>
          <w:p w14:paraId="32B99FC4"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US$/km</w:t>
            </w:r>
          </w:p>
        </w:tc>
        <w:tc>
          <w:tcPr>
            <w:tcW w:w="1260" w:type="dxa"/>
            <w:vAlign w:val="center"/>
          </w:tcPr>
          <w:p w14:paraId="1632FCB8" w14:textId="77777777" w:rsidR="000A7418" w:rsidRPr="003E14A8" w:rsidRDefault="000A7418" w:rsidP="00CB08F5">
            <w:pPr>
              <w:rPr>
                <w:rFonts w:ascii="Arial" w:hAnsi="Arial" w:cs="Arial"/>
                <w:sz w:val="18"/>
                <w:szCs w:val="18"/>
              </w:rPr>
            </w:pPr>
            <w:r w:rsidRPr="003E14A8">
              <w:rPr>
                <w:rFonts w:ascii="Arial" w:hAnsi="Arial" w:cs="Arial"/>
                <w:sz w:val="18"/>
                <w:szCs w:val="18"/>
              </w:rPr>
              <w:t>Car: 0.24</w:t>
            </w:r>
          </w:p>
          <w:p w14:paraId="3D15E281" w14:textId="77777777" w:rsidR="000A7418" w:rsidRPr="003E14A8" w:rsidRDefault="000A7418" w:rsidP="00CB08F5">
            <w:pPr>
              <w:rPr>
                <w:rFonts w:ascii="Arial" w:hAnsi="Arial" w:cs="Arial"/>
                <w:sz w:val="18"/>
                <w:szCs w:val="18"/>
              </w:rPr>
            </w:pPr>
            <w:r w:rsidRPr="003E14A8">
              <w:rPr>
                <w:rFonts w:ascii="Arial" w:hAnsi="Arial" w:cs="Arial"/>
                <w:sz w:val="18"/>
                <w:szCs w:val="18"/>
              </w:rPr>
              <w:t>Bus: 0.90</w:t>
            </w:r>
          </w:p>
          <w:p w14:paraId="0B9F4988" w14:textId="77777777" w:rsidR="000A7418" w:rsidRPr="003E14A8" w:rsidRDefault="000A7418" w:rsidP="00CB08F5">
            <w:pPr>
              <w:rPr>
                <w:rFonts w:ascii="Arial" w:hAnsi="Arial" w:cs="Arial"/>
                <w:sz w:val="18"/>
                <w:szCs w:val="18"/>
              </w:rPr>
            </w:pPr>
            <w:r w:rsidRPr="003E14A8">
              <w:rPr>
                <w:rFonts w:ascii="Arial" w:hAnsi="Arial" w:cs="Arial"/>
                <w:sz w:val="18"/>
                <w:szCs w:val="18"/>
              </w:rPr>
              <w:t>Truck: 0.22</w:t>
            </w:r>
          </w:p>
          <w:p w14:paraId="78D491A3" w14:textId="77777777" w:rsidR="000A7418" w:rsidRPr="003E14A8" w:rsidRDefault="000A7418" w:rsidP="00CB08F5">
            <w:pPr>
              <w:rPr>
                <w:rFonts w:ascii="Arial" w:hAnsi="Arial" w:cs="Arial"/>
                <w:sz w:val="18"/>
                <w:szCs w:val="18"/>
              </w:rPr>
            </w:pPr>
            <w:r w:rsidRPr="003E14A8">
              <w:rPr>
                <w:rFonts w:ascii="Arial" w:hAnsi="Arial" w:cs="Arial"/>
                <w:sz w:val="18"/>
                <w:szCs w:val="18"/>
              </w:rPr>
              <w:t>Moto: 0.13</w:t>
            </w:r>
          </w:p>
        </w:tc>
        <w:tc>
          <w:tcPr>
            <w:tcW w:w="1170" w:type="dxa"/>
            <w:vAlign w:val="center"/>
          </w:tcPr>
          <w:p w14:paraId="0DE41301"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vAlign w:val="center"/>
          </w:tcPr>
          <w:p w14:paraId="01B9B95A" w14:textId="77777777" w:rsidR="000A7418" w:rsidRPr="003E14A8" w:rsidRDefault="000A7418" w:rsidP="00CB08F5">
            <w:pPr>
              <w:rPr>
                <w:rFonts w:ascii="Arial" w:hAnsi="Arial" w:cs="Arial"/>
                <w:sz w:val="18"/>
                <w:szCs w:val="18"/>
              </w:rPr>
            </w:pPr>
            <w:r w:rsidRPr="003E14A8">
              <w:rPr>
                <w:rFonts w:ascii="Arial" w:hAnsi="Arial" w:cs="Arial"/>
                <w:sz w:val="18"/>
                <w:szCs w:val="18"/>
              </w:rPr>
              <w:t>Car: 0.20</w:t>
            </w:r>
          </w:p>
          <w:p w14:paraId="4D0856B6" w14:textId="77777777" w:rsidR="000A7418" w:rsidRPr="003E14A8" w:rsidRDefault="000A7418" w:rsidP="00CB08F5">
            <w:pPr>
              <w:rPr>
                <w:rFonts w:ascii="Arial" w:hAnsi="Arial" w:cs="Arial"/>
                <w:sz w:val="18"/>
                <w:szCs w:val="18"/>
              </w:rPr>
            </w:pPr>
            <w:r w:rsidRPr="003E14A8">
              <w:rPr>
                <w:rFonts w:ascii="Arial" w:hAnsi="Arial" w:cs="Arial"/>
                <w:sz w:val="18"/>
                <w:szCs w:val="18"/>
              </w:rPr>
              <w:t>Bus: 0.76</w:t>
            </w:r>
          </w:p>
          <w:p w14:paraId="53F3539E" w14:textId="77777777" w:rsidR="000A7418" w:rsidRPr="003E14A8" w:rsidRDefault="000A7418" w:rsidP="00CB08F5">
            <w:pPr>
              <w:rPr>
                <w:rFonts w:ascii="Arial" w:hAnsi="Arial" w:cs="Arial"/>
                <w:sz w:val="18"/>
                <w:szCs w:val="18"/>
              </w:rPr>
            </w:pPr>
            <w:r w:rsidRPr="003E14A8">
              <w:rPr>
                <w:rFonts w:ascii="Arial" w:hAnsi="Arial" w:cs="Arial"/>
                <w:sz w:val="18"/>
                <w:szCs w:val="18"/>
              </w:rPr>
              <w:t>Truck: 0.19</w:t>
            </w:r>
          </w:p>
          <w:p w14:paraId="38DBBA87" w14:textId="77777777" w:rsidR="000A7418" w:rsidRPr="003E14A8" w:rsidRDefault="000A7418" w:rsidP="00CB08F5">
            <w:pPr>
              <w:rPr>
                <w:rFonts w:ascii="Arial" w:hAnsi="Arial" w:cs="Arial"/>
                <w:sz w:val="18"/>
                <w:szCs w:val="18"/>
              </w:rPr>
            </w:pPr>
            <w:r w:rsidRPr="003E14A8">
              <w:rPr>
                <w:rFonts w:ascii="Arial" w:hAnsi="Arial" w:cs="Arial"/>
                <w:sz w:val="18"/>
                <w:szCs w:val="18"/>
              </w:rPr>
              <w:t>Moto: 0.11</w:t>
            </w:r>
          </w:p>
        </w:tc>
        <w:tc>
          <w:tcPr>
            <w:tcW w:w="3600" w:type="dxa"/>
            <w:vMerge/>
          </w:tcPr>
          <w:p w14:paraId="608F969F" w14:textId="77777777" w:rsidR="000A7418" w:rsidRPr="003E14A8" w:rsidRDefault="000A7418" w:rsidP="00CB08F5">
            <w:pPr>
              <w:rPr>
                <w:rFonts w:ascii="Arial" w:hAnsi="Arial" w:cs="Arial"/>
                <w:sz w:val="18"/>
                <w:szCs w:val="18"/>
                <w:lang w:eastAsia="zh-CN"/>
              </w:rPr>
            </w:pPr>
          </w:p>
        </w:tc>
        <w:tc>
          <w:tcPr>
            <w:tcW w:w="2520" w:type="dxa"/>
            <w:vMerge/>
          </w:tcPr>
          <w:p w14:paraId="7F9239D5" w14:textId="77777777" w:rsidR="000A7418" w:rsidRPr="003E14A8" w:rsidRDefault="000A7418" w:rsidP="00CB08F5">
            <w:pPr>
              <w:rPr>
                <w:rFonts w:ascii="Arial" w:hAnsi="Arial" w:cs="Arial"/>
                <w:sz w:val="18"/>
                <w:szCs w:val="18"/>
              </w:rPr>
            </w:pPr>
          </w:p>
        </w:tc>
      </w:tr>
      <w:tr w:rsidR="000A7418" w:rsidRPr="003E14A8" w14:paraId="4A3B7DCC" w14:textId="77777777" w:rsidTr="00CB08F5">
        <w:trPr>
          <w:trHeight w:val="64"/>
        </w:trPr>
        <w:tc>
          <w:tcPr>
            <w:tcW w:w="1980" w:type="dxa"/>
            <w:vAlign w:val="center"/>
          </w:tcPr>
          <w:p w14:paraId="4BF21203"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lang w:val="en-CA"/>
              </w:rPr>
              <w:t xml:space="preserve">GTC along </w:t>
            </w:r>
            <w:r w:rsidRPr="003E14A8">
              <w:rPr>
                <w:rFonts w:ascii="Arial" w:hAnsi="Arial" w:cs="Arial"/>
                <w:i/>
                <w:sz w:val="18"/>
                <w:szCs w:val="18"/>
                <w:lang w:val="en-CA"/>
              </w:rPr>
              <w:t xml:space="preserve">Willem </w:t>
            </w:r>
            <w:proofErr w:type="spellStart"/>
            <w:r w:rsidRPr="003E14A8">
              <w:rPr>
                <w:rFonts w:ascii="Arial" w:hAnsi="Arial" w:cs="Arial"/>
                <w:i/>
                <w:sz w:val="18"/>
                <w:szCs w:val="18"/>
                <w:lang w:val="en-CA"/>
              </w:rPr>
              <w:t>Campagnestraat</w:t>
            </w:r>
            <w:proofErr w:type="spellEnd"/>
            <w:r w:rsidRPr="003E14A8">
              <w:rPr>
                <w:rFonts w:ascii="Arial" w:hAnsi="Arial" w:cs="Arial"/>
                <w:sz w:val="18"/>
                <w:szCs w:val="18"/>
                <w:lang w:val="en-CA"/>
              </w:rPr>
              <w:t xml:space="preserve"> circuit</w:t>
            </w:r>
          </w:p>
        </w:tc>
        <w:tc>
          <w:tcPr>
            <w:tcW w:w="1350" w:type="dxa"/>
            <w:vAlign w:val="center"/>
          </w:tcPr>
          <w:p w14:paraId="20A9EC23"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US$/km</w:t>
            </w:r>
          </w:p>
        </w:tc>
        <w:tc>
          <w:tcPr>
            <w:tcW w:w="1260" w:type="dxa"/>
            <w:vAlign w:val="center"/>
          </w:tcPr>
          <w:p w14:paraId="31D4B589" w14:textId="77777777" w:rsidR="000A7418" w:rsidRPr="003E14A8" w:rsidRDefault="000A7418" w:rsidP="00CB08F5">
            <w:pPr>
              <w:rPr>
                <w:rFonts w:ascii="Arial" w:hAnsi="Arial" w:cs="Arial"/>
                <w:sz w:val="18"/>
                <w:szCs w:val="18"/>
              </w:rPr>
            </w:pPr>
            <w:r w:rsidRPr="003E14A8">
              <w:rPr>
                <w:rFonts w:ascii="Arial" w:hAnsi="Arial" w:cs="Arial"/>
                <w:sz w:val="18"/>
                <w:szCs w:val="18"/>
              </w:rPr>
              <w:t>Car: 0.26</w:t>
            </w:r>
          </w:p>
          <w:p w14:paraId="484512CC" w14:textId="77777777" w:rsidR="000A7418" w:rsidRPr="003E14A8" w:rsidRDefault="000A7418" w:rsidP="00CB08F5">
            <w:pPr>
              <w:rPr>
                <w:rFonts w:ascii="Arial" w:hAnsi="Arial" w:cs="Arial"/>
                <w:sz w:val="18"/>
                <w:szCs w:val="18"/>
              </w:rPr>
            </w:pPr>
            <w:r w:rsidRPr="003E14A8">
              <w:rPr>
                <w:rFonts w:ascii="Arial" w:hAnsi="Arial" w:cs="Arial"/>
                <w:sz w:val="18"/>
                <w:szCs w:val="18"/>
              </w:rPr>
              <w:t>Bus: 0.96</w:t>
            </w:r>
          </w:p>
          <w:p w14:paraId="1CEF07A2" w14:textId="77777777" w:rsidR="000A7418" w:rsidRPr="003E14A8" w:rsidRDefault="000A7418" w:rsidP="00CB08F5">
            <w:pPr>
              <w:rPr>
                <w:rFonts w:ascii="Arial" w:hAnsi="Arial" w:cs="Arial"/>
                <w:sz w:val="18"/>
                <w:szCs w:val="18"/>
              </w:rPr>
            </w:pPr>
            <w:r w:rsidRPr="003E14A8">
              <w:rPr>
                <w:rFonts w:ascii="Arial" w:hAnsi="Arial" w:cs="Arial"/>
                <w:sz w:val="18"/>
                <w:szCs w:val="18"/>
              </w:rPr>
              <w:t>Truck: 0.22</w:t>
            </w:r>
          </w:p>
          <w:p w14:paraId="19049E6E" w14:textId="77777777" w:rsidR="000A7418" w:rsidRPr="003E14A8" w:rsidRDefault="000A7418" w:rsidP="00CB08F5">
            <w:pPr>
              <w:rPr>
                <w:rFonts w:ascii="Arial" w:hAnsi="Arial" w:cs="Arial"/>
                <w:sz w:val="18"/>
                <w:szCs w:val="18"/>
              </w:rPr>
            </w:pPr>
            <w:r w:rsidRPr="003E14A8">
              <w:rPr>
                <w:rFonts w:ascii="Arial" w:hAnsi="Arial" w:cs="Arial"/>
                <w:sz w:val="18"/>
                <w:szCs w:val="18"/>
              </w:rPr>
              <w:lastRenderedPageBreak/>
              <w:t>Moto: 0.14</w:t>
            </w:r>
          </w:p>
        </w:tc>
        <w:tc>
          <w:tcPr>
            <w:tcW w:w="1170" w:type="dxa"/>
            <w:vAlign w:val="center"/>
          </w:tcPr>
          <w:p w14:paraId="613EADDD"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lastRenderedPageBreak/>
              <w:t>2018</w:t>
            </w:r>
          </w:p>
        </w:tc>
        <w:tc>
          <w:tcPr>
            <w:tcW w:w="1260" w:type="dxa"/>
            <w:vAlign w:val="center"/>
          </w:tcPr>
          <w:p w14:paraId="3CA0D133" w14:textId="77777777" w:rsidR="000A7418" w:rsidRPr="003E14A8" w:rsidRDefault="000A7418" w:rsidP="00CB08F5">
            <w:pPr>
              <w:rPr>
                <w:rFonts w:ascii="Arial" w:hAnsi="Arial" w:cs="Arial"/>
                <w:sz w:val="18"/>
                <w:szCs w:val="18"/>
              </w:rPr>
            </w:pPr>
            <w:r w:rsidRPr="003E14A8">
              <w:rPr>
                <w:rFonts w:ascii="Arial" w:hAnsi="Arial" w:cs="Arial"/>
                <w:sz w:val="18"/>
                <w:szCs w:val="18"/>
              </w:rPr>
              <w:t>Car: 0.19</w:t>
            </w:r>
          </w:p>
          <w:p w14:paraId="00866A2C" w14:textId="77777777" w:rsidR="000A7418" w:rsidRPr="003E14A8" w:rsidRDefault="000A7418" w:rsidP="00CB08F5">
            <w:pPr>
              <w:rPr>
                <w:rFonts w:ascii="Arial" w:hAnsi="Arial" w:cs="Arial"/>
                <w:sz w:val="18"/>
                <w:szCs w:val="18"/>
              </w:rPr>
            </w:pPr>
            <w:r w:rsidRPr="003E14A8">
              <w:rPr>
                <w:rFonts w:ascii="Arial" w:hAnsi="Arial" w:cs="Arial"/>
                <w:sz w:val="18"/>
                <w:szCs w:val="18"/>
              </w:rPr>
              <w:t>Bus: 0.70</w:t>
            </w:r>
          </w:p>
          <w:p w14:paraId="3FA3C8E4" w14:textId="77777777" w:rsidR="000A7418" w:rsidRPr="003E14A8" w:rsidRDefault="000A7418" w:rsidP="00CB08F5">
            <w:pPr>
              <w:rPr>
                <w:rFonts w:ascii="Arial" w:hAnsi="Arial" w:cs="Arial"/>
                <w:sz w:val="18"/>
                <w:szCs w:val="18"/>
              </w:rPr>
            </w:pPr>
            <w:r w:rsidRPr="003E14A8">
              <w:rPr>
                <w:rFonts w:ascii="Arial" w:hAnsi="Arial" w:cs="Arial"/>
                <w:sz w:val="18"/>
                <w:szCs w:val="18"/>
              </w:rPr>
              <w:t>Truck: 0.18</w:t>
            </w:r>
          </w:p>
          <w:p w14:paraId="095EA16F" w14:textId="77777777" w:rsidR="000A7418" w:rsidRPr="003E14A8" w:rsidRDefault="000A7418" w:rsidP="00CB08F5">
            <w:pPr>
              <w:rPr>
                <w:rFonts w:ascii="Arial" w:hAnsi="Arial" w:cs="Arial"/>
                <w:sz w:val="18"/>
                <w:szCs w:val="18"/>
              </w:rPr>
            </w:pPr>
            <w:r w:rsidRPr="003E14A8">
              <w:rPr>
                <w:rFonts w:ascii="Arial" w:hAnsi="Arial" w:cs="Arial"/>
                <w:sz w:val="18"/>
                <w:szCs w:val="18"/>
              </w:rPr>
              <w:lastRenderedPageBreak/>
              <w:t>Moto: 0.10</w:t>
            </w:r>
          </w:p>
        </w:tc>
        <w:tc>
          <w:tcPr>
            <w:tcW w:w="3600" w:type="dxa"/>
            <w:vMerge/>
          </w:tcPr>
          <w:p w14:paraId="0E63CCA9" w14:textId="77777777" w:rsidR="000A7418" w:rsidRPr="003E14A8" w:rsidRDefault="000A7418" w:rsidP="00CB08F5">
            <w:pPr>
              <w:rPr>
                <w:rFonts w:ascii="Arial" w:hAnsi="Arial" w:cs="Arial"/>
                <w:sz w:val="18"/>
                <w:szCs w:val="18"/>
                <w:lang w:eastAsia="zh-CN"/>
              </w:rPr>
            </w:pPr>
          </w:p>
        </w:tc>
        <w:tc>
          <w:tcPr>
            <w:tcW w:w="2520" w:type="dxa"/>
            <w:vMerge/>
          </w:tcPr>
          <w:p w14:paraId="25AF1EC0" w14:textId="77777777" w:rsidR="000A7418" w:rsidRPr="003E14A8" w:rsidRDefault="000A7418" w:rsidP="00CB08F5">
            <w:pPr>
              <w:rPr>
                <w:rFonts w:ascii="Arial" w:hAnsi="Arial" w:cs="Arial"/>
                <w:sz w:val="18"/>
                <w:szCs w:val="18"/>
              </w:rPr>
            </w:pPr>
          </w:p>
        </w:tc>
      </w:tr>
      <w:tr w:rsidR="000A7418" w:rsidRPr="003E14A8" w14:paraId="2F2486A9" w14:textId="77777777" w:rsidTr="00CB08F5">
        <w:trPr>
          <w:trHeight w:val="64"/>
        </w:trPr>
        <w:tc>
          <w:tcPr>
            <w:tcW w:w="1980" w:type="dxa"/>
            <w:vAlign w:val="center"/>
          </w:tcPr>
          <w:p w14:paraId="6755D0FA" w14:textId="77777777" w:rsidR="000A7418" w:rsidRPr="003E14A8" w:rsidRDefault="000A7418" w:rsidP="00CB08F5">
            <w:pPr>
              <w:pStyle w:val="ListParagraph"/>
              <w:spacing w:after="0" w:line="240" w:lineRule="auto"/>
              <w:ind w:left="0"/>
              <w:rPr>
                <w:rFonts w:ascii="Arial" w:hAnsi="Arial" w:cs="Arial"/>
                <w:sz w:val="18"/>
                <w:szCs w:val="18"/>
                <w:lang w:val="en-CA"/>
              </w:rPr>
            </w:pPr>
            <w:r w:rsidRPr="003E14A8">
              <w:rPr>
                <w:rFonts w:ascii="Arial" w:hAnsi="Arial" w:cs="Arial"/>
                <w:sz w:val="18"/>
                <w:szCs w:val="18"/>
                <w:lang w:val="en-CA"/>
              </w:rPr>
              <w:t>GTC along other access (</w:t>
            </w:r>
            <w:proofErr w:type="spellStart"/>
            <w:r w:rsidRPr="003E14A8">
              <w:rPr>
                <w:rFonts w:ascii="Arial" w:hAnsi="Arial" w:cs="Arial"/>
                <w:i/>
                <w:sz w:val="18"/>
                <w:szCs w:val="18"/>
                <w:lang w:val="en-CA"/>
              </w:rPr>
              <w:t>Latourweg</w:t>
            </w:r>
            <w:proofErr w:type="spellEnd"/>
            <w:r w:rsidRPr="003E14A8">
              <w:rPr>
                <w:rFonts w:ascii="Arial" w:hAnsi="Arial" w:cs="Arial"/>
                <w:sz w:val="18"/>
                <w:szCs w:val="18"/>
                <w:lang w:val="en-CA"/>
              </w:rPr>
              <w:t xml:space="preserve">, </w:t>
            </w:r>
            <w:proofErr w:type="spellStart"/>
            <w:r w:rsidRPr="003E14A8">
              <w:rPr>
                <w:rFonts w:ascii="Arial" w:hAnsi="Arial" w:cs="Arial"/>
                <w:i/>
                <w:sz w:val="18"/>
                <w:szCs w:val="18"/>
                <w:lang w:val="en-CA"/>
              </w:rPr>
              <w:t>Molenpad</w:t>
            </w:r>
            <w:proofErr w:type="spellEnd"/>
            <w:r w:rsidRPr="003E14A8">
              <w:rPr>
                <w:rFonts w:ascii="Arial" w:hAnsi="Arial" w:cs="Arial"/>
                <w:sz w:val="18"/>
                <w:szCs w:val="18"/>
                <w:lang w:val="en-CA"/>
              </w:rPr>
              <w:t xml:space="preserve">, and </w:t>
            </w:r>
            <w:r w:rsidRPr="003E14A8">
              <w:rPr>
                <w:rFonts w:ascii="Arial" w:hAnsi="Arial" w:cs="Arial"/>
                <w:i/>
                <w:sz w:val="18"/>
                <w:szCs w:val="18"/>
                <w:lang w:val="en-CA"/>
              </w:rPr>
              <w:t xml:space="preserve">Jules </w:t>
            </w:r>
            <w:proofErr w:type="spellStart"/>
            <w:r w:rsidRPr="003E14A8">
              <w:rPr>
                <w:rFonts w:ascii="Arial" w:hAnsi="Arial" w:cs="Arial"/>
                <w:i/>
                <w:sz w:val="18"/>
                <w:szCs w:val="18"/>
                <w:lang w:val="en-CA"/>
              </w:rPr>
              <w:t>Wijdenboschbrug</w:t>
            </w:r>
            <w:proofErr w:type="spellEnd"/>
            <w:r w:rsidRPr="003E14A8">
              <w:rPr>
                <w:rFonts w:ascii="Arial" w:hAnsi="Arial" w:cs="Arial"/>
                <w:sz w:val="18"/>
                <w:szCs w:val="18"/>
                <w:lang w:val="en-CA"/>
              </w:rPr>
              <w:t>)</w:t>
            </w:r>
          </w:p>
        </w:tc>
        <w:tc>
          <w:tcPr>
            <w:tcW w:w="1350" w:type="dxa"/>
            <w:vAlign w:val="center"/>
          </w:tcPr>
          <w:p w14:paraId="623EE6CD"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US$/km</w:t>
            </w:r>
          </w:p>
        </w:tc>
        <w:tc>
          <w:tcPr>
            <w:tcW w:w="1260" w:type="dxa"/>
            <w:vAlign w:val="center"/>
          </w:tcPr>
          <w:p w14:paraId="22293A77" w14:textId="77777777" w:rsidR="000A7418" w:rsidRPr="003E14A8" w:rsidRDefault="000A7418" w:rsidP="00CB08F5">
            <w:pPr>
              <w:rPr>
                <w:rFonts w:ascii="Arial" w:hAnsi="Arial" w:cs="Arial"/>
                <w:sz w:val="18"/>
                <w:szCs w:val="18"/>
              </w:rPr>
            </w:pPr>
            <w:r w:rsidRPr="003E14A8">
              <w:rPr>
                <w:rFonts w:ascii="Arial" w:hAnsi="Arial" w:cs="Arial"/>
                <w:sz w:val="18"/>
                <w:szCs w:val="18"/>
              </w:rPr>
              <w:t>Car: 0.28</w:t>
            </w:r>
          </w:p>
          <w:p w14:paraId="22B4A19A" w14:textId="77777777" w:rsidR="000A7418" w:rsidRPr="003E14A8" w:rsidRDefault="000A7418" w:rsidP="00CB08F5">
            <w:pPr>
              <w:rPr>
                <w:rFonts w:ascii="Arial" w:hAnsi="Arial" w:cs="Arial"/>
                <w:sz w:val="18"/>
                <w:szCs w:val="18"/>
              </w:rPr>
            </w:pPr>
            <w:r w:rsidRPr="003E14A8">
              <w:rPr>
                <w:rFonts w:ascii="Arial" w:hAnsi="Arial" w:cs="Arial"/>
                <w:sz w:val="18"/>
                <w:szCs w:val="18"/>
              </w:rPr>
              <w:t>Bus: 1.09</w:t>
            </w:r>
          </w:p>
          <w:p w14:paraId="06A85788" w14:textId="77777777" w:rsidR="000A7418" w:rsidRPr="003E14A8" w:rsidRDefault="000A7418" w:rsidP="00CB08F5">
            <w:pPr>
              <w:rPr>
                <w:rFonts w:ascii="Arial" w:hAnsi="Arial" w:cs="Arial"/>
                <w:sz w:val="18"/>
                <w:szCs w:val="18"/>
              </w:rPr>
            </w:pPr>
            <w:r w:rsidRPr="003E14A8">
              <w:rPr>
                <w:rFonts w:ascii="Arial" w:hAnsi="Arial" w:cs="Arial"/>
                <w:sz w:val="18"/>
                <w:szCs w:val="18"/>
              </w:rPr>
              <w:t>Truck: 0.22</w:t>
            </w:r>
          </w:p>
          <w:p w14:paraId="0332B3EF" w14:textId="77777777" w:rsidR="000A7418" w:rsidRPr="003E14A8" w:rsidRDefault="000A7418" w:rsidP="00CB08F5">
            <w:pPr>
              <w:rPr>
                <w:rFonts w:ascii="Arial" w:hAnsi="Arial" w:cs="Arial"/>
                <w:sz w:val="18"/>
                <w:szCs w:val="18"/>
              </w:rPr>
            </w:pPr>
            <w:r w:rsidRPr="003E14A8">
              <w:rPr>
                <w:rFonts w:ascii="Arial" w:hAnsi="Arial" w:cs="Arial"/>
                <w:sz w:val="18"/>
                <w:szCs w:val="18"/>
              </w:rPr>
              <w:t>Moto: 0.14</w:t>
            </w:r>
          </w:p>
        </w:tc>
        <w:tc>
          <w:tcPr>
            <w:tcW w:w="1170" w:type="dxa"/>
            <w:vAlign w:val="center"/>
          </w:tcPr>
          <w:p w14:paraId="4B2D7BCA" w14:textId="77777777" w:rsidR="000A7418" w:rsidRPr="003E14A8" w:rsidRDefault="000A7418" w:rsidP="00CB08F5">
            <w:pPr>
              <w:jc w:val="center"/>
              <w:rPr>
                <w:rFonts w:ascii="Arial" w:hAnsi="Arial" w:cs="Arial"/>
                <w:sz w:val="18"/>
                <w:szCs w:val="18"/>
              </w:rPr>
            </w:pPr>
            <w:r w:rsidRPr="003E14A8">
              <w:rPr>
                <w:rFonts w:ascii="Arial" w:hAnsi="Arial" w:cs="Arial"/>
                <w:sz w:val="18"/>
                <w:szCs w:val="18"/>
              </w:rPr>
              <w:t>2018</w:t>
            </w:r>
          </w:p>
        </w:tc>
        <w:tc>
          <w:tcPr>
            <w:tcW w:w="1260" w:type="dxa"/>
            <w:vAlign w:val="center"/>
          </w:tcPr>
          <w:p w14:paraId="2AF2D56B" w14:textId="77777777" w:rsidR="000A7418" w:rsidRPr="003E14A8" w:rsidRDefault="000A7418" w:rsidP="00CB08F5">
            <w:pPr>
              <w:rPr>
                <w:rFonts w:ascii="Arial" w:hAnsi="Arial" w:cs="Arial"/>
                <w:sz w:val="18"/>
                <w:szCs w:val="18"/>
              </w:rPr>
            </w:pPr>
            <w:r w:rsidRPr="003E14A8">
              <w:rPr>
                <w:rFonts w:ascii="Arial" w:hAnsi="Arial" w:cs="Arial"/>
                <w:sz w:val="18"/>
                <w:szCs w:val="18"/>
              </w:rPr>
              <w:t>Car: 0.20</w:t>
            </w:r>
          </w:p>
          <w:p w14:paraId="40F23CF8" w14:textId="77777777" w:rsidR="000A7418" w:rsidRPr="003E14A8" w:rsidRDefault="000A7418" w:rsidP="00CB08F5">
            <w:pPr>
              <w:rPr>
                <w:rFonts w:ascii="Arial" w:hAnsi="Arial" w:cs="Arial"/>
                <w:sz w:val="18"/>
                <w:szCs w:val="18"/>
              </w:rPr>
            </w:pPr>
            <w:r w:rsidRPr="003E14A8">
              <w:rPr>
                <w:rFonts w:ascii="Arial" w:hAnsi="Arial" w:cs="Arial"/>
                <w:sz w:val="18"/>
                <w:szCs w:val="18"/>
              </w:rPr>
              <w:t>Bus: 0.75</w:t>
            </w:r>
          </w:p>
          <w:p w14:paraId="2819BA6E" w14:textId="77777777" w:rsidR="000A7418" w:rsidRPr="003E14A8" w:rsidRDefault="000A7418" w:rsidP="00CB08F5">
            <w:pPr>
              <w:rPr>
                <w:rFonts w:ascii="Arial" w:hAnsi="Arial" w:cs="Arial"/>
                <w:sz w:val="18"/>
                <w:szCs w:val="18"/>
              </w:rPr>
            </w:pPr>
            <w:r w:rsidRPr="003E14A8">
              <w:rPr>
                <w:rFonts w:ascii="Arial" w:hAnsi="Arial" w:cs="Arial"/>
                <w:sz w:val="18"/>
                <w:szCs w:val="18"/>
              </w:rPr>
              <w:t>Truck: 0.19</w:t>
            </w:r>
          </w:p>
          <w:p w14:paraId="7E11DA9C" w14:textId="77777777" w:rsidR="000A7418" w:rsidRPr="003E14A8" w:rsidRDefault="000A7418" w:rsidP="00CB08F5">
            <w:pPr>
              <w:rPr>
                <w:rFonts w:ascii="Arial" w:hAnsi="Arial" w:cs="Arial"/>
                <w:sz w:val="18"/>
                <w:szCs w:val="18"/>
              </w:rPr>
            </w:pPr>
            <w:r w:rsidRPr="003E14A8">
              <w:rPr>
                <w:rFonts w:ascii="Arial" w:hAnsi="Arial" w:cs="Arial"/>
                <w:sz w:val="18"/>
                <w:szCs w:val="18"/>
              </w:rPr>
              <w:t>Moto: 0.11</w:t>
            </w:r>
          </w:p>
        </w:tc>
        <w:tc>
          <w:tcPr>
            <w:tcW w:w="3600" w:type="dxa"/>
            <w:vMerge/>
          </w:tcPr>
          <w:p w14:paraId="0DFC8BE9" w14:textId="77777777" w:rsidR="000A7418" w:rsidRPr="003E14A8" w:rsidRDefault="000A7418" w:rsidP="00CB08F5">
            <w:pPr>
              <w:rPr>
                <w:rFonts w:ascii="Arial" w:hAnsi="Arial" w:cs="Arial"/>
                <w:sz w:val="18"/>
                <w:szCs w:val="18"/>
                <w:lang w:eastAsia="zh-CN"/>
              </w:rPr>
            </w:pPr>
          </w:p>
        </w:tc>
        <w:tc>
          <w:tcPr>
            <w:tcW w:w="2520" w:type="dxa"/>
            <w:vMerge/>
          </w:tcPr>
          <w:p w14:paraId="2C90193A" w14:textId="77777777" w:rsidR="000A7418" w:rsidRPr="003E14A8" w:rsidRDefault="000A7418" w:rsidP="00CB08F5">
            <w:pPr>
              <w:rPr>
                <w:rFonts w:ascii="Arial" w:hAnsi="Arial" w:cs="Arial"/>
                <w:sz w:val="18"/>
                <w:szCs w:val="18"/>
              </w:rPr>
            </w:pPr>
          </w:p>
        </w:tc>
      </w:tr>
      <w:tr w:rsidR="000A7418" w:rsidRPr="003E14A8" w14:paraId="14CABAAA" w14:textId="77777777" w:rsidTr="00CB08F5">
        <w:trPr>
          <w:trHeight w:val="64"/>
        </w:trPr>
        <w:tc>
          <w:tcPr>
            <w:tcW w:w="13140" w:type="dxa"/>
            <w:gridSpan w:val="7"/>
            <w:shd w:val="clear" w:color="auto" w:fill="548DD4" w:themeFill="text2" w:themeFillTint="99"/>
            <w:vAlign w:val="center"/>
          </w:tcPr>
          <w:p w14:paraId="274ECAE7" w14:textId="77777777" w:rsidR="000A7418" w:rsidRPr="003E14A8" w:rsidRDefault="000A7418" w:rsidP="00CB08F5">
            <w:pPr>
              <w:spacing w:before="120" w:after="120" w:line="240" w:lineRule="auto"/>
              <w:rPr>
                <w:rFonts w:ascii="Arial" w:hAnsi="Arial" w:cs="Arial"/>
                <w:b/>
                <w:sz w:val="18"/>
                <w:szCs w:val="18"/>
              </w:rPr>
            </w:pPr>
            <w:r w:rsidRPr="003E14A8">
              <w:rPr>
                <w:rFonts w:ascii="Arial" w:hAnsi="Arial" w:cs="Arial"/>
                <w:b/>
                <w:sz w:val="18"/>
                <w:szCs w:val="18"/>
              </w:rPr>
              <w:t>Specific objective: Strengthening institutional capacity</w:t>
            </w:r>
          </w:p>
        </w:tc>
      </w:tr>
      <w:tr w:rsidR="000A7418" w:rsidRPr="003E14A8" w14:paraId="69761791" w14:textId="77777777" w:rsidTr="00CB08F5">
        <w:trPr>
          <w:trHeight w:val="64"/>
        </w:trPr>
        <w:tc>
          <w:tcPr>
            <w:tcW w:w="13140" w:type="dxa"/>
            <w:gridSpan w:val="7"/>
            <w:shd w:val="clear" w:color="auto" w:fill="C6D9F1" w:themeFill="text2" w:themeFillTint="33"/>
            <w:vAlign w:val="center"/>
          </w:tcPr>
          <w:p w14:paraId="4067CED2" w14:textId="77777777" w:rsidR="000A7418" w:rsidRPr="003E14A8" w:rsidRDefault="000A7418" w:rsidP="00CB08F5">
            <w:pPr>
              <w:spacing w:before="120" w:after="120" w:line="240" w:lineRule="auto"/>
              <w:rPr>
                <w:rFonts w:ascii="Arial" w:hAnsi="Arial" w:cs="Arial"/>
                <w:b/>
                <w:sz w:val="18"/>
                <w:szCs w:val="18"/>
              </w:rPr>
            </w:pPr>
            <w:r w:rsidRPr="003E14A8">
              <w:rPr>
                <w:rFonts w:ascii="Arial" w:hAnsi="Arial" w:cs="Arial"/>
                <w:b/>
                <w:sz w:val="18"/>
                <w:szCs w:val="18"/>
              </w:rPr>
              <w:t>Result 4. Institutional strengthening</w:t>
            </w:r>
          </w:p>
        </w:tc>
      </w:tr>
      <w:tr w:rsidR="000A7418" w:rsidRPr="003E14A8" w14:paraId="70DA633B" w14:textId="77777777" w:rsidTr="00CB08F5">
        <w:trPr>
          <w:trHeight w:val="64"/>
        </w:trPr>
        <w:tc>
          <w:tcPr>
            <w:tcW w:w="1980" w:type="dxa"/>
            <w:vAlign w:val="center"/>
          </w:tcPr>
          <w:p w14:paraId="7273083D" w14:textId="77777777" w:rsidR="000A7418" w:rsidRPr="003E14A8" w:rsidRDefault="000A7418" w:rsidP="00CB08F5">
            <w:pPr>
              <w:pStyle w:val="ListParagraph"/>
              <w:spacing w:after="0" w:line="240" w:lineRule="auto"/>
              <w:ind w:left="0"/>
              <w:jc w:val="both"/>
              <w:rPr>
                <w:rFonts w:ascii="Arial" w:hAnsi="Arial" w:cs="Arial"/>
                <w:sz w:val="18"/>
                <w:szCs w:val="18"/>
              </w:rPr>
            </w:pPr>
            <w:r w:rsidRPr="003E14A8">
              <w:rPr>
                <w:rFonts w:ascii="Arial" w:hAnsi="Arial" w:cs="Arial"/>
                <w:sz w:val="18"/>
                <w:szCs w:val="18"/>
              </w:rPr>
              <w:t>Ministry of Public Works, Transport and Communication (MPWT&amp;C) and Road Authority strengthened in road asset management and project management</w:t>
            </w:r>
          </w:p>
        </w:tc>
        <w:tc>
          <w:tcPr>
            <w:tcW w:w="1350" w:type="dxa"/>
            <w:vAlign w:val="center"/>
          </w:tcPr>
          <w:p w14:paraId="421001F3"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Public employees certified</w:t>
            </w:r>
          </w:p>
        </w:tc>
        <w:tc>
          <w:tcPr>
            <w:tcW w:w="1260" w:type="dxa"/>
            <w:vAlign w:val="center"/>
          </w:tcPr>
          <w:p w14:paraId="7B278F6E"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0</w:t>
            </w:r>
          </w:p>
        </w:tc>
        <w:tc>
          <w:tcPr>
            <w:tcW w:w="1170" w:type="dxa"/>
            <w:vAlign w:val="center"/>
          </w:tcPr>
          <w:p w14:paraId="37B66C18"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2018</w:t>
            </w:r>
          </w:p>
        </w:tc>
        <w:tc>
          <w:tcPr>
            <w:tcW w:w="1260" w:type="dxa"/>
            <w:vAlign w:val="center"/>
          </w:tcPr>
          <w:p w14:paraId="6C5D9561"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30</w:t>
            </w:r>
          </w:p>
        </w:tc>
        <w:tc>
          <w:tcPr>
            <w:tcW w:w="3600" w:type="dxa"/>
          </w:tcPr>
          <w:p w14:paraId="5D38A113" w14:textId="77777777" w:rsidR="000A7418" w:rsidRPr="003E14A8" w:rsidRDefault="000A7418" w:rsidP="00CB08F5">
            <w:pPr>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60883309" w14:textId="77777777" w:rsidR="000A7418" w:rsidRPr="003E14A8" w:rsidRDefault="000A7418" w:rsidP="00CB08F5">
            <w:pPr>
              <w:autoSpaceDE w:val="0"/>
              <w:autoSpaceDN w:val="0"/>
              <w:adjustRightInd w:val="0"/>
              <w:spacing w:after="0" w:line="240" w:lineRule="auto"/>
              <w:rPr>
                <w:rFonts w:ascii="Arial" w:hAnsi="Arial" w:cs="Arial"/>
                <w:sz w:val="18"/>
                <w:szCs w:val="18"/>
                <w:lang w:eastAsia="zh-CN"/>
              </w:rPr>
            </w:pPr>
            <w:r w:rsidRPr="003E14A8">
              <w:rPr>
                <w:rFonts w:ascii="Arial" w:hAnsi="Arial" w:cs="Arial"/>
                <w:sz w:val="18"/>
                <w:szCs w:val="18"/>
                <w:lang w:eastAsia="zh-CN"/>
              </w:rPr>
              <w:t>Source: training and certifications reports</w:t>
            </w:r>
          </w:p>
        </w:tc>
        <w:tc>
          <w:tcPr>
            <w:tcW w:w="2520" w:type="dxa"/>
            <w:vMerge w:val="restart"/>
          </w:tcPr>
          <w:p w14:paraId="641AD801" w14:textId="77777777" w:rsidR="000A7418" w:rsidRPr="003E14A8" w:rsidRDefault="000A7418" w:rsidP="00CB08F5">
            <w:pPr>
              <w:spacing w:before="120" w:after="120" w:line="240" w:lineRule="auto"/>
              <w:rPr>
                <w:rFonts w:ascii="Arial" w:hAnsi="Arial" w:cs="Arial"/>
                <w:sz w:val="18"/>
                <w:szCs w:val="18"/>
              </w:rPr>
            </w:pPr>
            <w:r w:rsidRPr="003E14A8">
              <w:rPr>
                <w:rFonts w:ascii="Arial" w:hAnsi="Arial" w:cs="Arial"/>
                <w:sz w:val="18"/>
                <w:szCs w:val="18"/>
              </w:rPr>
              <w:t>Certification will be given to participants who pass a minimum score in the course’s tests</w:t>
            </w:r>
          </w:p>
          <w:p w14:paraId="74DD823D" w14:textId="77777777" w:rsidR="000A7418" w:rsidRPr="003E14A8" w:rsidRDefault="000A7418" w:rsidP="00CB08F5">
            <w:pPr>
              <w:spacing w:before="120" w:after="120" w:line="240" w:lineRule="auto"/>
              <w:rPr>
                <w:rFonts w:ascii="Arial" w:hAnsi="Arial" w:cs="Arial"/>
                <w:sz w:val="18"/>
                <w:szCs w:val="18"/>
              </w:rPr>
            </w:pPr>
            <w:r w:rsidRPr="003E14A8">
              <w:rPr>
                <w:rFonts w:ascii="Arial" w:hAnsi="Arial" w:cs="Arial"/>
                <w:sz w:val="18"/>
                <w:szCs w:val="18"/>
                <w:lang w:eastAsia="zh-CN"/>
              </w:rPr>
              <w:t xml:space="preserve">See </w:t>
            </w:r>
            <w:hyperlink r:id="rId35" w:history="1">
              <w:r w:rsidRPr="003E14A8">
                <w:rPr>
                  <w:rStyle w:val="Hyperlink"/>
                  <w:rFonts w:ascii="Arial" w:hAnsi="Arial" w:cs="Arial"/>
                  <w:sz w:val="18"/>
                  <w:szCs w:val="18"/>
                  <w:lang w:eastAsia="zh-CN"/>
                </w:rPr>
                <w:t>OEL#2</w:t>
              </w:r>
            </w:hyperlink>
          </w:p>
        </w:tc>
      </w:tr>
      <w:tr w:rsidR="000A7418" w:rsidRPr="003E14A8" w14:paraId="5F6337E9" w14:textId="77777777" w:rsidTr="00CB08F5">
        <w:trPr>
          <w:trHeight w:val="64"/>
        </w:trPr>
        <w:tc>
          <w:tcPr>
            <w:tcW w:w="1980" w:type="dxa"/>
            <w:vAlign w:val="center"/>
          </w:tcPr>
          <w:p w14:paraId="051DBF0E" w14:textId="77777777" w:rsidR="000A7418" w:rsidRPr="003E14A8" w:rsidRDefault="000A7418" w:rsidP="00CB08F5">
            <w:pPr>
              <w:pStyle w:val="ListParagraph"/>
              <w:spacing w:after="0" w:line="240" w:lineRule="auto"/>
              <w:ind w:left="0"/>
              <w:jc w:val="both"/>
              <w:rPr>
                <w:rFonts w:ascii="Arial" w:hAnsi="Arial" w:cs="Arial"/>
                <w:sz w:val="18"/>
                <w:szCs w:val="18"/>
              </w:rPr>
            </w:pPr>
            <w:r w:rsidRPr="003E14A8">
              <w:rPr>
                <w:rFonts w:ascii="Arial" w:hAnsi="Arial" w:cs="Arial"/>
                <w:sz w:val="18"/>
                <w:szCs w:val="18"/>
              </w:rPr>
              <w:t>Key stakeholders of port</w:t>
            </w:r>
            <w:r w:rsidRPr="003E14A8">
              <w:rPr>
                <w:rStyle w:val="FootnoteReference"/>
                <w:sz w:val="18"/>
                <w:szCs w:val="18"/>
              </w:rPr>
              <w:footnoteReference w:id="11"/>
            </w:r>
            <w:r w:rsidRPr="003E14A8">
              <w:rPr>
                <w:rFonts w:ascii="Arial" w:hAnsi="Arial" w:cs="Arial"/>
                <w:sz w:val="18"/>
                <w:szCs w:val="18"/>
              </w:rPr>
              <w:t xml:space="preserve"> trained in the use of </w:t>
            </w:r>
            <w:r w:rsidRPr="00241365">
              <w:rPr>
                <w:rFonts w:ascii="Arial" w:hAnsi="Arial" w:cs="Arial"/>
                <w:sz w:val="18"/>
                <w:szCs w:val="18"/>
              </w:rPr>
              <w:t xml:space="preserve">Port Community Systems </w:t>
            </w:r>
            <w:r>
              <w:rPr>
                <w:rFonts w:ascii="Arial" w:hAnsi="Arial" w:cs="Arial"/>
                <w:sz w:val="18"/>
                <w:szCs w:val="18"/>
              </w:rPr>
              <w:t>(</w:t>
            </w:r>
            <w:r w:rsidRPr="003E14A8">
              <w:rPr>
                <w:rFonts w:ascii="Arial" w:hAnsi="Arial" w:cs="Arial"/>
                <w:sz w:val="18"/>
                <w:szCs w:val="18"/>
              </w:rPr>
              <w:t>PCS</w:t>
            </w:r>
            <w:r>
              <w:rPr>
                <w:rFonts w:ascii="Arial" w:hAnsi="Arial" w:cs="Arial"/>
                <w:sz w:val="18"/>
                <w:szCs w:val="18"/>
              </w:rPr>
              <w:t>)</w:t>
            </w:r>
            <w:r w:rsidRPr="003E14A8">
              <w:rPr>
                <w:rFonts w:ascii="Arial" w:hAnsi="Arial" w:cs="Arial"/>
                <w:sz w:val="18"/>
                <w:szCs w:val="18"/>
              </w:rPr>
              <w:t xml:space="preserve"> and port processes</w:t>
            </w:r>
          </w:p>
        </w:tc>
        <w:tc>
          <w:tcPr>
            <w:tcW w:w="1350" w:type="dxa"/>
            <w:vAlign w:val="center"/>
          </w:tcPr>
          <w:p w14:paraId="61372FDC"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Port operators and users certified</w:t>
            </w:r>
          </w:p>
        </w:tc>
        <w:tc>
          <w:tcPr>
            <w:tcW w:w="1260" w:type="dxa"/>
            <w:vAlign w:val="center"/>
          </w:tcPr>
          <w:p w14:paraId="1D33F878"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0</w:t>
            </w:r>
          </w:p>
        </w:tc>
        <w:tc>
          <w:tcPr>
            <w:tcW w:w="1170" w:type="dxa"/>
            <w:vAlign w:val="center"/>
          </w:tcPr>
          <w:p w14:paraId="6DCFDC7F"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2018</w:t>
            </w:r>
          </w:p>
        </w:tc>
        <w:tc>
          <w:tcPr>
            <w:tcW w:w="1260" w:type="dxa"/>
            <w:vAlign w:val="center"/>
          </w:tcPr>
          <w:p w14:paraId="5A4AEA39"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100</w:t>
            </w:r>
          </w:p>
        </w:tc>
        <w:tc>
          <w:tcPr>
            <w:tcW w:w="3600" w:type="dxa"/>
          </w:tcPr>
          <w:p w14:paraId="070870BD" w14:textId="77777777" w:rsidR="000A7418" w:rsidRPr="003E14A8" w:rsidRDefault="000A7418" w:rsidP="00CB08F5">
            <w:pPr>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69D9C8F1" w14:textId="77777777" w:rsidR="000A7418" w:rsidRPr="003E14A8" w:rsidRDefault="000A7418" w:rsidP="00CB08F5">
            <w:pPr>
              <w:autoSpaceDE w:val="0"/>
              <w:autoSpaceDN w:val="0"/>
              <w:adjustRightInd w:val="0"/>
              <w:spacing w:after="0" w:line="240" w:lineRule="auto"/>
              <w:rPr>
                <w:rFonts w:ascii="Arial" w:hAnsi="Arial" w:cs="Arial"/>
                <w:sz w:val="18"/>
                <w:szCs w:val="18"/>
                <w:lang w:eastAsia="zh-CN"/>
              </w:rPr>
            </w:pPr>
            <w:r w:rsidRPr="003E14A8">
              <w:rPr>
                <w:rFonts w:ascii="Arial" w:hAnsi="Arial" w:cs="Arial"/>
                <w:sz w:val="18"/>
                <w:szCs w:val="18"/>
                <w:lang w:eastAsia="zh-CN"/>
              </w:rPr>
              <w:t>Source: training and certifications reports</w:t>
            </w:r>
          </w:p>
        </w:tc>
        <w:tc>
          <w:tcPr>
            <w:tcW w:w="2520" w:type="dxa"/>
            <w:vMerge/>
          </w:tcPr>
          <w:p w14:paraId="62FEADED" w14:textId="77777777" w:rsidR="000A7418" w:rsidRPr="003E14A8" w:rsidRDefault="000A7418" w:rsidP="00CB08F5">
            <w:pPr>
              <w:spacing w:before="120" w:after="120" w:line="240" w:lineRule="auto"/>
              <w:rPr>
                <w:rFonts w:ascii="Arial" w:hAnsi="Arial" w:cs="Arial"/>
                <w:b/>
                <w:sz w:val="18"/>
                <w:szCs w:val="18"/>
              </w:rPr>
            </w:pPr>
          </w:p>
        </w:tc>
      </w:tr>
      <w:tr w:rsidR="000A7418" w:rsidRPr="003E14A8" w14:paraId="40ED3FE4" w14:textId="77777777" w:rsidTr="00CB08F5">
        <w:trPr>
          <w:trHeight w:val="64"/>
        </w:trPr>
        <w:tc>
          <w:tcPr>
            <w:tcW w:w="13140" w:type="dxa"/>
            <w:gridSpan w:val="7"/>
            <w:shd w:val="clear" w:color="auto" w:fill="C6D9F1" w:themeFill="text2" w:themeFillTint="33"/>
            <w:vAlign w:val="center"/>
          </w:tcPr>
          <w:p w14:paraId="7C64C52D" w14:textId="77777777" w:rsidR="000A7418" w:rsidRPr="003E14A8" w:rsidRDefault="000A7418" w:rsidP="00CB08F5">
            <w:pPr>
              <w:spacing w:before="120" w:after="120" w:line="240" w:lineRule="auto"/>
              <w:rPr>
                <w:rFonts w:ascii="Arial" w:hAnsi="Arial" w:cs="Arial"/>
                <w:sz w:val="18"/>
                <w:szCs w:val="18"/>
              </w:rPr>
            </w:pPr>
            <w:bookmarkStart w:id="5" w:name="_Hlk5893913"/>
            <w:r w:rsidRPr="003E14A8">
              <w:rPr>
                <w:rFonts w:ascii="Arial" w:hAnsi="Arial" w:cs="Arial"/>
                <w:b/>
                <w:sz w:val="18"/>
                <w:szCs w:val="18"/>
              </w:rPr>
              <w:t xml:space="preserve">Result 5. </w:t>
            </w:r>
            <w:r w:rsidRPr="003E14A8">
              <w:rPr>
                <w:rFonts w:ascii="Arial" w:hAnsi="Arial" w:cs="Arial"/>
                <w:b/>
                <w:noProof/>
                <w:sz w:val="18"/>
                <w:szCs w:val="18"/>
              </w:rPr>
              <w:t>Increase</w:t>
            </w:r>
            <w:r w:rsidRPr="003E14A8">
              <w:rPr>
                <w:rFonts w:ascii="Arial" w:hAnsi="Arial" w:cs="Arial"/>
                <w:b/>
                <w:sz w:val="18"/>
                <w:szCs w:val="18"/>
              </w:rPr>
              <w:t xml:space="preserve"> of women in the </w:t>
            </w:r>
            <w:r w:rsidRPr="003E14A8">
              <w:rPr>
                <w:rFonts w:ascii="Arial" w:hAnsi="Arial" w:cs="Arial"/>
                <w:b/>
                <w:noProof/>
                <w:sz w:val="18"/>
                <w:szCs w:val="18"/>
              </w:rPr>
              <w:t>labor</w:t>
            </w:r>
            <w:r w:rsidRPr="003E14A8">
              <w:rPr>
                <w:rFonts w:ascii="Arial" w:hAnsi="Arial" w:cs="Arial"/>
                <w:b/>
                <w:sz w:val="18"/>
                <w:szCs w:val="18"/>
              </w:rPr>
              <w:t xml:space="preserve"> force</w:t>
            </w:r>
          </w:p>
        </w:tc>
      </w:tr>
      <w:tr w:rsidR="000A7418" w:rsidRPr="003E14A8" w14:paraId="2D50C0C3" w14:textId="77777777" w:rsidTr="00CB08F5">
        <w:trPr>
          <w:trHeight w:val="64"/>
        </w:trPr>
        <w:tc>
          <w:tcPr>
            <w:tcW w:w="1980" w:type="dxa"/>
            <w:vAlign w:val="center"/>
          </w:tcPr>
          <w:p w14:paraId="68B8E112" w14:textId="77777777" w:rsidR="000A7418" w:rsidRPr="003E14A8" w:rsidRDefault="000A7418" w:rsidP="00CB08F5">
            <w:pPr>
              <w:autoSpaceDE w:val="0"/>
              <w:autoSpaceDN w:val="0"/>
              <w:adjustRightInd w:val="0"/>
              <w:spacing w:after="0" w:line="240" w:lineRule="auto"/>
              <w:jc w:val="both"/>
              <w:rPr>
                <w:rFonts w:ascii="Arial" w:hAnsi="Arial" w:cs="Arial"/>
                <w:sz w:val="18"/>
                <w:szCs w:val="18"/>
              </w:rPr>
            </w:pPr>
            <w:r w:rsidRPr="003E14A8">
              <w:rPr>
                <w:rFonts w:ascii="Arial" w:hAnsi="Arial" w:cs="Arial"/>
                <w:sz w:val="18"/>
                <w:szCs w:val="18"/>
              </w:rPr>
              <w:lastRenderedPageBreak/>
              <w:t xml:space="preserve">Employment opportunities for women in logistics activities in the port </w:t>
            </w:r>
            <w:r w:rsidRPr="003E14A8">
              <w:rPr>
                <w:rFonts w:ascii="Arial" w:hAnsi="Arial" w:cs="Arial"/>
                <w:sz w:val="18"/>
                <w:szCs w:val="18"/>
                <w:lang w:eastAsia="zh-CN"/>
              </w:rPr>
              <w:t>improved</w:t>
            </w:r>
          </w:p>
        </w:tc>
        <w:tc>
          <w:tcPr>
            <w:tcW w:w="1350" w:type="dxa"/>
            <w:vAlign w:val="center"/>
          </w:tcPr>
          <w:p w14:paraId="179F682D"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noProof/>
                <w:sz w:val="18"/>
                <w:szCs w:val="18"/>
              </w:rPr>
              <w:t>Increase</w:t>
            </w:r>
            <w:r w:rsidRPr="003E14A8">
              <w:rPr>
                <w:rFonts w:ascii="Arial" w:hAnsi="Arial" w:cs="Arial"/>
                <w:sz w:val="18"/>
                <w:szCs w:val="18"/>
              </w:rPr>
              <w:t xml:space="preserve"> of women hired (%) </w:t>
            </w:r>
          </w:p>
        </w:tc>
        <w:tc>
          <w:tcPr>
            <w:tcW w:w="1260" w:type="dxa"/>
            <w:vAlign w:val="center"/>
          </w:tcPr>
          <w:p w14:paraId="596C4AC2"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0</w:t>
            </w:r>
          </w:p>
        </w:tc>
        <w:tc>
          <w:tcPr>
            <w:tcW w:w="1170" w:type="dxa"/>
            <w:vAlign w:val="center"/>
          </w:tcPr>
          <w:p w14:paraId="2A7CC819"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2018</w:t>
            </w:r>
          </w:p>
        </w:tc>
        <w:tc>
          <w:tcPr>
            <w:tcW w:w="1260" w:type="dxa"/>
            <w:vAlign w:val="center"/>
          </w:tcPr>
          <w:p w14:paraId="101535D6"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15</w:t>
            </w:r>
          </w:p>
        </w:tc>
        <w:tc>
          <w:tcPr>
            <w:tcW w:w="3600" w:type="dxa"/>
          </w:tcPr>
          <w:p w14:paraId="18BF028D"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72D18A5A"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r w:rsidRPr="003E14A8">
              <w:rPr>
                <w:rFonts w:ascii="Arial" w:hAnsi="Arial" w:cs="Arial"/>
                <w:sz w:val="18"/>
                <w:szCs w:val="18"/>
                <w:lang w:eastAsia="zh-CN"/>
              </w:rPr>
              <w:t>Source: surveys to port stakeholders to collect statistics on women hired vs positions opened</w:t>
            </w:r>
          </w:p>
        </w:tc>
        <w:tc>
          <w:tcPr>
            <w:tcW w:w="2520" w:type="dxa"/>
          </w:tcPr>
          <w:p w14:paraId="6BB58233" w14:textId="77777777" w:rsidR="000A7418" w:rsidRPr="003E14A8" w:rsidRDefault="000A7418" w:rsidP="00CB08F5">
            <w:pPr>
              <w:spacing w:before="120" w:after="120" w:line="240" w:lineRule="auto"/>
              <w:rPr>
                <w:rFonts w:ascii="Arial" w:hAnsi="Arial" w:cs="Arial"/>
                <w:sz w:val="18"/>
                <w:szCs w:val="18"/>
              </w:rPr>
            </w:pPr>
            <w:r w:rsidRPr="003E14A8">
              <w:rPr>
                <w:rFonts w:ascii="Arial" w:hAnsi="Arial" w:cs="Arial"/>
                <w:sz w:val="18"/>
                <w:szCs w:val="18"/>
              </w:rPr>
              <w:t>Pro-gender</w:t>
            </w:r>
          </w:p>
        </w:tc>
      </w:tr>
      <w:bookmarkEnd w:id="5"/>
      <w:tr w:rsidR="000A7418" w:rsidRPr="003E14A8" w14:paraId="2545E84E" w14:textId="77777777" w:rsidTr="00CB08F5">
        <w:trPr>
          <w:trHeight w:val="64"/>
        </w:trPr>
        <w:tc>
          <w:tcPr>
            <w:tcW w:w="13140" w:type="dxa"/>
            <w:gridSpan w:val="7"/>
            <w:shd w:val="clear" w:color="auto" w:fill="C6D9F1" w:themeFill="text2" w:themeFillTint="33"/>
            <w:vAlign w:val="center"/>
          </w:tcPr>
          <w:p w14:paraId="0DFFB16A" w14:textId="77777777" w:rsidR="000A7418" w:rsidRPr="003E14A8" w:rsidRDefault="000A7418" w:rsidP="00CB08F5">
            <w:pPr>
              <w:spacing w:before="120" w:after="120" w:line="240" w:lineRule="auto"/>
              <w:rPr>
                <w:rFonts w:ascii="Arial" w:hAnsi="Arial" w:cs="Arial"/>
                <w:sz w:val="18"/>
                <w:szCs w:val="18"/>
              </w:rPr>
            </w:pPr>
            <w:r w:rsidRPr="003E14A8">
              <w:rPr>
                <w:rFonts w:ascii="Arial" w:hAnsi="Arial" w:cs="Arial"/>
                <w:b/>
                <w:sz w:val="18"/>
                <w:szCs w:val="18"/>
              </w:rPr>
              <w:t xml:space="preserve">Result 6. </w:t>
            </w:r>
            <w:r w:rsidRPr="003E14A8">
              <w:rPr>
                <w:rFonts w:ascii="Arial" w:hAnsi="Arial" w:cs="Arial"/>
                <w:b/>
                <w:noProof/>
                <w:sz w:val="18"/>
                <w:szCs w:val="18"/>
              </w:rPr>
              <w:t>Increase</w:t>
            </w:r>
            <w:r w:rsidRPr="003E14A8">
              <w:rPr>
                <w:rFonts w:ascii="Arial" w:hAnsi="Arial" w:cs="Arial"/>
                <w:b/>
                <w:sz w:val="18"/>
                <w:szCs w:val="18"/>
              </w:rPr>
              <w:t xml:space="preserve"> People with Disabilities </w:t>
            </w:r>
            <w:r>
              <w:rPr>
                <w:rFonts w:ascii="Arial" w:hAnsi="Arial" w:cs="Arial"/>
                <w:b/>
                <w:sz w:val="18"/>
                <w:szCs w:val="18"/>
              </w:rPr>
              <w:t>(</w:t>
            </w:r>
            <w:proofErr w:type="spellStart"/>
            <w:r w:rsidRPr="003E14A8">
              <w:rPr>
                <w:rFonts w:ascii="Arial" w:hAnsi="Arial" w:cs="Arial"/>
                <w:b/>
                <w:sz w:val="18"/>
                <w:szCs w:val="18"/>
              </w:rPr>
              <w:t>PwD</w:t>
            </w:r>
            <w:proofErr w:type="spellEnd"/>
            <w:r>
              <w:rPr>
                <w:rFonts w:ascii="Arial" w:hAnsi="Arial" w:cs="Arial"/>
                <w:b/>
                <w:sz w:val="18"/>
                <w:szCs w:val="18"/>
              </w:rPr>
              <w:t>)</w:t>
            </w:r>
            <w:r w:rsidRPr="00A552D9">
              <w:rPr>
                <w:rStyle w:val="FootnoteReference"/>
                <w:b/>
                <w:sz w:val="18"/>
                <w:szCs w:val="18"/>
              </w:rPr>
              <w:footnoteReference w:id="12"/>
            </w:r>
            <w:r w:rsidRPr="003E14A8">
              <w:rPr>
                <w:rFonts w:ascii="Arial" w:hAnsi="Arial" w:cs="Arial"/>
                <w:b/>
                <w:sz w:val="18"/>
                <w:szCs w:val="18"/>
              </w:rPr>
              <w:t xml:space="preserve"> in the labor force</w:t>
            </w:r>
          </w:p>
        </w:tc>
      </w:tr>
      <w:tr w:rsidR="000A7418" w:rsidRPr="003E14A8" w14:paraId="184BFC3E" w14:textId="77777777" w:rsidTr="00CB08F5">
        <w:trPr>
          <w:trHeight w:val="64"/>
        </w:trPr>
        <w:tc>
          <w:tcPr>
            <w:tcW w:w="1980" w:type="dxa"/>
            <w:vAlign w:val="center"/>
          </w:tcPr>
          <w:p w14:paraId="05EDC60A" w14:textId="77777777" w:rsidR="000A7418" w:rsidRPr="003E14A8" w:rsidRDefault="000A7418" w:rsidP="00CB08F5">
            <w:pPr>
              <w:autoSpaceDE w:val="0"/>
              <w:autoSpaceDN w:val="0"/>
              <w:adjustRightInd w:val="0"/>
              <w:spacing w:after="0" w:line="240" w:lineRule="auto"/>
              <w:jc w:val="both"/>
              <w:rPr>
                <w:rFonts w:ascii="Arial" w:hAnsi="Arial" w:cs="Arial"/>
                <w:sz w:val="18"/>
                <w:szCs w:val="18"/>
              </w:rPr>
            </w:pPr>
            <w:r w:rsidRPr="003E14A8">
              <w:rPr>
                <w:rFonts w:ascii="Arial" w:hAnsi="Arial" w:cs="Arial"/>
                <w:sz w:val="18"/>
                <w:szCs w:val="18"/>
              </w:rPr>
              <w:t xml:space="preserve">Employment opportunities for </w:t>
            </w:r>
            <w:proofErr w:type="spellStart"/>
            <w:r w:rsidRPr="003E14A8">
              <w:rPr>
                <w:rFonts w:ascii="Arial" w:hAnsi="Arial" w:cs="Arial"/>
                <w:sz w:val="18"/>
                <w:szCs w:val="18"/>
              </w:rPr>
              <w:t>PwD</w:t>
            </w:r>
            <w:proofErr w:type="spellEnd"/>
            <w:r w:rsidRPr="003E14A8">
              <w:rPr>
                <w:rFonts w:ascii="Arial" w:hAnsi="Arial" w:cs="Arial"/>
                <w:sz w:val="18"/>
                <w:szCs w:val="18"/>
              </w:rPr>
              <w:t xml:space="preserve"> in logistics activities in the port </w:t>
            </w:r>
            <w:r w:rsidRPr="003E14A8">
              <w:rPr>
                <w:rFonts w:ascii="Arial" w:hAnsi="Arial" w:cs="Arial"/>
                <w:sz w:val="18"/>
                <w:szCs w:val="18"/>
                <w:lang w:eastAsia="zh-CN"/>
              </w:rPr>
              <w:t>improved</w:t>
            </w:r>
          </w:p>
        </w:tc>
        <w:tc>
          <w:tcPr>
            <w:tcW w:w="1350" w:type="dxa"/>
            <w:vAlign w:val="center"/>
          </w:tcPr>
          <w:p w14:paraId="0DD32EF9"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noProof/>
                <w:sz w:val="18"/>
                <w:szCs w:val="18"/>
              </w:rPr>
              <w:t>Increase</w:t>
            </w:r>
            <w:r w:rsidRPr="003E14A8">
              <w:rPr>
                <w:rFonts w:ascii="Arial" w:hAnsi="Arial" w:cs="Arial"/>
                <w:sz w:val="18"/>
                <w:szCs w:val="18"/>
              </w:rPr>
              <w:t xml:space="preserve"> of </w:t>
            </w:r>
            <w:proofErr w:type="spellStart"/>
            <w:r w:rsidRPr="003E14A8">
              <w:rPr>
                <w:rFonts w:ascii="Arial" w:hAnsi="Arial" w:cs="Arial"/>
                <w:sz w:val="18"/>
                <w:szCs w:val="18"/>
              </w:rPr>
              <w:t>PwD</w:t>
            </w:r>
            <w:proofErr w:type="spellEnd"/>
            <w:r w:rsidRPr="003E14A8">
              <w:rPr>
                <w:rFonts w:ascii="Arial" w:hAnsi="Arial" w:cs="Arial"/>
                <w:sz w:val="18"/>
                <w:szCs w:val="18"/>
              </w:rPr>
              <w:t xml:space="preserve"> hired (%) </w:t>
            </w:r>
          </w:p>
        </w:tc>
        <w:tc>
          <w:tcPr>
            <w:tcW w:w="1260" w:type="dxa"/>
            <w:vAlign w:val="center"/>
          </w:tcPr>
          <w:p w14:paraId="79BDC8EA"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0</w:t>
            </w:r>
          </w:p>
        </w:tc>
        <w:tc>
          <w:tcPr>
            <w:tcW w:w="1170" w:type="dxa"/>
            <w:vAlign w:val="center"/>
          </w:tcPr>
          <w:p w14:paraId="00D1BDA3"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2018</w:t>
            </w:r>
          </w:p>
        </w:tc>
        <w:tc>
          <w:tcPr>
            <w:tcW w:w="1260" w:type="dxa"/>
            <w:vAlign w:val="center"/>
          </w:tcPr>
          <w:p w14:paraId="0964B6D0" w14:textId="77777777" w:rsidR="000A7418" w:rsidRPr="003E14A8" w:rsidRDefault="000A7418" w:rsidP="00CB08F5">
            <w:pPr>
              <w:spacing w:after="0" w:line="240" w:lineRule="auto"/>
              <w:jc w:val="center"/>
              <w:rPr>
                <w:rFonts w:ascii="Arial" w:hAnsi="Arial" w:cs="Arial"/>
                <w:sz w:val="18"/>
                <w:szCs w:val="18"/>
              </w:rPr>
            </w:pPr>
            <w:r w:rsidRPr="003E14A8">
              <w:rPr>
                <w:rFonts w:ascii="Arial" w:hAnsi="Arial" w:cs="Arial"/>
                <w:sz w:val="18"/>
                <w:szCs w:val="18"/>
              </w:rPr>
              <w:t>2</w:t>
            </w:r>
          </w:p>
        </w:tc>
        <w:tc>
          <w:tcPr>
            <w:tcW w:w="3600" w:type="dxa"/>
          </w:tcPr>
          <w:p w14:paraId="77C5FD90" w14:textId="77777777" w:rsidR="000A7418" w:rsidRPr="003E14A8" w:rsidRDefault="000A7418" w:rsidP="00CB08F5">
            <w:pPr>
              <w:jc w:val="both"/>
              <w:rPr>
                <w:rFonts w:ascii="Arial" w:hAnsi="Arial" w:cs="Arial"/>
                <w:sz w:val="18"/>
                <w:szCs w:val="18"/>
                <w:lang w:eastAsia="zh-CN"/>
              </w:rPr>
            </w:pPr>
            <w:r w:rsidRPr="003E14A8">
              <w:rPr>
                <w:rFonts w:ascii="Arial" w:hAnsi="Arial" w:cs="Arial"/>
                <w:sz w:val="18"/>
                <w:szCs w:val="18"/>
                <w:lang w:eastAsia="zh-CN"/>
              </w:rPr>
              <w:t xml:space="preserve">Evaluation: before and after </w:t>
            </w:r>
          </w:p>
          <w:p w14:paraId="019D64E8" w14:textId="77777777" w:rsidR="000A7418" w:rsidRPr="003E14A8" w:rsidRDefault="000A7418" w:rsidP="00CB08F5">
            <w:pPr>
              <w:autoSpaceDE w:val="0"/>
              <w:autoSpaceDN w:val="0"/>
              <w:adjustRightInd w:val="0"/>
              <w:spacing w:after="0" w:line="240" w:lineRule="auto"/>
              <w:jc w:val="both"/>
              <w:rPr>
                <w:rFonts w:ascii="Arial" w:hAnsi="Arial" w:cs="Arial"/>
                <w:sz w:val="18"/>
                <w:szCs w:val="18"/>
                <w:lang w:eastAsia="zh-CN"/>
              </w:rPr>
            </w:pPr>
            <w:r w:rsidRPr="003E14A8">
              <w:rPr>
                <w:rFonts w:ascii="Arial" w:hAnsi="Arial" w:cs="Arial"/>
                <w:sz w:val="18"/>
                <w:szCs w:val="18"/>
                <w:lang w:eastAsia="zh-CN"/>
              </w:rPr>
              <w:t>Source: surveys to port stakeholders to collect statistics on people with disabilities hired vs positions opened</w:t>
            </w:r>
          </w:p>
        </w:tc>
        <w:tc>
          <w:tcPr>
            <w:tcW w:w="2520" w:type="dxa"/>
          </w:tcPr>
          <w:p w14:paraId="0E34BD39" w14:textId="77777777" w:rsidR="000A7418" w:rsidRPr="003E14A8" w:rsidRDefault="000A7418" w:rsidP="00CB08F5">
            <w:pPr>
              <w:spacing w:before="120" w:after="120" w:line="240" w:lineRule="auto"/>
              <w:rPr>
                <w:rFonts w:ascii="Arial" w:hAnsi="Arial" w:cs="Arial"/>
                <w:sz w:val="18"/>
                <w:szCs w:val="18"/>
              </w:rPr>
            </w:pPr>
          </w:p>
        </w:tc>
      </w:tr>
    </w:tbl>
    <w:p w14:paraId="6D56F73E" w14:textId="77777777" w:rsidR="005E1991" w:rsidRPr="00680732" w:rsidRDefault="005E1991" w:rsidP="00110FAA">
      <w:pPr>
        <w:pStyle w:val="Paragraph"/>
        <w:numPr>
          <w:ilvl w:val="1"/>
          <w:numId w:val="37"/>
        </w:numPr>
        <w:rPr>
          <w:b/>
        </w:rPr>
        <w:sectPr w:rsidR="005E1991" w:rsidRPr="00680732" w:rsidSect="00680732">
          <w:pgSz w:w="15840" w:h="12240" w:orient="landscape"/>
          <w:pgMar w:top="1440" w:right="1440" w:bottom="1440" w:left="1440" w:header="720" w:footer="720" w:gutter="0"/>
          <w:cols w:space="720"/>
          <w:docGrid w:linePitch="360"/>
        </w:sectPr>
      </w:pPr>
    </w:p>
    <w:p w14:paraId="67A71D07" w14:textId="47B48F65" w:rsidR="00E71020" w:rsidRDefault="008F0F0E" w:rsidP="00E71020">
      <w:pPr>
        <w:pStyle w:val="Paragraph"/>
        <w:spacing w:after="0"/>
      </w:pPr>
      <w:r>
        <w:rPr>
          <w:b/>
        </w:rPr>
        <w:lastRenderedPageBreak/>
        <w:t xml:space="preserve">d. </w:t>
      </w:r>
      <w:r w:rsidR="00617997" w:rsidRPr="00E71020">
        <w:rPr>
          <w:b/>
        </w:rPr>
        <w:t xml:space="preserve">Project Completion Report </w:t>
      </w:r>
      <w:r w:rsidR="00D96583" w:rsidRPr="00E71020">
        <w:rPr>
          <w:b/>
        </w:rPr>
        <w:t>(</w:t>
      </w:r>
      <w:r w:rsidR="00617997" w:rsidRPr="00E71020">
        <w:rPr>
          <w:b/>
        </w:rPr>
        <w:t>PCR</w:t>
      </w:r>
      <w:r w:rsidR="00D96583" w:rsidRPr="00E71020">
        <w:rPr>
          <w:b/>
        </w:rPr>
        <w:t>)</w:t>
      </w:r>
    </w:p>
    <w:p w14:paraId="76817913" w14:textId="4AFD049F" w:rsidR="00617997" w:rsidRDefault="00D96583">
      <w:pPr>
        <w:pStyle w:val="Paragraph"/>
        <w:numPr>
          <w:ilvl w:val="1"/>
          <w:numId w:val="37"/>
        </w:numPr>
      </w:pPr>
      <w:r>
        <w:t xml:space="preserve">The PCR </w:t>
      </w:r>
      <w:r w:rsidR="00617997">
        <w:t>is the main instrument of accountability used by the Bank to show both internal and external stakeholders to the Bank, the performance of its operations with sovereign guarantee and the effectiveness in the Development of them. It also presents the main findings and recommendations in order to strengthen the design and execution of future projects.</w:t>
      </w:r>
    </w:p>
    <w:p w14:paraId="27963073" w14:textId="0B2265E4" w:rsidR="00617997" w:rsidRDefault="00413F42" w:rsidP="00617997">
      <w:pPr>
        <w:pStyle w:val="Paragraph"/>
        <w:numPr>
          <w:ilvl w:val="1"/>
          <w:numId w:val="37"/>
        </w:numPr>
      </w:pPr>
      <w:r>
        <w:t>T</w:t>
      </w:r>
      <w:r w:rsidR="00617997">
        <w:t xml:space="preserve">he evaluation will be conducted based on the analysis of the central criteria and non-central criteria. </w:t>
      </w:r>
      <w:r w:rsidR="005C5465">
        <w:t>The central criteria of the PCR</w:t>
      </w:r>
      <w:r w:rsidR="00617997">
        <w:t xml:space="preserve"> basically evaluate the performance of the project and are determined objectively based on the results and products </w:t>
      </w:r>
      <w:r w:rsidR="00841B6E">
        <w:t>thereof and</w:t>
      </w:r>
      <w:r w:rsidR="00617997">
        <w:t xml:space="preserve"> is rated through four criteria: (i) Effectiveness, (ii) Efficiency, (iii) Relevance and (iv) Sustainability.</w:t>
      </w:r>
    </w:p>
    <w:p w14:paraId="1C266D8C" w14:textId="0FE3C0B7" w:rsidR="005C5465" w:rsidRDefault="00413F42" w:rsidP="00617997">
      <w:pPr>
        <w:pStyle w:val="Paragraph"/>
        <w:numPr>
          <w:ilvl w:val="1"/>
          <w:numId w:val="37"/>
        </w:numPr>
      </w:pPr>
      <w:r>
        <w:t>T</w:t>
      </w:r>
      <w:r w:rsidR="005C5465" w:rsidRPr="005C5465">
        <w:t>he non-central PCR criteria are those that can be evaluated, but do not qualify the effectiveness of the intervention. In default, they evaluate the contribution of the operation to the Bank's development objectives; the contribution to the country's development objectives; compliance with the monitoring and evaluation plan; the use of country systems and the implementation and mitigation of environmental and social safeguards.</w:t>
      </w:r>
    </w:p>
    <w:p w14:paraId="3F509B39" w14:textId="69FF678A" w:rsidR="00A00588" w:rsidRPr="00D53F9F" w:rsidRDefault="00A00588" w:rsidP="009A01A1">
      <w:pPr>
        <w:pStyle w:val="Paragraph"/>
        <w:numPr>
          <w:ilvl w:val="1"/>
          <w:numId w:val="37"/>
        </w:numPr>
      </w:pPr>
      <w:r w:rsidRPr="00D53F9F">
        <w:t xml:space="preserve">The result of the final evaluation will be used as input for the </w:t>
      </w:r>
      <w:r w:rsidR="00281207">
        <w:t>PCR</w:t>
      </w:r>
      <w:r w:rsidRPr="00D53F9F">
        <w:t xml:space="preserve"> to be prepared by the Bank.</w:t>
      </w:r>
      <w:r w:rsidR="00B867ED" w:rsidRPr="00B867ED">
        <w:t xml:space="preserve"> The </w:t>
      </w:r>
      <w:r w:rsidR="001320A4">
        <w:t>PEU</w:t>
      </w:r>
      <w:r w:rsidR="00B867ED" w:rsidRPr="00B867ED">
        <w:t xml:space="preserve"> will collect, record and maintain all the information and parameters, including semi-annual reports, annual operating plans, performance plans of the </w:t>
      </w:r>
      <w:r w:rsidR="00FE38A7">
        <w:t>project</w:t>
      </w:r>
      <w:r w:rsidR="00B867ED" w:rsidRPr="00B867ED">
        <w:t xml:space="preserve">, and procurement plan, necessary to: </w:t>
      </w:r>
      <w:r w:rsidR="00F41F82">
        <w:t>(</w:t>
      </w:r>
      <w:r w:rsidR="00B867ED" w:rsidRPr="00B867ED">
        <w:t xml:space="preserve">i) support the Bank in preparing the PCR; and </w:t>
      </w:r>
      <w:r w:rsidR="00F41F82">
        <w:t>(</w:t>
      </w:r>
      <w:r w:rsidR="00B867ED" w:rsidRPr="00B867ED">
        <w:t>ii)</w:t>
      </w:r>
      <w:r w:rsidR="00573A6D">
        <w:t> </w:t>
      </w:r>
      <w:r w:rsidR="00B867ED" w:rsidRPr="00B867ED">
        <w:t xml:space="preserve">support the IDB Evaluation Office (OVE) in evaluating the impact of the operation. This report will be submitted </w:t>
      </w:r>
      <w:r w:rsidR="009A01A1">
        <w:t>to the Bank</w:t>
      </w:r>
      <w:r w:rsidR="00734B8E">
        <w:t xml:space="preserve"> as</w:t>
      </w:r>
      <w:r w:rsidR="009A01A1">
        <w:t xml:space="preserve"> a final independent evaluation, within 90 days after the date on which 90% of the loan proceeds have been disbursed or after the Bank’s official request</w:t>
      </w:r>
      <w:r w:rsidR="00B867ED" w:rsidRPr="00B867ED">
        <w:t xml:space="preserve">, but not limited to, the semi-annual progress reports, the Results Framework, the Audited Financial Statements, and the </w:t>
      </w:r>
      <w:r w:rsidR="00FE38A7">
        <w:t>Project</w:t>
      </w:r>
      <w:r w:rsidR="00FE38A7" w:rsidRPr="00B867ED">
        <w:t xml:space="preserve"> </w:t>
      </w:r>
      <w:r w:rsidR="00B867ED" w:rsidRPr="00B867ED">
        <w:t xml:space="preserve">Evaluations. This report will include, at least: </w:t>
      </w:r>
      <w:r w:rsidR="00F41F82">
        <w:t>(</w:t>
      </w:r>
      <w:r w:rsidR="00B867ED" w:rsidRPr="00B867ED">
        <w:t xml:space="preserve">a) the financial performance results for each component; </w:t>
      </w:r>
      <w:r w:rsidR="00F41F82">
        <w:t>(</w:t>
      </w:r>
      <w:r w:rsidR="00B867ED" w:rsidRPr="00B867ED">
        <w:t xml:space="preserve">b) the project impacts; </w:t>
      </w:r>
      <w:r w:rsidR="00F41F82">
        <w:t>(</w:t>
      </w:r>
      <w:r w:rsidR="00B867ED" w:rsidRPr="00B867ED">
        <w:t xml:space="preserve">c) the compliance with established goals, according to agreed outcome indicators; </w:t>
      </w:r>
      <w:r w:rsidR="00F41F82">
        <w:t>(</w:t>
      </w:r>
      <w:r w:rsidR="00B867ED" w:rsidRPr="00B867ED">
        <w:t xml:space="preserve">d) the results and products during execution of the </w:t>
      </w:r>
      <w:r w:rsidR="00FE38A7">
        <w:t>project</w:t>
      </w:r>
      <w:r w:rsidR="00B867ED" w:rsidRPr="00B867ED">
        <w:t xml:space="preserve">; </w:t>
      </w:r>
      <w:r w:rsidR="00F41F82">
        <w:t>(</w:t>
      </w:r>
      <w:r w:rsidR="00B867ED" w:rsidRPr="00B867ED">
        <w:t xml:space="preserve">e) the compliance with contractual commitments; </w:t>
      </w:r>
      <w:r w:rsidR="00F41F82">
        <w:t>(</w:t>
      </w:r>
      <w:r w:rsidR="00B867ED" w:rsidRPr="00B867ED">
        <w:t xml:space="preserve">f) the bid processes and results for works, goods and services; </w:t>
      </w:r>
      <w:r w:rsidR="00F41F82">
        <w:t>(</w:t>
      </w:r>
      <w:r w:rsidR="00B867ED" w:rsidRPr="00B867ED">
        <w:t xml:space="preserve">g) the breakdown of the costs by type of work; </w:t>
      </w:r>
      <w:r w:rsidR="00F41F82">
        <w:t>(</w:t>
      </w:r>
      <w:r w:rsidR="00B867ED" w:rsidRPr="00B867ED">
        <w:t>h)</w:t>
      </w:r>
      <w:r w:rsidR="00573A6D">
        <w:t> </w:t>
      </w:r>
      <w:r w:rsidR="00B867ED" w:rsidRPr="00B867ED">
        <w:t xml:space="preserve">an ex-post economic evaluation based on the methodologies developed in the ex-ante evaluation; </w:t>
      </w:r>
      <w:r w:rsidR="00F41F82">
        <w:t>(</w:t>
      </w:r>
      <w:r w:rsidR="00B867ED" w:rsidRPr="00B867ED">
        <w:t xml:space="preserve">i) the lessons learned; and </w:t>
      </w:r>
      <w:r w:rsidR="00F41F82">
        <w:t>(</w:t>
      </w:r>
      <w:r w:rsidR="00B867ED" w:rsidRPr="00B867ED">
        <w:t>j) the evaluation of the implementation of the works, including the socio-environmental aspects.</w:t>
      </w:r>
    </w:p>
    <w:p w14:paraId="02E05614" w14:textId="161CF561" w:rsidR="00DB5025" w:rsidRDefault="00DB5025" w:rsidP="00110FAA">
      <w:pPr>
        <w:pStyle w:val="Paragraph"/>
        <w:numPr>
          <w:ilvl w:val="1"/>
          <w:numId w:val="37"/>
        </w:numPr>
      </w:pPr>
      <w:r>
        <w:rPr>
          <w:b/>
        </w:rPr>
        <w:t xml:space="preserve">Results </w:t>
      </w:r>
      <w:r w:rsidRPr="00DB5025">
        <w:rPr>
          <w:b/>
        </w:rPr>
        <w:t>Information.</w:t>
      </w:r>
      <w:r>
        <w:t xml:space="preserve">  Upon completion of the works, the </w:t>
      </w:r>
      <w:r w:rsidR="001320A4">
        <w:t>PEU</w:t>
      </w:r>
      <w:r>
        <w:t xml:space="preserve"> will provide a Final Report on the evaluation results, which shall include the results of the Ex​​-Post Cost Benefit Analysis and its comparison with the Ex-Ante Cost Benefit Analysis. The Final Report must be approved by the IDB Team Leader. </w:t>
      </w:r>
    </w:p>
    <w:p w14:paraId="7352E247" w14:textId="6513FCB5" w:rsidR="00DB5025" w:rsidRDefault="00DB5025" w:rsidP="00110FAA">
      <w:pPr>
        <w:pStyle w:val="Paragraph"/>
        <w:numPr>
          <w:ilvl w:val="1"/>
          <w:numId w:val="37"/>
        </w:numPr>
      </w:pPr>
      <w:r>
        <w:t xml:space="preserve">At the end of the project, the </w:t>
      </w:r>
      <w:r w:rsidR="00E43AF2">
        <w:t>project tea</w:t>
      </w:r>
      <w:r w:rsidR="00126E1C">
        <w:t>m</w:t>
      </w:r>
      <w:r>
        <w:t xml:space="preserve"> will prepare the </w:t>
      </w:r>
      <w:r w:rsidR="005F4B60">
        <w:t>PCR</w:t>
      </w:r>
      <w:r>
        <w:t xml:space="preserve">. This report must be approved by the </w:t>
      </w:r>
      <w:r w:rsidR="00933C29">
        <w:t>EA</w:t>
      </w:r>
      <w:r>
        <w:t xml:space="preserve"> no later than 180 days after the date of full disbursement. </w:t>
      </w:r>
    </w:p>
    <w:p w14:paraId="06C71B9C" w14:textId="4AD2A3DD" w:rsidR="008F0F0E" w:rsidRDefault="008F0F0E" w:rsidP="008F0F0E">
      <w:pPr>
        <w:pStyle w:val="Paragraph"/>
        <w:rPr>
          <w:b/>
        </w:rPr>
      </w:pPr>
      <w:r>
        <w:rPr>
          <w:b/>
        </w:rPr>
        <w:lastRenderedPageBreak/>
        <w:t xml:space="preserve">e. </w:t>
      </w:r>
      <w:r w:rsidR="00DB5025" w:rsidRPr="00DB5025">
        <w:rPr>
          <w:b/>
        </w:rPr>
        <w:t>Coordination, Work Plan and Budget</w:t>
      </w:r>
    </w:p>
    <w:p w14:paraId="4DBFB3A8" w14:textId="418AD982" w:rsidR="00DB5025" w:rsidRDefault="00DB5025">
      <w:pPr>
        <w:pStyle w:val="Paragraph"/>
        <w:numPr>
          <w:ilvl w:val="1"/>
          <w:numId w:val="37"/>
        </w:numPr>
      </w:pPr>
      <w:r>
        <w:t xml:space="preserve">The </w:t>
      </w:r>
      <w:r w:rsidR="001320A4">
        <w:t>PEU</w:t>
      </w:r>
      <w:r>
        <w:t xml:space="preserve"> will be responsible for conducting evaluation activities, including ensuring data collection. </w:t>
      </w:r>
    </w:p>
    <w:p w14:paraId="4E5C1A28" w14:textId="7397C7B6" w:rsidR="00DB5025" w:rsidRDefault="00DB5025" w:rsidP="00110FAA">
      <w:pPr>
        <w:pStyle w:val="Paragraph"/>
        <w:numPr>
          <w:ilvl w:val="1"/>
          <w:numId w:val="37"/>
        </w:numPr>
      </w:pPr>
      <w:r>
        <w:t xml:space="preserve">Meanwhile the IDB, through the Project Team Leader is responsible for coordinating and ensuring that the plan meets the technical quality and schedule. To do this, he will carry out regular meetings with those responsible for the implementation of this plan and if </w:t>
      </w:r>
      <w:r w:rsidR="00DA723D">
        <w:t>necessary,</w:t>
      </w:r>
      <w:r>
        <w:t xml:space="preserve"> request reports or presentations of our-of-the ordinary results. </w:t>
      </w:r>
    </w:p>
    <w:p w14:paraId="08D0139D" w14:textId="2D47C50C" w:rsidR="00573A6D" w:rsidRPr="00DA723D" w:rsidRDefault="00591CD6" w:rsidP="00DA723D">
      <w:pPr>
        <w:pStyle w:val="Paragraph"/>
        <w:numPr>
          <w:ilvl w:val="1"/>
          <w:numId w:val="37"/>
        </w:numPr>
      </w:pPr>
      <w:r w:rsidRPr="00680732">
        <w:rPr>
          <w:b/>
        </w:rPr>
        <w:t>Evaluation budget.</w:t>
      </w:r>
      <w:r>
        <w:t xml:space="preserve"> </w:t>
      </w:r>
      <w:r w:rsidR="00DB5025">
        <w:t xml:space="preserve">Table </w:t>
      </w:r>
      <w:r w:rsidR="00F84ECE">
        <w:t xml:space="preserve">5 </w:t>
      </w:r>
      <w:r w:rsidR="00DB5025">
        <w:t>presents the work plan for the evaluation of the project, which includes the main activities and their respective products, the deadline for compliance, responsible and cost, identifying the source of funding is detailed.</w:t>
      </w:r>
      <w:r w:rsidR="00573A6D" w:rsidRPr="00DA723D">
        <w:rPr>
          <w:b/>
        </w:rPr>
        <w:br w:type="page"/>
      </w:r>
    </w:p>
    <w:p w14:paraId="27C37037" w14:textId="77777777" w:rsidR="00A22C9F" w:rsidRDefault="00A22C9F" w:rsidP="00462E6E">
      <w:pPr>
        <w:pStyle w:val="Paragraph"/>
        <w:sectPr w:rsidR="00A22C9F" w:rsidSect="00A16F7D">
          <w:pgSz w:w="12240" w:h="15840"/>
          <w:pgMar w:top="1440" w:right="1440" w:bottom="1440" w:left="1440" w:header="720" w:footer="720" w:gutter="0"/>
          <w:cols w:space="720"/>
          <w:docGrid w:linePitch="360"/>
        </w:sectPr>
      </w:pPr>
    </w:p>
    <w:p w14:paraId="0AB5E5AE" w14:textId="355F297D" w:rsidR="00A22C9F" w:rsidRPr="00413F42" w:rsidRDefault="00A22C9F" w:rsidP="00DD7EAD">
      <w:pPr>
        <w:pStyle w:val="Paragraph"/>
        <w:jc w:val="center"/>
        <w:rPr>
          <w:b/>
          <w:szCs w:val="24"/>
        </w:rPr>
      </w:pPr>
      <w:r w:rsidRPr="00413F42">
        <w:rPr>
          <w:b/>
          <w:szCs w:val="24"/>
        </w:rPr>
        <w:lastRenderedPageBreak/>
        <w:t xml:space="preserve">Table </w:t>
      </w:r>
      <w:r w:rsidR="00F84ECE">
        <w:rPr>
          <w:b/>
          <w:szCs w:val="24"/>
        </w:rPr>
        <w:t>5</w:t>
      </w:r>
      <w:r w:rsidRPr="00413F42">
        <w:rPr>
          <w:b/>
          <w:szCs w:val="24"/>
        </w:rPr>
        <w:t xml:space="preserve">. Evaluation </w:t>
      </w:r>
      <w:r w:rsidR="00413F42">
        <w:rPr>
          <w:b/>
          <w:szCs w:val="24"/>
        </w:rPr>
        <w:t>pl</w:t>
      </w:r>
      <w:r w:rsidRPr="00413F42">
        <w:rPr>
          <w:b/>
          <w:szCs w:val="24"/>
        </w:rPr>
        <w:t>an</w:t>
      </w:r>
      <w:r w:rsidR="00413F42" w:rsidRPr="00413F42">
        <w:rPr>
          <w:b/>
          <w:szCs w:val="24"/>
        </w:rPr>
        <w:t xml:space="preserve"> and bud</w:t>
      </w:r>
      <w:r w:rsidR="00413F42">
        <w:rPr>
          <w:b/>
          <w:szCs w:val="24"/>
        </w:rPr>
        <w:t>get</w:t>
      </w:r>
    </w:p>
    <w:tbl>
      <w:tblPr>
        <w:tblStyle w:val="TableGrid"/>
        <w:tblW w:w="0" w:type="auto"/>
        <w:jc w:val="center"/>
        <w:tblLook w:val="04A0" w:firstRow="1" w:lastRow="0" w:firstColumn="1" w:lastColumn="0" w:noHBand="0" w:noVBand="1"/>
      </w:tblPr>
      <w:tblGrid>
        <w:gridCol w:w="1181"/>
        <w:gridCol w:w="436"/>
        <w:gridCol w:w="436"/>
        <w:gridCol w:w="434"/>
        <w:gridCol w:w="435"/>
        <w:gridCol w:w="434"/>
        <w:gridCol w:w="435"/>
        <w:gridCol w:w="434"/>
        <w:gridCol w:w="435"/>
        <w:gridCol w:w="435"/>
        <w:gridCol w:w="434"/>
        <w:gridCol w:w="435"/>
        <w:gridCol w:w="434"/>
        <w:gridCol w:w="435"/>
        <w:gridCol w:w="434"/>
        <w:gridCol w:w="435"/>
        <w:gridCol w:w="435"/>
        <w:gridCol w:w="577"/>
        <w:gridCol w:w="587"/>
        <w:gridCol w:w="431"/>
        <w:gridCol w:w="431"/>
        <w:gridCol w:w="721"/>
        <w:gridCol w:w="1173"/>
        <w:gridCol w:w="893"/>
      </w:tblGrid>
      <w:tr w:rsidR="00841B6E" w14:paraId="12B6763B" w14:textId="77777777" w:rsidTr="00324AB9">
        <w:trPr>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1DC8C862" w14:textId="77777777" w:rsidR="00841B6E" w:rsidRDefault="00841B6E">
            <w:pPr>
              <w:spacing w:after="0" w:line="240" w:lineRule="auto"/>
              <w:jc w:val="center"/>
              <w:rPr>
                <w:rFonts w:asciiTheme="minorHAnsi" w:hAnsiTheme="minorHAnsi" w:cstheme="minorHAnsi"/>
                <w:smallCaps/>
                <w:sz w:val="18"/>
                <w:szCs w:val="16"/>
                <w:lang w:val="es-ES_tradnl"/>
              </w:rPr>
            </w:pPr>
            <w:proofErr w:type="spellStart"/>
            <w:r>
              <w:rPr>
                <w:rFonts w:asciiTheme="minorHAnsi" w:hAnsiTheme="minorHAnsi" w:cstheme="minorHAnsi"/>
                <w:b/>
                <w:smallCaps/>
                <w:sz w:val="18"/>
                <w:szCs w:val="16"/>
                <w:lang w:val="es-ES_tradnl"/>
              </w:rPr>
              <w:t>Activities</w:t>
            </w:r>
            <w:proofErr w:type="spellEnd"/>
          </w:p>
        </w:tc>
        <w:tc>
          <w:tcPr>
            <w:tcW w:w="1747"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3ABC138B"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Year</w:t>
            </w:r>
            <w:proofErr w:type="spellEnd"/>
            <w:r>
              <w:rPr>
                <w:rFonts w:asciiTheme="minorHAnsi" w:hAnsiTheme="minorHAnsi" w:cstheme="minorHAnsi"/>
                <w:b/>
                <w:smallCaps/>
                <w:sz w:val="18"/>
                <w:szCs w:val="16"/>
                <w:lang w:val="es-ES_tradnl"/>
              </w:rPr>
              <w:t xml:space="preserve"> 1</w:t>
            </w:r>
          </w:p>
        </w:tc>
        <w:tc>
          <w:tcPr>
            <w:tcW w:w="1746"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5C46A152"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Year</w:t>
            </w:r>
            <w:proofErr w:type="spellEnd"/>
            <w:r>
              <w:rPr>
                <w:rFonts w:asciiTheme="minorHAnsi" w:hAnsiTheme="minorHAnsi" w:cstheme="minorHAnsi"/>
                <w:b/>
                <w:smallCaps/>
                <w:sz w:val="18"/>
                <w:szCs w:val="16"/>
                <w:lang w:val="es-ES_tradnl"/>
              </w:rPr>
              <w:t xml:space="preserve"> 2</w:t>
            </w:r>
          </w:p>
        </w:tc>
        <w:tc>
          <w:tcPr>
            <w:tcW w:w="1746"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1CA7C139"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Year</w:t>
            </w:r>
            <w:proofErr w:type="spellEnd"/>
            <w:r>
              <w:rPr>
                <w:rFonts w:asciiTheme="minorHAnsi" w:hAnsiTheme="minorHAnsi" w:cstheme="minorHAnsi"/>
                <w:b/>
                <w:smallCaps/>
                <w:sz w:val="18"/>
                <w:szCs w:val="16"/>
                <w:lang w:val="es-ES_tradnl"/>
              </w:rPr>
              <w:t xml:space="preserve"> 3</w:t>
            </w:r>
          </w:p>
        </w:tc>
        <w:tc>
          <w:tcPr>
            <w:tcW w:w="1747"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6AAC79E7"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Year</w:t>
            </w:r>
            <w:proofErr w:type="spellEnd"/>
            <w:r>
              <w:rPr>
                <w:rFonts w:asciiTheme="minorHAnsi" w:hAnsiTheme="minorHAnsi" w:cstheme="minorHAnsi"/>
                <w:b/>
                <w:smallCaps/>
                <w:sz w:val="18"/>
                <w:szCs w:val="16"/>
                <w:lang w:val="es-ES_tradnl"/>
              </w:rPr>
              <w:t xml:space="preserve"> 4</w:t>
            </w:r>
          </w:p>
        </w:tc>
        <w:tc>
          <w:tcPr>
            <w:tcW w:w="1989"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F2D090" w14:textId="217ADE5C"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Year</w:t>
            </w:r>
            <w:proofErr w:type="spellEnd"/>
            <w:r>
              <w:rPr>
                <w:rFonts w:asciiTheme="minorHAnsi" w:hAnsiTheme="minorHAnsi" w:cstheme="minorHAnsi"/>
                <w:b/>
                <w:smallCaps/>
                <w:sz w:val="18"/>
                <w:szCs w:val="16"/>
                <w:lang w:val="es-ES_tradnl"/>
              </w:rPr>
              <w:t xml:space="preserve"> 5</w:t>
            </w: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75CD76B8" w14:textId="73ED76C8"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Cost</w:t>
            </w:r>
            <w:proofErr w:type="spellEnd"/>
            <w:r>
              <w:rPr>
                <w:rFonts w:asciiTheme="minorHAnsi" w:hAnsiTheme="minorHAnsi" w:cstheme="minorHAnsi"/>
                <w:b/>
                <w:smallCaps/>
                <w:sz w:val="18"/>
                <w:szCs w:val="16"/>
                <w:lang w:val="es-ES_tradnl"/>
              </w:rPr>
              <w:t xml:space="preserve"> (US$)</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66506EF2"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Responsible</w:t>
            </w:r>
            <w:proofErr w:type="spellEnd"/>
          </w:p>
        </w:tc>
        <w:tc>
          <w:tcPr>
            <w:tcW w:w="898"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36BD2EBA" w14:textId="77777777" w:rsidR="00841B6E" w:rsidRDefault="00841B6E">
            <w:pPr>
              <w:spacing w:after="0" w:line="240" w:lineRule="auto"/>
              <w:jc w:val="center"/>
              <w:rPr>
                <w:rFonts w:asciiTheme="minorHAnsi" w:hAnsiTheme="minorHAnsi" w:cstheme="minorHAnsi"/>
                <w:b/>
                <w:smallCaps/>
                <w:sz w:val="18"/>
                <w:szCs w:val="16"/>
                <w:lang w:val="es-ES_tradnl"/>
              </w:rPr>
            </w:pPr>
            <w:proofErr w:type="spellStart"/>
            <w:r>
              <w:rPr>
                <w:rFonts w:asciiTheme="minorHAnsi" w:hAnsiTheme="minorHAnsi" w:cstheme="minorHAnsi"/>
                <w:b/>
                <w:smallCaps/>
                <w:sz w:val="18"/>
                <w:szCs w:val="16"/>
                <w:lang w:val="es-ES_tradnl"/>
              </w:rPr>
              <w:t>Source</w:t>
            </w:r>
            <w:proofErr w:type="spellEnd"/>
            <w:r>
              <w:rPr>
                <w:rFonts w:asciiTheme="minorHAnsi" w:hAnsiTheme="minorHAnsi" w:cstheme="minorHAnsi"/>
                <w:b/>
                <w:smallCaps/>
                <w:sz w:val="18"/>
                <w:szCs w:val="16"/>
                <w:lang w:val="es-ES_tradnl"/>
              </w:rPr>
              <w:t xml:space="preserve"> of </w:t>
            </w:r>
            <w:proofErr w:type="spellStart"/>
            <w:r>
              <w:rPr>
                <w:rFonts w:asciiTheme="minorHAnsi" w:hAnsiTheme="minorHAnsi" w:cstheme="minorHAnsi"/>
                <w:b/>
                <w:smallCaps/>
                <w:sz w:val="18"/>
                <w:szCs w:val="16"/>
                <w:lang w:val="es-ES_tradnl"/>
              </w:rPr>
              <w:t>financing</w:t>
            </w:r>
            <w:proofErr w:type="spellEnd"/>
          </w:p>
        </w:tc>
      </w:tr>
      <w:tr w:rsidR="00841B6E" w14:paraId="5BA557C9" w14:textId="77777777" w:rsidTr="00841B6E">
        <w:trPr>
          <w:jc w:val="center"/>
        </w:trPr>
        <w:tc>
          <w:tcPr>
            <w:tcW w:w="1182" w:type="dxa"/>
            <w:vMerge/>
            <w:tcBorders>
              <w:top w:val="single" w:sz="4" w:space="0" w:color="000000"/>
              <w:left w:val="single" w:sz="4" w:space="0" w:color="000000"/>
              <w:bottom w:val="single" w:sz="4" w:space="0" w:color="000000"/>
              <w:right w:val="single" w:sz="4" w:space="0" w:color="000000"/>
            </w:tcBorders>
            <w:vAlign w:val="center"/>
            <w:hideMark/>
          </w:tcPr>
          <w:p w14:paraId="7CE2750B" w14:textId="77777777" w:rsidR="00841B6E" w:rsidRDefault="00841B6E">
            <w:pPr>
              <w:spacing w:after="0" w:line="240" w:lineRule="auto"/>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16B12F5E"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Q1</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2672F31B"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Q2</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22E51100"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Q3</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48C9FDB3"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Q4</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0816878F"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Q1</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635B3005"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Q2</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3C4E1D10"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Q3</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1BBDC236"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Q4</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59D04B76"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Q1</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26EBD066"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Q2</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3FA6AD6D"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Q3</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7857F64D"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Q4</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6190E1A8"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Q1</w:t>
            </w:r>
          </w:p>
        </w:tc>
        <w:tc>
          <w:tcPr>
            <w:tcW w:w="4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0E2DC346"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Q2</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0CA914B9"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Q3</w:t>
            </w:r>
          </w:p>
        </w:tc>
        <w:tc>
          <w:tcPr>
            <w:tcW w:w="43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4D8CAAD6" w14:textId="77777777" w:rsidR="00841B6E" w:rsidRDefault="00841B6E">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Q4</w:t>
            </w:r>
          </w:p>
        </w:tc>
        <w:tc>
          <w:tcPr>
            <w:tcW w:w="64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EDFACA7" w14:textId="7D3DD2FC" w:rsidR="00841B6E" w:rsidRDefault="00841B6E" w:rsidP="00486966">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Q1</w:t>
            </w:r>
          </w:p>
        </w:tc>
        <w:tc>
          <w:tcPr>
            <w:tcW w:w="65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AC1D8C5" w14:textId="2B238777" w:rsidR="00841B6E" w:rsidRDefault="00841B6E" w:rsidP="00486966">
            <w:pPr>
              <w:spacing w:after="0" w:line="240" w:lineRule="auto"/>
              <w:jc w:val="center"/>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Q2</w:t>
            </w:r>
          </w:p>
        </w:tc>
        <w:tc>
          <w:tcPr>
            <w:tcW w:w="3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A176C20" w14:textId="1A28EF5F" w:rsidR="00841B6E" w:rsidRDefault="00841B6E">
            <w:pPr>
              <w:spacing w:after="0" w:line="240" w:lineRule="auto"/>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Q3</w:t>
            </w:r>
          </w:p>
        </w:tc>
        <w:tc>
          <w:tcPr>
            <w:tcW w:w="39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2BCCBD" w14:textId="09BB36AD" w:rsidR="00841B6E" w:rsidRDefault="00841B6E">
            <w:pPr>
              <w:spacing w:after="0" w:line="240" w:lineRule="auto"/>
              <w:rPr>
                <w:rFonts w:asciiTheme="minorHAnsi" w:hAnsiTheme="minorHAnsi" w:cstheme="minorHAnsi"/>
                <w:b/>
                <w:smallCaps/>
                <w:sz w:val="18"/>
                <w:szCs w:val="16"/>
                <w:lang w:val="es-ES_tradnl"/>
              </w:rPr>
            </w:pPr>
            <w:r>
              <w:rPr>
                <w:rFonts w:asciiTheme="minorHAnsi" w:hAnsiTheme="minorHAnsi" w:cstheme="minorHAnsi"/>
                <w:b/>
                <w:smallCaps/>
                <w:sz w:val="18"/>
                <w:szCs w:val="16"/>
                <w:lang w:val="es-ES_tradnl"/>
              </w:rPr>
              <w:t>Q4</w:t>
            </w:r>
          </w:p>
        </w:tc>
        <w:tc>
          <w:tcPr>
            <w:tcW w:w="722" w:type="dxa"/>
            <w:vMerge/>
            <w:tcBorders>
              <w:top w:val="single" w:sz="4" w:space="0" w:color="000000"/>
              <w:left w:val="single" w:sz="4" w:space="0" w:color="000000"/>
              <w:bottom w:val="single" w:sz="4" w:space="0" w:color="000000"/>
              <w:right w:val="single" w:sz="4" w:space="0" w:color="000000"/>
            </w:tcBorders>
            <w:vAlign w:val="center"/>
            <w:hideMark/>
          </w:tcPr>
          <w:p w14:paraId="2882C556" w14:textId="39381288" w:rsidR="00841B6E" w:rsidRDefault="00841B6E">
            <w:pPr>
              <w:spacing w:after="0" w:line="240" w:lineRule="auto"/>
              <w:rPr>
                <w:rFonts w:asciiTheme="minorHAnsi" w:hAnsiTheme="minorHAnsi" w:cstheme="minorHAnsi"/>
                <w:b/>
                <w:smallCaps/>
                <w:sz w:val="18"/>
                <w:szCs w:val="16"/>
                <w:lang w:val="es-ES_tradnl"/>
              </w:rPr>
            </w:pPr>
          </w:p>
        </w:tc>
        <w:tc>
          <w:tcPr>
            <w:tcW w:w="1173" w:type="dxa"/>
            <w:vMerge/>
            <w:tcBorders>
              <w:top w:val="single" w:sz="4" w:space="0" w:color="000000"/>
              <w:left w:val="single" w:sz="4" w:space="0" w:color="000000"/>
              <w:bottom w:val="single" w:sz="4" w:space="0" w:color="000000"/>
              <w:right w:val="single" w:sz="4" w:space="0" w:color="000000"/>
            </w:tcBorders>
            <w:vAlign w:val="center"/>
            <w:hideMark/>
          </w:tcPr>
          <w:p w14:paraId="3BD935CE" w14:textId="77777777" w:rsidR="00841B6E" w:rsidRDefault="00841B6E">
            <w:pPr>
              <w:spacing w:after="0" w:line="240" w:lineRule="auto"/>
              <w:rPr>
                <w:rFonts w:asciiTheme="minorHAnsi" w:hAnsiTheme="minorHAnsi" w:cstheme="minorHAnsi"/>
                <w:b/>
                <w:smallCaps/>
                <w:sz w:val="18"/>
                <w:szCs w:val="16"/>
                <w:lang w:val="es-ES_tradnl"/>
              </w:rPr>
            </w:pPr>
          </w:p>
        </w:tc>
        <w:tc>
          <w:tcPr>
            <w:tcW w:w="898" w:type="dxa"/>
            <w:vMerge/>
            <w:tcBorders>
              <w:top w:val="single" w:sz="4" w:space="0" w:color="000000"/>
              <w:left w:val="single" w:sz="4" w:space="0" w:color="000000"/>
              <w:bottom w:val="single" w:sz="4" w:space="0" w:color="000000"/>
              <w:right w:val="single" w:sz="4" w:space="0" w:color="000000"/>
            </w:tcBorders>
            <w:vAlign w:val="center"/>
            <w:hideMark/>
          </w:tcPr>
          <w:p w14:paraId="16F1F735" w14:textId="77777777" w:rsidR="00841B6E" w:rsidRDefault="00841B6E">
            <w:pPr>
              <w:spacing w:after="0" w:line="240" w:lineRule="auto"/>
              <w:rPr>
                <w:rFonts w:asciiTheme="minorHAnsi" w:hAnsiTheme="minorHAnsi" w:cstheme="minorHAnsi"/>
                <w:b/>
                <w:smallCaps/>
                <w:sz w:val="18"/>
                <w:szCs w:val="16"/>
                <w:lang w:val="es-ES_tradnl"/>
              </w:rPr>
            </w:pPr>
          </w:p>
        </w:tc>
      </w:tr>
      <w:tr w:rsidR="00841B6E" w14:paraId="3E803B0D" w14:textId="77777777" w:rsidTr="00841B6E">
        <w:trPr>
          <w:trHeight w:val="377"/>
          <w:jc w:val="center"/>
        </w:trPr>
        <w:tc>
          <w:tcPr>
            <w:tcW w:w="1182" w:type="dxa"/>
            <w:tcBorders>
              <w:top w:val="single" w:sz="4" w:space="0" w:color="000000"/>
              <w:left w:val="single" w:sz="4" w:space="0" w:color="000000"/>
              <w:bottom w:val="single" w:sz="4" w:space="0" w:color="000000"/>
              <w:right w:val="single" w:sz="4" w:space="0" w:color="000000"/>
            </w:tcBorders>
          </w:tcPr>
          <w:p w14:paraId="7125A850" w14:textId="084854BB" w:rsidR="00841B6E" w:rsidRPr="00D76D32" w:rsidRDefault="00841B6E" w:rsidP="00E52643">
            <w:pPr>
              <w:spacing w:after="0" w:line="240" w:lineRule="auto"/>
              <w:jc w:val="center"/>
              <w:rPr>
                <w:rFonts w:asciiTheme="minorHAnsi" w:hAnsiTheme="minorHAnsi" w:cstheme="minorHAnsi"/>
                <w:smallCaps/>
                <w:sz w:val="18"/>
                <w:szCs w:val="16"/>
              </w:rPr>
            </w:pPr>
            <w:r>
              <w:rPr>
                <w:rFonts w:asciiTheme="minorHAnsi" w:hAnsiTheme="minorHAnsi" w:cstheme="minorHAnsi"/>
                <w:smallCaps/>
                <w:sz w:val="18"/>
                <w:szCs w:val="16"/>
              </w:rPr>
              <w:t>Methodology for</w:t>
            </w:r>
            <w:r w:rsidRPr="00D76D32">
              <w:rPr>
                <w:rFonts w:asciiTheme="minorHAnsi" w:hAnsiTheme="minorHAnsi" w:cstheme="minorHAnsi"/>
                <w:smallCaps/>
                <w:sz w:val="18"/>
                <w:szCs w:val="16"/>
              </w:rPr>
              <w:t xml:space="preserve"> </w:t>
            </w:r>
            <w:r>
              <w:rPr>
                <w:rFonts w:asciiTheme="minorHAnsi" w:hAnsiTheme="minorHAnsi" w:cstheme="minorHAnsi"/>
                <w:smallCaps/>
                <w:sz w:val="18"/>
                <w:szCs w:val="16"/>
              </w:rPr>
              <w:t>Impact Evaluation and</w:t>
            </w:r>
            <w:r w:rsidRPr="00D76D32">
              <w:rPr>
                <w:rFonts w:asciiTheme="minorHAnsi" w:hAnsiTheme="minorHAnsi" w:cstheme="minorHAnsi"/>
                <w:smallCaps/>
                <w:sz w:val="18"/>
                <w:szCs w:val="16"/>
              </w:rPr>
              <w:t xml:space="preserve"> </w:t>
            </w:r>
            <w:proofErr w:type="spellStart"/>
            <w:r w:rsidRPr="00D76D32">
              <w:rPr>
                <w:rFonts w:asciiTheme="minorHAnsi" w:hAnsiTheme="minorHAnsi" w:cstheme="minorHAnsi"/>
                <w:smallCaps/>
                <w:sz w:val="18"/>
                <w:szCs w:val="16"/>
              </w:rPr>
              <w:t>Syntethic</w:t>
            </w:r>
            <w:proofErr w:type="spellEnd"/>
            <w:r w:rsidRPr="00D76D32">
              <w:rPr>
                <w:rFonts w:asciiTheme="minorHAnsi" w:hAnsiTheme="minorHAnsi" w:cstheme="minorHAnsi"/>
                <w:smallCaps/>
                <w:sz w:val="18"/>
                <w:szCs w:val="16"/>
              </w:rPr>
              <w:t xml:space="preserve"> </w:t>
            </w:r>
            <w:proofErr w:type="spellStart"/>
            <w:r w:rsidRPr="00D76D32">
              <w:rPr>
                <w:rFonts w:asciiTheme="minorHAnsi" w:hAnsiTheme="minorHAnsi" w:cstheme="minorHAnsi"/>
                <w:smallCaps/>
                <w:sz w:val="18"/>
                <w:szCs w:val="16"/>
              </w:rPr>
              <w:t>Contro</w:t>
            </w:r>
            <w:proofErr w:type="spellEnd"/>
            <w:r w:rsidRPr="00D76D32">
              <w:rPr>
                <w:rFonts w:asciiTheme="minorHAnsi" w:hAnsiTheme="minorHAnsi" w:cstheme="minorHAnsi"/>
                <w:smallCaps/>
                <w:sz w:val="18"/>
                <w:szCs w:val="16"/>
              </w:rPr>
              <w:t xml:space="preserve"> U</w:t>
            </w:r>
            <w:r>
              <w:rPr>
                <w:rFonts w:asciiTheme="minorHAnsi" w:hAnsiTheme="minorHAnsi" w:cstheme="minorHAnsi"/>
                <w:smallCaps/>
                <w:sz w:val="18"/>
                <w:szCs w:val="16"/>
              </w:rPr>
              <w:t>nit preparation</w:t>
            </w:r>
          </w:p>
        </w:tc>
        <w:tc>
          <w:tcPr>
            <w:tcW w:w="4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CB6ED4A"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0B9FCD6"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1A256620"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7CB9EEF"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499D1156"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9AEFA44"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38C3DD5E"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D1030BF"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12AE1D0"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525948B"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6DC08A3C"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E842120"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DF78FE1"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1D57A0FA"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5C76293"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D1D6D62"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641" w:type="dxa"/>
            <w:tcBorders>
              <w:top w:val="single" w:sz="4" w:space="0" w:color="000000"/>
              <w:left w:val="single" w:sz="4" w:space="0" w:color="000000"/>
              <w:bottom w:val="single" w:sz="4" w:space="0" w:color="000000"/>
              <w:right w:val="single" w:sz="4" w:space="0" w:color="000000"/>
            </w:tcBorders>
          </w:tcPr>
          <w:p w14:paraId="65786A4E"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655" w:type="dxa"/>
            <w:tcBorders>
              <w:top w:val="single" w:sz="4" w:space="0" w:color="000000"/>
              <w:left w:val="single" w:sz="4" w:space="0" w:color="000000"/>
              <w:bottom w:val="single" w:sz="4" w:space="0" w:color="000000"/>
              <w:right w:val="single" w:sz="4" w:space="0" w:color="000000"/>
            </w:tcBorders>
          </w:tcPr>
          <w:p w14:paraId="42CA4E8C" w14:textId="77777777" w:rsidR="00841B6E" w:rsidRPr="00D76D32" w:rsidRDefault="00841B6E" w:rsidP="00E52643">
            <w:pPr>
              <w:spacing w:after="0" w:line="240" w:lineRule="auto"/>
              <w:jc w:val="center"/>
              <w:rPr>
                <w:rFonts w:asciiTheme="minorHAnsi" w:hAnsiTheme="minorHAnsi" w:cstheme="minorHAnsi"/>
                <w:smallCaps/>
                <w:sz w:val="18"/>
                <w:szCs w:val="16"/>
              </w:rPr>
            </w:pPr>
          </w:p>
        </w:tc>
        <w:tc>
          <w:tcPr>
            <w:tcW w:w="300" w:type="dxa"/>
            <w:tcBorders>
              <w:top w:val="single" w:sz="4" w:space="0" w:color="000000"/>
              <w:left w:val="single" w:sz="4" w:space="0" w:color="000000"/>
              <w:bottom w:val="single" w:sz="4" w:space="0" w:color="000000"/>
              <w:right w:val="single" w:sz="4" w:space="0" w:color="000000"/>
            </w:tcBorders>
          </w:tcPr>
          <w:p w14:paraId="1A929EFE" w14:textId="77777777" w:rsidR="00841B6E" w:rsidRDefault="00841B6E" w:rsidP="00E52643">
            <w:pPr>
              <w:spacing w:after="0" w:line="240" w:lineRule="auto"/>
              <w:jc w:val="center"/>
              <w:rPr>
                <w:rFonts w:asciiTheme="minorHAnsi" w:hAnsiTheme="minorHAnsi" w:cstheme="minorHAnsi"/>
                <w:smallCaps/>
                <w:sz w:val="18"/>
                <w:szCs w:val="16"/>
              </w:rPr>
            </w:pPr>
          </w:p>
        </w:tc>
        <w:tc>
          <w:tcPr>
            <w:tcW w:w="393" w:type="dxa"/>
            <w:tcBorders>
              <w:top w:val="single" w:sz="4" w:space="0" w:color="000000"/>
              <w:left w:val="single" w:sz="4" w:space="0" w:color="000000"/>
              <w:bottom w:val="single" w:sz="4" w:space="0" w:color="000000"/>
              <w:right w:val="single" w:sz="4" w:space="0" w:color="000000"/>
            </w:tcBorders>
          </w:tcPr>
          <w:p w14:paraId="70544B67" w14:textId="77777777" w:rsidR="00841B6E" w:rsidRDefault="00841B6E" w:rsidP="00E52643">
            <w:pPr>
              <w:spacing w:after="0" w:line="240" w:lineRule="auto"/>
              <w:jc w:val="center"/>
              <w:rPr>
                <w:rFonts w:asciiTheme="minorHAnsi" w:hAnsiTheme="minorHAnsi" w:cstheme="minorHAnsi"/>
                <w:smallCaps/>
                <w:sz w:val="18"/>
                <w:szCs w:val="16"/>
              </w:rPr>
            </w:pPr>
          </w:p>
        </w:tc>
        <w:tc>
          <w:tcPr>
            <w:tcW w:w="722" w:type="dxa"/>
            <w:tcBorders>
              <w:top w:val="single" w:sz="4" w:space="0" w:color="000000"/>
              <w:left w:val="single" w:sz="4" w:space="0" w:color="000000"/>
              <w:bottom w:val="single" w:sz="4" w:space="0" w:color="000000"/>
              <w:right w:val="single" w:sz="4" w:space="0" w:color="000000"/>
            </w:tcBorders>
          </w:tcPr>
          <w:p w14:paraId="3CFA031F" w14:textId="265A46A1" w:rsidR="00841B6E" w:rsidRPr="00D76D32" w:rsidRDefault="00841B6E" w:rsidP="00E52643">
            <w:pPr>
              <w:spacing w:after="0" w:line="240" w:lineRule="auto"/>
              <w:jc w:val="center"/>
              <w:rPr>
                <w:rFonts w:asciiTheme="minorHAnsi" w:hAnsiTheme="minorHAnsi" w:cstheme="minorHAnsi"/>
                <w:smallCaps/>
                <w:sz w:val="18"/>
                <w:szCs w:val="16"/>
              </w:rPr>
            </w:pPr>
            <w:r>
              <w:rPr>
                <w:rFonts w:asciiTheme="minorHAnsi" w:hAnsiTheme="minorHAnsi" w:cstheme="minorHAnsi"/>
                <w:smallCaps/>
                <w:sz w:val="18"/>
                <w:szCs w:val="16"/>
              </w:rPr>
              <w:t>5,000</w:t>
            </w:r>
          </w:p>
        </w:tc>
        <w:tc>
          <w:tcPr>
            <w:tcW w:w="1173" w:type="dxa"/>
            <w:tcBorders>
              <w:top w:val="single" w:sz="4" w:space="0" w:color="000000"/>
              <w:left w:val="single" w:sz="4" w:space="0" w:color="000000"/>
              <w:bottom w:val="single" w:sz="4" w:space="0" w:color="000000"/>
              <w:right w:val="single" w:sz="4" w:space="0" w:color="000000"/>
            </w:tcBorders>
            <w:hideMark/>
          </w:tcPr>
          <w:p w14:paraId="5E5690C8" w14:textId="6B1010F0" w:rsidR="00841B6E" w:rsidRDefault="00841B6E" w:rsidP="00E52643">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c>
          <w:tcPr>
            <w:tcW w:w="898" w:type="dxa"/>
            <w:tcBorders>
              <w:top w:val="single" w:sz="4" w:space="0" w:color="000000"/>
              <w:left w:val="single" w:sz="4" w:space="0" w:color="000000"/>
              <w:bottom w:val="single" w:sz="4" w:space="0" w:color="000000"/>
              <w:right w:val="single" w:sz="4" w:space="0" w:color="000000"/>
            </w:tcBorders>
            <w:hideMark/>
          </w:tcPr>
          <w:p w14:paraId="39FD1E4D" w14:textId="1A023B61" w:rsidR="00841B6E" w:rsidRDefault="00841B6E" w:rsidP="00E52643">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r>
      <w:tr w:rsidR="00841B6E" w14:paraId="5BDD40D3" w14:textId="77777777" w:rsidTr="00841B6E">
        <w:trPr>
          <w:trHeight w:val="314"/>
          <w:jc w:val="center"/>
        </w:trPr>
        <w:tc>
          <w:tcPr>
            <w:tcW w:w="1182" w:type="dxa"/>
            <w:tcBorders>
              <w:top w:val="single" w:sz="4" w:space="0" w:color="000000"/>
              <w:left w:val="single" w:sz="4" w:space="0" w:color="000000"/>
              <w:bottom w:val="single" w:sz="4" w:space="0" w:color="000000"/>
              <w:right w:val="single" w:sz="4" w:space="0" w:color="000000"/>
            </w:tcBorders>
          </w:tcPr>
          <w:p w14:paraId="739EBD6B" w14:textId="0DD72123" w:rsidR="00841B6E" w:rsidRDefault="00841B6E">
            <w:pPr>
              <w:spacing w:after="0" w:line="240" w:lineRule="auto"/>
              <w:jc w:val="center"/>
              <w:rPr>
                <w:rFonts w:asciiTheme="minorHAnsi" w:hAnsiTheme="minorHAnsi" w:cstheme="minorHAnsi"/>
                <w:smallCaps/>
                <w:sz w:val="18"/>
                <w:szCs w:val="16"/>
                <w:lang w:val="es-ES_tradnl"/>
              </w:rPr>
            </w:pPr>
            <w:proofErr w:type="spellStart"/>
            <w:r>
              <w:rPr>
                <w:rFonts w:asciiTheme="minorHAnsi" w:hAnsiTheme="minorHAnsi" w:cstheme="minorHAnsi"/>
                <w:smallCaps/>
                <w:sz w:val="18"/>
                <w:szCs w:val="16"/>
                <w:lang w:val="es-ES_tradnl"/>
              </w:rPr>
              <w:t>ExPost</w:t>
            </w:r>
            <w:proofErr w:type="spellEnd"/>
            <w:r>
              <w:rPr>
                <w:rFonts w:asciiTheme="minorHAnsi" w:hAnsiTheme="minorHAnsi" w:cstheme="minorHAnsi"/>
                <w:smallCaps/>
                <w:sz w:val="18"/>
                <w:szCs w:val="16"/>
                <w:lang w:val="es-ES_tradnl"/>
              </w:rPr>
              <w:t xml:space="preserve"> </w:t>
            </w:r>
            <w:proofErr w:type="spellStart"/>
            <w:r>
              <w:rPr>
                <w:rFonts w:asciiTheme="minorHAnsi" w:hAnsiTheme="minorHAnsi" w:cstheme="minorHAnsi"/>
                <w:smallCaps/>
                <w:sz w:val="18"/>
                <w:szCs w:val="16"/>
                <w:lang w:val="es-ES_tradnl"/>
              </w:rPr>
              <w:t>Cost</w:t>
            </w:r>
            <w:proofErr w:type="spellEnd"/>
            <w:r>
              <w:rPr>
                <w:rFonts w:asciiTheme="minorHAnsi" w:hAnsiTheme="minorHAnsi" w:cstheme="minorHAnsi"/>
                <w:smallCaps/>
                <w:sz w:val="18"/>
                <w:szCs w:val="16"/>
                <w:lang w:val="es-ES_tradnl"/>
              </w:rPr>
              <w:t xml:space="preserve">-Benefit </w:t>
            </w:r>
            <w:proofErr w:type="spellStart"/>
            <w:r>
              <w:rPr>
                <w:rFonts w:asciiTheme="minorHAnsi" w:hAnsiTheme="minorHAnsi" w:cstheme="minorHAnsi"/>
                <w:smallCaps/>
                <w:sz w:val="18"/>
                <w:szCs w:val="16"/>
                <w:lang w:val="es-ES_tradnl"/>
              </w:rPr>
              <w:t>Analysis</w:t>
            </w:r>
            <w:proofErr w:type="spellEnd"/>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BD5AAA8"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3F00C161"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1B07719E"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79E89E7"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81D0BAD"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3D55E4DB"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3398CD0"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1DBC693"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175DEC64"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9427CE4"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6BDF205"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4FFA96B0"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B73B4DA"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0EE0403"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61CA162" w14:textId="77777777" w:rsidR="00841B6E" w:rsidRDefault="00841B6E">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3681294"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3AA9953"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6FC3A6C1"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3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2C682A2"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DA0D109" w14:textId="77777777" w:rsidR="00841B6E" w:rsidRDefault="00841B6E">
            <w:pPr>
              <w:spacing w:after="0" w:line="240" w:lineRule="auto"/>
              <w:jc w:val="center"/>
              <w:rPr>
                <w:rFonts w:asciiTheme="minorHAnsi" w:hAnsiTheme="minorHAnsi" w:cstheme="minorHAnsi"/>
                <w:smallCaps/>
                <w:sz w:val="18"/>
                <w:szCs w:val="16"/>
                <w:lang w:val="es-ES_tradnl"/>
              </w:rPr>
            </w:pPr>
          </w:p>
        </w:tc>
        <w:tc>
          <w:tcPr>
            <w:tcW w:w="722" w:type="dxa"/>
            <w:tcBorders>
              <w:top w:val="single" w:sz="4" w:space="0" w:color="000000"/>
              <w:left w:val="single" w:sz="4" w:space="0" w:color="000000"/>
              <w:bottom w:val="single" w:sz="4" w:space="0" w:color="000000"/>
              <w:right w:val="single" w:sz="4" w:space="0" w:color="000000"/>
            </w:tcBorders>
          </w:tcPr>
          <w:p w14:paraId="5A9DA53C" w14:textId="6CDDA21B" w:rsidR="00841B6E" w:rsidRDefault="00841B6E">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10,000</w:t>
            </w:r>
          </w:p>
        </w:tc>
        <w:tc>
          <w:tcPr>
            <w:tcW w:w="1173" w:type="dxa"/>
            <w:tcBorders>
              <w:top w:val="single" w:sz="4" w:space="0" w:color="000000"/>
              <w:left w:val="single" w:sz="4" w:space="0" w:color="000000"/>
              <w:bottom w:val="single" w:sz="4" w:space="0" w:color="000000"/>
              <w:right w:val="single" w:sz="4" w:space="0" w:color="000000"/>
            </w:tcBorders>
            <w:hideMark/>
          </w:tcPr>
          <w:p w14:paraId="6CD8D718" w14:textId="77777777" w:rsidR="00841B6E" w:rsidRDefault="00841B6E">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c>
          <w:tcPr>
            <w:tcW w:w="898" w:type="dxa"/>
            <w:tcBorders>
              <w:top w:val="single" w:sz="4" w:space="0" w:color="000000"/>
              <w:left w:val="single" w:sz="4" w:space="0" w:color="000000"/>
              <w:bottom w:val="single" w:sz="4" w:space="0" w:color="000000"/>
              <w:right w:val="single" w:sz="4" w:space="0" w:color="000000"/>
            </w:tcBorders>
            <w:hideMark/>
          </w:tcPr>
          <w:p w14:paraId="55C0ADED" w14:textId="77777777" w:rsidR="00841B6E" w:rsidRDefault="00841B6E">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r>
      <w:tr w:rsidR="00841B6E" w14:paraId="673006EC" w14:textId="77777777" w:rsidTr="00841B6E">
        <w:trPr>
          <w:jc w:val="center"/>
        </w:trPr>
        <w:tc>
          <w:tcPr>
            <w:tcW w:w="1182" w:type="dxa"/>
            <w:tcBorders>
              <w:top w:val="single" w:sz="4" w:space="0" w:color="000000"/>
              <w:left w:val="single" w:sz="4" w:space="0" w:color="000000"/>
              <w:bottom w:val="single" w:sz="4" w:space="0" w:color="000000"/>
              <w:right w:val="single" w:sz="4" w:space="0" w:color="000000"/>
            </w:tcBorders>
          </w:tcPr>
          <w:p w14:paraId="520CD5CA" w14:textId="776982F7" w:rsidR="00841B6E" w:rsidRDefault="00841B6E" w:rsidP="003764B1">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 xml:space="preserve">Final </w:t>
            </w:r>
            <w:proofErr w:type="spellStart"/>
            <w:r>
              <w:rPr>
                <w:rFonts w:asciiTheme="minorHAnsi" w:hAnsiTheme="minorHAnsi" w:cstheme="minorHAnsi"/>
                <w:smallCaps/>
                <w:sz w:val="18"/>
                <w:szCs w:val="16"/>
                <w:lang w:val="es-ES_tradnl"/>
              </w:rPr>
              <w:t>Evaluation</w:t>
            </w:r>
            <w:proofErr w:type="spellEnd"/>
            <w:r>
              <w:rPr>
                <w:rFonts w:asciiTheme="minorHAnsi" w:hAnsiTheme="minorHAnsi" w:cstheme="minorHAnsi"/>
                <w:smallCaps/>
                <w:sz w:val="18"/>
                <w:szCs w:val="16"/>
                <w:lang w:val="es-ES_tradnl"/>
              </w:rPr>
              <w:t xml:space="preserve"> </w:t>
            </w:r>
            <w:proofErr w:type="spellStart"/>
            <w:r>
              <w:rPr>
                <w:rFonts w:asciiTheme="minorHAnsi" w:hAnsiTheme="minorHAnsi" w:cstheme="minorHAnsi"/>
                <w:smallCaps/>
                <w:sz w:val="18"/>
                <w:szCs w:val="16"/>
                <w:lang w:val="es-ES_tradnl"/>
              </w:rPr>
              <w:t>Report</w:t>
            </w:r>
            <w:proofErr w:type="spellEnd"/>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17278E1"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F94290E"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1F7C557"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95A90D7"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2737A13"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31EE905"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13DE2E8D"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DAC8082"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6DCAD849"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19D8594A"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1BE62D99"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8700585"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C90AF56"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45A33EEC"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2B1C4EB"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18DC3567"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FA7C51F"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6523D668"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300" w:type="dxa"/>
            <w:tcBorders>
              <w:top w:val="single" w:sz="4" w:space="0" w:color="000000"/>
              <w:left w:val="single" w:sz="4" w:space="0" w:color="000000"/>
              <w:bottom w:val="single" w:sz="4" w:space="0" w:color="000000"/>
              <w:right w:val="single" w:sz="4" w:space="0" w:color="000000"/>
            </w:tcBorders>
          </w:tcPr>
          <w:p w14:paraId="2F4F029F"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1356AB6" w14:textId="77777777" w:rsidR="00841B6E" w:rsidRDefault="00841B6E" w:rsidP="003764B1">
            <w:pPr>
              <w:spacing w:after="0" w:line="240" w:lineRule="auto"/>
              <w:jc w:val="center"/>
              <w:rPr>
                <w:rFonts w:asciiTheme="minorHAnsi" w:hAnsiTheme="minorHAnsi" w:cstheme="minorHAnsi"/>
                <w:smallCaps/>
                <w:sz w:val="18"/>
                <w:szCs w:val="16"/>
                <w:lang w:val="es-ES_tradnl"/>
              </w:rPr>
            </w:pPr>
          </w:p>
        </w:tc>
        <w:tc>
          <w:tcPr>
            <w:tcW w:w="722" w:type="dxa"/>
            <w:tcBorders>
              <w:top w:val="single" w:sz="4" w:space="0" w:color="000000"/>
              <w:left w:val="single" w:sz="4" w:space="0" w:color="000000"/>
              <w:bottom w:val="single" w:sz="4" w:space="0" w:color="000000"/>
              <w:right w:val="single" w:sz="4" w:space="0" w:color="000000"/>
            </w:tcBorders>
          </w:tcPr>
          <w:p w14:paraId="52F97593" w14:textId="6D7FF70C" w:rsidR="00841B6E" w:rsidRDefault="00841B6E" w:rsidP="003764B1">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10,000</w:t>
            </w:r>
          </w:p>
        </w:tc>
        <w:tc>
          <w:tcPr>
            <w:tcW w:w="1173" w:type="dxa"/>
            <w:tcBorders>
              <w:top w:val="single" w:sz="4" w:space="0" w:color="000000"/>
              <w:left w:val="single" w:sz="4" w:space="0" w:color="000000"/>
              <w:bottom w:val="single" w:sz="4" w:space="0" w:color="000000"/>
              <w:right w:val="single" w:sz="4" w:space="0" w:color="000000"/>
            </w:tcBorders>
            <w:hideMark/>
          </w:tcPr>
          <w:p w14:paraId="47207B58" w14:textId="59C79BBC" w:rsidR="00841B6E" w:rsidRDefault="00841B6E" w:rsidP="003764B1">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MPWTC/PEU</w:t>
            </w:r>
          </w:p>
        </w:tc>
        <w:tc>
          <w:tcPr>
            <w:tcW w:w="898" w:type="dxa"/>
            <w:tcBorders>
              <w:top w:val="single" w:sz="4" w:space="0" w:color="000000"/>
              <w:left w:val="single" w:sz="4" w:space="0" w:color="000000"/>
              <w:bottom w:val="single" w:sz="4" w:space="0" w:color="000000"/>
              <w:right w:val="single" w:sz="4" w:space="0" w:color="000000"/>
            </w:tcBorders>
            <w:hideMark/>
          </w:tcPr>
          <w:p w14:paraId="4428AADF" w14:textId="1426C1CC" w:rsidR="00841B6E" w:rsidRDefault="00841B6E" w:rsidP="003764B1">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SU-L1057</w:t>
            </w:r>
          </w:p>
        </w:tc>
      </w:tr>
      <w:tr w:rsidR="00841B6E" w14:paraId="381D117F" w14:textId="77777777" w:rsidTr="00841B6E">
        <w:trPr>
          <w:trHeight w:val="341"/>
          <w:jc w:val="center"/>
        </w:trPr>
        <w:tc>
          <w:tcPr>
            <w:tcW w:w="1182" w:type="dxa"/>
            <w:tcBorders>
              <w:top w:val="single" w:sz="4" w:space="0" w:color="000000"/>
              <w:left w:val="single" w:sz="4" w:space="0" w:color="000000"/>
              <w:bottom w:val="single" w:sz="4" w:space="0" w:color="000000"/>
              <w:right w:val="single" w:sz="4" w:space="0" w:color="000000"/>
            </w:tcBorders>
          </w:tcPr>
          <w:p w14:paraId="4112BFD4" w14:textId="763BED90" w:rsidR="00841B6E" w:rsidRDefault="00841B6E" w:rsidP="00FB04E0">
            <w:pPr>
              <w:spacing w:after="0" w:line="240" w:lineRule="auto"/>
              <w:jc w:val="center"/>
              <w:rPr>
                <w:rFonts w:asciiTheme="minorHAnsi" w:hAnsiTheme="minorHAnsi" w:cstheme="minorHAnsi"/>
                <w:smallCaps/>
                <w:sz w:val="18"/>
                <w:szCs w:val="16"/>
                <w:lang w:val="es-ES_tradnl"/>
              </w:rPr>
            </w:pPr>
            <w:proofErr w:type="spellStart"/>
            <w:r>
              <w:rPr>
                <w:rFonts w:asciiTheme="minorHAnsi" w:hAnsiTheme="minorHAnsi" w:cstheme="minorHAnsi"/>
                <w:smallCaps/>
                <w:sz w:val="18"/>
                <w:szCs w:val="16"/>
                <w:lang w:val="es-ES_tradnl"/>
              </w:rPr>
              <w:t>Impact</w:t>
            </w:r>
            <w:proofErr w:type="spellEnd"/>
            <w:r>
              <w:rPr>
                <w:rFonts w:asciiTheme="minorHAnsi" w:hAnsiTheme="minorHAnsi" w:cstheme="minorHAnsi"/>
                <w:smallCaps/>
                <w:sz w:val="18"/>
                <w:szCs w:val="16"/>
                <w:lang w:val="es-ES_tradnl"/>
              </w:rPr>
              <w:t xml:space="preserve"> </w:t>
            </w:r>
            <w:proofErr w:type="spellStart"/>
            <w:r>
              <w:rPr>
                <w:rFonts w:asciiTheme="minorHAnsi" w:hAnsiTheme="minorHAnsi" w:cstheme="minorHAnsi"/>
                <w:smallCaps/>
                <w:sz w:val="18"/>
                <w:szCs w:val="16"/>
                <w:lang w:val="es-ES_tradnl"/>
              </w:rPr>
              <w:t>Evaluation</w:t>
            </w:r>
            <w:proofErr w:type="spellEnd"/>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755F69F"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7E2D3A2"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3DDA53A"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9185E77"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6ECBE25"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3474CC9"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1598F77"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3E196E9"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067117C"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D16754D"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319EC7BE"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336191CA"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122D1CE"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FD79EBE"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3DF1CB85"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01987C2"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6E79DA2A"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3B38268"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E93888A"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A81CCC6"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722" w:type="dxa"/>
            <w:tcBorders>
              <w:top w:val="single" w:sz="4" w:space="0" w:color="000000"/>
              <w:left w:val="single" w:sz="4" w:space="0" w:color="000000"/>
              <w:bottom w:val="single" w:sz="4" w:space="0" w:color="000000"/>
              <w:right w:val="single" w:sz="4" w:space="0" w:color="000000"/>
            </w:tcBorders>
          </w:tcPr>
          <w:p w14:paraId="289EAEB8" w14:textId="594BC2EC"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10,000</w:t>
            </w:r>
          </w:p>
        </w:tc>
        <w:tc>
          <w:tcPr>
            <w:tcW w:w="1173" w:type="dxa"/>
            <w:tcBorders>
              <w:top w:val="single" w:sz="4" w:space="0" w:color="000000"/>
              <w:left w:val="single" w:sz="4" w:space="0" w:color="000000"/>
              <w:bottom w:val="single" w:sz="4" w:space="0" w:color="000000"/>
              <w:right w:val="single" w:sz="4" w:space="0" w:color="000000"/>
            </w:tcBorders>
          </w:tcPr>
          <w:p w14:paraId="6AA181A3" w14:textId="1B7D909F"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MPWTC/PEU</w:t>
            </w:r>
          </w:p>
        </w:tc>
        <w:tc>
          <w:tcPr>
            <w:tcW w:w="898" w:type="dxa"/>
            <w:tcBorders>
              <w:top w:val="single" w:sz="4" w:space="0" w:color="000000"/>
              <w:left w:val="single" w:sz="4" w:space="0" w:color="000000"/>
              <w:bottom w:val="single" w:sz="4" w:space="0" w:color="000000"/>
              <w:right w:val="single" w:sz="4" w:space="0" w:color="000000"/>
            </w:tcBorders>
          </w:tcPr>
          <w:p w14:paraId="50F73E47" w14:textId="3B21E566"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SU-L1057</w:t>
            </w:r>
          </w:p>
        </w:tc>
      </w:tr>
      <w:tr w:rsidR="00841B6E" w14:paraId="3DF0B058" w14:textId="77777777" w:rsidTr="00841B6E">
        <w:trPr>
          <w:trHeight w:val="341"/>
          <w:jc w:val="center"/>
        </w:trPr>
        <w:tc>
          <w:tcPr>
            <w:tcW w:w="1182" w:type="dxa"/>
            <w:tcBorders>
              <w:top w:val="single" w:sz="4" w:space="0" w:color="000000"/>
              <w:left w:val="single" w:sz="4" w:space="0" w:color="000000"/>
              <w:bottom w:val="single" w:sz="4" w:space="0" w:color="000000"/>
              <w:right w:val="single" w:sz="4" w:space="0" w:color="000000"/>
            </w:tcBorders>
          </w:tcPr>
          <w:p w14:paraId="245D4615" w14:textId="144D8120"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 xml:space="preserve">PCR </w:t>
            </w:r>
            <w:proofErr w:type="spellStart"/>
            <w:r>
              <w:rPr>
                <w:rFonts w:asciiTheme="minorHAnsi" w:hAnsiTheme="minorHAnsi" w:cstheme="minorHAnsi"/>
                <w:smallCaps/>
                <w:sz w:val="18"/>
                <w:szCs w:val="16"/>
                <w:lang w:val="es-ES_tradnl"/>
              </w:rPr>
              <w:t>Report</w:t>
            </w:r>
            <w:proofErr w:type="spellEnd"/>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95656FE"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0540D10"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38600E4"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6DD2231"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C7572D8"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10C36F0F"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34885AD5"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6E1162AF"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C03D474"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9FA29CD"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D227822"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E67A850"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9B0D78F"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704A6243"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0A891F5"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0DF45A52"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239A812"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28F1A1CB"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A9B9C19"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F47A69A"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722" w:type="dxa"/>
            <w:tcBorders>
              <w:top w:val="single" w:sz="4" w:space="0" w:color="000000"/>
              <w:left w:val="single" w:sz="4" w:space="0" w:color="000000"/>
              <w:bottom w:val="single" w:sz="4" w:space="0" w:color="000000"/>
              <w:right w:val="single" w:sz="4" w:space="0" w:color="000000"/>
            </w:tcBorders>
          </w:tcPr>
          <w:p w14:paraId="58D8A7E9" w14:textId="70999720"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10,000</w:t>
            </w:r>
          </w:p>
        </w:tc>
        <w:tc>
          <w:tcPr>
            <w:tcW w:w="1173" w:type="dxa"/>
            <w:tcBorders>
              <w:top w:val="single" w:sz="4" w:space="0" w:color="000000"/>
              <w:left w:val="single" w:sz="4" w:space="0" w:color="000000"/>
              <w:bottom w:val="single" w:sz="4" w:space="0" w:color="000000"/>
              <w:right w:val="single" w:sz="4" w:space="0" w:color="000000"/>
            </w:tcBorders>
          </w:tcPr>
          <w:p w14:paraId="0AAE7435" w14:textId="17EC2273"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c>
          <w:tcPr>
            <w:tcW w:w="898" w:type="dxa"/>
            <w:tcBorders>
              <w:top w:val="single" w:sz="4" w:space="0" w:color="000000"/>
              <w:left w:val="single" w:sz="4" w:space="0" w:color="000000"/>
              <w:bottom w:val="single" w:sz="4" w:space="0" w:color="000000"/>
              <w:right w:val="single" w:sz="4" w:space="0" w:color="000000"/>
            </w:tcBorders>
          </w:tcPr>
          <w:p w14:paraId="61ACD192" w14:textId="7E58BA19"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IDB</w:t>
            </w:r>
          </w:p>
        </w:tc>
      </w:tr>
      <w:tr w:rsidR="00841B6E" w14:paraId="043DFC2A" w14:textId="77777777" w:rsidTr="00841B6E">
        <w:trPr>
          <w:trHeight w:val="341"/>
          <w:jc w:val="center"/>
        </w:trPr>
        <w:tc>
          <w:tcPr>
            <w:tcW w:w="1182" w:type="dxa"/>
            <w:tcBorders>
              <w:top w:val="single" w:sz="4" w:space="0" w:color="000000"/>
              <w:left w:val="single" w:sz="4" w:space="0" w:color="000000"/>
              <w:bottom w:val="single" w:sz="4" w:space="0" w:color="000000"/>
              <w:right w:val="single" w:sz="4" w:space="0" w:color="000000"/>
            </w:tcBorders>
          </w:tcPr>
          <w:p w14:paraId="38868ABD" w14:textId="46FCBDA7"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 xml:space="preserve">Project </w:t>
            </w:r>
            <w:proofErr w:type="spellStart"/>
            <w:r>
              <w:rPr>
                <w:rFonts w:asciiTheme="minorHAnsi" w:hAnsiTheme="minorHAnsi" w:cstheme="minorHAnsi"/>
                <w:smallCaps/>
                <w:sz w:val="18"/>
                <w:szCs w:val="16"/>
                <w:lang w:val="es-ES_tradnl"/>
              </w:rPr>
              <w:t>Closing</w:t>
            </w:r>
            <w:proofErr w:type="spellEnd"/>
            <w:r>
              <w:rPr>
                <w:rFonts w:asciiTheme="minorHAnsi" w:hAnsiTheme="minorHAnsi" w:cstheme="minorHAnsi"/>
                <w:smallCaps/>
                <w:sz w:val="18"/>
                <w:szCs w:val="16"/>
                <w:lang w:val="es-ES_tradnl"/>
              </w:rPr>
              <w:t xml:space="preserve"> Workshop</w:t>
            </w: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1C8549EE"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071FE10"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702C740A"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746CA7BB"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076B93C5"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5109028"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27773316"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2EFA3B1"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5E6788D4"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44F90A74"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2112CB06"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9037893"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45357F9C"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306D6634"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6FF6AD42" w14:textId="77777777" w:rsidR="00841B6E" w:rsidRDefault="00841B6E" w:rsidP="00FB04E0">
            <w:pPr>
              <w:spacing w:after="0" w:line="240" w:lineRule="auto"/>
              <w:jc w:val="center"/>
              <w:rPr>
                <w:rFonts w:asciiTheme="minorHAnsi" w:hAnsiTheme="minorHAnsi" w:cstheme="minorHAnsi"/>
                <w:smallCaps/>
                <w:color w:val="FFFFFF"/>
                <w:sz w:val="18"/>
                <w:szCs w:val="16"/>
                <w:lang w:val="es-ES_tradnl"/>
              </w:rPr>
            </w:pPr>
          </w:p>
        </w:tc>
        <w:tc>
          <w:tcPr>
            <w:tcW w:w="437" w:type="dxa"/>
            <w:tcBorders>
              <w:top w:val="single" w:sz="4" w:space="0" w:color="000000"/>
              <w:left w:val="single" w:sz="4" w:space="0" w:color="000000"/>
              <w:bottom w:val="single" w:sz="4" w:space="0" w:color="000000"/>
              <w:right w:val="single" w:sz="4" w:space="0" w:color="000000"/>
            </w:tcBorders>
            <w:shd w:val="clear" w:color="auto" w:fill="auto"/>
          </w:tcPr>
          <w:p w14:paraId="6561AB0B"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4FAF103"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6B89C86C"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00" w:type="dxa"/>
            <w:tcBorders>
              <w:top w:val="single" w:sz="4" w:space="0" w:color="000000"/>
              <w:left w:val="single" w:sz="4" w:space="0" w:color="000000"/>
              <w:bottom w:val="single" w:sz="4" w:space="0" w:color="000000"/>
              <w:right w:val="single" w:sz="4" w:space="0" w:color="000000"/>
            </w:tcBorders>
          </w:tcPr>
          <w:p w14:paraId="0EEA9CE3"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C99CFA8" w14:textId="77777777" w:rsidR="00841B6E" w:rsidRDefault="00841B6E" w:rsidP="00FB04E0">
            <w:pPr>
              <w:spacing w:after="0" w:line="240" w:lineRule="auto"/>
              <w:jc w:val="center"/>
              <w:rPr>
                <w:rFonts w:asciiTheme="minorHAnsi" w:hAnsiTheme="minorHAnsi" w:cstheme="minorHAnsi"/>
                <w:smallCaps/>
                <w:sz w:val="18"/>
                <w:szCs w:val="16"/>
                <w:lang w:val="es-ES_tradnl"/>
              </w:rPr>
            </w:pPr>
          </w:p>
        </w:tc>
        <w:tc>
          <w:tcPr>
            <w:tcW w:w="722" w:type="dxa"/>
            <w:tcBorders>
              <w:top w:val="single" w:sz="4" w:space="0" w:color="000000"/>
              <w:left w:val="single" w:sz="4" w:space="0" w:color="000000"/>
              <w:bottom w:val="single" w:sz="4" w:space="0" w:color="000000"/>
              <w:right w:val="single" w:sz="4" w:space="0" w:color="000000"/>
            </w:tcBorders>
          </w:tcPr>
          <w:p w14:paraId="6EEBBEC1" w14:textId="0ACF4514"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2,000</w:t>
            </w:r>
          </w:p>
        </w:tc>
        <w:tc>
          <w:tcPr>
            <w:tcW w:w="1173" w:type="dxa"/>
            <w:tcBorders>
              <w:top w:val="single" w:sz="4" w:space="0" w:color="000000"/>
              <w:left w:val="single" w:sz="4" w:space="0" w:color="000000"/>
              <w:bottom w:val="single" w:sz="4" w:space="0" w:color="000000"/>
              <w:right w:val="single" w:sz="4" w:space="0" w:color="000000"/>
            </w:tcBorders>
            <w:hideMark/>
          </w:tcPr>
          <w:p w14:paraId="6501D252" w14:textId="77777777"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MPWTC/PEU</w:t>
            </w:r>
          </w:p>
        </w:tc>
        <w:tc>
          <w:tcPr>
            <w:tcW w:w="898" w:type="dxa"/>
            <w:tcBorders>
              <w:top w:val="single" w:sz="4" w:space="0" w:color="000000"/>
              <w:left w:val="single" w:sz="4" w:space="0" w:color="000000"/>
              <w:bottom w:val="single" w:sz="4" w:space="0" w:color="000000"/>
              <w:right w:val="single" w:sz="4" w:space="0" w:color="000000"/>
            </w:tcBorders>
            <w:hideMark/>
          </w:tcPr>
          <w:p w14:paraId="11EE7653" w14:textId="77777777" w:rsidR="00841B6E" w:rsidRDefault="00841B6E" w:rsidP="00FB04E0">
            <w:pPr>
              <w:spacing w:after="0" w:line="240" w:lineRule="auto"/>
              <w:jc w:val="center"/>
              <w:rPr>
                <w:rFonts w:asciiTheme="minorHAnsi" w:hAnsiTheme="minorHAnsi" w:cstheme="minorHAnsi"/>
                <w:smallCaps/>
                <w:sz w:val="18"/>
                <w:szCs w:val="16"/>
                <w:lang w:val="es-ES_tradnl"/>
              </w:rPr>
            </w:pPr>
            <w:r>
              <w:rPr>
                <w:rFonts w:asciiTheme="minorHAnsi" w:hAnsiTheme="minorHAnsi" w:cstheme="minorHAnsi"/>
                <w:smallCaps/>
                <w:sz w:val="18"/>
                <w:szCs w:val="16"/>
                <w:lang w:val="es-ES_tradnl"/>
              </w:rPr>
              <w:t>SU-L1057</w:t>
            </w:r>
          </w:p>
        </w:tc>
      </w:tr>
    </w:tbl>
    <w:p w14:paraId="3EEC9BA7" w14:textId="161C27B8" w:rsidR="00413F42" w:rsidRDefault="00413F42" w:rsidP="00DD7EAD">
      <w:pPr>
        <w:pStyle w:val="Paragraph"/>
        <w:jc w:val="center"/>
      </w:pPr>
    </w:p>
    <w:p w14:paraId="512C6D59" w14:textId="306BCF51" w:rsidR="00413F42" w:rsidRDefault="00413F42" w:rsidP="00DD7EAD">
      <w:pPr>
        <w:pStyle w:val="Paragraph"/>
        <w:jc w:val="center"/>
      </w:pPr>
    </w:p>
    <w:p w14:paraId="32FD240D" w14:textId="77777777" w:rsidR="00413F42" w:rsidRDefault="00413F42" w:rsidP="00DD7EAD">
      <w:pPr>
        <w:pStyle w:val="Paragraph"/>
        <w:jc w:val="center"/>
      </w:pPr>
    </w:p>
    <w:p w14:paraId="5F4E6096" w14:textId="5CDC4E54" w:rsidR="00A22C9F" w:rsidRDefault="00A22C9F" w:rsidP="00462E6E">
      <w:pPr>
        <w:pStyle w:val="Paragraph"/>
        <w:sectPr w:rsidR="00A22C9F" w:rsidSect="00A22C9F">
          <w:pgSz w:w="15840" w:h="12240" w:orient="landscape"/>
          <w:pgMar w:top="1440" w:right="1440" w:bottom="1440" w:left="1440" w:header="720" w:footer="720" w:gutter="0"/>
          <w:cols w:space="720"/>
          <w:docGrid w:linePitch="360"/>
        </w:sectPr>
      </w:pPr>
    </w:p>
    <w:p w14:paraId="001FDC49" w14:textId="77777777" w:rsidR="00A00588" w:rsidRPr="00FB04E0" w:rsidRDefault="00A00588" w:rsidP="00FB04E0">
      <w:pPr>
        <w:pStyle w:val="Heading1"/>
        <w:numPr>
          <w:ilvl w:val="0"/>
          <w:numId w:val="25"/>
        </w:numPr>
        <w:rPr>
          <w:b/>
          <w:color w:val="000000" w:themeColor="text1"/>
          <w:sz w:val="28"/>
        </w:rPr>
      </w:pPr>
      <w:r w:rsidRPr="00FB04E0">
        <w:rPr>
          <w:b/>
          <w:color w:val="000000" w:themeColor="text1"/>
          <w:sz w:val="28"/>
        </w:rPr>
        <w:lastRenderedPageBreak/>
        <w:t>Auditing</w:t>
      </w:r>
    </w:p>
    <w:p w14:paraId="7D93A206" w14:textId="77777777" w:rsidR="00FB04E0" w:rsidRPr="00FB04E0" w:rsidRDefault="00FB04E0" w:rsidP="00FB04E0">
      <w:pPr>
        <w:pStyle w:val="ListParagraph"/>
        <w:keepNext/>
        <w:numPr>
          <w:ilvl w:val="0"/>
          <w:numId w:val="37"/>
        </w:numPr>
        <w:tabs>
          <w:tab w:val="left" w:pos="1440"/>
        </w:tabs>
        <w:spacing w:before="240" w:after="240" w:line="240" w:lineRule="auto"/>
        <w:jc w:val="center"/>
        <w:rPr>
          <w:rFonts w:ascii="Times New Roman" w:hAnsi="Times New Roman"/>
          <w:b/>
          <w:smallCaps/>
          <w:vanish/>
          <w:sz w:val="24"/>
        </w:rPr>
      </w:pPr>
    </w:p>
    <w:p w14:paraId="35711213" w14:textId="46E941F1" w:rsidR="00B867ED" w:rsidRPr="00462E6E" w:rsidRDefault="00B867ED" w:rsidP="00FB04E0">
      <w:pPr>
        <w:pStyle w:val="Paragraph"/>
        <w:numPr>
          <w:ilvl w:val="1"/>
          <w:numId w:val="37"/>
        </w:numPr>
      </w:pPr>
      <w:r w:rsidRPr="00FB04E0">
        <w:rPr>
          <w:b/>
        </w:rPr>
        <w:t>External Audits.</w:t>
      </w:r>
      <w:r w:rsidRPr="00462E6E">
        <w:t xml:space="preserve"> Financial and </w:t>
      </w:r>
      <w:r w:rsidR="00FE38A7">
        <w:t>project</w:t>
      </w:r>
      <w:r w:rsidR="00FE38A7" w:rsidRPr="00462E6E">
        <w:t xml:space="preserve"> </w:t>
      </w:r>
      <w:r w:rsidRPr="00462E6E">
        <w:t xml:space="preserve">audits will be financed with the resources of the operation. An annual audit of the financial project balances will be carried out, and a six-month report will be conducted under previously agreed to procedures of the justifications of the use of advance payments made by the Bank to the </w:t>
      </w:r>
      <w:r w:rsidR="001320A4">
        <w:t>PEU</w:t>
      </w:r>
      <w:r w:rsidRPr="00462E6E">
        <w:t>. The external audit will be carried out by an independent firm approved by the Bank, and under terms of reference agreed to by the Bank. The audited annual financial statements will be presented within 120 days following the closure of the fiscal year. The report of the audited final financial statements will be presented within 120 days from the date of the last disbursement</w:t>
      </w:r>
      <w:r w:rsidR="006B293A">
        <w:t xml:space="preserve">.  </w:t>
      </w:r>
    </w:p>
    <w:p w14:paraId="4DCF20B8" w14:textId="77777777" w:rsidR="00A00588" w:rsidRPr="00AC37A8" w:rsidRDefault="00A00588" w:rsidP="00FB04E0">
      <w:pPr>
        <w:pStyle w:val="Paragraph"/>
        <w:numPr>
          <w:ilvl w:val="1"/>
          <w:numId w:val="37"/>
        </w:numPr>
        <w:rPr>
          <w:b/>
        </w:rPr>
      </w:pPr>
      <w:r w:rsidRPr="00AC37A8">
        <w:rPr>
          <w:b/>
        </w:rPr>
        <w:t xml:space="preserve">From a financial perspective: </w:t>
      </w:r>
    </w:p>
    <w:p w14:paraId="1E270711" w14:textId="11FA03C4" w:rsidR="00A00588" w:rsidRPr="009B5674" w:rsidRDefault="00281207" w:rsidP="00573A6D">
      <w:pPr>
        <w:pStyle w:val="subpar"/>
        <w:numPr>
          <w:ilvl w:val="0"/>
          <w:numId w:val="3"/>
        </w:numPr>
        <w:ind w:left="720"/>
      </w:pPr>
      <w:r>
        <w:t>A</w:t>
      </w:r>
      <w:r w:rsidR="00A00588" w:rsidRPr="009B5674">
        <w:t xml:space="preserve">n annual financial audit report of the </w:t>
      </w:r>
      <w:r w:rsidR="00FE38A7">
        <w:t>project</w:t>
      </w:r>
      <w:r w:rsidR="00FE38A7" w:rsidRPr="009B5674">
        <w:t xml:space="preserve"> </w:t>
      </w:r>
      <w:r w:rsidR="00A00588" w:rsidRPr="009B5674">
        <w:t xml:space="preserve">is to be submitted by </w:t>
      </w:r>
      <w:r w:rsidR="003C25B6">
        <w:t>MPWTC</w:t>
      </w:r>
      <w:r w:rsidR="00C069CD" w:rsidRPr="009B5674">
        <w:t xml:space="preserve"> </w:t>
      </w:r>
      <w:r w:rsidR="00A00588" w:rsidRPr="009B5674">
        <w:t>within 120</w:t>
      </w:r>
      <w:r w:rsidR="00573A6D">
        <w:t> </w:t>
      </w:r>
      <w:r w:rsidR="00A00588" w:rsidRPr="009B5674">
        <w:t xml:space="preserve">days of the end of each calendar year (beginning with the year in which the </w:t>
      </w:r>
      <w:r w:rsidR="00FE38A7">
        <w:t>project</w:t>
      </w:r>
      <w:r w:rsidR="00FE38A7" w:rsidRPr="009B5674">
        <w:t xml:space="preserve"> </w:t>
      </w:r>
      <w:r w:rsidR="00A00588" w:rsidRPr="009B5674">
        <w:t xml:space="preserve">was made effective); </w:t>
      </w:r>
    </w:p>
    <w:p w14:paraId="5A46D0F2" w14:textId="2A563F14" w:rsidR="00A00588" w:rsidRPr="009B5674" w:rsidRDefault="00281207" w:rsidP="00573A6D">
      <w:pPr>
        <w:pStyle w:val="subpar"/>
        <w:numPr>
          <w:ilvl w:val="0"/>
          <w:numId w:val="3"/>
        </w:numPr>
        <w:ind w:left="720"/>
      </w:pPr>
      <w:r>
        <w:t>A</w:t>
      </w:r>
      <w:r w:rsidR="00A00588" w:rsidRPr="009B5674">
        <w:t xml:space="preserve"> final financial audit report of the </w:t>
      </w:r>
      <w:r w:rsidR="00FE38A7">
        <w:t>project</w:t>
      </w:r>
      <w:r w:rsidR="00FE38A7" w:rsidRPr="009B5674">
        <w:t xml:space="preserve"> </w:t>
      </w:r>
      <w:r w:rsidR="00A00588" w:rsidRPr="009B5674">
        <w:t xml:space="preserve">is to be submitted by </w:t>
      </w:r>
      <w:r w:rsidR="003C25B6">
        <w:t>MPWTC</w:t>
      </w:r>
      <w:r w:rsidR="00C069CD" w:rsidRPr="009B5674">
        <w:t xml:space="preserve"> </w:t>
      </w:r>
      <w:r w:rsidR="00A00588" w:rsidRPr="009B5674">
        <w:t>within 120</w:t>
      </w:r>
      <w:r w:rsidR="00573A6D">
        <w:t> </w:t>
      </w:r>
      <w:r w:rsidR="00A00588" w:rsidRPr="009B5674">
        <w:t xml:space="preserve">days after the date of the last disbursement. </w:t>
      </w:r>
    </w:p>
    <w:p w14:paraId="410C49B5" w14:textId="0440917F" w:rsidR="00AD674B" w:rsidRDefault="00A00588" w:rsidP="00FB04E0">
      <w:pPr>
        <w:pStyle w:val="Paragraph"/>
        <w:numPr>
          <w:ilvl w:val="1"/>
          <w:numId w:val="37"/>
        </w:numPr>
      </w:pPr>
      <w:r w:rsidRPr="009B5674">
        <w:t>The external audit</w:t>
      </w:r>
      <w:r w:rsidR="00973989">
        <w:t>s</w:t>
      </w:r>
      <w:r w:rsidRPr="009B5674">
        <w:t xml:space="preserve"> will be performed by a firm of independent audi</w:t>
      </w:r>
      <w:r w:rsidR="00A858A0" w:rsidRPr="009B5674">
        <w:t xml:space="preserve">tors acceptable to the Bank, in </w:t>
      </w:r>
      <w:r w:rsidRPr="009B5674">
        <w:t xml:space="preserve">accordance with International Accounting and Reporting Standards, and terms of reference previously approved by the Bank. </w:t>
      </w:r>
      <w:r w:rsidR="003C25B6">
        <w:t>MPWTC</w:t>
      </w:r>
      <w:r w:rsidR="00C069CD" w:rsidRPr="009B5674">
        <w:t xml:space="preserve"> </w:t>
      </w:r>
      <w:r w:rsidRPr="009B5674">
        <w:t>will be responsible for the contracting of the independent auditor, which will be selected and hired in accordance with the procedures established by the Bank. The cost of the audits will be financed wit</w:t>
      </w:r>
      <w:r w:rsidR="00566C1D" w:rsidRPr="009B5674">
        <w:t xml:space="preserve">h </w:t>
      </w:r>
      <w:r w:rsidR="00FE38A7">
        <w:t>project</w:t>
      </w:r>
      <w:r w:rsidR="00FE38A7" w:rsidRPr="009B5674">
        <w:t xml:space="preserve"> </w:t>
      </w:r>
      <w:r w:rsidR="00566C1D" w:rsidRPr="009B5674">
        <w:t>resources.</w:t>
      </w:r>
      <w:r w:rsidR="006B293A">
        <w:t xml:space="preserve"> </w:t>
      </w:r>
    </w:p>
    <w:p w14:paraId="1C39B439" w14:textId="77777777" w:rsidR="005F3F11" w:rsidRDefault="005F3F11" w:rsidP="00680732">
      <w:pPr>
        <w:spacing w:after="0" w:line="360" w:lineRule="auto"/>
        <w:contextualSpacing/>
        <w:jc w:val="both"/>
        <w:rPr>
          <w:sz w:val="16"/>
        </w:rPr>
      </w:pPr>
    </w:p>
    <w:sectPr w:rsidR="005F3F11" w:rsidSect="00391DB7">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4878" w14:textId="77777777" w:rsidR="00136AFC" w:rsidRDefault="00136AFC" w:rsidP="001B5186">
      <w:pPr>
        <w:spacing w:after="0" w:line="240" w:lineRule="auto"/>
      </w:pPr>
      <w:r>
        <w:separator/>
      </w:r>
    </w:p>
  </w:endnote>
  <w:endnote w:type="continuationSeparator" w:id="0">
    <w:p w14:paraId="67F554EC" w14:textId="77777777" w:rsidR="00136AFC" w:rsidRDefault="00136AFC" w:rsidP="001B5186">
      <w:pPr>
        <w:spacing w:after="0" w:line="240" w:lineRule="auto"/>
      </w:pPr>
      <w:r>
        <w:continuationSeparator/>
      </w:r>
    </w:p>
  </w:endnote>
  <w:endnote w:type="continuationNotice" w:id="1">
    <w:p w14:paraId="13E0299D" w14:textId="77777777" w:rsidR="00136AFC" w:rsidRDefault="00136A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E740" w14:textId="65B930C2" w:rsidR="002B1109" w:rsidRDefault="002B1109" w:rsidP="005D051A">
    <w:pPr>
      <w:pStyle w:val="Footer"/>
      <w:tabs>
        <w:tab w:val="clear" w:pos="4320"/>
        <w:tab w:val="clear" w:pos="8640"/>
        <w:tab w:val="center" w:pos="4586"/>
        <w:tab w:val="right" w:pos="917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C4F34" w14:textId="77777777" w:rsidR="00136AFC" w:rsidRDefault="00136AFC" w:rsidP="001B5186">
      <w:pPr>
        <w:spacing w:after="0" w:line="240" w:lineRule="auto"/>
      </w:pPr>
      <w:r>
        <w:separator/>
      </w:r>
    </w:p>
  </w:footnote>
  <w:footnote w:type="continuationSeparator" w:id="0">
    <w:p w14:paraId="2BB6397A" w14:textId="77777777" w:rsidR="00136AFC" w:rsidRDefault="00136AFC" w:rsidP="001B5186">
      <w:pPr>
        <w:spacing w:after="0" w:line="240" w:lineRule="auto"/>
      </w:pPr>
      <w:r>
        <w:continuationSeparator/>
      </w:r>
    </w:p>
  </w:footnote>
  <w:footnote w:type="continuationNotice" w:id="1">
    <w:p w14:paraId="74C15B22" w14:textId="77777777" w:rsidR="00136AFC" w:rsidRDefault="00136AFC">
      <w:pPr>
        <w:spacing w:after="0" w:line="240" w:lineRule="auto"/>
      </w:pPr>
    </w:p>
  </w:footnote>
  <w:footnote w:id="2">
    <w:p w14:paraId="075C8254" w14:textId="5AA0AB14" w:rsidR="002B1109" w:rsidRDefault="002B1109" w:rsidP="006077B0">
      <w:pPr>
        <w:spacing w:after="0" w:line="240" w:lineRule="auto"/>
      </w:pPr>
      <w:r>
        <w:rPr>
          <w:rStyle w:val="FootnoteReference"/>
        </w:rPr>
        <w:footnoteRef/>
      </w:r>
      <w:r>
        <w:t xml:space="preserve"> </w:t>
      </w:r>
      <w:r w:rsidRPr="00E87E33">
        <w:rPr>
          <w:sz w:val="18"/>
        </w:rPr>
        <w:t>Includes facilities for container stuffing and stripping, cross-docking, consolidation, sacking.</w:t>
      </w:r>
    </w:p>
  </w:footnote>
  <w:footnote w:id="3">
    <w:p w14:paraId="4F0E0833" w14:textId="77777777" w:rsidR="002B1109" w:rsidRDefault="002B1109" w:rsidP="00975496">
      <w:pPr>
        <w:pStyle w:val="FootnoteText"/>
      </w:pPr>
      <w:r>
        <w:rPr>
          <w:rStyle w:val="FootnoteReference"/>
        </w:rPr>
        <w:footnoteRef/>
      </w:r>
      <w:r>
        <w:t xml:space="preserve"> Available in </w:t>
      </w:r>
      <w:hyperlink r:id="rId1" w:history="1">
        <w:r w:rsidRPr="00932F8C">
          <w:rPr>
            <w:rStyle w:val="Hyperlink"/>
          </w:rPr>
          <w:t xml:space="preserve">this </w:t>
        </w:r>
        <w:r>
          <w:rPr>
            <w:rStyle w:val="Hyperlink"/>
          </w:rPr>
          <w:t>web</w:t>
        </w:r>
        <w:r w:rsidRPr="00932F8C">
          <w:rPr>
            <w:rStyle w:val="Hyperlink"/>
          </w:rPr>
          <w:t>site</w:t>
        </w:r>
      </w:hyperlink>
    </w:p>
  </w:footnote>
  <w:footnote w:id="4">
    <w:p w14:paraId="685D6C0F" w14:textId="77777777" w:rsidR="002B1109" w:rsidRDefault="002B1109" w:rsidP="00975496">
      <w:pPr>
        <w:pStyle w:val="FootnoteText"/>
      </w:pPr>
      <w:r>
        <w:rPr>
          <w:rStyle w:val="FootnoteReference"/>
        </w:rPr>
        <w:footnoteRef/>
      </w:r>
      <w:r>
        <w:t xml:space="preserve"> Available in </w:t>
      </w:r>
      <w:hyperlink r:id="rId2" w:history="1">
        <w:r w:rsidRPr="009D455C">
          <w:rPr>
            <w:rStyle w:val="Hyperlink"/>
          </w:rPr>
          <w:t>this website</w:t>
        </w:r>
      </w:hyperlink>
    </w:p>
  </w:footnote>
  <w:footnote w:id="5">
    <w:p w14:paraId="12A38639" w14:textId="77777777" w:rsidR="00DA0BB8" w:rsidRPr="00145D06" w:rsidRDefault="00DA0BB8" w:rsidP="00DA0BB8">
      <w:pPr>
        <w:pStyle w:val="FootnoteText"/>
        <w:ind w:left="180" w:hanging="180"/>
        <w:rPr>
          <w:rFonts w:ascii="Arial" w:hAnsi="Arial" w:cs="Arial"/>
          <w:sz w:val="16"/>
          <w:szCs w:val="16"/>
        </w:rPr>
      </w:pPr>
      <w:r w:rsidRPr="00145D06">
        <w:rPr>
          <w:rStyle w:val="FootnoteReference"/>
        </w:rPr>
        <w:footnoteRef/>
      </w:r>
      <w:r w:rsidRPr="00145D06">
        <w:rPr>
          <w:rFonts w:ascii="Arial" w:hAnsi="Arial" w:cs="Arial"/>
          <w:sz w:val="16"/>
          <w:szCs w:val="16"/>
        </w:rPr>
        <w:t xml:space="preserve"> </w:t>
      </w:r>
      <w:r>
        <w:rPr>
          <w:rFonts w:ascii="Arial" w:hAnsi="Arial" w:cs="Arial"/>
          <w:sz w:val="16"/>
          <w:szCs w:val="16"/>
        </w:rPr>
        <w:tab/>
      </w:r>
      <w:r w:rsidRPr="00145D06">
        <w:rPr>
          <w:rFonts w:ascii="Arial" w:hAnsi="Arial" w:cs="Arial"/>
          <w:sz w:val="16"/>
          <w:szCs w:val="16"/>
        </w:rPr>
        <w:t>Last report available including data for Suriname.</w:t>
      </w:r>
    </w:p>
  </w:footnote>
  <w:footnote w:id="6">
    <w:p w14:paraId="2660F673" w14:textId="77777777" w:rsidR="00DA0BB8" w:rsidRPr="00145D06" w:rsidRDefault="00DA0BB8" w:rsidP="00DA0BB8">
      <w:pPr>
        <w:pStyle w:val="FootnoteText"/>
        <w:ind w:left="180" w:hanging="180"/>
        <w:rPr>
          <w:rFonts w:ascii="Arial" w:hAnsi="Arial" w:cs="Arial"/>
          <w:sz w:val="16"/>
          <w:szCs w:val="16"/>
        </w:rPr>
      </w:pPr>
      <w:r w:rsidRPr="00145D06">
        <w:rPr>
          <w:rFonts w:ascii="Arial" w:hAnsi="Arial" w:cs="Arial"/>
          <w:sz w:val="16"/>
          <w:szCs w:val="16"/>
          <w:vertAlign w:val="superscript"/>
        </w:rPr>
        <w:footnoteRef/>
      </w:r>
      <w:r w:rsidRPr="00145D06">
        <w:rPr>
          <w:rFonts w:ascii="Arial" w:hAnsi="Arial" w:cs="Arial"/>
          <w:sz w:val="16"/>
          <w:szCs w:val="16"/>
          <w:vertAlign w:val="superscript"/>
        </w:rPr>
        <w:t xml:space="preserve"> </w:t>
      </w:r>
      <w:r>
        <w:rPr>
          <w:rFonts w:ascii="Arial" w:hAnsi="Arial" w:cs="Arial"/>
          <w:sz w:val="16"/>
          <w:szCs w:val="16"/>
          <w:vertAlign w:val="superscript"/>
        </w:rPr>
        <w:t xml:space="preserve"> </w:t>
      </w:r>
      <w:r>
        <w:rPr>
          <w:rFonts w:ascii="Arial" w:hAnsi="Arial" w:cs="Arial"/>
          <w:sz w:val="16"/>
          <w:szCs w:val="16"/>
          <w:vertAlign w:val="superscript"/>
        </w:rPr>
        <w:tab/>
      </w:r>
      <w:r w:rsidRPr="00145D06">
        <w:rPr>
          <w:rFonts w:ascii="Arial" w:hAnsi="Arial" w:cs="Arial"/>
          <w:sz w:val="16"/>
          <w:szCs w:val="16"/>
        </w:rPr>
        <w:t xml:space="preserve">The Global Competitiveness Report </w:t>
      </w:r>
      <w:r>
        <w:rPr>
          <w:rFonts w:ascii="Arial" w:hAnsi="Arial" w:cs="Arial"/>
          <w:sz w:val="16"/>
          <w:szCs w:val="16"/>
        </w:rPr>
        <w:t xml:space="preserve">(GCR) </w:t>
      </w:r>
      <w:r w:rsidRPr="00145D06">
        <w:rPr>
          <w:rFonts w:ascii="Arial" w:hAnsi="Arial" w:cs="Arial"/>
          <w:sz w:val="16"/>
          <w:szCs w:val="16"/>
        </w:rPr>
        <w:t xml:space="preserve">is a yearly report published by the World Economic Forum. Since 2004, the </w:t>
      </w:r>
      <w:r>
        <w:rPr>
          <w:rFonts w:ascii="Arial" w:hAnsi="Arial" w:cs="Arial"/>
          <w:sz w:val="16"/>
          <w:szCs w:val="16"/>
        </w:rPr>
        <w:t>GCR</w:t>
      </w:r>
      <w:r w:rsidRPr="00145D06">
        <w:rPr>
          <w:rFonts w:ascii="Arial" w:hAnsi="Arial" w:cs="Arial"/>
          <w:sz w:val="16"/>
          <w:szCs w:val="16"/>
        </w:rPr>
        <w:t xml:space="preserve"> ranks countries based on the Global Competitiveness Index</w:t>
      </w:r>
      <w:r>
        <w:rPr>
          <w:rFonts w:ascii="Arial" w:hAnsi="Arial" w:cs="Arial"/>
          <w:sz w:val="16"/>
          <w:szCs w:val="16"/>
        </w:rPr>
        <w:t xml:space="preserve"> (GCI)</w:t>
      </w:r>
      <w:r w:rsidRPr="00145D06">
        <w:rPr>
          <w:rFonts w:ascii="Arial" w:hAnsi="Arial" w:cs="Arial"/>
          <w:sz w:val="16"/>
          <w:szCs w:val="16"/>
        </w:rPr>
        <w:t xml:space="preserve">. The different aspects of competitiveness for each country are captured in 12 pillars, which compose the </w:t>
      </w:r>
      <w:r>
        <w:rPr>
          <w:rFonts w:ascii="Arial" w:hAnsi="Arial" w:cs="Arial"/>
          <w:sz w:val="16"/>
          <w:szCs w:val="16"/>
        </w:rPr>
        <w:t>i</w:t>
      </w:r>
      <w:r w:rsidRPr="00145D06">
        <w:rPr>
          <w:rFonts w:ascii="Arial" w:hAnsi="Arial" w:cs="Arial"/>
          <w:sz w:val="16"/>
          <w:szCs w:val="16"/>
        </w:rPr>
        <w:t xml:space="preserve">ndex. Quality of roads and ports indexes are part of the second </w:t>
      </w:r>
      <w:r>
        <w:rPr>
          <w:rFonts w:ascii="Arial" w:hAnsi="Arial" w:cs="Arial"/>
          <w:sz w:val="16"/>
          <w:szCs w:val="16"/>
        </w:rPr>
        <w:t>p</w:t>
      </w:r>
      <w:r w:rsidRPr="00145D06">
        <w:rPr>
          <w:rFonts w:ascii="Arial" w:hAnsi="Arial" w:cs="Arial"/>
          <w:sz w:val="16"/>
          <w:szCs w:val="16"/>
        </w:rPr>
        <w:t>illar, infrastructure.</w:t>
      </w:r>
    </w:p>
  </w:footnote>
  <w:footnote w:id="7">
    <w:p w14:paraId="70DB6707" w14:textId="77777777" w:rsidR="00DA0BB8" w:rsidRPr="004343DF" w:rsidRDefault="00DA0BB8" w:rsidP="00DA0BB8">
      <w:pPr>
        <w:pStyle w:val="FootnoteText"/>
        <w:ind w:left="180" w:hanging="180"/>
        <w:rPr>
          <w:rFonts w:ascii="Arial" w:hAnsi="Arial" w:cs="Arial"/>
          <w:sz w:val="16"/>
          <w:szCs w:val="16"/>
        </w:rPr>
      </w:pPr>
      <w:r w:rsidRPr="00145D06">
        <w:rPr>
          <w:rFonts w:ascii="Arial" w:hAnsi="Arial" w:cs="Arial"/>
          <w:sz w:val="16"/>
          <w:szCs w:val="16"/>
          <w:vertAlign w:val="superscript"/>
        </w:rPr>
        <w:footnoteRef/>
      </w:r>
      <w:r w:rsidRPr="004343DF">
        <w:rPr>
          <w:rFonts w:ascii="Arial" w:hAnsi="Arial" w:cs="Arial"/>
          <w:sz w:val="16"/>
          <w:szCs w:val="16"/>
          <w:vertAlign w:val="superscript"/>
        </w:rPr>
        <w:t xml:space="preserve"> </w:t>
      </w:r>
      <w:r w:rsidRPr="004343DF">
        <w:rPr>
          <w:rFonts w:ascii="Arial" w:hAnsi="Arial" w:cs="Arial"/>
          <w:sz w:val="16"/>
          <w:szCs w:val="16"/>
          <w:vertAlign w:val="superscript"/>
        </w:rPr>
        <w:tab/>
      </w:r>
      <w:r w:rsidRPr="004343DF">
        <w:rPr>
          <w:rFonts w:ascii="Arial" w:hAnsi="Arial" w:cs="Arial"/>
          <w:sz w:val="16"/>
          <w:szCs w:val="16"/>
        </w:rPr>
        <w:t xml:space="preserve">GCI Indexes: Barbados (5.3), El Salvador (4.7), </w:t>
      </w:r>
      <w:r>
        <w:rPr>
          <w:rFonts w:ascii="Arial" w:hAnsi="Arial" w:cs="Arial"/>
          <w:sz w:val="16"/>
          <w:szCs w:val="16"/>
        </w:rPr>
        <w:t xml:space="preserve">and </w:t>
      </w:r>
      <w:r w:rsidRPr="004343DF">
        <w:rPr>
          <w:rFonts w:ascii="Arial" w:hAnsi="Arial" w:cs="Arial"/>
          <w:sz w:val="16"/>
          <w:szCs w:val="16"/>
        </w:rPr>
        <w:t>Dominican Republic (4.6).</w:t>
      </w:r>
    </w:p>
  </w:footnote>
  <w:footnote w:id="8">
    <w:p w14:paraId="36188EE8" w14:textId="77777777" w:rsidR="000A7418" w:rsidRPr="00E75F8E" w:rsidRDefault="000A7418" w:rsidP="000A7418">
      <w:pPr>
        <w:pStyle w:val="FootnoteText"/>
        <w:ind w:left="180" w:hanging="180"/>
        <w:rPr>
          <w:rFonts w:ascii="Arial" w:hAnsi="Arial" w:cs="Arial"/>
          <w:sz w:val="16"/>
          <w:szCs w:val="16"/>
        </w:rPr>
      </w:pPr>
      <w:r w:rsidRPr="00E75F8E">
        <w:rPr>
          <w:rStyle w:val="FootnoteReference"/>
        </w:rPr>
        <w:footnoteRef/>
      </w:r>
      <w:r w:rsidRPr="00E75F8E">
        <w:rPr>
          <w:rFonts w:ascii="Arial" w:hAnsi="Arial" w:cs="Arial"/>
          <w:sz w:val="16"/>
          <w:szCs w:val="16"/>
        </w:rPr>
        <w:t xml:space="preserve"> </w:t>
      </w:r>
      <w:r>
        <w:rPr>
          <w:rFonts w:ascii="Arial" w:hAnsi="Arial" w:cs="Arial"/>
          <w:sz w:val="16"/>
          <w:szCs w:val="16"/>
        </w:rPr>
        <w:tab/>
      </w:r>
      <w:r w:rsidRPr="00E75F8E">
        <w:rPr>
          <w:rFonts w:ascii="Arial" w:hAnsi="Arial" w:cs="Arial"/>
          <w:sz w:val="16"/>
          <w:szCs w:val="16"/>
        </w:rPr>
        <w:t xml:space="preserve">Includes the next processes: container discharge, customs inspection, pre-truck gate process, access to the port, truck gate in, entrance to the terminal </w:t>
      </w:r>
      <w:r>
        <w:rPr>
          <w:rFonts w:ascii="Arial" w:hAnsi="Arial" w:cs="Arial"/>
          <w:sz w:val="16"/>
          <w:szCs w:val="16"/>
        </w:rPr>
        <w:t>and</w:t>
      </w:r>
      <w:r w:rsidRPr="00E75F8E">
        <w:rPr>
          <w:rFonts w:ascii="Arial" w:hAnsi="Arial" w:cs="Arial"/>
          <w:sz w:val="16"/>
          <w:szCs w:val="16"/>
        </w:rPr>
        <w:t xml:space="preserve"> container loading, truck gate out</w:t>
      </w:r>
      <w:r>
        <w:rPr>
          <w:rFonts w:ascii="Arial" w:hAnsi="Arial" w:cs="Arial"/>
          <w:sz w:val="16"/>
          <w:szCs w:val="16"/>
        </w:rPr>
        <w:t>,</w:t>
      </w:r>
      <w:r w:rsidRPr="00E75F8E">
        <w:rPr>
          <w:rFonts w:ascii="Arial" w:hAnsi="Arial" w:cs="Arial"/>
          <w:sz w:val="16"/>
          <w:szCs w:val="16"/>
        </w:rPr>
        <w:t xml:space="preserve"> and departure from the port.</w:t>
      </w:r>
    </w:p>
  </w:footnote>
  <w:footnote w:id="9">
    <w:p w14:paraId="672F3B33" w14:textId="77777777" w:rsidR="000A7418" w:rsidRPr="00413D54" w:rsidRDefault="000A7418" w:rsidP="000A7418">
      <w:pPr>
        <w:pStyle w:val="FootnoteText"/>
        <w:ind w:left="180" w:hanging="180"/>
        <w:rPr>
          <w:rFonts w:ascii="Arial" w:hAnsi="Arial" w:cs="Arial"/>
          <w:sz w:val="18"/>
          <w:szCs w:val="18"/>
        </w:rPr>
      </w:pPr>
      <w:r w:rsidRPr="007278E5">
        <w:rPr>
          <w:rStyle w:val="FootnoteReference"/>
        </w:rPr>
        <w:footnoteRef/>
      </w:r>
      <w:r w:rsidRPr="007278E5">
        <w:rPr>
          <w:rFonts w:ascii="Arial" w:hAnsi="Arial" w:cs="Arial"/>
          <w:sz w:val="16"/>
          <w:szCs w:val="16"/>
        </w:rPr>
        <w:t xml:space="preserve"> </w:t>
      </w:r>
      <w:r w:rsidRPr="007278E5">
        <w:rPr>
          <w:rFonts w:ascii="Arial" w:hAnsi="Arial" w:cs="Arial"/>
          <w:sz w:val="16"/>
          <w:szCs w:val="16"/>
        </w:rPr>
        <w:tab/>
        <w:t xml:space="preserve">Available in </w:t>
      </w:r>
      <w:hyperlink r:id="rId3" w:history="1">
        <w:r w:rsidRPr="007278E5">
          <w:rPr>
            <w:rStyle w:val="Hyperlink"/>
            <w:rFonts w:ascii="Arial" w:hAnsi="Arial" w:cs="Arial"/>
            <w:sz w:val="16"/>
            <w:szCs w:val="16"/>
          </w:rPr>
          <w:t>link</w:t>
        </w:r>
      </w:hyperlink>
      <w:r w:rsidRPr="007278E5">
        <w:rPr>
          <w:rStyle w:val="Hyperlink"/>
          <w:rFonts w:ascii="Arial" w:hAnsi="Arial" w:cs="Arial"/>
          <w:sz w:val="16"/>
          <w:szCs w:val="16"/>
        </w:rPr>
        <w:t>.</w:t>
      </w:r>
    </w:p>
  </w:footnote>
  <w:footnote w:id="10">
    <w:p w14:paraId="19FEFEAD" w14:textId="77777777" w:rsidR="000A7418" w:rsidRPr="007278E5" w:rsidRDefault="000A7418" w:rsidP="000A7418">
      <w:pPr>
        <w:pStyle w:val="FootnoteText"/>
        <w:ind w:left="180" w:hanging="180"/>
        <w:rPr>
          <w:rFonts w:ascii="Arial" w:hAnsi="Arial" w:cs="Arial"/>
          <w:sz w:val="16"/>
          <w:szCs w:val="16"/>
        </w:rPr>
      </w:pPr>
      <w:r w:rsidRPr="007278E5">
        <w:rPr>
          <w:rStyle w:val="FootnoteReference"/>
        </w:rPr>
        <w:footnoteRef/>
      </w:r>
      <w:r w:rsidRPr="007278E5">
        <w:rPr>
          <w:rFonts w:ascii="Arial" w:hAnsi="Arial" w:cs="Arial"/>
          <w:sz w:val="16"/>
          <w:szCs w:val="16"/>
        </w:rPr>
        <w:t xml:space="preserve"> </w:t>
      </w:r>
      <w:r w:rsidRPr="007278E5">
        <w:rPr>
          <w:rFonts w:ascii="Arial" w:hAnsi="Arial" w:cs="Arial"/>
          <w:sz w:val="16"/>
          <w:szCs w:val="16"/>
        </w:rPr>
        <w:tab/>
        <w:t xml:space="preserve">Available in </w:t>
      </w:r>
      <w:hyperlink r:id="rId4" w:history="1">
        <w:r w:rsidRPr="007278E5">
          <w:rPr>
            <w:rStyle w:val="Hyperlink"/>
            <w:rFonts w:ascii="Arial" w:hAnsi="Arial" w:cs="Arial"/>
            <w:sz w:val="16"/>
            <w:szCs w:val="16"/>
          </w:rPr>
          <w:t>link</w:t>
        </w:r>
      </w:hyperlink>
      <w:r w:rsidRPr="007278E5">
        <w:rPr>
          <w:rFonts w:ascii="Arial" w:hAnsi="Arial" w:cs="Arial"/>
          <w:sz w:val="16"/>
          <w:szCs w:val="16"/>
        </w:rPr>
        <w:t>.</w:t>
      </w:r>
    </w:p>
  </w:footnote>
  <w:footnote w:id="11">
    <w:p w14:paraId="667D02F2" w14:textId="77777777" w:rsidR="000A7418" w:rsidRPr="007278E5" w:rsidRDefault="000A7418" w:rsidP="000A7418">
      <w:pPr>
        <w:pStyle w:val="FootnoteText"/>
        <w:tabs>
          <w:tab w:val="left" w:pos="180"/>
        </w:tabs>
        <w:ind w:left="180" w:hanging="180"/>
        <w:rPr>
          <w:rFonts w:ascii="Arial" w:hAnsi="Arial" w:cs="Arial"/>
          <w:sz w:val="16"/>
          <w:szCs w:val="16"/>
        </w:rPr>
      </w:pPr>
      <w:r w:rsidRPr="007278E5">
        <w:rPr>
          <w:rStyle w:val="FootnoteReference"/>
        </w:rPr>
        <w:footnoteRef/>
      </w:r>
      <w:r w:rsidRPr="007278E5">
        <w:rPr>
          <w:rFonts w:ascii="Arial" w:hAnsi="Arial" w:cs="Arial"/>
          <w:sz w:val="16"/>
          <w:szCs w:val="16"/>
        </w:rPr>
        <w:t xml:space="preserve"> </w:t>
      </w:r>
      <w:r w:rsidRPr="007278E5">
        <w:rPr>
          <w:rFonts w:ascii="Arial" w:hAnsi="Arial" w:cs="Arial"/>
          <w:sz w:val="16"/>
          <w:szCs w:val="16"/>
        </w:rPr>
        <w:tab/>
        <w:t>Includes Port Authority, port concessionaries, port operators, logistic and transport companies, and truck drivers.</w:t>
      </w:r>
    </w:p>
  </w:footnote>
  <w:footnote w:id="12">
    <w:p w14:paraId="64E6DE6B" w14:textId="77777777" w:rsidR="000A7418" w:rsidRPr="007278E5" w:rsidRDefault="000A7418" w:rsidP="000A7418">
      <w:pPr>
        <w:pStyle w:val="FootnoteText"/>
        <w:tabs>
          <w:tab w:val="left" w:pos="180"/>
        </w:tabs>
        <w:ind w:left="180" w:hanging="180"/>
      </w:pPr>
      <w:r w:rsidRPr="007278E5">
        <w:rPr>
          <w:rStyle w:val="FootnoteReference"/>
        </w:rPr>
        <w:footnoteRef/>
      </w:r>
      <w:r w:rsidRPr="007278E5">
        <w:rPr>
          <w:rFonts w:ascii="Arial" w:hAnsi="Arial" w:cs="Arial"/>
          <w:sz w:val="16"/>
          <w:szCs w:val="16"/>
        </w:rPr>
        <w:t xml:space="preserve"> </w:t>
      </w:r>
      <w:r>
        <w:rPr>
          <w:rFonts w:ascii="Arial" w:hAnsi="Arial" w:cs="Arial"/>
          <w:sz w:val="16"/>
          <w:szCs w:val="16"/>
        </w:rPr>
        <w:tab/>
      </w:r>
      <w:r w:rsidRPr="007278E5">
        <w:rPr>
          <w:rFonts w:ascii="Arial" w:hAnsi="Arial" w:cs="Arial"/>
          <w:sz w:val="16"/>
          <w:szCs w:val="16"/>
        </w:rPr>
        <w:t>Disabilities is an umbrella term, covering impairments, activity limitations, and participation restrictions. An impairment is a problem in body function or structure; an activity limitation is a difficulty encountered by an individual in executing a task or action; while a participation restriction is a problem experienced by an individual in involvement in life situations</w:t>
      </w:r>
      <w:r>
        <w:rPr>
          <w:rFonts w:ascii="Arial" w:hAnsi="Arial" w:cs="Arial"/>
          <w:sz w:val="16"/>
          <w:szCs w:val="16"/>
        </w:rPr>
        <w:t xml:space="preserve"> (</w:t>
      </w:r>
      <w:r w:rsidRPr="007278E5">
        <w:rPr>
          <w:rFonts w:ascii="Arial" w:hAnsi="Arial" w:cs="Arial"/>
          <w:sz w:val="16"/>
          <w:szCs w:val="16"/>
        </w:rPr>
        <w:t>World Health Organization</w:t>
      </w:r>
      <w:r>
        <w:rPr>
          <w:rFonts w:ascii="Arial" w:hAnsi="Arial" w:cs="Arial"/>
          <w:sz w:val="16"/>
          <w:szCs w:val="16"/>
        </w:rPr>
        <w:t>)</w:t>
      </w:r>
      <w:r w:rsidRPr="007278E5">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ED2D6" w14:textId="77777777" w:rsidR="002B1109" w:rsidRPr="00AC5300" w:rsidRDefault="002B1109" w:rsidP="00AD47C7">
    <w:pPr>
      <w:pStyle w:val="Header"/>
      <w:jc w:val="right"/>
      <w:rPr>
        <w:sz w:val="20"/>
        <w:lang w:val="es-ES_tradnl"/>
      </w:rPr>
    </w:pPr>
  </w:p>
  <w:p w14:paraId="53ADF499" w14:textId="6506516E" w:rsidR="002B1109" w:rsidRDefault="002B1109" w:rsidP="00AD47C7">
    <w:pPr>
      <w:pStyle w:val="Header"/>
      <w:jc w:val="right"/>
      <w:rPr>
        <w:sz w:val="20"/>
      </w:rPr>
    </w:pPr>
    <w:r w:rsidRPr="00B4128D">
      <w:rPr>
        <w:sz w:val="20"/>
      </w:rPr>
      <w:t>Monitoring and Evaluation Plan – SU-L1057</w:t>
    </w:r>
  </w:p>
  <w:sdt>
    <w:sdtPr>
      <w:rPr>
        <w:sz w:val="20"/>
      </w:rPr>
      <w:id w:val="181558521"/>
      <w:docPartObj>
        <w:docPartGallery w:val="Page Numbers (Top of Page)"/>
        <w:docPartUnique/>
      </w:docPartObj>
    </w:sdtPr>
    <w:sdtEndPr/>
    <w:sdtContent>
      <w:p w14:paraId="26B7D0CD" w14:textId="66E1CB2C" w:rsidR="002B1109" w:rsidRPr="00664D70" w:rsidRDefault="002B1109" w:rsidP="00664D70">
        <w:pPr>
          <w:pStyle w:val="Header"/>
          <w:jc w:val="right"/>
          <w:rPr>
            <w:sz w:val="20"/>
          </w:rPr>
        </w:pPr>
        <w:r w:rsidRPr="00664D70">
          <w:rPr>
            <w:sz w:val="20"/>
          </w:rPr>
          <w:t xml:space="preserve">Page </w:t>
        </w:r>
        <w:r w:rsidRPr="00664D70">
          <w:rPr>
            <w:sz w:val="20"/>
          </w:rPr>
          <w:fldChar w:fldCharType="begin"/>
        </w:r>
        <w:r w:rsidRPr="00664D70">
          <w:rPr>
            <w:sz w:val="20"/>
          </w:rPr>
          <w:instrText xml:space="preserve"> PAGE </w:instrText>
        </w:r>
        <w:r w:rsidRPr="00664D70">
          <w:rPr>
            <w:sz w:val="20"/>
          </w:rPr>
          <w:fldChar w:fldCharType="separate"/>
        </w:r>
        <w:r w:rsidRPr="00664D70">
          <w:rPr>
            <w:sz w:val="20"/>
          </w:rPr>
          <w:t>2</w:t>
        </w:r>
        <w:r w:rsidRPr="00664D70">
          <w:rPr>
            <w:sz w:val="20"/>
          </w:rPr>
          <w:fldChar w:fldCharType="end"/>
        </w:r>
        <w:r w:rsidRPr="00664D70">
          <w:rPr>
            <w:sz w:val="20"/>
          </w:rPr>
          <w:t xml:space="preserve"> of </w:t>
        </w:r>
        <w:r w:rsidRPr="00664D70">
          <w:rPr>
            <w:sz w:val="20"/>
          </w:rPr>
          <w:fldChar w:fldCharType="begin"/>
        </w:r>
        <w:r w:rsidRPr="00664D70">
          <w:rPr>
            <w:sz w:val="20"/>
          </w:rPr>
          <w:instrText xml:space="preserve"> NUMPAGES  </w:instrText>
        </w:r>
        <w:r w:rsidRPr="00664D70">
          <w:rPr>
            <w:sz w:val="20"/>
          </w:rPr>
          <w:fldChar w:fldCharType="separate"/>
        </w:r>
        <w:r w:rsidRPr="00664D70">
          <w:rPr>
            <w:sz w:val="20"/>
          </w:rPr>
          <w:t>36</w:t>
        </w:r>
        <w:r w:rsidRPr="00664D70">
          <w:rPr>
            <w:sz w:val="20"/>
          </w:rPr>
          <w:fldChar w:fldCharType="end"/>
        </w:r>
      </w:p>
    </w:sdtContent>
  </w:sdt>
  <w:p w14:paraId="685E48BE" w14:textId="77777777" w:rsidR="002B1109" w:rsidRPr="00B4128D" w:rsidRDefault="002B1109" w:rsidP="00AD47C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BF782B0"/>
    <w:multiLevelType w:val="hybridMultilevel"/>
    <w:tmpl w:val="1D61151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B4956"/>
    <w:multiLevelType w:val="hybridMultilevel"/>
    <w:tmpl w:val="3A1A86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1391F"/>
    <w:multiLevelType w:val="multilevel"/>
    <w:tmpl w:val="3F9A4464"/>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A17C1D"/>
    <w:multiLevelType w:val="multilevel"/>
    <w:tmpl w:val="F1AE4BBE"/>
    <w:lvl w:ilvl="0">
      <w:start w:val="1"/>
      <w:numFmt w:val="upperRoman"/>
      <w:lvlText w:val="%1."/>
      <w:lvlJc w:val="righ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2D391C"/>
    <w:multiLevelType w:val="multilevel"/>
    <w:tmpl w:val="5C6E7932"/>
    <w:lvl w:ilvl="0">
      <w:start w:val="1"/>
      <w:numFmt w:val="upperRoman"/>
      <w:lvlText w:val="%1."/>
      <w:lvlJc w:val="center"/>
      <w:pPr>
        <w:tabs>
          <w:tab w:val="num" w:pos="648"/>
        </w:tabs>
        <w:ind w:left="0" w:firstLine="288"/>
      </w:pPr>
      <w:rPr>
        <w:b/>
        <w:i w:val="0"/>
        <w:lang w:val="es-ES_tradnl"/>
      </w:rPr>
    </w:lvl>
    <w:lvl w:ilvl="1">
      <w:start w:val="1"/>
      <w:numFmt w:val="lowerLetter"/>
      <w:lvlText w:val="%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D7A2B35"/>
    <w:multiLevelType w:val="multilevel"/>
    <w:tmpl w:val="D40A31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13EB4C13"/>
    <w:multiLevelType w:val="multilevel"/>
    <w:tmpl w:val="20329042"/>
    <w:lvl w:ilvl="0">
      <w:start w:val="1"/>
      <w:numFmt w:val="upperRoman"/>
      <w:lvlText w:val="%1."/>
      <w:lvlJc w:val="left"/>
      <w:pPr>
        <w:tabs>
          <w:tab w:val="num" w:pos="648"/>
        </w:tabs>
        <w:ind w:left="0" w:firstLine="288"/>
      </w:pPr>
      <w:rPr>
        <w:rFonts w:ascii="Times New Roman" w:hAnsi="Times New Roman" w:hint="default"/>
        <w:b w:val="0"/>
        <w:i w:val="0"/>
        <w:sz w:val="24"/>
        <w:lang w:val="es-ES_tradnl"/>
      </w:rPr>
    </w:lvl>
    <w:lvl w:ilvl="1">
      <w:start w:val="1"/>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158C53C8"/>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8" w15:restartNumberingAfterBreak="0">
    <w:nsid w:val="17927EFC"/>
    <w:multiLevelType w:val="multilevel"/>
    <w:tmpl w:val="E34465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10" w15:restartNumberingAfterBreak="0">
    <w:nsid w:val="1FC73B46"/>
    <w:multiLevelType w:val="multilevel"/>
    <w:tmpl w:val="44CEFDFE"/>
    <w:lvl w:ilvl="0">
      <w:start w:val="1"/>
      <w:numFmt w:val="upperRoman"/>
      <w:lvlText w:val="%1."/>
      <w:lvlJc w:val="center"/>
      <w:pPr>
        <w:tabs>
          <w:tab w:val="num" w:pos="648"/>
        </w:tabs>
        <w:ind w:left="0" w:firstLine="288"/>
      </w:pPr>
      <w:rPr>
        <w:b/>
        <w:i w:val="0"/>
        <w:lang w:val="es-ES_tradnl"/>
      </w:rPr>
    </w:lvl>
    <w:lvl w:ilvl="1">
      <w:start w:val="1"/>
      <w:numFmt w:val="bullet"/>
      <w:lvlText w:val=""/>
      <w:lvlJc w:val="left"/>
      <w:pPr>
        <w:tabs>
          <w:tab w:val="num" w:pos="720"/>
        </w:tabs>
        <w:ind w:left="720" w:hanging="720"/>
      </w:pPr>
      <w:rPr>
        <w:rFonts w:ascii="Symbol" w:hAnsi="Symbol" w:hint="default"/>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22C04AB8"/>
    <w:multiLevelType w:val="hybridMultilevel"/>
    <w:tmpl w:val="4E9C3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45BB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A39188E"/>
    <w:multiLevelType w:val="hybridMultilevel"/>
    <w:tmpl w:val="4BFA0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F7E9C"/>
    <w:multiLevelType w:val="hybridMultilevel"/>
    <w:tmpl w:val="D5D85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16D30"/>
    <w:multiLevelType w:val="hybridMultilevel"/>
    <w:tmpl w:val="66BE0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943DB"/>
    <w:multiLevelType w:val="multilevel"/>
    <w:tmpl w:val="5FD85318"/>
    <w:lvl w:ilvl="0">
      <w:start w:val="3"/>
      <w:numFmt w:val="upperRoman"/>
      <w:lvlText w:val="%1."/>
      <w:lvlJc w:val="left"/>
      <w:pPr>
        <w:tabs>
          <w:tab w:val="num" w:pos="648"/>
        </w:tabs>
        <w:ind w:left="0" w:firstLine="288"/>
      </w:pPr>
      <w:rPr>
        <w:rFonts w:ascii="Times New Roman" w:hAnsi="Times New Roman" w:hint="default"/>
        <w:b w:val="0"/>
        <w:i w:val="0"/>
        <w:sz w:val="24"/>
      </w:rPr>
    </w:lvl>
    <w:lvl w:ilvl="1">
      <w:start w:val="7"/>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15:restartNumberingAfterBreak="0">
    <w:nsid w:val="2D543941"/>
    <w:multiLevelType w:val="multilevel"/>
    <w:tmpl w:val="0ACA5C40"/>
    <w:lvl w:ilvl="0">
      <w:start w:val="3"/>
      <w:numFmt w:val="upperRoman"/>
      <w:lvlText w:val="%1."/>
      <w:lvlJc w:val="left"/>
      <w:pPr>
        <w:tabs>
          <w:tab w:val="num" w:pos="648"/>
        </w:tabs>
        <w:ind w:left="0" w:firstLine="288"/>
      </w:pPr>
      <w:rPr>
        <w:rFonts w:ascii="Times New Roman" w:hAnsi="Times New Roman" w:hint="default"/>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15:restartNumberingAfterBreak="0">
    <w:nsid w:val="2EB519C0"/>
    <w:multiLevelType w:val="hybridMultilevel"/>
    <w:tmpl w:val="18B071C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30655984"/>
    <w:multiLevelType w:val="hybridMultilevel"/>
    <w:tmpl w:val="408A388A"/>
    <w:lvl w:ilvl="0" w:tplc="5DBC6E94">
      <w:start w:val="1"/>
      <w:numFmt w:val="lowerLetter"/>
      <w:lvlText w:val="%1."/>
      <w:lvlJc w:val="left"/>
      <w:pPr>
        <w:ind w:left="1080" w:hanging="360"/>
      </w:pPr>
      <w:rPr>
        <w:rFonts w:hint="default"/>
      </w:rPr>
    </w:lvl>
    <w:lvl w:ilvl="1" w:tplc="A7BECF48" w:tentative="1">
      <w:start w:val="1"/>
      <w:numFmt w:val="lowerLetter"/>
      <w:lvlText w:val="%2."/>
      <w:lvlJc w:val="left"/>
      <w:pPr>
        <w:ind w:left="1800" w:hanging="360"/>
      </w:pPr>
    </w:lvl>
    <w:lvl w:ilvl="2" w:tplc="9D322CCE" w:tentative="1">
      <w:start w:val="1"/>
      <w:numFmt w:val="lowerRoman"/>
      <w:lvlText w:val="%3."/>
      <w:lvlJc w:val="right"/>
      <w:pPr>
        <w:ind w:left="2520" w:hanging="180"/>
      </w:pPr>
    </w:lvl>
    <w:lvl w:ilvl="3" w:tplc="35EE5AC2" w:tentative="1">
      <w:start w:val="1"/>
      <w:numFmt w:val="decimal"/>
      <w:lvlText w:val="%4."/>
      <w:lvlJc w:val="left"/>
      <w:pPr>
        <w:ind w:left="3240" w:hanging="360"/>
      </w:pPr>
    </w:lvl>
    <w:lvl w:ilvl="4" w:tplc="1674CDC8" w:tentative="1">
      <w:start w:val="1"/>
      <w:numFmt w:val="lowerLetter"/>
      <w:lvlText w:val="%5."/>
      <w:lvlJc w:val="left"/>
      <w:pPr>
        <w:ind w:left="3960" w:hanging="360"/>
      </w:pPr>
    </w:lvl>
    <w:lvl w:ilvl="5" w:tplc="122C8784" w:tentative="1">
      <w:start w:val="1"/>
      <w:numFmt w:val="lowerRoman"/>
      <w:lvlText w:val="%6."/>
      <w:lvlJc w:val="right"/>
      <w:pPr>
        <w:ind w:left="4680" w:hanging="180"/>
      </w:pPr>
    </w:lvl>
    <w:lvl w:ilvl="6" w:tplc="4D3A1E70" w:tentative="1">
      <w:start w:val="1"/>
      <w:numFmt w:val="decimal"/>
      <w:lvlText w:val="%7."/>
      <w:lvlJc w:val="left"/>
      <w:pPr>
        <w:ind w:left="5400" w:hanging="360"/>
      </w:pPr>
    </w:lvl>
    <w:lvl w:ilvl="7" w:tplc="357E8808" w:tentative="1">
      <w:start w:val="1"/>
      <w:numFmt w:val="lowerLetter"/>
      <w:lvlText w:val="%8."/>
      <w:lvlJc w:val="left"/>
      <w:pPr>
        <w:ind w:left="6120" w:hanging="360"/>
      </w:pPr>
    </w:lvl>
    <w:lvl w:ilvl="8" w:tplc="02860F9E" w:tentative="1">
      <w:start w:val="1"/>
      <w:numFmt w:val="lowerRoman"/>
      <w:lvlText w:val="%9."/>
      <w:lvlJc w:val="right"/>
      <w:pPr>
        <w:ind w:left="6840" w:hanging="180"/>
      </w:pPr>
    </w:lvl>
  </w:abstractNum>
  <w:abstractNum w:abstractNumId="20" w15:restartNumberingAfterBreak="0">
    <w:nsid w:val="3C5268C0"/>
    <w:multiLevelType w:val="multilevel"/>
    <w:tmpl w:val="011C06D0"/>
    <w:lvl w:ilvl="0">
      <w:start w:val="4"/>
      <w:numFmt w:val="upperRoman"/>
      <w:lvlText w:val="%1."/>
      <w:lvlJc w:val="left"/>
      <w:pPr>
        <w:tabs>
          <w:tab w:val="num" w:pos="648"/>
        </w:tabs>
        <w:ind w:left="0" w:firstLine="288"/>
      </w:pPr>
      <w:rPr>
        <w:rFonts w:ascii="Times New Roman" w:hAnsi="Times New Roman" w:hint="default"/>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3CA8456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F4A38EC"/>
    <w:multiLevelType w:val="multilevel"/>
    <w:tmpl w:val="559CCB8A"/>
    <w:lvl w:ilvl="0">
      <w:start w:val="1"/>
      <w:numFmt w:val="upperRoman"/>
      <w:lvlText w:val="%1."/>
      <w:lvlJc w:val="left"/>
      <w:pPr>
        <w:tabs>
          <w:tab w:val="num" w:pos="648"/>
        </w:tabs>
        <w:ind w:left="0" w:firstLine="288"/>
      </w:pPr>
      <w:rPr>
        <w:rFonts w:ascii="Times New Roman" w:hAnsi="Times New Roman" w:hint="default"/>
        <w:b/>
        <w:i w:val="0"/>
        <w:sz w:val="24"/>
        <w:lang w:val="en-US"/>
      </w:rPr>
    </w:lvl>
    <w:lvl w:ilvl="1">
      <w:start w:val="1"/>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3" w15:restartNumberingAfterBreak="0">
    <w:nsid w:val="41FC11C8"/>
    <w:multiLevelType w:val="multilevel"/>
    <w:tmpl w:val="EC54D9E4"/>
    <w:lvl w:ilvl="0">
      <w:start w:val="3"/>
      <w:numFmt w:val="upperRoman"/>
      <w:lvlText w:val="%1."/>
      <w:lvlJc w:val="left"/>
      <w:pPr>
        <w:tabs>
          <w:tab w:val="num" w:pos="648"/>
        </w:tabs>
        <w:ind w:left="0" w:firstLine="288"/>
      </w:pPr>
      <w:rPr>
        <w:rFonts w:ascii="Times New Roman" w:hAnsi="Times New Roman" w:hint="default"/>
        <w:b w:val="0"/>
        <w:i w:val="0"/>
        <w:sz w:val="24"/>
      </w:rPr>
    </w:lvl>
    <w:lvl w:ilvl="1">
      <w:start w:val="4"/>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15:restartNumberingAfterBreak="0">
    <w:nsid w:val="486639B7"/>
    <w:multiLevelType w:val="hybridMultilevel"/>
    <w:tmpl w:val="66BE0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436135"/>
    <w:multiLevelType w:val="multilevel"/>
    <w:tmpl w:val="17EE7C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7" w15:restartNumberingAfterBreak="0">
    <w:nsid w:val="5B9A7602"/>
    <w:multiLevelType w:val="multilevel"/>
    <w:tmpl w:val="20329042"/>
    <w:lvl w:ilvl="0">
      <w:start w:val="1"/>
      <w:numFmt w:val="upperRoman"/>
      <w:lvlText w:val="%1."/>
      <w:lvlJc w:val="left"/>
      <w:pPr>
        <w:tabs>
          <w:tab w:val="num" w:pos="648"/>
        </w:tabs>
        <w:ind w:left="0" w:firstLine="288"/>
      </w:pPr>
      <w:rPr>
        <w:rFonts w:ascii="Times New Roman" w:hAnsi="Times New Roman" w:hint="default"/>
        <w:b w:val="0"/>
        <w:i w:val="0"/>
        <w:sz w:val="24"/>
        <w:lang w:val="es-ES_tradnl"/>
      </w:rPr>
    </w:lvl>
    <w:lvl w:ilvl="1">
      <w:start w:val="1"/>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8" w15:restartNumberingAfterBreak="0">
    <w:nsid w:val="5F2F5BBA"/>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9" w15:restartNumberingAfterBreak="0">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30" w15:restartNumberingAfterBreak="0">
    <w:nsid w:val="5F7F54CD"/>
    <w:multiLevelType w:val="hybridMultilevel"/>
    <w:tmpl w:val="1EB2D61E"/>
    <w:lvl w:ilvl="0" w:tplc="004CB3EC">
      <w:start w:val="1"/>
      <w:numFmt w:val="bullet"/>
      <w:lvlText w:val=""/>
      <w:lvlJc w:val="left"/>
      <w:pPr>
        <w:tabs>
          <w:tab w:val="num" w:pos="360"/>
        </w:tabs>
        <w:ind w:left="360" w:hanging="360"/>
      </w:pPr>
      <w:rPr>
        <w:rFonts w:ascii="Wingdings" w:hAnsi="Wingdings" w:hint="default"/>
        <w:color w:val="auto"/>
      </w:rPr>
    </w:lvl>
    <w:lvl w:ilvl="1" w:tplc="E38E4260">
      <w:start w:val="1"/>
      <w:numFmt w:val="bullet"/>
      <w:lvlText w:val="o"/>
      <w:lvlJc w:val="left"/>
      <w:pPr>
        <w:tabs>
          <w:tab w:val="num" w:pos="768"/>
        </w:tabs>
        <w:ind w:left="768" w:hanging="360"/>
      </w:pPr>
      <w:rPr>
        <w:rFonts w:ascii="Courier New" w:hAnsi="Courier New" w:cs="Courier New" w:hint="default"/>
      </w:rPr>
    </w:lvl>
    <w:lvl w:ilvl="2" w:tplc="CB2037D4" w:tentative="1">
      <w:start w:val="1"/>
      <w:numFmt w:val="bullet"/>
      <w:lvlText w:val=""/>
      <w:lvlJc w:val="left"/>
      <w:pPr>
        <w:tabs>
          <w:tab w:val="num" w:pos="1488"/>
        </w:tabs>
        <w:ind w:left="1488" w:hanging="360"/>
      </w:pPr>
      <w:rPr>
        <w:rFonts w:ascii="Wingdings" w:hAnsi="Wingdings" w:hint="default"/>
      </w:rPr>
    </w:lvl>
    <w:lvl w:ilvl="3" w:tplc="5294496E" w:tentative="1">
      <w:start w:val="1"/>
      <w:numFmt w:val="bullet"/>
      <w:lvlText w:val=""/>
      <w:lvlJc w:val="left"/>
      <w:pPr>
        <w:tabs>
          <w:tab w:val="num" w:pos="2208"/>
        </w:tabs>
        <w:ind w:left="2208" w:hanging="360"/>
      </w:pPr>
      <w:rPr>
        <w:rFonts w:ascii="Symbol" w:hAnsi="Symbol" w:hint="default"/>
      </w:rPr>
    </w:lvl>
    <w:lvl w:ilvl="4" w:tplc="6430EE42" w:tentative="1">
      <w:start w:val="1"/>
      <w:numFmt w:val="bullet"/>
      <w:lvlText w:val="o"/>
      <w:lvlJc w:val="left"/>
      <w:pPr>
        <w:tabs>
          <w:tab w:val="num" w:pos="2928"/>
        </w:tabs>
        <w:ind w:left="2928" w:hanging="360"/>
      </w:pPr>
      <w:rPr>
        <w:rFonts w:ascii="Courier New" w:hAnsi="Courier New" w:cs="Courier New" w:hint="default"/>
      </w:rPr>
    </w:lvl>
    <w:lvl w:ilvl="5" w:tplc="0C94FB5C" w:tentative="1">
      <w:start w:val="1"/>
      <w:numFmt w:val="bullet"/>
      <w:lvlText w:val=""/>
      <w:lvlJc w:val="left"/>
      <w:pPr>
        <w:tabs>
          <w:tab w:val="num" w:pos="3648"/>
        </w:tabs>
        <w:ind w:left="3648" w:hanging="360"/>
      </w:pPr>
      <w:rPr>
        <w:rFonts w:ascii="Wingdings" w:hAnsi="Wingdings" w:hint="default"/>
      </w:rPr>
    </w:lvl>
    <w:lvl w:ilvl="6" w:tplc="801AEDE2" w:tentative="1">
      <w:start w:val="1"/>
      <w:numFmt w:val="bullet"/>
      <w:lvlText w:val=""/>
      <w:lvlJc w:val="left"/>
      <w:pPr>
        <w:tabs>
          <w:tab w:val="num" w:pos="4368"/>
        </w:tabs>
        <w:ind w:left="4368" w:hanging="360"/>
      </w:pPr>
      <w:rPr>
        <w:rFonts w:ascii="Symbol" w:hAnsi="Symbol" w:hint="default"/>
      </w:rPr>
    </w:lvl>
    <w:lvl w:ilvl="7" w:tplc="905C7EE6" w:tentative="1">
      <w:start w:val="1"/>
      <w:numFmt w:val="bullet"/>
      <w:lvlText w:val="o"/>
      <w:lvlJc w:val="left"/>
      <w:pPr>
        <w:tabs>
          <w:tab w:val="num" w:pos="5088"/>
        </w:tabs>
        <w:ind w:left="5088" w:hanging="360"/>
      </w:pPr>
      <w:rPr>
        <w:rFonts w:ascii="Courier New" w:hAnsi="Courier New" w:cs="Courier New" w:hint="default"/>
      </w:rPr>
    </w:lvl>
    <w:lvl w:ilvl="8" w:tplc="DA76594C" w:tentative="1">
      <w:start w:val="1"/>
      <w:numFmt w:val="bullet"/>
      <w:lvlText w:val=""/>
      <w:lvlJc w:val="left"/>
      <w:pPr>
        <w:tabs>
          <w:tab w:val="num" w:pos="5808"/>
        </w:tabs>
        <w:ind w:left="5808" w:hanging="360"/>
      </w:pPr>
      <w:rPr>
        <w:rFonts w:ascii="Wingdings" w:hAnsi="Wingdings" w:hint="default"/>
      </w:rPr>
    </w:lvl>
  </w:abstractNum>
  <w:abstractNum w:abstractNumId="31" w15:restartNumberingAfterBreak="0">
    <w:nsid w:val="6888666E"/>
    <w:multiLevelType w:val="multilevel"/>
    <w:tmpl w:val="26A85418"/>
    <w:styleLink w:val="StyleBID"/>
    <w:lvl w:ilvl="0">
      <w:start w:val="1"/>
      <w:numFmt w:val="upperRoman"/>
      <w:lvlText w:val="%1."/>
      <w:lvlJc w:val="center"/>
      <w:pPr>
        <w:tabs>
          <w:tab w:val="num" w:pos="0"/>
        </w:tabs>
        <w:ind w:left="720" w:hanging="720"/>
      </w:pPr>
      <w:rPr>
        <w:rFonts w:ascii="Times New Roman" w:hAnsi="Times New Roman" w:cs="Times New Roman" w:hint="default"/>
        <w:b/>
        <w:sz w:val="24"/>
      </w:rPr>
    </w:lvl>
    <w:lvl w:ilvl="1">
      <w:start w:val="1"/>
      <w:numFmt w:val="upperLetter"/>
      <w:lvlText w:val="%2."/>
      <w:lvlJc w:val="left"/>
      <w:pPr>
        <w:tabs>
          <w:tab w:val="num" w:pos="0"/>
        </w:tabs>
        <w:ind w:left="720" w:hanging="720"/>
      </w:pPr>
      <w:rPr>
        <w:rFonts w:ascii="Times New Roman Bold" w:hAnsi="Times New Roman Bold" w:cs="Times New Roman" w:hint="default"/>
        <w:b/>
        <w:i w:val="0"/>
        <w:sz w:val="24"/>
      </w:rPr>
    </w:lvl>
    <w:lvl w:ilvl="2">
      <w:start w:val="1"/>
      <w:numFmt w:val="decimal"/>
      <w:lvlRestart w:val="0"/>
      <w:isLgl/>
      <w:lvlText w:val="%1.%3"/>
      <w:lvlJc w:val="left"/>
      <w:pPr>
        <w:tabs>
          <w:tab w:val="num" w:pos="720"/>
        </w:tabs>
        <w:ind w:left="720" w:hanging="720"/>
      </w:pPr>
      <w:rPr>
        <w:rFonts w:ascii="Times New Roman" w:hAnsi="Times New Roman" w:cs="Times New Roman" w:hint="default"/>
        <w:b w:val="0"/>
        <w:i w:val="0"/>
        <w:sz w:val="24"/>
      </w:rPr>
    </w:lvl>
    <w:lvl w:ilvl="3">
      <w:start w:val="1"/>
      <w:numFmt w:val="lowerRoman"/>
      <w:lvlText w:val="%4."/>
      <w:lvlJc w:val="left"/>
      <w:pPr>
        <w:tabs>
          <w:tab w:val="num" w:pos="1080"/>
        </w:tabs>
        <w:ind w:left="1080" w:hanging="360"/>
      </w:pPr>
      <w:rPr>
        <w:rFonts w:cs="Times New Roman" w:hint="default"/>
      </w:rPr>
    </w:lvl>
    <w:lvl w:ilvl="4">
      <w:start w:val="1"/>
      <w:numFmt w:val="none"/>
      <w:lvlText w:val=""/>
      <w:lvlJc w:val="left"/>
      <w:pPr>
        <w:tabs>
          <w:tab w:val="num" w:pos="0"/>
        </w:tabs>
        <w:ind w:left="720" w:hanging="720"/>
      </w:pPr>
      <w:rPr>
        <w:rFonts w:cs="Times New Roman" w:hint="default"/>
      </w:rPr>
    </w:lvl>
    <w:lvl w:ilvl="5">
      <w:start w:val="1"/>
      <w:numFmt w:val="none"/>
      <w:lvlText w:val=""/>
      <w:lvlJc w:val="left"/>
      <w:pPr>
        <w:tabs>
          <w:tab w:val="num" w:pos="0"/>
        </w:tabs>
        <w:ind w:left="720" w:hanging="720"/>
      </w:pPr>
      <w:rPr>
        <w:rFonts w:cs="Times New Roman" w:hint="default"/>
      </w:rPr>
    </w:lvl>
    <w:lvl w:ilvl="6">
      <w:start w:val="1"/>
      <w:numFmt w:val="none"/>
      <w:lvlText w:val=""/>
      <w:lvlJc w:val="left"/>
      <w:pPr>
        <w:tabs>
          <w:tab w:val="num" w:pos="0"/>
        </w:tabs>
        <w:ind w:left="720" w:hanging="720"/>
      </w:pPr>
      <w:rPr>
        <w:rFonts w:cs="Times New Roman" w:hint="default"/>
      </w:rPr>
    </w:lvl>
    <w:lvl w:ilvl="7">
      <w:start w:val="1"/>
      <w:numFmt w:val="none"/>
      <w:lvlText w:val=""/>
      <w:lvlJc w:val="left"/>
      <w:pPr>
        <w:tabs>
          <w:tab w:val="num" w:pos="0"/>
        </w:tabs>
        <w:ind w:left="720" w:hanging="720"/>
      </w:pPr>
      <w:rPr>
        <w:rFonts w:cs="Times New Roman" w:hint="default"/>
      </w:rPr>
    </w:lvl>
    <w:lvl w:ilvl="8">
      <w:start w:val="1"/>
      <w:numFmt w:val="none"/>
      <w:lvlText w:val=""/>
      <w:lvlJc w:val="left"/>
      <w:pPr>
        <w:tabs>
          <w:tab w:val="num" w:pos="0"/>
        </w:tabs>
        <w:ind w:left="720" w:hanging="720"/>
      </w:pPr>
      <w:rPr>
        <w:rFonts w:cs="Times New Roman" w:hint="default"/>
      </w:rPr>
    </w:lvl>
  </w:abstractNum>
  <w:abstractNum w:abstractNumId="32" w15:restartNumberingAfterBreak="0">
    <w:nsid w:val="691B0D10"/>
    <w:multiLevelType w:val="multilevel"/>
    <w:tmpl w:val="9EC21E46"/>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B992D03"/>
    <w:multiLevelType w:val="multilevel"/>
    <w:tmpl w:val="73365A94"/>
    <w:lvl w:ilvl="0">
      <w:start w:val="1"/>
      <w:numFmt w:val="decimal"/>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4" w15:restartNumberingAfterBreak="0">
    <w:nsid w:val="6E6E41DB"/>
    <w:multiLevelType w:val="multilevel"/>
    <w:tmpl w:val="9D8C8EF6"/>
    <w:lvl w:ilvl="0">
      <w:start w:val="3"/>
      <w:numFmt w:val="upperRoman"/>
      <w:lvlText w:val="%1."/>
      <w:lvlJc w:val="left"/>
      <w:pPr>
        <w:tabs>
          <w:tab w:val="num" w:pos="648"/>
        </w:tabs>
        <w:ind w:left="0" w:firstLine="288"/>
      </w:pPr>
      <w:rPr>
        <w:rFonts w:ascii="Times New Roman" w:hAnsi="Times New Roman" w:hint="default"/>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5" w15:restartNumberingAfterBreak="0">
    <w:nsid w:val="74E414EF"/>
    <w:multiLevelType w:val="multilevel"/>
    <w:tmpl w:val="78363D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33"/>
  </w:num>
  <w:num w:numId="3">
    <w:abstractNumId w:val="19"/>
  </w:num>
  <w:num w:numId="4">
    <w:abstractNumId w:val="28"/>
  </w:num>
  <w:num w:numId="5">
    <w:abstractNumId w:val="22"/>
  </w:num>
  <w:num w:numId="6">
    <w:abstractNumId w:val="10"/>
  </w:num>
  <w:num w:numId="7">
    <w:abstractNumId w:val="32"/>
  </w:num>
  <w:num w:numId="8">
    <w:abstractNumId w:val="2"/>
  </w:num>
  <w:num w:numId="9">
    <w:abstractNumId w:val="31"/>
  </w:num>
  <w:num w:numId="10">
    <w:abstractNumId w:val="13"/>
  </w:num>
  <w:num w:numId="11">
    <w:abstractNumId w:val="20"/>
  </w:num>
  <w:num w:numId="12">
    <w:abstractNumId w:val="34"/>
  </w:num>
  <w:num w:numId="13">
    <w:abstractNumId w:val="23"/>
  </w:num>
  <w:num w:numId="14">
    <w:abstractNumId w:val="16"/>
  </w:num>
  <w:num w:numId="15">
    <w:abstractNumId w:val="17"/>
  </w:num>
  <w:num w:numId="16">
    <w:abstractNumId w:val="25"/>
  </w:num>
  <w:num w:numId="17">
    <w:abstractNumId w:val="30"/>
  </w:num>
  <w:num w:numId="18">
    <w:abstractNumId w:val="29"/>
  </w:num>
  <w:num w:numId="19">
    <w:abstractNumId w:val="9"/>
  </w:num>
  <w:num w:numId="20">
    <w:abstractNumId w:val="7"/>
  </w:num>
  <w:num w:numId="21">
    <w:abstractNumId w:val="11"/>
  </w:num>
  <w:num w:numId="22">
    <w:abstractNumId w:val="15"/>
  </w:num>
  <w:num w:numId="23">
    <w:abstractNumId w:val="24"/>
  </w:num>
  <w:num w:numId="24">
    <w:abstractNumId w:val="14"/>
  </w:num>
  <w:num w:numId="25">
    <w:abstractNumId w:val="1"/>
  </w:num>
  <w:num w:numId="26">
    <w:abstractNumId w:val="12"/>
  </w:num>
  <w:num w:numId="27">
    <w:abstractNumId w:val="3"/>
  </w:num>
  <w:num w:numId="28">
    <w:abstractNumId w:val="18"/>
  </w:num>
  <w:num w:numId="29">
    <w:abstractNumId w:val="5"/>
  </w:num>
  <w:num w:numId="30">
    <w:abstractNumId w:val="33"/>
  </w:num>
  <w:num w:numId="31">
    <w:abstractNumId w:val="0"/>
  </w:num>
  <w:num w:numId="32">
    <w:abstractNumId w:val="33"/>
  </w:num>
  <w:num w:numId="33">
    <w:abstractNumId w:val="33"/>
  </w:num>
  <w:num w:numId="34">
    <w:abstractNumId w:val="8"/>
  </w:num>
  <w:num w:numId="35">
    <w:abstractNumId w:val="6"/>
  </w:num>
  <w:num w:numId="36">
    <w:abstractNumId w:val="21"/>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5"/>
    <w:lvlOverride w:ilvl="0"/>
    <w:lvlOverride w:ilvl="1">
      <w:startOverride w:val="1"/>
    </w:lvlOverride>
    <w:lvlOverride w:ilvl="2"/>
    <w:lvlOverride w:ilvl="3"/>
    <w:lvlOverride w:ilvl="4"/>
    <w:lvlOverride w:ilvl="5"/>
    <w:lvlOverride w:ilvl="6"/>
    <w:lvlOverride w:ilvl="7"/>
    <w:lvlOverride w:ilvl="8"/>
  </w:num>
  <w:num w:numId="4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M0NTMwM7SwsDQ2MjFQ0lEKTi0uzszPAykwtqgFAJ6CaYstAAAA"/>
  </w:docVars>
  <w:rsids>
    <w:rsidRoot w:val="00C32A84"/>
    <w:rsid w:val="000028EC"/>
    <w:rsid w:val="00003762"/>
    <w:rsid w:val="00006C04"/>
    <w:rsid w:val="00010282"/>
    <w:rsid w:val="00012AE1"/>
    <w:rsid w:val="00013473"/>
    <w:rsid w:val="0003263E"/>
    <w:rsid w:val="00032931"/>
    <w:rsid w:val="00032D48"/>
    <w:rsid w:val="000331E5"/>
    <w:rsid w:val="0004039F"/>
    <w:rsid w:val="00042EB2"/>
    <w:rsid w:val="00042F34"/>
    <w:rsid w:val="00043756"/>
    <w:rsid w:val="000443C7"/>
    <w:rsid w:val="00051FF0"/>
    <w:rsid w:val="00052551"/>
    <w:rsid w:val="00056C7C"/>
    <w:rsid w:val="000574BD"/>
    <w:rsid w:val="00061B15"/>
    <w:rsid w:val="000639D4"/>
    <w:rsid w:val="000642EB"/>
    <w:rsid w:val="0006527D"/>
    <w:rsid w:val="000705C4"/>
    <w:rsid w:val="000731A3"/>
    <w:rsid w:val="000739E9"/>
    <w:rsid w:val="0007484B"/>
    <w:rsid w:val="00074A03"/>
    <w:rsid w:val="0007675F"/>
    <w:rsid w:val="000806CE"/>
    <w:rsid w:val="000813B3"/>
    <w:rsid w:val="00090A6F"/>
    <w:rsid w:val="000920F2"/>
    <w:rsid w:val="000927ED"/>
    <w:rsid w:val="00093E6C"/>
    <w:rsid w:val="000957E5"/>
    <w:rsid w:val="000A69CE"/>
    <w:rsid w:val="000A7418"/>
    <w:rsid w:val="000B2903"/>
    <w:rsid w:val="000B7966"/>
    <w:rsid w:val="000C1690"/>
    <w:rsid w:val="000C2909"/>
    <w:rsid w:val="000C7742"/>
    <w:rsid w:val="000E0D6B"/>
    <w:rsid w:val="000E2578"/>
    <w:rsid w:val="000E7781"/>
    <w:rsid w:val="000F2C84"/>
    <w:rsid w:val="000F3118"/>
    <w:rsid w:val="00100582"/>
    <w:rsid w:val="001011F9"/>
    <w:rsid w:val="001011FB"/>
    <w:rsid w:val="00105AFA"/>
    <w:rsid w:val="0010637C"/>
    <w:rsid w:val="00110FAA"/>
    <w:rsid w:val="00113E0A"/>
    <w:rsid w:val="00115EC9"/>
    <w:rsid w:val="0012455D"/>
    <w:rsid w:val="00126E1C"/>
    <w:rsid w:val="0012704A"/>
    <w:rsid w:val="00127825"/>
    <w:rsid w:val="0013004C"/>
    <w:rsid w:val="001320A4"/>
    <w:rsid w:val="00133265"/>
    <w:rsid w:val="00135C05"/>
    <w:rsid w:val="00136AFC"/>
    <w:rsid w:val="00136DC0"/>
    <w:rsid w:val="00137D07"/>
    <w:rsid w:val="0014015B"/>
    <w:rsid w:val="00146B10"/>
    <w:rsid w:val="00151BF7"/>
    <w:rsid w:val="001528F5"/>
    <w:rsid w:val="001557FA"/>
    <w:rsid w:val="001603D6"/>
    <w:rsid w:val="00167693"/>
    <w:rsid w:val="0017702C"/>
    <w:rsid w:val="001803A6"/>
    <w:rsid w:val="00182A4A"/>
    <w:rsid w:val="00185697"/>
    <w:rsid w:val="00192072"/>
    <w:rsid w:val="00192AD7"/>
    <w:rsid w:val="00192B65"/>
    <w:rsid w:val="001A4CDC"/>
    <w:rsid w:val="001A5AFE"/>
    <w:rsid w:val="001B0910"/>
    <w:rsid w:val="001B2097"/>
    <w:rsid w:val="001B2448"/>
    <w:rsid w:val="001B2E90"/>
    <w:rsid w:val="001B5186"/>
    <w:rsid w:val="001C39FE"/>
    <w:rsid w:val="001D41B0"/>
    <w:rsid w:val="001D7B76"/>
    <w:rsid w:val="001E0779"/>
    <w:rsid w:val="001E58A9"/>
    <w:rsid w:val="001E7134"/>
    <w:rsid w:val="001E7508"/>
    <w:rsid w:val="001F349C"/>
    <w:rsid w:val="00203DB5"/>
    <w:rsid w:val="00204049"/>
    <w:rsid w:val="00204C5B"/>
    <w:rsid w:val="00210C0B"/>
    <w:rsid w:val="00217015"/>
    <w:rsid w:val="0022054C"/>
    <w:rsid w:val="00222D85"/>
    <w:rsid w:val="0022471B"/>
    <w:rsid w:val="00227B83"/>
    <w:rsid w:val="002315CF"/>
    <w:rsid w:val="002324D6"/>
    <w:rsid w:val="00235B4D"/>
    <w:rsid w:val="0024209F"/>
    <w:rsid w:val="0024345C"/>
    <w:rsid w:val="0024518C"/>
    <w:rsid w:val="002465EE"/>
    <w:rsid w:val="00253903"/>
    <w:rsid w:val="002601C5"/>
    <w:rsid w:val="0026097B"/>
    <w:rsid w:val="002621F1"/>
    <w:rsid w:val="00262937"/>
    <w:rsid w:val="00265CDE"/>
    <w:rsid w:val="00266B12"/>
    <w:rsid w:val="002713BC"/>
    <w:rsid w:val="00274105"/>
    <w:rsid w:val="0027573B"/>
    <w:rsid w:val="0027742B"/>
    <w:rsid w:val="00281207"/>
    <w:rsid w:val="00281559"/>
    <w:rsid w:val="00282B4B"/>
    <w:rsid w:val="00283223"/>
    <w:rsid w:val="00284D5E"/>
    <w:rsid w:val="00284D8F"/>
    <w:rsid w:val="0028676A"/>
    <w:rsid w:val="00286C85"/>
    <w:rsid w:val="002910B6"/>
    <w:rsid w:val="00291F43"/>
    <w:rsid w:val="002932C2"/>
    <w:rsid w:val="00297A26"/>
    <w:rsid w:val="002A01C2"/>
    <w:rsid w:val="002A3BEB"/>
    <w:rsid w:val="002A71DF"/>
    <w:rsid w:val="002A7AC2"/>
    <w:rsid w:val="002B09D6"/>
    <w:rsid w:val="002B1109"/>
    <w:rsid w:val="002B30A3"/>
    <w:rsid w:val="002B7CC7"/>
    <w:rsid w:val="002C0AE0"/>
    <w:rsid w:val="002C0B05"/>
    <w:rsid w:val="002C650E"/>
    <w:rsid w:val="002C656E"/>
    <w:rsid w:val="002D0585"/>
    <w:rsid w:val="002D1A38"/>
    <w:rsid w:val="002D5115"/>
    <w:rsid w:val="002D7678"/>
    <w:rsid w:val="002E3D40"/>
    <w:rsid w:val="002F0E3A"/>
    <w:rsid w:val="002F1EB0"/>
    <w:rsid w:val="002F5648"/>
    <w:rsid w:val="002F68EF"/>
    <w:rsid w:val="00302056"/>
    <w:rsid w:val="003032DA"/>
    <w:rsid w:val="003044EF"/>
    <w:rsid w:val="00310571"/>
    <w:rsid w:val="00311DCC"/>
    <w:rsid w:val="00324AB9"/>
    <w:rsid w:val="00324F7D"/>
    <w:rsid w:val="0032729E"/>
    <w:rsid w:val="00331387"/>
    <w:rsid w:val="00331F1B"/>
    <w:rsid w:val="003327C6"/>
    <w:rsid w:val="00332D74"/>
    <w:rsid w:val="00335E3E"/>
    <w:rsid w:val="00340361"/>
    <w:rsid w:val="00343339"/>
    <w:rsid w:val="00347D58"/>
    <w:rsid w:val="0035032D"/>
    <w:rsid w:val="00350815"/>
    <w:rsid w:val="00350F6F"/>
    <w:rsid w:val="00351A2B"/>
    <w:rsid w:val="00354D64"/>
    <w:rsid w:val="00360EF8"/>
    <w:rsid w:val="0036219E"/>
    <w:rsid w:val="00363938"/>
    <w:rsid w:val="00364043"/>
    <w:rsid w:val="00365BAF"/>
    <w:rsid w:val="00366ED4"/>
    <w:rsid w:val="003679C7"/>
    <w:rsid w:val="00370062"/>
    <w:rsid w:val="00370151"/>
    <w:rsid w:val="00371956"/>
    <w:rsid w:val="00376121"/>
    <w:rsid w:val="003764B1"/>
    <w:rsid w:val="00380F4F"/>
    <w:rsid w:val="00383F26"/>
    <w:rsid w:val="00384733"/>
    <w:rsid w:val="00385041"/>
    <w:rsid w:val="00387369"/>
    <w:rsid w:val="00391DB7"/>
    <w:rsid w:val="00392DA6"/>
    <w:rsid w:val="00396D75"/>
    <w:rsid w:val="003974CA"/>
    <w:rsid w:val="003A2732"/>
    <w:rsid w:val="003A73E1"/>
    <w:rsid w:val="003B1B09"/>
    <w:rsid w:val="003B4719"/>
    <w:rsid w:val="003B6FC9"/>
    <w:rsid w:val="003B7958"/>
    <w:rsid w:val="003B7FB7"/>
    <w:rsid w:val="003C25B6"/>
    <w:rsid w:val="003C27D9"/>
    <w:rsid w:val="003C7DDE"/>
    <w:rsid w:val="003D3028"/>
    <w:rsid w:val="003E0C4F"/>
    <w:rsid w:val="003E1AD3"/>
    <w:rsid w:val="003E1C2A"/>
    <w:rsid w:val="003E2769"/>
    <w:rsid w:val="003E70B0"/>
    <w:rsid w:val="003F1E3C"/>
    <w:rsid w:val="003F3F32"/>
    <w:rsid w:val="003F5377"/>
    <w:rsid w:val="00406EEA"/>
    <w:rsid w:val="00411626"/>
    <w:rsid w:val="00413F42"/>
    <w:rsid w:val="004235CF"/>
    <w:rsid w:val="00424CD9"/>
    <w:rsid w:val="00425615"/>
    <w:rsid w:val="004325A4"/>
    <w:rsid w:val="0043765D"/>
    <w:rsid w:val="00437F81"/>
    <w:rsid w:val="00442C5C"/>
    <w:rsid w:val="0044604B"/>
    <w:rsid w:val="00452B9B"/>
    <w:rsid w:val="00456B0B"/>
    <w:rsid w:val="00460F1C"/>
    <w:rsid w:val="00462E6E"/>
    <w:rsid w:val="00466103"/>
    <w:rsid w:val="00471C7C"/>
    <w:rsid w:val="0047474C"/>
    <w:rsid w:val="00475708"/>
    <w:rsid w:val="00476010"/>
    <w:rsid w:val="00477A66"/>
    <w:rsid w:val="00481968"/>
    <w:rsid w:val="00483F9A"/>
    <w:rsid w:val="00484036"/>
    <w:rsid w:val="00486966"/>
    <w:rsid w:val="00493327"/>
    <w:rsid w:val="004965AF"/>
    <w:rsid w:val="004A07B9"/>
    <w:rsid w:val="004A23CB"/>
    <w:rsid w:val="004B4919"/>
    <w:rsid w:val="004C034A"/>
    <w:rsid w:val="004C399A"/>
    <w:rsid w:val="004C39C6"/>
    <w:rsid w:val="004C6D92"/>
    <w:rsid w:val="004C7030"/>
    <w:rsid w:val="004D5523"/>
    <w:rsid w:val="004E4D87"/>
    <w:rsid w:val="004F246C"/>
    <w:rsid w:val="004F39CD"/>
    <w:rsid w:val="004F4C2E"/>
    <w:rsid w:val="0050170A"/>
    <w:rsid w:val="0050359F"/>
    <w:rsid w:val="00505441"/>
    <w:rsid w:val="00507904"/>
    <w:rsid w:val="00507ACC"/>
    <w:rsid w:val="00510F45"/>
    <w:rsid w:val="005117BC"/>
    <w:rsid w:val="00513B5E"/>
    <w:rsid w:val="00513BED"/>
    <w:rsid w:val="00513DB5"/>
    <w:rsid w:val="00520125"/>
    <w:rsid w:val="005203BC"/>
    <w:rsid w:val="005259C5"/>
    <w:rsid w:val="00526C6B"/>
    <w:rsid w:val="005320A1"/>
    <w:rsid w:val="00534785"/>
    <w:rsid w:val="00535605"/>
    <w:rsid w:val="005362D9"/>
    <w:rsid w:val="00545E34"/>
    <w:rsid w:val="005523E5"/>
    <w:rsid w:val="0055672D"/>
    <w:rsid w:val="00561892"/>
    <w:rsid w:val="00561FB6"/>
    <w:rsid w:val="0056362F"/>
    <w:rsid w:val="00566C1D"/>
    <w:rsid w:val="00566D17"/>
    <w:rsid w:val="005715F2"/>
    <w:rsid w:val="00573A6D"/>
    <w:rsid w:val="00585E92"/>
    <w:rsid w:val="00590DA0"/>
    <w:rsid w:val="00591CD6"/>
    <w:rsid w:val="005A1EB6"/>
    <w:rsid w:val="005A27EE"/>
    <w:rsid w:val="005A4EC8"/>
    <w:rsid w:val="005A5149"/>
    <w:rsid w:val="005B4393"/>
    <w:rsid w:val="005B610D"/>
    <w:rsid w:val="005B7352"/>
    <w:rsid w:val="005C2EE0"/>
    <w:rsid w:val="005C4395"/>
    <w:rsid w:val="005C48C5"/>
    <w:rsid w:val="005C5113"/>
    <w:rsid w:val="005C5465"/>
    <w:rsid w:val="005C656F"/>
    <w:rsid w:val="005C775D"/>
    <w:rsid w:val="005D051A"/>
    <w:rsid w:val="005D0A41"/>
    <w:rsid w:val="005D26C5"/>
    <w:rsid w:val="005D431E"/>
    <w:rsid w:val="005D67CE"/>
    <w:rsid w:val="005D7E45"/>
    <w:rsid w:val="005E1991"/>
    <w:rsid w:val="005E31B5"/>
    <w:rsid w:val="005E66C4"/>
    <w:rsid w:val="005F3DF2"/>
    <w:rsid w:val="005F3F11"/>
    <w:rsid w:val="005F4B60"/>
    <w:rsid w:val="00600877"/>
    <w:rsid w:val="00600D37"/>
    <w:rsid w:val="00603E07"/>
    <w:rsid w:val="00605089"/>
    <w:rsid w:val="006077B0"/>
    <w:rsid w:val="006107E2"/>
    <w:rsid w:val="00610A6D"/>
    <w:rsid w:val="00612F3E"/>
    <w:rsid w:val="00615DD3"/>
    <w:rsid w:val="00616BE8"/>
    <w:rsid w:val="00616BF2"/>
    <w:rsid w:val="00617997"/>
    <w:rsid w:val="00622C6B"/>
    <w:rsid w:val="00623754"/>
    <w:rsid w:val="0062427D"/>
    <w:rsid w:val="00624318"/>
    <w:rsid w:val="00625296"/>
    <w:rsid w:val="00642A94"/>
    <w:rsid w:val="00643C87"/>
    <w:rsid w:val="0064514B"/>
    <w:rsid w:val="00646B18"/>
    <w:rsid w:val="00652A07"/>
    <w:rsid w:val="0065435D"/>
    <w:rsid w:val="00654D2E"/>
    <w:rsid w:val="00664CE4"/>
    <w:rsid w:val="00664D70"/>
    <w:rsid w:val="006702A8"/>
    <w:rsid w:val="00671410"/>
    <w:rsid w:val="00673775"/>
    <w:rsid w:val="00673A5F"/>
    <w:rsid w:val="00676745"/>
    <w:rsid w:val="00676E13"/>
    <w:rsid w:val="00680732"/>
    <w:rsid w:val="00681C78"/>
    <w:rsid w:val="0068351E"/>
    <w:rsid w:val="0068357F"/>
    <w:rsid w:val="006843D0"/>
    <w:rsid w:val="00684866"/>
    <w:rsid w:val="006859A0"/>
    <w:rsid w:val="0069632D"/>
    <w:rsid w:val="006A3214"/>
    <w:rsid w:val="006B293A"/>
    <w:rsid w:val="006B3BC4"/>
    <w:rsid w:val="006B57F4"/>
    <w:rsid w:val="006B6760"/>
    <w:rsid w:val="006B7FAC"/>
    <w:rsid w:val="006C4852"/>
    <w:rsid w:val="006C7630"/>
    <w:rsid w:val="006D3434"/>
    <w:rsid w:val="006D3709"/>
    <w:rsid w:val="006E187C"/>
    <w:rsid w:val="006E2ABF"/>
    <w:rsid w:val="006E3489"/>
    <w:rsid w:val="006E45BC"/>
    <w:rsid w:val="006F0FF9"/>
    <w:rsid w:val="006F1325"/>
    <w:rsid w:val="006F2178"/>
    <w:rsid w:val="006F4013"/>
    <w:rsid w:val="006F54B1"/>
    <w:rsid w:val="007024E2"/>
    <w:rsid w:val="00702EF6"/>
    <w:rsid w:val="00703773"/>
    <w:rsid w:val="00703FF4"/>
    <w:rsid w:val="007069FB"/>
    <w:rsid w:val="007110A2"/>
    <w:rsid w:val="00712014"/>
    <w:rsid w:val="0071316A"/>
    <w:rsid w:val="007138F3"/>
    <w:rsid w:val="00715062"/>
    <w:rsid w:val="00717624"/>
    <w:rsid w:val="00725A3F"/>
    <w:rsid w:val="00734AED"/>
    <w:rsid w:val="00734B8E"/>
    <w:rsid w:val="0073716A"/>
    <w:rsid w:val="00740E51"/>
    <w:rsid w:val="00742E03"/>
    <w:rsid w:val="00746A36"/>
    <w:rsid w:val="00750005"/>
    <w:rsid w:val="00750126"/>
    <w:rsid w:val="00751DA1"/>
    <w:rsid w:val="007545E1"/>
    <w:rsid w:val="00757C5E"/>
    <w:rsid w:val="00761D31"/>
    <w:rsid w:val="00765020"/>
    <w:rsid w:val="00765C8A"/>
    <w:rsid w:val="00770808"/>
    <w:rsid w:val="0077519A"/>
    <w:rsid w:val="00780EAD"/>
    <w:rsid w:val="00781C6F"/>
    <w:rsid w:val="00783276"/>
    <w:rsid w:val="00785922"/>
    <w:rsid w:val="007909D9"/>
    <w:rsid w:val="0079155B"/>
    <w:rsid w:val="00791718"/>
    <w:rsid w:val="0079564B"/>
    <w:rsid w:val="00795BA5"/>
    <w:rsid w:val="007A1105"/>
    <w:rsid w:val="007A1756"/>
    <w:rsid w:val="007A33C4"/>
    <w:rsid w:val="007A5000"/>
    <w:rsid w:val="007A60C9"/>
    <w:rsid w:val="007A675C"/>
    <w:rsid w:val="007A7A4F"/>
    <w:rsid w:val="007B6775"/>
    <w:rsid w:val="007C3055"/>
    <w:rsid w:val="007C38CE"/>
    <w:rsid w:val="007C45FB"/>
    <w:rsid w:val="007C68EB"/>
    <w:rsid w:val="007D0BDD"/>
    <w:rsid w:val="007D1E0F"/>
    <w:rsid w:val="007D389F"/>
    <w:rsid w:val="007D3FA7"/>
    <w:rsid w:val="007D5520"/>
    <w:rsid w:val="007E1D16"/>
    <w:rsid w:val="007E43E4"/>
    <w:rsid w:val="007E5B5C"/>
    <w:rsid w:val="007E68A2"/>
    <w:rsid w:val="007F061A"/>
    <w:rsid w:val="007F5C03"/>
    <w:rsid w:val="007F6E6E"/>
    <w:rsid w:val="0080427C"/>
    <w:rsid w:val="00806E63"/>
    <w:rsid w:val="008157E6"/>
    <w:rsid w:val="008177A6"/>
    <w:rsid w:val="00823178"/>
    <w:rsid w:val="00827F76"/>
    <w:rsid w:val="008309E4"/>
    <w:rsid w:val="00831B71"/>
    <w:rsid w:val="00831EBD"/>
    <w:rsid w:val="00834FA5"/>
    <w:rsid w:val="00835C70"/>
    <w:rsid w:val="0083606E"/>
    <w:rsid w:val="008407F0"/>
    <w:rsid w:val="00841B6E"/>
    <w:rsid w:val="00844A7F"/>
    <w:rsid w:val="008479FA"/>
    <w:rsid w:val="00850300"/>
    <w:rsid w:val="00852589"/>
    <w:rsid w:val="00853880"/>
    <w:rsid w:val="00853C58"/>
    <w:rsid w:val="0086094B"/>
    <w:rsid w:val="0086152A"/>
    <w:rsid w:val="008816DB"/>
    <w:rsid w:val="00883107"/>
    <w:rsid w:val="00886BF2"/>
    <w:rsid w:val="008871DA"/>
    <w:rsid w:val="008943D7"/>
    <w:rsid w:val="008A0519"/>
    <w:rsid w:val="008A0E18"/>
    <w:rsid w:val="008A2C62"/>
    <w:rsid w:val="008A33CA"/>
    <w:rsid w:val="008A457D"/>
    <w:rsid w:val="008B23A4"/>
    <w:rsid w:val="008B3247"/>
    <w:rsid w:val="008B6982"/>
    <w:rsid w:val="008C202F"/>
    <w:rsid w:val="008C3B58"/>
    <w:rsid w:val="008C48C0"/>
    <w:rsid w:val="008D4766"/>
    <w:rsid w:val="008D696C"/>
    <w:rsid w:val="008E10EE"/>
    <w:rsid w:val="008E1E54"/>
    <w:rsid w:val="008E546B"/>
    <w:rsid w:val="008F0F0E"/>
    <w:rsid w:val="008F1C98"/>
    <w:rsid w:val="008F46B5"/>
    <w:rsid w:val="008F6D09"/>
    <w:rsid w:val="008F6F49"/>
    <w:rsid w:val="008F7A02"/>
    <w:rsid w:val="008F7D91"/>
    <w:rsid w:val="0090034A"/>
    <w:rsid w:val="009016FA"/>
    <w:rsid w:val="00901D45"/>
    <w:rsid w:val="0090208F"/>
    <w:rsid w:val="00905869"/>
    <w:rsid w:val="0090618D"/>
    <w:rsid w:val="009112CE"/>
    <w:rsid w:val="0091679C"/>
    <w:rsid w:val="00920A44"/>
    <w:rsid w:val="0092114D"/>
    <w:rsid w:val="00923F1E"/>
    <w:rsid w:val="009241B7"/>
    <w:rsid w:val="0092769F"/>
    <w:rsid w:val="00932F8C"/>
    <w:rsid w:val="0093329C"/>
    <w:rsid w:val="009336A0"/>
    <w:rsid w:val="00933C29"/>
    <w:rsid w:val="00936583"/>
    <w:rsid w:val="00940683"/>
    <w:rsid w:val="00940D20"/>
    <w:rsid w:val="009438AB"/>
    <w:rsid w:val="009456E3"/>
    <w:rsid w:val="00952A3A"/>
    <w:rsid w:val="0096258F"/>
    <w:rsid w:val="00963196"/>
    <w:rsid w:val="00964673"/>
    <w:rsid w:val="00966718"/>
    <w:rsid w:val="00973989"/>
    <w:rsid w:val="00974BC6"/>
    <w:rsid w:val="00975496"/>
    <w:rsid w:val="009827B7"/>
    <w:rsid w:val="0098299C"/>
    <w:rsid w:val="00983F4B"/>
    <w:rsid w:val="009847DC"/>
    <w:rsid w:val="00984B87"/>
    <w:rsid w:val="00985BD2"/>
    <w:rsid w:val="00986F9C"/>
    <w:rsid w:val="009875F1"/>
    <w:rsid w:val="009879DE"/>
    <w:rsid w:val="0099000B"/>
    <w:rsid w:val="00990618"/>
    <w:rsid w:val="00990C4C"/>
    <w:rsid w:val="00991AEC"/>
    <w:rsid w:val="00992B0A"/>
    <w:rsid w:val="00997F93"/>
    <w:rsid w:val="009A01A1"/>
    <w:rsid w:val="009A024B"/>
    <w:rsid w:val="009A02D2"/>
    <w:rsid w:val="009A0934"/>
    <w:rsid w:val="009A0E3A"/>
    <w:rsid w:val="009A4A72"/>
    <w:rsid w:val="009A7CB4"/>
    <w:rsid w:val="009B369C"/>
    <w:rsid w:val="009B5674"/>
    <w:rsid w:val="009B7707"/>
    <w:rsid w:val="009B7996"/>
    <w:rsid w:val="009C5A2B"/>
    <w:rsid w:val="009C5C60"/>
    <w:rsid w:val="009D0E84"/>
    <w:rsid w:val="009D1D94"/>
    <w:rsid w:val="009D2FAB"/>
    <w:rsid w:val="009D455C"/>
    <w:rsid w:val="009D6D66"/>
    <w:rsid w:val="009E3937"/>
    <w:rsid w:val="009E5118"/>
    <w:rsid w:val="009E6E4B"/>
    <w:rsid w:val="009F2EC8"/>
    <w:rsid w:val="009F55E7"/>
    <w:rsid w:val="009F7A49"/>
    <w:rsid w:val="00A00588"/>
    <w:rsid w:val="00A02B3D"/>
    <w:rsid w:val="00A030AF"/>
    <w:rsid w:val="00A0473C"/>
    <w:rsid w:val="00A04F06"/>
    <w:rsid w:val="00A07A97"/>
    <w:rsid w:val="00A122FB"/>
    <w:rsid w:val="00A13225"/>
    <w:rsid w:val="00A14EC8"/>
    <w:rsid w:val="00A16F7D"/>
    <w:rsid w:val="00A17206"/>
    <w:rsid w:val="00A20409"/>
    <w:rsid w:val="00A21DCE"/>
    <w:rsid w:val="00A22C9F"/>
    <w:rsid w:val="00A260E6"/>
    <w:rsid w:val="00A3201B"/>
    <w:rsid w:val="00A3501B"/>
    <w:rsid w:val="00A358CC"/>
    <w:rsid w:val="00A362CF"/>
    <w:rsid w:val="00A473E6"/>
    <w:rsid w:val="00A47F29"/>
    <w:rsid w:val="00A50317"/>
    <w:rsid w:val="00A560E5"/>
    <w:rsid w:val="00A61430"/>
    <w:rsid w:val="00A62FAD"/>
    <w:rsid w:val="00A6348E"/>
    <w:rsid w:val="00A644C3"/>
    <w:rsid w:val="00A6782E"/>
    <w:rsid w:val="00A7168D"/>
    <w:rsid w:val="00A73AED"/>
    <w:rsid w:val="00A75324"/>
    <w:rsid w:val="00A8104E"/>
    <w:rsid w:val="00A83F31"/>
    <w:rsid w:val="00A8422C"/>
    <w:rsid w:val="00A858A0"/>
    <w:rsid w:val="00A87BD6"/>
    <w:rsid w:val="00A91F20"/>
    <w:rsid w:val="00A93C7D"/>
    <w:rsid w:val="00A96007"/>
    <w:rsid w:val="00A96B29"/>
    <w:rsid w:val="00AA16F7"/>
    <w:rsid w:val="00AA1E87"/>
    <w:rsid w:val="00AA5DDE"/>
    <w:rsid w:val="00AB08AA"/>
    <w:rsid w:val="00AB1ADE"/>
    <w:rsid w:val="00AB438B"/>
    <w:rsid w:val="00AB4A79"/>
    <w:rsid w:val="00AB4B59"/>
    <w:rsid w:val="00AB4F5C"/>
    <w:rsid w:val="00AB786F"/>
    <w:rsid w:val="00AC024C"/>
    <w:rsid w:val="00AC26D3"/>
    <w:rsid w:val="00AC2FAA"/>
    <w:rsid w:val="00AC37A8"/>
    <w:rsid w:val="00AC3FCA"/>
    <w:rsid w:val="00AC454E"/>
    <w:rsid w:val="00AC5300"/>
    <w:rsid w:val="00AD264F"/>
    <w:rsid w:val="00AD2AEC"/>
    <w:rsid w:val="00AD3672"/>
    <w:rsid w:val="00AD3C08"/>
    <w:rsid w:val="00AD474A"/>
    <w:rsid w:val="00AD47C7"/>
    <w:rsid w:val="00AD4A61"/>
    <w:rsid w:val="00AD5291"/>
    <w:rsid w:val="00AD674B"/>
    <w:rsid w:val="00AD6D56"/>
    <w:rsid w:val="00AE3981"/>
    <w:rsid w:val="00AE40B8"/>
    <w:rsid w:val="00AE467E"/>
    <w:rsid w:val="00AE52D6"/>
    <w:rsid w:val="00AE5D6F"/>
    <w:rsid w:val="00AF3BF2"/>
    <w:rsid w:val="00AF48F7"/>
    <w:rsid w:val="00AF73B6"/>
    <w:rsid w:val="00B00F19"/>
    <w:rsid w:val="00B03C3D"/>
    <w:rsid w:val="00B05858"/>
    <w:rsid w:val="00B07442"/>
    <w:rsid w:val="00B12DAC"/>
    <w:rsid w:val="00B170F5"/>
    <w:rsid w:val="00B25F38"/>
    <w:rsid w:val="00B31D99"/>
    <w:rsid w:val="00B4128D"/>
    <w:rsid w:val="00B433C8"/>
    <w:rsid w:val="00B44D8D"/>
    <w:rsid w:val="00B471A2"/>
    <w:rsid w:val="00B505AC"/>
    <w:rsid w:val="00B50F6E"/>
    <w:rsid w:val="00B52A1F"/>
    <w:rsid w:val="00B54E61"/>
    <w:rsid w:val="00B55029"/>
    <w:rsid w:val="00B56F8D"/>
    <w:rsid w:val="00B634E3"/>
    <w:rsid w:val="00B637FE"/>
    <w:rsid w:val="00B66442"/>
    <w:rsid w:val="00B6705C"/>
    <w:rsid w:val="00B72399"/>
    <w:rsid w:val="00B72B5A"/>
    <w:rsid w:val="00B73617"/>
    <w:rsid w:val="00B73652"/>
    <w:rsid w:val="00B742DB"/>
    <w:rsid w:val="00B75F65"/>
    <w:rsid w:val="00B75FA7"/>
    <w:rsid w:val="00B77566"/>
    <w:rsid w:val="00B77DE6"/>
    <w:rsid w:val="00B819F9"/>
    <w:rsid w:val="00B82AF0"/>
    <w:rsid w:val="00B835B5"/>
    <w:rsid w:val="00B846FA"/>
    <w:rsid w:val="00B867ED"/>
    <w:rsid w:val="00B915F2"/>
    <w:rsid w:val="00B92600"/>
    <w:rsid w:val="00B95B62"/>
    <w:rsid w:val="00B9622A"/>
    <w:rsid w:val="00BA04FB"/>
    <w:rsid w:val="00BA0FEF"/>
    <w:rsid w:val="00BA2080"/>
    <w:rsid w:val="00BA33A6"/>
    <w:rsid w:val="00BA3835"/>
    <w:rsid w:val="00BA6B29"/>
    <w:rsid w:val="00BA7BCF"/>
    <w:rsid w:val="00BB0BEF"/>
    <w:rsid w:val="00BB0C15"/>
    <w:rsid w:val="00BB53F9"/>
    <w:rsid w:val="00BB7765"/>
    <w:rsid w:val="00BC61F7"/>
    <w:rsid w:val="00BD1168"/>
    <w:rsid w:val="00BD2A6C"/>
    <w:rsid w:val="00BD5272"/>
    <w:rsid w:val="00BD5C17"/>
    <w:rsid w:val="00BD668E"/>
    <w:rsid w:val="00BD68AA"/>
    <w:rsid w:val="00BE0567"/>
    <w:rsid w:val="00BE4956"/>
    <w:rsid w:val="00BE746C"/>
    <w:rsid w:val="00BF31D4"/>
    <w:rsid w:val="00BF7770"/>
    <w:rsid w:val="00C01A38"/>
    <w:rsid w:val="00C069CD"/>
    <w:rsid w:val="00C06A3F"/>
    <w:rsid w:val="00C06DC8"/>
    <w:rsid w:val="00C07C82"/>
    <w:rsid w:val="00C12C64"/>
    <w:rsid w:val="00C13977"/>
    <w:rsid w:val="00C154C8"/>
    <w:rsid w:val="00C163F1"/>
    <w:rsid w:val="00C17A1B"/>
    <w:rsid w:val="00C21C29"/>
    <w:rsid w:val="00C23425"/>
    <w:rsid w:val="00C2399D"/>
    <w:rsid w:val="00C267F5"/>
    <w:rsid w:val="00C32A84"/>
    <w:rsid w:val="00C3475D"/>
    <w:rsid w:val="00C3503E"/>
    <w:rsid w:val="00C35AFC"/>
    <w:rsid w:val="00C41439"/>
    <w:rsid w:val="00C415EC"/>
    <w:rsid w:val="00C45263"/>
    <w:rsid w:val="00C457EE"/>
    <w:rsid w:val="00C4623A"/>
    <w:rsid w:val="00C47347"/>
    <w:rsid w:val="00C547DB"/>
    <w:rsid w:val="00C55D82"/>
    <w:rsid w:val="00C616FC"/>
    <w:rsid w:val="00C6748F"/>
    <w:rsid w:val="00C67FD2"/>
    <w:rsid w:val="00C741DE"/>
    <w:rsid w:val="00C7675B"/>
    <w:rsid w:val="00C838EC"/>
    <w:rsid w:val="00C9054D"/>
    <w:rsid w:val="00C91513"/>
    <w:rsid w:val="00C93071"/>
    <w:rsid w:val="00C93328"/>
    <w:rsid w:val="00C93B35"/>
    <w:rsid w:val="00C93C01"/>
    <w:rsid w:val="00CA48DC"/>
    <w:rsid w:val="00CA5FCB"/>
    <w:rsid w:val="00CA7B41"/>
    <w:rsid w:val="00CB18D7"/>
    <w:rsid w:val="00CB32A5"/>
    <w:rsid w:val="00CB47FE"/>
    <w:rsid w:val="00CC1938"/>
    <w:rsid w:val="00CC2ED8"/>
    <w:rsid w:val="00CC5B95"/>
    <w:rsid w:val="00CC74E7"/>
    <w:rsid w:val="00CE1229"/>
    <w:rsid w:val="00CE16D3"/>
    <w:rsid w:val="00CE3E57"/>
    <w:rsid w:val="00CF771F"/>
    <w:rsid w:val="00D01953"/>
    <w:rsid w:val="00D04CC9"/>
    <w:rsid w:val="00D06879"/>
    <w:rsid w:val="00D078AE"/>
    <w:rsid w:val="00D07D9D"/>
    <w:rsid w:val="00D1179A"/>
    <w:rsid w:val="00D12EA7"/>
    <w:rsid w:val="00D157FE"/>
    <w:rsid w:val="00D20FD7"/>
    <w:rsid w:val="00D217F2"/>
    <w:rsid w:val="00D218B1"/>
    <w:rsid w:val="00D22AB3"/>
    <w:rsid w:val="00D22CF7"/>
    <w:rsid w:val="00D23716"/>
    <w:rsid w:val="00D251EB"/>
    <w:rsid w:val="00D26558"/>
    <w:rsid w:val="00D320A4"/>
    <w:rsid w:val="00D33BF1"/>
    <w:rsid w:val="00D34540"/>
    <w:rsid w:val="00D36086"/>
    <w:rsid w:val="00D415F7"/>
    <w:rsid w:val="00D45567"/>
    <w:rsid w:val="00D460B9"/>
    <w:rsid w:val="00D46FC2"/>
    <w:rsid w:val="00D50A9B"/>
    <w:rsid w:val="00D51E9B"/>
    <w:rsid w:val="00D53F9F"/>
    <w:rsid w:val="00D55AF6"/>
    <w:rsid w:val="00D56B0F"/>
    <w:rsid w:val="00D575A8"/>
    <w:rsid w:val="00D641A0"/>
    <w:rsid w:val="00D66AF2"/>
    <w:rsid w:val="00D7139C"/>
    <w:rsid w:val="00D72737"/>
    <w:rsid w:val="00D739D1"/>
    <w:rsid w:val="00D7658B"/>
    <w:rsid w:val="00D76B31"/>
    <w:rsid w:val="00D76D32"/>
    <w:rsid w:val="00D76F8D"/>
    <w:rsid w:val="00D772C2"/>
    <w:rsid w:val="00D831A1"/>
    <w:rsid w:val="00D8642E"/>
    <w:rsid w:val="00D918E6"/>
    <w:rsid w:val="00D9412B"/>
    <w:rsid w:val="00D96583"/>
    <w:rsid w:val="00D965C3"/>
    <w:rsid w:val="00D96AEF"/>
    <w:rsid w:val="00DA0BB8"/>
    <w:rsid w:val="00DA0F86"/>
    <w:rsid w:val="00DA29A0"/>
    <w:rsid w:val="00DA6338"/>
    <w:rsid w:val="00DA723D"/>
    <w:rsid w:val="00DB23C6"/>
    <w:rsid w:val="00DB4246"/>
    <w:rsid w:val="00DB5025"/>
    <w:rsid w:val="00DC0600"/>
    <w:rsid w:val="00DC415F"/>
    <w:rsid w:val="00DD087F"/>
    <w:rsid w:val="00DD3311"/>
    <w:rsid w:val="00DD490C"/>
    <w:rsid w:val="00DD5BD8"/>
    <w:rsid w:val="00DD7EAD"/>
    <w:rsid w:val="00DE37A6"/>
    <w:rsid w:val="00DE614D"/>
    <w:rsid w:val="00DF4B76"/>
    <w:rsid w:val="00E01401"/>
    <w:rsid w:val="00E055CB"/>
    <w:rsid w:val="00E07D02"/>
    <w:rsid w:val="00E10569"/>
    <w:rsid w:val="00E1128E"/>
    <w:rsid w:val="00E145C5"/>
    <w:rsid w:val="00E200FF"/>
    <w:rsid w:val="00E255AC"/>
    <w:rsid w:val="00E26073"/>
    <w:rsid w:val="00E2796A"/>
    <w:rsid w:val="00E27C23"/>
    <w:rsid w:val="00E27EE0"/>
    <w:rsid w:val="00E3028B"/>
    <w:rsid w:val="00E3295E"/>
    <w:rsid w:val="00E329FF"/>
    <w:rsid w:val="00E37255"/>
    <w:rsid w:val="00E37431"/>
    <w:rsid w:val="00E400B6"/>
    <w:rsid w:val="00E4075C"/>
    <w:rsid w:val="00E41E8C"/>
    <w:rsid w:val="00E43AF2"/>
    <w:rsid w:val="00E44E76"/>
    <w:rsid w:val="00E45714"/>
    <w:rsid w:val="00E45E34"/>
    <w:rsid w:val="00E4617E"/>
    <w:rsid w:val="00E468C2"/>
    <w:rsid w:val="00E47D2F"/>
    <w:rsid w:val="00E503A5"/>
    <w:rsid w:val="00E51EC3"/>
    <w:rsid w:val="00E52643"/>
    <w:rsid w:val="00E61F47"/>
    <w:rsid w:val="00E63D5E"/>
    <w:rsid w:val="00E653E6"/>
    <w:rsid w:val="00E661BF"/>
    <w:rsid w:val="00E66EBE"/>
    <w:rsid w:val="00E71020"/>
    <w:rsid w:val="00E739DC"/>
    <w:rsid w:val="00E75C14"/>
    <w:rsid w:val="00E768F3"/>
    <w:rsid w:val="00E77B0F"/>
    <w:rsid w:val="00E8204B"/>
    <w:rsid w:val="00E86DEB"/>
    <w:rsid w:val="00E87E33"/>
    <w:rsid w:val="00E92A47"/>
    <w:rsid w:val="00E9393A"/>
    <w:rsid w:val="00E947B0"/>
    <w:rsid w:val="00E9502B"/>
    <w:rsid w:val="00E952CC"/>
    <w:rsid w:val="00E9599E"/>
    <w:rsid w:val="00E9651C"/>
    <w:rsid w:val="00E97AFB"/>
    <w:rsid w:val="00EB1F0D"/>
    <w:rsid w:val="00EB3326"/>
    <w:rsid w:val="00EB409A"/>
    <w:rsid w:val="00EB5402"/>
    <w:rsid w:val="00EB59D9"/>
    <w:rsid w:val="00EC57CE"/>
    <w:rsid w:val="00ED713B"/>
    <w:rsid w:val="00ED78B7"/>
    <w:rsid w:val="00EE210F"/>
    <w:rsid w:val="00EE3AC4"/>
    <w:rsid w:val="00EE53BB"/>
    <w:rsid w:val="00EF027A"/>
    <w:rsid w:val="00EF0A7B"/>
    <w:rsid w:val="00EF2165"/>
    <w:rsid w:val="00EF418D"/>
    <w:rsid w:val="00EF7321"/>
    <w:rsid w:val="00F00576"/>
    <w:rsid w:val="00F012E9"/>
    <w:rsid w:val="00F03231"/>
    <w:rsid w:val="00F12E3E"/>
    <w:rsid w:val="00F16A8B"/>
    <w:rsid w:val="00F21045"/>
    <w:rsid w:val="00F32BFE"/>
    <w:rsid w:val="00F36598"/>
    <w:rsid w:val="00F417A9"/>
    <w:rsid w:val="00F41F82"/>
    <w:rsid w:val="00F44B90"/>
    <w:rsid w:val="00F469B3"/>
    <w:rsid w:val="00F55745"/>
    <w:rsid w:val="00F56A17"/>
    <w:rsid w:val="00F57B7C"/>
    <w:rsid w:val="00F61653"/>
    <w:rsid w:val="00F61C51"/>
    <w:rsid w:val="00F64E0B"/>
    <w:rsid w:val="00F679FB"/>
    <w:rsid w:val="00F71E33"/>
    <w:rsid w:val="00F7463E"/>
    <w:rsid w:val="00F75170"/>
    <w:rsid w:val="00F77D92"/>
    <w:rsid w:val="00F805C6"/>
    <w:rsid w:val="00F84ECE"/>
    <w:rsid w:val="00F9513C"/>
    <w:rsid w:val="00FA0B0D"/>
    <w:rsid w:val="00FA0B40"/>
    <w:rsid w:val="00FA38CA"/>
    <w:rsid w:val="00FB03A5"/>
    <w:rsid w:val="00FB04E0"/>
    <w:rsid w:val="00FB5A4A"/>
    <w:rsid w:val="00FC52CE"/>
    <w:rsid w:val="00FC5F77"/>
    <w:rsid w:val="00FC6748"/>
    <w:rsid w:val="00FD404C"/>
    <w:rsid w:val="00FD47C0"/>
    <w:rsid w:val="00FD4964"/>
    <w:rsid w:val="00FD761A"/>
    <w:rsid w:val="00FE1942"/>
    <w:rsid w:val="00FE31D6"/>
    <w:rsid w:val="00FE38A7"/>
    <w:rsid w:val="00FF1A19"/>
    <w:rsid w:val="00FF48CC"/>
    <w:rsid w:val="00FF522B"/>
    <w:rsid w:val="00FF6544"/>
    <w:rsid w:val="00FF6DB6"/>
    <w:rsid w:val="6A6F8A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E4CEB"/>
  <w15:docId w15:val="{572DCF6A-9A61-4401-84D6-BDB9A6237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155B"/>
    <w:pPr>
      <w:spacing w:after="200" w:line="276" w:lineRule="auto"/>
    </w:pPr>
    <w:rPr>
      <w:sz w:val="22"/>
      <w:szCs w:val="22"/>
    </w:rPr>
  </w:style>
  <w:style w:type="paragraph" w:styleId="Heading1">
    <w:name w:val="heading 1"/>
    <w:basedOn w:val="Normal"/>
    <w:next w:val="Normal"/>
    <w:link w:val="Heading1Char"/>
    <w:qFormat/>
    <w:rsid w:val="00780EA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uiPriority w:val="99"/>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de rodapé,nota_rodapé,nota de rodapé,Texto nota pie IIRSA,footnote,Footnote Text Char Char Char,Footnote Text Char Char,Fußnote,single space,FOOTNOTES,ft,ADB,pod carou,Footnote Text Char2 Char,Footnote Text Char1 Char Char"/>
    <w:basedOn w:val="Normal"/>
    <w:link w:val="FootnoteTextChar"/>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rodapé Char,nota_rodapé Char,nota de rodapé Char,Texto nota pie IIRSA Char,footnote Char,Footnote Text Char Char Char Char,Footnote Text Char Char Char1,Fußnote Char,single space Char,FOOTNOTES Char,ft Char,ADB Char"/>
    <w:link w:val="FootnoteText"/>
    <w:rsid w:val="00902F77"/>
    <w:rPr>
      <w:rFonts w:ascii="Times New Roman" w:hAnsi="Times New Roman"/>
      <w:spacing w:val="-3"/>
      <w:szCs w:val="24"/>
    </w:rPr>
  </w:style>
  <w:style w:type="character" w:styleId="FootnoteReference">
    <w:name w:val="footnote reference"/>
    <w:aliases w:val="ftref,BVI fnr, BVI fnr,Fußnotenzeichen DISS,FC"/>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4"/>
      </w:numPr>
      <w:tabs>
        <w:tab w:val="left" w:pos="1440"/>
      </w:tabs>
      <w:spacing w:before="240" w:after="240" w:line="240" w:lineRule="auto"/>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uiPriority w:val="99"/>
    <w:rsid w:val="00816867"/>
    <w:rPr>
      <w:rFonts w:ascii="Times New Roman" w:hAnsi="Times New Roman"/>
      <w:b/>
      <w:sz w:val="24"/>
      <w:szCs w:val="22"/>
    </w:rPr>
  </w:style>
  <w:style w:type="paragraph" w:customStyle="1" w:styleId="SecHeading">
    <w:name w:val="SecHeading"/>
    <w:basedOn w:val="Normal"/>
    <w:next w:val="Paragraph"/>
    <w:link w:val="SecHeadingChar"/>
    <w:uiPriority w:val="99"/>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uiPriority w:val="99"/>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uiPriority w:val="99"/>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spacing w:before="120"/>
      <w:ind w:left="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numPr>
        <w:ilvl w:val="2"/>
        <w:numId w:val="4"/>
      </w:numPr>
      <w:spacing w:before="120"/>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numPr>
        <w:ilvl w:val="3"/>
      </w:numPr>
      <w:tabs>
        <w:tab w:val="left" w:pos="0"/>
      </w:tabs>
    </w:pPr>
  </w:style>
  <w:style w:type="character" w:customStyle="1" w:styleId="SubSubParChar">
    <w:name w:val="SubSubPar Char"/>
    <w:link w:val="SubSubPar"/>
    <w:uiPriority w:val="99"/>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rPr>
  </w:style>
  <w:style w:type="character" w:customStyle="1" w:styleId="Heading3Char">
    <w:name w:val="Heading 3 Char"/>
    <w:link w:val="Heading3"/>
    <w:rsid w:val="00816867"/>
    <w:rPr>
      <w:rFonts w:ascii="Cambria" w:eastAsia="Times New Roman" w:hAnsi="Cambria"/>
      <w:b/>
      <w:bCs/>
      <w:sz w:val="26"/>
      <w:szCs w:val="26"/>
    </w:rPr>
  </w:style>
  <w:style w:type="character" w:customStyle="1" w:styleId="Heading4Char">
    <w:name w:val="Heading 4 Char"/>
    <w:link w:val="Heading4"/>
    <w:rsid w:val="00816867"/>
    <w:rPr>
      <w:rFonts w:eastAsia="Times New Roman"/>
      <w:b/>
      <w:bCs/>
      <w:sz w:val="28"/>
      <w:szCs w:val="28"/>
    </w:rPr>
  </w:style>
  <w:style w:type="character" w:customStyle="1" w:styleId="Heading5Char">
    <w:name w:val="Heading 5 Char"/>
    <w:link w:val="Heading5"/>
    <w:uiPriority w:val="99"/>
    <w:rsid w:val="00816867"/>
    <w:rPr>
      <w:rFonts w:eastAsia="Times New Roman"/>
      <w:b/>
      <w:bCs/>
      <w:i/>
      <w:iCs/>
      <w:sz w:val="26"/>
      <w:szCs w:val="26"/>
    </w:rPr>
  </w:style>
  <w:style w:type="character" w:customStyle="1" w:styleId="Heading6Char">
    <w:name w:val="Heading 6 Char"/>
    <w:link w:val="Heading6"/>
    <w:uiPriority w:val="99"/>
    <w:rsid w:val="00816867"/>
    <w:rPr>
      <w:rFonts w:eastAsia="Times New Roman"/>
      <w:b/>
      <w:bCs/>
      <w:sz w:val="22"/>
      <w:szCs w:val="22"/>
    </w:rPr>
  </w:style>
  <w:style w:type="character" w:customStyle="1" w:styleId="Heading7Char">
    <w:name w:val="Heading 7 Char"/>
    <w:link w:val="Heading7"/>
    <w:uiPriority w:val="99"/>
    <w:rsid w:val="00816867"/>
    <w:rPr>
      <w:rFonts w:eastAsia="Times New Roman"/>
      <w:sz w:val="24"/>
      <w:szCs w:val="24"/>
    </w:rPr>
  </w:style>
  <w:style w:type="character" w:customStyle="1" w:styleId="Heading8Char">
    <w:name w:val="Heading 8 Char"/>
    <w:link w:val="Heading8"/>
    <w:uiPriority w:val="99"/>
    <w:rsid w:val="00816867"/>
    <w:rPr>
      <w:rFonts w:eastAsia="Times New Roman"/>
      <w:i/>
      <w:iCs/>
      <w:sz w:val="24"/>
      <w:szCs w:val="24"/>
    </w:rPr>
  </w:style>
  <w:style w:type="character" w:customStyle="1" w:styleId="Heading9Char">
    <w:name w:val="Heading 9 Char"/>
    <w:link w:val="Heading9"/>
    <w:uiPriority w:val="9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link w:val="ListParagraphChar"/>
    <w:uiPriority w:val="34"/>
    <w:qFormat/>
    <w:rsid w:val="009456E3"/>
    <w:pPr>
      <w:ind w:left="720"/>
    </w:pPr>
  </w:style>
  <w:style w:type="paragraph" w:styleId="Revision">
    <w:name w:val="Revision"/>
    <w:hidden/>
    <w:rsid w:val="00C12C64"/>
    <w:rPr>
      <w:sz w:val="22"/>
      <w:szCs w:val="22"/>
    </w:rPr>
  </w:style>
  <w:style w:type="character" w:customStyle="1" w:styleId="ListParagraphChar">
    <w:name w:val="List Paragraph Char"/>
    <w:link w:val="ListParagraph"/>
    <w:uiPriority w:val="34"/>
    <w:rsid w:val="003B6FC9"/>
    <w:rPr>
      <w:sz w:val="22"/>
      <w:szCs w:val="22"/>
    </w:rPr>
  </w:style>
  <w:style w:type="numbering" w:customStyle="1" w:styleId="StyleBID">
    <w:name w:val="StyleBID"/>
    <w:rsid w:val="003B6FC9"/>
    <w:pPr>
      <w:numPr>
        <w:numId w:val="9"/>
      </w:numPr>
    </w:pPr>
  </w:style>
  <w:style w:type="paragraph" w:customStyle="1" w:styleId="heading-b24">
    <w:name w:val="heading-b24"/>
    <w:basedOn w:val="Normal"/>
    <w:next w:val="Normal"/>
    <w:rsid w:val="002D1A38"/>
    <w:pPr>
      <w:spacing w:after="600" w:line="240" w:lineRule="auto"/>
      <w:jc w:val="center"/>
    </w:pPr>
    <w:rPr>
      <w:rFonts w:ascii="Times New Roman Bold" w:eastAsia="Times New Roman" w:hAnsi="Times New Roman Bold"/>
      <w:b/>
      <w:smallCaps/>
      <w:spacing w:val="-3"/>
      <w:sz w:val="24"/>
      <w:szCs w:val="20"/>
      <w:lang w:val="es-ES_tradnl"/>
    </w:rPr>
  </w:style>
  <w:style w:type="character" w:customStyle="1" w:styleId="ParagraphCar">
    <w:name w:val="Paragraph Car"/>
    <w:rsid w:val="00BD68AA"/>
    <w:rPr>
      <w:sz w:val="24"/>
      <w:lang w:val="es-ES_tradnl"/>
    </w:rPr>
  </w:style>
  <w:style w:type="paragraph" w:styleId="Caption">
    <w:name w:val="caption"/>
    <w:basedOn w:val="Normal"/>
    <w:next w:val="Normal"/>
    <w:uiPriority w:val="35"/>
    <w:qFormat/>
    <w:rsid w:val="00BD68AA"/>
    <w:pPr>
      <w:spacing w:after="0" w:line="240" w:lineRule="auto"/>
    </w:pPr>
    <w:rPr>
      <w:rFonts w:ascii="Times New Roman" w:eastAsia="Times New Roman" w:hAnsi="Times New Roman"/>
      <w:b/>
      <w:bCs/>
      <w:sz w:val="20"/>
      <w:szCs w:val="20"/>
      <w:lang w:val="es-ES_tradnl"/>
    </w:rPr>
  </w:style>
  <w:style w:type="character" w:styleId="UnresolvedMention">
    <w:name w:val="Unresolved Mention"/>
    <w:basedOn w:val="DefaultParagraphFont"/>
    <w:uiPriority w:val="99"/>
    <w:semiHidden/>
    <w:unhideWhenUsed/>
    <w:rsid w:val="00C91513"/>
    <w:rPr>
      <w:color w:val="605E5C"/>
      <w:shd w:val="clear" w:color="auto" w:fill="E1DFDD"/>
    </w:rPr>
  </w:style>
  <w:style w:type="character" w:customStyle="1" w:styleId="Heading1Char">
    <w:name w:val="Heading 1 Char"/>
    <w:basedOn w:val="DefaultParagraphFont"/>
    <w:link w:val="Heading1"/>
    <w:rsid w:val="00780EAD"/>
    <w:rPr>
      <w:rFonts w:asciiTheme="majorHAnsi" w:eastAsiaTheme="majorEastAsia" w:hAnsiTheme="majorHAnsi" w:cstheme="majorBidi"/>
      <w:color w:val="365F91" w:themeColor="accent1" w:themeShade="BF"/>
      <w:sz w:val="32"/>
      <w:szCs w:val="32"/>
    </w:rPr>
  </w:style>
  <w:style w:type="paragraph" w:customStyle="1" w:styleId="Default">
    <w:name w:val="Default"/>
    <w:rsid w:val="00AC5300"/>
    <w:pPr>
      <w:autoSpaceDE w:val="0"/>
      <w:autoSpaceDN w:val="0"/>
      <w:adjustRightInd w:val="0"/>
    </w:pPr>
    <w:rPr>
      <w:rFonts w:ascii="Times New Roman" w:eastAsiaTheme="minorHAnsi" w:hAnsi="Times New Roman"/>
      <w:color w:val="000000"/>
      <w:sz w:val="24"/>
      <w:szCs w:val="24"/>
    </w:rPr>
  </w:style>
  <w:style w:type="character" w:styleId="PlaceholderText">
    <w:name w:val="Placeholder Text"/>
    <w:basedOn w:val="DefaultParagraphFont"/>
    <w:rsid w:val="00477A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45910">
      <w:bodyDiv w:val="1"/>
      <w:marLeft w:val="0"/>
      <w:marRight w:val="0"/>
      <w:marTop w:val="0"/>
      <w:marBottom w:val="0"/>
      <w:divBdr>
        <w:top w:val="none" w:sz="0" w:space="0" w:color="auto"/>
        <w:left w:val="none" w:sz="0" w:space="0" w:color="auto"/>
        <w:bottom w:val="none" w:sz="0" w:space="0" w:color="auto"/>
        <w:right w:val="none" w:sz="0" w:space="0" w:color="auto"/>
      </w:divBdr>
    </w:div>
    <w:div w:id="182599594">
      <w:bodyDiv w:val="1"/>
      <w:marLeft w:val="0"/>
      <w:marRight w:val="0"/>
      <w:marTop w:val="0"/>
      <w:marBottom w:val="0"/>
      <w:divBdr>
        <w:top w:val="none" w:sz="0" w:space="0" w:color="auto"/>
        <w:left w:val="none" w:sz="0" w:space="0" w:color="auto"/>
        <w:bottom w:val="none" w:sz="0" w:space="0" w:color="auto"/>
        <w:right w:val="none" w:sz="0" w:space="0" w:color="auto"/>
      </w:divBdr>
    </w:div>
    <w:div w:id="222059976">
      <w:bodyDiv w:val="1"/>
      <w:marLeft w:val="0"/>
      <w:marRight w:val="0"/>
      <w:marTop w:val="0"/>
      <w:marBottom w:val="0"/>
      <w:divBdr>
        <w:top w:val="none" w:sz="0" w:space="0" w:color="auto"/>
        <w:left w:val="none" w:sz="0" w:space="0" w:color="auto"/>
        <w:bottom w:val="none" w:sz="0" w:space="0" w:color="auto"/>
        <w:right w:val="none" w:sz="0" w:space="0" w:color="auto"/>
      </w:divBdr>
    </w:div>
    <w:div w:id="238489317">
      <w:bodyDiv w:val="1"/>
      <w:marLeft w:val="0"/>
      <w:marRight w:val="0"/>
      <w:marTop w:val="0"/>
      <w:marBottom w:val="0"/>
      <w:divBdr>
        <w:top w:val="none" w:sz="0" w:space="0" w:color="auto"/>
        <w:left w:val="none" w:sz="0" w:space="0" w:color="auto"/>
        <w:bottom w:val="none" w:sz="0" w:space="0" w:color="auto"/>
        <w:right w:val="none" w:sz="0" w:space="0" w:color="auto"/>
      </w:divBdr>
    </w:div>
    <w:div w:id="274606303">
      <w:bodyDiv w:val="1"/>
      <w:marLeft w:val="0"/>
      <w:marRight w:val="0"/>
      <w:marTop w:val="0"/>
      <w:marBottom w:val="0"/>
      <w:divBdr>
        <w:top w:val="none" w:sz="0" w:space="0" w:color="auto"/>
        <w:left w:val="none" w:sz="0" w:space="0" w:color="auto"/>
        <w:bottom w:val="none" w:sz="0" w:space="0" w:color="auto"/>
        <w:right w:val="none" w:sz="0" w:space="0" w:color="auto"/>
      </w:divBdr>
    </w:div>
    <w:div w:id="304354458">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84895170">
      <w:bodyDiv w:val="1"/>
      <w:marLeft w:val="0"/>
      <w:marRight w:val="0"/>
      <w:marTop w:val="0"/>
      <w:marBottom w:val="0"/>
      <w:divBdr>
        <w:top w:val="none" w:sz="0" w:space="0" w:color="auto"/>
        <w:left w:val="none" w:sz="0" w:space="0" w:color="auto"/>
        <w:bottom w:val="none" w:sz="0" w:space="0" w:color="auto"/>
        <w:right w:val="none" w:sz="0" w:space="0" w:color="auto"/>
      </w:divBdr>
    </w:div>
    <w:div w:id="990864590">
      <w:bodyDiv w:val="1"/>
      <w:marLeft w:val="0"/>
      <w:marRight w:val="0"/>
      <w:marTop w:val="0"/>
      <w:marBottom w:val="0"/>
      <w:divBdr>
        <w:top w:val="none" w:sz="0" w:space="0" w:color="auto"/>
        <w:left w:val="none" w:sz="0" w:space="0" w:color="auto"/>
        <w:bottom w:val="none" w:sz="0" w:space="0" w:color="auto"/>
        <w:right w:val="none" w:sz="0" w:space="0" w:color="auto"/>
      </w:divBdr>
    </w:div>
    <w:div w:id="1004553078">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810181">
      <w:bodyDiv w:val="1"/>
      <w:marLeft w:val="0"/>
      <w:marRight w:val="0"/>
      <w:marTop w:val="0"/>
      <w:marBottom w:val="0"/>
      <w:divBdr>
        <w:top w:val="none" w:sz="0" w:space="0" w:color="auto"/>
        <w:left w:val="none" w:sz="0" w:space="0" w:color="auto"/>
        <w:bottom w:val="none" w:sz="0" w:space="0" w:color="auto"/>
        <w:right w:val="none" w:sz="0" w:space="0" w:color="auto"/>
      </w:divBdr>
    </w:div>
    <w:div w:id="1267618281">
      <w:bodyDiv w:val="1"/>
      <w:marLeft w:val="0"/>
      <w:marRight w:val="0"/>
      <w:marTop w:val="0"/>
      <w:marBottom w:val="0"/>
      <w:divBdr>
        <w:top w:val="none" w:sz="0" w:space="0" w:color="auto"/>
        <w:left w:val="none" w:sz="0" w:space="0" w:color="auto"/>
        <w:bottom w:val="none" w:sz="0" w:space="0" w:color="auto"/>
        <w:right w:val="none" w:sz="0" w:space="0" w:color="auto"/>
      </w:divBdr>
    </w:div>
    <w:div w:id="1270309844">
      <w:bodyDiv w:val="1"/>
      <w:marLeft w:val="0"/>
      <w:marRight w:val="0"/>
      <w:marTop w:val="0"/>
      <w:marBottom w:val="0"/>
      <w:divBdr>
        <w:top w:val="none" w:sz="0" w:space="0" w:color="auto"/>
        <w:left w:val="none" w:sz="0" w:space="0" w:color="auto"/>
        <w:bottom w:val="none" w:sz="0" w:space="0" w:color="auto"/>
        <w:right w:val="none" w:sz="0" w:space="0" w:color="auto"/>
      </w:divBdr>
    </w:div>
    <w:div w:id="1289431395">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85182060">
      <w:bodyDiv w:val="1"/>
      <w:marLeft w:val="0"/>
      <w:marRight w:val="0"/>
      <w:marTop w:val="0"/>
      <w:marBottom w:val="0"/>
      <w:divBdr>
        <w:top w:val="none" w:sz="0" w:space="0" w:color="auto"/>
        <w:left w:val="none" w:sz="0" w:space="0" w:color="auto"/>
        <w:bottom w:val="none" w:sz="0" w:space="0" w:color="auto"/>
        <w:right w:val="none" w:sz="0" w:space="0" w:color="auto"/>
      </w:divBdr>
    </w:div>
    <w:div w:id="1426340022">
      <w:bodyDiv w:val="1"/>
      <w:marLeft w:val="0"/>
      <w:marRight w:val="0"/>
      <w:marTop w:val="0"/>
      <w:marBottom w:val="0"/>
      <w:divBdr>
        <w:top w:val="none" w:sz="0" w:space="0" w:color="auto"/>
        <w:left w:val="none" w:sz="0" w:space="0" w:color="auto"/>
        <w:bottom w:val="none" w:sz="0" w:space="0" w:color="auto"/>
        <w:right w:val="none" w:sz="0" w:space="0" w:color="auto"/>
      </w:divBdr>
    </w:div>
    <w:div w:id="1491366744">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66647865">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861816">
      <w:bodyDiv w:val="1"/>
      <w:marLeft w:val="0"/>
      <w:marRight w:val="0"/>
      <w:marTop w:val="0"/>
      <w:marBottom w:val="0"/>
      <w:divBdr>
        <w:top w:val="none" w:sz="0" w:space="0" w:color="auto"/>
        <w:left w:val="none" w:sz="0" w:space="0" w:color="auto"/>
        <w:bottom w:val="none" w:sz="0" w:space="0" w:color="auto"/>
        <w:right w:val="none" w:sz="0" w:space="0" w:color="auto"/>
      </w:divBdr>
    </w:div>
    <w:div w:id="193764047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9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adb.org/sites/default/files/publication/177093/adbi-wp553.pdf" TargetMode="External"/><Relationship Id="rId26" Type="http://schemas.openxmlformats.org/officeDocument/2006/relationships/hyperlink" Target="http://www.doingbusiness.org" TargetMode="External"/><Relationship Id="rId3" Type="http://schemas.openxmlformats.org/officeDocument/2006/relationships/customXml" Target="../customXml/item3.xml"/><Relationship Id="rId21" Type="http://schemas.openxmlformats.org/officeDocument/2006/relationships/hyperlink" Target="http://scunning.com/abadie-diamond-and-hainmuel.pdf" TargetMode="External"/><Relationship Id="rId34" Type="http://schemas.openxmlformats.org/officeDocument/2006/relationships/hyperlink" Target="http://idbdocs.iadb.org/wsdocs/getDocument.aspx?DOCNUM=EZSHARE-34892997-30"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sciencedirect.com/science/article/pii/S0304387802001050" TargetMode="External"/><Relationship Id="rId25" Type="http://schemas.openxmlformats.org/officeDocument/2006/relationships/hyperlink" Target="http://www.weforum.org" TargetMode="External"/><Relationship Id="rId33" Type="http://schemas.openxmlformats.org/officeDocument/2006/relationships/hyperlink" Target="https://www.ptvgroup.com/en/solutions/products/ptv-vissim/" TargetMode="External"/><Relationship Id="rId2" Type="http://schemas.openxmlformats.org/officeDocument/2006/relationships/customXml" Target="../customXml/item2.xml"/><Relationship Id="rId16" Type="http://schemas.openxmlformats.org/officeDocument/2006/relationships/hyperlink" Target="https://blog.iic.org/2018/11/09/expansion-of-panama-canal/" TargetMode="External"/><Relationship Id="rId20" Type="http://schemas.openxmlformats.org/officeDocument/2006/relationships/hyperlink" Target="http://www.nyu.edu/gsas/dept/politics/faculty/beck/abadie_aer.pdf" TargetMode="External"/><Relationship Id="rId29" Type="http://schemas.openxmlformats.org/officeDocument/2006/relationships/hyperlink" Target="http://www.doingbusiness.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nyu.edu/gsas/dept/politics/faculty/beck/abadie_aer.pdf" TargetMode="External"/><Relationship Id="rId32" Type="http://schemas.openxmlformats.org/officeDocument/2006/relationships/hyperlink" Target="http://idbdocs.iadb.org/wsdocs/getDocument.aspx?DOCNUM=EZSHARE-34892997-31"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irectories.lloydslist.com/" TargetMode="External"/><Relationship Id="rId28" Type="http://schemas.openxmlformats.org/officeDocument/2006/relationships/hyperlink" Target="http://idbdocs.iadb.org/wsdocs/getDocument.aspx?DOCNUM=EZSHARE-34892997-31"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pdf.sciencedirectassets.com/271795/1-s2.0-S0965856416X00043/1-s2.0-S0965856416000276/main.pdf?x-amz-security-token=AgoJb3JpZ2luX2VjEE4aCXVzLWVhc3QtMSJHMEUCIH8bXOHtMNZUYkXfJqQiUbMSnKBAtvEAyGIjQtOaHBS1AiEAoUKBsGgyvm9H2rxH5p6gHwC4jwKudNigUxVobX4219Iq4wMI9%2F%2F%2F%2F%2F%2F%2F%2F%2F%2F%2FARACGgwwNTkwMDM1NDY4NjUiDCpDer9tZCzzUzUIAiq3Ay9y%2BGh930oxQnR9BxL3JVsGwE1ZrVMfLFGhW8QRHOMHT%2B%2B84mQwd87y6LyJtHjfR5Dqf1o3%2FN7XrC5yEsYoNhl0ak5aIn5AWz5b%2Bwpg0NdM8gf42U3bL02HKJ2CfrVvOzKnlNjpZkOEyT7ic%2BwjlPymATsdsh6MeZJyLC3nBvbcrJRJ4bS%2Bk65rEiPuLtq2br7D4UE0oNLZQ5DP1ZF9PU6M8AIiO1lFHnCJ0zyFr8ld3yj2L9BxVg%2BpXJtQKpRtD6em3sTpr5XLZhu71S2HCIQ737fagv7nXrKE69DPJrGqD0W219234BouTpa8uc8yQABDsrmiCGeOI2HyrO6Ab5RBaudxfmd0xRn%2FjomesmECsSKuTDMXLFtNViy1lMPJqrNG5Q1YQayyefm%2FHWGg29vVzKhXMesftWKBBaGkqsmBdq6%2F9AmKvKaJvLoi1%2BGY3k1kYt727j6gNgny1Rkn%2BqeeoUUhVZ6AoHRyH8a%2FIkZdVwHo9Woi5Vw79r2Gm%2Bb4yBQ6OSOf4TH%2BBXgc5QA8ZIwSwBpmQDQaSLsk7jkssTtGHO414PIy4YYm3gRYPVl1IEco9INU2jIwgbrq5AU6tAFBsIAaQJRpjeat9uGqoDvIMb1DbiYVS%2F%2BULaV8QnSjSas0lN446ZWZ4gfUQ1zwiOvFNOhzIWtM2BhG5F88olUeG7LxIz0D2xmdELzbspXtUi9lz37Y0ur0kxBa%2BEpCX2T5tgqql%2BdSHxyLSDI%2BqrauLBe89BkTgkeVU8IrXvJYUXJ4HWVFxJTK1hghYKjagBhNZyLXyM%2B9R8%2FWq%2BnLdZSF3ezgLjzRUiilRnVh5dQiztHnF9c%3D&amp;AWSAccessKeyId=ASIAQ3PHCVTYSWATKWMI&amp;Expires=1553639460&amp;Signature=oq73Ul99T0GBtsrQDEMkBvpLYpg%3D&amp;hash=c96975fd05162d383037a1e34d1fd95038edf1a024497358a2adb23c0336d5e0&amp;host=68042c943591013ac2b2430a89b270f6af2c76d8dfd086a07176afe7c76c2c61&amp;pii=S0965856416000276&amp;tid=spdf-07fb721e-c1d7-4757-bba9-ac716737030b&amp;sid=e2d38168104ce24149383387e0e79781aa63gxrqa&amp;type=client" TargetMode="External"/><Relationship Id="rId31" Type="http://schemas.openxmlformats.org/officeDocument/2006/relationships/hyperlink" Target="http://scunning.com/abadie-diamond-and-hainmuel.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www.nyu.edu/gsas/dept/politics/faculty/beck/abadie_aer.pdf" TargetMode="External"/><Relationship Id="rId27" Type="http://schemas.openxmlformats.org/officeDocument/2006/relationships/hyperlink" Target="http://idbdocs.iadb.org/wsdocs/getDocument.aspx?DOCNUM=EZSHARE-34892997-31" TargetMode="External"/><Relationship Id="rId30" Type="http://schemas.openxmlformats.org/officeDocument/2006/relationships/hyperlink" Target="http://www.nyu.edu/gsas/dept/politics/faculty/beck/abadie_aer.pdf" TargetMode="External"/><Relationship Id="rId35" Type="http://schemas.openxmlformats.org/officeDocument/2006/relationships/hyperlink" Target="http://idbdocs.iadb.org/wsdocs/getDocument.aspx?DOCNUM=EZSHARE-34892997-3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ocuments.worldbank.org/curated/en/759371468153286766/The-value-of-time-in-economic-evaluation-of-transport-projects" TargetMode="External"/><Relationship Id="rId2" Type="http://schemas.openxmlformats.org/officeDocument/2006/relationships/hyperlink" Target="http://www.dot.ca.gov/hq/tpp/offices/eab/LCBC_Analysis_Model.html" TargetMode="External"/><Relationship Id="rId1" Type="http://schemas.openxmlformats.org/officeDocument/2006/relationships/hyperlink" Target="http://documents.worldbank.org/curated/en/759371468153286766/The-value-of-time-in-economic-evaluation-of-transport-projects" TargetMode="External"/><Relationship Id="rId4" Type="http://schemas.openxmlformats.org/officeDocument/2006/relationships/hyperlink" Target="http://www.dot.ca.gov/hq/tpp/offices/eab/LCBC_Analysis_Mode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4828/OC-SU;</Approval_x0020_Number>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PORT INFRASTRUCTURE</TermName>
          <TermId xmlns="http://schemas.microsoft.com/office/infopath/2007/PartnerControls">4e681a43-1c9f-4e50-9d53-841046abf269</TermId>
        </TermInfo>
      </Terms>
    </b2ec7cfb18674cb8803df6b262e8b107>
    <Business_x0020_Area xmlns="cdc7663a-08f0-4737-9e8c-148ce897a09c" xsi:nil="true"/>
    <Key_x0020_Document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118</Value>
      <Value>117</Value>
      <Value>2</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SU-L1057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R0002318182</Record_x0020_Number>
    <_dlc_DocId xmlns="cdc7663a-08f0-4737-9e8c-148ce897a09c">EZSHARE-34892997-27</_dlc_DocId>
    <_dlc_DocIdUrl xmlns="cdc7663a-08f0-4737-9e8c-148ce897a09c">
      <Url>https://idbg.sharepoint.com/teams/EZ-SU-LON/SU-L1057/_layouts/15/DocIdRedir.aspx?ID=EZSHARE-34892997-27</Url>
      <Description>EZSHARE-34892997-27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D72703920994348BB69502AE21E3CB9" ma:contentTypeVersion="561" ma:contentTypeDescription="A content type to manage public (operations) IDB documents" ma:contentTypeScope="" ma:versionID="4808a6526a26069866974d257d4acc1b">
  <xsd:schema xmlns:xsd="http://www.w3.org/2001/XMLSchema" xmlns:xs="http://www.w3.org/2001/XMLSchema" xmlns:p="http://schemas.microsoft.com/office/2006/metadata/properties" xmlns:ns2="cdc7663a-08f0-4737-9e8c-148ce897a09c" targetNamespace="http://schemas.microsoft.com/office/2006/metadata/properties" ma:root="true" ma:fieldsID="1549d0de7ea22136230f6f99f2ef3c0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CBA27-8AF9-4AF6-B4F2-E2435C2ADA41}">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17DBA610-CB00-4855-8797-D6F376C56B4B}">
  <ds:schemaRefs>
    <ds:schemaRef ds:uri="http://schemas.microsoft.com/sharepoint/v3/contenttype/forms"/>
  </ds:schemaRefs>
</ds:datastoreItem>
</file>

<file path=customXml/itemProps3.xml><?xml version="1.0" encoding="utf-8"?>
<ds:datastoreItem xmlns:ds="http://schemas.openxmlformats.org/officeDocument/2006/customXml" ds:itemID="{35928EF2-CD78-492E-843F-39C91AF03065}"/>
</file>

<file path=customXml/itemProps4.xml><?xml version="1.0" encoding="utf-8"?>
<ds:datastoreItem xmlns:ds="http://schemas.openxmlformats.org/officeDocument/2006/customXml" ds:itemID="{A37070E6-F50E-499C-AC65-8FF2EF9E10F0}"/>
</file>

<file path=customXml/itemProps5.xml><?xml version="1.0" encoding="utf-8"?>
<ds:datastoreItem xmlns:ds="http://schemas.openxmlformats.org/officeDocument/2006/customXml" ds:itemID="{785385EE-27D4-4803-98C9-D89F448368AE}">
  <ds:schemaRefs>
    <ds:schemaRef ds:uri="http://schemas.microsoft.com/sharepoint/events"/>
  </ds:schemaRefs>
</ds:datastoreItem>
</file>

<file path=customXml/itemProps6.xml><?xml version="1.0" encoding="utf-8"?>
<ds:datastoreItem xmlns:ds="http://schemas.openxmlformats.org/officeDocument/2006/customXml" ds:itemID="{4C1557A6-36FA-4206-9F0B-0CFE55D7D91E}"/>
</file>

<file path=customXml/itemProps7.xml><?xml version="1.0" encoding="utf-8"?>
<ds:datastoreItem xmlns:ds="http://schemas.openxmlformats.org/officeDocument/2006/customXml" ds:itemID="{88D9E3E0-36E1-495F-B70A-D7E8A2013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7863</Words>
  <Characters>43250</Characters>
  <Application>Microsoft Office Word</Application>
  <DocSecurity>0</DocSecurity>
  <Lines>360</Lines>
  <Paragraphs>102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Rodriguez Cabezas, Paola Katherine</cp:lastModifiedBy>
  <cp:revision>6</cp:revision>
  <cp:lastPrinted>2014-09-29T16:30:00Z</cp:lastPrinted>
  <dcterms:created xsi:type="dcterms:W3CDTF">2019-05-03T14:49:00Z</dcterms:created>
  <dcterms:modified xsi:type="dcterms:W3CDTF">2019-05-03T19:40:00Z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118;#PORT INFRASTRUCTURE|4e681a43-1c9f-4e50-9d53-841046abf269</vt:lpwstr>
  </property>
  <property fmtid="{D5CDD505-2E9C-101B-9397-08002B2CF9AE}" pid="6" name="Fund IDB">
    <vt:lpwstr/>
  </property>
  <property fmtid="{D5CDD505-2E9C-101B-9397-08002B2CF9AE}" pid="7" name="Country">
    <vt:lpwstr>22;#Suriname|78f391d2-6a9c-4a90-96e5-b3c0fdf8e7da</vt:lpwstr>
  </property>
  <property fmtid="{D5CDD505-2E9C-101B-9397-08002B2CF9AE}" pid="8" name="Sector IDB">
    <vt:lpwstr>117;#TRANSPORT|5a25d1a8-4baf-41a8-9e3b-e167accda6ea</vt:lpwstr>
  </property>
  <property fmtid="{D5CDD505-2E9C-101B-9397-08002B2CF9AE}" pid="9" name="Function Operations IDB">
    <vt:lpwstr>2;#Monitoring and Reporting|df3c2aa1-d63e-41aa-b1f5-bb15dee691ca</vt:lpwstr>
  </property>
  <property fmtid="{D5CDD505-2E9C-101B-9397-08002B2CF9AE}" pid="10" name="_dlc_DocIdItemGuid">
    <vt:lpwstr>a3ca0116-3b18-4394-b5df-6944f1e86260</vt:lpwstr>
  </property>
  <property fmtid="{D5CDD505-2E9C-101B-9397-08002B2CF9AE}" pid="11" name="Disclosure Activity">
    <vt:lpwstr>Loan Proposal</vt:lpwstr>
  </property>
  <property fmtid="{D5CDD505-2E9C-101B-9397-08002B2CF9AE}" pid="13" name="Disclosed">
    <vt:bool>false</vt:bool>
  </property>
  <property fmtid="{D5CDD505-2E9C-101B-9397-08002B2CF9AE}" pid="14" name="ContentTypeId">
    <vt:lpwstr>0x0101001A458A224826124E8B45B1D613300CFC008D72703920994348BB69502AE21E3CB9</vt:lpwstr>
  </property>
</Properties>
</file>